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E52" w:rsidRDefault="009243CD">
      <w:pPr>
        <w:spacing w:line="240" w:lineRule="auto"/>
        <w:rPr>
          <w:rFonts w:ascii="Times New Roman" w:hAnsi="Times New Roman" w:cs="Times New Roman"/>
          <w:b/>
          <w:bCs/>
          <w:sz w:val="24"/>
          <w:szCs w:val="24"/>
        </w:rPr>
      </w:pPr>
      <w:r>
        <w:rPr>
          <w:rFonts w:ascii="Times New Roman" w:hAnsi="Times New Roman" w:cs="Times New Roman"/>
          <w:b/>
          <w:bCs/>
          <w:sz w:val="24"/>
          <w:szCs w:val="24"/>
        </w:rPr>
        <w:t>1. INTRO</w:t>
      </w:r>
      <w:bookmarkStart w:id="0" w:name="_GoBack"/>
      <w:bookmarkEnd w:id="0"/>
      <w:r>
        <w:rPr>
          <w:rFonts w:ascii="Times New Roman" w:hAnsi="Times New Roman" w:cs="Times New Roman"/>
          <w:b/>
          <w:bCs/>
          <w:sz w:val="24"/>
          <w:szCs w:val="24"/>
        </w:rPr>
        <w:t>DUCTION</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Firm value occupies a central position in financial economics, reflecting the market’s assessment of a firm’s ability to generate sustainable returns and maximize shareholder wealth. It is commonly </w:t>
      </w:r>
      <w:proofErr w:type="spellStart"/>
      <w:r>
        <w:rPr>
          <w:rFonts w:ascii="Times New Roman" w:hAnsi="Times New Roman" w:cs="Times New Roman"/>
          <w:sz w:val="24"/>
          <w:szCs w:val="24"/>
        </w:rPr>
        <w:t>proxied</w:t>
      </w:r>
      <w:proofErr w:type="spellEnd"/>
      <w:r>
        <w:rPr>
          <w:rFonts w:ascii="Times New Roman" w:hAnsi="Times New Roman" w:cs="Times New Roman"/>
          <w:sz w:val="24"/>
          <w:szCs w:val="24"/>
        </w:rPr>
        <w:t xml:space="preserve"> by measures such as Tobin’s Q or </w:t>
      </w:r>
      <w:r>
        <w:rPr>
          <w:rFonts w:ascii="Times New Roman" w:hAnsi="Times New Roman" w:cs="Times New Roman"/>
          <w:sz w:val="24"/>
          <w:szCs w:val="24"/>
        </w:rPr>
        <w:t>the market-to-book ratio, which capture investor perceptions of future growth prospects, risk exposure, and governance quality (</w:t>
      </w:r>
      <w:proofErr w:type="spellStart"/>
      <w:r>
        <w:rPr>
          <w:rFonts w:ascii="Times New Roman" w:hAnsi="Times New Roman" w:cs="Times New Roman"/>
          <w:sz w:val="24"/>
          <w:szCs w:val="24"/>
        </w:rPr>
        <w:t>Deshi</w:t>
      </w:r>
      <w:proofErr w:type="spellEnd"/>
      <w:r>
        <w:rPr>
          <w:rFonts w:ascii="Times New Roman" w:hAnsi="Times New Roman" w:cs="Times New Roman"/>
          <w:sz w:val="24"/>
          <w:szCs w:val="24"/>
        </w:rPr>
        <w:t>, et al. 2025). Firm value is shaped not only by internal operational efficiency but also by external governance mechanisms</w:t>
      </w:r>
      <w:r>
        <w:rPr>
          <w:rFonts w:ascii="Times New Roman" w:hAnsi="Times New Roman" w:cs="Times New Roman"/>
          <w:sz w:val="24"/>
          <w:szCs w:val="24"/>
        </w:rPr>
        <w:t>, among which ownership structure plays a critical role (</w:t>
      </w:r>
      <w:proofErr w:type="spellStart"/>
      <w:r>
        <w:rPr>
          <w:rFonts w:ascii="Times New Roman" w:hAnsi="Times New Roman" w:cs="Times New Roman"/>
          <w:sz w:val="24"/>
          <w:szCs w:val="24"/>
        </w:rPr>
        <w:t>Deshi</w:t>
      </w:r>
      <w:proofErr w:type="spellEnd"/>
      <w:r>
        <w:rPr>
          <w:rFonts w:ascii="Times New Roman" w:hAnsi="Times New Roman" w:cs="Times New Roman"/>
          <w:sz w:val="24"/>
          <w:szCs w:val="24"/>
        </w:rPr>
        <w:t xml:space="preserve"> &amp; Sunday, 2025). Ownership structure, defined as the composition and distribution of equity holdings within a firm, influences managerial incentives, control rights, monitoring effectiveness, a</w:t>
      </w:r>
      <w:r>
        <w:rPr>
          <w:rFonts w:ascii="Times New Roman" w:hAnsi="Times New Roman" w:cs="Times New Roman"/>
          <w:sz w:val="24"/>
          <w:szCs w:val="24"/>
        </w:rPr>
        <w:t>nd ultimately corporate valuation. It encompasses diverse categories, including directors’ ownership, institutional ownership, and foreign ownership, each carrying distinct implications for agency conflicts, decision-making, and corporate oversight (</w:t>
      </w:r>
      <w:proofErr w:type="spellStart"/>
      <w:r>
        <w:rPr>
          <w:rFonts w:ascii="Times New Roman" w:hAnsi="Times New Roman" w:cs="Times New Roman"/>
          <w:sz w:val="24"/>
          <w:szCs w:val="24"/>
        </w:rPr>
        <w:t>Shleif</w:t>
      </w:r>
      <w:r>
        <w:rPr>
          <w:rFonts w:ascii="Times New Roman" w:hAnsi="Times New Roman" w:cs="Times New Roman"/>
          <w:sz w:val="24"/>
          <w:szCs w:val="24"/>
        </w:rPr>
        <w:t>er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Vishny</w:t>
      </w:r>
      <w:proofErr w:type="spellEnd"/>
      <w:r>
        <w:rPr>
          <w:rFonts w:ascii="Times New Roman" w:hAnsi="Times New Roman" w:cs="Times New Roman"/>
          <w:sz w:val="24"/>
          <w:szCs w:val="24"/>
        </w:rPr>
        <w:t xml:space="preserve">, 1997; La </w:t>
      </w:r>
      <w:proofErr w:type="spellStart"/>
      <w:r>
        <w:rPr>
          <w:rFonts w:ascii="Times New Roman" w:hAnsi="Times New Roman" w:cs="Times New Roman"/>
          <w:sz w:val="24"/>
          <w:szCs w:val="24"/>
        </w:rPr>
        <w:t>Porta</w:t>
      </w:r>
      <w:proofErr w:type="spellEnd"/>
      <w:r>
        <w:rPr>
          <w:rFonts w:ascii="Times New Roman" w:hAnsi="Times New Roman" w:cs="Times New Roman"/>
          <w:sz w:val="24"/>
          <w:szCs w:val="24"/>
        </w:rPr>
        <w:t xml:space="preserve"> et al., 2002).</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In emerging and developing markets, particularly within Africa, the ownership and value relationship is complicated by structural and institutional constraints. Weak legal enforcement, concentrated ownership patte</w:t>
      </w:r>
      <w:r>
        <w:rPr>
          <w:rFonts w:ascii="Times New Roman" w:hAnsi="Times New Roman" w:cs="Times New Roman"/>
          <w:sz w:val="24"/>
          <w:szCs w:val="24"/>
        </w:rPr>
        <w:t>rns, limited investor protection, and governance deficiencies often shape how ownership mechanisms affect firm outcomes. Empirical evidence from countries such as South Africa and Kenya suggests that foreign and institutional ownership can enhance governan</w:t>
      </w:r>
      <w:r>
        <w:rPr>
          <w:rFonts w:ascii="Times New Roman" w:hAnsi="Times New Roman" w:cs="Times New Roman"/>
          <w:sz w:val="24"/>
          <w:szCs w:val="24"/>
        </w:rPr>
        <w:t>ce practices and firm value (</w:t>
      </w:r>
      <w:proofErr w:type="spellStart"/>
      <w:r>
        <w:rPr>
          <w:rFonts w:ascii="Times New Roman" w:hAnsi="Times New Roman" w:cs="Times New Roman"/>
          <w:sz w:val="24"/>
          <w:szCs w:val="24"/>
        </w:rPr>
        <w:t>Mangena</w:t>
      </w:r>
      <w:proofErr w:type="spellEnd"/>
      <w:r>
        <w:rPr>
          <w:rFonts w:ascii="Times New Roman" w:hAnsi="Times New Roman" w:cs="Times New Roman"/>
          <w:sz w:val="24"/>
          <w:szCs w:val="24"/>
        </w:rPr>
        <w:t xml:space="preserve">, et al. </w:t>
      </w:r>
      <w:proofErr w:type="gramStart"/>
      <w:r>
        <w:rPr>
          <w:rFonts w:ascii="Times New Roman" w:hAnsi="Times New Roman" w:cs="Times New Roman"/>
          <w:sz w:val="24"/>
          <w:szCs w:val="24"/>
        </w:rPr>
        <w:t xml:space="preserve">2012; </w:t>
      </w:r>
      <w:proofErr w:type="spellStart"/>
      <w:r>
        <w:rPr>
          <w:rFonts w:ascii="Times New Roman" w:hAnsi="Times New Roman" w:cs="Times New Roman"/>
          <w:sz w:val="24"/>
          <w:szCs w:val="24"/>
        </w:rPr>
        <w:t>Ochieng</w:t>
      </w:r>
      <w:proofErr w:type="spellEnd"/>
      <w:r>
        <w:rPr>
          <w:rFonts w:ascii="Times New Roman" w:hAnsi="Times New Roman" w:cs="Times New Roman"/>
          <w:sz w:val="24"/>
          <w:szCs w:val="24"/>
        </w:rPr>
        <w:t xml:space="preserve"> &amp; Ahmed, 2021).</w:t>
      </w:r>
      <w:proofErr w:type="gramEnd"/>
      <w:r>
        <w:rPr>
          <w:rFonts w:ascii="Times New Roman" w:hAnsi="Times New Roman" w:cs="Times New Roman"/>
          <w:sz w:val="24"/>
          <w:szCs w:val="24"/>
        </w:rPr>
        <w:t xml:space="preserve"> Nonetheless, Managerial Ownership in many African firms tends to be disproportionately high, raising concerns regarding managerial entrenchment, reduced board independence, and weak</w:t>
      </w:r>
      <w:r>
        <w:rPr>
          <w:rFonts w:ascii="Times New Roman" w:hAnsi="Times New Roman" w:cs="Times New Roman"/>
          <w:sz w:val="24"/>
          <w:szCs w:val="24"/>
        </w:rPr>
        <w:t>ened external oversight.</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In Nigeria, these dynamics are especially salient in the banking sector. In the banking sector, firm value assumes heightened importance due to the industry’s systemic relevance, regulatory intensity, and vulnerability to financial</w:t>
      </w:r>
      <w:r>
        <w:rPr>
          <w:rFonts w:ascii="Times New Roman" w:hAnsi="Times New Roman" w:cs="Times New Roman"/>
          <w:sz w:val="24"/>
          <w:szCs w:val="24"/>
        </w:rPr>
        <w:t xml:space="preserve"> instability. In Nigeria, several regulatory reforms have been implemented to strengthen banking stability and governance, including the banking consolidation exercise of 2004/2005, the adoption of risk-based supervision by the Central Bank of Nigeria (CBN</w:t>
      </w:r>
      <w:r>
        <w:rPr>
          <w:rFonts w:ascii="Times New Roman" w:hAnsi="Times New Roman" w:cs="Times New Roman"/>
          <w:sz w:val="24"/>
          <w:szCs w:val="24"/>
        </w:rPr>
        <w:t xml:space="preserve">), the introduction of the Bank Verification Number (BVN), the implementation of Basel II/III capital standards, and periodic revisions of the Nigerian Code of Corporate Governance. These reforms were designed to enhance transparency, risk management, and </w:t>
      </w:r>
      <w:r>
        <w:rPr>
          <w:rFonts w:ascii="Times New Roman" w:hAnsi="Times New Roman" w:cs="Times New Roman"/>
          <w:sz w:val="24"/>
          <w:szCs w:val="24"/>
        </w:rPr>
        <w:t>capital resilience within deposit money banks. Nevertheless, concerns persist regarding the determinants of firm value, as fluctuations in market valuation, governance challenges, and episodes of financial distress continue to raise questions about the eff</w:t>
      </w:r>
      <w:r>
        <w:rPr>
          <w:rFonts w:ascii="Times New Roman" w:hAnsi="Times New Roman" w:cs="Times New Roman"/>
          <w:sz w:val="24"/>
          <w:szCs w:val="24"/>
        </w:rPr>
        <w:t>ectiveness of existing governance and regulatory mechanisms. Ownership structure is perceived to be a good approach in control these challenges. Ownership patterns such as the Directors’ ownership, foreign ownership and institutional ownership not only inf</w:t>
      </w:r>
      <w:r>
        <w:rPr>
          <w:rFonts w:ascii="Times New Roman" w:hAnsi="Times New Roman" w:cs="Times New Roman"/>
          <w:sz w:val="24"/>
          <w:szCs w:val="24"/>
        </w:rPr>
        <w:t xml:space="preserve">luence the governance outcomes but also risk-taking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regulatory compliance, and market valuation (</w:t>
      </w:r>
      <w:proofErr w:type="spellStart"/>
      <w:r>
        <w:rPr>
          <w:rFonts w:ascii="Times New Roman" w:hAnsi="Times New Roman" w:cs="Times New Roman"/>
          <w:sz w:val="24"/>
          <w:szCs w:val="24"/>
        </w:rPr>
        <w:t>Odeh</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Deshi</w:t>
      </w:r>
      <w:proofErr w:type="spellEnd"/>
      <w:r>
        <w:rPr>
          <w:rFonts w:ascii="Times New Roman" w:hAnsi="Times New Roman" w:cs="Times New Roman"/>
          <w:sz w:val="24"/>
          <w:szCs w:val="24"/>
        </w:rPr>
        <w:t>, 2025).</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Managerial ownership in Nigerian banks may promote strategic continuity and information advantages, yet excessive insider contro</w:t>
      </w:r>
      <w:r>
        <w:rPr>
          <w:rFonts w:ascii="Times New Roman" w:hAnsi="Times New Roman" w:cs="Times New Roman"/>
          <w:sz w:val="24"/>
          <w:szCs w:val="24"/>
        </w:rPr>
        <w:t>l can weaken board independence and external accountability (</w:t>
      </w:r>
      <w:proofErr w:type="spellStart"/>
      <w:r>
        <w:rPr>
          <w:rFonts w:ascii="Times New Roman" w:hAnsi="Times New Roman" w:cs="Times New Roman"/>
          <w:sz w:val="24"/>
          <w:szCs w:val="24"/>
        </w:rPr>
        <w:t>Okike</w:t>
      </w:r>
      <w:proofErr w:type="spellEnd"/>
      <w:r>
        <w:rPr>
          <w:rFonts w:ascii="Times New Roman" w:hAnsi="Times New Roman" w:cs="Times New Roman"/>
          <w:sz w:val="24"/>
          <w:szCs w:val="24"/>
        </w:rPr>
        <w:t>, 2007). Foreign ownership, although associated with governance improvements and technological innovation, may be constrained by regulatory uncertainties, exchange rate volatility, and macro</w:t>
      </w:r>
      <w:r>
        <w:rPr>
          <w:rFonts w:ascii="Times New Roman" w:hAnsi="Times New Roman" w:cs="Times New Roman"/>
          <w:sz w:val="24"/>
          <w:szCs w:val="24"/>
        </w:rPr>
        <w:t>economic risks. Institutional ownership holds potential for enhanced monitoring, but institutional investors in Nigeria often exhibit limited activism relative to counterparts in more developed markets (</w:t>
      </w:r>
      <w:proofErr w:type="spellStart"/>
      <w:r>
        <w:rPr>
          <w:rFonts w:ascii="Times New Roman" w:hAnsi="Times New Roman" w:cs="Times New Roman"/>
          <w:sz w:val="24"/>
          <w:szCs w:val="24"/>
        </w:rPr>
        <w:t>Olokoyo</w:t>
      </w:r>
      <w:proofErr w:type="spellEnd"/>
      <w:r>
        <w:rPr>
          <w:rFonts w:ascii="Times New Roman" w:hAnsi="Times New Roman" w:cs="Times New Roman"/>
          <w:sz w:val="24"/>
          <w:szCs w:val="24"/>
        </w:rPr>
        <w:t xml:space="preserve"> et al., 2021). These contextual realities sug</w:t>
      </w:r>
      <w:r>
        <w:rPr>
          <w:rFonts w:ascii="Times New Roman" w:hAnsi="Times New Roman" w:cs="Times New Roman"/>
          <w:sz w:val="24"/>
          <w:szCs w:val="24"/>
        </w:rPr>
        <w:t>gest that the ownership-firm value relationship may not be uniform but contingent upon regulatory and financial conditions.</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One critical conditioning factor within the banking industry is capital adequacy, measured by the Capital Adequacy Ratio (CAR). Capi</w:t>
      </w:r>
      <w:r>
        <w:rPr>
          <w:rFonts w:ascii="Times New Roman" w:hAnsi="Times New Roman" w:cs="Times New Roman"/>
          <w:sz w:val="24"/>
          <w:szCs w:val="24"/>
        </w:rPr>
        <w:t>tal adequacy reflects a bank’s financial strength, stability, and capacity to absorb unexpected losses. Adequate capitalization may influence how ownership structure translates into firm value by constraining excessive risk-taking, enhancing investor confi</w:t>
      </w:r>
      <w:r>
        <w:rPr>
          <w:rFonts w:ascii="Times New Roman" w:hAnsi="Times New Roman" w:cs="Times New Roman"/>
          <w:sz w:val="24"/>
          <w:szCs w:val="24"/>
        </w:rPr>
        <w:t>dence, and strengthening regulatory compliance. Conversely, weak capital buffers may amplify risk exposure and undermine governance effectiveness. Despite its theoretical relevance, limited empirical attention has been devoted to examining CAR as a moderat</w:t>
      </w:r>
      <w:r>
        <w:rPr>
          <w:rFonts w:ascii="Times New Roman" w:hAnsi="Times New Roman" w:cs="Times New Roman"/>
          <w:sz w:val="24"/>
          <w:szCs w:val="24"/>
        </w:rPr>
        <w:t>ing variable in the ownership–value relationship, particularly in Nigeria.</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Existing studies on ownership structure and firm value within Nigerian banks report mixed and inconclusive findings. While some studies document positive effects of foreign and inst</w:t>
      </w:r>
      <w:r>
        <w:rPr>
          <w:rFonts w:ascii="Times New Roman" w:hAnsi="Times New Roman" w:cs="Times New Roman"/>
          <w:sz w:val="24"/>
          <w:szCs w:val="24"/>
        </w:rPr>
        <w:t>itutional ownership on firm value (</w:t>
      </w:r>
      <w:proofErr w:type="spellStart"/>
      <w:r>
        <w:rPr>
          <w:rFonts w:ascii="Times New Roman" w:hAnsi="Times New Roman" w:cs="Times New Roman"/>
          <w:sz w:val="24"/>
          <w:szCs w:val="24"/>
        </w:rPr>
        <w:t>Olokoyo</w:t>
      </w:r>
      <w:proofErr w:type="spellEnd"/>
      <w:r>
        <w:rPr>
          <w:rFonts w:ascii="Times New Roman" w:hAnsi="Times New Roman" w:cs="Times New Roman"/>
          <w:sz w:val="24"/>
          <w:szCs w:val="24"/>
        </w:rPr>
        <w:t xml:space="preserve"> et al., 2021; </w:t>
      </w:r>
      <w:proofErr w:type="spellStart"/>
      <w:r>
        <w:rPr>
          <w:rFonts w:ascii="Times New Roman" w:hAnsi="Times New Roman" w:cs="Times New Roman"/>
          <w:sz w:val="24"/>
          <w:szCs w:val="24"/>
        </w:rPr>
        <w:t>Uwuigbe</w:t>
      </w:r>
      <w:proofErr w:type="spellEnd"/>
      <w:r>
        <w:rPr>
          <w:rFonts w:ascii="Times New Roman" w:hAnsi="Times New Roman" w:cs="Times New Roman"/>
          <w:sz w:val="24"/>
          <w:szCs w:val="24"/>
        </w:rPr>
        <w:t xml:space="preserve"> et al., 2020), others report negative or insignificant relationships (</w:t>
      </w:r>
      <w:proofErr w:type="spellStart"/>
      <w:r>
        <w:rPr>
          <w:rFonts w:ascii="Times New Roman" w:hAnsi="Times New Roman" w:cs="Times New Roman"/>
          <w:sz w:val="24"/>
          <w:szCs w:val="24"/>
        </w:rPr>
        <w:t>Ismaila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Tanko</w:t>
      </w:r>
      <w:proofErr w:type="spellEnd"/>
      <w:r>
        <w:rPr>
          <w:rFonts w:ascii="Times New Roman" w:hAnsi="Times New Roman" w:cs="Times New Roman"/>
          <w:sz w:val="24"/>
          <w:szCs w:val="24"/>
        </w:rPr>
        <w:t>, 2024). Similarly, the impact of managerial ownership remains contested, with evidence supporting both al</w:t>
      </w:r>
      <w:r>
        <w:rPr>
          <w:rFonts w:ascii="Times New Roman" w:hAnsi="Times New Roman" w:cs="Times New Roman"/>
          <w:sz w:val="24"/>
          <w:szCs w:val="24"/>
        </w:rPr>
        <w:t>ignment and entrenchment effects (</w:t>
      </w:r>
      <w:proofErr w:type="spellStart"/>
      <w:r>
        <w:rPr>
          <w:rFonts w:ascii="Times New Roman" w:hAnsi="Times New Roman" w:cs="Times New Roman"/>
          <w:sz w:val="24"/>
          <w:szCs w:val="24"/>
        </w:rPr>
        <w:t>Egolum</w:t>
      </w:r>
      <w:proofErr w:type="spellEnd"/>
      <w:r>
        <w:rPr>
          <w:rFonts w:ascii="Times New Roman" w:hAnsi="Times New Roman" w:cs="Times New Roman"/>
          <w:sz w:val="24"/>
          <w:szCs w:val="24"/>
        </w:rPr>
        <w:t xml:space="preserve"> et al., 2021; </w:t>
      </w:r>
      <w:proofErr w:type="spellStart"/>
      <w:r>
        <w:rPr>
          <w:rFonts w:ascii="Times New Roman" w:hAnsi="Times New Roman" w:cs="Times New Roman"/>
          <w:sz w:val="24"/>
          <w:szCs w:val="24"/>
        </w:rPr>
        <w:t>Purnomo</w:t>
      </w:r>
      <w:proofErr w:type="spellEnd"/>
      <w:r>
        <w:rPr>
          <w:rFonts w:ascii="Times New Roman" w:hAnsi="Times New Roman" w:cs="Times New Roman"/>
          <w:sz w:val="24"/>
          <w:szCs w:val="24"/>
        </w:rPr>
        <w:t xml:space="preserve"> et al., 2025). These inconsistencies suggest the presence of moderating influences that shape the ownership–value nexus.</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Against this backdrop, the current study investigates the effect of mana</w:t>
      </w:r>
      <w:r>
        <w:rPr>
          <w:rFonts w:ascii="Times New Roman" w:hAnsi="Times New Roman" w:cs="Times New Roman"/>
          <w:sz w:val="24"/>
          <w:szCs w:val="24"/>
        </w:rPr>
        <w:t xml:space="preserve">gerial ownership, institutional ownership, and foreign ownership on the firm value of listed deposit money banks in Nigeria, while examining the moderating role of capital adequacy. By integrating governance and financial stability perspectives, the study </w:t>
      </w:r>
      <w:r>
        <w:rPr>
          <w:rFonts w:ascii="Times New Roman" w:hAnsi="Times New Roman" w:cs="Times New Roman"/>
          <w:sz w:val="24"/>
          <w:szCs w:val="24"/>
        </w:rPr>
        <w:t>contributes to a deeper understanding of how ownership mechanisms operate within a regulated and risk-sensitive environment. The findings are expected to provide valuable insights for investors, regulators, and policymakers seeking to enhance governance ef</w:t>
      </w:r>
      <w:r>
        <w:rPr>
          <w:rFonts w:ascii="Times New Roman" w:hAnsi="Times New Roman" w:cs="Times New Roman"/>
          <w:sz w:val="24"/>
          <w:szCs w:val="24"/>
        </w:rPr>
        <w:t xml:space="preserve">fectiveness, financial resilience, and market valuation in the Nigerian banking sector. </w:t>
      </w:r>
    </w:p>
    <w:p w:rsidR="00477E52" w:rsidRDefault="009243CD">
      <w:pPr>
        <w:spacing w:line="240" w:lineRule="auto"/>
        <w:rPr>
          <w:rFonts w:ascii="Times New Roman" w:hAnsi="Times New Roman" w:cs="Times New Roman"/>
          <w:b/>
          <w:bCs/>
          <w:sz w:val="24"/>
          <w:szCs w:val="24"/>
        </w:rPr>
      </w:pPr>
      <w:r>
        <w:rPr>
          <w:rFonts w:ascii="Times New Roman" w:hAnsi="Times New Roman" w:cs="Times New Roman"/>
          <w:b/>
          <w:bCs/>
          <w:sz w:val="24"/>
          <w:szCs w:val="24"/>
        </w:rPr>
        <w:t>2. LITERATURE REVIEW</w:t>
      </w:r>
    </w:p>
    <w:p w:rsidR="00477E52" w:rsidRDefault="009243C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2.1 Conceptual Review</w:t>
      </w:r>
    </w:p>
    <w:p w:rsidR="00477E52" w:rsidRDefault="009243C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2.1.1 Firm Value</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Firm value represents the overall economic worth of a company as perceived by investors and other stakehold</w:t>
      </w:r>
      <w:r>
        <w:rPr>
          <w:rFonts w:ascii="Times New Roman" w:hAnsi="Times New Roman" w:cs="Times New Roman"/>
          <w:sz w:val="24"/>
          <w:szCs w:val="24"/>
        </w:rPr>
        <w:t>ers, reflecting both its current performance and future growth potential. It captures tangible elements such as profitability and asset utilization, as well as intangible factors including governance quality, strategic positioning, and market confidence. S</w:t>
      </w:r>
      <w:r>
        <w:rPr>
          <w:rFonts w:ascii="Times New Roman" w:hAnsi="Times New Roman" w:cs="Times New Roman"/>
          <w:sz w:val="24"/>
          <w:szCs w:val="24"/>
        </w:rPr>
        <w:t xml:space="preserve">cholars such as Nyberg and Fulmer (2022) emphasize that firm value reflects the market’s assessment of a firm’s ability to generate sustainable returns over time, while </w:t>
      </w:r>
      <w:proofErr w:type="spellStart"/>
      <w:r>
        <w:rPr>
          <w:rFonts w:ascii="Times New Roman" w:hAnsi="Times New Roman" w:cs="Times New Roman"/>
          <w:sz w:val="24"/>
          <w:szCs w:val="24"/>
        </w:rPr>
        <w:t>Olayemi</w:t>
      </w:r>
      <w:proofErr w:type="spellEnd"/>
      <w:r>
        <w:rPr>
          <w:rFonts w:ascii="Times New Roman" w:hAnsi="Times New Roman" w:cs="Times New Roman"/>
          <w:sz w:val="24"/>
          <w:szCs w:val="24"/>
        </w:rPr>
        <w:t xml:space="preserve"> et al. (2023) describe it as an integrated indicator of financial health and ma</w:t>
      </w:r>
      <w:r>
        <w:rPr>
          <w:rFonts w:ascii="Times New Roman" w:hAnsi="Times New Roman" w:cs="Times New Roman"/>
          <w:sz w:val="24"/>
          <w:szCs w:val="24"/>
        </w:rPr>
        <w:t>nagerial effectiveness. Firm value can be measured using several proxies, including market capitalization and return on equity; however, this study adopts Tobin’s Q because it combines market perception with asset efficiency by comparing market value to bo</w:t>
      </w:r>
      <w:r>
        <w:rPr>
          <w:rFonts w:ascii="Times New Roman" w:hAnsi="Times New Roman" w:cs="Times New Roman"/>
          <w:sz w:val="24"/>
          <w:szCs w:val="24"/>
        </w:rPr>
        <w:t>ok value of total assets. From a theoretical standpoint, firm value is central to agency theory, serving as an outcome indicator of how effectively managers align their decisions with shareholders’ interests and utilize corporate resources to minimize agen</w:t>
      </w:r>
      <w:r>
        <w:rPr>
          <w:rFonts w:ascii="Times New Roman" w:hAnsi="Times New Roman" w:cs="Times New Roman"/>
          <w:sz w:val="24"/>
          <w:szCs w:val="24"/>
        </w:rPr>
        <w:t>cy costs.</w:t>
      </w:r>
    </w:p>
    <w:p w:rsidR="00477E52" w:rsidRDefault="009243C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2.1.2 Ownership Structure</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Ownership structure refers to the distribution and composition of equity holdings among different categories of shareholders, including insiders, institutional investors, and foreign participants. It shapes corporate gov</w:t>
      </w:r>
      <w:r>
        <w:rPr>
          <w:rFonts w:ascii="Times New Roman" w:hAnsi="Times New Roman" w:cs="Times New Roman"/>
          <w:sz w:val="24"/>
          <w:szCs w:val="24"/>
        </w:rPr>
        <w:t>ernance dynamics by influencing control rights, monitoring intensity, and managerial accountability. According to Chen and Yu (2020), ownership structure determines internal power configurations and affects strategic decision-</w:t>
      </w:r>
      <w:r>
        <w:rPr>
          <w:rFonts w:ascii="Times New Roman" w:hAnsi="Times New Roman" w:cs="Times New Roman"/>
          <w:sz w:val="24"/>
          <w:szCs w:val="24"/>
        </w:rPr>
        <w:lastRenderedPageBreak/>
        <w:t xml:space="preserve">making, while </w:t>
      </w:r>
      <w:proofErr w:type="spellStart"/>
      <w:r>
        <w:rPr>
          <w:rFonts w:ascii="Times New Roman" w:hAnsi="Times New Roman" w:cs="Times New Roman"/>
          <w:sz w:val="24"/>
          <w:szCs w:val="24"/>
        </w:rPr>
        <w:t>Asma</w:t>
      </w:r>
      <w:proofErr w:type="spellEnd"/>
      <w:r>
        <w:rPr>
          <w:rFonts w:ascii="Times New Roman" w:hAnsi="Times New Roman" w:cs="Times New Roman"/>
          <w:sz w:val="24"/>
          <w:szCs w:val="24"/>
        </w:rPr>
        <w:t xml:space="preserve"> et al. (202</w:t>
      </w:r>
      <w:r>
        <w:rPr>
          <w:rFonts w:ascii="Times New Roman" w:hAnsi="Times New Roman" w:cs="Times New Roman"/>
          <w:sz w:val="24"/>
          <w:szCs w:val="24"/>
        </w:rPr>
        <w:t xml:space="preserve">2) argue that ownership concentration or dispersion significantly influences corporate control and firm performance. In regulated industries such as banking, ownership structure is particularly important because it affects risk-taking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regulatory </w:t>
      </w:r>
      <w:r>
        <w:rPr>
          <w:rFonts w:ascii="Times New Roman" w:hAnsi="Times New Roman" w:cs="Times New Roman"/>
          <w:sz w:val="24"/>
          <w:szCs w:val="24"/>
        </w:rPr>
        <w:t>compliance, and transparency. This study focuses on managerial ownership, foreign ownership, and institutional ownership, as each introduces distinct governance incentives and monitoring mechanisms that may differently influence firm value in Nigerian depo</w:t>
      </w:r>
      <w:r>
        <w:rPr>
          <w:rFonts w:ascii="Times New Roman" w:hAnsi="Times New Roman" w:cs="Times New Roman"/>
          <w:sz w:val="24"/>
          <w:szCs w:val="24"/>
        </w:rPr>
        <w:t>sit money banks.</w:t>
      </w:r>
    </w:p>
    <w:p w:rsidR="00477E52" w:rsidRDefault="009243C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2.1.2.1 Managerial Ownership</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Managerial ownership refers to the proportion of shares held by executive directors and board members within a firm. Rooted in agency theory, it posits that when managers hold equity stakes, their financial int</w:t>
      </w:r>
      <w:r>
        <w:rPr>
          <w:rFonts w:ascii="Times New Roman" w:hAnsi="Times New Roman" w:cs="Times New Roman"/>
          <w:sz w:val="24"/>
          <w:szCs w:val="24"/>
        </w:rPr>
        <w:t xml:space="preserve">erests become aligned with those of shareholders, thereby reducing opportunistic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and enhancing value maximization (Jensen &amp; </w:t>
      </w:r>
      <w:proofErr w:type="spellStart"/>
      <w:r>
        <w:rPr>
          <w:rFonts w:ascii="Times New Roman" w:hAnsi="Times New Roman" w:cs="Times New Roman"/>
          <w:sz w:val="24"/>
          <w:szCs w:val="24"/>
        </w:rPr>
        <w:t>Meckling</w:t>
      </w:r>
      <w:proofErr w:type="spellEnd"/>
      <w:r>
        <w:rPr>
          <w:rFonts w:ascii="Times New Roman" w:hAnsi="Times New Roman" w:cs="Times New Roman"/>
          <w:sz w:val="24"/>
          <w:szCs w:val="24"/>
        </w:rPr>
        <w:t xml:space="preserve">, 1976; </w:t>
      </w:r>
      <w:proofErr w:type="spellStart"/>
      <w:r>
        <w:rPr>
          <w:rFonts w:ascii="Times New Roman" w:hAnsi="Times New Roman" w:cs="Times New Roman"/>
          <w:sz w:val="24"/>
          <w:szCs w:val="24"/>
        </w:rPr>
        <w:t>Afza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Nazir</w:t>
      </w:r>
      <w:proofErr w:type="spellEnd"/>
      <w:r>
        <w:rPr>
          <w:rFonts w:ascii="Times New Roman" w:hAnsi="Times New Roman" w:cs="Times New Roman"/>
          <w:sz w:val="24"/>
          <w:szCs w:val="24"/>
        </w:rPr>
        <w:t>, 2021). Moderate levels of managerial ownership are often associated with improved decision-ma</w:t>
      </w:r>
      <w:r>
        <w:rPr>
          <w:rFonts w:ascii="Times New Roman" w:hAnsi="Times New Roman" w:cs="Times New Roman"/>
          <w:sz w:val="24"/>
          <w:szCs w:val="24"/>
        </w:rPr>
        <w:t>king and stronger strategic alignment (</w:t>
      </w:r>
      <w:proofErr w:type="spellStart"/>
      <w:r>
        <w:rPr>
          <w:rFonts w:ascii="Times New Roman" w:hAnsi="Times New Roman" w:cs="Times New Roman"/>
          <w:sz w:val="24"/>
          <w:szCs w:val="24"/>
        </w:rPr>
        <w:t>Almashaqbeh</w:t>
      </w:r>
      <w:proofErr w:type="spellEnd"/>
      <w:r>
        <w:rPr>
          <w:rFonts w:ascii="Times New Roman" w:hAnsi="Times New Roman" w:cs="Times New Roman"/>
          <w:sz w:val="24"/>
          <w:szCs w:val="24"/>
        </w:rPr>
        <w:t xml:space="preserve"> et al., 2023). However, excessively high ownership may lead to managerial entrenchment, where insiders gain excessive control and reduce board independence (Li &amp; Liu, 2022). Despite this risk, managerial o</w:t>
      </w:r>
      <w:r>
        <w:rPr>
          <w:rFonts w:ascii="Times New Roman" w:hAnsi="Times New Roman" w:cs="Times New Roman"/>
          <w:sz w:val="24"/>
          <w:szCs w:val="24"/>
        </w:rPr>
        <w:t>wnership remains a critical internal governance mechanism, particularly in emerging markets where external monitoring institutions may be weaker. It signals commitment, enhances accountability, and potentially improves disclosure quality (</w:t>
      </w:r>
      <w:proofErr w:type="spellStart"/>
      <w:r>
        <w:rPr>
          <w:rFonts w:ascii="Times New Roman" w:hAnsi="Times New Roman" w:cs="Times New Roman"/>
          <w:sz w:val="24"/>
          <w:szCs w:val="24"/>
        </w:rPr>
        <w:t>Rahman</w:t>
      </w:r>
      <w:proofErr w:type="spellEnd"/>
      <w:r>
        <w:rPr>
          <w:rFonts w:ascii="Times New Roman" w:hAnsi="Times New Roman" w:cs="Times New Roman"/>
          <w:sz w:val="24"/>
          <w:szCs w:val="24"/>
        </w:rPr>
        <w:t xml:space="preserve"> et al., 20</w:t>
      </w:r>
      <w:r>
        <w:rPr>
          <w:rFonts w:ascii="Times New Roman" w:hAnsi="Times New Roman" w:cs="Times New Roman"/>
          <w:sz w:val="24"/>
          <w:szCs w:val="24"/>
        </w:rPr>
        <w:t>20)</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making it a vital determinant of firm value in Nigerian listed </w:t>
      </w:r>
      <w:r>
        <w:rPr>
          <w:rFonts w:ascii="Times New Roman" w:hAnsi="Times New Roman" w:cs="Times New Roman"/>
          <w:sz w:val="24"/>
          <w:szCs w:val="24"/>
          <w:lang w:val="en-US"/>
        </w:rPr>
        <w:t>commercial</w:t>
      </w:r>
      <w:r>
        <w:rPr>
          <w:rFonts w:ascii="Times New Roman" w:hAnsi="Times New Roman" w:cs="Times New Roman"/>
          <w:sz w:val="24"/>
          <w:szCs w:val="24"/>
        </w:rPr>
        <w:t xml:space="preserve"> banks.</w:t>
      </w:r>
    </w:p>
    <w:p w:rsidR="00477E52" w:rsidRDefault="009243C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2.1.2.2 Foreign Ownership</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Foreign ownership refers to equity participation by non-domestic investors, including individuals, corporations, and institutions. It is widely </w:t>
      </w:r>
      <w:r>
        <w:rPr>
          <w:rFonts w:ascii="Times New Roman" w:hAnsi="Times New Roman" w:cs="Times New Roman"/>
          <w:sz w:val="24"/>
          <w:szCs w:val="24"/>
        </w:rPr>
        <w:t>regarded as a strategic governance and performance-enhancing mechanism, particularly in emerging markets. Chen and Wang (2021) argue that foreign shareholders often introduce advanced managerial expertise, international best practices, and improved transpa</w:t>
      </w:r>
      <w:r>
        <w:rPr>
          <w:rFonts w:ascii="Times New Roman" w:hAnsi="Times New Roman" w:cs="Times New Roman"/>
          <w:sz w:val="24"/>
          <w:szCs w:val="24"/>
        </w:rPr>
        <w:t>rency standards. From a resource-based perspective, foreign investors provide valuable strategic resources such as capital, technology, and knowledge that local firms may lack (Barney, 1991; Nguyen et al., 2022). From an agency theory viewpoint, they act a</w:t>
      </w:r>
      <w:r>
        <w:rPr>
          <w:rFonts w:ascii="Times New Roman" w:hAnsi="Times New Roman" w:cs="Times New Roman"/>
          <w:sz w:val="24"/>
          <w:szCs w:val="24"/>
        </w:rPr>
        <w:t>s external monitors who demand higher disclosure standards and stronger governance mechanisms (Li &amp; Liu, 2022). In banking, foreign ownership can enhance innovation and competitiveness, yet it may also expose firms to global financial shocks and regulatory</w:t>
      </w:r>
      <w:r>
        <w:rPr>
          <w:rFonts w:ascii="Times New Roman" w:hAnsi="Times New Roman" w:cs="Times New Roman"/>
          <w:sz w:val="24"/>
          <w:szCs w:val="24"/>
        </w:rPr>
        <w:t xml:space="preserve"> complexities. Despite these dual implications, foreign ownership remains an important governance variable capable of influencing corporate accountability and firm value.</w:t>
      </w:r>
    </w:p>
    <w:p w:rsidR="00477E52" w:rsidRDefault="009243C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2.1.2.3 Institutional Ownership</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Institutional ownership refers to shareholdings held </w:t>
      </w:r>
      <w:r>
        <w:rPr>
          <w:rFonts w:ascii="Times New Roman" w:hAnsi="Times New Roman" w:cs="Times New Roman"/>
          <w:sz w:val="24"/>
          <w:szCs w:val="24"/>
        </w:rPr>
        <w:t>by large financial institutions such as pension funds, insurance companies, mutual funds, and sovereign wealth funds. These investors are often influential due to the size of their investments and their capacity to shape strategic decisions. Al-</w:t>
      </w:r>
      <w:proofErr w:type="spellStart"/>
      <w:r>
        <w:rPr>
          <w:rFonts w:ascii="Times New Roman" w:hAnsi="Times New Roman" w:cs="Times New Roman"/>
          <w:sz w:val="24"/>
          <w:szCs w:val="24"/>
        </w:rPr>
        <w:t>Faryan</w:t>
      </w:r>
      <w:proofErr w:type="spellEnd"/>
      <w:r>
        <w:rPr>
          <w:rFonts w:ascii="Times New Roman" w:hAnsi="Times New Roman" w:cs="Times New Roman"/>
          <w:sz w:val="24"/>
          <w:szCs w:val="24"/>
        </w:rPr>
        <w:t xml:space="preserve"> and </w:t>
      </w:r>
      <w:r>
        <w:rPr>
          <w:rFonts w:ascii="Times New Roman" w:hAnsi="Times New Roman" w:cs="Times New Roman"/>
          <w:sz w:val="24"/>
          <w:szCs w:val="24"/>
        </w:rPr>
        <w:t>Al-</w:t>
      </w:r>
      <w:proofErr w:type="spellStart"/>
      <w:r>
        <w:rPr>
          <w:rFonts w:ascii="Times New Roman" w:hAnsi="Times New Roman" w:cs="Times New Roman"/>
          <w:sz w:val="24"/>
          <w:szCs w:val="24"/>
        </w:rPr>
        <w:t>Amri</w:t>
      </w:r>
      <w:proofErr w:type="spellEnd"/>
      <w:r>
        <w:rPr>
          <w:rFonts w:ascii="Times New Roman" w:hAnsi="Times New Roman" w:cs="Times New Roman"/>
          <w:sz w:val="24"/>
          <w:szCs w:val="24"/>
        </w:rPr>
        <w:t xml:space="preserve"> (2023) note that institutional investors are typically long-term oriented and engage actively in governance oversight. Agency theory suggests that they function as effective monitors who reduce managerial opportunism and protect shareholder interes</w:t>
      </w:r>
      <w:r>
        <w:rPr>
          <w:rFonts w:ascii="Times New Roman" w:hAnsi="Times New Roman" w:cs="Times New Roman"/>
          <w:sz w:val="24"/>
          <w:szCs w:val="24"/>
        </w:rPr>
        <w:t>ts (</w:t>
      </w:r>
      <w:proofErr w:type="spellStart"/>
      <w:r>
        <w:rPr>
          <w:rFonts w:ascii="Times New Roman" w:hAnsi="Times New Roman" w:cs="Times New Roman"/>
          <w:sz w:val="24"/>
          <w:szCs w:val="24"/>
        </w:rPr>
        <w:t>Gillan</w:t>
      </w:r>
      <w:proofErr w:type="spellEnd"/>
      <w:r>
        <w:rPr>
          <w:rFonts w:ascii="Times New Roman" w:hAnsi="Times New Roman" w:cs="Times New Roman"/>
          <w:sz w:val="24"/>
          <w:szCs w:val="24"/>
        </w:rPr>
        <w:t xml:space="preserve"> &amp; Starks, 2003), while stewardship theory views them as responsible actors committed to organizational sustainability and long-term value creation (Donaldson &amp; Davis, 1991; </w:t>
      </w:r>
      <w:proofErr w:type="spellStart"/>
      <w:r>
        <w:rPr>
          <w:rFonts w:ascii="Times New Roman" w:hAnsi="Times New Roman" w:cs="Times New Roman"/>
          <w:sz w:val="24"/>
          <w:szCs w:val="24"/>
        </w:rPr>
        <w:t>Rahman</w:t>
      </w:r>
      <w:proofErr w:type="spellEnd"/>
      <w:r>
        <w:rPr>
          <w:rFonts w:ascii="Times New Roman" w:hAnsi="Times New Roman" w:cs="Times New Roman"/>
          <w:sz w:val="24"/>
          <w:szCs w:val="24"/>
        </w:rPr>
        <w:t xml:space="preserve"> et al., 2022). Institutional investors often promote higher envir</w:t>
      </w:r>
      <w:r>
        <w:rPr>
          <w:rFonts w:ascii="Times New Roman" w:hAnsi="Times New Roman" w:cs="Times New Roman"/>
          <w:sz w:val="24"/>
          <w:szCs w:val="24"/>
        </w:rPr>
        <w:t xml:space="preserve">onmental, social, and governance (ESG) standards and encourage prudent risk management. In banking sectors, especially within emerging economies, their monitoring </w:t>
      </w:r>
      <w:r>
        <w:rPr>
          <w:rFonts w:ascii="Times New Roman" w:hAnsi="Times New Roman" w:cs="Times New Roman"/>
          <w:sz w:val="24"/>
          <w:szCs w:val="24"/>
        </w:rPr>
        <w:lastRenderedPageBreak/>
        <w:t>role can compensate for weak regulatory enforcement by promoting financial discipline and str</w:t>
      </w:r>
      <w:r>
        <w:rPr>
          <w:rFonts w:ascii="Times New Roman" w:hAnsi="Times New Roman" w:cs="Times New Roman"/>
          <w:sz w:val="24"/>
          <w:szCs w:val="24"/>
        </w:rPr>
        <w:t>ategic accountability.</w:t>
      </w:r>
    </w:p>
    <w:p w:rsidR="00477E52" w:rsidRDefault="009243C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2.1.3 Capital Adequacy </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Capital adequacy refers to the ability of a bank to maintain sufficient capital to absorb unexpected losses, protect depositors, and ensure financial stability. It is a core prudential requirement in the banki</w:t>
      </w:r>
      <w:r>
        <w:rPr>
          <w:rFonts w:ascii="Times New Roman" w:hAnsi="Times New Roman" w:cs="Times New Roman"/>
          <w:sz w:val="24"/>
          <w:szCs w:val="24"/>
        </w:rPr>
        <w:t>ng industry and serves as a measure of a bank’s financial strength and resilience against credit, market, and operational risks. The Capital Adequacy Ratio (CAR) is the standard metric used to assess this strength, calculated as the ratio of a bank’s total</w:t>
      </w:r>
      <w:r>
        <w:rPr>
          <w:rFonts w:ascii="Times New Roman" w:hAnsi="Times New Roman" w:cs="Times New Roman"/>
          <w:sz w:val="24"/>
          <w:szCs w:val="24"/>
        </w:rPr>
        <w:t xml:space="preserve"> regulatory capital (Tier 1 and Tier 2 capital) to its risk-weighted assets. Under Basel regulatory frameworks (Basel II and III), banks are required to maintain minimum capital thresholds to safeguard systemic stability and promote confidence in the finan</w:t>
      </w:r>
      <w:r>
        <w:rPr>
          <w:rFonts w:ascii="Times New Roman" w:hAnsi="Times New Roman" w:cs="Times New Roman"/>
          <w:sz w:val="24"/>
          <w:szCs w:val="24"/>
        </w:rPr>
        <w:t xml:space="preserve">cial system. In Nigeria, the Central Bank of Nigeria (CBN) enforces capital adequacy requirements to ensure that </w:t>
      </w:r>
      <w:r>
        <w:rPr>
          <w:rFonts w:ascii="Times New Roman" w:hAnsi="Times New Roman" w:cs="Times New Roman"/>
          <w:sz w:val="24"/>
          <w:szCs w:val="24"/>
          <w:lang w:val="en-US"/>
        </w:rPr>
        <w:t xml:space="preserve">commercial </w:t>
      </w:r>
      <w:r>
        <w:rPr>
          <w:rFonts w:ascii="Times New Roman" w:hAnsi="Times New Roman" w:cs="Times New Roman"/>
          <w:sz w:val="24"/>
          <w:szCs w:val="24"/>
        </w:rPr>
        <w:t>banks remain solvent and capable of withstanding economic shocks.</w:t>
      </w:r>
    </w:p>
    <w:p w:rsidR="00477E52" w:rsidRDefault="009243CD">
      <w:pPr>
        <w:spacing w:line="240" w:lineRule="auto"/>
        <w:jc w:val="both"/>
        <w:rPr>
          <w:rFonts w:ascii="Times New Roman" w:hAnsi="Times New Roman" w:cs="Times New Roman"/>
          <w:b/>
          <w:sz w:val="24"/>
          <w:szCs w:val="24"/>
        </w:rPr>
      </w:pPr>
      <w:r>
        <w:rPr>
          <w:rFonts w:ascii="Times New Roman" w:hAnsi="Times New Roman" w:cs="Times New Roman"/>
          <w:b/>
          <w:sz w:val="24"/>
          <w:szCs w:val="24"/>
        </w:rPr>
        <w:t>2.2 Empirical Studies Review</w:t>
      </w:r>
      <w:r>
        <w:rPr>
          <w:rFonts w:ascii="Times New Roman" w:hAnsi="Times New Roman" w:cs="Times New Roman"/>
          <w:b/>
          <w:sz w:val="24"/>
          <w:szCs w:val="24"/>
          <w:lang w:val="en-US"/>
        </w:rPr>
        <w:t xml:space="preserve"> </w:t>
      </w:r>
      <w:proofErr w:type="gramStart"/>
      <w:r>
        <w:rPr>
          <w:rFonts w:ascii="Times New Roman" w:hAnsi="Times New Roman" w:cs="Times New Roman"/>
          <w:b/>
          <w:sz w:val="24"/>
          <w:szCs w:val="24"/>
          <w:lang w:val="en-US"/>
        </w:rPr>
        <w:t>And</w:t>
      </w:r>
      <w:proofErr w:type="gramEnd"/>
      <w:r>
        <w:rPr>
          <w:rFonts w:ascii="Times New Roman" w:hAnsi="Times New Roman" w:cs="Times New Roman"/>
          <w:b/>
          <w:sz w:val="24"/>
          <w:szCs w:val="24"/>
          <w:lang w:val="en-US"/>
        </w:rPr>
        <w:t xml:space="preserve"> Hypothesis Formulation</w:t>
      </w:r>
      <w:r>
        <w:rPr>
          <w:rFonts w:ascii="Times New Roman" w:hAnsi="Times New Roman" w:cs="Times New Roman"/>
          <w:b/>
          <w:sz w:val="24"/>
          <w:szCs w:val="24"/>
        </w:rPr>
        <w:t xml:space="preserve"> </w:t>
      </w:r>
    </w:p>
    <w:p w:rsidR="00477E52" w:rsidRDefault="009243CD">
      <w:pPr>
        <w:spacing w:line="240" w:lineRule="auto"/>
        <w:jc w:val="both"/>
        <w:rPr>
          <w:rFonts w:ascii="Times New Roman" w:hAnsi="Times New Roman" w:cs="Times New Roman"/>
          <w:b/>
          <w:sz w:val="24"/>
          <w:szCs w:val="24"/>
        </w:rPr>
      </w:pPr>
      <w:r>
        <w:rPr>
          <w:rFonts w:ascii="Times New Roman" w:hAnsi="Times New Roman" w:cs="Times New Roman"/>
          <w:b/>
          <w:sz w:val="24"/>
          <w:szCs w:val="24"/>
        </w:rPr>
        <w:t>2.2.1 Man</w:t>
      </w:r>
      <w:r>
        <w:rPr>
          <w:rFonts w:ascii="Times New Roman" w:hAnsi="Times New Roman" w:cs="Times New Roman"/>
          <w:b/>
          <w:sz w:val="24"/>
          <w:szCs w:val="24"/>
        </w:rPr>
        <w:t>agerial Ownership and Firm Value</w:t>
      </w:r>
    </w:p>
    <w:p w:rsidR="00477E52" w:rsidRDefault="009243CD">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Purnomo</w:t>
      </w:r>
      <w:proofErr w:type="spellEnd"/>
      <w:r>
        <w:rPr>
          <w:rFonts w:ascii="Times New Roman" w:hAnsi="Times New Roman" w:cs="Times New Roman"/>
          <w:sz w:val="24"/>
          <w:szCs w:val="24"/>
        </w:rPr>
        <w:t xml:space="preserve"> et al. (2025) examined the relationship between managerial ownership and financial performance among 380 firms listed on the Indonesia Stock Exchange (2021–2023) using Pooled OLS, with DWH and Robust Least Squares t</w:t>
      </w:r>
      <w:r>
        <w:rPr>
          <w:rFonts w:ascii="Times New Roman" w:hAnsi="Times New Roman" w:cs="Times New Roman"/>
          <w:sz w:val="24"/>
          <w:szCs w:val="24"/>
        </w:rPr>
        <w:t xml:space="preserve">ests to address </w:t>
      </w:r>
      <w:proofErr w:type="spellStart"/>
      <w:r>
        <w:rPr>
          <w:rFonts w:ascii="Times New Roman" w:hAnsi="Times New Roman" w:cs="Times New Roman"/>
          <w:sz w:val="24"/>
          <w:szCs w:val="24"/>
        </w:rPr>
        <w:t>endogeneity</w:t>
      </w:r>
      <w:proofErr w:type="spellEnd"/>
      <w:r>
        <w:rPr>
          <w:rFonts w:ascii="Times New Roman" w:hAnsi="Times New Roman" w:cs="Times New Roman"/>
          <w:sz w:val="24"/>
          <w:szCs w:val="24"/>
        </w:rPr>
        <w:t xml:space="preserve"> and robustness. The study found a positive effect of managerial ownership on financial performance. However, the findings are based on firms across diverse industries within a Sharia-based institutional environment, which differ</w:t>
      </w:r>
      <w:r>
        <w:rPr>
          <w:rFonts w:ascii="Times New Roman" w:hAnsi="Times New Roman" w:cs="Times New Roman"/>
          <w:sz w:val="24"/>
          <w:szCs w:val="24"/>
        </w:rPr>
        <w:t>s substantially from Nigeria’s secular and highly regulated banking sector, thereby limiting direct generalization.</w:t>
      </w:r>
    </w:p>
    <w:p w:rsidR="00477E52" w:rsidRDefault="009243CD">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Fawwaz</w:t>
      </w:r>
      <w:proofErr w:type="spellEnd"/>
      <w:r>
        <w:rPr>
          <w:rFonts w:ascii="Times New Roman" w:hAnsi="Times New Roman" w:cs="Times New Roman"/>
          <w:sz w:val="24"/>
          <w:szCs w:val="24"/>
        </w:rPr>
        <w:t xml:space="preserve"> and Char-Lee (2024) investigated ownership concentration and firm performance in 158 Jordanian firms (2015–2021) using GMM </w:t>
      </w:r>
      <w:r>
        <w:rPr>
          <w:rFonts w:ascii="Times New Roman" w:hAnsi="Times New Roman" w:cs="Times New Roman"/>
          <w:sz w:val="24"/>
          <w:szCs w:val="24"/>
        </w:rPr>
        <w:t>estimation. The results showed a strong positive relationship between ownership concentration and both ROA and Tobin’s Q, suggesting improved monitoring under concentrated ownership. However, the study aggregates ownership forms and does not isolate manage</w:t>
      </w:r>
      <w:r>
        <w:rPr>
          <w:rFonts w:ascii="Times New Roman" w:hAnsi="Times New Roman" w:cs="Times New Roman"/>
          <w:sz w:val="24"/>
          <w:szCs w:val="24"/>
        </w:rPr>
        <w:t>rial ownership specifically within the banking sector. Additionally, differences in regulatory and capital market structures between Jordan and Nigeria may produce varying governance outcomes.</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Musa (2024) </w:t>
      </w:r>
      <w:proofErr w:type="spellStart"/>
      <w:r>
        <w:rPr>
          <w:rFonts w:ascii="Times New Roman" w:hAnsi="Times New Roman" w:cs="Times New Roman"/>
          <w:sz w:val="24"/>
          <w:szCs w:val="24"/>
        </w:rPr>
        <w:t>analyzed</w:t>
      </w:r>
      <w:proofErr w:type="spellEnd"/>
      <w:r>
        <w:rPr>
          <w:rFonts w:ascii="Times New Roman" w:hAnsi="Times New Roman" w:cs="Times New Roman"/>
          <w:sz w:val="24"/>
          <w:szCs w:val="24"/>
        </w:rPr>
        <w:t xml:space="preserve"> the effect of managerial ownership on envi</w:t>
      </w:r>
      <w:r>
        <w:rPr>
          <w:rFonts w:ascii="Times New Roman" w:hAnsi="Times New Roman" w:cs="Times New Roman"/>
          <w:sz w:val="24"/>
          <w:szCs w:val="24"/>
        </w:rPr>
        <w:t>ronmental disclosure among 95 Nigerian listed firms (2012–2022) using panel regression. The findings were inconclusive, revealing no clear link between managerial ownership and sustainability reporting. Although geographically relevant, the study focuses o</w:t>
      </w:r>
      <w:r>
        <w:rPr>
          <w:rFonts w:ascii="Times New Roman" w:hAnsi="Times New Roman" w:cs="Times New Roman"/>
          <w:sz w:val="24"/>
          <w:szCs w:val="24"/>
        </w:rPr>
        <w:t>n environmental disclosure rather than firm value, limiting its applicability to market-based performance analysis in the banking sector.</w:t>
      </w:r>
    </w:p>
    <w:p w:rsidR="00477E52" w:rsidRDefault="009243CD">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Ismaila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Tanko</w:t>
      </w:r>
      <w:proofErr w:type="spellEnd"/>
      <w:r>
        <w:rPr>
          <w:rFonts w:ascii="Times New Roman" w:hAnsi="Times New Roman" w:cs="Times New Roman"/>
          <w:sz w:val="24"/>
          <w:szCs w:val="24"/>
        </w:rPr>
        <w:t xml:space="preserve"> (2024) examined managerial ownership and financial performance in 24 Nigerian deposit money banks (2</w:t>
      </w:r>
      <w:r>
        <w:rPr>
          <w:rFonts w:ascii="Times New Roman" w:hAnsi="Times New Roman" w:cs="Times New Roman"/>
          <w:sz w:val="24"/>
          <w:szCs w:val="24"/>
        </w:rPr>
        <w:t xml:space="preserve">013–2022) using multiple regression. The study found a negative and significant impact of managerial ownership on ROA. However, the reliance on an accounting-based measure (ROA) does not capture market valuation effects, and the study does not distinguish </w:t>
      </w:r>
      <w:r>
        <w:rPr>
          <w:rFonts w:ascii="Times New Roman" w:hAnsi="Times New Roman" w:cs="Times New Roman"/>
          <w:sz w:val="24"/>
          <w:szCs w:val="24"/>
        </w:rPr>
        <w:t>broader board-level ownership from executive holdings, thereby necessitating further examination using Tobin’s Q.</w:t>
      </w:r>
    </w:p>
    <w:p w:rsidR="00477E52" w:rsidRDefault="009243CD">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Ahamed</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Masum</w:t>
      </w:r>
      <w:proofErr w:type="spellEnd"/>
      <w:r>
        <w:rPr>
          <w:rFonts w:ascii="Times New Roman" w:hAnsi="Times New Roman" w:cs="Times New Roman"/>
          <w:sz w:val="24"/>
          <w:szCs w:val="24"/>
        </w:rPr>
        <w:t xml:space="preserve"> (2024) assessed managerial ownership and environmental disclosure in 55 textile firms using cross-sectional regression </w:t>
      </w:r>
      <w:r>
        <w:rPr>
          <w:rFonts w:ascii="Times New Roman" w:hAnsi="Times New Roman" w:cs="Times New Roman"/>
          <w:sz w:val="24"/>
          <w:szCs w:val="24"/>
        </w:rPr>
        <w:t>analysis grounded in agency and stakeholder theories. The results indicated no significant relationship. Nonetheless, the focus on a non-</w:t>
      </w:r>
      <w:r>
        <w:rPr>
          <w:rFonts w:ascii="Times New Roman" w:hAnsi="Times New Roman" w:cs="Times New Roman"/>
          <w:sz w:val="24"/>
          <w:szCs w:val="24"/>
        </w:rPr>
        <w:lastRenderedPageBreak/>
        <w:t>financial performance indicator and a manufacturing sector limits relevance to Nigerian banking institutions, highlight</w:t>
      </w:r>
      <w:r>
        <w:rPr>
          <w:rFonts w:ascii="Times New Roman" w:hAnsi="Times New Roman" w:cs="Times New Roman"/>
          <w:sz w:val="24"/>
          <w:szCs w:val="24"/>
        </w:rPr>
        <w:t xml:space="preserve">ing both </w:t>
      </w:r>
      <w:proofErr w:type="spellStart"/>
      <w:r>
        <w:rPr>
          <w:rFonts w:ascii="Times New Roman" w:hAnsi="Times New Roman" w:cs="Times New Roman"/>
          <w:sz w:val="24"/>
          <w:szCs w:val="24"/>
        </w:rPr>
        <w:t>sectoral</w:t>
      </w:r>
      <w:proofErr w:type="spellEnd"/>
      <w:r>
        <w:rPr>
          <w:rFonts w:ascii="Times New Roman" w:hAnsi="Times New Roman" w:cs="Times New Roman"/>
          <w:sz w:val="24"/>
          <w:szCs w:val="24"/>
        </w:rPr>
        <w:t xml:space="preserve"> and contextual gaps.</w:t>
      </w:r>
    </w:p>
    <w:p w:rsidR="00477E52" w:rsidRDefault="009243C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Therefore, to address these inconsistencies and contextual limitations, the present study proposes the following hypothesis: </w:t>
      </w:r>
    </w:p>
    <w:p w:rsidR="00477E52" w:rsidRDefault="009243C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H0</w:t>
      </w:r>
      <w:r>
        <w:rPr>
          <w:rFonts w:ascii="Times New Roman" w:hAnsi="Times New Roman" w:cs="Times New Roman"/>
          <w:bCs/>
          <w:sz w:val="24"/>
          <w:szCs w:val="24"/>
          <w:vertAlign w:val="subscript"/>
        </w:rPr>
        <w:t>1</w:t>
      </w:r>
      <w:r>
        <w:rPr>
          <w:rFonts w:ascii="Times New Roman" w:hAnsi="Times New Roman" w:cs="Times New Roman"/>
          <w:bCs/>
          <w:sz w:val="24"/>
          <w:szCs w:val="24"/>
        </w:rPr>
        <w:t xml:space="preserve">: </w:t>
      </w:r>
      <w:r>
        <w:rPr>
          <w:rFonts w:ascii="Times New Roman" w:hAnsi="Times New Roman" w:cs="Times New Roman"/>
          <w:sz w:val="24"/>
          <w:szCs w:val="24"/>
        </w:rPr>
        <w:t xml:space="preserve">Managerial ownership has no significant effect on the value of listed </w:t>
      </w:r>
      <w:proofErr w:type="gramStart"/>
      <w:r>
        <w:rPr>
          <w:rFonts w:ascii="Times New Roman" w:hAnsi="Times New Roman" w:cs="Times New Roman"/>
          <w:sz w:val="24"/>
          <w:szCs w:val="24"/>
          <w:lang w:val="en-US"/>
        </w:rPr>
        <w:t xml:space="preserve">commercial </w:t>
      </w:r>
      <w:r>
        <w:rPr>
          <w:rFonts w:ascii="Times New Roman" w:hAnsi="Times New Roman" w:cs="Times New Roman"/>
          <w:bCs/>
          <w:sz w:val="24"/>
          <w:szCs w:val="24"/>
        </w:rPr>
        <w:t xml:space="preserve"> bank</w:t>
      </w:r>
      <w:r>
        <w:rPr>
          <w:rFonts w:ascii="Times New Roman" w:hAnsi="Times New Roman" w:cs="Times New Roman"/>
          <w:bCs/>
          <w:sz w:val="24"/>
          <w:szCs w:val="24"/>
        </w:rPr>
        <w:t>s</w:t>
      </w:r>
      <w:proofErr w:type="gramEnd"/>
      <w:r>
        <w:rPr>
          <w:rFonts w:ascii="Times New Roman" w:hAnsi="Times New Roman" w:cs="Times New Roman"/>
          <w:bCs/>
          <w:sz w:val="24"/>
          <w:szCs w:val="24"/>
        </w:rPr>
        <w:t xml:space="preserve"> in Nigeria. </w:t>
      </w:r>
    </w:p>
    <w:p w:rsidR="00477E52" w:rsidRDefault="009243CD">
      <w:pPr>
        <w:spacing w:line="240" w:lineRule="auto"/>
        <w:jc w:val="both"/>
        <w:rPr>
          <w:rFonts w:ascii="Times New Roman" w:hAnsi="Times New Roman" w:cs="Times New Roman"/>
          <w:b/>
          <w:sz w:val="24"/>
          <w:szCs w:val="24"/>
        </w:rPr>
      </w:pPr>
      <w:r>
        <w:rPr>
          <w:rFonts w:ascii="Times New Roman" w:hAnsi="Times New Roman" w:cs="Times New Roman"/>
          <w:b/>
          <w:sz w:val="24"/>
          <w:szCs w:val="24"/>
        </w:rPr>
        <w:t>2.2.2 Foreign Ownership and Firm Value</w:t>
      </w:r>
    </w:p>
    <w:p w:rsidR="00477E52" w:rsidRDefault="009243CD">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Ahamed</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Masum</w:t>
      </w:r>
      <w:proofErr w:type="spellEnd"/>
      <w:r>
        <w:rPr>
          <w:rFonts w:ascii="Times New Roman" w:hAnsi="Times New Roman" w:cs="Times New Roman"/>
          <w:sz w:val="24"/>
          <w:szCs w:val="24"/>
        </w:rPr>
        <w:t xml:space="preserve"> (2024) examined the effect of foreign ownership on environmental disclosure using a sample of 55 textile firms listed on the Dhaka Stock Exchange. Applying cross-sectional multiple regr</w:t>
      </w:r>
      <w:r>
        <w:rPr>
          <w:rFonts w:ascii="Times New Roman" w:hAnsi="Times New Roman" w:cs="Times New Roman"/>
          <w:sz w:val="24"/>
          <w:szCs w:val="24"/>
        </w:rPr>
        <w:t>ession grounded in agency and stakeholder theories, the study found that foreign ownership positively influences environmental disclosure. However, the focus on a single manufacturing sector and a non-financial performance indicator limits its applicabilit</w:t>
      </w:r>
      <w:r>
        <w:rPr>
          <w:rFonts w:ascii="Times New Roman" w:hAnsi="Times New Roman" w:cs="Times New Roman"/>
          <w:sz w:val="24"/>
          <w:szCs w:val="24"/>
        </w:rPr>
        <w:t>y to financial valuation in the banking industry. Moreover, the cross-sectional design and absence of market-based measures such as Tobin’s Q create both methodological and thematic gaps.</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Musa (2024) investigated foreign ownership and environmental disclos</w:t>
      </w:r>
      <w:r>
        <w:rPr>
          <w:rFonts w:ascii="Times New Roman" w:hAnsi="Times New Roman" w:cs="Times New Roman"/>
          <w:sz w:val="24"/>
          <w:szCs w:val="24"/>
        </w:rPr>
        <w:t>ure among 95 Nigerian listed firms from 2012 to 2022 using panel regression analysis. The study reported a significant positive relationship between foreign ownership and sustainability reporting. While geographically relevant, the emphasis on environmenta</w:t>
      </w:r>
      <w:r>
        <w:rPr>
          <w:rFonts w:ascii="Times New Roman" w:hAnsi="Times New Roman" w:cs="Times New Roman"/>
          <w:sz w:val="24"/>
          <w:szCs w:val="24"/>
        </w:rPr>
        <w:t>l disclosure rather than firm value restricts its contribution to understanding market-based performance. Additionally, the study does not isolate the banking sector, leaving unanswered questions about how foreign ownership affects financial valuation in N</w:t>
      </w:r>
      <w:r>
        <w:rPr>
          <w:rFonts w:ascii="Times New Roman" w:hAnsi="Times New Roman" w:cs="Times New Roman"/>
          <w:sz w:val="24"/>
          <w:szCs w:val="24"/>
        </w:rPr>
        <w:t xml:space="preserve">igerian </w:t>
      </w:r>
      <w:r>
        <w:rPr>
          <w:rFonts w:ascii="Times New Roman" w:hAnsi="Times New Roman" w:cs="Times New Roman"/>
          <w:sz w:val="24"/>
          <w:szCs w:val="24"/>
          <w:lang w:val="en-US"/>
        </w:rPr>
        <w:t xml:space="preserve">listed commercial </w:t>
      </w:r>
      <w:r>
        <w:rPr>
          <w:rFonts w:ascii="Times New Roman" w:hAnsi="Times New Roman" w:cs="Times New Roman"/>
          <w:sz w:val="24"/>
          <w:szCs w:val="24"/>
        </w:rPr>
        <w:t>banks.</w:t>
      </w:r>
    </w:p>
    <w:p w:rsidR="00477E52" w:rsidRDefault="009243CD">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Fawwaz</w:t>
      </w:r>
      <w:proofErr w:type="spellEnd"/>
      <w:r>
        <w:rPr>
          <w:rFonts w:ascii="Times New Roman" w:hAnsi="Times New Roman" w:cs="Times New Roman"/>
          <w:sz w:val="24"/>
          <w:szCs w:val="24"/>
        </w:rPr>
        <w:t xml:space="preserve"> and Char-Lee (2024) </w:t>
      </w:r>
      <w:proofErr w:type="spellStart"/>
      <w:r>
        <w:rPr>
          <w:rFonts w:ascii="Times New Roman" w:hAnsi="Times New Roman" w:cs="Times New Roman"/>
          <w:sz w:val="24"/>
          <w:szCs w:val="24"/>
        </w:rPr>
        <w:t>analyzed</w:t>
      </w:r>
      <w:proofErr w:type="spellEnd"/>
      <w:r>
        <w:rPr>
          <w:rFonts w:ascii="Times New Roman" w:hAnsi="Times New Roman" w:cs="Times New Roman"/>
          <w:sz w:val="24"/>
          <w:szCs w:val="24"/>
        </w:rPr>
        <w:t xml:space="preserve"> foreign ownership and firm performance in 158 Jordanian firms (2015–2021) using GMM estimation. The results showed that foreign ownership positively influences both accounting and market-</w:t>
      </w:r>
      <w:r>
        <w:rPr>
          <w:rFonts w:ascii="Times New Roman" w:hAnsi="Times New Roman" w:cs="Times New Roman"/>
          <w:sz w:val="24"/>
          <w:szCs w:val="24"/>
        </w:rPr>
        <w:t>based performance measures. However, the study spans multiple sectors and operates within a relatively investor-friendly regulatory environment, which differs from Nigeria’s more volatile institutional context. These differences may limit the generalizabil</w:t>
      </w:r>
      <w:r>
        <w:rPr>
          <w:rFonts w:ascii="Times New Roman" w:hAnsi="Times New Roman" w:cs="Times New Roman"/>
          <w:sz w:val="24"/>
          <w:szCs w:val="24"/>
        </w:rPr>
        <w:t>ity of their findings to Nigerian banks.</w:t>
      </w:r>
    </w:p>
    <w:p w:rsidR="00477E52" w:rsidRDefault="009243CD">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Ismaila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Tanko</w:t>
      </w:r>
      <w:proofErr w:type="spellEnd"/>
      <w:r>
        <w:rPr>
          <w:rFonts w:ascii="Times New Roman" w:hAnsi="Times New Roman" w:cs="Times New Roman"/>
          <w:sz w:val="24"/>
          <w:szCs w:val="24"/>
        </w:rPr>
        <w:t xml:space="preserve"> (2024) examined foreign ownership and financial performance in 24 Nigerian deposit money banks (2013–2022) using multiple regression and found a negative significant effect on ROA. However, their r</w:t>
      </w:r>
      <w:r>
        <w:rPr>
          <w:rFonts w:ascii="Times New Roman" w:hAnsi="Times New Roman" w:cs="Times New Roman"/>
          <w:sz w:val="24"/>
          <w:szCs w:val="24"/>
        </w:rPr>
        <w:t>eliance on an accounting-based measure does not capture external market valuation effects. The absence of Tobin’s Q limits insight into how foreign ownership influences investor perception and long-term firm value.</w:t>
      </w:r>
    </w:p>
    <w:p w:rsidR="00477E52" w:rsidRDefault="009243CD">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Thanapin</w:t>
      </w:r>
      <w:proofErr w:type="spellEnd"/>
      <w:r>
        <w:rPr>
          <w:rFonts w:ascii="Times New Roman" w:hAnsi="Times New Roman" w:cs="Times New Roman"/>
          <w:sz w:val="24"/>
          <w:szCs w:val="24"/>
        </w:rPr>
        <w:t xml:space="preserve"> (2023) assessed foreign ownershi</w:t>
      </w:r>
      <w:r>
        <w:rPr>
          <w:rFonts w:ascii="Times New Roman" w:hAnsi="Times New Roman" w:cs="Times New Roman"/>
          <w:sz w:val="24"/>
          <w:szCs w:val="24"/>
        </w:rPr>
        <w:t>p and firm value in 100 Thai listed firms using Tobin’s Q and multiple regression analysis, finding no significant relationship. Although methodologically aligned with the current study in using a market-based measure, the cross-sectional design and differ</w:t>
      </w:r>
      <w:r>
        <w:rPr>
          <w:rFonts w:ascii="Times New Roman" w:hAnsi="Times New Roman" w:cs="Times New Roman"/>
          <w:sz w:val="24"/>
          <w:szCs w:val="24"/>
        </w:rPr>
        <w:t xml:space="preserve">ing institutional context of Thailand reduce comparability. The study lacks longitudinal depth and does not focus on the banking sector, highlighting contextual and </w:t>
      </w:r>
      <w:proofErr w:type="spellStart"/>
      <w:r>
        <w:rPr>
          <w:rFonts w:ascii="Times New Roman" w:hAnsi="Times New Roman" w:cs="Times New Roman"/>
          <w:sz w:val="24"/>
          <w:szCs w:val="24"/>
        </w:rPr>
        <w:t>sectoral</w:t>
      </w:r>
      <w:proofErr w:type="spellEnd"/>
      <w:r>
        <w:rPr>
          <w:rFonts w:ascii="Times New Roman" w:hAnsi="Times New Roman" w:cs="Times New Roman"/>
          <w:sz w:val="24"/>
          <w:szCs w:val="24"/>
        </w:rPr>
        <w:t xml:space="preserve"> gaps.</w:t>
      </w:r>
    </w:p>
    <w:p w:rsidR="00477E52" w:rsidRDefault="009243C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Therefore, to address these inconsistencies and contextual limitations, the </w:t>
      </w:r>
      <w:r>
        <w:rPr>
          <w:rFonts w:ascii="Times New Roman" w:hAnsi="Times New Roman" w:cs="Times New Roman"/>
          <w:bCs/>
          <w:sz w:val="24"/>
          <w:szCs w:val="24"/>
        </w:rPr>
        <w:t xml:space="preserve">present study proposes the following hypothesis: </w:t>
      </w:r>
    </w:p>
    <w:p w:rsidR="00477E52" w:rsidRDefault="009243C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H0</w:t>
      </w:r>
      <w:r>
        <w:rPr>
          <w:rFonts w:ascii="Times New Roman" w:hAnsi="Times New Roman" w:cs="Times New Roman"/>
          <w:bCs/>
          <w:sz w:val="24"/>
          <w:szCs w:val="24"/>
          <w:vertAlign w:val="subscript"/>
        </w:rPr>
        <w:t>2</w:t>
      </w:r>
      <w:r>
        <w:rPr>
          <w:rFonts w:ascii="Times New Roman" w:hAnsi="Times New Roman" w:cs="Times New Roman"/>
          <w:bCs/>
          <w:sz w:val="24"/>
          <w:szCs w:val="24"/>
        </w:rPr>
        <w:t xml:space="preserve">: </w:t>
      </w:r>
      <w:r>
        <w:rPr>
          <w:rFonts w:ascii="Times New Roman" w:hAnsi="Times New Roman" w:cs="Times New Roman"/>
          <w:sz w:val="24"/>
          <w:szCs w:val="24"/>
        </w:rPr>
        <w:t xml:space="preserve">Foreign ownership has no significant effect on the value of listed </w:t>
      </w:r>
      <w:proofErr w:type="gramStart"/>
      <w:r>
        <w:rPr>
          <w:rFonts w:ascii="Times New Roman" w:hAnsi="Times New Roman" w:cs="Times New Roman"/>
          <w:sz w:val="24"/>
          <w:szCs w:val="24"/>
          <w:lang w:val="en-US"/>
        </w:rPr>
        <w:t xml:space="preserve">commercial </w:t>
      </w:r>
      <w:r>
        <w:rPr>
          <w:rFonts w:ascii="Times New Roman" w:hAnsi="Times New Roman" w:cs="Times New Roman"/>
          <w:bCs/>
          <w:sz w:val="24"/>
          <w:szCs w:val="24"/>
        </w:rPr>
        <w:t xml:space="preserve"> banks</w:t>
      </w:r>
      <w:proofErr w:type="gramEnd"/>
      <w:r>
        <w:rPr>
          <w:rFonts w:ascii="Times New Roman" w:hAnsi="Times New Roman" w:cs="Times New Roman"/>
          <w:bCs/>
          <w:sz w:val="24"/>
          <w:szCs w:val="24"/>
        </w:rPr>
        <w:t xml:space="preserve"> in Nigeria. </w:t>
      </w:r>
    </w:p>
    <w:p w:rsidR="00477E52" w:rsidRDefault="009243CD">
      <w:pPr>
        <w:spacing w:line="240" w:lineRule="auto"/>
        <w:jc w:val="both"/>
        <w:rPr>
          <w:rFonts w:ascii="Times New Roman" w:hAnsi="Times New Roman" w:cs="Times New Roman"/>
          <w:b/>
          <w:sz w:val="24"/>
          <w:szCs w:val="24"/>
        </w:rPr>
      </w:pPr>
      <w:r>
        <w:rPr>
          <w:rFonts w:ascii="Times New Roman" w:hAnsi="Times New Roman" w:cs="Times New Roman"/>
          <w:b/>
          <w:sz w:val="24"/>
          <w:szCs w:val="24"/>
        </w:rPr>
        <w:t>2.2.3 Institutional Ownership and Firm Value</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Ahmed (2025) examined the relationship between institution</w:t>
      </w:r>
      <w:r>
        <w:rPr>
          <w:rFonts w:ascii="Times New Roman" w:hAnsi="Times New Roman" w:cs="Times New Roman"/>
          <w:sz w:val="24"/>
          <w:szCs w:val="24"/>
        </w:rPr>
        <w:t>al ownership and environmental reporting using panel data from 152 listed firms (2014–2023) and random-effects regression analysis. The study found a positive and significant association between institutional ownership and ecological disclosure. Although m</w:t>
      </w:r>
      <w:r>
        <w:rPr>
          <w:rFonts w:ascii="Times New Roman" w:hAnsi="Times New Roman" w:cs="Times New Roman"/>
          <w:sz w:val="24"/>
          <w:szCs w:val="24"/>
        </w:rPr>
        <w:t>ethodologically robust, the focus on non-financial outcomes and multiple sectors limits direct inference about firm value, particularly within the regulated banking sector. The findings therefore do not directly address market-based valuation effects.</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Musa</w:t>
      </w:r>
      <w:r>
        <w:rPr>
          <w:rFonts w:ascii="Times New Roman" w:hAnsi="Times New Roman" w:cs="Times New Roman"/>
          <w:sz w:val="24"/>
          <w:szCs w:val="24"/>
        </w:rPr>
        <w:t xml:space="preserve"> (2024) investigated institutional ownership and environmental disclosure among 95 Nigerian listed firms (2012–2022) using panel regression. The study reported a significant positive relationship between institutional ownership and sustainability reporting</w:t>
      </w:r>
      <w:r>
        <w:rPr>
          <w:rFonts w:ascii="Times New Roman" w:hAnsi="Times New Roman" w:cs="Times New Roman"/>
          <w:sz w:val="24"/>
          <w:szCs w:val="24"/>
        </w:rPr>
        <w:t xml:space="preserve">. While contextually relevant to Nigeria, the emphasis on corporate environmental disclosure rather than financial performance, and the absence of sector-specific analysis, restrict its applicability to understanding firm value dynamics in </w:t>
      </w:r>
      <w:proofErr w:type="gramStart"/>
      <w:r>
        <w:rPr>
          <w:rFonts w:ascii="Times New Roman" w:hAnsi="Times New Roman" w:cs="Times New Roman"/>
          <w:sz w:val="24"/>
          <w:szCs w:val="24"/>
          <w:lang w:val="en-US"/>
        </w:rPr>
        <w:t xml:space="preserve">commercial </w:t>
      </w:r>
      <w:r>
        <w:rPr>
          <w:rFonts w:ascii="Times New Roman" w:hAnsi="Times New Roman" w:cs="Times New Roman"/>
          <w:sz w:val="24"/>
          <w:szCs w:val="24"/>
        </w:rPr>
        <w:t xml:space="preserve"> bank</w:t>
      </w:r>
      <w:r>
        <w:rPr>
          <w:rFonts w:ascii="Times New Roman" w:hAnsi="Times New Roman" w:cs="Times New Roman"/>
          <w:sz w:val="24"/>
          <w:szCs w:val="24"/>
        </w:rPr>
        <w:t>s</w:t>
      </w:r>
      <w:proofErr w:type="gramEnd"/>
      <w:r>
        <w:rPr>
          <w:rFonts w:ascii="Times New Roman" w:hAnsi="Times New Roman" w:cs="Times New Roman"/>
          <w:sz w:val="24"/>
          <w:szCs w:val="24"/>
        </w:rPr>
        <w:t>.</w:t>
      </w:r>
    </w:p>
    <w:p w:rsidR="00477E52" w:rsidRDefault="009243CD">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Fawwaz</w:t>
      </w:r>
      <w:proofErr w:type="spellEnd"/>
      <w:r>
        <w:rPr>
          <w:rFonts w:ascii="Times New Roman" w:hAnsi="Times New Roman" w:cs="Times New Roman"/>
          <w:sz w:val="24"/>
          <w:szCs w:val="24"/>
        </w:rPr>
        <w:t xml:space="preserve"> and Char-Lee (2024) </w:t>
      </w:r>
      <w:proofErr w:type="spellStart"/>
      <w:r>
        <w:rPr>
          <w:rFonts w:ascii="Times New Roman" w:hAnsi="Times New Roman" w:cs="Times New Roman"/>
          <w:sz w:val="24"/>
          <w:szCs w:val="24"/>
        </w:rPr>
        <w:t>analyzed</w:t>
      </w:r>
      <w:proofErr w:type="spellEnd"/>
      <w:r>
        <w:rPr>
          <w:rFonts w:ascii="Times New Roman" w:hAnsi="Times New Roman" w:cs="Times New Roman"/>
          <w:sz w:val="24"/>
          <w:szCs w:val="24"/>
        </w:rPr>
        <w:t xml:space="preserve"> institutional ownership and firm performance in 158 Jordanian firms (2015–2021) using GMM estimation. The results showed a significant positive relationship between institutional ownership and Tobin’s Q, though no sig</w:t>
      </w:r>
      <w:r>
        <w:rPr>
          <w:rFonts w:ascii="Times New Roman" w:hAnsi="Times New Roman" w:cs="Times New Roman"/>
          <w:sz w:val="24"/>
          <w:szCs w:val="24"/>
        </w:rPr>
        <w:t>nificant effect was found on ROA. Despite employing a market-based measure, the study spans multiple sectors and operates within a more mature governance environment than Nigeria’s, potentially limiting generalizability to Nigerian banks where institutiona</w:t>
      </w:r>
      <w:r>
        <w:rPr>
          <w:rFonts w:ascii="Times New Roman" w:hAnsi="Times New Roman" w:cs="Times New Roman"/>
          <w:sz w:val="24"/>
          <w:szCs w:val="24"/>
        </w:rPr>
        <w:t>l activism may differ.</w:t>
      </w:r>
    </w:p>
    <w:p w:rsidR="00477E52" w:rsidRDefault="009243CD">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Ahamed</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Masum</w:t>
      </w:r>
      <w:proofErr w:type="spellEnd"/>
      <w:r>
        <w:rPr>
          <w:rFonts w:ascii="Times New Roman" w:hAnsi="Times New Roman" w:cs="Times New Roman"/>
          <w:sz w:val="24"/>
          <w:szCs w:val="24"/>
        </w:rPr>
        <w:t xml:space="preserve"> (2024) assessed institutional ownership and environmental disclosure in 55 textile firms using cross-sectional regression grounded in agency and stakeholder theories. The findings indicated a positive relationship. H</w:t>
      </w:r>
      <w:r>
        <w:rPr>
          <w:rFonts w:ascii="Times New Roman" w:hAnsi="Times New Roman" w:cs="Times New Roman"/>
          <w:sz w:val="24"/>
          <w:szCs w:val="24"/>
        </w:rPr>
        <w:t xml:space="preserve">owever, the </w:t>
      </w:r>
      <w:proofErr w:type="spellStart"/>
      <w:r>
        <w:rPr>
          <w:rFonts w:ascii="Times New Roman" w:hAnsi="Times New Roman" w:cs="Times New Roman"/>
          <w:sz w:val="24"/>
          <w:szCs w:val="24"/>
        </w:rPr>
        <w:t>sectoral</w:t>
      </w:r>
      <w:proofErr w:type="spellEnd"/>
      <w:r>
        <w:rPr>
          <w:rFonts w:ascii="Times New Roman" w:hAnsi="Times New Roman" w:cs="Times New Roman"/>
          <w:sz w:val="24"/>
          <w:szCs w:val="24"/>
        </w:rPr>
        <w:t xml:space="preserve"> focus on manufacturing and reliance on non-financial performance indicators limit its relevance to financial institutions and long-term valuation analysis.</w:t>
      </w:r>
    </w:p>
    <w:p w:rsidR="00477E52" w:rsidRDefault="009243CD">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Ismaila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Tanko</w:t>
      </w:r>
      <w:proofErr w:type="spellEnd"/>
      <w:r>
        <w:rPr>
          <w:rFonts w:ascii="Times New Roman" w:hAnsi="Times New Roman" w:cs="Times New Roman"/>
          <w:sz w:val="24"/>
          <w:szCs w:val="24"/>
        </w:rPr>
        <w:t xml:space="preserve"> (2024) examined institutional ownership and financial perform</w:t>
      </w:r>
      <w:r>
        <w:rPr>
          <w:rFonts w:ascii="Times New Roman" w:hAnsi="Times New Roman" w:cs="Times New Roman"/>
          <w:sz w:val="24"/>
          <w:szCs w:val="24"/>
        </w:rPr>
        <w:t>ance in 24 Nigerian deposit money banks (2013–2022) using multiple regression and found a negative significant impact on ROA. Although directly focused on Nigerian banks, the use of an accounting-based measure does not capture external market valuation eff</w:t>
      </w:r>
      <w:r>
        <w:rPr>
          <w:rFonts w:ascii="Times New Roman" w:hAnsi="Times New Roman" w:cs="Times New Roman"/>
          <w:sz w:val="24"/>
          <w:szCs w:val="24"/>
        </w:rPr>
        <w:t xml:space="preserve">ects. By employing Tobin’s Q, the current study extends this literature to evaluate how institutional ownership influences market-based firm value. </w:t>
      </w:r>
    </w:p>
    <w:p w:rsidR="00477E52" w:rsidRDefault="009243C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Therefore, to address these empirical inconsistencies and contextual limitations, the present study propose</w:t>
      </w:r>
      <w:r>
        <w:rPr>
          <w:rFonts w:ascii="Times New Roman" w:hAnsi="Times New Roman" w:cs="Times New Roman"/>
          <w:bCs/>
          <w:sz w:val="24"/>
          <w:szCs w:val="24"/>
        </w:rPr>
        <w:t xml:space="preserve">s the following hypothesis: </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H0</w:t>
      </w:r>
      <w:r>
        <w:rPr>
          <w:rFonts w:ascii="Times New Roman" w:hAnsi="Times New Roman" w:cs="Times New Roman"/>
          <w:sz w:val="24"/>
          <w:szCs w:val="24"/>
          <w:vertAlign w:val="subscript"/>
        </w:rPr>
        <w:t>3</w:t>
      </w:r>
      <w:r>
        <w:rPr>
          <w:rFonts w:ascii="Times New Roman" w:hAnsi="Times New Roman" w:cs="Times New Roman"/>
          <w:sz w:val="24"/>
          <w:szCs w:val="24"/>
        </w:rPr>
        <w:t xml:space="preserve">: Institutional ownership has no significant effect on the value of listed </w:t>
      </w:r>
      <w:r>
        <w:rPr>
          <w:rFonts w:ascii="Times New Roman" w:hAnsi="Times New Roman" w:cs="Times New Roman"/>
          <w:sz w:val="24"/>
          <w:szCs w:val="24"/>
          <w:lang w:val="en-US"/>
        </w:rPr>
        <w:t xml:space="preserve">commercial </w:t>
      </w:r>
      <w:r>
        <w:rPr>
          <w:rFonts w:ascii="Times New Roman" w:hAnsi="Times New Roman" w:cs="Times New Roman"/>
          <w:sz w:val="24"/>
          <w:szCs w:val="24"/>
        </w:rPr>
        <w:t>banks in Nigeria.</w:t>
      </w:r>
    </w:p>
    <w:p w:rsidR="00477E52" w:rsidRDefault="009243CD">
      <w:pPr>
        <w:spacing w:line="240" w:lineRule="auto"/>
        <w:jc w:val="both"/>
        <w:rPr>
          <w:rFonts w:ascii="Times New Roman" w:hAnsi="Times New Roman" w:cs="Times New Roman"/>
          <w:b/>
          <w:sz w:val="24"/>
          <w:szCs w:val="24"/>
        </w:rPr>
      </w:pPr>
      <w:r>
        <w:rPr>
          <w:rFonts w:ascii="Times New Roman" w:hAnsi="Times New Roman" w:cs="Times New Roman"/>
          <w:b/>
          <w:sz w:val="24"/>
          <w:szCs w:val="24"/>
        </w:rPr>
        <w:t>2.2.4 Capital Adequacy and Firm Value</w:t>
      </w:r>
    </w:p>
    <w:p w:rsidR="00477E52" w:rsidRDefault="009243CD">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Okeke</w:t>
      </w:r>
      <w:proofErr w:type="spellEnd"/>
      <w:r>
        <w:rPr>
          <w:rFonts w:ascii="Times New Roman" w:hAnsi="Times New Roman" w:cs="Times New Roman"/>
          <w:sz w:val="24"/>
          <w:szCs w:val="24"/>
        </w:rPr>
        <w:t xml:space="preserve"> et al. (2025) examined the effect of capital adequacy on the profitability </w:t>
      </w:r>
      <w:r>
        <w:rPr>
          <w:rFonts w:ascii="Times New Roman" w:hAnsi="Times New Roman" w:cs="Times New Roman"/>
          <w:sz w:val="24"/>
          <w:szCs w:val="24"/>
        </w:rPr>
        <w:t>of Nigerian deposit money banks (2010–2023) using OLS regression and secondary data from the CBN and audited financial statements. The study found that capital adequacy ratio has a positive but statistically insignificant effect on profitability (ROA), alo</w:t>
      </w:r>
      <w:r>
        <w:rPr>
          <w:rFonts w:ascii="Times New Roman" w:hAnsi="Times New Roman" w:cs="Times New Roman"/>
          <w:sz w:val="24"/>
          <w:szCs w:val="24"/>
        </w:rPr>
        <w:t>ngside other largely insignificant banking ratios. Although sector-specific and longitudinal, the study treats capital adequacy as a direct predictor of accounting performance rather than as a moderating variable. Its reliance on ROA and absence of market-</w:t>
      </w:r>
      <w:r>
        <w:rPr>
          <w:rFonts w:ascii="Times New Roman" w:hAnsi="Times New Roman" w:cs="Times New Roman"/>
          <w:sz w:val="24"/>
          <w:szCs w:val="24"/>
        </w:rPr>
        <w:t>based measures such as Tobin’s Q limit insights into valuation effects, thereby leaving a gap that the current study addresses by examining the moderating role of capital adequacy in the ownership-firm value relationship.</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John, et al. (2025) examined how c</w:t>
      </w:r>
      <w:r>
        <w:rPr>
          <w:rFonts w:ascii="Times New Roman" w:hAnsi="Times New Roman" w:cs="Times New Roman"/>
          <w:sz w:val="24"/>
          <w:szCs w:val="24"/>
        </w:rPr>
        <w:t>redit default components influence capital adequacy among 13 Nigerian quoted deposit money banks (2011-2023) using panel regression. While the study is sector-specific and contextually relevant, it treats capital adequacy strictly as a dependent variable r</w:t>
      </w:r>
      <w:r>
        <w:rPr>
          <w:rFonts w:ascii="Times New Roman" w:hAnsi="Times New Roman" w:cs="Times New Roman"/>
          <w:sz w:val="24"/>
          <w:szCs w:val="24"/>
        </w:rPr>
        <w:t>ather than examining its interaction with governance or valuation outcomes. The study does not assess how capital adequacy conditions the relationship between ownership structure and firm value. Consequently, although it strengthens understanding of capita</w:t>
      </w:r>
      <w:r>
        <w:rPr>
          <w:rFonts w:ascii="Times New Roman" w:hAnsi="Times New Roman" w:cs="Times New Roman"/>
          <w:sz w:val="24"/>
          <w:szCs w:val="24"/>
        </w:rPr>
        <w:t>l determinants, it does not address the moderating role of capital adequacy in governance–value dynamics, which is central to the current study.</w:t>
      </w:r>
    </w:p>
    <w:p w:rsidR="00477E52" w:rsidRDefault="009243CD">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Awwad</w:t>
      </w:r>
      <w:proofErr w:type="spellEnd"/>
      <w:r>
        <w:rPr>
          <w:rFonts w:ascii="Times New Roman" w:hAnsi="Times New Roman" w:cs="Times New Roman"/>
          <w:sz w:val="24"/>
          <w:szCs w:val="24"/>
        </w:rPr>
        <w:t xml:space="preserve"> (2023) investigated the relationship between capital adequacy and profitability in Palestinian banks and </w:t>
      </w:r>
      <w:r>
        <w:rPr>
          <w:rFonts w:ascii="Times New Roman" w:hAnsi="Times New Roman" w:cs="Times New Roman"/>
          <w:sz w:val="24"/>
          <w:szCs w:val="24"/>
        </w:rPr>
        <w:t>reported a negative association with ROA. However, capital adequacy was treated as an independent predictor of performance rather than a conditioning variable. The study does not explore whether capital strength alters the effectiveness of ownership or gov</w:t>
      </w:r>
      <w:r>
        <w:rPr>
          <w:rFonts w:ascii="Times New Roman" w:hAnsi="Times New Roman" w:cs="Times New Roman"/>
          <w:sz w:val="24"/>
          <w:szCs w:val="24"/>
        </w:rPr>
        <w:t>ernance mechanisms. Additionally, reliance on ROA limits inference about market-based valuation effects, and contextual differences reduce direct applicability to Nigeria’s banking sector.</w:t>
      </w:r>
    </w:p>
    <w:p w:rsidR="00477E52" w:rsidRDefault="009243CD">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Ezu</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(2023) reported both direct and inverse linear effects </w:t>
      </w:r>
      <w:r>
        <w:rPr>
          <w:rFonts w:ascii="Times New Roman" w:hAnsi="Times New Roman" w:cs="Times New Roman"/>
          <w:sz w:val="24"/>
          <w:szCs w:val="24"/>
        </w:rPr>
        <w:t>of capital adequacy on bank performance using OLS regression. Although the study highlights the complex influence of capital structure variables, it treats capital adequacy as an explanatory variable rather than a moderating mechanism. It does not investig</w:t>
      </w:r>
      <w:r>
        <w:rPr>
          <w:rFonts w:ascii="Times New Roman" w:hAnsi="Times New Roman" w:cs="Times New Roman"/>
          <w:sz w:val="24"/>
          <w:szCs w:val="24"/>
        </w:rPr>
        <w:t>ate whether capital buffers strengthen or weaken governance effects on valuation outcomes, nor does it employ a market-based measure such as Tobin’s Q.</w:t>
      </w:r>
    </w:p>
    <w:p w:rsidR="00477E52" w:rsidRDefault="009243CD">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Abdulai</w:t>
      </w:r>
      <w:proofErr w:type="spellEnd"/>
      <w:r>
        <w:rPr>
          <w:rFonts w:ascii="Times New Roman" w:hAnsi="Times New Roman" w:cs="Times New Roman"/>
          <w:sz w:val="24"/>
          <w:szCs w:val="24"/>
        </w:rPr>
        <w:t xml:space="preserve"> and Umar (2022) documented a positive relationship between capital adequacy and profitability in</w:t>
      </w:r>
      <w:r>
        <w:rPr>
          <w:rFonts w:ascii="Times New Roman" w:hAnsi="Times New Roman" w:cs="Times New Roman"/>
          <w:sz w:val="24"/>
          <w:szCs w:val="24"/>
        </w:rPr>
        <w:t xml:space="preserve"> Ghanaian banks. However, similar to other studies, capital adequacy is </w:t>
      </w:r>
      <w:proofErr w:type="spellStart"/>
      <w:r>
        <w:rPr>
          <w:rFonts w:ascii="Times New Roman" w:hAnsi="Times New Roman" w:cs="Times New Roman"/>
          <w:sz w:val="24"/>
          <w:szCs w:val="24"/>
        </w:rPr>
        <w:t>modeled</w:t>
      </w:r>
      <w:proofErr w:type="spellEnd"/>
      <w:r>
        <w:rPr>
          <w:rFonts w:ascii="Times New Roman" w:hAnsi="Times New Roman" w:cs="Times New Roman"/>
          <w:sz w:val="24"/>
          <w:szCs w:val="24"/>
        </w:rPr>
        <w:t xml:space="preserve"> as a direct predictor of ROA, without consideration of interaction effects. The study does not assess whether capital strength modifies the impact of ownership structure on fir</w:t>
      </w:r>
      <w:r>
        <w:rPr>
          <w:rFonts w:ascii="Times New Roman" w:hAnsi="Times New Roman" w:cs="Times New Roman"/>
          <w:sz w:val="24"/>
          <w:szCs w:val="24"/>
        </w:rPr>
        <w:t>m value, which represents the key contribution of the present research.</w:t>
      </w:r>
    </w:p>
    <w:p w:rsidR="00477E52" w:rsidRDefault="009243C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Therefore, to address these empirical inconsistencies and conceptual limitations, the present study proposes the following hypothesis: </w:t>
      </w:r>
    </w:p>
    <w:p w:rsidR="00477E52" w:rsidRDefault="009243C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H0</w:t>
      </w:r>
      <w:r>
        <w:rPr>
          <w:rFonts w:ascii="Times New Roman" w:hAnsi="Times New Roman" w:cs="Times New Roman"/>
          <w:bCs/>
          <w:sz w:val="24"/>
          <w:szCs w:val="24"/>
          <w:vertAlign w:val="subscript"/>
        </w:rPr>
        <w:t>4</w:t>
      </w:r>
      <w:r>
        <w:rPr>
          <w:rFonts w:ascii="Times New Roman" w:hAnsi="Times New Roman" w:cs="Times New Roman"/>
          <w:bCs/>
          <w:sz w:val="24"/>
          <w:szCs w:val="24"/>
        </w:rPr>
        <w:t xml:space="preserve">: </w:t>
      </w:r>
      <w:r>
        <w:rPr>
          <w:rFonts w:ascii="Times New Roman" w:hAnsi="Times New Roman" w:cs="Times New Roman"/>
          <w:sz w:val="24"/>
          <w:szCs w:val="24"/>
        </w:rPr>
        <w:t>Capital adequacy ratio has no significant e</w:t>
      </w:r>
      <w:r>
        <w:rPr>
          <w:rFonts w:ascii="Times New Roman" w:hAnsi="Times New Roman" w:cs="Times New Roman"/>
          <w:sz w:val="24"/>
          <w:szCs w:val="24"/>
        </w:rPr>
        <w:t xml:space="preserve">ffect on the value of listed </w:t>
      </w:r>
      <w:r>
        <w:rPr>
          <w:rFonts w:ascii="Times New Roman" w:hAnsi="Times New Roman" w:cs="Times New Roman"/>
          <w:sz w:val="24"/>
          <w:szCs w:val="24"/>
          <w:lang w:val="en-US"/>
        </w:rPr>
        <w:t xml:space="preserve">commercial </w:t>
      </w:r>
      <w:r>
        <w:rPr>
          <w:rFonts w:ascii="Times New Roman" w:hAnsi="Times New Roman" w:cs="Times New Roman"/>
          <w:bCs/>
          <w:sz w:val="24"/>
          <w:szCs w:val="24"/>
        </w:rPr>
        <w:t xml:space="preserve">banks in Nigeria. </w:t>
      </w:r>
    </w:p>
    <w:p w:rsidR="00477E52" w:rsidRDefault="009243C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2.3 Theoretical Review</w:t>
      </w:r>
    </w:p>
    <w:p w:rsidR="00477E52" w:rsidRDefault="009243CD">
      <w:pPr>
        <w:spacing w:line="240" w:lineRule="auto"/>
        <w:rPr>
          <w:rFonts w:ascii="Times New Roman" w:hAnsi="Times New Roman" w:cs="Times New Roman"/>
          <w:b/>
          <w:bCs/>
          <w:sz w:val="24"/>
          <w:szCs w:val="24"/>
        </w:rPr>
      </w:pPr>
      <w:r>
        <w:rPr>
          <w:rFonts w:ascii="Times New Roman" w:hAnsi="Times New Roman" w:cs="Times New Roman"/>
          <w:b/>
          <w:bCs/>
          <w:sz w:val="24"/>
          <w:szCs w:val="24"/>
        </w:rPr>
        <w:t>2.3.1 Agency Theory</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Agency Theory, developed by Jensen and </w:t>
      </w:r>
      <w:proofErr w:type="spellStart"/>
      <w:r>
        <w:rPr>
          <w:rFonts w:ascii="Times New Roman" w:hAnsi="Times New Roman" w:cs="Times New Roman"/>
          <w:sz w:val="24"/>
          <w:szCs w:val="24"/>
        </w:rPr>
        <w:t>Meckling</w:t>
      </w:r>
      <w:proofErr w:type="spellEnd"/>
      <w:r>
        <w:rPr>
          <w:rFonts w:ascii="Times New Roman" w:hAnsi="Times New Roman" w:cs="Times New Roman"/>
          <w:sz w:val="24"/>
          <w:szCs w:val="24"/>
        </w:rPr>
        <w:t xml:space="preserve"> (1976), explains conflicts that arise from the separation of ownership and control, where managers </w:t>
      </w:r>
      <w:r>
        <w:rPr>
          <w:rFonts w:ascii="Times New Roman" w:hAnsi="Times New Roman" w:cs="Times New Roman"/>
          <w:sz w:val="24"/>
          <w:szCs w:val="24"/>
        </w:rPr>
        <w:t>(agents) may pursue personal interests at the expense of shareholders (principals). The theory argues that information asymmetry and divergent objectives generate agency costs, which can reduce firm value unless effective governance mechanisms are implemen</w:t>
      </w:r>
      <w:r>
        <w:rPr>
          <w:rFonts w:ascii="Times New Roman" w:hAnsi="Times New Roman" w:cs="Times New Roman"/>
          <w:sz w:val="24"/>
          <w:szCs w:val="24"/>
        </w:rPr>
        <w:t>ted. Tools such as managerial shareholding, board oversight, and monitoring by institutional or foreign investors are viewed as mechanisms for aligning managerial actions with shareholder interests. Although widely applied, the theory has been criticized f</w:t>
      </w:r>
      <w:r>
        <w:rPr>
          <w:rFonts w:ascii="Times New Roman" w:hAnsi="Times New Roman" w:cs="Times New Roman"/>
          <w:sz w:val="24"/>
          <w:szCs w:val="24"/>
        </w:rPr>
        <w:t xml:space="preserve">or its strong assumption that managers are purely self-interested and for overlooking social, ethical, and stewardship dimensions of leadership. Its effectiveness may also be constrained in emerging economies where regulatory enforcement and institutional </w:t>
      </w:r>
      <w:r>
        <w:rPr>
          <w:rFonts w:ascii="Times New Roman" w:hAnsi="Times New Roman" w:cs="Times New Roman"/>
          <w:sz w:val="24"/>
          <w:szCs w:val="24"/>
        </w:rPr>
        <w:t xml:space="preserve">quality are weaker. Within this study, agency theory provides the foundational lens for understanding how ownership structure influences firm value. Managerial ownership is treated as an internal alignment mechanism, while foreign and </w:t>
      </w:r>
      <w:r>
        <w:rPr>
          <w:rFonts w:ascii="Times New Roman" w:hAnsi="Times New Roman" w:cs="Times New Roman"/>
          <w:sz w:val="24"/>
          <w:szCs w:val="24"/>
        </w:rPr>
        <w:lastRenderedPageBreak/>
        <w:t>institutional ownersh</w:t>
      </w:r>
      <w:r>
        <w:rPr>
          <w:rFonts w:ascii="Times New Roman" w:hAnsi="Times New Roman" w:cs="Times New Roman"/>
          <w:sz w:val="24"/>
          <w:szCs w:val="24"/>
        </w:rPr>
        <w:t>ip function as external monitoring devices. Capital Adequacy Ratio (CAR) introduces a regulatory governance dimension by constraining excessive managerial risk-taking, thereby conditioning how ownership mechanisms translate into firm value in Nigerian depo</w:t>
      </w:r>
      <w:r>
        <w:rPr>
          <w:rFonts w:ascii="Times New Roman" w:hAnsi="Times New Roman" w:cs="Times New Roman"/>
          <w:sz w:val="24"/>
          <w:szCs w:val="24"/>
        </w:rPr>
        <w:t>sit money banks.</w:t>
      </w:r>
    </w:p>
    <w:p w:rsidR="00477E52" w:rsidRDefault="009243CD">
      <w:pPr>
        <w:spacing w:line="240" w:lineRule="auto"/>
        <w:rPr>
          <w:rFonts w:ascii="Times New Roman" w:hAnsi="Times New Roman" w:cs="Times New Roman"/>
          <w:b/>
          <w:bCs/>
          <w:sz w:val="24"/>
          <w:szCs w:val="24"/>
        </w:rPr>
      </w:pPr>
      <w:r>
        <w:rPr>
          <w:rFonts w:ascii="Times New Roman" w:hAnsi="Times New Roman" w:cs="Times New Roman"/>
          <w:b/>
          <w:bCs/>
          <w:sz w:val="24"/>
          <w:szCs w:val="24"/>
        </w:rPr>
        <w:t>2.3.2 Resource-Based Theory (RBT)</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Resource-Based Theory (RBT), advanced by </w:t>
      </w:r>
      <w:proofErr w:type="spellStart"/>
      <w:r>
        <w:rPr>
          <w:rFonts w:ascii="Times New Roman" w:hAnsi="Times New Roman" w:cs="Times New Roman"/>
          <w:sz w:val="24"/>
          <w:szCs w:val="24"/>
        </w:rPr>
        <w:t>Wernerfelt</w:t>
      </w:r>
      <w:proofErr w:type="spellEnd"/>
      <w:r>
        <w:rPr>
          <w:rFonts w:ascii="Times New Roman" w:hAnsi="Times New Roman" w:cs="Times New Roman"/>
          <w:sz w:val="24"/>
          <w:szCs w:val="24"/>
        </w:rPr>
        <w:t xml:space="preserve"> (1984) and Barney (1991), posits that firms achieve sustainable competitive advantage through valuable, rare, inimitable, and non-substitutable (VRIN) </w:t>
      </w:r>
      <w:r>
        <w:rPr>
          <w:rFonts w:ascii="Times New Roman" w:hAnsi="Times New Roman" w:cs="Times New Roman"/>
          <w:sz w:val="24"/>
          <w:szCs w:val="24"/>
        </w:rPr>
        <w:t>resources. These resources include not only financial assets but also managerial capabilities, governance structures, reputation, and organizational competencies. Despite its strengths, RBT faces criticism regarding the difficulty of empirically identifyin</w:t>
      </w:r>
      <w:r>
        <w:rPr>
          <w:rFonts w:ascii="Times New Roman" w:hAnsi="Times New Roman" w:cs="Times New Roman"/>
          <w:sz w:val="24"/>
          <w:szCs w:val="24"/>
        </w:rPr>
        <w:t>g and measuring strategic resources, as well as its limited emphasis on external environmental factors such as regulation and macroeconomic conditions; factors particularly relevant in emerging markets. Nonetheless, RBT is highly relevant to this study. Fo</w:t>
      </w:r>
      <w:r>
        <w:rPr>
          <w:rFonts w:ascii="Times New Roman" w:hAnsi="Times New Roman" w:cs="Times New Roman"/>
          <w:sz w:val="24"/>
          <w:szCs w:val="24"/>
        </w:rPr>
        <w:t>reign and institutional ownership can be viewed as strategic governance resources that provide capital access, expertise, global linkages, and improved oversight, potentially enhancing firm value. Similarly, capital adequacy represents a critical financial</w:t>
      </w:r>
      <w:r>
        <w:rPr>
          <w:rFonts w:ascii="Times New Roman" w:hAnsi="Times New Roman" w:cs="Times New Roman"/>
          <w:sz w:val="24"/>
          <w:szCs w:val="24"/>
        </w:rPr>
        <w:t xml:space="preserve"> resource that strengthens a bank’s resilience, credibility, and strategic flexibility. By integrating RBT with agency theory, the study adopts a dual-theoretical perspective: agency theory explains the monitoring role of ownership structure, while RBT hig</w:t>
      </w:r>
      <w:r>
        <w:rPr>
          <w:rFonts w:ascii="Times New Roman" w:hAnsi="Times New Roman" w:cs="Times New Roman"/>
          <w:sz w:val="24"/>
          <w:szCs w:val="24"/>
        </w:rPr>
        <w:t>hlights the value-enhancing resource capacity of ownership forms and capital strength. In this framework, CAR operates both as a governance constraint and as a strategic financial resource influencing firm value in Nigerian deposit money banks.</w:t>
      </w:r>
    </w:p>
    <w:p w:rsidR="00477E52" w:rsidRDefault="009243CD">
      <w:pPr>
        <w:spacing w:line="240" w:lineRule="auto"/>
        <w:rPr>
          <w:rFonts w:ascii="Times New Roman" w:hAnsi="Times New Roman" w:cs="Times New Roman"/>
          <w:b/>
          <w:bCs/>
          <w:sz w:val="24"/>
          <w:szCs w:val="24"/>
        </w:rPr>
      </w:pPr>
      <w:r>
        <w:rPr>
          <w:rFonts w:ascii="Times New Roman" w:hAnsi="Times New Roman" w:cs="Times New Roman"/>
          <w:b/>
          <w:bCs/>
          <w:sz w:val="24"/>
          <w:szCs w:val="24"/>
        </w:rPr>
        <w:t>3. METHODOL</w:t>
      </w:r>
      <w:r>
        <w:rPr>
          <w:rFonts w:ascii="Times New Roman" w:hAnsi="Times New Roman" w:cs="Times New Roman"/>
          <w:b/>
          <w:bCs/>
          <w:sz w:val="24"/>
          <w:szCs w:val="24"/>
        </w:rPr>
        <w:t>OGY</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adopts a quantitative research design with an </w:t>
      </w:r>
      <w:r>
        <w:rPr>
          <w:rFonts w:ascii="Times New Roman" w:hAnsi="Times New Roman" w:cs="Times New Roman"/>
          <w:i/>
          <w:iCs/>
          <w:sz w:val="24"/>
          <w:szCs w:val="24"/>
        </w:rPr>
        <w:t>ex</w:t>
      </w:r>
      <w:r>
        <w:rPr>
          <w:rFonts w:ascii="Times New Roman" w:hAnsi="Times New Roman" w:cs="Times New Roman"/>
          <w:i/>
          <w:iCs/>
          <w:sz w:val="24"/>
          <w:szCs w:val="24"/>
          <w:lang w:val="en-US"/>
        </w:rPr>
        <w:t>-</w:t>
      </w:r>
      <w:r>
        <w:rPr>
          <w:rFonts w:ascii="Times New Roman" w:hAnsi="Times New Roman" w:cs="Times New Roman"/>
          <w:i/>
          <w:iCs/>
          <w:sz w:val="24"/>
          <w:szCs w:val="24"/>
        </w:rPr>
        <w:t>post facto</w:t>
      </w:r>
      <w:r>
        <w:rPr>
          <w:rFonts w:ascii="Times New Roman" w:hAnsi="Times New Roman" w:cs="Times New Roman"/>
          <w:sz w:val="24"/>
          <w:szCs w:val="24"/>
        </w:rPr>
        <w:t xml:space="preserve"> approach</w:t>
      </w:r>
      <w:r>
        <w:rPr>
          <w:rFonts w:ascii="Times New Roman" w:hAnsi="Times New Roman" w:cs="Times New Roman"/>
          <w:sz w:val="24"/>
          <w:szCs w:val="24"/>
          <w:lang w:val="en-US"/>
        </w:rPr>
        <w:t>.</w:t>
      </w:r>
      <w:r>
        <w:rPr>
          <w:rFonts w:ascii="Times New Roman" w:hAnsi="Times New Roman" w:cs="Times New Roman"/>
          <w:sz w:val="24"/>
          <w:szCs w:val="24"/>
        </w:rPr>
        <w:t xml:space="preserve"> The population comprises </w:t>
      </w:r>
      <w:r>
        <w:rPr>
          <w:rFonts w:ascii="Times New Roman" w:hAnsi="Times New Roman" w:cs="Times New Roman"/>
          <w:sz w:val="24"/>
          <w:szCs w:val="24"/>
          <w:lang w:val="en-US"/>
        </w:rPr>
        <w:t xml:space="preserve">of </w:t>
      </w:r>
      <w:r>
        <w:rPr>
          <w:rFonts w:ascii="Times New Roman" w:hAnsi="Times New Roman" w:cs="Times New Roman"/>
          <w:sz w:val="24"/>
          <w:szCs w:val="24"/>
        </w:rPr>
        <w:t>all 13 commercial banks listed on the Nigerian Exchange Group (NGX) as of 2024, while the sample includes 12 listed commercial banks with compl</w:t>
      </w:r>
      <w:r>
        <w:rPr>
          <w:rFonts w:ascii="Times New Roman" w:hAnsi="Times New Roman" w:cs="Times New Roman"/>
          <w:sz w:val="24"/>
          <w:szCs w:val="24"/>
        </w:rPr>
        <w:t xml:space="preserve">ete and consistent financial data from 2015 to 2024. Secondary data were extracted from audited annual reports, corporate governance disclosures, and financial statements published by the banks and the NGX. The dependent variable (firm value) was measured </w:t>
      </w:r>
      <w:r>
        <w:rPr>
          <w:rFonts w:ascii="Times New Roman" w:hAnsi="Times New Roman" w:cs="Times New Roman"/>
          <w:sz w:val="24"/>
          <w:szCs w:val="24"/>
        </w:rPr>
        <w:t>using Tobin’s Q, while the independent variables representing ownership structure include managerial ownership, foreign ownership, and institutional ownership. The moderator variable, Capital Adequacy Ratio (CAR), was incorporated to evaluate its condition</w:t>
      </w:r>
      <w:r>
        <w:rPr>
          <w:rFonts w:ascii="Times New Roman" w:hAnsi="Times New Roman" w:cs="Times New Roman"/>
          <w:sz w:val="24"/>
          <w:szCs w:val="24"/>
        </w:rPr>
        <w:t>ing effect on the relationship between ownership structure and firm value. Control variables such as firm size and profitability were included to account for firm-specific characteristics. The study employed panel data regression analysis, using the robust</w:t>
      </w:r>
      <w:r>
        <w:rPr>
          <w:rFonts w:ascii="Times New Roman" w:hAnsi="Times New Roman" w:cs="Times New Roman"/>
          <w:sz w:val="24"/>
          <w:szCs w:val="24"/>
        </w:rPr>
        <w:t xml:space="preserve"> pooled ordinary least squares (OLS) method to address potential </w:t>
      </w:r>
      <w:proofErr w:type="spellStart"/>
      <w:r>
        <w:rPr>
          <w:rFonts w:ascii="Times New Roman" w:hAnsi="Times New Roman" w:cs="Times New Roman"/>
          <w:sz w:val="24"/>
          <w:szCs w:val="24"/>
        </w:rPr>
        <w:t>heteroskedasticity</w:t>
      </w:r>
      <w:proofErr w:type="spellEnd"/>
      <w:r>
        <w:rPr>
          <w:rFonts w:ascii="Times New Roman" w:hAnsi="Times New Roman" w:cs="Times New Roman"/>
          <w:sz w:val="24"/>
          <w:szCs w:val="24"/>
        </w:rPr>
        <w:t xml:space="preserve">. Diagnostic tests including </w:t>
      </w:r>
      <w:proofErr w:type="spellStart"/>
      <w:r>
        <w:rPr>
          <w:rFonts w:ascii="Times New Roman" w:hAnsi="Times New Roman" w:cs="Times New Roman"/>
          <w:sz w:val="24"/>
          <w:szCs w:val="24"/>
        </w:rPr>
        <w:t>multicollinearity</w:t>
      </w:r>
      <w:proofErr w:type="spellEnd"/>
      <w:r>
        <w:rPr>
          <w:rFonts w:ascii="Times New Roman" w:hAnsi="Times New Roman" w:cs="Times New Roman"/>
          <w:sz w:val="24"/>
          <w:szCs w:val="24"/>
        </w:rPr>
        <w:t xml:space="preserve">, normality, and </w:t>
      </w:r>
      <w:proofErr w:type="spellStart"/>
      <w:r>
        <w:rPr>
          <w:rFonts w:ascii="Times New Roman" w:hAnsi="Times New Roman" w:cs="Times New Roman"/>
          <w:sz w:val="24"/>
          <w:szCs w:val="24"/>
        </w:rPr>
        <w:t>heteroskedasticity</w:t>
      </w:r>
      <w:proofErr w:type="spellEnd"/>
      <w:r>
        <w:rPr>
          <w:rFonts w:ascii="Times New Roman" w:hAnsi="Times New Roman" w:cs="Times New Roman"/>
          <w:sz w:val="24"/>
          <w:szCs w:val="24"/>
        </w:rPr>
        <w:t xml:space="preserve"> tests were conducted to ensure model validity. Data analysis was performed using STATA 17 s</w:t>
      </w:r>
      <w:r>
        <w:rPr>
          <w:rFonts w:ascii="Times New Roman" w:hAnsi="Times New Roman" w:cs="Times New Roman"/>
          <w:sz w:val="24"/>
          <w:szCs w:val="24"/>
        </w:rPr>
        <w:t>oftware.</w:t>
      </w:r>
    </w:p>
    <w:p w:rsidR="00477E52" w:rsidRDefault="009243C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3.1 Model Specification</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To evaluate the moderating effect of capital adequacy on the relationship between ownership structure and firm value, the following linear panel regression model is specified:</w:t>
      </w:r>
    </w:p>
    <w:p w:rsidR="00477E52" w:rsidRDefault="009243CD">
      <w:pPr>
        <w:tabs>
          <w:tab w:val="left" w:pos="72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Model 1: Direct Effects Model (Baseline Model)</w:t>
      </w:r>
    </w:p>
    <w:p w:rsidR="00477E52" w:rsidRDefault="009243CD">
      <w:pPr>
        <w:tabs>
          <w:tab w:val="left" w:pos="720"/>
        </w:tabs>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Examines the impact of ownership structure on firm value, controlling for firm characteristics.</w:t>
      </w:r>
      <w:proofErr w:type="gramEnd"/>
    </w:p>
    <w:p w:rsidR="00477E52" w:rsidRDefault="009243CD">
      <w:pPr>
        <w:tabs>
          <w:tab w:val="left" w:pos="720"/>
        </w:tabs>
        <w:spacing w:line="240" w:lineRule="auto"/>
        <w:jc w:val="both"/>
        <w:rPr>
          <w:rFonts w:ascii="Times New Roman" w:hAnsi="Times New Roman" w:cs="Times New Roman"/>
          <w:sz w:val="24"/>
          <w:szCs w:val="24"/>
        </w:rPr>
      </w:pPr>
      <m:oMathPara>
        <m:oMath>
          <m:r>
            <w:rPr>
              <w:rFonts w:ascii="Cambria Math" w:hAnsi="Cambria Math" w:cs="Times New Roman"/>
              <w:sz w:val="24"/>
              <w:szCs w:val="24"/>
            </w:rPr>
            <w:lastRenderedPageBreak/>
            <m:t>TOB</m:t>
          </m:r>
          <m:r>
            <m:rPr>
              <m:sty m:val="p"/>
            </m:rPr>
            <w:rPr>
              <w:rFonts w:ascii="Cambria Math" w:hAnsi="Cambria Math" w:cs="Times New Roman"/>
              <w:sz w:val="24"/>
              <w:szCs w:val="24"/>
            </w:rPr>
            <m:t>_</m:t>
          </m:r>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m:t>
          </m:r>
          <m:sSub>
            <m:sSubPr>
              <m:ctrlPr>
                <w:rPr>
                  <w:rFonts w:ascii="Cambria Math" w:hAnsi="Cambria Math" w:cs="Times New Roman"/>
                  <w:sz w:val="24"/>
                  <w:szCs w:val="24"/>
                </w:rPr>
              </m:ctrlPr>
            </m:sSubPr>
            <m:e>
              <m:r>
                <w:rPr>
                  <w:rFonts w:ascii="Cambria Math" w:hAnsi="Cambria Math" w:cs="Times New Roman"/>
                  <w:sz w:val="24"/>
                  <w:szCs w:val="24"/>
                </w:rPr>
                <m:t>OWN</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F</m:t>
          </m:r>
          <m:sSub>
            <m:sSubPr>
              <m:ctrlPr>
                <w:rPr>
                  <w:rFonts w:ascii="Cambria Math" w:hAnsi="Cambria Math" w:cs="Times New Roman"/>
                  <w:sz w:val="24"/>
                  <w:szCs w:val="24"/>
                </w:rPr>
              </m:ctrlPr>
            </m:sSubPr>
            <m:e>
              <m:r>
                <w:rPr>
                  <w:rFonts w:ascii="Cambria Math" w:hAnsi="Cambria Math" w:cs="Times New Roman"/>
                  <w:sz w:val="24"/>
                  <w:szCs w:val="24"/>
                </w:rPr>
                <m:t>OWN</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r>
            <w:rPr>
              <w:rFonts w:ascii="Cambria Math" w:hAnsi="Cambria Math" w:cs="Times New Roman"/>
              <w:sz w:val="24"/>
              <w:szCs w:val="24"/>
            </w:rPr>
            <m:t>I</m:t>
          </m:r>
          <m:sSub>
            <m:sSubPr>
              <m:ctrlPr>
                <w:rPr>
                  <w:rFonts w:ascii="Cambria Math" w:hAnsi="Cambria Math" w:cs="Times New Roman"/>
                  <w:sz w:val="24"/>
                  <w:szCs w:val="24"/>
                </w:rPr>
              </m:ctrlPr>
            </m:sSubPr>
            <m:e>
              <m:r>
                <w:rPr>
                  <w:rFonts w:ascii="Cambria Math" w:hAnsi="Cambria Math" w:cs="Times New Roman"/>
                  <w:sz w:val="24"/>
                  <w:szCs w:val="24"/>
                </w:rPr>
                <m:t>OWN</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r>
            <w:rPr>
              <w:rFonts w:ascii="Cambria Math" w:hAnsi="Cambria Math" w:cs="Times New Roman"/>
              <w:sz w:val="24"/>
              <w:szCs w:val="24"/>
            </w:rPr>
            <m:t>FSI</m:t>
          </m:r>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sSub>
            <m:sSubPr>
              <m:ctrlPr>
                <w:rPr>
                  <w:rFonts w:ascii="Cambria Math" w:hAnsi="Cambria Math" w:cs="Times New Roman"/>
                  <w:sz w:val="24"/>
                  <w:szCs w:val="24"/>
                </w:rPr>
              </m:ctrlPr>
            </m:sSubPr>
            <m:e>
              <m:r>
                <w:rPr>
                  <w:rFonts w:ascii="Cambria Math" w:hAnsi="Cambria Math" w:cs="Times New Roman"/>
                  <w:sz w:val="24"/>
                  <w:szCs w:val="24"/>
                </w:rPr>
                <m:t>NPM</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r>
            <m:rPr>
              <m:sty m:val="p"/>
            </m:rPr>
            <w:rPr>
              <w:rFonts w:ascii="Times New Roman" w:hAnsi="Times New Roman" w:cs="Times New Roman"/>
              <w:sz w:val="24"/>
              <w:szCs w:val="24"/>
            </w:rPr>
            <w:br/>
          </m:r>
        </m:oMath>
      </m:oMathPara>
    </w:p>
    <w:p w:rsidR="00477E52" w:rsidRDefault="009243CD">
      <w:pPr>
        <w:tabs>
          <w:tab w:val="left" w:pos="72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Model 2: Moderation (Additive) Model</w:t>
      </w:r>
    </w:p>
    <w:p w:rsidR="00477E52" w:rsidRDefault="009243CD">
      <w:pPr>
        <w:tabs>
          <w:tab w:val="left" w:pos="720"/>
        </w:tabs>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Introduces the mode</w:t>
      </w:r>
      <w:r>
        <w:rPr>
          <w:rFonts w:ascii="Times New Roman" w:hAnsi="Times New Roman" w:cs="Times New Roman"/>
          <w:sz w:val="24"/>
          <w:szCs w:val="24"/>
        </w:rPr>
        <w:t>rator (Capital Adequacy Ratio) as an independent predictor.</w:t>
      </w:r>
      <w:proofErr w:type="gramEnd"/>
    </w:p>
    <w:p w:rsidR="00477E52" w:rsidRDefault="009243CD">
      <w:pPr>
        <w:tabs>
          <w:tab w:val="left" w:pos="720"/>
        </w:tabs>
        <w:spacing w:before="240" w:line="240" w:lineRule="auto"/>
        <w:jc w:val="both"/>
        <w:rPr>
          <w:rFonts w:ascii="Times New Roman" w:hAnsi="Times New Roman" w:cs="Times New Roman"/>
          <w:b/>
          <w:bCs/>
          <w:sz w:val="24"/>
          <w:szCs w:val="24"/>
        </w:rPr>
      </w:pPr>
      <m:oMathPara>
        <m:oMath>
          <m:r>
            <w:rPr>
              <w:rFonts w:ascii="Cambria Math" w:hAnsi="Cambria Math" w:cs="Times New Roman"/>
              <w:sz w:val="24"/>
              <w:szCs w:val="24"/>
            </w:rPr>
            <m:t>TOB</m:t>
          </m:r>
          <m:r>
            <m:rPr>
              <m:sty m:val="p"/>
            </m:rPr>
            <w:rPr>
              <w:rFonts w:ascii="Cambria Math" w:hAnsi="Cambria Math" w:cs="Times New Roman"/>
              <w:sz w:val="24"/>
              <w:szCs w:val="24"/>
            </w:rPr>
            <m:t>_</m:t>
          </m:r>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m:t>
          </m:r>
          <m:sSub>
            <m:sSubPr>
              <m:ctrlPr>
                <w:rPr>
                  <w:rFonts w:ascii="Cambria Math" w:hAnsi="Cambria Math" w:cs="Times New Roman"/>
                  <w:sz w:val="24"/>
                  <w:szCs w:val="24"/>
                </w:rPr>
              </m:ctrlPr>
            </m:sSubPr>
            <m:e>
              <m:r>
                <w:rPr>
                  <w:rFonts w:ascii="Cambria Math" w:hAnsi="Cambria Math" w:cs="Times New Roman"/>
                  <w:sz w:val="24"/>
                  <w:szCs w:val="24"/>
                </w:rPr>
                <m:t>OWN</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F</m:t>
          </m:r>
          <m:sSub>
            <m:sSubPr>
              <m:ctrlPr>
                <w:rPr>
                  <w:rFonts w:ascii="Cambria Math" w:hAnsi="Cambria Math" w:cs="Times New Roman"/>
                  <w:sz w:val="24"/>
                  <w:szCs w:val="24"/>
                </w:rPr>
              </m:ctrlPr>
            </m:sSubPr>
            <m:e>
              <m:r>
                <w:rPr>
                  <w:rFonts w:ascii="Cambria Math" w:hAnsi="Cambria Math" w:cs="Times New Roman"/>
                  <w:sz w:val="24"/>
                  <w:szCs w:val="24"/>
                </w:rPr>
                <m:t>OWN</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r>
            <w:rPr>
              <w:rFonts w:ascii="Cambria Math" w:hAnsi="Cambria Math" w:cs="Times New Roman"/>
              <w:sz w:val="24"/>
              <w:szCs w:val="24"/>
            </w:rPr>
            <m:t>I</m:t>
          </m:r>
          <m:sSub>
            <m:sSubPr>
              <m:ctrlPr>
                <w:rPr>
                  <w:rFonts w:ascii="Cambria Math" w:hAnsi="Cambria Math" w:cs="Times New Roman"/>
                  <w:sz w:val="24"/>
                  <w:szCs w:val="24"/>
                </w:rPr>
              </m:ctrlPr>
            </m:sSubPr>
            <m:e>
              <m:r>
                <w:rPr>
                  <w:rFonts w:ascii="Cambria Math" w:hAnsi="Cambria Math" w:cs="Times New Roman"/>
                  <w:sz w:val="24"/>
                  <w:szCs w:val="24"/>
                </w:rPr>
                <m:t>OWN</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r>
            <w:rPr>
              <w:rFonts w:ascii="Cambria Math" w:hAnsi="Cambria Math" w:cs="Times New Roman"/>
              <w:sz w:val="24"/>
              <w:szCs w:val="24"/>
            </w:rPr>
            <m:t>CA</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r>
            <w:rPr>
              <w:rFonts w:ascii="Cambria Math" w:hAnsi="Cambria Math" w:cs="Times New Roman"/>
              <w:sz w:val="24"/>
              <w:szCs w:val="24"/>
            </w:rPr>
            <m:t>FSI</m:t>
          </m:r>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6</m:t>
              </m:r>
            </m:sub>
          </m:sSub>
          <m:sSub>
            <m:sSubPr>
              <m:ctrlPr>
                <w:rPr>
                  <w:rFonts w:ascii="Cambria Math" w:hAnsi="Cambria Math" w:cs="Times New Roman"/>
                  <w:sz w:val="24"/>
                  <w:szCs w:val="24"/>
                </w:rPr>
              </m:ctrlPr>
            </m:sSubPr>
            <m:e>
              <m:r>
                <w:rPr>
                  <w:rFonts w:ascii="Cambria Math" w:hAnsi="Cambria Math" w:cs="Times New Roman"/>
                  <w:sz w:val="24"/>
                  <w:szCs w:val="24"/>
                </w:rPr>
                <m:t>NPM</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r>
            <m:rPr>
              <m:sty m:val="p"/>
            </m:rPr>
            <w:rPr>
              <w:rFonts w:ascii="Times New Roman" w:hAnsi="Times New Roman" w:cs="Times New Roman"/>
              <w:sz w:val="24"/>
              <w:szCs w:val="24"/>
            </w:rPr>
            <w:br/>
          </m:r>
        </m:oMath>
      </m:oMathPara>
      <w:r>
        <w:rPr>
          <w:rFonts w:ascii="Times New Roman" w:hAnsi="Times New Roman" w:cs="Times New Roman"/>
          <w:b/>
          <w:bCs/>
          <w:sz w:val="24"/>
          <w:szCs w:val="24"/>
        </w:rPr>
        <w:t>Model 3: Full Moderation Model (Interaction Effects Model)</w:t>
      </w:r>
    </w:p>
    <w:p w:rsidR="00477E52" w:rsidRDefault="009243CD">
      <w:pPr>
        <w:tabs>
          <w:tab w:val="left" w:pos="720"/>
        </w:tabs>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Tests the moderating</w:t>
      </w:r>
      <w:r>
        <w:rPr>
          <w:rFonts w:ascii="Times New Roman" w:hAnsi="Times New Roman" w:cs="Times New Roman"/>
          <w:sz w:val="24"/>
          <w:szCs w:val="24"/>
        </w:rPr>
        <w:t xml:space="preserve"> effect of CAR on the ownership structure–firm value relationship.</w:t>
      </w:r>
      <w:proofErr w:type="gramEnd"/>
    </w:p>
    <w:p w:rsidR="00477E52" w:rsidRDefault="009243CD">
      <w:pPr>
        <w:tabs>
          <w:tab w:val="left" w:pos="720"/>
        </w:tabs>
        <w:spacing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TOB</m:t>
          </m:r>
          <m:r>
            <m:rPr>
              <m:sty m:val="p"/>
            </m:rPr>
            <w:rPr>
              <w:rFonts w:ascii="Cambria Math" w:hAnsi="Cambria Math" w:cs="Times New Roman"/>
              <w:sz w:val="24"/>
              <w:szCs w:val="24"/>
            </w:rPr>
            <m:t>_</m:t>
          </m:r>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m:t>
          </m:r>
          <m:sSub>
            <m:sSubPr>
              <m:ctrlPr>
                <w:rPr>
                  <w:rFonts w:ascii="Cambria Math" w:hAnsi="Cambria Math" w:cs="Times New Roman"/>
                  <w:sz w:val="24"/>
                  <w:szCs w:val="24"/>
                </w:rPr>
              </m:ctrlPr>
            </m:sSubPr>
            <m:e>
              <m:r>
                <w:rPr>
                  <w:rFonts w:ascii="Cambria Math" w:hAnsi="Cambria Math" w:cs="Times New Roman"/>
                  <w:sz w:val="24"/>
                  <w:szCs w:val="24"/>
                </w:rPr>
                <m:t>OWN</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F</m:t>
          </m:r>
          <m:sSub>
            <m:sSubPr>
              <m:ctrlPr>
                <w:rPr>
                  <w:rFonts w:ascii="Cambria Math" w:hAnsi="Cambria Math" w:cs="Times New Roman"/>
                  <w:sz w:val="24"/>
                  <w:szCs w:val="24"/>
                </w:rPr>
              </m:ctrlPr>
            </m:sSubPr>
            <m:e>
              <m:r>
                <w:rPr>
                  <w:rFonts w:ascii="Cambria Math" w:hAnsi="Cambria Math" w:cs="Times New Roman"/>
                  <w:sz w:val="24"/>
                  <w:szCs w:val="24"/>
                </w:rPr>
                <m:t>OWN</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3</m:t>
              </m:r>
            </m:sub>
          </m:sSub>
          <m:r>
            <w:rPr>
              <w:rFonts w:ascii="Cambria Math" w:hAnsi="Cambria Math" w:cs="Times New Roman"/>
              <w:sz w:val="24"/>
              <w:szCs w:val="24"/>
            </w:rPr>
            <m:t>I</m:t>
          </m:r>
          <m:sSub>
            <m:sSubPr>
              <m:ctrlPr>
                <w:rPr>
                  <w:rFonts w:ascii="Cambria Math" w:hAnsi="Cambria Math" w:cs="Times New Roman"/>
                  <w:sz w:val="24"/>
                  <w:szCs w:val="24"/>
                </w:rPr>
              </m:ctrlPr>
            </m:sSubPr>
            <m:e>
              <m:r>
                <w:rPr>
                  <w:rFonts w:ascii="Cambria Math" w:hAnsi="Cambria Math" w:cs="Times New Roman"/>
                  <w:sz w:val="24"/>
                  <w:szCs w:val="24"/>
                </w:rPr>
                <m:t>OWN</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4</m:t>
              </m:r>
            </m:sub>
          </m:sSub>
          <m:r>
            <w:rPr>
              <w:rFonts w:ascii="Cambria Math" w:hAnsi="Cambria Math" w:cs="Times New Roman"/>
              <w:sz w:val="24"/>
              <w:szCs w:val="24"/>
            </w:rPr>
            <m:t>CA</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r>
            <w:rPr>
              <w:rFonts w:ascii="Cambria Math" w:hAnsi="Cambria Math" w:cs="Times New Roman"/>
              <w:sz w:val="24"/>
              <w:szCs w:val="24"/>
            </w:rPr>
            <m:t>(</m:t>
          </m:r>
          <m:r>
            <w:rPr>
              <w:rFonts w:ascii="Cambria Math" w:hAnsi="Cambria Math" w:cs="Times New Roman"/>
              <w:sz w:val="24"/>
              <w:szCs w:val="24"/>
            </w:rPr>
            <m:t>MOWN</m:t>
          </m:r>
          <m:r>
            <w:rPr>
              <w:rFonts w:ascii="Cambria Math" w:hAnsi="Cambria Math" w:cs="Times New Roman"/>
              <w:sz w:val="24"/>
              <w:szCs w:val="24"/>
            </w:rPr>
            <m:t>×</m:t>
          </m:r>
          <m:r>
            <w:rPr>
              <w:rFonts w:ascii="Cambria Math" w:hAnsi="Cambria Math" w:cs="Times New Roman"/>
              <w:sz w:val="24"/>
              <w:szCs w:val="24"/>
            </w:rPr>
            <m:t>CAR</m:t>
          </m:r>
          <m:sSub>
            <m:sSubPr>
              <m:ctrlPr>
                <w:rPr>
                  <w:rFonts w:ascii="Cambria Math" w:hAnsi="Cambria Math" w:cs="Times New Roman"/>
                  <w:sz w:val="24"/>
                  <w:szCs w:val="24"/>
                </w:rPr>
              </m:ctrlPr>
            </m:sSubPr>
            <m:e>
              <m:r>
                <w:rPr>
                  <w:rFonts w:ascii="Cambria Math" w:hAnsi="Cambria Math" w:cs="Times New Roman"/>
                  <w:sz w:val="24"/>
                  <w:szCs w:val="24"/>
                </w:rPr>
                <m:t>)</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6</m:t>
              </m:r>
            </m:sub>
          </m:sSub>
          <m:r>
            <w:rPr>
              <w:rFonts w:ascii="Cambria Math" w:hAnsi="Cambria Math" w:cs="Times New Roman"/>
              <w:sz w:val="24"/>
              <w:szCs w:val="24"/>
            </w:rPr>
            <m:t>(</m:t>
          </m:r>
          <m:r>
            <w:rPr>
              <w:rFonts w:ascii="Cambria Math" w:hAnsi="Cambria Math" w:cs="Times New Roman"/>
              <w:sz w:val="24"/>
              <w:szCs w:val="24"/>
            </w:rPr>
            <m:t>FOWN</m:t>
          </m:r>
          <m:r>
            <w:rPr>
              <w:rFonts w:ascii="Cambria Math" w:hAnsi="Cambria Math" w:cs="Times New Roman"/>
              <w:sz w:val="24"/>
              <w:szCs w:val="24"/>
            </w:rPr>
            <m:t>×</m:t>
          </m:r>
          <m:r>
            <w:rPr>
              <w:rFonts w:ascii="Cambria Math" w:hAnsi="Cambria Math" w:cs="Times New Roman"/>
              <w:sz w:val="24"/>
              <w:szCs w:val="24"/>
            </w:rPr>
            <m:t>CAR</m:t>
          </m:r>
          <m:sSub>
            <m:sSubPr>
              <m:ctrlPr>
                <w:rPr>
                  <w:rFonts w:ascii="Cambria Math" w:hAnsi="Cambria Math" w:cs="Times New Roman"/>
                  <w:sz w:val="24"/>
                  <w:szCs w:val="24"/>
                </w:rPr>
              </m:ctrlPr>
            </m:sSubPr>
            <m:e>
              <m:r>
                <w:rPr>
                  <w:rFonts w:ascii="Cambria Math" w:hAnsi="Cambria Math" w:cs="Times New Roman"/>
                  <w:sz w:val="24"/>
                  <w:szCs w:val="24"/>
                </w:rPr>
                <m:t>)</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7</m:t>
              </m:r>
            </m:sub>
          </m:sSub>
          <m:r>
            <w:rPr>
              <w:rFonts w:ascii="Cambria Math" w:hAnsi="Cambria Math" w:cs="Times New Roman"/>
              <w:sz w:val="24"/>
              <w:szCs w:val="24"/>
            </w:rPr>
            <m:t>(</m:t>
          </m:r>
          <m:r>
            <w:rPr>
              <w:rFonts w:ascii="Cambria Math" w:hAnsi="Cambria Math" w:cs="Times New Roman"/>
              <w:sz w:val="24"/>
              <w:szCs w:val="24"/>
            </w:rPr>
            <m:t>IOWN</m:t>
          </m:r>
          <m:r>
            <w:rPr>
              <w:rFonts w:ascii="Cambria Math" w:hAnsi="Cambria Math" w:cs="Times New Roman"/>
              <w:sz w:val="24"/>
              <w:szCs w:val="24"/>
            </w:rPr>
            <m:t>×</m:t>
          </m:r>
          <m:r>
            <w:rPr>
              <w:rFonts w:ascii="Cambria Math" w:hAnsi="Cambria Math" w:cs="Times New Roman"/>
              <w:sz w:val="24"/>
              <w:szCs w:val="24"/>
            </w:rPr>
            <m:t>CAR</m:t>
          </m:r>
          <m:sSub>
            <m:sSubPr>
              <m:ctrlPr>
                <w:rPr>
                  <w:rFonts w:ascii="Cambria Math" w:hAnsi="Cambria Math" w:cs="Times New Roman"/>
                  <w:sz w:val="24"/>
                  <w:szCs w:val="24"/>
                </w:rPr>
              </m:ctrlPr>
            </m:sSubPr>
            <m:e>
              <m:r>
                <w:rPr>
                  <w:rFonts w:ascii="Cambria Math" w:hAnsi="Cambria Math" w:cs="Times New Roman"/>
                  <w:sz w:val="24"/>
                  <w:szCs w:val="24"/>
                </w:rPr>
                <m:t>)</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5</m:t>
              </m:r>
            </m:sub>
          </m:sSub>
          <m:r>
            <w:rPr>
              <w:rFonts w:ascii="Cambria Math" w:hAnsi="Cambria Math" w:cs="Times New Roman"/>
              <w:sz w:val="24"/>
              <w:szCs w:val="24"/>
            </w:rPr>
            <m:t>FSI</m:t>
          </m:r>
          <m:sSub>
            <m:sSubPr>
              <m:ctrlPr>
                <w:rPr>
                  <w:rFonts w:ascii="Cambria Math" w:hAnsi="Cambria Math" w:cs="Times New Roman"/>
                  <w:sz w:val="24"/>
                  <w:szCs w:val="24"/>
                </w:rPr>
              </m:ctrlPr>
            </m:sSubPr>
            <m:e>
              <m:r>
                <w:rPr>
                  <w:rFonts w:ascii="Cambria Math" w:hAnsi="Cambria Math" w:cs="Times New Roman"/>
                  <w:sz w:val="24"/>
                  <w:szCs w:val="24"/>
                </w:rPr>
                <m:t>Z</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6</m:t>
              </m:r>
            </m:sub>
          </m:sSub>
          <m:sSub>
            <m:sSubPr>
              <m:ctrlPr>
                <w:rPr>
                  <w:rFonts w:ascii="Cambria Math" w:hAnsi="Cambria Math" w:cs="Times New Roman"/>
                  <w:sz w:val="24"/>
                  <w:szCs w:val="24"/>
                </w:rPr>
              </m:ctrlPr>
            </m:sSubPr>
            <m:e>
              <m:r>
                <w:rPr>
                  <w:rFonts w:ascii="Cambria Math" w:hAnsi="Cambria Math" w:cs="Times New Roman"/>
                  <w:sz w:val="24"/>
                  <w:szCs w:val="24"/>
                </w:rPr>
                <m:t>NPM</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oMath>
      </m:oMathPara>
    </w:p>
    <w:p w:rsidR="00477E52" w:rsidRDefault="009243CD">
      <w:pPr>
        <w:tabs>
          <w:tab w:val="left" w:pos="720"/>
        </w:tabs>
        <w:spacing w:line="240" w:lineRule="auto"/>
        <w:jc w:val="both"/>
        <w:rPr>
          <w:rFonts w:ascii="Times New Roman" w:hAnsi="Times New Roman" w:cs="Times New Roman"/>
          <w:sz w:val="24"/>
          <w:szCs w:val="24"/>
        </w:rPr>
      </w:pPr>
      <w:r>
        <w:rPr>
          <w:rFonts w:ascii="Times New Roman" w:hAnsi="Times New Roman" w:cs="Times New Roman"/>
          <w:b/>
          <w:bCs/>
          <w:sz w:val="24"/>
          <w:szCs w:val="24"/>
        </w:rPr>
        <w:t>Where:</w:t>
      </w:r>
      <w:r>
        <w:rPr>
          <w:rFonts w:ascii="Times New Roman" w:hAnsi="Times New Roman" w:cs="Times New Roman"/>
          <w:sz w:val="24"/>
          <w:szCs w:val="24"/>
        </w:rPr>
        <w:t xml:space="preserve"> </w:t>
      </w:r>
      <w:proofErr w:type="spellStart"/>
      <w:r>
        <w:rPr>
          <w:rFonts w:ascii="Times New Roman" w:hAnsi="Times New Roman" w:cs="Times New Roman"/>
          <w:sz w:val="24"/>
          <w:szCs w:val="24"/>
        </w:rPr>
        <w:t>TOB_Q</w:t>
      </w:r>
      <w:r>
        <w:rPr>
          <w:rFonts w:ascii="Times New Roman" w:hAnsi="Times New Roman" w:cs="Times New Roman"/>
          <w:sz w:val="24"/>
          <w:szCs w:val="24"/>
          <w:vertAlign w:val="subscript"/>
        </w:rPr>
        <w:t>it</w:t>
      </w:r>
      <w:proofErr w:type="spellEnd"/>
      <w:r>
        <w:rPr>
          <w:rFonts w:ascii="Times New Roman" w:hAnsi="Times New Roman" w:cs="Times New Roman"/>
          <w:sz w:val="24"/>
          <w:szCs w:val="24"/>
        </w:rPr>
        <w:t xml:space="preserve"> = Firm Value (Tobin’s Q) for bank </w:t>
      </w:r>
      <w:r>
        <w:rPr>
          <w:rFonts w:ascii="Times New Roman" w:hAnsi="Times New Roman" w:cs="Times New Roman"/>
          <w:i/>
          <w:iCs/>
          <w:sz w:val="24"/>
          <w:szCs w:val="24"/>
        </w:rPr>
        <w:t>i</w:t>
      </w:r>
      <w:r>
        <w:rPr>
          <w:rFonts w:ascii="Times New Roman" w:hAnsi="Times New Roman" w:cs="Times New Roman"/>
          <w:sz w:val="24"/>
          <w:szCs w:val="24"/>
        </w:rPr>
        <w:t xml:space="preserve"> at time </w:t>
      </w:r>
      <w:r>
        <w:rPr>
          <w:rFonts w:ascii="Times New Roman" w:hAnsi="Times New Roman" w:cs="Times New Roman"/>
          <w:i/>
          <w:iCs/>
          <w:sz w:val="24"/>
          <w:szCs w:val="24"/>
        </w:rPr>
        <w:t>t</w:t>
      </w:r>
      <w:r>
        <w:rPr>
          <w:rFonts w:ascii="Times New Roman" w:hAnsi="Times New Roman" w:cs="Times New Roman"/>
          <w:sz w:val="24"/>
          <w:szCs w:val="24"/>
        </w:rPr>
        <w:t xml:space="preserve">; </w:t>
      </w:r>
      <w:proofErr w:type="spellStart"/>
      <w:r>
        <w:rPr>
          <w:rFonts w:ascii="Times New Roman" w:hAnsi="Times New Roman" w:cs="Times New Roman"/>
          <w:sz w:val="24"/>
          <w:szCs w:val="24"/>
        </w:rPr>
        <w:t>MOWN</w:t>
      </w:r>
      <w:r>
        <w:rPr>
          <w:rFonts w:ascii="Times New Roman" w:hAnsi="Times New Roman" w:cs="Times New Roman"/>
          <w:sz w:val="24"/>
          <w:szCs w:val="24"/>
          <w:vertAlign w:val="subscript"/>
        </w:rPr>
        <w:t>it</w:t>
      </w:r>
      <w:proofErr w:type="spellEnd"/>
      <w:r>
        <w:rPr>
          <w:rFonts w:ascii="Times New Roman" w:hAnsi="Times New Roman" w:cs="Times New Roman"/>
          <w:sz w:val="24"/>
          <w:szCs w:val="24"/>
        </w:rPr>
        <w:t>​</w:t>
      </w:r>
      <w:r>
        <w:rPr>
          <w:rFonts w:ascii="Times New Roman" w:hAnsi="Times New Roman" w:cs="Times New Roman"/>
          <w:sz w:val="24"/>
          <w:szCs w:val="24"/>
        </w:rPr>
        <w:t xml:space="preserve"> = Managerial Ownership for bank </w:t>
      </w:r>
      <w:r>
        <w:rPr>
          <w:rFonts w:ascii="Times New Roman" w:hAnsi="Times New Roman" w:cs="Times New Roman"/>
          <w:i/>
          <w:iCs/>
          <w:sz w:val="24"/>
          <w:szCs w:val="24"/>
        </w:rPr>
        <w:t>i</w:t>
      </w:r>
      <w:r>
        <w:rPr>
          <w:rFonts w:ascii="Times New Roman" w:hAnsi="Times New Roman" w:cs="Times New Roman"/>
          <w:sz w:val="24"/>
          <w:szCs w:val="24"/>
        </w:rPr>
        <w:t xml:space="preserve"> at time </w:t>
      </w:r>
      <w:r>
        <w:rPr>
          <w:rFonts w:ascii="Times New Roman" w:hAnsi="Times New Roman" w:cs="Times New Roman"/>
          <w:i/>
          <w:iCs/>
          <w:sz w:val="24"/>
          <w:szCs w:val="24"/>
        </w:rPr>
        <w:t>t</w:t>
      </w:r>
      <w:r>
        <w:rPr>
          <w:rFonts w:ascii="Times New Roman" w:hAnsi="Times New Roman" w:cs="Times New Roman"/>
          <w:sz w:val="24"/>
          <w:szCs w:val="24"/>
        </w:rPr>
        <w:t xml:space="preserve">; </w:t>
      </w:r>
      <w:proofErr w:type="spellStart"/>
      <w:r>
        <w:rPr>
          <w:rFonts w:ascii="Times New Roman" w:hAnsi="Times New Roman" w:cs="Times New Roman"/>
          <w:sz w:val="24"/>
          <w:szCs w:val="24"/>
        </w:rPr>
        <w:t>FOWN</w:t>
      </w:r>
      <w:r>
        <w:rPr>
          <w:rFonts w:ascii="Times New Roman" w:hAnsi="Times New Roman" w:cs="Times New Roman"/>
          <w:sz w:val="24"/>
          <w:szCs w:val="24"/>
          <w:vertAlign w:val="subscript"/>
        </w:rPr>
        <w:t>it</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Foreign Ownership for bank </w:t>
      </w:r>
      <w:r>
        <w:rPr>
          <w:rFonts w:ascii="Times New Roman" w:hAnsi="Times New Roman" w:cs="Times New Roman"/>
          <w:i/>
          <w:iCs/>
          <w:sz w:val="24"/>
          <w:szCs w:val="24"/>
        </w:rPr>
        <w:t>i</w:t>
      </w:r>
      <w:r>
        <w:rPr>
          <w:rFonts w:ascii="Times New Roman" w:hAnsi="Times New Roman" w:cs="Times New Roman"/>
          <w:sz w:val="24"/>
          <w:szCs w:val="24"/>
        </w:rPr>
        <w:t xml:space="preserve"> at time </w:t>
      </w:r>
      <w:r>
        <w:rPr>
          <w:rFonts w:ascii="Times New Roman" w:hAnsi="Times New Roman" w:cs="Times New Roman"/>
          <w:i/>
          <w:iCs/>
          <w:sz w:val="24"/>
          <w:szCs w:val="24"/>
        </w:rPr>
        <w:t>t</w:t>
      </w:r>
      <w:r>
        <w:rPr>
          <w:rFonts w:ascii="Times New Roman" w:hAnsi="Times New Roman" w:cs="Times New Roman"/>
          <w:sz w:val="24"/>
          <w:szCs w:val="24"/>
        </w:rPr>
        <w:t xml:space="preserve">;  </w:t>
      </w:r>
      <w:proofErr w:type="spellStart"/>
      <w:r>
        <w:rPr>
          <w:rFonts w:ascii="Times New Roman" w:hAnsi="Times New Roman" w:cs="Times New Roman"/>
          <w:sz w:val="24"/>
          <w:szCs w:val="24"/>
        </w:rPr>
        <w:t>IOWN</w:t>
      </w:r>
      <w:r>
        <w:rPr>
          <w:rFonts w:ascii="Times New Roman" w:hAnsi="Times New Roman" w:cs="Times New Roman"/>
          <w:sz w:val="24"/>
          <w:szCs w:val="24"/>
          <w:vertAlign w:val="subscript"/>
        </w:rPr>
        <w:t>it</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Institutional Ownership for bank </w:t>
      </w:r>
      <w:r>
        <w:rPr>
          <w:rFonts w:ascii="Times New Roman" w:hAnsi="Times New Roman" w:cs="Times New Roman"/>
          <w:i/>
          <w:iCs/>
          <w:sz w:val="24"/>
          <w:szCs w:val="24"/>
        </w:rPr>
        <w:t>i</w:t>
      </w:r>
      <w:r>
        <w:rPr>
          <w:rFonts w:ascii="Times New Roman" w:hAnsi="Times New Roman" w:cs="Times New Roman"/>
          <w:sz w:val="24"/>
          <w:szCs w:val="24"/>
        </w:rPr>
        <w:t xml:space="preserve"> at time </w:t>
      </w:r>
      <w:r>
        <w:rPr>
          <w:rFonts w:ascii="Times New Roman" w:hAnsi="Times New Roman" w:cs="Times New Roman"/>
          <w:i/>
          <w:iCs/>
          <w:sz w:val="24"/>
          <w:szCs w:val="24"/>
        </w:rPr>
        <w:t>t</w:t>
      </w:r>
      <w:r>
        <w:rPr>
          <w:rFonts w:ascii="Times New Roman" w:hAnsi="Times New Roman" w:cs="Times New Roman"/>
          <w:sz w:val="24"/>
          <w:szCs w:val="24"/>
        </w:rPr>
        <w:t xml:space="preserve">; </w:t>
      </w:r>
      <w:proofErr w:type="spellStart"/>
      <w:r>
        <w:rPr>
          <w:rFonts w:ascii="Times New Roman" w:hAnsi="Times New Roman" w:cs="Times New Roman"/>
          <w:sz w:val="24"/>
          <w:szCs w:val="24"/>
        </w:rPr>
        <w:t>FSIZ</w:t>
      </w:r>
      <w:r>
        <w:rPr>
          <w:rFonts w:ascii="Times New Roman" w:hAnsi="Times New Roman" w:cs="Times New Roman"/>
          <w:sz w:val="24"/>
          <w:szCs w:val="24"/>
          <w:vertAlign w:val="subscript"/>
        </w:rPr>
        <w:t>it</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Firm Size (Control Var</w:t>
      </w:r>
      <w:r>
        <w:rPr>
          <w:rFonts w:ascii="Times New Roman" w:hAnsi="Times New Roman" w:cs="Times New Roman"/>
          <w:sz w:val="24"/>
          <w:szCs w:val="24"/>
        </w:rPr>
        <w:t xml:space="preserve">iable) for bank </w:t>
      </w:r>
      <w:r>
        <w:rPr>
          <w:rFonts w:ascii="Times New Roman" w:hAnsi="Times New Roman" w:cs="Times New Roman"/>
          <w:i/>
          <w:iCs/>
          <w:sz w:val="24"/>
          <w:szCs w:val="24"/>
        </w:rPr>
        <w:t>i</w:t>
      </w:r>
      <w:r>
        <w:rPr>
          <w:rFonts w:ascii="Times New Roman" w:hAnsi="Times New Roman" w:cs="Times New Roman"/>
          <w:sz w:val="24"/>
          <w:szCs w:val="24"/>
        </w:rPr>
        <w:t xml:space="preserve"> at time </w:t>
      </w:r>
      <w:r>
        <w:rPr>
          <w:rFonts w:ascii="Times New Roman" w:hAnsi="Times New Roman" w:cs="Times New Roman"/>
          <w:i/>
          <w:iCs/>
          <w:sz w:val="24"/>
          <w:szCs w:val="24"/>
        </w:rPr>
        <w:t>t</w:t>
      </w:r>
      <w:r>
        <w:rPr>
          <w:rFonts w:ascii="Times New Roman" w:hAnsi="Times New Roman" w:cs="Times New Roman"/>
          <w:sz w:val="24"/>
          <w:szCs w:val="24"/>
        </w:rPr>
        <w:t xml:space="preserve">; </w:t>
      </w:r>
      <w:proofErr w:type="spellStart"/>
      <w:r>
        <w:rPr>
          <w:rFonts w:ascii="Times New Roman" w:hAnsi="Times New Roman" w:cs="Times New Roman"/>
          <w:sz w:val="24"/>
          <w:szCs w:val="24"/>
        </w:rPr>
        <w:t>NPM</w:t>
      </w:r>
      <w:r>
        <w:rPr>
          <w:rFonts w:ascii="Times New Roman" w:hAnsi="Times New Roman" w:cs="Times New Roman"/>
          <w:sz w:val="24"/>
          <w:szCs w:val="24"/>
          <w:vertAlign w:val="subscript"/>
        </w:rPr>
        <w:t>it</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Profitability (Control Variable) for bank </w:t>
      </w:r>
      <w:r>
        <w:rPr>
          <w:rFonts w:ascii="Times New Roman" w:hAnsi="Times New Roman" w:cs="Times New Roman"/>
          <w:i/>
          <w:iCs/>
          <w:sz w:val="24"/>
          <w:szCs w:val="24"/>
        </w:rPr>
        <w:t>i</w:t>
      </w:r>
      <w:r>
        <w:rPr>
          <w:rFonts w:ascii="Times New Roman" w:hAnsi="Times New Roman" w:cs="Times New Roman"/>
          <w:sz w:val="24"/>
          <w:szCs w:val="24"/>
        </w:rPr>
        <w:t xml:space="preserve"> at time </w:t>
      </w:r>
      <w:r>
        <w:rPr>
          <w:rFonts w:ascii="Times New Roman" w:hAnsi="Times New Roman" w:cs="Times New Roman"/>
          <w:i/>
          <w:iCs/>
          <w:sz w:val="24"/>
          <w:szCs w:val="24"/>
        </w:rPr>
        <w:t>t</w:t>
      </w:r>
      <w:r>
        <w:rPr>
          <w:rFonts w:ascii="Times New Roman" w:hAnsi="Times New Roman" w:cs="Times New Roman"/>
          <w:sz w:val="24"/>
          <w:szCs w:val="24"/>
        </w:rPr>
        <w:t xml:space="preserve">; </w:t>
      </w:r>
      <w:r>
        <w:rPr>
          <w:rFonts w:ascii="Times New Roman" w:hAnsi="Times New Roman" w:cs="Times New Roman"/>
          <w:sz w:val="24"/>
          <w:szCs w:val="24"/>
        </w:rPr>
        <w:t>Ԑ</w:t>
      </w:r>
      <w:r>
        <w:rPr>
          <w:rFonts w:ascii="Times New Roman" w:hAnsi="Times New Roman" w:cs="Times New Roman"/>
          <w:sz w:val="24"/>
          <w:szCs w:val="24"/>
          <w:vertAlign w:val="subscript"/>
        </w:rPr>
        <w:t>it</w:t>
      </w:r>
      <w:r>
        <w:rPr>
          <w:rFonts w:ascii="Times New Roman" w:hAnsi="Times New Roman" w:cs="Times New Roman"/>
          <w:sz w:val="24"/>
          <w:szCs w:val="24"/>
        </w:rPr>
        <w:t xml:space="preserve"> = Error term; β</w:t>
      </w:r>
      <w:r>
        <w:rPr>
          <w:rFonts w:ascii="Times New Roman" w:hAnsi="Times New Roman" w:cs="Times New Roman"/>
          <w:sz w:val="24"/>
          <w:szCs w:val="24"/>
          <w:vertAlign w:val="subscript"/>
        </w:rPr>
        <w:t>0</w:t>
      </w:r>
      <w:r>
        <w:rPr>
          <w:rFonts w:ascii="Times New Roman" w:hAnsi="Times New Roman" w:cs="Times New Roman"/>
          <w:sz w:val="24"/>
          <w:szCs w:val="24"/>
        </w:rPr>
        <w:t xml:space="preserve"> ​ = Constant and β</w:t>
      </w:r>
      <w:r>
        <w:rPr>
          <w:rFonts w:ascii="Times New Roman" w:hAnsi="Times New Roman" w:cs="Times New Roman"/>
          <w:sz w:val="24"/>
          <w:szCs w:val="24"/>
          <w:vertAlign w:val="subscript"/>
        </w:rPr>
        <w:t>1</w:t>
      </w:r>
      <w:r>
        <w:rPr>
          <w:rFonts w:ascii="Times New Roman" w:hAnsi="Times New Roman" w:cs="Times New Roman"/>
          <w:sz w:val="24"/>
          <w:szCs w:val="24"/>
        </w:rPr>
        <w:t>​</w:t>
      </w:r>
      <w:r>
        <w:rPr>
          <w:rFonts w:ascii="Times New Roman" w:hAnsi="Times New Roman" w:cs="Times New Roman"/>
          <w:sz w:val="24"/>
          <w:szCs w:val="24"/>
        </w:rPr>
        <w:t xml:space="preserve"> to β</w:t>
      </w:r>
      <w:r>
        <w:rPr>
          <w:rFonts w:ascii="Times New Roman" w:hAnsi="Times New Roman" w:cs="Times New Roman"/>
          <w:sz w:val="24"/>
          <w:szCs w:val="24"/>
          <w:vertAlign w:val="subscript"/>
        </w:rPr>
        <w:t>6</w:t>
      </w:r>
      <w:r>
        <w:rPr>
          <w:rFonts w:ascii="Times New Roman" w:hAnsi="Times New Roman" w:cs="Times New Roman"/>
          <w:sz w:val="24"/>
          <w:szCs w:val="24"/>
        </w:rPr>
        <w:t>​</w:t>
      </w:r>
      <w:r>
        <w:rPr>
          <w:rFonts w:ascii="Times New Roman" w:hAnsi="Times New Roman" w:cs="Times New Roman"/>
          <w:sz w:val="24"/>
          <w:szCs w:val="24"/>
        </w:rPr>
        <w:t xml:space="preserve"> = Coefficients of the explanatory variables.</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This model captures the linear relationship between ownership structur</w:t>
      </w:r>
      <w:r>
        <w:rPr>
          <w:rFonts w:ascii="Times New Roman" w:hAnsi="Times New Roman" w:cs="Times New Roman"/>
          <w:sz w:val="24"/>
          <w:szCs w:val="24"/>
        </w:rPr>
        <w:t>e and firm value, controlling for firm-specific characteristics.</w:t>
      </w:r>
    </w:p>
    <w:p w:rsidR="00477E52" w:rsidRDefault="009243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3.1: Variable Measurement and Description</w:t>
      </w:r>
    </w:p>
    <w:tbl>
      <w:tblPr>
        <w:tblStyle w:val="TableGrid"/>
        <w:tblW w:w="0" w:type="auto"/>
        <w:tblLook w:val="04A0" w:firstRow="1" w:lastRow="0" w:firstColumn="1" w:lastColumn="0" w:noHBand="0" w:noVBand="1"/>
      </w:tblPr>
      <w:tblGrid>
        <w:gridCol w:w="2246"/>
        <w:gridCol w:w="1003"/>
        <w:gridCol w:w="4452"/>
        <w:gridCol w:w="1541"/>
      </w:tblGrid>
      <w:tr w:rsidR="00477E52">
        <w:tc>
          <w:tcPr>
            <w:tcW w:w="0" w:type="auto"/>
          </w:tcPr>
          <w:p w:rsidR="00477E52" w:rsidRDefault="009243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Variable</w:t>
            </w:r>
          </w:p>
        </w:tc>
        <w:tc>
          <w:tcPr>
            <w:tcW w:w="0" w:type="auto"/>
          </w:tcPr>
          <w:p w:rsidR="00477E52" w:rsidRDefault="009243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Symbol</w:t>
            </w:r>
          </w:p>
        </w:tc>
        <w:tc>
          <w:tcPr>
            <w:tcW w:w="0" w:type="auto"/>
          </w:tcPr>
          <w:p w:rsidR="00477E52" w:rsidRDefault="009243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Measurement / Description</w:t>
            </w:r>
          </w:p>
        </w:tc>
        <w:tc>
          <w:tcPr>
            <w:tcW w:w="0" w:type="auto"/>
          </w:tcPr>
          <w:p w:rsidR="00477E52" w:rsidRDefault="009243C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Priori</w:t>
            </w:r>
          </w:p>
        </w:tc>
      </w:tr>
      <w:tr w:rsidR="00477E52">
        <w:tc>
          <w:tcPr>
            <w:tcW w:w="0" w:type="auto"/>
          </w:tcPr>
          <w:p w:rsidR="00477E52" w:rsidRDefault="009243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DEPENDENT</w:t>
            </w:r>
          </w:p>
        </w:tc>
        <w:tc>
          <w:tcPr>
            <w:tcW w:w="0" w:type="auto"/>
          </w:tcPr>
          <w:p w:rsidR="00477E52" w:rsidRDefault="00477E52">
            <w:pPr>
              <w:spacing w:after="0" w:line="240" w:lineRule="auto"/>
              <w:jc w:val="both"/>
              <w:rPr>
                <w:rFonts w:ascii="Times New Roman" w:hAnsi="Times New Roman" w:cs="Times New Roman"/>
                <w:b/>
                <w:bCs/>
                <w:sz w:val="24"/>
                <w:szCs w:val="24"/>
              </w:rPr>
            </w:pPr>
          </w:p>
        </w:tc>
        <w:tc>
          <w:tcPr>
            <w:tcW w:w="0" w:type="auto"/>
          </w:tcPr>
          <w:p w:rsidR="00477E52" w:rsidRDefault="00477E52">
            <w:pPr>
              <w:spacing w:after="0" w:line="240" w:lineRule="auto"/>
              <w:jc w:val="both"/>
              <w:rPr>
                <w:rFonts w:ascii="Times New Roman" w:hAnsi="Times New Roman" w:cs="Times New Roman"/>
                <w:b/>
                <w:bCs/>
                <w:sz w:val="24"/>
                <w:szCs w:val="24"/>
              </w:rPr>
            </w:pPr>
          </w:p>
        </w:tc>
        <w:tc>
          <w:tcPr>
            <w:tcW w:w="0" w:type="auto"/>
          </w:tcPr>
          <w:p w:rsidR="00477E52" w:rsidRDefault="00477E52">
            <w:pPr>
              <w:spacing w:after="0" w:line="240" w:lineRule="auto"/>
              <w:jc w:val="center"/>
              <w:rPr>
                <w:rFonts w:ascii="Times New Roman" w:hAnsi="Times New Roman" w:cs="Times New Roman"/>
                <w:b/>
                <w:bCs/>
                <w:sz w:val="24"/>
                <w:szCs w:val="24"/>
              </w:rPr>
            </w:pPr>
          </w:p>
        </w:tc>
      </w:tr>
      <w:tr w:rsidR="00477E52">
        <w:tc>
          <w:tcPr>
            <w:tcW w:w="0" w:type="auto"/>
          </w:tcPr>
          <w:p w:rsidR="00477E52" w:rsidRDefault="009243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Firm Value (Tobin’s Q)</w:t>
            </w:r>
          </w:p>
        </w:tc>
        <w:tc>
          <w:tcPr>
            <w:tcW w:w="0" w:type="auto"/>
          </w:tcPr>
          <w:p w:rsidR="00477E52" w:rsidRDefault="009243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TOB_Q</w:t>
            </w:r>
          </w:p>
        </w:tc>
        <w:tc>
          <w:tcPr>
            <w:tcW w:w="0" w:type="auto"/>
          </w:tcPr>
          <w:p w:rsidR="00477E52" w:rsidRDefault="009243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Market value of equity + book value of debt / book</w:t>
            </w:r>
            <w:r>
              <w:rPr>
                <w:rFonts w:ascii="Times New Roman" w:hAnsi="Times New Roman" w:cs="Times New Roman"/>
                <w:sz w:val="24"/>
                <w:szCs w:val="24"/>
              </w:rPr>
              <w:t xml:space="preserve"> value of total assets</w:t>
            </w:r>
          </w:p>
        </w:tc>
        <w:tc>
          <w:tcPr>
            <w:tcW w:w="0" w:type="auto"/>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Dependent</w:t>
            </w:r>
          </w:p>
        </w:tc>
      </w:tr>
      <w:tr w:rsidR="00477E52">
        <w:tc>
          <w:tcPr>
            <w:tcW w:w="0" w:type="auto"/>
          </w:tcPr>
          <w:p w:rsidR="00477E52" w:rsidRDefault="009243C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INDEPENDENT</w:t>
            </w:r>
          </w:p>
        </w:tc>
        <w:tc>
          <w:tcPr>
            <w:tcW w:w="0" w:type="auto"/>
          </w:tcPr>
          <w:p w:rsidR="00477E52" w:rsidRDefault="00477E52">
            <w:pPr>
              <w:spacing w:after="0" w:line="240" w:lineRule="auto"/>
              <w:jc w:val="both"/>
              <w:rPr>
                <w:rFonts w:ascii="Times New Roman" w:hAnsi="Times New Roman" w:cs="Times New Roman"/>
                <w:sz w:val="24"/>
                <w:szCs w:val="24"/>
              </w:rPr>
            </w:pPr>
          </w:p>
        </w:tc>
        <w:tc>
          <w:tcPr>
            <w:tcW w:w="0" w:type="auto"/>
          </w:tcPr>
          <w:p w:rsidR="00477E52" w:rsidRDefault="00477E52">
            <w:pPr>
              <w:spacing w:after="0" w:line="240" w:lineRule="auto"/>
              <w:jc w:val="both"/>
              <w:rPr>
                <w:rFonts w:ascii="Times New Roman" w:hAnsi="Times New Roman" w:cs="Times New Roman"/>
                <w:sz w:val="24"/>
                <w:szCs w:val="24"/>
              </w:rPr>
            </w:pPr>
          </w:p>
        </w:tc>
        <w:tc>
          <w:tcPr>
            <w:tcW w:w="0" w:type="auto"/>
          </w:tcPr>
          <w:p w:rsidR="00477E52" w:rsidRDefault="00477E52">
            <w:pPr>
              <w:spacing w:after="0" w:line="240" w:lineRule="auto"/>
              <w:jc w:val="center"/>
              <w:rPr>
                <w:rFonts w:ascii="Times New Roman" w:hAnsi="Times New Roman" w:cs="Times New Roman"/>
                <w:sz w:val="24"/>
                <w:szCs w:val="24"/>
              </w:rPr>
            </w:pPr>
          </w:p>
        </w:tc>
      </w:tr>
      <w:tr w:rsidR="00477E52">
        <w:tc>
          <w:tcPr>
            <w:tcW w:w="0" w:type="auto"/>
          </w:tcPr>
          <w:p w:rsidR="00477E52" w:rsidRDefault="009243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Managerial Ownership</w:t>
            </w:r>
          </w:p>
        </w:tc>
        <w:tc>
          <w:tcPr>
            <w:tcW w:w="0" w:type="auto"/>
          </w:tcPr>
          <w:p w:rsidR="00477E52" w:rsidRDefault="009243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MOWN</w:t>
            </w:r>
          </w:p>
        </w:tc>
        <w:tc>
          <w:tcPr>
            <w:tcW w:w="0" w:type="auto"/>
          </w:tcPr>
          <w:p w:rsidR="00477E52" w:rsidRDefault="009243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Proportion of shares held by board members and executive directors</w:t>
            </w:r>
          </w:p>
        </w:tc>
        <w:tc>
          <w:tcPr>
            <w:tcW w:w="0" w:type="auto"/>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77E52">
        <w:tc>
          <w:tcPr>
            <w:tcW w:w="0" w:type="auto"/>
          </w:tcPr>
          <w:p w:rsidR="00477E52" w:rsidRDefault="009243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Foreign Ownership</w:t>
            </w:r>
          </w:p>
        </w:tc>
        <w:tc>
          <w:tcPr>
            <w:tcW w:w="0" w:type="auto"/>
          </w:tcPr>
          <w:p w:rsidR="00477E52" w:rsidRDefault="009243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FOWN</w:t>
            </w:r>
          </w:p>
        </w:tc>
        <w:tc>
          <w:tcPr>
            <w:tcW w:w="0" w:type="auto"/>
          </w:tcPr>
          <w:p w:rsidR="00477E52" w:rsidRDefault="009243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Proportion of total shares held by foreign investors</w:t>
            </w:r>
          </w:p>
        </w:tc>
        <w:tc>
          <w:tcPr>
            <w:tcW w:w="0" w:type="auto"/>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77E52">
        <w:tc>
          <w:tcPr>
            <w:tcW w:w="0" w:type="auto"/>
          </w:tcPr>
          <w:p w:rsidR="00477E52" w:rsidRDefault="009243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Institutional Ownership</w:t>
            </w:r>
          </w:p>
        </w:tc>
        <w:tc>
          <w:tcPr>
            <w:tcW w:w="0" w:type="auto"/>
          </w:tcPr>
          <w:p w:rsidR="00477E52" w:rsidRDefault="009243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IOWN</w:t>
            </w:r>
          </w:p>
        </w:tc>
        <w:tc>
          <w:tcPr>
            <w:tcW w:w="0" w:type="auto"/>
          </w:tcPr>
          <w:p w:rsidR="00477E52" w:rsidRDefault="009243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Proportion of shares held by institutional investors</w:t>
            </w:r>
          </w:p>
        </w:tc>
        <w:tc>
          <w:tcPr>
            <w:tcW w:w="0" w:type="auto"/>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77E52">
        <w:tc>
          <w:tcPr>
            <w:tcW w:w="0" w:type="auto"/>
          </w:tcPr>
          <w:p w:rsidR="00477E52" w:rsidRDefault="009243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MODERATOR</w:t>
            </w:r>
          </w:p>
        </w:tc>
        <w:tc>
          <w:tcPr>
            <w:tcW w:w="0" w:type="auto"/>
          </w:tcPr>
          <w:p w:rsidR="00477E52" w:rsidRDefault="00477E52">
            <w:pPr>
              <w:spacing w:after="0" w:line="240" w:lineRule="auto"/>
              <w:jc w:val="both"/>
              <w:rPr>
                <w:rFonts w:ascii="Times New Roman" w:hAnsi="Times New Roman" w:cs="Times New Roman"/>
                <w:sz w:val="24"/>
                <w:szCs w:val="24"/>
              </w:rPr>
            </w:pPr>
          </w:p>
        </w:tc>
        <w:tc>
          <w:tcPr>
            <w:tcW w:w="0" w:type="auto"/>
          </w:tcPr>
          <w:p w:rsidR="00477E52" w:rsidRDefault="00477E52">
            <w:pPr>
              <w:spacing w:after="0" w:line="240" w:lineRule="auto"/>
              <w:jc w:val="both"/>
              <w:rPr>
                <w:rFonts w:ascii="Times New Roman" w:hAnsi="Times New Roman" w:cs="Times New Roman"/>
                <w:sz w:val="24"/>
                <w:szCs w:val="24"/>
              </w:rPr>
            </w:pPr>
          </w:p>
        </w:tc>
        <w:tc>
          <w:tcPr>
            <w:tcW w:w="0" w:type="auto"/>
          </w:tcPr>
          <w:p w:rsidR="00477E52" w:rsidRDefault="00477E52">
            <w:pPr>
              <w:spacing w:after="0" w:line="240" w:lineRule="auto"/>
              <w:jc w:val="center"/>
              <w:rPr>
                <w:rFonts w:ascii="Times New Roman" w:hAnsi="Times New Roman" w:cs="Times New Roman"/>
                <w:sz w:val="24"/>
                <w:szCs w:val="24"/>
              </w:rPr>
            </w:pPr>
          </w:p>
        </w:tc>
      </w:tr>
      <w:tr w:rsidR="00477E52">
        <w:tc>
          <w:tcPr>
            <w:tcW w:w="0" w:type="auto"/>
          </w:tcPr>
          <w:p w:rsidR="00477E52" w:rsidRDefault="009243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Capital Adequacy Ratio</w:t>
            </w:r>
          </w:p>
        </w:tc>
        <w:tc>
          <w:tcPr>
            <w:tcW w:w="0" w:type="auto"/>
          </w:tcPr>
          <w:p w:rsidR="00477E52" w:rsidRDefault="009243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CAR</w:t>
            </w:r>
          </w:p>
        </w:tc>
        <w:tc>
          <w:tcPr>
            <w:tcW w:w="0" w:type="auto"/>
          </w:tcPr>
          <w:p w:rsidR="00477E52" w:rsidRDefault="009243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CAR = (Tier 1 Capital + Tier 2 Capital) / Risk-Weighted Assets</w:t>
            </w:r>
          </w:p>
        </w:tc>
        <w:tc>
          <w:tcPr>
            <w:tcW w:w="0" w:type="auto"/>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477E52">
        <w:tc>
          <w:tcPr>
            <w:tcW w:w="0" w:type="auto"/>
          </w:tcPr>
          <w:p w:rsidR="00477E52" w:rsidRDefault="009243C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CONTROL</w:t>
            </w:r>
          </w:p>
        </w:tc>
        <w:tc>
          <w:tcPr>
            <w:tcW w:w="0" w:type="auto"/>
          </w:tcPr>
          <w:p w:rsidR="00477E52" w:rsidRDefault="00477E52">
            <w:pPr>
              <w:spacing w:after="0" w:line="240" w:lineRule="auto"/>
              <w:jc w:val="both"/>
              <w:rPr>
                <w:rFonts w:ascii="Times New Roman" w:hAnsi="Times New Roman" w:cs="Times New Roman"/>
                <w:sz w:val="24"/>
                <w:szCs w:val="24"/>
              </w:rPr>
            </w:pPr>
          </w:p>
        </w:tc>
        <w:tc>
          <w:tcPr>
            <w:tcW w:w="0" w:type="auto"/>
          </w:tcPr>
          <w:p w:rsidR="00477E52" w:rsidRDefault="00477E52">
            <w:pPr>
              <w:spacing w:after="0" w:line="240" w:lineRule="auto"/>
              <w:jc w:val="both"/>
              <w:rPr>
                <w:rFonts w:ascii="Times New Roman" w:hAnsi="Times New Roman" w:cs="Times New Roman"/>
                <w:sz w:val="24"/>
                <w:szCs w:val="24"/>
              </w:rPr>
            </w:pPr>
          </w:p>
        </w:tc>
        <w:tc>
          <w:tcPr>
            <w:tcW w:w="0" w:type="auto"/>
          </w:tcPr>
          <w:p w:rsidR="00477E52" w:rsidRDefault="00477E52">
            <w:pPr>
              <w:spacing w:after="0" w:line="240" w:lineRule="auto"/>
              <w:jc w:val="center"/>
              <w:rPr>
                <w:rFonts w:ascii="Times New Roman" w:hAnsi="Times New Roman" w:cs="Times New Roman"/>
                <w:sz w:val="24"/>
                <w:szCs w:val="24"/>
              </w:rPr>
            </w:pPr>
          </w:p>
        </w:tc>
      </w:tr>
      <w:tr w:rsidR="00477E52">
        <w:tc>
          <w:tcPr>
            <w:tcW w:w="0" w:type="auto"/>
          </w:tcPr>
          <w:p w:rsidR="00477E52" w:rsidRDefault="009243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Firm Size</w:t>
            </w:r>
          </w:p>
        </w:tc>
        <w:tc>
          <w:tcPr>
            <w:tcW w:w="0" w:type="auto"/>
          </w:tcPr>
          <w:p w:rsidR="00477E52" w:rsidRDefault="009243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FSIZ</w:t>
            </w:r>
          </w:p>
        </w:tc>
        <w:tc>
          <w:tcPr>
            <w:tcW w:w="0" w:type="auto"/>
          </w:tcPr>
          <w:p w:rsidR="00477E52" w:rsidRDefault="009243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Natural logarithm of total assets</w:t>
            </w:r>
          </w:p>
        </w:tc>
        <w:tc>
          <w:tcPr>
            <w:tcW w:w="0" w:type="auto"/>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Control Variable</w:t>
            </w:r>
          </w:p>
        </w:tc>
      </w:tr>
      <w:tr w:rsidR="00477E52">
        <w:tc>
          <w:tcPr>
            <w:tcW w:w="0" w:type="auto"/>
          </w:tcPr>
          <w:p w:rsidR="00477E52" w:rsidRDefault="009243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Profitability</w:t>
            </w:r>
          </w:p>
        </w:tc>
        <w:tc>
          <w:tcPr>
            <w:tcW w:w="0" w:type="auto"/>
          </w:tcPr>
          <w:p w:rsidR="00477E52" w:rsidRDefault="009243CD">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kern w:val="0"/>
                <w:sz w:val="24"/>
                <w:szCs w:val="24"/>
                <w:lang w:eastAsia="en-GB"/>
                <w14:ligatures w14:val="none"/>
              </w:rPr>
              <w:t>NPM</w:t>
            </w:r>
          </w:p>
        </w:tc>
        <w:tc>
          <w:tcPr>
            <w:tcW w:w="0" w:type="auto"/>
          </w:tcPr>
          <w:p w:rsidR="00477E52" w:rsidRDefault="009243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 Profit (also known as Net Income) divided by Total Revenue</w:t>
            </w:r>
          </w:p>
        </w:tc>
        <w:tc>
          <w:tcPr>
            <w:tcW w:w="0" w:type="auto"/>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Control Variable</w:t>
            </w:r>
          </w:p>
        </w:tc>
      </w:tr>
    </w:tbl>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b/>
          <w:bCs/>
          <w:sz w:val="24"/>
          <w:szCs w:val="24"/>
        </w:rPr>
        <w:t>Source</w:t>
      </w:r>
      <w:r>
        <w:rPr>
          <w:rFonts w:ascii="Times New Roman" w:hAnsi="Times New Roman" w:cs="Times New Roman"/>
          <w:sz w:val="24"/>
          <w:szCs w:val="24"/>
        </w:rPr>
        <w:t>: Author’s compilation, 2026</w:t>
      </w:r>
    </w:p>
    <w:p w:rsidR="00477E52" w:rsidRDefault="009243CD">
      <w:pPr>
        <w:spacing w:line="240" w:lineRule="auto"/>
        <w:rPr>
          <w:rFonts w:ascii="Times New Roman" w:hAnsi="Times New Roman" w:cs="Times New Roman"/>
          <w:b/>
          <w:bCs/>
          <w:sz w:val="24"/>
          <w:szCs w:val="24"/>
        </w:rPr>
      </w:pPr>
      <w:r>
        <w:rPr>
          <w:rFonts w:ascii="Times New Roman" w:hAnsi="Times New Roman" w:cs="Times New Roman"/>
          <w:b/>
          <w:bCs/>
          <w:sz w:val="24"/>
          <w:szCs w:val="24"/>
        </w:rPr>
        <w:t>4. RESULTS AND DISCUSSION</w:t>
      </w:r>
    </w:p>
    <w:p w:rsidR="00477E52" w:rsidRDefault="009243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Table 4.1: Descriptive Statistics</w:t>
      </w:r>
    </w:p>
    <w:tbl>
      <w:tblPr>
        <w:tblStyle w:val="TableGrid"/>
        <w:tblW w:w="5000" w:type="pct"/>
        <w:tblLook w:val="04A0" w:firstRow="1" w:lastRow="0" w:firstColumn="1" w:lastColumn="0" w:noHBand="0" w:noVBand="1"/>
      </w:tblPr>
      <w:tblGrid>
        <w:gridCol w:w="1544"/>
        <w:gridCol w:w="918"/>
        <w:gridCol w:w="1695"/>
        <w:gridCol w:w="1695"/>
        <w:gridCol w:w="1695"/>
        <w:gridCol w:w="1695"/>
      </w:tblGrid>
      <w:tr w:rsidR="00477E52">
        <w:tc>
          <w:tcPr>
            <w:tcW w:w="835" w:type="pct"/>
          </w:tcPr>
          <w:p w:rsidR="00477E52" w:rsidRDefault="009243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Variable</w:t>
            </w:r>
          </w:p>
        </w:tc>
        <w:tc>
          <w:tcPr>
            <w:tcW w:w="496" w:type="pct"/>
          </w:tcPr>
          <w:p w:rsidR="00477E52" w:rsidRDefault="009243C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OBS</w:t>
            </w:r>
          </w:p>
        </w:tc>
        <w:tc>
          <w:tcPr>
            <w:tcW w:w="917" w:type="pct"/>
          </w:tcPr>
          <w:p w:rsidR="00477E52" w:rsidRDefault="009243C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Mean</w:t>
            </w:r>
          </w:p>
        </w:tc>
        <w:tc>
          <w:tcPr>
            <w:tcW w:w="917" w:type="pct"/>
          </w:tcPr>
          <w:p w:rsidR="00477E52" w:rsidRDefault="009243C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Std. dev.</w:t>
            </w:r>
          </w:p>
        </w:tc>
        <w:tc>
          <w:tcPr>
            <w:tcW w:w="917" w:type="pct"/>
          </w:tcPr>
          <w:p w:rsidR="00477E52" w:rsidRDefault="009243C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Min</w:t>
            </w:r>
          </w:p>
        </w:tc>
        <w:tc>
          <w:tcPr>
            <w:tcW w:w="917" w:type="pct"/>
          </w:tcPr>
          <w:p w:rsidR="00477E52" w:rsidRDefault="009243C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Max</w:t>
            </w:r>
          </w:p>
        </w:tc>
      </w:tr>
      <w:tr w:rsidR="00477E52">
        <w:tc>
          <w:tcPr>
            <w:tcW w:w="835" w:type="pct"/>
          </w:tcPr>
          <w:p w:rsidR="00477E52" w:rsidRDefault="009243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TOB_Q</w:t>
            </w:r>
          </w:p>
        </w:tc>
        <w:tc>
          <w:tcPr>
            <w:tcW w:w="496"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917"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.0214347</w:t>
            </w:r>
          </w:p>
        </w:tc>
        <w:tc>
          <w:tcPr>
            <w:tcW w:w="917"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.0326935</w:t>
            </w:r>
          </w:p>
        </w:tc>
        <w:tc>
          <w:tcPr>
            <w:tcW w:w="917"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.002338</w:t>
            </w:r>
          </w:p>
        </w:tc>
        <w:tc>
          <w:tcPr>
            <w:tcW w:w="917"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.282826</w:t>
            </w:r>
          </w:p>
        </w:tc>
      </w:tr>
      <w:tr w:rsidR="00477E52">
        <w:tc>
          <w:tcPr>
            <w:tcW w:w="835" w:type="pct"/>
          </w:tcPr>
          <w:p w:rsidR="00477E52" w:rsidRDefault="009243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MOWN</w:t>
            </w:r>
          </w:p>
        </w:tc>
        <w:tc>
          <w:tcPr>
            <w:tcW w:w="496"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917"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.0082205</w:t>
            </w:r>
          </w:p>
        </w:tc>
        <w:tc>
          <w:tcPr>
            <w:tcW w:w="917"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.022839</w:t>
            </w:r>
          </w:p>
        </w:tc>
        <w:tc>
          <w:tcPr>
            <w:tcW w:w="917"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17"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.161312</w:t>
            </w:r>
          </w:p>
        </w:tc>
      </w:tr>
      <w:tr w:rsidR="00477E52">
        <w:tc>
          <w:tcPr>
            <w:tcW w:w="835" w:type="pct"/>
          </w:tcPr>
          <w:p w:rsidR="00477E52" w:rsidRDefault="009243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FOWN</w:t>
            </w:r>
          </w:p>
        </w:tc>
        <w:tc>
          <w:tcPr>
            <w:tcW w:w="496"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917"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.0014175</w:t>
            </w:r>
          </w:p>
        </w:tc>
        <w:tc>
          <w:tcPr>
            <w:tcW w:w="917"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.0080297</w:t>
            </w:r>
          </w:p>
        </w:tc>
        <w:tc>
          <w:tcPr>
            <w:tcW w:w="917"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17"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.0667</w:t>
            </w:r>
          </w:p>
        </w:tc>
      </w:tr>
      <w:tr w:rsidR="00477E52">
        <w:tc>
          <w:tcPr>
            <w:tcW w:w="835" w:type="pct"/>
          </w:tcPr>
          <w:p w:rsidR="00477E52" w:rsidRDefault="009243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IOWN</w:t>
            </w:r>
          </w:p>
        </w:tc>
        <w:tc>
          <w:tcPr>
            <w:tcW w:w="496"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917"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.3234248</w:t>
            </w:r>
          </w:p>
        </w:tc>
        <w:tc>
          <w:tcPr>
            <w:tcW w:w="917"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.2630079</w:t>
            </w:r>
          </w:p>
        </w:tc>
        <w:tc>
          <w:tcPr>
            <w:tcW w:w="917"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917"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w:t>
            </w:r>
          </w:p>
        </w:tc>
      </w:tr>
      <w:tr w:rsidR="00477E52">
        <w:tc>
          <w:tcPr>
            <w:tcW w:w="835" w:type="pct"/>
          </w:tcPr>
          <w:p w:rsidR="00477E52" w:rsidRDefault="009243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CAR</w:t>
            </w:r>
          </w:p>
        </w:tc>
        <w:tc>
          <w:tcPr>
            <w:tcW w:w="496"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917"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.266656</w:t>
            </w:r>
          </w:p>
        </w:tc>
        <w:tc>
          <w:tcPr>
            <w:tcW w:w="917"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.2335111</w:t>
            </w:r>
          </w:p>
        </w:tc>
        <w:tc>
          <w:tcPr>
            <w:tcW w:w="917"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.000147</w:t>
            </w:r>
          </w:p>
        </w:tc>
        <w:tc>
          <w:tcPr>
            <w:tcW w:w="917"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.970961</w:t>
            </w:r>
          </w:p>
        </w:tc>
      </w:tr>
      <w:tr w:rsidR="00477E52">
        <w:tc>
          <w:tcPr>
            <w:tcW w:w="835" w:type="pct"/>
          </w:tcPr>
          <w:p w:rsidR="00477E52" w:rsidRDefault="009243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FSIZ</w:t>
            </w:r>
          </w:p>
        </w:tc>
        <w:tc>
          <w:tcPr>
            <w:tcW w:w="496"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917"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21.41473</w:t>
            </w:r>
          </w:p>
        </w:tc>
        <w:tc>
          <w:tcPr>
            <w:tcW w:w="917"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.9794822</w:t>
            </w:r>
          </w:p>
        </w:tc>
        <w:tc>
          <w:tcPr>
            <w:tcW w:w="917"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18.86861</w:t>
            </w:r>
          </w:p>
        </w:tc>
        <w:tc>
          <w:tcPr>
            <w:tcW w:w="917"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23.42947</w:t>
            </w:r>
          </w:p>
        </w:tc>
      </w:tr>
      <w:tr w:rsidR="00477E52">
        <w:tc>
          <w:tcPr>
            <w:tcW w:w="835" w:type="pct"/>
          </w:tcPr>
          <w:p w:rsidR="00477E52" w:rsidRDefault="009243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NPM</w:t>
            </w:r>
          </w:p>
        </w:tc>
        <w:tc>
          <w:tcPr>
            <w:tcW w:w="496"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917"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.2287384</w:t>
            </w:r>
          </w:p>
        </w:tc>
        <w:tc>
          <w:tcPr>
            <w:tcW w:w="917"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.1902205</w:t>
            </w:r>
          </w:p>
        </w:tc>
        <w:tc>
          <w:tcPr>
            <w:tcW w:w="917"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-.43265</w:t>
            </w:r>
          </w:p>
        </w:tc>
        <w:tc>
          <w:tcPr>
            <w:tcW w:w="917"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.786672</w:t>
            </w:r>
          </w:p>
        </w:tc>
      </w:tr>
    </w:tbl>
    <w:p w:rsidR="00477E52" w:rsidRDefault="009243CD">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Source: </w:t>
      </w:r>
      <w:r>
        <w:rPr>
          <w:rFonts w:ascii="Times New Roman" w:hAnsi="Times New Roman" w:cs="Times New Roman"/>
          <w:sz w:val="24"/>
          <w:szCs w:val="24"/>
        </w:rPr>
        <w:t>STATA Version 17, 2026</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The descriptive statistics presented in Table 4.1 provide insight into the distributional characteristics of the variables across the 120 bank-year observations for listed deposit money banks in Nigeria. The mean value of Tobin’s Q i</w:t>
      </w:r>
      <w:r>
        <w:rPr>
          <w:rFonts w:ascii="Times New Roman" w:hAnsi="Times New Roman" w:cs="Times New Roman"/>
          <w:sz w:val="24"/>
          <w:szCs w:val="24"/>
        </w:rPr>
        <w:t xml:space="preserve">s 0.0214, indicating that, on </w:t>
      </w:r>
      <w:proofErr w:type="gramStart"/>
      <w:r>
        <w:rPr>
          <w:rFonts w:ascii="Times New Roman" w:hAnsi="Times New Roman" w:cs="Times New Roman"/>
          <w:sz w:val="24"/>
          <w:szCs w:val="24"/>
        </w:rPr>
        <w:t>average,</w:t>
      </w:r>
      <w:proofErr w:type="gramEnd"/>
      <w:r>
        <w:rPr>
          <w:rFonts w:ascii="Times New Roman" w:hAnsi="Times New Roman" w:cs="Times New Roman"/>
          <w:sz w:val="24"/>
          <w:szCs w:val="24"/>
        </w:rPr>
        <w:t xml:space="preserve"> the market value of listed Nigerian deposit money banks is relatively low compared to the book value of their total assets. This suggests modest market valuation during the study period. The standard deviation of 0.03</w:t>
      </w:r>
      <w:r>
        <w:rPr>
          <w:rFonts w:ascii="Times New Roman" w:hAnsi="Times New Roman" w:cs="Times New Roman"/>
          <w:sz w:val="24"/>
          <w:szCs w:val="24"/>
        </w:rPr>
        <w:t xml:space="preserve">27 exceeds the mean, implying substantial dispersion in firm value across banks and years. The minimum value of 0.0023 indicates that some banks recorded extremely low market valuation relative to asset base, while the maximum value of 0.2828 shows that a </w:t>
      </w:r>
      <w:r>
        <w:rPr>
          <w:rFonts w:ascii="Times New Roman" w:hAnsi="Times New Roman" w:cs="Times New Roman"/>
          <w:sz w:val="24"/>
          <w:szCs w:val="24"/>
        </w:rPr>
        <w:t>few banks experienced relatively stronger market confidence. The wide gap between the minimum and maximum values reflects heterogeneity in market performance within the Nigerian banking sector.</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Managerial ownership has a mean of 0.0082 (0.82%), indicating </w:t>
      </w:r>
      <w:r>
        <w:rPr>
          <w:rFonts w:ascii="Times New Roman" w:hAnsi="Times New Roman" w:cs="Times New Roman"/>
          <w:sz w:val="24"/>
          <w:szCs w:val="24"/>
        </w:rPr>
        <w:t>that, on average, board members and executive directors hold less than 1% of total shares in the sampled banks. This suggests relatively low insider ownership in Nigerian deposit money banks. The standard deviation of 0.0228, which is higher than the mean,</w:t>
      </w:r>
      <w:r>
        <w:rPr>
          <w:rFonts w:ascii="Times New Roman" w:hAnsi="Times New Roman" w:cs="Times New Roman"/>
          <w:sz w:val="24"/>
          <w:szCs w:val="24"/>
        </w:rPr>
        <w:t xml:space="preserve"> reveals considerable variation in managerial shareholding structures across banks. The minimum value of 0 shows that some banks had no managerial ownership during certain periods, while the maximum value of 0.1613 (16.13%) indicates that a few banks exhib</w:t>
      </w:r>
      <w:r>
        <w:rPr>
          <w:rFonts w:ascii="Times New Roman" w:hAnsi="Times New Roman" w:cs="Times New Roman"/>
          <w:sz w:val="24"/>
          <w:szCs w:val="24"/>
        </w:rPr>
        <w:t>ited relatively concentrated insider ownership. This disparity suggests differences in governance structures and ownership alignment mechanisms within the sector.</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Foreign ownership records a mean of 0.0014 (0.14%), indicating that foreign investors hold a </w:t>
      </w:r>
      <w:r>
        <w:rPr>
          <w:rFonts w:ascii="Times New Roman" w:hAnsi="Times New Roman" w:cs="Times New Roman"/>
          <w:sz w:val="24"/>
          <w:szCs w:val="24"/>
        </w:rPr>
        <w:t xml:space="preserve">very small proportion of total equity in the sampled banks on average. This suggests limited foreign participation in the ownership structure of listed Nigerian deposit money banks during the study period. The standard deviation of 0.0080, though small in </w:t>
      </w:r>
      <w:r>
        <w:rPr>
          <w:rFonts w:ascii="Times New Roman" w:hAnsi="Times New Roman" w:cs="Times New Roman"/>
          <w:sz w:val="24"/>
          <w:szCs w:val="24"/>
        </w:rPr>
        <w:t>absolute terms, is still significantly larger than the mean, indicating uneven distribution across banks. The minimum value of 0 implies that several banks had no foreign equity participation, while the maximum value of 0.0667 (6.67%) shows that foreign ow</w:t>
      </w:r>
      <w:r>
        <w:rPr>
          <w:rFonts w:ascii="Times New Roman" w:hAnsi="Times New Roman" w:cs="Times New Roman"/>
          <w:sz w:val="24"/>
          <w:szCs w:val="24"/>
        </w:rPr>
        <w:t>nership was moderately present in a few cases. Overall, the figures reflect low but uneven foreign investor involvement in the Nigerian banking sector.</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Institutional ownership has a mean of 0.3234 (32.34%), indicating that institutional investors constitut</w:t>
      </w:r>
      <w:r>
        <w:rPr>
          <w:rFonts w:ascii="Times New Roman" w:hAnsi="Times New Roman" w:cs="Times New Roman"/>
          <w:sz w:val="24"/>
          <w:szCs w:val="24"/>
        </w:rPr>
        <w:t>e a significant proportion of shareholding in listed Nigerian deposit money banks. This suggests that institutional investors play a dominant role in bank ownership structures. The relatively high standard deviation of 0.2630 reveals substantial variabilit</w:t>
      </w:r>
      <w:r>
        <w:rPr>
          <w:rFonts w:ascii="Times New Roman" w:hAnsi="Times New Roman" w:cs="Times New Roman"/>
          <w:sz w:val="24"/>
          <w:szCs w:val="24"/>
        </w:rPr>
        <w:t xml:space="preserve">y in institutional holdings across banks. The minimum value of 0 shows that some banks recorded no institutional ownership at certain points, while the maximum value of 0.91 (91%) indicates that institutional investors held near-controlling stakes in some </w:t>
      </w:r>
      <w:r>
        <w:rPr>
          <w:rFonts w:ascii="Times New Roman" w:hAnsi="Times New Roman" w:cs="Times New Roman"/>
          <w:sz w:val="24"/>
          <w:szCs w:val="24"/>
        </w:rPr>
        <w:t>banks. This wide range demonstrates considerable diversity in ownership concentration patterns within the sector.</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Capital Adequacy Ratio has a mean of 0.2667 (26.67%), indicating that, on average, listed Nigerian deposit money banks maintained capital </w:t>
      </w:r>
      <w:r>
        <w:rPr>
          <w:rFonts w:ascii="Times New Roman" w:hAnsi="Times New Roman" w:cs="Times New Roman"/>
          <w:sz w:val="24"/>
          <w:szCs w:val="24"/>
        </w:rPr>
        <w:t>buffers well above the regulatory minimum requirement during the study period. This reflects a relatively strong capitalization level within the sector. The standard deviation of 0.2335 suggests notable fluctuations in capital strength across banks and yea</w:t>
      </w:r>
      <w:r>
        <w:rPr>
          <w:rFonts w:ascii="Times New Roman" w:hAnsi="Times New Roman" w:cs="Times New Roman"/>
          <w:sz w:val="24"/>
          <w:szCs w:val="24"/>
        </w:rPr>
        <w:t xml:space="preserve">rs. The minimum value of 0.000147 indicates that at </w:t>
      </w:r>
      <w:r>
        <w:rPr>
          <w:rFonts w:ascii="Times New Roman" w:hAnsi="Times New Roman" w:cs="Times New Roman"/>
          <w:sz w:val="24"/>
          <w:szCs w:val="24"/>
        </w:rPr>
        <w:lastRenderedPageBreak/>
        <w:t>least one bank recorded an extremely weak capital position at some point, whereas the maximum value of 0.9709 (97.09%) reflects exceptionally high capitalization in certain cases. The wide spread highligh</w:t>
      </w:r>
      <w:r>
        <w:rPr>
          <w:rFonts w:ascii="Times New Roman" w:hAnsi="Times New Roman" w:cs="Times New Roman"/>
          <w:sz w:val="24"/>
          <w:szCs w:val="24"/>
        </w:rPr>
        <w:t>ts differences in financial resilience and risk absorption capacity among banks.</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Collectively, the control variables demonstrate that while Nigerian deposit money banks are generally large institutions with moderate profitability, performance levels varied</w:t>
      </w:r>
      <w:r>
        <w:rPr>
          <w:rFonts w:ascii="Times New Roman" w:hAnsi="Times New Roman" w:cs="Times New Roman"/>
          <w:sz w:val="24"/>
          <w:szCs w:val="24"/>
        </w:rPr>
        <w:t xml:space="preserve"> significantly across banks and over time. Firm size (FSIZ), measured as the natural logarithm of total assets, has a mean of 21.4147, suggesting that the sampled banks are relatively large financial institutions. The standard deviation of 0.9795 indicates</w:t>
      </w:r>
      <w:r>
        <w:rPr>
          <w:rFonts w:ascii="Times New Roman" w:hAnsi="Times New Roman" w:cs="Times New Roman"/>
          <w:sz w:val="24"/>
          <w:szCs w:val="24"/>
        </w:rPr>
        <w:t xml:space="preserve"> moderate dispersion in asset base across banks. The minimum (18.8686) and maximum (23.4295) values reveal differences in scale, but not extreme variability, implying that most banks operate within a comparable asset range. Profitability (NPM) records a me</w:t>
      </w:r>
      <w:r>
        <w:rPr>
          <w:rFonts w:ascii="Times New Roman" w:hAnsi="Times New Roman" w:cs="Times New Roman"/>
          <w:sz w:val="24"/>
          <w:szCs w:val="24"/>
        </w:rPr>
        <w:t>an of 0.2287 (22.87%), indicating that, on average, the banks generated positive net profit margins during the period under review. However, the relatively high standard deviation of 0.1902 suggests considerable fluctuations in profitability performance. T</w:t>
      </w:r>
      <w:r>
        <w:rPr>
          <w:rFonts w:ascii="Times New Roman" w:hAnsi="Times New Roman" w:cs="Times New Roman"/>
          <w:sz w:val="24"/>
          <w:szCs w:val="24"/>
        </w:rPr>
        <w:t xml:space="preserve">he minimum value of -0.4327 (-43.27%) shows that some banks experienced substantial losses in certain </w:t>
      </w:r>
      <w:proofErr w:type="gramStart"/>
      <w:r>
        <w:rPr>
          <w:rFonts w:ascii="Times New Roman" w:hAnsi="Times New Roman" w:cs="Times New Roman"/>
          <w:sz w:val="24"/>
          <w:szCs w:val="24"/>
        </w:rPr>
        <w:t>years,</w:t>
      </w:r>
      <w:proofErr w:type="gramEnd"/>
      <w:r>
        <w:rPr>
          <w:rFonts w:ascii="Times New Roman" w:hAnsi="Times New Roman" w:cs="Times New Roman"/>
          <w:sz w:val="24"/>
          <w:szCs w:val="24"/>
        </w:rPr>
        <w:t xml:space="preserve"> while the maximum value of 0.7867 (78.67%) indicates periods of very high profitability for others. </w:t>
      </w:r>
    </w:p>
    <w:p w:rsidR="00477E52" w:rsidRDefault="009243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Table 4.2: Normality Test</w:t>
      </w:r>
    </w:p>
    <w:tbl>
      <w:tblPr>
        <w:tblStyle w:val="TableGrid"/>
        <w:tblW w:w="5000" w:type="pct"/>
        <w:tblLook w:val="04A0" w:firstRow="1" w:lastRow="0" w:firstColumn="1" w:lastColumn="0" w:noHBand="0" w:noVBand="1"/>
      </w:tblPr>
      <w:tblGrid>
        <w:gridCol w:w="1791"/>
        <w:gridCol w:w="1063"/>
        <w:gridCol w:w="1756"/>
        <w:gridCol w:w="1543"/>
        <w:gridCol w:w="1333"/>
        <w:gridCol w:w="1756"/>
      </w:tblGrid>
      <w:tr w:rsidR="00477E52">
        <w:tc>
          <w:tcPr>
            <w:tcW w:w="969" w:type="pct"/>
          </w:tcPr>
          <w:p w:rsidR="00477E52" w:rsidRDefault="009243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Variable</w:t>
            </w:r>
          </w:p>
        </w:tc>
        <w:tc>
          <w:tcPr>
            <w:tcW w:w="575" w:type="pct"/>
          </w:tcPr>
          <w:p w:rsidR="00477E52" w:rsidRDefault="009243C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OBS</w:t>
            </w:r>
          </w:p>
        </w:tc>
        <w:tc>
          <w:tcPr>
            <w:tcW w:w="950" w:type="pct"/>
          </w:tcPr>
          <w:p w:rsidR="00477E52" w:rsidRDefault="009243C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w:t>
            </w:r>
          </w:p>
        </w:tc>
        <w:tc>
          <w:tcPr>
            <w:tcW w:w="835" w:type="pct"/>
          </w:tcPr>
          <w:p w:rsidR="00477E52" w:rsidRDefault="009243C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w:t>
            </w:r>
          </w:p>
        </w:tc>
        <w:tc>
          <w:tcPr>
            <w:tcW w:w="721" w:type="pct"/>
          </w:tcPr>
          <w:p w:rsidR="00477E52" w:rsidRDefault="009243C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z</w:t>
            </w:r>
          </w:p>
        </w:tc>
        <w:tc>
          <w:tcPr>
            <w:tcW w:w="950" w:type="pct"/>
          </w:tcPr>
          <w:p w:rsidR="00477E52" w:rsidRDefault="009243CD">
            <w:pPr>
              <w:spacing w:after="0"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Prob</w:t>
            </w:r>
            <w:proofErr w:type="spellEnd"/>
            <w:r>
              <w:rPr>
                <w:rFonts w:ascii="Times New Roman" w:hAnsi="Times New Roman" w:cs="Times New Roman"/>
                <w:b/>
                <w:bCs/>
                <w:sz w:val="24"/>
                <w:szCs w:val="24"/>
              </w:rPr>
              <w:t xml:space="preserve"> &gt; z</w:t>
            </w:r>
          </w:p>
        </w:tc>
      </w:tr>
      <w:tr w:rsidR="00477E52">
        <w:tc>
          <w:tcPr>
            <w:tcW w:w="969" w:type="pct"/>
          </w:tcPr>
          <w:p w:rsidR="00477E52" w:rsidRDefault="009243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TOB_Q</w:t>
            </w:r>
          </w:p>
        </w:tc>
        <w:tc>
          <w:tcPr>
            <w:tcW w:w="575"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950"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0.49948</w:t>
            </w:r>
          </w:p>
        </w:tc>
        <w:tc>
          <w:tcPr>
            <w:tcW w:w="835"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48.164</w:t>
            </w:r>
          </w:p>
        </w:tc>
        <w:tc>
          <w:tcPr>
            <w:tcW w:w="721"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8.681</w:t>
            </w:r>
          </w:p>
        </w:tc>
        <w:tc>
          <w:tcPr>
            <w:tcW w:w="950"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0.00000</w:t>
            </w:r>
          </w:p>
        </w:tc>
      </w:tr>
      <w:tr w:rsidR="00477E52">
        <w:tc>
          <w:tcPr>
            <w:tcW w:w="969" w:type="pct"/>
          </w:tcPr>
          <w:p w:rsidR="00477E52" w:rsidRDefault="009243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MOWN</w:t>
            </w:r>
          </w:p>
        </w:tc>
        <w:tc>
          <w:tcPr>
            <w:tcW w:w="575"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950"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0.41606</w:t>
            </w:r>
          </w:p>
        </w:tc>
        <w:tc>
          <w:tcPr>
            <w:tcW w:w="835"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56.191</w:t>
            </w:r>
          </w:p>
        </w:tc>
        <w:tc>
          <w:tcPr>
            <w:tcW w:w="721"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9.026</w:t>
            </w:r>
          </w:p>
        </w:tc>
        <w:tc>
          <w:tcPr>
            <w:tcW w:w="950"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0.00000</w:t>
            </w:r>
          </w:p>
        </w:tc>
      </w:tr>
      <w:tr w:rsidR="00477E52">
        <w:tc>
          <w:tcPr>
            <w:tcW w:w="969" w:type="pct"/>
          </w:tcPr>
          <w:p w:rsidR="00477E52" w:rsidRDefault="009243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FOWN</w:t>
            </w:r>
          </w:p>
        </w:tc>
        <w:tc>
          <w:tcPr>
            <w:tcW w:w="575"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950"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0.41888</w:t>
            </w:r>
          </w:p>
        </w:tc>
        <w:tc>
          <w:tcPr>
            <w:tcW w:w="835"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55.920</w:t>
            </w:r>
          </w:p>
        </w:tc>
        <w:tc>
          <w:tcPr>
            <w:tcW w:w="721"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9.015</w:t>
            </w:r>
          </w:p>
        </w:tc>
        <w:tc>
          <w:tcPr>
            <w:tcW w:w="950"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0.00000</w:t>
            </w:r>
          </w:p>
        </w:tc>
      </w:tr>
      <w:tr w:rsidR="00477E52">
        <w:tc>
          <w:tcPr>
            <w:tcW w:w="969" w:type="pct"/>
          </w:tcPr>
          <w:p w:rsidR="00477E52" w:rsidRDefault="009243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IOWN</w:t>
            </w:r>
          </w:p>
        </w:tc>
        <w:tc>
          <w:tcPr>
            <w:tcW w:w="575"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950"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0.94475</w:t>
            </w:r>
          </w:p>
        </w:tc>
        <w:tc>
          <w:tcPr>
            <w:tcW w:w="835"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5.316</w:t>
            </w:r>
          </w:p>
        </w:tc>
        <w:tc>
          <w:tcPr>
            <w:tcW w:w="721"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3.743</w:t>
            </w:r>
          </w:p>
        </w:tc>
        <w:tc>
          <w:tcPr>
            <w:tcW w:w="950"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0.00009</w:t>
            </w:r>
          </w:p>
        </w:tc>
      </w:tr>
      <w:tr w:rsidR="00477E52">
        <w:tc>
          <w:tcPr>
            <w:tcW w:w="969" w:type="pct"/>
          </w:tcPr>
          <w:p w:rsidR="00477E52" w:rsidRDefault="009243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CAR</w:t>
            </w:r>
          </w:p>
        </w:tc>
        <w:tc>
          <w:tcPr>
            <w:tcW w:w="575"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950"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0.90371</w:t>
            </w:r>
          </w:p>
        </w:tc>
        <w:tc>
          <w:tcPr>
            <w:tcW w:w="835"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9.265</w:t>
            </w:r>
          </w:p>
        </w:tc>
        <w:tc>
          <w:tcPr>
            <w:tcW w:w="721"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4.988</w:t>
            </w:r>
          </w:p>
        </w:tc>
        <w:tc>
          <w:tcPr>
            <w:tcW w:w="950"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0.00000</w:t>
            </w:r>
          </w:p>
        </w:tc>
      </w:tr>
      <w:tr w:rsidR="00477E52">
        <w:tc>
          <w:tcPr>
            <w:tcW w:w="969" w:type="pct"/>
          </w:tcPr>
          <w:p w:rsidR="00477E52" w:rsidRDefault="009243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FSIZ</w:t>
            </w:r>
          </w:p>
        </w:tc>
        <w:tc>
          <w:tcPr>
            <w:tcW w:w="575"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950"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0.98734</w:t>
            </w:r>
          </w:p>
        </w:tc>
        <w:tc>
          <w:tcPr>
            <w:tcW w:w="835"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1.219</w:t>
            </w:r>
          </w:p>
        </w:tc>
        <w:tc>
          <w:tcPr>
            <w:tcW w:w="721"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0.443</w:t>
            </w:r>
          </w:p>
        </w:tc>
        <w:tc>
          <w:tcPr>
            <w:tcW w:w="950"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0.32892</w:t>
            </w:r>
          </w:p>
        </w:tc>
      </w:tr>
      <w:tr w:rsidR="00477E52">
        <w:tc>
          <w:tcPr>
            <w:tcW w:w="969" w:type="pct"/>
          </w:tcPr>
          <w:p w:rsidR="00477E52" w:rsidRDefault="009243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NPM</w:t>
            </w:r>
          </w:p>
        </w:tc>
        <w:tc>
          <w:tcPr>
            <w:tcW w:w="575"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950"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0.91772</w:t>
            </w:r>
          </w:p>
        </w:tc>
        <w:tc>
          <w:tcPr>
            <w:tcW w:w="835"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7.918</w:t>
            </w:r>
          </w:p>
        </w:tc>
        <w:tc>
          <w:tcPr>
            <w:tcW w:w="721"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4.636</w:t>
            </w:r>
          </w:p>
        </w:tc>
        <w:tc>
          <w:tcPr>
            <w:tcW w:w="950"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0.00000</w:t>
            </w:r>
          </w:p>
        </w:tc>
      </w:tr>
    </w:tbl>
    <w:p w:rsidR="00477E52" w:rsidRDefault="009243CD">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Source: </w:t>
      </w:r>
      <w:r>
        <w:rPr>
          <w:rFonts w:ascii="Times New Roman" w:hAnsi="Times New Roman" w:cs="Times New Roman"/>
          <w:sz w:val="24"/>
          <w:szCs w:val="24"/>
        </w:rPr>
        <w:t>STATA Version 17, 2026</w:t>
      </w:r>
    </w:p>
    <w:p w:rsidR="00477E52" w:rsidRDefault="009243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results of the Shapiro–</w:t>
      </w:r>
      <w:proofErr w:type="spellStart"/>
      <w:r>
        <w:rPr>
          <w:rFonts w:ascii="Times New Roman" w:hAnsi="Times New Roman" w:cs="Times New Roman"/>
          <w:sz w:val="24"/>
          <w:szCs w:val="24"/>
        </w:rPr>
        <w:t>Wilk</w:t>
      </w:r>
      <w:proofErr w:type="spellEnd"/>
      <w:r>
        <w:rPr>
          <w:rFonts w:ascii="Times New Roman" w:hAnsi="Times New Roman" w:cs="Times New Roman"/>
          <w:sz w:val="24"/>
          <w:szCs w:val="24"/>
        </w:rPr>
        <w:t xml:space="preserve"> normality test presented in Table 4.2 indicate that most of the variables deviate significantly from a normal distribution. Tobin’s Q (TOB_Q) records a W-statistic of 0.49948 with a p-value of 0.00000, indicating strong evid</w:t>
      </w:r>
      <w:r>
        <w:rPr>
          <w:rFonts w:ascii="Times New Roman" w:hAnsi="Times New Roman" w:cs="Times New Roman"/>
          <w:sz w:val="24"/>
          <w:szCs w:val="24"/>
        </w:rPr>
        <w:t>ence against normality. Similarly, Managerial Ownership (MOWN) (W = 0.41606, p = 0.00000) and Foreign Ownership (FOWN) (W = 0.41888, p = 0.00000) show substantial departures from normality, reflecting skewed distributions likely due to the high frequency o</w:t>
      </w:r>
      <w:r>
        <w:rPr>
          <w:rFonts w:ascii="Times New Roman" w:hAnsi="Times New Roman" w:cs="Times New Roman"/>
          <w:sz w:val="24"/>
          <w:szCs w:val="24"/>
        </w:rPr>
        <w:t>f low or zero ownership values. Institutional Ownership (IOWN) also rejects the null hypothesis of normality (W = 0.94475, p = 0.00009), despite having a relatively higher W-statistic compared to other ownership variables. Capital Adequacy Ratio (CAR) (W =</w:t>
      </w:r>
      <w:r>
        <w:rPr>
          <w:rFonts w:ascii="Times New Roman" w:hAnsi="Times New Roman" w:cs="Times New Roman"/>
          <w:sz w:val="24"/>
          <w:szCs w:val="24"/>
        </w:rPr>
        <w:t xml:space="preserve"> 0.90371, p = 0.00000) and Profitability (NPM) (W = 0.91772, p = 0.00000) likewise exhibit significant non-normality, suggesting variability and potential outliers in capital strength and earnings performance across banks. </w:t>
      </w:r>
    </w:p>
    <w:p w:rsidR="00477E52" w:rsidRDefault="009243CD">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However, Firm Size (FSIZ) is nor</w:t>
      </w:r>
      <w:r>
        <w:rPr>
          <w:rFonts w:ascii="Times New Roman" w:hAnsi="Times New Roman" w:cs="Times New Roman"/>
          <w:sz w:val="24"/>
          <w:szCs w:val="24"/>
        </w:rPr>
        <w:t xml:space="preserve">mally distributed, with a W-statistic of 0.98734 and a p-value of 0.32892, which exceeds the 5% significance level, indicating failure to reject the null hypothesis of normality. Overall, the results suggest that except for firm size, the variables do not </w:t>
      </w:r>
      <w:r>
        <w:rPr>
          <w:rFonts w:ascii="Times New Roman" w:hAnsi="Times New Roman" w:cs="Times New Roman"/>
          <w:sz w:val="24"/>
          <w:szCs w:val="24"/>
        </w:rPr>
        <w:t>follow a normal distribution; however, given the panel nature of the data and the application of robust estimation techniques, this deviation does not invalidate the regression analysis.</w:t>
      </w:r>
    </w:p>
    <w:p w:rsidR="00477E52" w:rsidRDefault="009243CD">
      <w:pPr>
        <w:spacing w:before="240" w:after="0" w:line="240" w:lineRule="auto"/>
        <w:rPr>
          <w:rFonts w:ascii="Times New Roman" w:hAnsi="Times New Roman" w:cs="Times New Roman"/>
          <w:b/>
          <w:bCs/>
          <w:sz w:val="24"/>
          <w:szCs w:val="24"/>
        </w:rPr>
      </w:pPr>
      <w:r>
        <w:rPr>
          <w:rFonts w:ascii="Times New Roman" w:hAnsi="Times New Roman" w:cs="Times New Roman"/>
          <w:b/>
          <w:bCs/>
          <w:sz w:val="24"/>
          <w:szCs w:val="24"/>
        </w:rPr>
        <w:t>Table 4.3: Correlation Test</w:t>
      </w:r>
    </w:p>
    <w:tbl>
      <w:tblPr>
        <w:tblStyle w:val="TableGrid"/>
        <w:tblW w:w="5000" w:type="pct"/>
        <w:tblLook w:val="04A0" w:firstRow="1" w:lastRow="0" w:firstColumn="1" w:lastColumn="0" w:noHBand="0" w:noVBand="1"/>
      </w:tblPr>
      <w:tblGrid>
        <w:gridCol w:w="1162"/>
        <w:gridCol w:w="1199"/>
        <w:gridCol w:w="1200"/>
        <w:gridCol w:w="1200"/>
        <w:gridCol w:w="1200"/>
        <w:gridCol w:w="1200"/>
        <w:gridCol w:w="1109"/>
        <w:gridCol w:w="972"/>
      </w:tblGrid>
      <w:tr w:rsidR="00477E52">
        <w:tc>
          <w:tcPr>
            <w:tcW w:w="629" w:type="pct"/>
          </w:tcPr>
          <w:p w:rsidR="00477E52" w:rsidRDefault="00477E52">
            <w:pPr>
              <w:spacing w:after="0" w:line="240" w:lineRule="auto"/>
              <w:jc w:val="center"/>
              <w:rPr>
                <w:rFonts w:ascii="Times New Roman" w:hAnsi="Times New Roman" w:cs="Times New Roman"/>
                <w:b/>
                <w:bCs/>
                <w:sz w:val="24"/>
                <w:szCs w:val="24"/>
              </w:rPr>
            </w:pPr>
          </w:p>
        </w:tc>
        <w:tc>
          <w:tcPr>
            <w:tcW w:w="649" w:type="pct"/>
          </w:tcPr>
          <w:p w:rsidR="00477E52" w:rsidRDefault="009243C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TOB_Q</w:t>
            </w:r>
          </w:p>
        </w:tc>
        <w:tc>
          <w:tcPr>
            <w:tcW w:w="649" w:type="pct"/>
          </w:tcPr>
          <w:p w:rsidR="00477E52" w:rsidRDefault="009243C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MOWN</w:t>
            </w:r>
          </w:p>
        </w:tc>
        <w:tc>
          <w:tcPr>
            <w:tcW w:w="649" w:type="pct"/>
          </w:tcPr>
          <w:p w:rsidR="00477E52" w:rsidRDefault="009243C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FOWN</w:t>
            </w:r>
          </w:p>
        </w:tc>
        <w:tc>
          <w:tcPr>
            <w:tcW w:w="649" w:type="pct"/>
          </w:tcPr>
          <w:p w:rsidR="00477E52" w:rsidRDefault="009243C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IOWN</w:t>
            </w:r>
          </w:p>
        </w:tc>
        <w:tc>
          <w:tcPr>
            <w:tcW w:w="649" w:type="pct"/>
          </w:tcPr>
          <w:p w:rsidR="00477E52" w:rsidRDefault="009243C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CAP</w:t>
            </w:r>
          </w:p>
        </w:tc>
        <w:tc>
          <w:tcPr>
            <w:tcW w:w="600" w:type="pct"/>
          </w:tcPr>
          <w:p w:rsidR="00477E52" w:rsidRDefault="009243C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FSIZ</w:t>
            </w:r>
          </w:p>
        </w:tc>
        <w:tc>
          <w:tcPr>
            <w:tcW w:w="528" w:type="pct"/>
          </w:tcPr>
          <w:p w:rsidR="00477E52" w:rsidRDefault="009243C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NPM</w:t>
            </w:r>
          </w:p>
        </w:tc>
      </w:tr>
      <w:tr w:rsidR="00477E52">
        <w:tc>
          <w:tcPr>
            <w:tcW w:w="629" w:type="pct"/>
          </w:tcPr>
          <w:p w:rsidR="00477E52" w:rsidRDefault="009243C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TOB_Q</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1.0000</w:t>
            </w:r>
          </w:p>
        </w:tc>
        <w:tc>
          <w:tcPr>
            <w:tcW w:w="649" w:type="pct"/>
          </w:tcPr>
          <w:p w:rsidR="00477E52" w:rsidRDefault="00477E52">
            <w:pPr>
              <w:spacing w:after="0" w:line="240" w:lineRule="auto"/>
              <w:jc w:val="center"/>
              <w:rPr>
                <w:rFonts w:ascii="Times New Roman" w:hAnsi="Times New Roman" w:cs="Times New Roman"/>
                <w:sz w:val="24"/>
                <w:szCs w:val="24"/>
              </w:rPr>
            </w:pPr>
          </w:p>
        </w:tc>
        <w:tc>
          <w:tcPr>
            <w:tcW w:w="649" w:type="pct"/>
          </w:tcPr>
          <w:p w:rsidR="00477E52" w:rsidRDefault="00477E52">
            <w:pPr>
              <w:spacing w:after="0" w:line="240" w:lineRule="auto"/>
              <w:jc w:val="center"/>
              <w:rPr>
                <w:rFonts w:ascii="Times New Roman" w:hAnsi="Times New Roman" w:cs="Times New Roman"/>
                <w:sz w:val="24"/>
                <w:szCs w:val="24"/>
              </w:rPr>
            </w:pPr>
          </w:p>
        </w:tc>
        <w:tc>
          <w:tcPr>
            <w:tcW w:w="649" w:type="pct"/>
          </w:tcPr>
          <w:p w:rsidR="00477E52" w:rsidRDefault="00477E52">
            <w:pPr>
              <w:spacing w:after="0" w:line="240" w:lineRule="auto"/>
              <w:jc w:val="center"/>
              <w:rPr>
                <w:rFonts w:ascii="Times New Roman" w:hAnsi="Times New Roman" w:cs="Times New Roman"/>
                <w:sz w:val="24"/>
                <w:szCs w:val="24"/>
              </w:rPr>
            </w:pPr>
          </w:p>
        </w:tc>
        <w:tc>
          <w:tcPr>
            <w:tcW w:w="649" w:type="pct"/>
          </w:tcPr>
          <w:p w:rsidR="00477E52" w:rsidRDefault="00477E52">
            <w:pPr>
              <w:spacing w:after="0" w:line="240" w:lineRule="auto"/>
              <w:jc w:val="center"/>
              <w:rPr>
                <w:rFonts w:ascii="Times New Roman" w:hAnsi="Times New Roman" w:cs="Times New Roman"/>
                <w:sz w:val="24"/>
                <w:szCs w:val="24"/>
              </w:rPr>
            </w:pPr>
          </w:p>
        </w:tc>
        <w:tc>
          <w:tcPr>
            <w:tcW w:w="600" w:type="pct"/>
          </w:tcPr>
          <w:p w:rsidR="00477E52" w:rsidRDefault="00477E52">
            <w:pPr>
              <w:spacing w:after="0" w:line="240" w:lineRule="auto"/>
              <w:jc w:val="center"/>
              <w:rPr>
                <w:rFonts w:ascii="Times New Roman" w:hAnsi="Times New Roman" w:cs="Times New Roman"/>
                <w:sz w:val="24"/>
                <w:szCs w:val="24"/>
              </w:rPr>
            </w:pPr>
          </w:p>
        </w:tc>
        <w:tc>
          <w:tcPr>
            <w:tcW w:w="528" w:type="pct"/>
          </w:tcPr>
          <w:p w:rsidR="00477E52" w:rsidRDefault="00477E52">
            <w:pPr>
              <w:spacing w:after="0" w:line="240" w:lineRule="auto"/>
              <w:jc w:val="center"/>
              <w:rPr>
                <w:rFonts w:ascii="Times New Roman" w:hAnsi="Times New Roman" w:cs="Times New Roman"/>
                <w:sz w:val="24"/>
                <w:szCs w:val="24"/>
              </w:rPr>
            </w:pPr>
          </w:p>
        </w:tc>
      </w:tr>
      <w:tr w:rsidR="00477E52">
        <w:tc>
          <w:tcPr>
            <w:tcW w:w="629" w:type="pct"/>
          </w:tcPr>
          <w:p w:rsidR="00477E52" w:rsidRDefault="009243C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MOWN</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0.1914*</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1.0000</w:t>
            </w:r>
          </w:p>
        </w:tc>
        <w:tc>
          <w:tcPr>
            <w:tcW w:w="649" w:type="pct"/>
          </w:tcPr>
          <w:p w:rsidR="00477E52" w:rsidRDefault="00477E52">
            <w:pPr>
              <w:spacing w:after="0" w:line="240" w:lineRule="auto"/>
              <w:jc w:val="center"/>
              <w:rPr>
                <w:rFonts w:ascii="Times New Roman" w:hAnsi="Times New Roman" w:cs="Times New Roman"/>
                <w:sz w:val="24"/>
                <w:szCs w:val="24"/>
              </w:rPr>
            </w:pPr>
          </w:p>
        </w:tc>
        <w:tc>
          <w:tcPr>
            <w:tcW w:w="649" w:type="pct"/>
          </w:tcPr>
          <w:p w:rsidR="00477E52" w:rsidRDefault="00477E52">
            <w:pPr>
              <w:spacing w:after="0" w:line="240" w:lineRule="auto"/>
              <w:jc w:val="center"/>
              <w:rPr>
                <w:rFonts w:ascii="Times New Roman" w:hAnsi="Times New Roman" w:cs="Times New Roman"/>
                <w:sz w:val="24"/>
                <w:szCs w:val="24"/>
              </w:rPr>
            </w:pPr>
          </w:p>
        </w:tc>
        <w:tc>
          <w:tcPr>
            <w:tcW w:w="649" w:type="pct"/>
          </w:tcPr>
          <w:p w:rsidR="00477E52" w:rsidRDefault="00477E52">
            <w:pPr>
              <w:spacing w:after="0" w:line="240" w:lineRule="auto"/>
              <w:jc w:val="center"/>
              <w:rPr>
                <w:rFonts w:ascii="Times New Roman" w:hAnsi="Times New Roman" w:cs="Times New Roman"/>
                <w:sz w:val="24"/>
                <w:szCs w:val="24"/>
              </w:rPr>
            </w:pPr>
          </w:p>
        </w:tc>
        <w:tc>
          <w:tcPr>
            <w:tcW w:w="600" w:type="pct"/>
          </w:tcPr>
          <w:p w:rsidR="00477E52" w:rsidRDefault="00477E52">
            <w:pPr>
              <w:spacing w:after="0" w:line="240" w:lineRule="auto"/>
              <w:jc w:val="center"/>
              <w:rPr>
                <w:rFonts w:ascii="Times New Roman" w:hAnsi="Times New Roman" w:cs="Times New Roman"/>
                <w:sz w:val="24"/>
                <w:szCs w:val="24"/>
              </w:rPr>
            </w:pPr>
          </w:p>
        </w:tc>
        <w:tc>
          <w:tcPr>
            <w:tcW w:w="528" w:type="pct"/>
          </w:tcPr>
          <w:p w:rsidR="00477E52" w:rsidRDefault="00477E52">
            <w:pPr>
              <w:spacing w:after="0" w:line="240" w:lineRule="auto"/>
              <w:jc w:val="center"/>
              <w:rPr>
                <w:rFonts w:ascii="Times New Roman" w:hAnsi="Times New Roman" w:cs="Times New Roman"/>
                <w:sz w:val="24"/>
                <w:szCs w:val="24"/>
              </w:rPr>
            </w:pPr>
          </w:p>
        </w:tc>
      </w:tr>
      <w:tr w:rsidR="00477E52">
        <w:tc>
          <w:tcPr>
            <w:tcW w:w="629" w:type="pct"/>
          </w:tcPr>
          <w:p w:rsidR="00477E52" w:rsidRDefault="00477E52">
            <w:pPr>
              <w:spacing w:after="0" w:line="240" w:lineRule="auto"/>
              <w:jc w:val="center"/>
              <w:rPr>
                <w:rFonts w:ascii="Times New Roman" w:hAnsi="Times New Roman" w:cs="Times New Roman"/>
                <w:b/>
                <w:bCs/>
                <w:sz w:val="24"/>
                <w:szCs w:val="24"/>
              </w:rPr>
            </w:pP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0.0362</w:t>
            </w:r>
          </w:p>
        </w:tc>
        <w:tc>
          <w:tcPr>
            <w:tcW w:w="649" w:type="pct"/>
          </w:tcPr>
          <w:p w:rsidR="00477E52" w:rsidRDefault="00477E52">
            <w:pPr>
              <w:spacing w:after="0" w:line="240" w:lineRule="auto"/>
              <w:jc w:val="center"/>
              <w:rPr>
                <w:rFonts w:ascii="Times New Roman" w:hAnsi="Times New Roman" w:cs="Times New Roman"/>
                <w:sz w:val="24"/>
                <w:szCs w:val="24"/>
              </w:rPr>
            </w:pPr>
          </w:p>
        </w:tc>
        <w:tc>
          <w:tcPr>
            <w:tcW w:w="649" w:type="pct"/>
          </w:tcPr>
          <w:p w:rsidR="00477E52" w:rsidRDefault="00477E52">
            <w:pPr>
              <w:spacing w:after="0" w:line="240" w:lineRule="auto"/>
              <w:jc w:val="center"/>
              <w:rPr>
                <w:rFonts w:ascii="Times New Roman" w:hAnsi="Times New Roman" w:cs="Times New Roman"/>
                <w:sz w:val="24"/>
                <w:szCs w:val="24"/>
              </w:rPr>
            </w:pPr>
          </w:p>
        </w:tc>
        <w:tc>
          <w:tcPr>
            <w:tcW w:w="649" w:type="pct"/>
          </w:tcPr>
          <w:p w:rsidR="00477E52" w:rsidRDefault="00477E52">
            <w:pPr>
              <w:spacing w:after="0" w:line="240" w:lineRule="auto"/>
              <w:jc w:val="center"/>
              <w:rPr>
                <w:rFonts w:ascii="Times New Roman" w:hAnsi="Times New Roman" w:cs="Times New Roman"/>
                <w:sz w:val="24"/>
                <w:szCs w:val="24"/>
              </w:rPr>
            </w:pPr>
          </w:p>
        </w:tc>
        <w:tc>
          <w:tcPr>
            <w:tcW w:w="649" w:type="pct"/>
          </w:tcPr>
          <w:p w:rsidR="00477E52" w:rsidRDefault="00477E52">
            <w:pPr>
              <w:spacing w:after="0" w:line="240" w:lineRule="auto"/>
              <w:jc w:val="center"/>
              <w:rPr>
                <w:rFonts w:ascii="Times New Roman" w:hAnsi="Times New Roman" w:cs="Times New Roman"/>
                <w:sz w:val="24"/>
                <w:szCs w:val="24"/>
              </w:rPr>
            </w:pPr>
          </w:p>
        </w:tc>
        <w:tc>
          <w:tcPr>
            <w:tcW w:w="600" w:type="pct"/>
          </w:tcPr>
          <w:p w:rsidR="00477E52" w:rsidRDefault="00477E52">
            <w:pPr>
              <w:spacing w:after="0" w:line="240" w:lineRule="auto"/>
              <w:jc w:val="center"/>
              <w:rPr>
                <w:rFonts w:ascii="Times New Roman" w:hAnsi="Times New Roman" w:cs="Times New Roman"/>
                <w:sz w:val="24"/>
                <w:szCs w:val="24"/>
              </w:rPr>
            </w:pPr>
          </w:p>
        </w:tc>
        <w:tc>
          <w:tcPr>
            <w:tcW w:w="528" w:type="pct"/>
          </w:tcPr>
          <w:p w:rsidR="00477E52" w:rsidRDefault="00477E52">
            <w:pPr>
              <w:spacing w:after="0" w:line="240" w:lineRule="auto"/>
              <w:jc w:val="center"/>
              <w:rPr>
                <w:rFonts w:ascii="Times New Roman" w:hAnsi="Times New Roman" w:cs="Times New Roman"/>
                <w:sz w:val="24"/>
                <w:szCs w:val="24"/>
              </w:rPr>
            </w:pPr>
          </w:p>
        </w:tc>
      </w:tr>
      <w:tr w:rsidR="00477E52">
        <w:tc>
          <w:tcPr>
            <w:tcW w:w="629" w:type="pct"/>
          </w:tcPr>
          <w:p w:rsidR="00477E52" w:rsidRDefault="009243C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FOWN</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-0.0830</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-0.0639</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1.0000</w:t>
            </w:r>
          </w:p>
        </w:tc>
        <w:tc>
          <w:tcPr>
            <w:tcW w:w="649" w:type="pct"/>
          </w:tcPr>
          <w:p w:rsidR="00477E52" w:rsidRDefault="00477E52">
            <w:pPr>
              <w:spacing w:after="0" w:line="240" w:lineRule="auto"/>
              <w:jc w:val="center"/>
              <w:rPr>
                <w:rFonts w:ascii="Times New Roman" w:hAnsi="Times New Roman" w:cs="Times New Roman"/>
                <w:sz w:val="24"/>
                <w:szCs w:val="24"/>
              </w:rPr>
            </w:pPr>
          </w:p>
        </w:tc>
        <w:tc>
          <w:tcPr>
            <w:tcW w:w="649" w:type="pct"/>
          </w:tcPr>
          <w:p w:rsidR="00477E52" w:rsidRDefault="00477E52">
            <w:pPr>
              <w:spacing w:after="0" w:line="240" w:lineRule="auto"/>
              <w:jc w:val="center"/>
              <w:rPr>
                <w:rFonts w:ascii="Times New Roman" w:hAnsi="Times New Roman" w:cs="Times New Roman"/>
                <w:sz w:val="24"/>
                <w:szCs w:val="24"/>
              </w:rPr>
            </w:pPr>
          </w:p>
        </w:tc>
        <w:tc>
          <w:tcPr>
            <w:tcW w:w="600" w:type="pct"/>
          </w:tcPr>
          <w:p w:rsidR="00477E52" w:rsidRDefault="00477E52">
            <w:pPr>
              <w:spacing w:after="0" w:line="240" w:lineRule="auto"/>
              <w:jc w:val="center"/>
              <w:rPr>
                <w:rFonts w:ascii="Times New Roman" w:hAnsi="Times New Roman" w:cs="Times New Roman"/>
                <w:sz w:val="24"/>
                <w:szCs w:val="24"/>
              </w:rPr>
            </w:pPr>
          </w:p>
        </w:tc>
        <w:tc>
          <w:tcPr>
            <w:tcW w:w="528" w:type="pct"/>
          </w:tcPr>
          <w:p w:rsidR="00477E52" w:rsidRDefault="00477E52">
            <w:pPr>
              <w:spacing w:after="0" w:line="240" w:lineRule="auto"/>
              <w:jc w:val="center"/>
              <w:rPr>
                <w:rFonts w:ascii="Times New Roman" w:hAnsi="Times New Roman" w:cs="Times New Roman"/>
                <w:sz w:val="24"/>
                <w:szCs w:val="24"/>
              </w:rPr>
            </w:pPr>
          </w:p>
        </w:tc>
      </w:tr>
      <w:tr w:rsidR="00477E52">
        <w:tc>
          <w:tcPr>
            <w:tcW w:w="629" w:type="pct"/>
          </w:tcPr>
          <w:p w:rsidR="00477E52" w:rsidRDefault="00477E52">
            <w:pPr>
              <w:spacing w:after="0" w:line="240" w:lineRule="auto"/>
              <w:jc w:val="center"/>
              <w:rPr>
                <w:rFonts w:ascii="Times New Roman" w:hAnsi="Times New Roman" w:cs="Times New Roman"/>
                <w:b/>
                <w:bCs/>
                <w:sz w:val="24"/>
                <w:szCs w:val="24"/>
              </w:rPr>
            </w:pP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0.3674</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0.4880</w:t>
            </w:r>
          </w:p>
        </w:tc>
        <w:tc>
          <w:tcPr>
            <w:tcW w:w="649" w:type="pct"/>
          </w:tcPr>
          <w:p w:rsidR="00477E52" w:rsidRDefault="00477E52">
            <w:pPr>
              <w:spacing w:after="0" w:line="240" w:lineRule="auto"/>
              <w:jc w:val="center"/>
              <w:rPr>
                <w:rFonts w:ascii="Times New Roman" w:hAnsi="Times New Roman" w:cs="Times New Roman"/>
                <w:sz w:val="24"/>
                <w:szCs w:val="24"/>
              </w:rPr>
            </w:pPr>
          </w:p>
        </w:tc>
        <w:tc>
          <w:tcPr>
            <w:tcW w:w="649" w:type="pct"/>
          </w:tcPr>
          <w:p w:rsidR="00477E52" w:rsidRDefault="00477E52">
            <w:pPr>
              <w:spacing w:after="0" w:line="240" w:lineRule="auto"/>
              <w:jc w:val="center"/>
              <w:rPr>
                <w:rFonts w:ascii="Times New Roman" w:hAnsi="Times New Roman" w:cs="Times New Roman"/>
                <w:sz w:val="24"/>
                <w:szCs w:val="24"/>
              </w:rPr>
            </w:pPr>
          </w:p>
        </w:tc>
        <w:tc>
          <w:tcPr>
            <w:tcW w:w="649" w:type="pct"/>
          </w:tcPr>
          <w:p w:rsidR="00477E52" w:rsidRDefault="00477E52">
            <w:pPr>
              <w:spacing w:after="0" w:line="240" w:lineRule="auto"/>
              <w:jc w:val="center"/>
              <w:rPr>
                <w:rFonts w:ascii="Times New Roman" w:hAnsi="Times New Roman" w:cs="Times New Roman"/>
                <w:sz w:val="24"/>
                <w:szCs w:val="24"/>
              </w:rPr>
            </w:pPr>
          </w:p>
        </w:tc>
        <w:tc>
          <w:tcPr>
            <w:tcW w:w="600" w:type="pct"/>
          </w:tcPr>
          <w:p w:rsidR="00477E52" w:rsidRDefault="00477E52">
            <w:pPr>
              <w:spacing w:after="0" w:line="240" w:lineRule="auto"/>
              <w:jc w:val="center"/>
              <w:rPr>
                <w:rFonts w:ascii="Times New Roman" w:hAnsi="Times New Roman" w:cs="Times New Roman"/>
                <w:sz w:val="24"/>
                <w:szCs w:val="24"/>
              </w:rPr>
            </w:pPr>
          </w:p>
        </w:tc>
        <w:tc>
          <w:tcPr>
            <w:tcW w:w="528" w:type="pct"/>
          </w:tcPr>
          <w:p w:rsidR="00477E52" w:rsidRDefault="00477E52">
            <w:pPr>
              <w:spacing w:after="0" w:line="240" w:lineRule="auto"/>
              <w:jc w:val="center"/>
              <w:rPr>
                <w:rFonts w:ascii="Times New Roman" w:hAnsi="Times New Roman" w:cs="Times New Roman"/>
                <w:sz w:val="24"/>
                <w:szCs w:val="24"/>
              </w:rPr>
            </w:pPr>
          </w:p>
        </w:tc>
      </w:tr>
      <w:tr w:rsidR="00477E52">
        <w:tc>
          <w:tcPr>
            <w:tcW w:w="629" w:type="pct"/>
          </w:tcPr>
          <w:p w:rsidR="00477E52" w:rsidRDefault="009243C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IOWN</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0.1476</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-0.1414</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0.1180</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1.0000</w:t>
            </w:r>
          </w:p>
        </w:tc>
        <w:tc>
          <w:tcPr>
            <w:tcW w:w="649" w:type="pct"/>
          </w:tcPr>
          <w:p w:rsidR="00477E52" w:rsidRDefault="00477E52">
            <w:pPr>
              <w:spacing w:after="0" w:line="240" w:lineRule="auto"/>
              <w:jc w:val="center"/>
              <w:rPr>
                <w:rFonts w:ascii="Times New Roman" w:hAnsi="Times New Roman" w:cs="Times New Roman"/>
                <w:sz w:val="24"/>
                <w:szCs w:val="24"/>
              </w:rPr>
            </w:pPr>
          </w:p>
        </w:tc>
        <w:tc>
          <w:tcPr>
            <w:tcW w:w="600" w:type="pct"/>
          </w:tcPr>
          <w:p w:rsidR="00477E52" w:rsidRDefault="00477E52">
            <w:pPr>
              <w:spacing w:after="0" w:line="240" w:lineRule="auto"/>
              <w:jc w:val="center"/>
              <w:rPr>
                <w:rFonts w:ascii="Times New Roman" w:hAnsi="Times New Roman" w:cs="Times New Roman"/>
                <w:sz w:val="24"/>
                <w:szCs w:val="24"/>
              </w:rPr>
            </w:pPr>
          </w:p>
        </w:tc>
        <w:tc>
          <w:tcPr>
            <w:tcW w:w="528" w:type="pct"/>
          </w:tcPr>
          <w:p w:rsidR="00477E52" w:rsidRDefault="00477E52">
            <w:pPr>
              <w:spacing w:after="0" w:line="240" w:lineRule="auto"/>
              <w:jc w:val="center"/>
              <w:rPr>
                <w:rFonts w:ascii="Times New Roman" w:hAnsi="Times New Roman" w:cs="Times New Roman"/>
                <w:sz w:val="24"/>
                <w:szCs w:val="24"/>
              </w:rPr>
            </w:pPr>
          </w:p>
        </w:tc>
      </w:tr>
      <w:tr w:rsidR="00477E52">
        <w:tc>
          <w:tcPr>
            <w:tcW w:w="629" w:type="pct"/>
          </w:tcPr>
          <w:p w:rsidR="00477E52" w:rsidRDefault="00477E52">
            <w:pPr>
              <w:spacing w:after="0" w:line="240" w:lineRule="auto"/>
              <w:jc w:val="center"/>
              <w:rPr>
                <w:rFonts w:ascii="Times New Roman" w:hAnsi="Times New Roman" w:cs="Times New Roman"/>
                <w:b/>
                <w:bCs/>
                <w:sz w:val="24"/>
                <w:szCs w:val="24"/>
              </w:rPr>
            </w:pP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0.1076</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0.1234</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0.1993</w:t>
            </w:r>
          </w:p>
        </w:tc>
        <w:tc>
          <w:tcPr>
            <w:tcW w:w="649" w:type="pct"/>
          </w:tcPr>
          <w:p w:rsidR="00477E52" w:rsidRDefault="00477E52">
            <w:pPr>
              <w:spacing w:after="0" w:line="240" w:lineRule="auto"/>
              <w:jc w:val="center"/>
              <w:rPr>
                <w:rFonts w:ascii="Times New Roman" w:hAnsi="Times New Roman" w:cs="Times New Roman"/>
                <w:sz w:val="24"/>
                <w:szCs w:val="24"/>
              </w:rPr>
            </w:pPr>
          </w:p>
        </w:tc>
        <w:tc>
          <w:tcPr>
            <w:tcW w:w="649" w:type="pct"/>
          </w:tcPr>
          <w:p w:rsidR="00477E52" w:rsidRDefault="00477E52">
            <w:pPr>
              <w:spacing w:after="0" w:line="240" w:lineRule="auto"/>
              <w:jc w:val="center"/>
              <w:rPr>
                <w:rFonts w:ascii="Times New Roman" w:hAnsi="Times New Roman" w:cs="Times New Roman"/>
                <w:sz w:val="24"/>
                <w:szCs w:val="24"/>
              </w:rPr>
            </w:pPr>
          </w:p>
        </w:tc>
        <w:tc>
          <w:tcPr>
            <w:tcW w:w="600" w:type="pct"/>
          </w:tcPr>
          <w:p w:rsidR="00477E52" w:rsidRDefault="00477E52">
            <w:pPr>
              <w:spacing w:after="0" w:line="240" w:lineRule="auto"/>
              <w:jc w:val="center"/>
              <w:rPr>
                <w:rFonts w:ascii="Times New Roman" w:hAnsi="Times New Roman" w:cs="Times New Roman"/>
                <w:sz w:val="24"/>
                <w:szCs w:val="24"/>
              </w:rPr>
            </w:pPr>
          </w:p>
        </w:tc>
        <w:tc>
          <w:tcPr>
            <w:tcW w:w="528" w:type="pct"/>
          </w:tcPr>
          <w:p w:rsidR="00477E52" w:rsidRDefault="00477E52">
            <w:pPr>
              <w:spacing w:after="0" w:line="240" w:lineRule="auto"/>
              <w:jc w:val="center"/>
              <w:rPr>
                <w:rFonts w:ascii="Times New Roman" w:hAnsi="Times New Roman" w:cs="Times New Roman"/>
                <w:sz w:val="24"/>
                <w:szCs w:val="24"/>
              </w:rPr>
            </w:pPr>
          </w:p>
        </w:tc>
      </w:tr>
      <w:tr w:rsidR="00477E52">
        <w:tc>
          <w:tcPr>
            <w:tcW w:w="629" w:type="pct"/>
          </w:tcPr>
          <w:p w:rsidR="00477E52" w:rsidRDefault="009243C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CAR</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0.0940</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0.3424*</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-0.2031*</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-0.2255*</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1.0000</w:t>
            </w:r>
          </w:p>
        </w:tc>
        <w:tc>
          <w:tcPr>
            <w:tcW w:w="600" w:type="pct"/>
          </w:tcPr>
          <w:p w:rsidR="00477E52" w:rsidRDefault="00477E52">
            <w:pPr>
              <w:spacing w:after="0" w:line="240" w:lineRule="auto"/>
              <w:jc w:val="center"/>
              <w:rPr>
                <w:rFonts w:ascii="Times New Roman" w:hAnsi="Times New Roman" w:cs="Times New Roman"/>
                <w:sz w:val="24"/>
                <w:szCs w:val="24"/>
              </w:rPr>
            </w:pPr>
          </w:p>
        </w:tc>
        <w:tc>
          <w:tcPr>
            <w:tcW w:w="528" w:type="pct"/>
          </w:tcPr>
          <w:p w:rsidR="00477E52" w:rsidRDefault="00477E52">
            <w:pPr>
              <w:spacing w:after="0" w:line="240" w:lineRule="auto"/>
              <w:jc w:val="center"/>
              <w:rPr>
                <w:rFonts w:ascii="Times New Roman" w:hAnsi="Times New Roman" w:cs="Times New Roman"/>
                <w:sz w:val="24"/>
                <w:szCs w:val="24"/>
              </w:rPr>
            </w:pPr>
          </w:p>
        </w:tc>
      </w:tr>
      <w:tr w:rsidR="00477E52">
        <w:tc>
          <w:tcPr>
            <w:tcW w:w="629" w:type="pct"/>
          </w:tcPr>
          <w:p w:rsidR="00477E52" w:rsidRDefault="00477E52">
            <w:pPr>
              <w:spacing w:after="0" w:line="240" w:lineRule="auto"/>
              <w:jc w:val="center"/>
              <w:rPr>
                <w:rFonts w:ascii="Times New Roman" w:hAnsi="Times New Roman" w:cs="Times New Roman"/>
                <w:b/>
                <w:bCs/>
                <w:sz w:val="24"/>
                <w:szCs w:val="24"/>
              </w:rPr>
            </w:pP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0.3069</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0.0001</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0.0261</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0.0133</w:t>
            </w:r>
          </w:p>
        </w:tc>
        <w:tc>
          <w:tcPr>
            <w:tcW w:w="649" w:type="pct"/>
          </w:tcPr>
          <w:p w:rsidR="00477E52" w:rsidRDefault="00477E52">
            <w:pPr>
              <w:spacing w:after="0" w:line="240" w:lineRule="auto"/>
              <w:jc w:val="center"/>
              <w:rPr>
                <w:rFonts w:ascii="Times New Roman" w:hAnsi="Times New Roman" w:cs="Times New Roman"/>
                <w:sz w:val="24"/>
                <w:szCs w:val="24"/>
              </w:rPr>
            </w:pPr>
          </w:p>
        </w:tc>
        <w:tc>
          <w:tcPr>
            <w:tcW w:w="600" w:type="pct"/>
          </w:tcPr>
          <w:p w:rsidR="00477E52" w:rsidRDefault="00477E52">
            <w:pPr>
              <w:spacing w:after="0" w:line="240" w:lineRule="auto"/>
              <w:jc w:val="center"/>
              <w:rPr>
                <w:rFonts w:ascii="Times New Roman" w:hAnsi="Times New Roman" w:cs="Times New Roman"/>
                <w:sz w:val="24"/>
                <w:szCs w:val="24"/>
              </w:rPr>
            </w:pPr>
          </w:p>
        </w:tc>
        <w:tc>
          <w:tcPr>
            <w:tcW w:w="528" w:type="pct"/>
          </w:tcPr>
          <w:p w:rsidR="00477E52" w:rsidRDefault="00477E52">
            <w:pPr>
              <w:spacing w:after="0" w:line="240" w:lineRule="auto"/>
              <w:jc w:val="center"/>
              <w:rPr>
                <w:rFonts w:ascii="Times New Roman" w:hAnsi="Times New Roman" w:cs="Times New Roman"/>
                <w:sz w:val="24"/>
                <w:szCs w:val="24"/>
              </w:rPr>
            </w:pPr>
          </w:p>
        </w:tc>
      </w:tr>
      <w:tr w:rsidR="00477E52">
        <w:tc>
          <w:tcPr>
            <w:tcW w:w="629" w:type="pct"/>
          </w:tcPr>
          <w:p w:rsidR="00477E52" w:rsidRDefault="009243C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FSIZ</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-0.6149*</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0.0086</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-0.0202</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-0.5310*</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0.0189</w:t>
            </w:r>
          </w:p>
        </w:tc>
        <w:tc>
          <w:tcPr>
            <w:tcW w:w="600"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1.0000</w:t>
            </w:r>
          </w:p>
        </w:tc>
        <w:tc>
          <w:tcPr>
            <w:tcW w:w="528" w:type="pct"/>
          </w:tcPr>
          <w:p w:rsidR="00477E52" w:rsidRDefault="00477E52">
            <w:pPr>
              <w:spacing w:after="0" w:line="240" w:lineRule="auto"/>
              <w:jc w:val="center"/>
              <w:rPr>
                <w:rFonts w:ascii="Times New Roman" w:hAnsi="Times New Roman" w:cs="Times New Roman"/>
                <w:sz w:val="24"/>
                <w:szCs w:val="24"/>
              </w:rPr>
            </w:pPr>
          </w:p>
        </w:tc>
      </w:tr>
      <w:tr w:rsidR="00477E52">
        <w:tc>
          <w:tcPr>
            <w:tcW w:w="629" w:type="pct"/>
          </w:tcPr>
          <w:p w:rsidR="00477E52" w:rsidRDefault="00477E52">
            <w:pPr>
              <w:spacing w:after="0" w:line="240" w:lineRule="auto"/>
              <w:jc w:val="center"/>
              <w:rPr>
                <w:rFonts w:ascii="Times New Roman" w:hAnsi="Times New Roman" w:cs="Times New Roman"/>
                <w:b/>
                <w:bCs/>
                <w:sz w:val="24"/>
                <w:szCs w:val="24"/>
              </w:rPr>
            </w:pP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0.0000</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0.9260</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0.8269</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0.0000</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0.8373</w:t>
            </w:r>
          </w:p>
        </w:tc>
        <w:tc>
          <w:tcPr>
            <w:tcW w:w="600" w:type="pct"/>
          </w:tcPr>
          <w:p w:rsidR="00477E52" w:rsidRDefault="00477E52">
            <w:pPr>
              <w:spacing w:after="0" w:line="240" w:lineRule="auto"/>
              <w:jc w:val="center"/>
              <w:rPr>
                <w:rFonts w:ascii="Times New Roman" w:hAnsi="Times New Roman" w:cs="Times New Roman"/>
                <w:sz w:val="24"/>
                <w:szCs w:val="24"/>
              </w:rPr>
            </w:pPr>
          </w:p>
        </w:tc>
        <w:tc>
          <w:tcPr>
            <w:tcW w:w="528" w:type="pct"/>
          </w:tcPr>
          <w:p w:rsidR="00477E52" w:rsidRDefault="00477E52">
            <w:pPr>
              <w:spacing w:after="0" w:line="240" w:lineRule="auto"/>
              <w:jc w:val="center"/>
              <w:rPr>
                <w:rFonts w:ascii="Times New Roman" w:hAnsi="Times New Roman" w:cs="Times New Roman"/>
                <w:sz w:val="24"/>
                <w:szCs w:val="24"/>
              </w:rPr>
            </w:pPr>
          </w:p>
        </w:tc>
      </w:tr>
      <w:tr w:rsidR="00477E52">
        <w:tc>
          <w:tcPr>
            <w:tcW w:w="629" w:type="pct"/>
          </w:tcPr>
          <w:p w:rsidR="00477E52" w:rsidRDefault="009243C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NPM</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-0.3848*</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-0.2008*</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0.2886*</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-0.1020</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-0.2878*</w:t>
            </w:r>
          </w:p>
        </w:tc>
        <w:tc>
          <w:tcPr>
            <w:tcW w:w="600"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0.5336*</w:t>
            </w:r>
          </w:p>
        </w:tc>
        <w:tc>
          <w:tcPr>
            <w:tcW w:w="528"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1.0000</w:t>
            </w:r>
          </w:p>
        </w:tc>
      </w:tr>
      <w:tr w:rsidR="00477E52">
        <w:tc>
          <w:tcPr>
            <w:tcW w:w="629" w:type="pct"/>
          </w:tcPr>
          <w:p w:rsidR="00477E52" w:rsidRDefault="00477E52">
            <w:pPr>
              <w:spacing w:after="0" w:line="240" w:lineRule="auto"/>
              <w:jc w:val="center"/>
              <w:rPr>
                <w:rFonts w:ascii="Times New Roman" w:hAnsi="Times New Roman" w:cs="Times New Roman"/>
                <w:sz w:val="24"/>
                <w:szCs w:val="24"/>
              </w:rPr>
            </w:pP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0.0000</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0.0278</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0.0014</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0.2674</w:t>
            </w:r>
          </w:p>
        </w:tc>
        <w:tc>
          <w:tcPr>
            <w:tcW w:w="649"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0.0014</w:t>
            </w:r>
          </w:p>
        </w:tc>
        <w:tc>
          <w:tcPr>
            <w:tcW w:w="600"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0.0000</w:t>
            </w:r>
          </w:p>
        </w:tc>
        <w:tc>
          <w:tcPr>
            <w:tcW w:w="528" w:type="pct"/>
          </w:tcPr>
          <w:p w:rsidR="00477E52" w:rsidRDefault="00477E52">
            <w:pPr>
              <w:spacing w:after="0" w:line="240" w:lineRule="auto"/>
              <w:jc w:val="center"/>
              <w:rPr>
                <w:rFonts w:ascii="Times New Roman" w:hAnsi="Times New Roman" w:cs="Times New Roman"/>
                <w:sz w:val="24"/>
                <w:szCs w:val="24"/>
              </w:rPr>
            </w:pPr>
          </w:p>
        </w:tc>
      </w:tr>
    </w:tbl>
    <w:p w:rsidR="00477E52" w:rsidRDefault="009243CD">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Source: </w:t>
      </w:r>
      <w:r>
        <w:rPr>
          <w:rFonts w:ascii="Times New Roman" w:hAnsi="Times New Roman" w:cs="Times New Roman"/>
          <w:sz w:val="24"/>
          <w:szCs w:val="24"/>
        </w:rPr>
        <w:t>STATA Version 17, 2026</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Managerial ownership </w:t>
      </w:r>
      <w:r>
        <w:rPr>
          <w:rFonts w:ascii="Times New Roman" w:hAnsi="Times New Roman" w:cs="Times New Roman"/>
          <w:sz w:val="24"/>
          <w:szCs w:val="24"/>
        </w:rPr>
        <w:t>exhibits a positive correlation with Tobin’s Q (r = 0.1914) and is statistically significant at the 5% level (p = 0.0362). This suggests that higher proportions of shares held by board members and executive directors are associated with higher market valua</w:t>
      </w:r>
      <w:r>
        <w:rPr>
          <w:rFonts w:ascii="Times New Roman" w:hAnsi="Times New Roman" w:cs="Times New Roman"/>
          <w:sz w:val="24"/>
          <w:szCs w:val="24"/>
        </w:rPr>
        <w:t>tion of listed deposit money banks in Nigeria. The positive relationship supports the alignment hypothesis of agency theory, implying that when managers hold equity stakes, their interests are more closely aligned with those of shareholders, thereby enhanc</w:t>
      </w:r>
      <w:r>
        <w:rPr>
          <w:rFonts w:ascii="Times New Roman" w:hAnsi="Times New Roman" w:cs="Times New Roman"/>
          <w:sz w:val="24"/>
          <w:szCs w:val="24"/>
        </w:rPr>
        <w:t>ing firm value. However, the magnitude of the correlation is relatively weak, indicating that although managerial ownership is positively related to market value, its influence is modest at the bivariate level.</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Foreign ownership shows a negative but statis</w:t>
      </w:r>
      <w:r>
        <w:rPr>
          <w:rFonts w:ascii="Times New Roman" w:hAnsi="Times New Roman" w:cs="Times New Roman"/>
          <w:sz w:val="24"/>
          <w:szCs w:val="24"/>
        </w:rPr>
        <w:t>tically insignificant correlation with Tobin’s Q (r = -0.0830, p = 0.3674). This indicates that higher foreign shareholding is weakly associated with lower market valuation of Nigerian deposit money banks; however, the relationship lacks statistical signif</w:t>
      </w:r>
      <w:r>
        <w:rPr>
          <w:rFonts w:ascii="Times New Roman" w:hAnsi="Times New Roman" w:cs="Times New Roman"/>
          <w:sz w:val="24"/>
          <w:szCs w:val="24"/>
        </w:rPr>
        <w:t>icance. The insignificance suggests that foreign ownership, at least at the correlation level, does not exert a meaningful linear association with firm value. This may reflect the relatively low average foreign participation in the sector, limiting its obs</w:t>
      </w:r>
      <w:r>
        <w:rPr>
          <w:rFonts w:ascii="Times New Roman" w:hAnsi="Times New Roman" w:cs="Times New Roman"/>
          <w:sz w:val="24"/>
          <w:szCs w:val="24"/>
        </w:rPr>
        <w:t>ervable impact on market-based performance.</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Institutional ownership has a positive correlation with Tobin’s Q (r = 0.1476), but the relationship is not statistically significant (p = 0.1076). This implies that banks with higher institutional shareholding t</w:t>
      </w:r>
      <w:r>
        <w:rPr>
          <w:rFonts w:ascii="Times New Roman" w:hAnsi="Times New Roman" w:cs="Times New Roman"/>
          <w:sz w:val="24"/>
          <w:szCs w:val="24"/>
        </w:rPr>
        <w:t>end to exhibit higher market value, although the association is weak and lacks sufficient statistical evidence at the 5% level. The positive direction suggests that institutional investors may contribute to enhanced monitoring and governance, which could i</w:t>
      </w:r>
      <w:r>
        <w:rPr>
          <w:rFonts w:ascii="Times New Roman" w:hAnsi="Times New Roman" w:cs="Times New Roman"/>
          <w:sz w:val="24"/>
          <w:szCs w:val="24"/>
        </w:rPr>
        <w:t>mprove valuation, but the absence of statistical significance indicates that such influence is not strongly established in the Nigerian banking context at the bivariate stage.</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Capital adequacy ratio records a positive but statistically insignificant correl</w:t>
      </w:r>
      <w:r>
        <w:rPr>
          <w:rFonts w:ascii="Times New Roman" w:hAnsi="Times New Roman" w:cs="Times New Roman"/>
          <w:sz w:val="24"/>
          <w:szCs w:val="24"/>
        </w:rPr>
        <w:t>ation with Tobin’s Q (r = 0.0940, p = 0.3069). This suggests that better-capitalized banks tend to have slightly higher market valuations; however, the relationship is weak and not statistically meaningful. Although adequate capitalization enhances financi</w:t>
      </w:r>
      <w:r>
        <w:rPr>
          <w:rFonts w:ascii="Times New Roman" w:hAnsi="Times New Roman" w:cs="Times New Roman"/>
          <w:sz w:val="24"/>
          <w:szCs w:val="24"/>
        </w:rPr>
        <w:t>al stability and investor confidence theoretically, the correlation results indicate that variations in CAR alone do not significantly explain differences in market value across listed Nigerian deposit money banks at the pairwise level.</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Firm size shows a s</w:t>
      </w:r>
      <w:r>
        <w:rPr>
          <w:rFonts w:ascii="Times New Roman" w:hAnsi="Times New Roman" w:cs="Times New Roman"/>
          <w:sz w:val="24"/>
          <w:szCs w:val="24"/>
        </w:rPr>
        <w:t xml:space="preserve">trong negative and statistically significant correlation with Tobin’s Q (r = -0.6149, p = 0.0000). This indicates that larger banks, as measured by the natural logarithm of </w:t>
      </w:r>
      <w:r>
        <w:rPr>
          <w:rFonts w:ascii="Times New Roman" w:hAnsi="Times New Roman" w:cs="Times New Roman"/>
          <w:sz w:val="24"/>
          <w:szCs w:val="24"/>
        </w:rPr>
        <w:lastRenderedPageBreak/>
        <w:t>total assets, tend to have lower market valuation ratios relative to their asset ba</w:t>
      </w:r>
      <w:r>
        <w:rPr>
          <w:rFonts w:ascii="Times New Roman" w:hAnsi="Times New Roman" w:cs="Times New Roman"/>
          <w:sz w:val="24"/>
          <w:szCs w:val="24"/>
        </w:rPr>
        <w:t>se. The magnitude of the correlation is substantial, suggesting that size plays an important role in explaining market value differences. This negative relationship may imply that larger banks experience diminishing growth opportunities or market discounti</w:t>
      </w:r>
      <w:r>
        <w:rPr>
          <w:rFonts w:ascii="Times New Roman" w:hAnsi="Times New Roman" w:cs="Times New Roman"/>
          <w:sz w:val="24"/>
          <w:szCs w:val="24"/>
        </w:rPr>
        <w:t>ng effects, possibly due to bureaucratic inefficiencies or systemic risk exposure.</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Profitability (NPM) exhibits a negative and statistically significant correlation with Tobin’s Q (r = -0.3848, p = 0.0000). This suggests that higher net profit margins are </w:t>
      </w:r>
      <w:r>
        <w:rPr>
          <w:rFonts w:ascii="Times New Roman" w:hAnsi="Times New Roman" w:cs="Times New Roman"/>
          <w:sz w:val="24"/>
          <w:szCs w:val="24"/>
        </w:rPr>
        <w:t>associated with lower market valuation among the sampled banks. The moderate magnitude of the correlation indicates a meaningful inverse relationship. This counterintuitive result may imply that periods of high accounting profitability do not necessarily t</w:t>
      </w:r>
      <w:r>
        <w:rPr>
          <w:rFonts w:ascii="Times New Roman" w:hAnsi="Times New Roman" w:cs="Times New Roman"/>
          <w:sz w:val="24"/>
          <w:szCs w:val="24"/>
        </w:rPr>
        <w:t>ranslate into higher market confidence, possibly due to concerns about earnings sustainability, risk exposure, or macroeconomic volatility within the Nigerian banking sector.</w:t>
      </w:r>
    </w:p>
    <w:p w:rsidR="00477E52" w:rsidRDefault="009243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Table 4.4: </w:t>
      </w:r>
      <w:proofErr w:type="spellStart"/>
      <w:r>
        <w:rPr>
          <w:rFonts w:ascii="Times New Roman" w:hAnsi="Times New Roman" w:cs="Times New Roman"/>
          <w:b/>
          <w:bCs/>
          <w:sz w:val="24"/>
          <w:szCs w:val="24"/>
        </w:rPr>
        <w:t>Multicollinearity</w:t>
      </w:r>
      <w:proofErr w:type="spellEnd"/>
      <w:r>
        <w:rPr>
          <w:rFonts w:ascii="Times New Roman" w:hAnsi="Times New Roman" w:cs="Times New Roman"/>
          <w:b/>
          <w:bCs/>
          <w:sz w:val="24"/>
          <w:szCs w:val="24"/>
        </w:rPr>
        <w:t xml:space="preserve"> Test</w:t>
      </w:r>
    </w:p>
    <w:tbl>
      <w:tblPr>
        <w:tblStyle w:val="TableGrid"/>
        <w:tblW w:w="5000" w:type="pct"/>
        <w:tblLook w:val="04A0" w:firstRow="1" w:lastRow="0" w:firstColumn="1" w:lastColumn="0" w:noHBand="0" w:noVBand="1"/>
      </w:tblPr>
      <w:tblGrid>
        <w:gridCol w:w="3767"/>
        <w:gridCol w:w="1987"/>
        <w:gridCol w:w="3488"/>
      </w:tblGrid>
      <w:tr w:rsidR="00477E52">
        <w:tc>
          <w:tcPr>
            <w:tcW w:w="2038" w:type="pct"/>
          </w:tcPr>
          <w:p w:rsidR="00477E52" w:rsidRDefault="009243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Variable</w:t>
            </w:r>
          </w:p>
        </w:tc>
        <w:tc>
          <w:tcPr>
            <w:tcW w:w="1075" w:type="pct"/>
          </w:tcPr>
          <w:p w:rsidR="00477E52" w:rsidRDefault="009243C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VIF</w:t>
            </w:r>
          </w:p>
        </w:tc>
        <w:tc>
          <w:tcPr>
            <w:tcW w:w="1887" w:type="pct"/>
          </w:tcPr>
          <w:p w:rsidR="00477E52" w:rsidRDefault="009243C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1/VIF</w:t>
            </w:r>
          </w:p>
        </w:tc>
      </w:tr>
      <w:tr w:rsidR="00477E52">
        <w:tc>
          <w:tcPr>
            <w:tcW w:w="2038" w:type="pct"/>
          </w:tcPr>
          <w:p w:rsidR="00477E52" w:rsidRDefault="009243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FSIZ</w:t>
            </w:r>
          </w:p>
        </w:tc>
        <w:tc>
          <w:tcPr>
            <w:tcW w:w="1075"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2.12</w:t>
            </w:r>
          </w:p>
        </w:tc>
        <w:tc>
          <w:tcPr>
            <w:tcW w:w="1887"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0.471075</w:t>
            </w:r>
          </w:p>
        </w:tc>
      </w:tr>
      <w:tr w:rsidR="00477E52">
        <w:tc>
          <w:tcPr>
            <w:tcW w:w="2038" w:type="pct"/>
          </w:tcPr>
          <w:p w:rsidR="00477E52" w:rsidRDefault="009243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NPM</w:t>
            </w:r>
          </w:p>
        </w:tc>
        <w:tc>
          <w:tcPr>
            <w:tcW w:w="1075"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1.85</w:t>
            </w:r>
          </w:p>
        </w:tc>
        <w:tc>
          <w:tcPr>
            <w:tcW w:w="1887"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0.541230</w:t>
            </w:r>
          </w:p>
        </w:tc>
      </w:tr>
      <w:tr w:rsidR="00477E52">
        <w:tc>
          <w:tcPr>
            <w:tcW w:w="2038" w:type="pct"/>
          </w:tcPr>
          <w:p w:rsidR="00477E52" w:rsidRDefault="009243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IOWN</w:t>
            </w:r>
          </w:p>
        </w:tc>
        <w:tc>
          <w:tcPr>
            <w:tcW w:w="1075"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1.55</w:t>
            </w:r>
          </w:p>
        </w:tc>
        <w:tc>
          <w:tcPr>
            <w:tcW w:w="1887"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0.647035</w:t>
            </w:r>
          </w:p>
        </w:tc>
      </w:tr>
      <w:tr w:rsidR="00477E52">
        <w:tc>
          <w:tcPr>
            <w:tcW w:w="2038" w:type="pct"/>
          </w:tcPr>
          <w:p w:rsidR="00477E52" w:rsidRDefault="009243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CAR</w:t>
            </w:r>
          </w:p>
        </w:tc>
        <w:tc>
          <w:tcPr>
            <w:tcW w:w="1075"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1.29</w:t>
            </w:r>
          </w:p>
        </w:tc>
        <w:tc>
          <w:tcPr>
            <w:tcW w:w="1887"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0.777959</w:t>
            </w:r>
          </w:p>
        </w:tc>
      </w:tr>
      <w:tr w:rsidR="00477E52">
        <w:tc>
          <w:tcPr>
            <w:tcW w:w="2038" w:type="pct"/>
          </w:tcPr>
          <w:p w:rsidR="00477E52" w:rsidRDefault="009243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MOWN</w:t>
            </w:r>
          </w:p>
        </w:tc>
        <w:tc>
          <w:tcPr>
            <w:tcW w:w="1075"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1.16</w:t>
            </w:r>
          </w:p>
        </w:tc>
        <w:tc>
          <w:tcPr>
            <w:tcW w:w="1887"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0.860247</w:t>
            </w:r>
          </w:p>
        </w:tc>
      </w:tr>
      <w:tr w:rsidR="00477E52">
        <w:tc>
          <w:tcPr>
            <w:tcW w:w="2038" w:type="pct"/>
          </w:tcPr>
          <w:p w:rsidR="00477E52" w:rsidRDefault="009243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FOWN</w:t>
            </w:r>
          </w:p>
        </w:tc>
        <w:tc>
          <w:tcPr>
            <w:tcW w:w="1075"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1.16</w:t>
            </w:r>
          </w:p>
        </w:tc>
        <w:tc>
          <w:tcPr>
            <w:tcW w:w="1887"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0.864309</w:t>
            </w:r>
          </w:p>
        </w:tc>
      </w:tr>
      <w:tr w:rsidR="00477E52">
        <w:tc>
          <w:tcPr>
            <w:tcW w:w="2038" w:type="pct"/>
          </w:tcPr>
          <w:p w:rsidR="00477E52" w:rsidRDefault="009243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Mean VIF</w:t>
            </w:r>
          </w:p>
        </w:tc>
        <w:tc>
          <w:tcPr>
            <w:tcW w:w="1075" w:type="pct"/>
          </w:tcPr>
          <w:p w:rsidR="00477E52" w:rsidRDefault="009243C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1.52</w:t>
            </w:r>
          </w:p>
        </w:tc>
        <w:tc>
          <w:tcPr>
            <w:tcW w:w="1887" w:type="pct"/>
          </w:tcPr>
          <w:p w:rsidR="00477E52" w:rsidRDefault="00477E52">
            <w:pPr>
              <w:spacing w:after="0" w:line="240" w:lineRule="auto"/>
              <w:jc w:val="center"/>
              <w:rPr>
                <w:rFonts w:ascii="Times New Roman" w:hAnsi="Times New Roman" w:cs="Times New Roman"/>
                <w:b/>
                <w:bCs/>
                <w:sz w:val="24"/>
                <w:szCs w:val="24"/>
              </w:rPr>
            </w:pPr>
          </w:p>
        </w:tc>
      </w:tr>
    </w:tbl>
    <w:p w:rsidR="00477E52" w:rsidRDefault="009243CD">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Source: </w:t>
      </w:r>
      <w:r>
        <w:rPr>
          <w:rFonts w:ascii="Times New Roman" w:hAnsi="Times New Roman" w:cs="Times New Roman"/>
          <w:sz w:val="24"/>
          <w:szCs w:val="24"/>
        </w:rPr>
        <w:t>STATA Version 17, 2026</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Variance Inflation Factor (VIF) results indicate that </w:t>
      </w:r>
      <w:proofErr w:type="spellStart"/>
      <w:r>
        <w:rPr>
          <w:rFonts w:ascii="Times New Roman" w:hAnsi="Times New Roman" w:cs="Times New Roman"/>
          <w:sz w:val="24"/>
          <w:szCs w:val="24"/>
        </w:rPr>
        <w:t>multicollinearity</w:t>
      </w:r>
      <w:proofErr w:type="spellEnd"/>
      <w:r>
        <w:rPr>
          <w:rFonts w:ascii="Times New Roman" w:hAnsi="Times New Roman" w:cs="Times New Roman"/>
          <w:sz w:val="24"/>
          <w:szCs w:val="24"/>
        </w:rPr>
        <w:t xml:space="preserve"> is not a concern in the model. All the </w:t>
      </w:r>
      <w:r>
        <w:rPr>
          <w:rFonts w:ascii="Times New Roman" w:hAnsi="Times New Roman" w:cs="Times New Roman"/>
          <w:sz w:val="24"/>
          <w:szCs w:val="24"/>
        </w:rPr>
        <w:t>explanatory variables record VIF values well below the conventional threshold of 10 and even below the more conservative benchmark of 5. Specifically, Firm Size (FSIZ) has the highest VIF of 2.12, followed by Profitability (NPM) at 1.85, Institutional Owne</w:t>
      </w:r>
      <w:r>
        <w:rPr>
          <w:rFonts w:ascii="Times New Roman" w:hAnsi="Times New Roman" w:cs="Times New Roman"/>
          <w:sz w:val="24"/>
          <w:szCs w:val="24"/>
        </w:rPr>
        <w:t>rship (IOWN) at 1.55, Capital Adequacy Ratio (CAR) at 1.29, and both Managerial Ownership (MOWN) and Foreign Ownership (FOWN) at 1.16. The mean VIF of 1.52 further confirms that the independent variables are not highly linearly correlated with one another.</w:t>
      </w:r>
      <w:r>
        <w:rPr>
          <w:rFonts w:ascii="Times New Roman" w:hAnsi="Times New Roman" w:cs="Times New Roman"/>
          <w:sz w:val="24"/>
          <w:szCs w:val="24"/>
        </w:rPr>
        <w:t xml:space="preserve"> The corresponding tolerance values (1/VIF), all above 0.47, reinforce this conclusion. Therefore, the regression estimates are unlikely to be distorted by </w:t>
      </w:r>
      <w:proofErr w:type="spellStart"/>
      <w:r>
        <w:rPr>
          <w:rFonts w:ascii="Times New Roman" w:hAnsi="Times New Roman" w:cs="Times New Roman"/>
          <w:sz w:val="24"/>
          <w:szCs w:val="24"/>
        </w:rPr>
        <w:t>multicollinearity</w:t>
      </w:r>
      <w:proofErr w:type="spellEnd"/>
      <w:r>
        <w:rPr>
          <w:rFonts w:ascii="Times New Roman" w:hAnsi="Times New Roman" w:cs="Times New Roman"/>
          <w:sz w:val="24"/>
          <w:szCs w:val="24"/>
        </w:rPr>
        <w:t>, and the coefficients can be interpreted with confidence.</w:t>
      </w:r>
    </w:p>
    <w:p w:rsidR="00477E52" w:rsidRDefault="009243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Table 4.5: Serial correl</w:t>
      </w:r>
      <w:r>
        <w:rPr>
          <w:rFonts w:ascii="Times New Roman" w:hAnsi="Times New Roman" w:cs="Times New Roman"/>
          <w:b/>
          <w:bCs/>
          <w:sz w:val="24"/>
          <w:szCs w:val="24"/>
        </w:rPr>
        <w:t>ation across all models</w:t>
      </w:r>
    </w:p>
    <w:tbl>
      <w:tblPr>
        <w:tblStyle w:val="TableGrid"/>
        <w:tblW w:w="5000" w:type="pct"/>
        <w:tblLook w:val="04A0" w:firstRow="1" w:lastRow="0" w:firstColumn="1" w:lastColumn="0" w:noHBand="0" w:noVBand="1"/>
      </w:tblPr>
      <w:tblGrid>
        <w:gridCol w:w="8041"/>
        <w:gridCol w:w="1201"/>
      </w:tblGrid>
      <w:tr w:rsidR="00477E52">
        <w:tc>
          <w:tcPr>
            <w:tcW w:w="4350" w:type="pct"/>
          </w:tcPr>
          <w:p w:rsidR="00477E52" w:rsidRDefault="009243CD">
            <w:pPr>
              <w:spacing w:after="0" w:line="240" w:lineRule="auto"/>
              <w:rPr>
                <w:rFonts w:ascii="Times New Roman" w:hAnsi="Times New Roman" w:cs="Times New Roman"/>
                <w:sz w:val="24"/>
                <w:szCs w:val="24"/>
              </w:rPr>
            </w:pPr>
            <w:r>
              <w:rPr>
                <w:rFonts w:ascii="Times New Roman" w:hAnsi="Times New Roman" w:cs="Times New Roman"/>
                <w:sz w:val="24"/>
                <w:szCs w:val="24"/>
              </w:rPr>
              <w:t>Wooldridge test for autocorrelation in the panel</w:t>
            </w:r>
          </w:p>
        </w:tc>
        <w:tc>
          <w:tcPr>
            <w:tcW w:w="650" w:type="pct"/>
          </w:tcPr>
          <w:p w:rsidR="00477E52" w:rsidRDefault="00477E52">
            <w:pPr>
              <w:spacing w:after="0" w:line="240" w:lineRule="auto"/>
              <w:rPr>
                <w:rFonts w:ascii="Times New Roman" w:hAnsi="Times New Roman" w:cs="Times New Roman"/>
                <w:sz w:val="24"/>
                <w:szCs w:val="24"/>
              </w:rPr>
            </w:pPr>
          </w:p>
        </w:tc>
      </w:tr>
      <w:tr w:rsidR="00477E52">
        <w:tc>
          <w:tcPr>
            <w:tcW w:w="4350" w:type="pct"/>
          </w:tcPr>
          <w:p w:rsidR="00477E52" w:rsidRDefault="009243CD">
            <w:pPr>
              <w:spacing w:after="0" w:line="240" w:lineRule="auto"/>
              <w:rPr>
                <w:rFonts w:ascii="Times New Roman" w:hAnsi="Times New Roman" w:cs="Times New Roman"/>
                <w:sz w:val="24"/>
                <w:szCs w:val="24"/>
              </w:rPr>
            </w:pPr>
            <w:r>
              <w:rPr>
                <w:rFonts w:ascii="Times New Roman" w:hAnsi="Times New Roman" w:cs="Times New Roman"/>
                <w:sz w:val="24"/>
                <w:szCs w:val="24"/>
              </w:rPr>
              <w:t>H0: no first order autocorrelation</w:t>
            </w:r>
          </w:p>
        </w:tc>
        <w:tc>
          <w:tcPr>
            <w:tcW w:w="650" w:type="pct"/>
          </w:tcPr>
          <w:p w:rsidR="00477E52" w:rsidRDefault="00477E52">
            <w:pPr>
              <w:spacing w:after="0" w:line="240" w:lineRule="auto"/>
              <w:rPr>
                <w:rFonts w:ascii="Times New Roman" w:hAnsi="Times New Roman" w:cs="Times New Roman"/>
                <w:sz w:val="24"/>
                <w:szCs w:val="24"/>
              </w:rPr>
            </w:pPr>
          </w:p>
        </w:tc>
      </w:tr>
      <w:tr w:rsidR="00477E52">
        <w:tc>
          <w:tcPr>
            <w:tcW w:w="4350" w:type="pct"/>
          </w:tcPr>
          <w:p w:rsidR="00477E52" w:rsidRDefault="009243C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Prob</w:t>
            </w:r>
            <w:proofErr w:type="spellEnd"/>
            <w:r>
              <w:rPr>
                <w:rFonts w:ascii="Times New Roman" w:hAnsi="Times New Roman" w:cs="Times New Roman"/>
                <w:sz w:val="24"/>
                <w:szCs w:val="24"/>
              </w:rPr>
              <w:t xml:space="preserve"> &gt; F </w:t>
            </w:r>
          </w:p>
        </w:tc>
        <w:tc>
          <w:tcPr>
            <w:tcW w:w="650" w:type="pct"/>
          </w:tcPr>
          <w:p w:rsidR="00477E52" w:rsidRDefault="009243CD">
            <w:pPr>
              <w:spacing w:after="0" w:line="240" w:lineRule="auto"/>
              <w:rPr>
                <w:rFonts w:ascii="Times New Roman" w:hAnsi="Times New Roman" w:cs="Times New Roman"/>
                <w:sz w:val="24"/>
                <w:szCs w:val="24"/>
              </w:rPr>
            </w:pPr>
            <w:r>
              <w:rPr>
                <w:rFonts w:ascii="Times New Roman" w:hAnsi="Times New Roman" w:cs="Times New Roman"/>
                <w:sz w:val="24"/>
                <w:szCs w:val="24"/>
              </w:rPr>
              <w:t>0.0000</w:t>
            </w:r>
          </w:p>
        </w:tc>
      </w:tr>
    </w:tbl>
    <w:p w:rsidR="00477E52" w:rsidRDefault="009243CD">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Source: </w:t>
      </w:r>
      <w:r>
        <w:rPr>
          <w:rFonts w:ascii="Times New Roman" w:hAnsi="Times New Roman" w:cs="Times New Roman"/>
          <w:sz w:val="24"/>
          <w:szCs w:val="24"/>
        </w:rPr>
        <w:t>STATA Version 17, 2026</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Wooldridge test for autocorrelation in panel data reveals the presence of first-order </w:t>
      </w:r>
      <w:r>
        <w:rPr>
          <w:rFonts w:ascii="Times New Roman" w:hAnsi="Times New Roman" w:cs="Times New Roman"/>
          <w:sz w:val="24"/>
          <w:szCs w:val="24"/>
        </w:rPr>
        <w:t xml:space="preserve">serial correlation across the models. The null hypothesis of no first-order autocorrelation is rejected, given that the </w:t>
      </w:r>
      <w:proofErr w:type="spellStart"/>
      <w:r>
        <w:rPr>
          <w:rFonts w:ascii="Times New Roman" w:hAnsi="Times New Roman" w:cs="Times New Roman"/>
          <w:sz w:val="24"/>
          <w:szCs w:val="24"/>
        </w:rPr>
        <w:t>Prob</w:t>
      </w:r>
      <w:proofErr w:type="spellEnd"/>
      <w:r>
        <w:rPr>
          <w:rFonts w:ascii="Times New Roman" w:hAnsi="Times New Roman" w:cs="Times New Roman"/>
          <w:sz w:val="24"/>
          <w:szCs w:val="24"/>
        </w:rPr>
        <w:t xml:space="preserve"> &gt; F value is 0.0000, which is statistically significant at the 1% level. This indicates that the error terms are correlated across </w:t>
      </w:r>
      <w:r>
        <w:rPr>
          <w:rFonts w:ascii="Times New Roman" w:hAnsi="Times New Roman" w:cs="Times New Roman"/>
          <w:sz w:val="24"/>
          <w:szCs w:val="24"/>
        </w:rPr>
        <w:t>time within banks, suggesting that past shocks may influence current disturbances. The presence of serial correlation violates one of the classical linear regression assumptions and may lead to inefficient standard errors if not properly addressed. However</w:t>
      </w:r>
      <w:r>
        <w:rPr>
          <w:rFonts w:ascii="Times New Roman" w:hAnsi="Times New Roman" w:cs="Times New Roman"/>
          <w:sz w:val="24"/>
          <w:szCs w:val="24"/>
        </w:rPr>
        <w:t>, the use of robust estimation techniques in the study helps to correct for this issue and ensures reliable inference.</w:t>
      </w:r>
    </w:p>
    <w:p w:rsidR="00477E52" w:rsidRDefault="009243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Table 4.6: Cross-sectional independence</w:t>
      </w:r>
    </w:p>
    <w:tbl>
      <w:tblPr>
        <w:tblStyle w:val="TableGrid"/>
        <w:tblW w:w="5000" w:type="pct"/>
        <w:tblLook w:val="04A0" w:firstRow="1" w:lastRow="0" w:firstColumn="1" w:lastColumn="0" w:noHBand="0" w:noVBand="1"/>
      </w:tblPr>
      <w:tblGrid>
        <w:gridCol w:w="6098"/>
        <w:gridCol w:w="1453"/>
        <w:gridCol w:w="1691"/>
      </w:tblGrid>
      <w:tr w:rsidR="00477E52">
        <w:tc>
          <w:tcPr>
            <w:tcW w:w="3299" w:type="pct"/>
          </w:tcPr>
          <w:p w:rsidR="00477E52" w:rsidRDefault="009243CD">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lastRenderedPageBreak/>
              <w:t>Pesaran's</w:t>
            </w:r>
            <w:proofErr w:type="spellEnd"/>
            <w:r>
              <w:rPr>
                <w:rFonts w:ascii="Times New Roman" w:hAnsi="Times New Roman" w:cs="Times New Roman"/>
                <w:sz w:val="24"/>
                <w:szCs w:val="24"/>
              </w:rPr>
              <w:t xml:space="preserve"> test of cross-sectional independence</w:t>
            </w:r>
          </w:p>
        </w:tc>
        <w:tc>
          <w:tcPr>
            <w:tcW w:w="786" w:type="pct"/>
          </w:tcPr>
          <w:p w:rsidR="00477E52" w:rsidRDefault="009243CD">
            <w:pPr>
              <w:spacing w:line="240" w:lineRule="auto"/>
              <w:rPr>
                <w:rFonts w:ascii="Times New Roman" w:hAnsi="Times New Roman" w:cs="Times New Roman"/>
                <w:sz w:val="24"/>
                <w:szCs w:val="24"/>
              </w:rPr>
            </w:pPr>
            <w:r>
              <w:rPr>
                <w:rFonts w:ascii="Times New Roman" w:hAnsi="Times New Roman" w:cs="Times New Roman"/>
                <w:sz w:val="24"/>
                <w:szCs w:val="24"/>
              </w:rPr>
              <w:t xml:space="preserve">= 0.209, </w:t>
            </w:r>
          </w:p>
        </w:tc>
        <w:tc>
          <w:tcPr>
            <w:tcW w:w="915" w:type="pct"/>
          </w:tcPr>
          <w:p w:rsidR="00477E52" w:rsidRDefault="009243CD">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 xml:space="preserve"> =0.8346</w:t>
            </w:r>
          </w:p>
        </w:tc>
      </w:tr>
      <w:tr w:rsidR="00477E52">
        <w:tc>
          <w:tcPr>
            <w:tcW w:w="3299" w:type="pct"/>
          </w:tcPr>
          <w:p w:rsidR="00477E52" w:rsidRDefault="009243CD">
            <w:pPr>
              <w:spacing w:line="240" w:lineRule="auto"/>
              <w:rPr>
                <w:rFonts w:ascii="Times New Roman" w:hAnsi="Times New Roman" w:cs="Times New Roman"/>
                <w:sz w:val="24"/>
                <w:szCs w:val="24"/>
              </w:rPr>
            </w:pPr>
            <w:r>
              <w:rPr>
                <w:rFonts w:ascii="Times New Roman" w:hAnsi="Times New Roman" w:cs="Times New Roman"/>
                <w:sz w:val="24"/>
                <w:szCs w:val="24"/>
              </w:rPr>
              <w:t xml:space="preserve">Average absolute value of </w:t>
            </w:r>
            <w:r>
              <w:rPr>
                <w:rFonts w:ascii="Times New Roman" w:hAnsi="Times New Roman" w:cs="Times New Roman"/>
                <w:sz w:val="24"/>
                <w:szCs w:val="24"/>
              </w:rPr>
              <w:t>the off-diagonal elements</w:t>
            </w:r>
          </w:p>
        </w:tc>
        <w:tc>
          <w:tcPr>
            <w:tcW w:w="786" w:type="pct"/>
          </w:tcPr>
          <w:p w:rsidR="00477E52" w:rsidRDefault="00477E52">
            <w:pPr>
              <w:spacing w:line="240" w:lineRule="auto"/>
              <w:rPr>
                <w:rFonts w:ascii="Times New Roman" w:hAnsi="Times New Roman" w:cs="Times New Roman"/>
                <w:sz w:val="24"/>
                <w:szCs w:val="24"/>
              </w:rPr>
            </w:pPr>
          </w:p>
        </w:tc>
        <w:tc>
          <w:tcPr>
            <w:tcW w:w="915" w:type="pct"/>
          </w:tcPr>
          <w:p w:rsidR="00477E52" w:rsidRDefault="009243CD">
            <w:pPr>
              <w:spacing w:line="240" w:lineRule="auto"/>
              <w:rPr>
                <w:rFonts w:ascii="Times New Roman" w:hAnsi="Times New Roman" w:cs="Times New Roman"/>
                <w:sz w:val="24"/>
                <w:szCs w:val="24"/>
              </w:rPr>
            </w:pPr>
            <w:r>
              <w:rPr>
                <w:rFonts w:ascii="Times New Roman" w:hAnsi="Times New Roman" w:cs="Times New Roman"/>
                <w:sz w:val="24"/>
                <w:szCs w:val="24"/>
              </w:rPr>
              <w:t>= 0.461</w:t>
            </w:r>
          </w:p>
        </w:tc>
      </w:tr>
    </w:tbl>
    <w:p w:rsidR="00477E52" w:rsidRDefault="009243CD">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Source: </w:t>
      </w:r>
      <w:r>
        <w:rPr>
          <w:rFonts w:ascii="Times New Roman" w:hAnsi="Times New Roman" w:cs="Times New Roman"/>
          <w:sz w:val="24"/>
          <w:szCs w:val="24"/>
        </w:rPr>
        <w:t>STATA Version 17, 2026</w:t>
      </w:r>
    </w:p>
    <w:p w:rsidR="00477E52" w:rsidRDefault="009243CD">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Pesaran’s</w:t>
      </w:r>
      <w:proofErr w:type="spellEnd"/>
      <w:r>
        <w:rPr>
          <w:rFonts w:ascii="Times New Roman" w:hAnsi="Times New Roman" w:cs="Times New Roman"/>
          <w:sz w:val="24"/>
          <w:szCs w:val="24"/>
        </w:rPr>
        <w:t xml:space="preserve"> test of cross-sectional independence reports a test statistic of 0.209 with a probability value of 0.8346, which is not statistically significant. Therefore, the null hypothesis o</w:t>
      </w:r>
      <w:r>
        <w:rPr>
          <w:rFonts w:ascii="Times New Roman" w:hAnsi="Times New Roman" w:cs="Times New Roman"/>
          <w:sz w:val="24"/>
          <w:szCs w:val="24"/>
        </w:rPr>
        <w:t xml:space="preserve">f cross-sectional independence cannot be rejected. This implies that the residuals across banks are not significantly correlated with one another, indicating the absence of cross-sectional dependence in the panel data. In other words, shocks affecting one </w:t>
      </w:r>
      <w:r>
        <w:rPr>
          <w:rFonts w:ascii="Times New Roman" w:hAnsi="Times New Roman" w:cs="Times New Roman"/>
          <w:sz w:val="24"/>
          <w:szCs w:val="24"/>
        </w:rPr>
        <w:t>bank do not systematically spill over to other banks within the sample. The average absolute off-diagonal correlation value of 0.461, while moderate, does not translate into statistically significant dependence. This outcome supports the suitability of the</w:t>
      </w:r>
      <w:r>
        <w:rPr>
          <w:rFonts w:ascii="Times New Roman" w:hAnsi="Times New Roman" w:cs="Times New Roman"/>
          <w:sz w:val="24"/>
          <w:szCs w:val="24"/>
        </w:rPr>
        <w:t xml:space="preserve"> panel estimation techniques employed.</w:t>
      </w:r>
    </w:p>
    <w:p w:rsidR="00477E52" w:rsidRDefault="009243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Table 4.7: Levin–Lin–Chu unit-root test for TOB_Q</w:t>
      </w:r>
    </w:p>
    <w:tbl>
      <w:tblPr>
        <w:tblStyle w:val="TableGrid"/>
        <w:tblW w:w="5000" w:type="pct"/>
        <w:tblLook w:val="04A0" w:firstRow="1" w:lastRow="0" w:firstColumn="1" w:lastColumn="0" w:noHBand="0" w:noVBand="1"/>
      </w:tblPr>
      <w:tblGrid>
        <w:gridCol w:w="4645"/>
        <w:gridCol w:w="3198"/>
        <w:gridCol w:w="1399"/>
      </w:tblGrid>
      <w:tr w:rsidR="00477E52">
        <w:tc>
          <w:tcPr>
            <w:tcW w:w="2513" w:type="pct"/>
          </w:tcPr>
          <w:p w:rsidR="00477E52" w:rsidRDefault="009243CD">
            <w:pPr>
              <w:spacing w:after="0" w:line="240" w:lineRule="auto"/>
              <w:rPr>
                <w:rFonts w:ascii="Times New Roman" w:hAnsi="Times New Roman" w:cs="Times New Roman"/>
                <w:sz w:val="24"/>
                <w:szCs w:val="24"/>
              </w:rPr>
            </w:pPr>
            <w:r>
              <w:rPr>
                <w:rFonts w:ascii="Times New Roman" w:hAnsi="Times New Roman" w:cs="Times New Roman"/>
                <w:sz w:val="24"/>
                <w:szCs w:val="24"/>
              </w:rPr>
              <w:t>H0: Panels contain unit roots</w:t>
            </w:r>
          </w:p>
        </w:tc>
        <w:tc>
          <w:tcPr>
            <w:tcW w:w="1730" w:type="pct"/>
          </w:tcPr>
          <w:p w:rsidR="00477E52" w:rsidRDefault="009243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Number of panels</w:t>
            </w:r>
          </w:p>
        </w:tc>
        <w:tc>
          <w:tcPr>
            <w:tcW w:w="757"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12</w:t>
            </w:r>
          </w:p>
        </w:tc>
      </w:tr>
      <w:tr w:rsidR="00477E52">
        <w:tc>
          <w:tcPr>
            <w:tcW w:w="2513" w:type="pct"/>
          </w:tcPr>
          <w:p w:rsidR="00477E52" w:rsidRDefault="009243CD">
            <w:pPr>
              <w:spacing w:after="0" w:line="240" w:lineRule="auto"/>
              <w:rPr>
                <w:rFonts w:ascii="Times New Roman" w:hAnsi="Times New Roman" w:cs="Times New Roman"/>
                <w:sz w:val="24"/>
                <w:szCs w:val="24"/>
              </w:rPr>
            </w:pPr>
            <w:r>
              <w:rPr>
                <w:rFonts w:ascii="Times New Roman" w:hAnsi="Times New Roman" w:cs="Times New Roman"/>
                <w:sz w:val="24"/>
                <w:szCs w:val="24"/>
              </w:rPr>
              <w:t>Ha: Panels are stationary</w:t>
            </w:r>
          </w:p>
        </w:tc>
        <w:tc>
          <w:tcPr>
            <w:tcW w:w="1730" w:type="pct"/>
          </w:tcPr>
          <w:p w:rsidR="00477E52" w:rsidRDefault="009243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Number of periods</w:t>
            </w:r>
          </w:p>
        </w:tc>
        <w:tc>
          <w:tcPr>
            <w:tcW w:w="757"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10</w:t>
            </w:r>
          </w:p>
        </w:tc>
      </w:tr>
      <w:tr w:rsidR="00477E52">
        <w:tc>
          <w:tcPr>
            <w:tcW w:w="4243" w:type="pct"/>
            <w:gridSpan w:val="2"/>
          </w:tcPr>
          <w:p w:rsidR="00477E52" w:rsidRDefault="009243CD">
            <w:pPr>
              <w:spacing w:after="0" w:line="240" w:lineRule="auto"/>
              <w:rPr>
                <w:rFonts w:ascii="Times New Roman" w:hAnsi="Times New Roman" w:cs="Times New Roman"/>
                <w:sz w:val="24"/>
                <w:szCs w:val="24"/>
              </w:rPr>
            </w:pPr>
            <w:r>
              <w:rPr>
                <w:rFonts w:ascii="Times New Roman" w:hAnsi="Times New Roman" w:cs="Times New Roman"/>
                <w:sz w:val="24"/>
                <w:szCs w:val="24"/>
              </w:rPr>
              <w:t>LR variance: Bartlett kernel, 6.00 lags average (chosen by LLC)</w:t>
            </w:r>
          </w:p>
        </w:tc>
        <w:tc>
          <w:tcPr>
            <w:tcW w:w="757" w:type="pct"/>
          </w:tcPr>
          <w:p w:rsidR="00477E52" w:rsidRDefault="00477E52">
            <w:pPr>
              <w:spacing w:after="0" w:line="240" w:lineRule="auto"/>
              <w:rPr>
                <w:rFonts w:ascii="Times New Roman" w:hAnsi="Times New Roman" w:cs="Times New Roman"/>
                <w:sz w:val="24"/>
                <w:szCs w:val="24"/>
              </w:rPr>
            </w:pPr>
          </w:p>
        </w:tc>
      </w:tr>
      <w:tr w:rsidR="00477E52">
        <w:tc>
          <w:tcPr>
            <w:tcW w:w="2513" w:type="pct"/>
          </w:tcPr>
          <w:p w:rsidR="00477E52" w:rsidRDefault="00477E52">
            <w:pPr>
              <w:spacing w:after="0" w:line="240" w:lineRule="auto"/>
              <w:rPr>
                <w:rFonts w:ascii="Times New Roman" w:hAnsi="Times New Roman" w:cs="Times New Roman"/>
                <w:sz w:val="24"/>
                <w:szCs w:val="24"/>
              </w:rPr>
            </w:pPr>
          </w:p>
        </w:tc>
        <w:tc>
          <w:tcPr>
            <w:tcW w:w="1730"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Statistic</w:t>
            </w:r>
          </w:p>
        </w:tc>
        <w:tc>
          <w:tcPr>
            <w:tcW w:w="757"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P-value</w:t>
            </w:r>
          </w:p>
        </w:tc>
      </w:tr>
      <w:tr w:rsidR="00477E52">
        <w:tc>
          <w:tcPr>
            <w:tcW w:w="2513" w:type="pct"/>
          </w:tcPr>
          <w:p w:rsidR="00477E52" w:rsidRDefault="009243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Unadjusted t </w:t>
            </w:r>
          </w:p>
        </w:tc>
        <w:tc>
          <w:tcPr>
            <w:tcW w:w="1730"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-6.0523</w:t>
            </w:r>
          </w:p>
        </w:tc>
        <w:tc>
          <w:tcPr>
            <w:tcW w:w="757" w:type="pct"/>
          </w:tcPr>
          <w:p w:rsidR="00477E52" w:rsidRDefault="00477E52">
            <w:pPr>
              <w:spacing w:after="0" w:line="240" w:lineRule="auto"/>
              <w:jc w:val="center"/>
              <w:rPr>
                <w:rFonts w:ascii="Times New Roman" w:hAnsi="Times New Roman" w:cs="Times New Roman"/>
                <w:sz w:val="24"/>
                <w:szCs w:val="24"/>
              </w:rPr>
            </w:pPr>
          </w:p>
        </w:tc>
      </w:tr>
      <w:tr w:rsidR="00477E52">
        <w:tc>
          <w:tcPr>
            <w:tcW w:w="2513" w:type="pct"/>
          </w:tcPr>
          <w:p w:rsidR="00477E52" w:rsidRDefault="009243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Adjusted t* </w:t>
            </w:r>
          </w:p>
        </w:tc>
        <w:tc>
          <w:tcPr>
            <w:tcW w:w="1730"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-4.9672</w:t>
            </w:r>
          </w:p>
        </w:tc>
        <w:tc>
          <w:tcPr>
            <w:tcW w:w="757" w:type="pct"/>
          </w:tcPr>
          <w:p w:rsidR="00477E52" w:rsidRDefault="009243C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0.0000</w:t>
            </w:r>
          </w:p>
        </w:tc>
      </w:tr>
    </w:tbl>
    <w:p w:rsidR="00477E52" w:rsidRDefault="009243CD">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Source: </w:t>
      </w:r>
      <w:r>
        <w:rPr>
          <w:rFonts w:ascii="Times New Roman" w:hAnsi="Times New Roman" w:cs="Times New Roman"/>
          <w:sz w:val="24"/>
          <w:szCs w:val="24"/>
        </w:rPr>
        <w:t>STATA Version 17, 2026</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The Levin–Lin–Chu (LLC) unit-root test results show that Tobin’s Q is stationary across the 12 banks over the 10-year period. The adjusted t-statistic</w:t>
      </w:r>
      <w:r>
        <w:rPr>
          <w:rFonts w:ascii="Times New Roman" w:hAnsi="Times New Roman" w:cs="Times New Roman"/>
          <w:sz w:val="24"/>
          <w:szCs w:val="24"/>
        </w:rPr>
        <w:t xml:space="preserve"> of -4.9672 with a p-value of 0.0000 is statistically significant at the 1% level, leading to rejection of the null hypothesis that panels contain unit roots. This indicates that Tobin’s Q does not exhibit a stochastic trend and that its mean and variance </w:t>
      </w:r>
      <w:r>
        <w:rPr>
          <w:rFonts w:ascii="Times New Roman" w:hAnsi="Times New Roman" w:cs="Times New Roman"/>
          <w:sz w:val="24"/>
          <w:szCs w:val="24"/>
        </w:rPr>
        <w:t xml:space="preserve">remain stable over time. </w:t>
      </w:r>
      <w:proofErr w:type="spellStart"/>
      <w:r>
        <w:rPr>
          <w:rFonts w:ascii="Times New Roman" w:hAnsi="Times New Roman" w:cs="Times New Roman"/>
          <w:sz w:val="24"/>
          <w:szCs w:val="24"/>
        </w:rPr>
        <w:t>Stationarity</w:t>
      </w:r>
      <w:proofErr w:type="spellEnd"/>
      <w:r>
        <w:rPr>
          <w:rFonts w:ascii="Times New Roman" w:hAnsi="Times New Roman" w:cs="Times New Roman"/>
          <w:sz w:val="24"/>
          <w:szCs w:val="24"/>
        </w:rPr>
        <w:t xml:space="preserve"> is essential for panel regression analysis because it ensures that the estimated relationships are not spurious. Thus, the dependent variable satisfies the </w:t>
      </w:r>
      <w:proofErr w:type="spellStart"/>
      <w:r>
        <w:rPr>
          <w:rFonts w:ascii="Times New Roman" w:hAnsi="Times New Roman" w:cs="Times New Roman"/>
          <w:sz w:val="24"/>
          <w:szCs w:val="24"/>
        </w:rPr>
        <w:t>stationarity</w:t>
      </w:r>
      <w:proofErr w:type="spellEnd"/>
      <w:r>
        <w:rPr>
          <w:rFonts w:ascii="Times New Roman" w:hAnsi="Times New Roman" w:cs="Times New Roman"/>
          <w:sz w:val="24"/>
          <w:szCs w:val="24"/>
        </w:rPr>
        <w:t xml:space="preserve"> condition required for reliable econometric estim</w:t>
      </w:r>
      <w:r>
        <w:rPr>
          <w:rFonts w:ascii="Times New Roman" w:hAnsi="Times New Roman" w:cs="Times New Roman"/>
          <w:sz w:val="24"/>
          <w:szCs w:val="24"/>
        </w:rPr>
        <w:t>ation.</w:t>
      </w:r>
    </w:p>
    <w:p w:rsidR="00477E52" w:rsidRDefault="009243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Table 4.8: Modified Wald test for </w:t>
      </w:r>
      <w:proofErr w:type="spellStart"/>
      <w:r>
        <w:rPr>
          <w:rFonts w:ascii="Times New Roman" w:hAnsi="Times New Roman" w:cs="Times New Roman"/>
          <w:b/>
          <w:bCs/>
          <w:sz w:val="24"/>
          <w:szCs w:val="24"/>
        </w:rPr>
        <w:t>groupwise</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Heteroskedasticity</w:t>
      </w:r>
      <w:proofErr w:type="spellEnd"/>
      <w:r>
        <w:rPr>
          <w:rFonts w:ascii="Times New Roman" w:hAnsi="Times New Roman" w:cs="Times New Roman"/>
          <w:b/>
          <w:bCs/>
          <w:sz w:val="24"/>
          <w:szCs w:val="24"/>
        </w:rPr>
        <w:t xml:space="preserve"> across models </w:t>
      </w:r>
    </w:p>
    <w:tbl>
      <w:tblPr>
        <w:tblStyle w:val="TableGrid"/>
        <w:tblW w:w="5000" w:type="pct"/>
        <w:tblLook w:val="04A0" w:firstRow="1" w:lastRow="0" w:firstColumn="1" w:lastColumn="0" w:noHBand="0" w:noVBand="1"/>
      </w:tblPr>
      <w:tblGrid>
        <w:gridCol w:w="5911"/>
        <w:gridCol w:w="3331"/>
      </w:tblGrid>
      <w:tr w:rsidR="00477E52">
        <w:tc>
          <w:tcPr>
            <w:tcW w:w="5000" w:type="pct"/>
            <w:gridSpan w:val="2"/>
          </w:tcPr>
          <w:p w:rsidR="00477E52" w:rsidRDefault="009243CD">
            <w:pPr>
              <w:spacing w:after="0" w:line="240" w:lineRule="auto"/>
              <w:rPr>
                <w:rFonts w:ascii="Times New Roman" w:hAnsi="Times New Roman" w:cs="Times New Roman"/>
                <w:sz w:val="24"/>
                <w:szCs w:val="24"/>
              </w:rPr>
            </w:pPr>
            <w:r>
              <w:rPr>
                <w:rFonts w:ascii="Times New Roman" w:hAnsi="Times New Roman" w:cs="Times New Roman"/>
                <w:sz w:val="24"/>
                <w:szCs w:val="24"/>
              </w:rPr>
              <w:t>H0: sigma(i)^2 = sigma^2 for all i</w:t>
            </w:r>
          </w:p>
        </w:tc>
      </w:tr>
      <w:tr w:rsidR="00477E52">
        <w:tc>
          <w:tcPr>
            <w:tcW w:w="3198" w:type="pct"/>
          </w:tcPr>
          <w:p w:rsidR="00477E52" w:rsidRDefault="009243C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Prob</w:t>
            </w:r>
            <w:proofErr w:type="spellEnd"/>
            <w:r>
              <w:rPr>
                <w:rFonts w:ascii="Times New Roman" w:hAnsi="Times New Roman" w:cs="Times New Roman"/>
                <w:sz w:val="24"/>
                <w:szCs w:val="24"/>
              </w:rPr>
              <w:t xml:space="preserve"> &gt; Chi</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tc>
        <w:tc>
          <w:tcPr>
            <w:tcW w:w="1802" w:type="pct"/>
          </w:tcPr>
          <w:p w:rsidR="00477E52" w:rsidRDefault="009243CD">
            <w:pPr>
              <w:spacing w:after="0" w:line="240" w:lineRule="auto"/>
              <w:rPr>
                <w:rFonts w:ascii="Times New Roman" w:hAnsi="Times New Roman" w:cs="Times New Roman"/>
                <w:sz w:val="24"/>
                <w:szCs w:val="24"/>
              </w:rPr>
            </w:pPr>
            <w:r>
              <w:rPr>
                <w:rFonts w:ascii="Times New Roman" w:hAnsi="Times New Roman" w:cs="Times New Roman"/>
                <w:sz w:val="24"/>
                <w:szCs w:val="24"/>
              </w:rPr>
              <w:t>0.0000</w:t>
            </w:r>
          </w:p>
        </w:tc>
      </w:tr>
    </w:tbl>
    <w:p w:rsidR="00477E52" w:rsidRDefault="009243CD">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Source: </w:t>
      </w:r>
      <w:r>
        <w:rPr>
          <w:rFonts w:ascii="Times New Roman" w:hAnsi="Times New Roman" w:cs="Times New Roman"/>
          <w:sz w:val="24"/>
          <w:szCs w:val="24"/>
        </w:rPr>
        <w:t>STATA Version 17, 2026</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Modified Wald test for </w:t>
      </w:r>
      <w:proofErr w:type="spellStart"/>
      <w:r>
        <w:rPr>
          <w:rFonts w:ascii="Times New Roman" w:hAnsi="Times New Roman" w:cs="Times New Roman"/>
          <w:sz w:val="24"/>
          <w:szCs w:val="24"/>
        </w:rPr>
        <w:t>groupwise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heteroskedasticity</w:t>
      </w:r>
      <w:proofErr w:type="spellEnd"/>
      <w:r>
        <w:rPr>
          <w:rFonts w:ascii="Times New Roman" w:hAnsi="Times New Roman" w:cs="Times New Roman"/>
          <w:sz w:val="24"/>
          <w:szCs w:val="24"/>
        </w:rPr>
        <w:t xml:space="preserve"> reports a </w:t>
      </w:r>
      <w:proofErr w:type="spellStart"/>
      <w:r>
        <w:rPr>
          <w:rFonts w:ascii="Times New Roman" w:hAnsi="Times New Roman" w:cs="Times New Roman"/>
          <w:sz w:val="24"/>
          <w:szCs w:val="24"/>
        </w:rPr>
        <w:t>Prob</w:t>
      </w:r>
      <w:proofErr w:type="spellEnd"/>
      <w:r>
        <w:rPr>
          <w:rFonts w:ascii="Times New Roman" w:hAnsi="Times New Roman" w:cs="Times New Roman"/>
          <w:sz w:val="24"/>
          <w:szCs w:val="24"/>
        </w:rPr>
        <w:t xml:space="preserve"> &gt; Chi² value</w:t>
      </w:r>
      <w:r>
        <w:rPr>
          <w:rFonts w:ascii="Times New Roman" w:hAnsi="Times New Roman" w:cs="Times New Roman"/>
          <w:sz w:val="24"/>
          <w:szCs w:val="24"/>
        </w:rPr>
        <w:t xml:space="preserve"> of 0.0000, which is statistically significant at the 1% level. Consequently, the null hypothesis of </w:t>
      </w:r>
      <w:proofErr w:type="spellStart"/>
      <w:r>
        <w:rPr>
          <w:rFonts w:ascii="Times New Roman" w:hAnsi="Times New Roman" w:cs="Times New Roman"/>
          <w:sz w:val="24"/>
          <w:szCs w:val="24"/>
        </w:rPr>
        <w:t>homoskedasticity</w:t>
      </w:r>
      <w:proofErr w:type="spellEnd"/>
      <w:r>
        <w:rPr>
          <w:rFonts w:ascii="Times New Roman" w:hAnsi="Times New Roman" w:cs="Times New Roman"/>
          <w:sz w:val="24"/>
          <w:szCs w:val="24"/>
        </w:rPr>
        <w:t xml:space="preserve"> (constant variance of error terms across panels) is rejected. This indicates the presence of </w:t>
      </w:r>
      <w:proofErr w:type="spellStart"/>
      <w:r>
        <w:rPr>
          <w:rFonts w:ascii="Times New Roman" w:hAnsi="Times New Roman" w:cs="Times New Roman"/>
          <w:sz w:val="24"/>
          <w:szCs w:val="24"/>
        </w:rPr>
        <w:t>heteroskedasticity</w:t>
      </w:r>
      <w:proofErr w:type="spellEnd"/>
      <w:r>
        <w:rPr>
          <w:rFonts w:ascii="Times New Roman" w:hAnsi="Times New Roman" w:cs="Times New Roman"/>
          <w:sz w:val="24"/>
          <w:szCs w:val="24"/>
        </w:rPr>
        <w:t xml:space="preserve"> across the banks, meaning </w:t>
      </w:r>
      <w:r>
        <w:rPr>
          <w:rFonts w:ascii="Times New Roman" w:hAnsi="Times New Roman" w:cs="Times New Roman"/>
          <w:sz w:val="24"/>
          <w:szCs w:val="24"/>
        </w:rPr>
        <w:t xml:space="preserve">that the variance of the residuals differs from one bank to another. </w:t>
      </w:r>
      <w:proofErr w:type="spellStart"/>
      <w:r>
        <w:rPr>
          <w:rFonts w:ascii="Times New Roman" w:hAnsi="Times New Roman" w:cs="Times New Roman"/>
          <w:sz w:val="24"/>
          <w:szCs w:val="24"/>
        </w:rPr>
        <w:t>Heteroskedasticity</w:t>
      </w:r>
      <w:proofErr w:type="spellEnd"/>
      <w:r>
        <w:rPr>
          <w:rFonts w:ascii="Times New Roman" w:hAnsi="Times New Roman" w:cs="Times New Roman"/>
          <w:sz w:val="24"/>
          <w:szCs w:val="24"/>
        </w:rPr>
        <w:t xml:space="preserve"> can result in biased standard errors if not corrected. However, the adoption of robust standard errors in the regression analysis mitigates this issue and enhances the </w:t>
      </w:r>
      <w:r>
        <w:rPr>
          <w:rFonts w:ascii="Times New Roman" w:hAnsi="Times New Roman" w:cs="Times New Roman"/>
          <w:sz w:val="24"/>
          <w:szCs w:val="24"/>
        </w:rPr>
        <w:t>reliability of statistical inference in the study.</w:t>
      </w:r>
    </w:p>
    <w:p w:rsidR="00477E52" w:rsidRDefault="009243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Table 4.9a: </w:t>
      </w:r>
      <w:proofErr w:type="spellStart"/>
      <w:r>
        <w:rPr>
          <w:rFonts w:ascii="Times New Roman" w:hAnsi="Times New Roman" w:cs="Times New Roman"/>
          <w:b/>
          <w:bCs/>
          <w:sz w:val="24"/>
          <w:szCs w:val="24"/>
        </w:rPr>
        <w:t>Hauman</w:t>
      </w:r>
      <w:proofErr w:type="spellEnd"/>
      <w:r>
        <w:rPr>
          <w:rFonts w:ascii="Times New Roman" w:hAnsi="Times New Roman" w:cs="Times New Roman"/>
          <w:b/>
          <w:bCs/>
          <w:sz w:val="24"/>
          <w:szCs w:val="24"/>
        </w:rPr>
        <w:t xml:space="preserve"> test for model 1</w:t>
      </w:r>
    </w:p>
    <w:tbl>
      <w:tblPr>
        <w:tblStyle w:val="TableGrid"/>
        <w:tblW w:w="5000" w:type="pct"/>
        <w:tblLook w:val="04A0" w:firstRow="1" w:lastRow="0" w:firstColumn="1" w:lastColumn="0" w:noHBand="0" w:noVBand="1"/>
      </w:tblPr>
      <w:tblGrid>
        <w:gridCol w:w="2015"/>
        <w:gridCol w:w="7227"/>
      </w:tblGrid>
      <w:tr w:rsidR="00477E52">
        <w:tc>
          <w:tcPr>
            <w:tcW w:w="5000" w:type="pct"/>
            <w:gridSpan w:val="2"/>
          </w:tcPr>
          <w:p w:rsidR="00477E52" w:rsidRDefault="009243CD">
            <w:pPr>
              <w:spacing w:after="0" w:line="240" w:lineRule="auto"/>
              <w:rPr>
                <w:rFonts w:ascii="Times New Roman" w:hAnsi="Times New Roman" w:cs="Times New Roman"/>
                <w:sz w:val="24"/>
                <w:szCs w:val="24"/>
              </w:rPr>
            </w:pPr>
            <w:r>
              <w:rPr>
                <w:rFonts w:ascii="Times New Roman" w:hAnsi="Times New Roman" w:cs="Times New Roman"/>
                <w:sz w:val="24"/>
                <w:szCs w:val="24"/>
              </w:rPr>
              <w:t>Test of H0: Difference in coefficients not systematic</w:t>
            </w:r>
          </w:p>
        </w:tc>
      </w:tr>
      <w:tr w:rsidR="00477E52">
        <w:tc>
          <w:tcPr>
            <w:tcW w:w="1090" w:type="pct"/>
          </w:tcPr>
          <w:p w:rsidR="00477E52" w:rsidRDefault="009243CD">
            <w:pPr>
              <w:spacing w:after="0" w:line="240" w:lineRule="auto"/>
              <w:rPr>
                <w:rFonts w:ascii="Times New Roman" w:hAnsi="Times New Roman" w:cs="Times New Roman"/>
                <w:sz w:val="24"/>
                <w:szCs w:val="24"/>
              </w:rPr>
            </w:pPr>
            <w:r>
              <w:rPr>
                <w:rFonts w:ascii="Times New Roman" w:hAnsi="Times New Roman" w:cs="Times New Roman"/>
                <w:sz w:val="24"/>
                <w:szCs w:val="24"/>
              </w:rPr>
              <w:t>Chi</w:t>
            </w:r>
            <w:r>
              <w:rPr>
                <w:rFonts w:ascii="Times New Roman" w:hAnsi="Times New Roman" w:cs="Times New Roman"/>
                <w:sz w:val="24"/>
                <w:szCs w:val="24"/>
                <w:vertAlign w:val="superscript"/>
              </w:rPr>
              <w:t>2</w:t>
            </w:r>
            <w:r>
              <w:rPr>
                <w:rFonts w:ascii="Times New Roman" w:hAnsi="Times New Roman" w:cs="Times New Roman"/>
                <w:sz w:val="24"/>
                <w:szCs w:val="24"/>
              </w:rPr>
              <w:t>(5)</w:t>
            </w:r>
          </w:p>
        </w:tc>
        <w:tc>
          <w:tcPr>
            <w:tcW w:w="3910" w:type="pct"/>
          </w:tcPr>
          <w:p w:rsidR="00477E52" w:rsidRDefault="009243CD">
            <w:pPr>
              <w:spacing w:after="0" w:line="240" w:lineRule="auto"/>
              <w:rPr>
                <w:rFonts w:ascii="Times New Roman" w:hAnsi="Times New Roman" w:cs="Times New Roman"/>
                <w:sz w:val="24"/>
                <w:szCs w:val="24"/>
              </w:rPr>
            </w:pPr>
            <w:r>
              <w:rPr>
                <w:rFonts w:ascii="Times New Roman" w:hAnsi="Times New Roman" w:cs="Times New Roman"/>
                <w:sz w:val="24"/>
                <w:szCs w:val="24"/>
              </w:rPr>
              <w:t>= (b-B)'[(</w:t>
            </w:r>
            <w:proofErr w:type="spellStart"/>
            <w:r>
              <w:rPr>
                <w:rFonts w:ascii="Times New Roman" w:hAnsi="Times New Roman" w:cs="Times New Roman"/>
                <w:sz w:val="24"/>
                <w:szCs w:val="24"/>
              </w:rPr>
              <w:t>V_b</w:t>
            </w:r>
            <w:proofErr w:type="spellEnd"/>
            <w:r>
              <w:rPr>
                <w:rFonts w:ascii="Times New Roman" w:hAnsi="Times New Roman" w:cs="Times New Roman"/>
                <w:sz w:val="24"/>
                <w:szCs w:val="24"/>
              </w:rPr>
              <w:t xml:space="preserve"> V_B)^(-1)](b B)</w:t>
            </w:r>
          </w:p>
        </w:tc>
      </w:tr>
      <w:tr w:rsidR="00477E52">
        <w:tc>
          <w:tcPr>
            <w:tcW w:w="1090" w:type="pct"/>
          </w:tcPr>
          <w:p w:rsidR="00477E52" w:rsidRDefault="00477E52">
            <w:pPr>
              <w:spacing w:after="0" w:line="240" w:lineRule="auto"/>
              <w:rPr>
                <w:rFonts w:ascii="Times New Roman" w:hAnsi="Times New Roman" w:cs="Times New Roman"/>
                <w:sz w:val="24"/>
                <w:szCs w:val="24"/>
              </w:rPr>
            </w:pPr>
          </w:p>
        </w:tc>
        <w:tc>
          <w:tcPr>
            <w:tcW w:w="3910" w:type="pct"/>
          </w:tcPr>
          <w:p w:rsidR="00477E52" w:rsidRDefault="009243CD">
            <w:pPr>
              <w:spacing w:after="0" w:line="240" w:lineRule="auto"/>
              <w:rPr>
                <w:rFonts w:ascii="Times New Roman" w:hAnsi="Times New Roman" w:cs="Times New Roman"/>
                <w:sz w:val="24"/>
                <w:szCs w:val="24"/>
              </w:rPr>
            </w:pPr>
            <w:r>
              <w:rPr>
                <w:rFonts w:ascii="Times New Roman" w:hAnsi="Times New Roman" w:cs="Times New Roman"/>
                <w:sz w:val="24"/>
                <w:szCs w:val="24"/>
              </w:rPr>
              <w:t>= 17.67</w:t>
            </w:r>
          </w:p>
        </w:tc>
      </w:tr>
      <w:tr w:rsidR="00477E52">
        <w:tc>
          <w:tcPr>
            <w:tcW w:w="1090" w:type="pct"/>
          </w:tcPr>
          <w:p w:rsidR="00477E52" w:rsidRDefault="009243CD">
            <w:pPr>
              <w:spacing w:after="0" w:line="240" w:lineRule="auto"/>
              <w:rPr>
                <w:rFonts w:ascii="Times New Roman" w:hAnsi="Times New Roman" w:cs="Times New Roman"/>
                <w:sz w:val="24"/>
                <w:szCs w:val="24"/>
                <w:vertAlign w:val="superscript"/>
              </w:rPr>
            </w:pPr>
            <w:proofErr w:type="spellStart"/>
            <w:r>
              <w:rPr>
                <w:rFonts w:ascii="Times New Roman" w:hAnsi="Times New Roman" w:cs="Times New Roman"/>
                <w:sz w:val="24"/>
                <w:szCs w:val="24"/>
              </w:rPr>
              <w:t>Prob</w:t>
            </w:r>
            <w:proofErr w:type="spellEnd"/>
            <w:r>
              <w:rPr>
                <w:rFonts w:ascii="Times New Roman" w:hAnsi="Times New Roman" w:cs="Times New Roman"/>
                <w:sz w:val="24"/>
                <w:szCs w:val="24"/>
              </w:rPr>
              <w:t xml:space="preserve"> &gt; Chi</w:t>
            </w:r>
            <w:r>
              <w:rPr>
                <w:rFonts w:ascii="Times New Roman" w:hAnsi="Times New Roman" w:cs="Times New Roman"/>
                <w:sz w:val="24"/>
                <w:szCs w:val="24"/>
                <w:vertAlign w:val="superscript"/>
              </w:rPr>
              <w:t>2</w:t>
            </w:r>
          </w:p>
        </w:tc>
        <w:tc>
          <w:tcPr>
            <w:tcW w:w="3910" w:type="pct"/>
          </w:tcPr>
          <w:p w:rsidR="00477E52" w:rsidRDefault="009243CD">
            <w:pPr>
              <w:spacing w:after="0" w:line="240" w:lineRule="auto"/>
              <w:rPr>
                <w:rFonts w:ascii="Times New Roman" w:hAnsi="Times New Roman" w:cs="Times New Roman"/>
                <w:sz w:val="24"/>
                <w:szCs w:val="24"/>
              </w:rPr>
            </w:pPr>
            <w:r>
              <w:rPr>
                <w:rFonts w:ascii="Times New Roman" w:hAnsi="Times New Roman" w:cs="Times New Roman"/>
                <w:sz w:val="24"/>
                <w:szCs w:val="24"/>
              </w:rPr>
              <w:t>= 0.0034</w:t>
            </w:r>
          </w:p>
        </w:tc>
      </w:tr>
    </w:tbl>
    <w:p w:rsidR="00477E52" w:rsidRDefault="009243CD">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Source: </w:t>
      </w:r>
      <w:r>
        <w:rPr>
          <w:rFonts w:ascii="Times New Roman" w:hAnsi="Times New Roman" w:cs="Times New Roman"/>
          <w:sz w:val="24"/>
          <w:szCs w:val="24"/>
        </w:rPr>
        <w:t>STATA Version 17, 2026</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proofErr w:type="spellStart"/>
      <w:r>
        <w:rPr>
          <w:rFonts w:ascii="Times New Roman" w:hAnsi="Times New Roman" w:cs="Times New Roman"/>
          <w:sz w:val="24"/>
          <w:szCs w:val="24"/>
        </w:rPr>
        <w:t>Hausman</w:t>
      </w:r>
      <w:proofErr w:type="spellEnd"/>
      <w:r>
        <w:rPr>
          <w:rFonts w:ascii="Times New Roman" w:hAnsi="Times New Roman" w:cs="Times New Roman"/>
          <w:sz w:val="24"/>
          <w:szCs w:val="24"/>
        </w:rPr>
        <w:t xml:space="preserve"> </w:t>
      </w:r>
      <w:r>
        <w:rPr>
          <w:rFonts w:ascii="Times New Roman" w:hAnsi="Times New Roman" w:cs="Times New Roman"/>
          <w:sz w:val="24"/>
          <w:szCs w:val="24"/>
        </w:rPr>
        <w:t>test for Model 1 reports a Chi-square statistic of 17.67 with a probability value of 0.0034, which is statistically significant at the 1% level. Since the p-value is less than 0.05, the null hypothesis that the difference in coefficients between the fixed-</w:t>
      </w:r>
      <w:r>
        <w:rPr>
          <w:rFonts w:ascii="Times New Roman" w:hAnsi="Times New Roman" w:cs="Times New Roman"/>
          <w:sz w:val="24"/>
          <w:szCs w:val="24"/>
        </w:rPr>
        <w:t>effects and random-effects models is not systematic is rejected. This implies that the random-effects estimator is inconsistent, and the fixed-effects model is more appropriate for Model 1. Therefore, unobserved individual bank-specific effects are correla</w:t>
      </w:r>
      <w:r>
        <w:rPr>
          <w:rFonts w:ascii="Times New Roman" w:hAnsi="Times New Roman" w:cs="Times New Roman"/>
          <w:sz w:val="24"/>
          <w:szCs w:val="24"/>
        </w:rPr>
        <w:t>ted with the explanatory variables, justifying the use of the fixed-effects estimation technique for the baseline model.</w:t>
      </w:r>
    </w:p>
    <w:p w:rsidR="00477E52" w:rsidRDefault="009243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Table 4.9b: </w:t>
      </w:r>
      <w:proofErr w:type="spellStart"/>
      <w:r>
        <w:rPr>
          <w:rFonts w:ascii="Times New Roman" w:hAnsi="Times New Roman" w:cs="Times New Roman"/>
          <w:b/>
          <w:bCs/>
          <w:sz w:val="24"/>
          <w:szCs w:val="24"/>
        </w:rPr>
        <w:t>Hauman</w:t>
      </w:r>
      <w:proofErr w:type="spellEnd"/>
      <w:r>
        <w:rPr>
          <w:rFonts w:ascii="Times New Roman" w:hAnsi="Times New Roman" w:cs="Times New Roman"/>
          <w:b/>
          <w:bCs/>
          <w:sz w:val="24"/>
          <w:szCs w:val="24"/>
        </w:rPr>
        <w:t xml:space="preserve"> test for model 2</w:t>
      </w:r>
    </w:p>
    <w:tbl>
      <w:tblPr>
        <w:tblStyle w:val="TableGrid"/>
        <w:tblW w:w="5000" w:type="pct"/>
        <w:tblLook w:val="04A0" w:firstRow="1" w:lastRow="0" w:firstColumn="1" w:lastColumn="0" w:noHBand="0" w:noVBand="1"/>
      </w:tblPr>
      <w:tblGrid>
        <w:gridCol w:w="4285"/>
        <w:gridCol w:w="4957"/>
      </w:tblGrid>
      <w:tr w:rsidR="00477E52">
        <w:tc>
          <w:tcPr>
            <w:tcW w:w="5000" w:type="pct"/>
            <w:gridSpan w:val="2"/>
          </w:tcPr>
          <w:p w:rsidR="00477E52" w:rsidRDefault="009243CD">
            <w:pPr>
              <w:spacing w:after="0" w:line="240" w:lineRule="auto"/>
              <w:rPr>
                <w:rFonts w:ascii="Times New Roman" w:hAnsi="Times New Roman" w:cs="Times New Roman"/>
                <w:sz w:val="24"/>
                <w:szCs w:val="24"/>
              </w:rPr>
            </w:pPr>
            <w:r>
              <w:rPr>
                <w:rFonts w:ascii="Times New Roman" w:hAnsi="Times New Roman" w:cs="Times New Roman"/>
                <w:sz w:val="24"/>
                <w:szCs w:val="24"/>
              </w:rPr>
              <w:t>Test of H0: Difference in coefficients not systematic</w:t>
            </w:r>
          </w:p>
        </w:tc>
      </w:tr>
      <w:tr w:rsidR="00477E52">
        <w:tc>
          <w:tcPr>
            <w:tcW w:w="2318" w:type="pct"/>
          </w:tcPr>
          <w:p w:rsidR="00477E52" w:rsidRDefault="009243CD">
            <w:pPr>
              <w:spacing w:after="0" w:line="240" w:lineRule="auto"/>
              <w:rPr>
                <w:rFonts w:ascii="Times New Roman" w:hAnsi="Times New Roman" w:cs="Times New Roman"/>
                <w:sz w:val="24"/>
                <w:szCs w:val="24"/>
              </w:rPr>
            </w:pPr>
            <w:r>
              <w:rPr>
                <w:rFonts w:ascii="Times New Roman" w:hAnsi="Times New Roman" w:cs="Times New Roman"/>
                <w:sz w:val="24"/>
                <w:szCs w:val="24"/>
              </w:rPr>
              <w:t>chi2(6)</w:t>
            </w:r>
          </w:p>
        </w:tc>
        <w:tc>
          <w:tcPr>
            <w:tcW w:w="2682" w:type="pct"/>
          </w:tcPr>
          <w:p w:rsidR="00477E52" w:rsidRDefault="009243CD">
            <w:pPr>
              <w:spacing w:after="0" w:line="240" w:lineRule="auto"/>
              <w:rPr>
                <w:rFonts w:ascii="Times New Roman" w:hAnsi="Times New Roman" w:cs="Times New Roman"/>
                <w:sz w:val="24"/>
                <w:szCs w:val="24"/>
              </w:rPr>
            </w:pPr>
            <w:r>
              <w:rPr>
                <w:rFonts w:ascii="Times New Roman" w:hAnsi="Times New Roman" w:cs="Times New Roman"/>
                <w:sz w:val="24"/>
                <w:szCs w:val="24"/>
              </w:rPr>
              <w:t>= (b-B)'[(</w:t>
            </w:r>
            <w:proofErr w:type="spellStart"/>
            <w:r>
              <w:rPr>
                <w:rFonts w:ascii="Times New Roman" w:hAnsi="Times New Roman" w:cs="Times New Roman"/>
                <w:sz w:val="24"/>
                <w:szCs w:val="24"/>
              </w:rPr>
              <w:t>V_b</w:t>
            </w:r>
            <w:proofErr w:type="spellEnd"/>
            <w:r>
              <w:rPr>
                <w:rFonts w:ascii="Times New Roman" w:hAnsi="Times New Roman" w:cs="Times New Roman"/>
                <w:sz w:val="24"/>
                <w:szCs w:val="24"/>
              </w:rPr>
              <w:t xml:space="preserve"> V_B)^(-1)](b B)</w:t>
            </w:r>
          </w:p>
        </w:tc>
      </w:tr>
      <w:tr w:rsidR="00477E52">
        <w:tc>
          <w:tcPr>
            <w:tcW w:w="2318" w:type="pct"/>
          </w:tcPr>
          <w:p w:rsidR="00477E52" w:rsidRDefault="00477E52">
            <w:pPr>
              <w:spacing w:after="0" w:line="240" w:lineRule="auto"/>
              <w:rPr>
                <w:rFonts w:ascii="Times New Roman" w:hAnsi="Times New Roman" w:cs="Times New Roman"/>
                <w:sz w:val="24"/>
                <w:szCs w:val="24"/>
              </w:rPr>
            </w:pPr>
          </w:p>
        </w:tc>
        <w:tc>
          <w:tcPr>
            <w:tcW w:w="2682" w:type="pct"/>
          </w:tcPr>
          <w:p w:rsidR="00477E52" w:rsidRDefault="009243C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20.85</w:t>
            </w:r>
          </w:p>
        </w:tc>
      </w:tr>
      <w:tr w:rsidR="00477E52">
        <w:tc>
          <w:tcPr>
            <w:tcW w:w="2318" w:type="pct"/>
          </w:tcPr>
          <w:p w:rsidR="00477E52" w:rsidRDefault="009243C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Prob</w:t>
            </w:r>
            <w:proofErr w:type="spellEnd"/>
            <w:r>
              <w:rPr>
                <w:rFonts w:ascii="Times New Roman" w:hAnsi="Times New Roman" w:cs="Times New Roman"/>
                <w:sz w:val="24"/>
                <w:szCs w:val="24"/>
              </w:rPr>
              <w:t xml:space="preserve"> &gt; chi2</w:t>
            </w:r>
          </w:p>
        </w:tc>
        <w:tc>
          <w:tcPr>
            <w:tcW w:w="2682" w:type="pct"/>
          </w:tcPr>
          <w:p w:rsidR="00477E52" w:rsidRDefault="009243CD">
            <w:pPr>
              <w:spacing w:after="0" w:line="240" w:lineRule="auto"/>
              <w:rPr>
                <w:rFonts w:ascii="Times New Roman" w:hAnsi="Times New Roman" w:cs="Times New Roman"/>
                <w:sz w:val="24"/>
                <w:szCs w:val="24"/>
              </w:rPr>
            </w:pPr>
            <w:r>
              <w:rPr>
                <w:rFonts w:ascii="Times New Roman" w:hAnsi="Times New Roman" w:cs="Times New Roman"/>
                <w:sz w:val="24"/>
                <w:szCs w:val="24"/>
              </w:rPr>
              <w:t>= 0.0019</w:t>
            </w:r>
          </w:p>
        </w:tc>
      </w:tr>
    </w:tbl>
    <w:p w:rsidR="00477E52" w:rsidRDefault="009243CD">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Source: </w:t>
      </w:r>
      <w:r>
        <w:rPr>
          <w:rFonts w:ascii="Times New Roman" w:hAnsi="Times New Roman" w:cs="Times New Roman"/>
          <w:sz w:val="24"/>
          <w:szCs w:val="24"/>
        </w:rPr>
        <w:t>STATA Version 17, 2026</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For Model 2, the </w:t>
      </w:r>
      <w:proofErr w:type="spellStart"/>
      <w:r>
        <w:rPr>
          <w:rFonts w:ascii="Times New Roman" w:hAnsi="Times New Roman" w:cs="Times New Roman"/>
          <w:sz w:val="24"/>
          <w:szCs w:val="24"/>
        </w:rPr>
        <w:t>Hausman</w:t>
      </w:r>
      <w:proofErr w:type="spellEnd"/>
      <w:r>
        <w:rPr>
          <w:rFonts w:ascii="Times New Roman" w:hAnsi="Times New Roman" w:cs="Times New Roman"/>
          <w:sz w:val="24"/>
          <w:szCs w:val="24"/>
        </w:rPr>
        <w:t xml:space="preserve"> test produces a Chi-square value of 20.85 with a p-value of 0.0019, which is also statistically significant at the 1% level. The null hypothesis is again rejected, indicat</w:t>
      </w:r>
      <w:r>
        <w:rPr>
          <w:rFonts w:ascii="Times New Roman" w:hAnsi="Times New Roman" w:cs="Times New Roman"/>
          <w:sz w:val="24"/>
          <w:szCs w:val="24"/>
        </w:rPr>
        <w:t>ing that the difference in coefficients between fixed and random effects is systematic. This result suggests that the fixed-effects model is more suitable than the random-effects model for the additive moderation model. It confirms that bank-specific unobs</w:t>
      </w:r>
      <w:r>
        <w:rPr>
          <w:rFonts w:ascii="Times New Roman" w:hAnsi="Times New Roman" w:cs="Times New Roman"/>
          <w:sz w:val="24"/>
          <w:szCs w:val="24"/>
        </w:rPr>
        <w:t xml:space="preserve">erved heterogeneity is correlated with the </w:t>
      </w:r>
      <w:proofErr w:type="spellStart"/>
      <w:r>
        <w:rPr>
          <w:rFonts w:ascii="Times New Roman" w:hAnsi="Times New Roman" w:cs="Times New Roman"/>
          <w:sz w:val="24"/>
          <w:szCs w:val="24"/>
        </w:rPr>
        <w:t>regressors</w:t>
      </w:r>
      <w:proofErr w:type="spellEnd"/>
      <w:r>
        <w:rPr>
          <w:rFonts w:ascii="Times New Roman" w:hAnsi="Times New Roman" w:cs="Times New Roman"/>
          <w:sz w:val="24"/>
          <w:szCs w:val="24"/>
        </w:rPr>
        <w:t>, and controlling for these individual effects through fixed-effects estimation provides more reliable and consistent results.</w:t>
      </w:r>
    </w:p>
    <w:p w:rsidR="00477E52" w:rsidRDefault="009243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Table 4.9c: </w:t>
      </w:r>
      <w:proofErr w:type="spellStart"/>
      <w:r>
        <w:rPr>
          <w:rFonts w:ascii="Times New Roman" w:hAnsi="Times New Roman" w:cs="Times New Roman"/>
          <w:b/>
          <w:bCs/>
          <w:sz w:val="24"/>
          <w:szCs w:val="24"/>
        </w:rPr>
        <w:t>Hauman</w:t>
      </w:r>
      <w:proofErr w:type="spellEnd"/>
      <w:r>
        <w:rPr>
          <w:rFonts w:ascii="Times New Roman" w:hAnsi="Times New Roman" w:cs="Times New Roman"/>
          <w:b/>
          <w:bCs/>
          <w:sz w:val="24"/>
          <w:szCs w:val="24"/>
        </w:rPr>
        <w:t xml:space="preserve"> test for model 3</w:t>
      </w:r>
    </w:p>
    <w:tbl>
      <w:tblPr>
        <w:tblStyle w:val="TableGrid"/>
        <w:tblW w:w="5000" w:type="pct"/>
        <w:tblLook w:val="04A0" w:firstRow="1" w:lastRow="0" w:firstColumn="1" w:lastColumn="0" w:noHBand="0" w:noVBand="1"/>
      </w:tblPr>
      <w:tblGrid>
        <w:gridCol w:w="3089"/>
        <w:gridCol w:w="6153"/>
      </w:tblGrid>
      <w:tr w:rsidR="00477E52">
        <w:tc>
          <w:tcPr>
            <w:tcW w:w="5000" w:type="pct"/>
            <w:gridSpan w:val="2"/>
          </w:tcPr>
          <w:p w:rsidR="00477E52" w:rsidRDefault="009243CD">
            <w:pPr>
              <w:spacing w:after="0" w:line="240" w:lineRule="auto"/>
              <w:rPr>
                <w:rFonts w:ascii="Times New Roman" w:hAnsi="Times New Roman" w:cs="Times New Roman"/>
                <w:sz w:val="24"/>
                <w:szCs w:val="24"/>
              </w:rPr>
            </w:pPr>
            <w:r>
              <w:rPr>
                <w:rFonts w:ascii="Times New Roman" w:hAnsi="Times New Roman" w:cs="Times New Roman"/>
                <w:sz w:val="24"/>
                <w:szCs w:val="24"/>
              </w:rPr>
              <w:t>Test of H0: Difference in coefficients n</w:t>
            </w:r>
            <w:r>
              <w:rPr>
                <w:rFonts w:ascii="Times New Roman" w:hAnsi="Times New Roman" w:cs="Times New Roman"/>
                <w:sz w:val="24"/>
                <w:szCs w:val="24"/>
              </w:rPr>
              <w:t>ot systematic</w:t>
            </w:r>
          </w:p>
        </w:tc>
      </w:tr>
      <w:tr w:rsidR="00477E52">
        <w:tc>
          <w:tcPr>
            <w:tcW w:w="1671" w:type="pct"/>
          </w:tcPr>
          <w:p w:rsidR="00477E52" w:rsidRDefault="009243CD">
            <w:pPr>
              <w:spacing w:after="0" w:line="240" w:lineRule="auto"/>
              <w:rPr>
                <w:rFonts w:ascii="Times New Roman" w:hAnsi="Times New Roman" w:cs="Times New Roman"/>
                <w:sz w:val="24"/>
                <w:szCs w:val="24"/>
              </w:rPr>
            </w:pPr>
            <w:r>
              <w:rPr>
                <w:rFonts w:ascii="Times New Roman" w:hAnsi="Times New Roman" w:cs="Times New Roman"/>
                <w:sz w:val="24"/>
                <w:szCs w:val="24"/>
              </w:rPr>
              <w:t>chi2(1)</w:t>
            </w:r>
          </w:p>
        </w:tc>
        <w:tc>
          <w:tcPr>
            <w:tcW w:w="3329" w:type="pct"/>
          </w:tcPr>
          <w:p w:rsidR="00477E52" w:rsidRDefault="009243CD">
            <w:pPr>
              <w:spacing w:after="0" w:line="240" w:lineRule="auto"/>
              <w:rPr>
                <w:rFonts w:ascii="Times New Roman" w:hAnsi="Times New Roman" w:cs="Times New Roman"/>
                <w:sz w:val="24"/>
                <w:szCs w:val="24"/>
              </w:rPr>
            </w:pPr>
            <w:r>
              <w:rPr>
                <w:rFonts w:ascii="Times New Roman" w:hAnsi="Times New Roman" w:cs="Times New Roman"/>
                <w:sz w:val="24"/>
                <w:szCs w:val="24"/>
              </w:rPr>
              <w:t>= (b-B)'[(</w:t>
            </w:r>
            <w:proofErr w:type="spellStart"/>
            <w:r>
              <w:rPr>
                <w:rFonts w:ascii="Times New Roman" w:hAnsi="Times New Roman" w:cs="Times New Roman"/>
                <w:sz w:val="24"/>
                <w:szCs w:val="24"/>
              </w:rPr>
              <w:t>V_b</w:t>
            </w:r>
            <w:proofErr w:type="spellEnd"/>
            <w:r>
              <w:rPr>
                <w:rFonts w:ascii="Times New Roman" w:hAnsi="Times New Roman" w:cs="Times New Roman"/>
                <w:sz w:val="24"/>
                <w:szCs w:val="24"/>
              </w:rPr>
              <w:t>-V_B)^(-1)](b B)</w:t>
            </w:r>
          </w:p>
        </w:tc>
      </w:tr>
      <w:tr w:rsidR="00477E52">
        <w:tc>
          <w:tcPr>
            <w:tcW w:w="1671" w:type="pct"/>
          </w:tcPr>
          <w:p w:rsidR="00477E52" w:rsidRDefault="00477E52">
            <w:pPr>
              <w:spacing w:after="0" w:line="240" w:lineRule="auto"/>
              <w:rPr>
                <w:rFonts w:ascii="Times New Roman" w:hAnsi="Times New Roman" w:cs="Times New Roman"/>
                <w:sz w:val="24"/>
                <w:szCs w:val="24"/>
              </w:rPr>
            </w:pPr>
          </w:p>
        </w:tc>
        <w:tc>
          <w:tcPr>
            <w:tcW w:w="3329" w:type="pct"/>
          </w:tcPr>
          <w:p w:rsidR="00477E52" w:rsidRDefault="009243CD">
            <w:pPr>
              <w:spacing w:after="0" w:line="240" w:lineRule="auto"/>
              <w:rPr>
                <w:rFonts w:ascii="Times New Roman" w:hAnsi="Times New Roman" w:cs="Times New Roman"/>
                <w:sz w:val="24"/>
                <w:szCs w:val="24"/>
              </w:rPr>
            </w:pPr>
            <w:r>
              <w:rPr>
                <w:rFonts w:ascii="Times New Roman" w:hAnsi="Times New Roman" w:cs="Times New Roman"/>
                <w:sz w:val="24"/>
                <w:szCs w:val="24"/>
              </w:rPr>
              <w:t>= 1.42</w:t>
            </w:r>
          </w:p>
        </w:tc>
      </w:tr>
      <w:tr w:rsidR="00477E52">
        <w:tc>
          <w:tcPr>
            <w:tcW w:w="1671" w:type="pct"/>
          </w:tcPr>
          <w:p w:rsidR="00477E52" w:rsidRDefault="009243CD">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Prob</w:t>
            </w:r>
            <w:proofErr w:type="spellEnd"/>
            <w:r>
              <w:rPr>
                <w:rFonts w:ascii="Times New Roman" w:hAnsi="Times New Roman" w:cs="Times New Roman"/>
                <w:sz w:val="24"/>
                <w:szCs w:val="24"/>
              </w:rPr>
              <w:t xml:space="preserve"> &gt; chi2</w:t>
            </w:r>
          </w:p>
        </w:tc>
        <w:tc>
          <w:tcPr>
            <w:tcW w:w="3329" w:type="pct"/>
          </w:tcPr>
          <w:p w:rsidR="00477E52" w:rsidRDefault="009243CD">
            <w:pPr>
              <w:spacing w:after="0" w:line="240" w:lineRule="auto"/>
              <w:rPr>
                <w:rFonts w:ascii="Times New Roman" w:hAnsi="Times New Roman" w:cs="Times New Roman"/>
                <w:sz w:val="24"/>
                <w:szCs w:val="24"/>
              </w:rPr>
            </w:pPr>
            <w:r>
              <w:rPr>
                <w:rFonts w:ascii="Times New Roman" w:hAnsi="Times New Roman" w:cs="Times New Roman"/>
                <w:sz w:val="24"/>
                <w:szCs w:val="24"/>
              </w:rPr>
              <w:t>= 0.2340</w:t>
            </w:r>
          </w:p>
        </w:tc>
      </w:tr>
      <w:tr w:rsidR="00477E52">
        <w:tc>
          <w:tcPr>
            <w:tcW w:w="5000" w:type="pct"/>
            <w:gridSpan w:val="2"/>
          </w:tcPr>
          <w:p w:rsidR="00477E52" w:rsidRDefault="009243CD">
            <w:pPr>
              <w:spacing w:after="0" w:line="240" w:lineRule="auto"/>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V_b</w:t>
            </w:r>
            <w:proofErr w:type="spellEnd"/>
            <w:r>
              <w:rPr>
                <w:rFonts w:ascii="Times New Roman" w:hAnsi="Times New Roman" w:cs="Times New Roman"/>
                <w:sz w:val="24"/>
                <w:szCs w:val="24"/>
              </w:rPr>
              <w:t>-V_B is not positive definite)</w:t>
            </w:r>
          </w:p>
        </w:tc>
      </w:tr>
    </w:tbl>
    <w:p w:rsidR="00477E52" w:rsidRDefault="009243CD">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Source: </w:t>
      </w:r>
      <w:r>
        <w:rPr>
          <w:rFonts w:ascii="Times New Roman" w:hAnsi="Times New Roman" w:cs="Times New Roman"/>
          <w:sz w:val="24"/>
          <w:szCs w:val="24"/>
        </w:rPr>
        <w:t>STATA Version 17, 2026</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contrast, the </w:t>
      </w:r>
      <w:proofErr w:type="spellStart"/>
      <w:r>
        <w:rPr>
          <w:rFonts w:ascii="Times New Roman" w:hAnsi="Times New Roman" w:cs="Times New Roman"/>
          <w:sz w:val="24"/>
          <w:szCs w:val="24"/>
        </w:rPr>
        <w:t>Hausman</w:t>
      </w:r>
      <w:proofErr w:type="spellEnd"/>
      <w:r>
        <w:rPr>
          <w:rFonts w:ascii="Times New Roman" w:hAnsi="Times New Roman" w:cs="Times New Roman"/>
          <w:sz w:val="24"/>
          <w:szCs w:val="24"/>
        </w:rPr>
        <w:t xml:space="preserve"> test for Model 3 reports a Chi-square statistic of 1.42 with a probability </w:t>
      </w:r>
      <w:r>
        <w:rPr>
          <w:rFonts w:ascii="Times New Roman" w:hAnsi="Times New Roman" w:cs="Times New Roman"/>
          <w:sz w:val="24"/>
          <w:szCs w:val="24"/>
        </w:rPr>
        <w:t>value of 0.2340, which is not statistically significant at the 5% level. Therefore, the null hypothesis cannot be rejected, implying that the difference between fixed-effects and random-effects estimates is not systematic. This suggests that the random-eff</w:t>
      </w:r>
      <w:r>
        <w:rPr>
          <w:rFonts w:ascii="Times New Roman" w:hAnsi="Times New Roman" w:cs="Times New Roman"/>
          <w:sz w:val="24"/>
          <w:szCs w:val="24"/>
        </w:rPr>
        <w:t>ects model is appropriate for the full moderation model incorporating interaction terms. The note that (</w:t>
      </w:r>
      <w:proofErr w:type="spellStart"/>
      <w:r>
        <w:rPr>
          <w:rFonts w:ascii="Times New Roman" w:hAnsi="Times New Roman" w:cs="Times New Roman"/>
          <w:sz w:val="24"/>
          <w:szCs w:val="24"/>
        </w:rPr>
        <w:t>V_b</w:t>
      </w:r>
      <w:proofErr w:type="spellEnd"/>
      <w:r>
        <w:rPr>
          <w:rFonts w:ascii="Times New Roman" w:hAnsi="Times New Roman" w:cs="Times New Roman"/>
          <w:sz w:val="24"/>
          <w:szCs w:val="24"/>
        </w:rPr>
        <w:t xml:space="preserve"> – V_B is not positive definite) indicates a potential technical limitation in the covariance matrix difference, but given the non-significant p-valu</w:t>
      </w:r>
      <w:r>
        <w:rPr>
          <w:rFonts w:ascii="Times New Roman" w:hAnsi="Times New Roman" w:cs="Times New Roman"/>
          <w:sz w:val="24"/>
          <w:szCs w:val="24"/>
        </w:rPr>
        <w:t>e, the random-effects estimator is considered consistent and efficient for Model 3.</w:t>
      </w:r>
    </w:p>
    <w:p w:rsidR="00477E52" w:rsidRDefault="009243C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Table 4.10: Robust Panel Regression Results</w:t>
      </w:r>
    </w:p>
    <w:tbl>
      <w:tblPr>
        <w:tblStyle w:val="TableGrid"/>
        <w:tblW w:w="5000" w:type="pct"/>
        <w:tblLook w:val="04A0" w:firstRow="1" w:lastRow="0" w:firstColumn="1" w:lastColumn="0" w:noHBand="0" w:noVBand="1"/>
      </w:tblPr>
      <w:tblGrid>
        <w:gridCol w:w="1920"/>
        <w:gridCol w:w="1411"/>
        <w:gridCol w:w="1156"/>
        <w:gridCol w:w="1410"/>
        <w:gridCol w:w="1026"/>
        <w:gridCol w:w="1347"/>
        <w:gridCol w:w="972"/>
      </w:tblGrid>
      <w:tr w:rsidR="00477E52">
        <w:tc>
          <w:tcPr>
            <w:tcW w:w="1038" w:type="pct"/>
          </w:tcPr>
          <w:p w:rsidR="00477E52" w:rsidRDefault="00477E52">
            <w:pPr>
              <w:spacing w:after="0" w:line="240" w:lineRule="auto"/>
              <w:rPr>
                <w:rFonts w:ascii="Times New Roman" w:hAnsi="Times New Roman" w:cs="Times New Roman"/>
                <w:b/>
                <w:bCs/>
                <w:sz w:val="20"/>
                <w:szCs w:val="20"/>
              </w:rPr>
            </w:pPr>
          </w:p>
        </w:tc>
        <w:tc>
          <w:tcPr>
            <w:tcW w:w="1388" w:type="pct"/>
            <w:gridSpan w:val="2"/>
          </w:tcPr>
          <w:p w:rsidR="00477E52" w:rsidRDefault="009243C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Fixed-effects (within) Regression for Model 1</w:t>
            </w:r>
          </w:p>
        </w:tc>
        <w:tc>
          <w:tcPr>
            <w:tcW w:w="1318" w:type="pct"/>
            <w:gridSpan w:val="2"/>
          </w:tcPr>
          <w:p w:rsidR="00477E52" w:rsidRDefault="009243C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Fixed-effects (within) Regression for Model 2</w:t>
            </w:r>
          </w:p>
        </w:tc>
        <w:tc>
          <w:tcPr>
            <w:tcW w:w="1255" w:type="pct"/>
            <w:gridSpan w:val="2"/>
          </w:tcPr>
          <w:p w:rsidR="00477E52" w:rsidRDefault="009243C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Random-effects GLS regression for </w:t>
            </w:r>
            <w:r>
              <w:rPr>
                <w:rFonts w:ascii="Times New Roman" w:hAnsi="Times New Roman" w:cs="Times New Roman"/>
                <w:b/>
                <w:bCs/>
                <w:sz w:val="20"/>
                <w:szCs w:val="20"/>
              </w:rPr>
              <w:t>model 3</w:t>
            </w:r>
          </w:p>
        </w:tc>
      </w:tr>
      <w:tr w:rsidR="00477E52">
        <w:tc>
          <w:tcPr>
            <w:tcW w:w="1038" w:type="pct"/>
          </w:tcPr>
          <w:p w:rsidR="00477E52" w:rsidRDefault="009243C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 xml:space="preserve">Number of OBS  </w:t>
            </w:r>
          </w:p>
        </w:tc>
        <w:tc>
          <w:tcPr>
            <w:tcW w:w="763" w:type="pct"/>
          </w:tcPr>
          <w:p w:rsidR="00477E52" w:rsidRDefault="00477E52">
            <w:pPr>
              <w:spacing w:after="0" w:line="240" w:lineRule="auto"/>
              <w:jc w:val="center"/>
              <w:rPr>
                <w:rFonts w:ascii="Times New Roman" w:hAnsi="Times New Roman" w:cs="Times New Roman"/>
                <w:b/>
                <w:bCs/>
                <w:sz w:val="20"/>
                <w:szCs w:val="20"/>
              </w:rPr>
            </w:pPr>
          </w:p>
        </w:tc>
        <w:tc>
          <w:tcPr>
            <w:tcW w:w="625"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120</w:t>
            </w:r>
          </w:p>
        </w:tc>
        <w:tc>
          <w:tcPr>
            <w:tcW w:w="763" w:type="pct"/>
          </w:tcPr>
          <w:p w:rsidR="00477E52" w:rsidRDefault="00477E52">
            <w:pPr>
              <w:spacing w:after="0" w:line="240" w:lineRule="auto"/>
              <w:jc w:val="center"/>
              <w:rPr>
                <w:rFonts w:ascii="Times New Roman" w:hAnsi="Times New Roman" w:cs="Times New Roman"/>
                <w:b/>
                <w:bCs/>
                <w:sz w:val="20"/>
                <w:szCs w:val="20"/>
              </w:rPr>
            </w:pPr>
          </w:p>
        </w:tc>
        <w:tc>
          <w:tcPr>
            <w:tcW w:w="555"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120</w:t>
            </w:r>
          </w:p>
        </w:tc>
        <w:tc>
          <w:tcPr>
            <w:tcW w:w="729" w:type="pct"/>
          </w:tcPr>
          <w:p w:rsidR="00477E52" w:rsidRDefault="00477E52">
            <w:pPr>
              <w:spacing w:after="0" w:line="240" w:lineRule="auto"/>
              <w:jc w:val="center"/>
              <w:rPr>
                <w:rFonts w:ascii="Times New Roman" w:hAnsi="Times New Roman" w:cs="Times New Roman"/>
                <w:b/>
                <w:bCs/>
                <w:sz w:val="20"/>
                <w:szCs w:val="20"/>
              </w:rPr>
            </w:pPr>
          </w:p>
        </w:tc>
        <w:tc>
          <w:tcPr>
            <w:tcW w:w="526"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120</w:t>
            </w:r>
          </w:p>
        </w:tc>
      </w:tr>
      <w:tr w:rsidR="00477E52">
        <w:tc>
          <w:tcPr>
            <w:tcW w:w="1038" w:type="pct"/>
          </w:tcPr>
          <w:p w:rsidR="00477E52" w:rsidRDefault="009243C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Wald Chi</w:t>
            </w:r>
            <w:r>
              <w:rPr>
                <w:rFonts w:ascii="Times New Roman" w:hAnsi="Times New Roman" w:cs="Times New Roman"/>
                <w:b/>
                <w:bCs/>
                <w:sz w:val="20"/>
                <w:szCs w:val="20"/>
                <w:vertAlign w:val="superscript"/>
              </w:rPr>
              <w:t>2</w:t>
            </w:r>
            <w:r>
              <w:rPr>
                <w:rFonts w:ascii="Times New Roman" w:hAnsi="Times New Roman" w:cs="Times New Roman"/>
                <w:b/>
                <w:bCs/>
                <w:sz w:val="20"/>
                <w:szCs w:val="20"/>
              </w:rPr>
              <w:t>(9)</w:t>
            </w:r>
          </w:p>
        </w:tc>
        <w:tc>
          <w:tcPr>
            <w:tcW w:w="763" w:type="pct"/>
          </w:tcPr>
          <w:p w:rsidR="00477E52" w:rsidRDefault="00477E52">
            <w:pPr>
              <w:spacing w:after="0" w:line="240" w:lineRule="auto"/>
              <w:jc w:val="center"/>
              <w:rPr>
                <w:rFonts w:ascii="Times New Roman" w:hAnsi="Times New Roman" w:cs="Times New Roman"/>
                <w:b/>
                <w:bCs/>
                <w:sz w:val="20"/>
                <w:szCs w:val="20"/>
              </w:rPr>
            </w:pPr>
          </w:p>
        </w:tc>
        <w:tc>
          <w:tcPr>
            <w:tcW w:w="625" w:type="pct"/>
          </w:tcPr>
          <w:p w:rsidR="00477E52" w:rsidRDefault="009243CD">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7.77</w:t>
            </w:r>
          </w:p>
        </w:tc>
        <w:tc>
          <w:tcPr>
            <w:tcW w:w="763" w:type="pct"/>
          </w:tcPr>
          <w:p w:rsidR="00477E52" w:rsidRDefault="00477E52">
            <w:pPr>
              <w:spacing w:after="0" w:line="240" w:lineRule="auto"/>
              <w:jc w:val="center"/>
              <w:rPr>
                <w:rFonts w:ascii="Times New Roman" w:hAnsi="Times New Roman" w:cs="Times New Roman"/>
                <w:b/>
                <w:bCs/>
                <w:sz w:val="20"/>
                <w:szCs w:val="20"/>
              </w:rPr>
            </w:pPr>
          </w:p>
        </w:tc>
        <w:tc>
          <w:tcPr>
            <w:tcW w:w="555" w:type="pct"/>
          </w:tcPr>
          <w:p w:rsidR="00477E52" w:rsidRDefault="009243CD">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6.74</w:t>
            </w:r>
          </w:p>
        </w:tc>
        <w:tc>
          <w:tcPr>
            <w:tcW w:w="729" w:type="pct"/>
          </w:tcPr>
          <w:p w:rsidR="00477E52" w:rsidRDefault="00477E52">
            <w:pPr>
              <w:spacing w:after="0" w:line="240" w:lineRule="auto"/>
              <w:jc w:val="center"/>
              <w:rPr>
                <w:rFonts w:ascii="Times New Roman" w:hAnsi="Times New Roman" w:cs="Times New Roman"/>
                <w:b/>
                <w:bCs/>
                <w:sz w:val="20"/>
                <w:szCs w:val="20"/>
              </w:rPr>
            </w:pPr>
          </w:p>
        </w:tc>
        <w:tc>
          <w:tcPr>
            <w:tcW w:w="526" w:type="pct"/>
          </w:tcPr>
          <w:p w:rsidR="00477E52" w:rsidRDefault="009243CD">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53.17</w:t>
            </w:r>
          </w:p>
        </w:tc>
      </w:tr>
      <w:tr w:rsidR="00477E52">
        <w:tc>
          <w:tcPr>
            <w:tcW w:w="1038" w:type="pct"/>
          </w:tcPr>
          <w:p w:rsidR="00477E52" w:rsidRDefault="009243CD">
            <w:pPr>
              <w:spacing w:after="0" w:line="240" w:lineRule="auto"/>
              <w:rPr>
                <w:rFonts w:ascii="Times New Roman" w:hAnsi="Times New Roman" w:cs="Times New Roman"/>
                <w:b/>
                <w:bCs/>
                <w:sz w:val="20"/>
                <w:szCs w:val="20"/>
                <w:vertAlign w:val="superscript"/>
              </w:rPr>
            </w:pPr>
            <w:proofErr w:type="spellStart"/>
            <w:r>
              <w:rPr>
                <w:rFonts w:ascii="Times New Roman" w:hAnsi="Times New Roman" w:cs="Times New Roman"/>
                <w:b/>
                <w:bCs/>
                <w:sz w:val="20"/>
                <w:szCs w:val="20"/>
              </w:rPr>
              <w:t>Prob</w:t>
            </w:r>
            <w:proofErr w:type="spellEnd"/>
            <w:r>
              <w:rPr>
                <w:rFonts w:ascii="Times New Roman" w:hAnsi="Times New Roman" w:cs="Times New Roman"/>
                <w:b/>
                <w:bCs/>
                <w:sz w:val="20"/>
                <w:szCs w:val="20"/>
              </w:rPr>
              <w:t xml:space="preserve"> &gt; Chi</w:t>
            </w:r>
            <w:r>
              <w:rPr>
                <w:rFonts w:ascii="Times New Roman" w:hAnsi="Times New Roman" w:cs="Times New Roman"/>
                <w:b/>
                <w:bCs/>
                <w:sz w:val="20"/>
                <w:szCs w:val="20"/>
                <w:vertAlign w:val="superscript"/>
              </w:rPr>
              <w:t>2</w:t>
            </w:r>
          </w:p>
        </w:tc>
        <w:tc>
          <w:tcPr>
            <w:tcW w:w="763" w:type="pct"/>
          </w:tcPr>
          <w:p w:rsidR="00477E52" w:rsidRDefault="00477E52">
            <w:pPr>
              <w:spacing w:after="0" w:line="240" w:lineRule="auto"/>
              <w:jc w:val="center"/>
              <w:rPr>
                <w:rFonts w:ascii="Times New Roman" w:hAnsi="Times New Roman" w:cs="Times New Roman"/>
                <w:b/>
                <w:bCs/>
                <w:sz w:val="20"/>
                <w:szCs w:val="20"/>
              </w:rPr>
            </w:pPr>
          </w:p>
        </w:tc>
        <w:tc>
          <w:tcPr>
            <w:tcW w:w="625" w:type="pct"/>
          </w:tcPr>
          <w:p w:rsidR="00477E52" w:rsidRDefault="009243CD">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0.0000</w:t>
            </w:r>
          </w:p>
        </w:tc>
        <w:tc>
          <w:tcPr>
            <w:tcW w:w="763" w:type="pct"/>
          </w:tcPr>
          <w:p w:rsidR="00477E52" w:rsidRDefault="00477E52">
            <w:pPr>
              <w:spacing w:after="0" w:line="240" w:lineRule="auto"/>
              <w:jc w:val="center"/>
              <w:rPr>
                <w:rFonts w:ascii="Times New Roman" w:hAnsi="Times New Roman" w:cs="Times New Roman"/>
                <w:b/>
                <w:bCs/>
                <w:sz w:val="20"/>
                <w:szCs w:val="20"/>
              </w:rPr>
            </w:pPr>
          </w:p>
        </w:tc>
        <w:tc>
          <w:tcPr>
            <w:tcW w:w="555" w:type="pct"/>
          </w:tcPr>
          <w:p w:rsidR="00477E52" w:rsidRDefault="009243CD">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0.0000</w:t>
            </w:r>
          </w:p>
        </w:tc>
        <w:tc>
          <w:tcPr>
            <w:tcW w:w="729" w:type="pct"/>
          </w:tcPr>
          <w:p w:rsidR="00477E52" w:rsidRDefault="00477E52">
            <w:pPr>
              <w:spacing w:after="0" w:line="240" w:lineRule="auto"/>
              <w:jc w:val="center"/>
              <w:rPr>
                <w:rFonts w:ascii="Times New Roman" w:hAnsi="Times New Roman" w:cs="Times New Roman"/>
                <w:b/>
                <w:bCs/>
                <w:sz w:val="20"/>
                <w:szCs w:val="20"/>
              </w:rPr>
            </w:pPr>
          </w:p>
        </w:tc>
        <w:tc>
          <w:tcPr>
            <w:tcW w:w="526" w:type="pct"/>
          </w:tcPr>
          <w:p w:rsidR="00477E52" w:rsidRDefault="009243CD">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0.0000</w:t>
            </w:r>
          </w:p>
        </w:tc>
      </w:tr>
      <w:tr w:rsidR="00477E52">
        <w:tc>
          <w:tcPr>
            <w:tcW w:w="1038" w:type="pct"/>
          </w:tcPr>
          <w:p w:rsidR="00477E52" w:rsidRDefault="009243C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R-Square</w:t>
            </w:r>
          </w:p>
        </w:tc>
        <w:tc>
          <w:tcPr>
            <w:tcW w:w="763" w:type="pct"/>
          </w:tcPr>
          <w:p w:rsidR="00477E52" w:rsidRDefault="00477E52">
            <w:pPr>
              <w:spacing w:after="0" w:line="240" w:lineRule="auto"/>
              <w:jc w:val="center"/>
              <w:rPr>
                <w:rFonts w:ascii="Times New Roman" w:hAnsi="Times New Roman" w:cs="Times New Roman"/>
                <w:b/>
                <w:bCs/>
                <w:sz w:val="20"/>
                <w:szCs w:val="20"/>
              </w:rPr>
            </w:pPr>
          </w:p>
        </w:tc>
        <w:tc>
          <w:tcPr>
            <w:tcW w:w="625" w:type="pct"/>
          </w:tcPr>
          <w:p w:rsidR="00477E52" w:rsidRDefault="009243CD">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0.2739</w:t>
            </w:r>
          </w:p>
        </w:tc>
        <w:tc>
          <w:tcPr>
            <w:tcW w:w="763" w:type="pct"/>
          </w:tcPr>
          <w:p w:rsidR="00477E52" w:rsidRDefault="00477E52">
            <w:pPr>
              <w:spacing w:after="0" w:line="240" w:lineRule="auto"/>
              <w:jc w:val="center"/>
              <w:rPr>
                <w:rFonts w:ascii="Times New Roman" w:hAnsi="Times New Roman" w:cs="Times New Roman"/>
                <w:b/>
                <w:bCs/>
                <w:sz w:val="20"/>
                <w:szCs w:val="20"/>
              </w:rPr>
            </w:pPr>
          </w:p>
        </w:tc>
        <w:tc>
          <w:tcPr>
            <w:tcW w:w="555" w:type="pct"/>
          </w:tcPr>
          <w:p w:rsidR="00477E52" w:rsidRDefault="009243CD">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0.2838</w:t>
            </w:r>
          </w:p>
        </w:tc>
        <w:tc>
          <w:tcPr>
            <w:tcW w:w="729" w:type="pct"/>
          </w:tcPr>
          <w:p w:rsidR="00477E52" w:rsidRDefault="00477E52">
            <w:pPr>
              <w:spacing w:after="0" w:line="240" w:lineRule="auto"/>
              <w:jc w:val="center"/>
              <w:rPr>
                <w:rFonts w:ascii="Times New Roman" w:hAnsi="Times New Roman" w:cs="Times New Roman"/>
                <w:b/>
                <w:bCs/>
                <w:sz w:val="20"/>
                <w:szCs w:val="20"/>
              </w:rPr>
            </w:pPr>
          </w:p>
        </w:tc>
        <w:tc>
          <w:tcPr>
            <w:tcW w:w="526" w:type="pct"/>
          </w:tcPr>
          <w:p w:rsidR="00477E52" w:rsidRDefault="009243CD">
            <w:pPr>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0.5637</w:t>
            </w:r>
          </w:p>
        </w:tc>
      </w:tr>
      <w:tr w:rsidR="00477E52">
        <w:tc>
          <w:tcPr>
            <w:tcW w:w="1038" w:type="pct"/>
          </w:tcPr>
          <w:p w:rsidR="00477E52" w:rsidRDefault="009243C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TOB_Q</w:t>
            </w:r>
          </w:p>
        </w:tc>
        <w:tc>
          <w:tcPr>
            <w:tcW w:w="763" w:type="pct"/>
          </w:tcPr>
          <w:p w:rsidR="00477E52" w:rsidRDefault="009243C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Coefficient</w:t>
            </w:r>
          </w:p>
        </w:tc>
        <w:tc>
          <w:tcPr>
            <w:tcW w:w="625" w:type="pct"/>
          </w:tcPr>
          <w:p w:rsidR="00477E52" w:rsidRDefault="009243C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P&gt;t</w:t>
            </w:r>
          </w:p>
        </w:tc>
        <w:tc>
          <w:tcPr>
            <w:tcW w:w="763" w:type="pct"/>
          </w:tcPr>
          <w:p w:rsidR="00477E52" w:rsidRDefault="009243C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Coefficient</w:t>
            </w:r>
          </w:p>
        </w:tc>
        <w:tc>
          <w:tcPr>
            <w:tcW w:w="555" w:type="pct"/>
          </w:tcPr>
          <w:p w:rsidR="00477E52" w:rsidRDefault="009243C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P&gt;t</w:t>
            </w:r>
          </w:p>
        </w:tc>
        <w:tc>
          <w:tcPr>
            <w:tcW w:w="729" w:type="pct"/>
          </w:tcPr>
          <w:p w:rsidR="00477E52" w:rsidRDefault="009243C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Coefficient</w:t>
            </w:r>
          </w:p>
        </w:tc>
        <w:tc>
          <w:tcPr>
            <w:tcW w:w="526" w:type="pct"/>
          </w:tcPr>
          <w:p w:rsidR="00477E52" w:rsidRDefault="009243CD">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P&gt;z</w:t>
            </w:r>
          </w:p>
        </w:tc>
      </w:tr>
      <w:tr w:rsidR="00477E52">
        <w:tc>
          <w:tcPr>
            <w:tcW w:w="1038" w:type="pct"/>
          </w:tcPr>
          <w:p w:rsidR="00477E52" w:rsidRDefault="009243C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MOWN</w:t>
            </w:r>
          </w:p>
        </w:tc>
        <w:tc>
          <w:tcPr>
            <w:tcW w:w="763"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.3247123</w:t>
            </w:r>
          </w:p>
        </w:tc>
        <w:tc>
          <w:tcPr>
            <w:tcW w:w="625"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0.014</w:t>
            </w:r>
          </w:p>
        </w:tc>
        <w:tc>
          <w:tcPr>
            <w:tcW w:w="763"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.3180727</w:t>
            </w:r>
          </w:p>
        </w:tc>
        <w:tc>
          <w:tcPr>
            <w:tcW w:w="555"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0.016</w:t>
            </w:r>
          </w:p>
        </w:tc>
        <w:tc>
          <w:tcPr>
            <w:tcW w:w="729"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.8131395</w:t>
            </w:r>
          </w:p>
        </w:tc>
        <w:tc>
          <w:tcPr>
            <w:tcW w:w="526"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0.003</w:t>
            </w:r>
          </w:p>
        </w:tc>
      </w:tr>
      <w:tr w:rsidR="00477E52">
        <w:tc>
          <w:tcPr>
            <w:tcW w:w="1038" w:type="pct"/>
          </w:tcPr>
          <w:p w:rsidR="00477E52" w:rsidRDefault="009243C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FOWN</w:t>
            </w:r>
          </w:p>
        </w:tc>
        <w:tc>
          <w:tcPr>
            <w:tcW w:w="763"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-.0976284</w:t>
            </w:r>
          </w:p>
        </w:tc>
        <w:tc>
          <w:tcPr>
            <w:tcW w:w="625"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0.755</w:t>
            </w:r>
          </w:p>
        </w:tc>
        <w:tc>
          <w:tcPr>
            <w:tcW w:w="763"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-.0942026</w:t>
            </w:r>
          </w:p>
        </w:tc>
        <w:tc>
          <w:tcPr>
            <w:tcW w:w="555"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0.763</w:t>
            </w:r>
          </w:p>
        </w:tc>
        <w:tc>
          <w:tcPr>
            <w:tcW w:w="729"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.3902366</w:t>
            </w:r>
          </w:p>
        </w:tc>
        <w:tc>
          <w:tcPr>
            <w:tcW w:w="526"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0.838</w:t>
            </w:r>
          </w:p>
        </w:tc>
      </w:tr>
      <w:tr w:rsidR="00477E52">
        <w:tc>
          <w:tcPr>
            <w:tcW w:w="1038" w:type="pct"/>
          </w:tcPr>
          <w:p w:rsidR="00477E52" w:rsidRDefault="009243C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IOWN</w:t>
            </w:r>
          </w:p>
        </w:tc>
        <w:tc>
          <w:tcPr>
            <w:tcW w:w="763"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-.072027</w:t>
            </w:r>
          </w:p>
        </w:tc>
        <w:tc>
          <w:tcPr>
            <w:tcW w:w="625"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763"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-.0693114</w:t>
            </w:r>
          </w:p>
        </w:tc>
        <w:tc>
          <w:tcPr>
            <w:tcW w:w="555"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0.001</w:t>
            </w:r>
          </w:p>
        </w:tc>
        <w:tc>
          <w:tcPr>
            <w:tcW w:w="729"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-.0367178</w:t>
            </w:r>
          </w:p>
        </w:tc>
        <w:tc>
          <w:tcPr>
            <w:tcW w:w="526"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0.048</w:t>
            </w:r>
          </w:p>
        </w:tc>
      </w:tr>
      <w:tr w:rsidR="00477E52">
        <w:tc>
          <w:tcPr>
            <w:tcW w:w="1038" w:type="pct"/>
          </w:tcPr>
          <w:p w:rsidR="00477E52" w:rsidRDefault="009243C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CAR</w:t>
            </w:r>
          </w:p>
        </w:tc>
        <w:tc>
          <w:tcPr>
            <w:tcW w:w="763" w:type="pct"/>
          </w:tcPr>
          <w:p w:rsidR="00477E52" w:rsidRDefault="00477E52">
            <w:pPr>
              <w:spacing w:after="0" w:line="240" w:lineRule="auto"/>
              <w:jc w:val="center"/>
              <w:rPr>
                <w:rFonts w:ascii="Times New Roman" w:hAnsi="Times New Roman" w:cs="Times New Roman"/>
                <w:sz w:val="20"/>
                <w:szCs w:val="20"/>
              </w:rPr>
            </w:pPr>
          </w:p>
        </w:tc>
        <w:tc>
          <w:tcPr>
            <w:tcW w:w="625" w:type="pct"/>
          </w:tcPr>
          <w:p w:rsidR="00477E52" w:rsidRDefault="00477E52">
            <w:pPr>
              <w:spacing w:after="0" w:line="240" w:lineRule="auto"/>
              <w:jc w:val="center"/>
              <w:rPr>
                <w:rFonts w:ascii="Times New Roman" w:hAnsi="Times New Roman" w:cs="Times New Roman"/>
                <w:sz w:val="20"/>
                <w:szCs w:val="20"/>
              </w:rPr>
            </w:pPr>
          </w:p>
        </w:tc>
        <w:tc>
          <w:tcPr>
            <w:tcW w:w="763"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.0190061</w:t>
            </w:r>
          </w:p>
        </w:tc>
        <w:tc>
          <w:tcPr>
            <w:tcW w:w="555"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0.239</w:t>
            </w:r>
          </w:p>
        </w:tc>
        <w:tc>
          <w:tcPr>
            <w:tcW w:w="729"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.0434111</w:t>
            </w:r>
          </w:p>
        </w:tc>
        <w:tc>
          <w:tcPr>
            <w:tcW w:w="526"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0.076</w:t>
            </w:r>
          </w:p>
        </w:tc>
      </w:tr>
      <w:tr w:rsidR="00477E52">
        <w:tc>
          <w:tcPr>
            <w:tcW w:w="1038" w:type="pct"/>
          </w:tcPr>
          <w:p w:rsidR="00477E52" w:rsidRDefault="009243C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MOWN_CAR</w:t>
            </w:r>
          </w:p>
        </w:tc>
        <w:tc>
          <w:tcPr>
            <w:tcW w:w="763" w:type="pct"/>
          </w:tcPr>
          <w:p w:rsidR="00477E52" w:rsidRDefault="00477E52">
            <w:pPr>
              <w:spacing w:after="0" w:line="240" w:lineRule="auto"/>
              <w:jc w:val="center"/>
              <w:rPr>
                <w:rFonts w:ascii="Times New Roman" w:hAnsi="Times New Roman" w:cs="Times New Roman"/>
                <w:sz w:val="20"/>
                <w:szCs w:val="20"/>
              </w:rPr>
            </w:pPr>
          </w:p>
        </w:tc>
        <w:tc>
          <w:tcPr>
            <w:tcW w:w="625" w:type="pct"/>
          </w:tcPr>
          <w:p w:rsidR="00477E52" w:rsidRDefault="00477E52">
            <w:pPr>
              <w:spacing w:after="0" w:line="240" w:lineRule="auto"/>
              <w:jc w:val="center"/>
              <w:rPr>
                <w:rFonts w:ascii="Times New Roman" w:hAnsi="Times New Roman" w:cs="Times New Roman"/>
                <w:sz w:val="20"/>
                <w:szCs w:val="20"/>
              </w:rPr>
            </w:pPr>
          </w:p>
        </w:tc>
        <w:tc>
          <w:tcPr>
            <w:tcW w:w="763" w:type="pct"/>
          </w:tcPr>
          <w:p w:rsidR="00477E52" w:rsidRDefault="00477E52">
            <w:pPr>
              <w:spacing w:after="0" w:line="240" w:lineRule="auto"/>
              <w:jc w:val="center"/>
              <w:rPr>
                <w:rFonts w:ascii="Times New Roman" w:hAnsi="Times New Roman" w:cs="Times New Roman"/>
                <w:sz w:val="20"/>
                <w:szCs w:val="20"/>
              </w:rPr>
            </w:pPr>
          </w:p>
        </w:tc>
        <w:tc>
          <w:tcPr>
            <w:tcW w:w="555" w:type="pct"/>
          </w:tcPr>
          <w:p w:rsidR="00477E52" w:rsidRDefault="00477E52">
            <w:pPr>
              <w:spacing w:after="0" w:line="240" w:lineRule="auto"/>
              <w:jc w:val="center"/>
              <w:rPr>
                <w:rFonts w:ascii="Times New Roman" w:hAnsi="Times New Roman" w:cs="Times New Roman"/>
                <w:sz w:val="20"/>
                <w:szCs w:val="20"/>
              </w:rPr>
            </w:pPr>
          </w:p>
        </w:tc>
        <w:tc>
          <w:tcPr>
            <w:tcW w:w="729"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-1.189601</w:t>
            </w:r>
          </w:p>
        </w:tc>
        <w:tc>
          <w:tcPr>
            <w:tcW w:w="526"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0.026</w:t>
            </w:r>
          </w:p>
        </w:tc>
      </w:tr>
      <w:tr w:rsidR="00477E52">
        <w:tc>
          <w:tcPr>
            <w:tcW w:w="1038" w:type="pct"/>
          </w:tcPr>
          <w:p w:rsidR="00477E52" w:rsidRDefault="009243C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lastRenderedPageBreak/>
              <w:t>FOWN_CAR</w:t>
            </w:r>
          </w:p>
        </w:tc>
        <w:tc>
          <w:tcPr>
            <w:tcW w:w="763" w:type="pct"/>
          </w:tcPr>
          <w:p w:rsidR="00477E52" w:rsidRDefault="00477E52">
            <w:pPr>
              <w:spacing w:after="0" w:line="240" w:lineRule="auto"/>
              <w:jc w:val="center"/>
              <w:rPr>
                <w:rFonts w:ascii="Times New Roman" w:hAnsi="Times New Roman" w:cs="Times New Roman"/>
                <w:sz w:val="20"/>
                <w:szCs w:val="20"/>
              </w:rPr>
            </w:pPr>
          </w:p>
        </w:tc>
        <w:tc>
          <w:tcPr>
            <w:tcW w:w="625" w:type="pct"/>
          </w:tcPr>
          <w:p w:rsidR="00477E52" w:rsidRDefault="00477E52">
            <w:pPr>
              <w:spacing w:after="0" w:line="240" w:lineRule="auto"/>
              <w:jc w:val="center"/>
              <w:rPr>
                <w:rFonts w:ascii="Times New Roman" w:hAnsi="Times New Roman" w:cs="Times New Roman"/>
                <w:sz w:val="20"/>
                <w:szCs w:val="20"/>
              </w:rPr>
            </w:pPr>
          </w:p>
        </w:tc>
        <w:tc>
          <w:tcPr>
            <w:tcW w:w="763" w:type="pct"/>
          </w:tcPr>
          <w:p w:rsidR="00477E52" w:rsidRDefault="00477E52">
            <w:pPr>
              <w:spacing w:after="0" w:line="240" w:lineRule="auto"/>
              <w:jc w:val="center"/>
              <w:rPr>
                <w:rFonts w:ascii="Times New Roman" w:hAnsi="Times New Roman" w:cs="Times New Roman"/>
                <w:sz w:val="20"/>
                <w:szCs w:val="20"/>
              </w:rPr>
            </w:pPr>
          </w:p>
        </w:tc>
        <w:tc>
          <w:tcPr>
            <w:tcW w:w="555" w:type="pct"/>
          </w:tcPr>
          <w:p w:rsidR="00477E52" w:rsidRDefault="00477E52">
            <w:pPr>
              <w:spacing w:after="0" w:line="240" w:lineRule="auto"/>
              <w:jc w:val="center"/>
              <w:rPr>
                <w:rFonts w:ascii="Times New Roman" w:hAnsi="Times New Roman" w:cs="Times New Roman"/>
                <w:sz w:val="20"/>
                <w:szCs w:val="20"/>
              </w:rPr>
            </w:pPr>
          </w:p>
        </w:tc>
        <w:tc>
          <w:tcPr>
            <w:tcW w:w="729"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-2404.784</w:t>
            </w:r>
          </w:p>
        </w:tc>
        <w:tc>
          <w:tcPr>
            <w:tcW w:w="526"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0.786</w:t>
            </w:r>
          </w:p>
        </w:tc>
      </w:tr>
      <w:tr w:rsidR="00477E52">
        <w:tc>
          <w:tcPr>
            <w:tcW w:w="1038" w:type="pct"/>
          </w:tcPr>
          <w:p w:rsidR="00477E52" w:rsidRDefault="009243C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IOWN_CAR</w:t>
            </w:r>
          </w:p>
        </w:tc>
        <w:tc>
          <w:tcPr>
            <w:tcW w:w="763" w:type="pct"/>
          </w:tcPr>
          <w:p w:rsidR="00477E52" w:rsidRDefault="00477E52">
            <w:pPr>
              <w:spacing w:after="0" w:line="240" w:lineRule="auto"/>
              <w:jc w:val="center"/>
              <w:rPr>
                <w:rFonts w:ascii="Times New Roman" w:hAnsi="Times New Roman" w:cs="Times New Roman"/>
                <w:sz w:val="20"/>
                <w:szCs w:val="20"/>
              </w:rPr>
            </w:pPr>
          </w:p>
        </w:tc>
        <w:tc>
          <w:tcPr>
            <w:tcW w:w="625" w:type="pct"/>
          </w:tcPr>
          <w:p w:rsidR="00477E52" w:rsidRDefault="00477E52">
            <w:pPr>
              <w:spacing w:after="0" w:line="240" w:lineRule="auto"/>
              <w:jc w:val="center"/>
              <w:rPr>
                <w:rFonts w:ascii="Times New Roman" w:hAnsi="Times New Roman" w:cs="Times New Roman"/>
                <w:sz w:val="20"/>
                <w:szCs w:val="20"/>
              </w:rPr>
            </w:pPr>
          </w:p>
        </w:tc>
        <w:tc>
          <w:tcPr>
            <w:tcW w:w="763" w:type="pct"/>
          </w:tcPr>
          <w:p w:rsidR="00477E52" w:rsidRDefault="00477E52">
            <w:pPr>
              <w:spacing w:after="0" w:line="240" w:lineRule="auto"/>
              <w:jc w:val="center"/>
              <w:rPr>
                <w:rFonts w:ascii="Times New Roman" w:hAnsi="Times New Roman" w:cs="Times New Roman"/>
                <w:sz w:val="20"/>
                <w:szCs w:val="20"/>
              </w:rPr>
            </w:pPr>
          </w:p>
        </w:tc>
        <w:tc>
          <w:tcPr>
            <w:tcW w:w="555" w:type="pct"/>
          </w:tcPr>
          <w:p w:rsidR="00477E52" w:rsidRDefault="00477E52">
            <w:pPr>
              <w:spacing w:after="0" w:line="240" w:lineRule="auto"/>
              <w:jc w:val="center"/>
              <w:rPr>
                <w:rFonts w:ascii="Times New Roman" w:hAnsi="Times New Roman" w:cs="Times New Roman"/>
                <w:sz w:val="20"/>
                <w:szCs w:val="20"/>
              </w:rPr>
            </w:pPr>
          </w:p>
        </w:tc>
        <w:tc>
          <w:tcPr>
            <w:tcW w:w="729"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-.0610107</w:t>
            </w:r>
          </w:p>
        </w:tc>
        <w:tc>
          <w:tcPr>
            <w:tcW w:w="526"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0.347</w:t>
            </w:r>
          </w:p>
        </w:tc>
      </w:tr>
      <w:tr w:rsidR="00477E52">
        <w:tc>
          <w:tcPr>
            <w:tcW w:w="1038" w:type="pct"/>
          </w:tcPr>
          <w:p w:rsidR="00477E52" w:rsidRDefault="009243C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FSIZ</w:t>
            </w:r>
          </w:p>
        </w:tc>
        <w:tc>
          <w:tcPr>
            <w:tcW w:w="763"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-.0209715</w:t>
            </w:r>
          </w:p>
        </w:tc>
        <w:tc>
          <w:tcPr>
            <w:tcW w:w="625"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763"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-.0208567</w:t>
            </w:r>
          </w:p>
        </w:tc>
        <w:tc>
          <w:tcPr>
            <w:tcW w:w="555"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729"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-.0256064</w:t>
            </w:r>
          </w:p>
        </w:tc>
        <w:tc>
          <w:tcPr>
            <w:tcW w:w="526"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r>
      <w:tr w:rsidR="00477E52">
        <w:tc>
          <w:tcPr>
            <w:tcW w:w="1038" w:type="pct"/>
          </w:tcPr>
          <w:p w:rsidR="00477E52" w:rsidRDefault="009243C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NPM</w:t>
            </w:r>
          </w:p>
        </w:tc>
        <w:tc>
          <w:tcPr>
            <w:tcW w:w="763"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.0479187</w:t>
            </w:r>
          </w:p>
        </w:tc>
        <w:tc>
          <w:tcPr>
            <w:tcW w:w="625"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0.064</w:t>
            </w:r>
          </w:p>
        </w:tc>
        <w:tc>
          <w:tcPr>
            <w:tcW w:w="763"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.0455791</w:t>
            </w:r>
          </w:p>
        </w:tc>
        <w:tc>
          <w:tcPr>
            <w:tcW w:w="555"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0.078</w:t>
            </w:r>
          </w:p>
        </w:tc>
        <w:tc>
          <w:tcPr>
            <w:tcW w:w="729"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.0412786</w:t>
            </w:r>
          </w:p>
        </w:tc>
        <w:tc>
          <w:tcPr>
            <w:tcW w:w="526"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0.062</w:t>
            </w:r>
          </w:p>
        </w:tc>
      </w:tr>
      <w:tr w:rsidR="00477E52">
        <w:tc>
          <w:tcPr>
            <w:tcW w:w="1038" w:type="pct"/>
          </w:tcPr>
          <w:p w:rsidR="00477E52" w:rsidRDefault="009243CD">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_cons</w:t>
            </w:r>
          </w:p>
        </w:tc>
        <w:tc>
          <w:tcPr>
            <w:tcW w:w="763"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.4803364</w:t>
            </w:r>
          </w:p>
        </w:tc>
        <w:tc>
          <w:tcPr>
            <w:tcW w:w="625"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763"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.4725177</w:t>
            </w:r>
          </w:p>
        </w:tc>
        <w:tc>
          <w:tcPr>
            <w:tcW w:w="555"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c>
          <w:tcPr>
            <w:tcW w:w="729"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.5633679</w:t>
            </w:r>
          </w:p>
        </w:tc>
        <w:tc>
          <w:tcPr>
            <w:tcW w:w="526" w:type="pct"/>
          </w:tcPr>
          <w:p w:rsidR="00477E52" w:rsidRDefault="009243C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0.000</w:t>
            </w:r>
          </w:p>
        </w:tc>
      </w:tr>
    </w:tbl>
    <w:p w:rsidR="00477E52" w:rsidRDefault="009243CD">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Source: </w:t>
      </w:r>
      <w:r>
        <w:rPr>
          <w:rFonts w:ascii="Times New Roman" w:hAnsi="Times New Roman" w:cs="Times New Roman"/>
          <w:sz w:val="24"/>
          <w:szCs w:val="24"/>
        </w:rPr>
        <w:t>STATA Version 17, 2026</w:t>
      </w:r>
    </w:p>
    <w:p w:rsidR="00477E52" w:rsidRDefault="009243CD">
      <w:pPr>
        <w:spacing w:line="240" w:lineRule="auto"/>
        <w:rPr>
          <w:rFonts w:ascii="Times New Roman" w:hAnsi="Times New Roman" w:cs="Times New Roman"/>
          <w:b/>
          <w:bCs/>
          <w:sz w:val="24"/>
          <w:szCs w:val="24"/>
        </w:rPr>
      </w:pPr>
      <w:r>
        <w:rPr>
          <w:rFonts w:ascii="Times New Roman" w:hAnsi="Times New Roman" w:cs="Times New Roman"/>
          <w:b/>
          <w:bCs/>
          <w:sz w:val="24"/>
          <w:szCs w:val="24"/>
        </w:rPr>
        <w:t>4.2 Test of Hypothesis and Discussion of Findings</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The hypothesis testing is based on the robust panel regression results presented in Table 4.10, focusing on the independent variables (MOWN, FOWN, IOWN), the moderator (CAR), and the interaction terms in Model 3. The overall regression results presented in</w:t>
      </w:r>
      <w:r>
        <w:rPr>
          <w:rFonts w:ascii="Times New Roman" w:hAnsi="Times New Roman" w:cs="Times New Roman"/>
          <w:sz w:val="24"/>
          <w:szCs w:val="24"/>
        </w:rPr>
        <w:t xml:space="preserve"> Table 4.10 indicate that the models are statistically significant across all specifications. </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Model 1 (Fixed Effects), the F-statistic of 7.77 with a probability value of 0.0000 shows that the explanatory variables jointly have a significant effect on </w:t>
      </w:r>
      <w:r>
        <w:rPr>
          <w:rFonts w:ascii="Times New Roman" w:hAnsi="Times New Roman" w:cs="Times New Roman"/>
          <w:sz w:val="24"/>
          <w:szCs w:val="24"/>
        </w:rPr>
        <w:t>Tobin’s Q. The R-squared value of 0.2739 implies that approximately 27.39% of the variation in firm value among listed deposit money banks in Nigeria is explained by managerial ownership, foreign ownership, institutional ownership, and the control variable</w:t>
      </w:r>
      <w:r>
        <w:rPr>
          <w:rFonts w:ascii="Times New Roman" w:hAnsi="Times New Roman" w:cs="Times New Roman"/>
          <w:sz w:val="24"/>
          <w:szCs w:val="24"/>
        </w:rPr>
        <w:t>s.</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Model 2, which introduces Capital Adequacy Ratio (CAR) as an additional predictor, the model remains statistically significant (F = 6.74; p = 0.0000), with a slightly improved R-squared of 0.2838. This indicates that about 28.38% of the variation in </w:t>
      </w:r>
      <w:r>
        <w:rPr>
          <w:rFonts w:ascii="Times New Roman" w:hAnsi="Times New Roman" w:cs="Times New Roman"/>
          <w:sz w:val="24"/>
          <w:szCs w:val="24"/>
        </w:rPr>
        <w:t>firm value is explained when CAR is included, suggesting a marginal improvement in explanatory power.</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 Model 3 (Random Effects GLS), which incorporates the interaction (moderation) terms, the Wald Chi² statistic of 53.17 with a probability value of </w:t>
      </w:r>
      <w:r>
        <w:rPr>
          <w:rFonts w:ascii="Times New Roman" w:hAnsi="Times New Roman" w:cs="Times New Roman"/>
          <w:sz w:val="24"/>
          <w:szCs w:val="24"/>
        </w:rPr>
        <w:t>0.0000 confirms that the full moderation model is highly significant. The R-squared increases substantially to 0.5637, indicating that approximately 56.37% of the variation in Tobin’s Q is jointly explained by ownership structure, capital adequacy, interac</w:t>
      </w:r>
      <w:r>
        <w:rPr>
          <w:rFonts w:ascii="Times New Roman" w:hAnsi="Times New Roman" w:cs="Times New Roman"/>
          <w:sz w:val="24"/>
          <w:szCs w:val="24"/>
        </w:rPr>
        <w:t>tion effects, and control variables. This substantial increase in explanatory power suggests that incorporating moderation effects enhances the model’s ability to explain firm value in Nigerian deposit money banks.</w:t>
      </w:r>
    </w:p>
    <w:p w:rsidR="00477E52" w:rsidRDefault="009243C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4.2.1 Managerial Ownership and Firm Value</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The results show that Managerial Ownership (MOWN) has a positive and statistically significant effect on Tobin’s Q across all models. In Model 1, the coefficient is 0.3247 (p = 0.014), and in Model 2, it remains positive at 0.3181 (p = 0.016), both signif</w:t>
      </w:r>
      <w:r>
        <w:rPr>
          <w:rFonts w:ascii="Times New Roman" w:hAnsi="Times New Roman" w:cs="Times New Roman"/>
          <w:sz w:val="24"/>
          <w:szCs w:val="24"/>
        </w:rPr>
        <w:t>icant at the 5% level under fixed-effects estimation. In the full moderation Model 3, the coefficient increases to 0.8131 (p = 0.003), significant at the 1% level under random-effects estimation. This indicates that higher managerial shareholding significa</w:t>
      </w:r>
      <w:r>
        <w:rPr>
          <w:rFonts w:ascii="Times New Roman" w:hAnsi="Times New Roman" w:cs="Times New Roman"/>
          <w:sz w:val="24"/>
          <w:szCs w:val="24"/>
        </w:rPr>
        <w:t>ntly enhances firm value. Therefore, the null hypothesis (H0</w:t>
      </w:r>
      <w:r>
        <w:rPr>
          <w:rFonts w:ascii="Times New Roman" w:hAnsi="Times New Roman" w:cs="Times New Roman"/>
          <w:sz w:val="24"/>
          <w:szCs w:val="24"/>
          <w:vertAlign w:val="subscript"/>
        </w:rPr>
        <w:t>1</w:t>
      </w:r>
      <w:r>
        <w:rPr>
          <w:rFonts w:ascii="Times New Roman" w:hAnsi="Times New Roman" w:cs="Times New Roman"/>
          <w:sz w:val="24"/>
          <w:szCs w:val="24"/>
        </w:rPr>
        <w:t>) is rejected. The study concludes that managerial ownership has a positive and statistically significant effect on the value of listed deposit money banks in Nigeria.</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The finding that managerial</w:t>
      </w:r>
      <w:r>
        <w:rPr>
          <w:rFonts w:ascii="Times New Roman" w:hAnsi="Times New Roman" w:cs="Times New Roman"/>
          <w:sz w:val="24"/>
          <w:szCs w:val="24"/>
        </w:rPr>
        <w:t xml:space="preserve"> ownership has a positive and statistically significant effect on firm value aligns with the studies of </w:t>
      </w:r>
      <w:proofErr w:type="spellStart"/>
      <w:r>
        <w:rPr>
          <w:rFonts w:ascii="Times New Roman" w:hAnsi="Times New Roman" w:cs="Times New Roman"/>
          <w:sz w:val="24"/>
          <w:szCs w:val="24"/>
        </w:rPr>
        <w:t>Purnomo</w:t>
      </w:r>
      <w:proofErr w:type="spellEnd"/>
      <w:r>
        <w:rPr>
          <w:rFonts w:ascii="Times New Roman" w:hAnsi="Times New Roman" w:cs="Times New Roman"/>
          <w:sz w:val="24"/>
          <w:szCs w:val="24"/>
        </w:rPr>
        <w:t xml:space="preserve"> et al. (2025) and </w:t>
      </w:r>
      <w:proofErr w:type="spellStart"/>
      <w:r>
        <w:rPr>
          <w:rFonts w:ascii="Times New Roman" w:hAnsi="Times New Roman" w:cs="Times New Roman"/>
          <w:sz w:val="24"/>
          <w:szCs w:val="24"/>
        </w:rPr>
        <w:t>Fawwaz</w:t>
      </w:r>
      <w:proofErr w:type="spellEnd"/>
      <w:r>
        <w:rPr>
          <w:rFonts w:ascii="Times New Roman" w:hAnsi="Times New Roman" w:cs="Times New Roman"/>
          <w:sz w:val="24"/>
          <w:szCs w:val="24"/>
        </w:rPr>
        <w:t xml:space="preserve"> and Char-Lee (2024). However, the findings contradict </w:t>
      </w:r>
      <w:proofErr w:type="spellStart"/>
      <w:r>
        <w:rPr>
          <w:rFonts w:ascii="Times New Roman" w:hAnsi="Times New Roman" w:cs="Times New Roman"/>
          <w:sz w:val="24"/>
          <w:szCs w:val="24"/>
        </w:rPr>
        <w:t>Ismaila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Tanko</w:t>
      </w:r>
      <w:proofErr w:type="spellEnd"/>
      <w:r>
        <w:rPr>
          <w:rFonts w:ascii="Times New Roman" w:hAnsi="Times New Roman" w:cs="Times New Roman"/>
          <w:sz w:val="24"/>
          <w:szCs w:val="24"/>
        </w:rPr>
        <w:t xml:space="preserve"> (2024), who reported a negative significant eff</w:t>
      </w:r>
      <w:r>
        <w:rPr>
          <w:rFonts w:ascii="Times New Roman" w:hAnsi="Times New Roman" w:cs="Times New Roman"/>
          <w:sz w:val="24"/>
          <w:szCs w:val="24"/>
        </w:rPr>
        <w:t xml:space="preserve">ect of managerial ownership on bank performance in Nigeria, as well as </w:t>
      </w:r>
      <w:proofErr w:type="spellStart"/>
      <w:r>
        <w:rPr>
          <w:rFonts w:ascii="Times New Roman" w:hAnsi="Times New Roman" w:cs="Times New Roman"/>
          <w:sz w:val="24"/>
          <w:szCs w:val="24"/>
        </w:rPr>
        <w:t>Ahamed</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Masum</w:t>
      </w:r>
      <w:proofErr w:type="spellEnd"/>
      <w:r>
        <w:rPr>
          <w:rFonts w:ascii="Times New Roman" w:hAnsi="Times New Roman" w:cs="Times New Roman"/>
          <w:sz w:val="24"/>
          <w:szCs w:val="24"/>
        </w:rPr>
        <w:t xml:space="preserve"> (2024) and Musa (2024), who found insignificant relationships. These contradictions may stem from differences in performance measures, as prior Nigerian banking studies</w:t>
      </w:r>
      <w:r>
        <w:rPr>
          <w:rFonts w:ascii="Times New Roman" w:hAnsi="Times New Roman" w:cs="Times New Roman"/>
          <w:sz w:val="24"/>
          <w:szCs w:val="24"/>
        </w:rPr>
        <w:t xml:space="preserve"> relied on ROA, an accounting-based metric, whereas the current study uses Tobin’s Q, a market-based valuation measure. Market-based measures capture investor expectations and long-term growth prospects, which may respond differently to insider </w:t>
      </w:r>
      <w:r>
        <w:rPr>
          <w:rFonts w:ascii="Times New Roman" w:hAnsi="Times New Roman" w:cs="Times New Roman"/>
          <w:sz w:val="24"/>
          <w:szCs w:val="24"/>
        </w:rPr>
        <w:lastRenderedPageBreak/>
        <w:t>ownership c</w:t>
      </w:r>
      <w:r>
        <w:rPr>
          <w:rFonts w:ascii="Times New Roman" w:hAnsi="Times New Roman" w:cs="Times New Roman"/>
          <w:sz w:val="24"/>
          <w:szCs w:val="24"/>
        </w:rPr>
        <w:t>ompared to accounting returns. From an Agency Theory perspective, the positive effect supports the incentive-alignment argument that managerial shareholding reduces agency conflicts. Resource-Based Theory (RBT) further explains the result by viewing manage</w:t>
      </w:r>
      <w:r>
        <w:rPr>
          <w:rFonts w:ascii="Times New Roman" w:hAnsi="Times New Roman" w:cs="Times New Roman"/>
          <w:sz w:val="24"/>
          <w:szCs w:val="24"/>
        </w:rPr>
        <w:t>rial ownership as a strategic governance resource that embeds firm-specific knowledge, commitment, and strategic continuity, thereby enhancing firm value in Nigeria’s banking sector.</w:t>
      </w:r>
    </w:p>
    <w:p w:rsidR="00477E52" w:rsidRDefault="009243C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4.2.2 Foreign ownership and Firm Value</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Foreign Ownership (FOWN) shows a n</w:t>
      </w:r>
      <w:r>
        <w:rPr>
          <w:rFonts w:ascii="Times New Roman" w:hAnsi="Times New Roman" w:cs="Times New Roman"/>
          <w:sz w:val="24"/>
          <w:szCs w:val="24"/>
        </w:rPr>
        <w:t>egative but statistically insignificant coefficient in Model 1 (-0.0976, p = 0.755) and Model 2 (-0.0942, p = 0.763). In Model 3, although the coefficient becomes positive (0.3902), it remains statistically insignificant (p = 0.838). Across all models, for</w:t>
      </w:r>
      <w:r>
        <w:rPr>
          <w:rFonts w:ascii="Times New Roman" w:hAnsi="Times New Roman" w:cs="Times New Roman"/>
          <w:sz w:val="24"/>
          <w:szCs w:val="24"/>
        </w:rPr>
        <w:t>eign ownership does not demonstrate statistical significance at conventional levels. Therefore, the null hypothesis (H0</w:t>
      </w:r>
      <w:r>
        <w:rPr>
          <w:rFonts w:ascii="Times New Roman" w:hAnsi="Times New Roman" w:cs="Times New Roman"/>
          <w:sz w:val="24"/>
          <w:szCs w:val="24"/>
          <w:vertAlign w:val="subscript"/>
        </w:rPr>
        <w:t>2</w:t>
      </w:r>
      <w:r>
        <w:rPr>
          <w:rFonts w:ascii="Times New Roman" w:hAnsi="Times New Roman" w:cs="Times New Roman"/>
          <w:sz w:val="24"/>
          <w:szCs w:val="24"/>
        </w:rPr>
        <w:t>) failed to be rejected. The study concludes that foreign ownership does not have a statistically significant effect on the firm value o</w:t>
      </w:r>
      <w:r>
        <w:rPr>
          <w:rFonts w:ascii="Times New Roman" w:hAnsi="Times New Roman" w:cs="Times New Roman"/>
          <w:sz w:val="24"/>
          <w:szCs w:val="24"/>
        </w:rPr>
        <w:t>f listed deposit money banks in Nigeria.</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finding that foreign ownership has no statistically significant effect on firm value aligns with </w:t>
      </w:r>
      <w:proofErr w:type="spellStart"/>
      <w:r>
        <w:rPr>
          <w:rFonts w:ascii="Times New Roman" w:hAnsi="Times New Roman" w:cs="Times New Roman"/>
          <w:sz w:val="24"/>
          <w:szCs w:val="24"/>
        </w:rPr>
        <w:t>Thanapin</w:t>
      </w:r>
      <w:proofErr w:type="spellEnd"/>
      <w:r>
        <w:rPr>
          <w:rFonts w:ascii="Times New Roman" w:hAnsi="Times New Roman" w:cs="Times New Roman"/>
          <w:sz w:val="24"/>
          <w:szCs w:val="24"/>
        </w:rPr>
        <w:t xml:space="preserve"> (2023) and </w:t>
      </w:r>
      <w:proofErr w:type="spellStart"/>
      <w:r>
        <w:rPr>
          <w:rFonts w:ascii="Times New Roman" w:hAnsi="Times New Roman" w:cs="Times New Roman"/>
          <w:sz w:val="24"/>
          <w:szCs w:val="24"/>
        </w:rPr>
        <w:t>Ismaila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Tanko</w:t>
      </w:r>
      <w:proofErr w:type="spellEnd"/>
      <w:r>
        <w:rPr>
          <w:rFonts w:ascii="Times New Roman" w:hAnsi="Times New Roman" w:cs="Times New Roman"/>
          <w:sz w:val="24"/>
          <w:szCs w:val="24"/>
        </w:rPr>
        <w:t xml:space="preserve"> (2024). Conversely, the finding contradicts </w:t>
      </w:r>
      <w:proofErr w:type="spellStart"/>
      <w:r>
        <w:rPr>
          <w:rFonts w:ascii="Times New Roman" w:hAnsi="Times New Roman" w:cs="Times New Roman"/>
          <w:sz w:val="24"/>
          <w:szCs w:val="24"/>
        </w:rPr>
        <w:t>Fawwaz</w:t>
      </w:r>
      <w:proofErr w:type="spellEnd"/>
      <w:r>
        <w:rPr>
          <w:rFonts w:ascii="Times New Roman" w:hAnsi="Times New Roman" w:cs="Times New Roman"/>
          <w:sz w:val="24"/>
          <w:szCs w:val="24"/>
        </w:rPr>
        <w:t xml:space="preserve"> and Char-Lee (2024) and M</w:t>
      </w:r>
      <w:r>
        <w:rPr>
          <w:rFonts w:ascii="Times New Roman" w:hAnsi="Times New Roman" w:cs="Times New Roman"/>
          <w:sz w:val="24"/>
          <w:szCs w:val="24"/>
        </w:rPr>
        <w:t xml:space="preserve">usa (2024), who reported positive effects of foreign ownership, as well as </w:t>
      </w:r>
      <w:proofErr w:type="spellStart"/>
      <w:r>
        <w:rPr>
          <w:rFonts w:ascii="Times New Roman" w:hAnsi="Times New Roman" w:cs="Times New Roman"/>
          <w:sz w:val="24"/>
          <w:szCs w:val="24"/>
        </w:rPr>
        <w:t>Ahamed</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Masum</w:t>
      </w:r>
      <w:proofErr w:type="spellEnd"/>
      <w:r>
        <w:rPr>
          <w:rFonts w:ascii="Times New Roman" w:hAnsi="Times New Roman" w:cs="Times New Roman"/>
          <w:sz w:val="24"/>
          <w:szCs w:val="24"/>
        </w:rPr>
        <w:t xml:space="preserve"> (2024), who found positive governance-related outcomes. The divergence may be attributed to contextual differences in regulatory quality, investor protection, and m</w:t>
      </w:r>
      <w:r>
        <w:rPr>
          <w:rFonts w:ascii="Times New Roman" w:hAnsi="Times New Roman" w:cs="Times New Roman"/>
          <w:sz w:val="24"/>
          <w:szCs w:val="24"/>
        </w:rPr>
        <w:t>arket maturity. In more investor-friendly environments like Jordan, foreign shareholders may exert stronger monitoring and strategic influence. In contrast, Nigeria’s regulatory uncertainties and macroeconomic volatility may limit the effectiveness of fore</w:t>
      </w:r>
      <w:r>
        <w:rPr>
          <w:rFonts w:ascii="Times New Roman" w:hAnsi="Times New Roman" w:cs="Times New Roman"/>
          <w:sz w:val="24"/>
          <w:szCs w:val="24"/>
        </w:rPr>
        <w:t>ign participation. Under Agency Theory, foreign investors are expected to function as external monitors; however, where institutional enforcement is weak, monitoring effectiveness diminishes. From the Resource-Based Theory perspective, foreign ownership pr</w:t>
      </w:r>
      <w:r>
        <w:rPr>
          <w:rFonts w:ascii="Times New Roman" w:hAnsi="Times New Roman" w:cs="Times New Roman"/>
          <w:sz w:val="24"/>
          <w:szCs w:val="24"/>
        </w:rPr>
        <w:t>ovides access to capital and expertise, but these resources may not yield value unless supported by stable institutional infrastructure; conditions that may constrain their impact in Nigerian banks.</w:t>
      </w:r>
    </w:p>
    <w:p w:rsidR="00477E52" w:rsidRDefault="009243C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4.2.3 Institutional ownership and Firm Value</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Institutiona</w:t>
      </w:r>
      <w:r>
        <w:rPr>
          <w:rFonts w:ascii="Times New Roman" w:hAnsi="Times New Roman" w:cs="Times New Roman"/>
          <w:sz w:val="24"/>
          <w:szCs w:val="24"/>
        </w:rPr>
        <w:t xml:space="preserve">l Ownership (IOWN) exhibits a negative and statistically significant effect in all models. In Model 1, the coefficient is -0.0720 (p = 0.000), and in Model 2, it is -0.0693 (p = 0.001), both significant at the 1% level. In Model 3, the coefficient remains </w:t>
      </w:r>
      <w:r>
        <w:rPr>
          <w:rFonts w:ascii="Times New Roman" w:hAnsi="Times New Roman" w:cs="Times New Roman"/>
          <w:sz w:val="24"/>
          <w:szCs w:val="24"/>
        </w:rPr>
        <w:t>negative at -0.0367 and significant at the 5% level (p = 0.048). This consistently significant negative relationship indicates that higher institutional ownership is associated with lower firm value. Therefore, the null hypothesis (H0</w:t>
      </w:r>
      <w:r>
        <w:rPr>
          <w:rFonts w:ascii="Times New Roman" w:hAnsi="Times New Roman" w:cs="Times New Roman"/>
          <w:sz w:val="24"/>
          <w:szCs w:val="24"/>
          <w:vertAlign w:val="subscript"/>
        </w:rPr>
        <w:t>3</w:t>
      </w:r>
      <w:r>
        <w:rPr>
          <w:rFonts w:ascii="Times New Roman" w:hAnsi="Times New Roman" w:cs="Times New Roman"/>
          <w:sz w:val="24"/>
          <w:szCs w:val="24"/>
        </w:rPr>
        <w:t>) is rejected. The st</w:t>
      </w:r>
      <w:r>
        <w:rPr>
          <w:rFonts w:ascii="Times New Roman" w:hAnsi="Times New Roman" w:cs="Times New Roman"/>
          <w:sz w:val="24"/>
          <w:szCs w:val="24"/>
        </w:rPr>
        <w:t>udy concludes that institutional ownership has a statistically significant negative effect on the value of listed deposit money banks in Nigeria.</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negative and statistically significant effect of institutional ownership on firm value aligns with </w:t>
      </w:r>
      <w:proofErr w:type="spellStart"/>
      <w:r>
        <w:rPr>
          <w:rFonts w:ascii="Times New Roman" w:hAnsi="Times New Roman" w:cs="Times New Roman"/>
          <w:sz w:val="24"/>
          <w:szCs w:val="24"/>
        </w:rPr>
        <w:t>Ismaila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Tanko</w:t>
      </w:r>
      <w:proofErr w:type="spellEnd"/>
      <w:r>
        <w:rPr>
          <w:rFonts w:ascii="Times New Roman" w:hAnsi="Times New Roman" w:cs="Times New Roman"/>
          <w:sz w:val="24"/>
          <w:szCs w:val="24"/>
        </w:rPr>
        <w:t xml:space="preserve"> (2024) and </w:t>
      </w:r>
      <w:proofErr w:type="spellStart"/>
      <w:r>
        <w:rPr>
          <w:rFonts w:ascii="Times New Roman" w:hAnsi="Times New Roman" w:cs="Times New Roman"/>
          <w:sz w:val="24"/>
          <w:szCs w:val="24"/>
        </w:rPr>
        <w:t>Olokoyo</w:t>
      </w:r>
      <w:proofErr w:type="spellEnd"/>
      <w:r>
        <w:rPr>
          <w:rFonts w:ascii="Times New Roman" w:hAnsi="Times New Roman" w:cs="Times New Roman"/>
          <w:sz w:val="24"/>
          <w:szCs w:val="24"/>
        </w:rPr>
        <w:t xml:space="preserve"> et al. (2021)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institutional investors in Nigeria often exhibit passive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limiting their governance effectiveness. However, the findings contradict </w:t>
      </w:r>
      <w:proofErr w:type="spellStart"/>
      <w:r>
        <w:rPr>
          <w:rFonts w:ascii="Times New Roman" w:hAnsi="Times New Roman" w:cs="Times New Roman"/>
          <w:sz w:val="24"/>
          <w:szCs w:val="24"/>
        </w:rPr>
        <w:t>Fawwaz</w:t>
      </w:r>
      <w:proofErr w:type="spellEnd"/>
      <w:r>
        <w:rPr>
          <w:rFonts w:ascii="Times New Roman" w:hAnsi="Times New Roman" w:cs="Times New Roman"/>
          <w:sz w:val="24"/>
          <w:szCs w:val="24"/>
        </w:rPr>
        <w:t xml:space="preserve"> and Char-Lee (2024) and Ahmed (2025), who reported positive</w:t>
      </w:r>
      <w:r>
        <w:rPr>
          <w:rFonts w:ascii="Times New Roman" w:hAnsi="Times New Roman" w:cs="Times New Roman"/>
          <w:sz w:val="24"/>
          <w:szCs w:val="24"/>
        </w:rPr>
        <w:t xml:space="preserve"> relationships between institutional ownership and performance or sustainability outcomes. These discrepancies may be explained by differences in institutional activism, legal protection, and governance maturity across countries. In Jordan and other emergi</w:t>
      </w:r>
      <w:r>
        <w:rPr>
          <w:rFonts w:ascii="Times New Roman" w:hAnsi="Times New Roman" w:cs="Times New Roman"/>
          <w:sz w:val="24"/>
          <w:szCs w:val="24"/>
        </w:rPr>
        <w:t>ng markets with stronger shareholder rights, institutional investors may actively discipline management and enhance firm value. In Nigeria, however, institutional investors may lack independence or strong engagement mechanisms. From an Agency Theory perspe</w:t>
      </w:r>
      <w:r>
        <w:rPr>
          <w:rFonts w:ascii="Times New Roman" w:hAnsi="Times New Roman" w:cs="Times New Roman"/>
          <w:sz w:val="24"/>
          <w:szCs w:val="24"/>
        </w:rPr>
        <w:t xml:space="preserve">ctive, institutional </w:t>
      </w:r>
      <w:r>
        <w:rPr>
          <w:rFonts w:ascii="Times New Roman" w:hAnsi="Times New Roman" w:cs="Times New Roman"/>
          <w:sz w:val="24"/>
          <w:szCs w:val="24"/>
        </w:rPr>
        <w:lastRenderedPageBreak/>
        <w:t>investors are expected to reduce agency costs through monitoring; the negative effect observed suggests weak monitoring incentives or potential collusion. From the Resource-Based Theory standpoint, institutional ownership can be a stra</w:t>
      </w:r>
      <w:r>
        <w:rPr>
          <w:rFonts w:ascii="Times New Roman" w:hAnsi="Times New Roman" w:cs="Times New Roman"/>
          <w:sz w:val="24"/>
          <w:szCs w:val="24"/>
        </w:rPr>
        <w:t>tegic resource when coupled with expertise and activism; however, without active stewardship, it may fail to generate value-enhancing outcomes in Nigeria’s banking sector.</w:t>
      </w:r>
    </w:p>
    <w:p w:rsidR="00477E52" w:rsidRDefault="009243C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4.2.4 Capital Adequacy Ratio and Firm Value</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Capital Adequacy Ratio (CAR) is introduc</w:t>
      </w:r>
      <w:r>
        <w:rPr>
          <w:rFonts w:ascii="Times New Roman" w:hAnsi="Times New Roman" w:cs="Times New Roman"/>
          <w:sz w:val="24"/>
          <w:szCs w:val="24"/>
        </w:rPr>
        <w:t xml:space="preserve">ed in Model 2 and Model 3. In Model 2, CAR has a positive but statistically </w:t>
      </w:r>
      <w:r>
        <w:rPr>
          <w:rFonts w:ascii="Times New Roman" w:hAnsi="Times New Roman" w:cs="Times New Roman"/>
          <w:sz w:val="24"/>
          <w:szCs w:val="24"/>
          <w:lang w:val="en-US"/>
        </w:rPr>
        <w:t>non-</w:t>
      </w:r>
      <w:r>
        <w:rPr>
          <w:rFonts w:ascii="Times New Roman" w:hAnsi="Times New Roman" w:cs="Times New Roman"/>
          <w:sz w:val="24"/>
          <w:szCs w:val="24"/>
        </w:rPr>
        <w:t>significant coefficient of 0.0190 (p = 0.239). In Model 3, the coefficient increases to 0.0434 and becomes marginally significant at the 10% level (p = 0.076), but not at the 5</w:t>
      </w:r>
      <w:r>
        <w:rPr>
          <w:rFonts w:ascii="Times New Roman" w:hAnsi="Times New Roman" w:cs="Times New Roman"/>
          <w:sz w:val="24"/>
          <w:szCs w:val="24"/>
        </w:rPr>
        <w:t>% level. Therefore, at the conventional 5% significance level, the null hypothesis cannot be rejected. The study concludes that capital adequacy ratio does not have a statistically significant direct effect on firm value, although it shows weak evidence of</w:t>
      </w:r>
      <w:r>
        <w:rPr>
          <w:rFonts w:ascii="Times New Roman" w:hAnsi="Times New Roman" w:cs="Times New Roman"/>
          <w:sz w:val="24"/>
          <w:szCs w:val="24"/>
        </w:rPr>
        <w:t xml:space="preserve"> a positive influence.</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finding that Capital Adequacy (CA) does not have a statistically significant direct effect on firm value at the 5% level aligns partially with </w:t>
      </w:r>
      <w:proofErr w:type="spellStart"/>
      <w:r>
        <w:rPr>
          <w:rFonts w:ascii="Times New Roman" w:hAnsi="Times New Roman" w:cs="Times New Roman"/>
          <w:sz w:val="24"/>
          <w:szCs w:val="24"/>
        </w:rPr>
        <w:t>Awwad</w:t>
      </w:r>
      <w:proofErr w:type="spellEnd"/>
      <w:r>
        <w:rPr>
          <w:rFonts w:ascii="Times New Roman" w:hAnsi="Times New Roman" w:cs="Times New Roman"/>
          <w:sz w:val="24"/>
          <w:szCs w:val="24"/>
        </w:rPr>
        <w:t xml:space="preserve"> (2023), who reported a negative relationship between capital adequacy and bank p</w:t>
      </w:r>
      <w:r>
        <w:rPr>
          <w:rFonts w:ascii="Times New Roman" w:hAnsi="Times New Roman" w:cs="Times New Roman"/>
          <w:sz w:val="24"/>
          <w:szCs w:val="24"/>
        </w:rPr>
        <w:t xml:space="preserve">erformance in Palestinian banks. However, the finding contradicts Hassan and Hassan (2023) and </w:t>
      </w:r>
      <w:proofErr w:type="spellStart"/>
      <w:r>
        <w:rPr>
          <w:rFonts w:ascii="Times New Roman" w:hAnsi="Times New Roman" w:cs="Times New Roman"/>
          <w:sz w:val="24"/>
          <w:szCs w:val="24"/>
        </w:rPr>
        <w:t>Abdulai</w:t>
      </w:r>
      <w:proofErr w:type="spellEnd"/>
      <w:r>
        <w:rPr>
          <w:rFonts w:ascii="Times New Roman" w:hAnsi="Times New Roman" w:cs="Times New Roman"/>
          <w:sz w:val="24"/>
          <w:szCs w:val="24"/>
        </w:rPr>
        <w:t xml:space="preserve"> and Umar (2022), who found that capital adequacy significantly and positively influences bank profitability, as well as John et al. (2025), who demonstra</w:t>
      </w:r>
      <w:r>
        <w:rPr>
          <w:rFonts w:ascii="Times New Roman" w:hAnsi="Times New Roman" w:cs="Times New Roman"/>
          <w:sz w:val="24"/>
          <w:szCs w:val="24"/>
        </w:rPr>
        <w:t>ted that credit risk factors significantly shape capital adequacy dynamics in Nigerian banks. The divergence may stem from differences in dependent variables: prior studies relied primarily on Return on Assets (ROA), an accounting-based performance metric,</w:t>
      </w:r>
      <w:r>
        <w:rPr>
          <w:rFonts w:ascii="Times New Roman" w:hAnsi="Times New Roman" w:cs="Times New Roman"/>
          <w:sz w:val="24"/>
          <w:szCs w:val="24"/>
        </w:rPr>
        <w:t xml:space="preserve"> whereas the current study employs Tobin’s Q, a market-based valuation measure. Market valuation reflects investor expectations about future growth, not just current profitability. From an Agency Theory perspective, capital adequacy serves as a regulatory </w:t>
      </w:r>
      <w:r>
        <w:rPr>
          <w:rFonts w:ascii="Times New Roman" w:hAnsi="Times New Roman" w:cs="Times New Roman"/>
          <w:sz w:val="24"/>
          <w:szCs w:val="24"/>
        </w:rPr>
        <w:t>monitoring mechanism that constrains excessive managerial risk-taking, but this constraint may reduce short-term growth opportunities, thereby limiting its direct impact on market value. Under the Resource-Based Theory (RBT), capital strength is a valuable</w:t>
      </w:r>
      <w:r>
        <w:rPr>
          <w:rFonts w:ascii="Times New Roman" w:hAnsi="Times New Roman" w:cs="Times New Roman"/>
          <w:sz w:val="24"/>
          <w:szCs w:val="24"/>
        </w:rPr>
        <w:t xml:space="preserve"> financial resource that enhances resilience and strategic flexibility; however, unless efficiently deployed for growth, it may not directly enhance firm valuation.</w:t>
      </w:r>
    </w:p>
    <w:p w:rsidR="00477E52" w:rsidRDefault="009243C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4.2.5a: Capital Adequacy, Managerial Ownership and Firm Value</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The interaction term MOWN×CAR</w:t>
      </w:r>
      <w:r>
        <w:rPr>
          <w:rFonts w:ascii="Times New Roman" w:hAnsi="Times New Roman" w:cs="Times New Roman"/>
          <w:sz w:val="24"/>
          <w:szCs w:val="24"/>
        </w:rPr>
        <w:t xml:space="preserve"> has a coefficient of -1.1896 with a p-value of 0.026, which is statistically significant at the 5% level. Since the p-value is less than 0.05, the null hypothesis is rejected. This indicates that Capital Adequacy significantly moderates the relationship b</w:t>
      </w:r>
      <w:r>
        <w:rPr>
          <w:rFonts w:ascii="Times New Roman" w:hAnsi="Times New Roman" w:cs="Times New Roman"/>
          <w:sz w:val="24"/>
          <w:szCs w:val="24"/>
        </w:rPr>
        <w:t>etween managerial ownership and firm value. The negative coefficient further suggests that higher capital adequacy weakens the positive effect of managerial ownership on Tobin’s Q.</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The significant moderating effect of capital adequacy on the relationship b</w:t>
      </w:r>
      <w:r>
        <w:rPr>
          <w:rFonts w:ascii="Times New Roman" w:hAnsi="Times New Roman" w:cs="Times New Roman"/>
          <w:sz w:val="24"/>
          <w:szCs w:val="24"/>
        </w:rPr>
        <w:t xml:space="preserve">etween managerial ownership and firm value aligns conceptually with </w:t>
      </w:r>
      <w:proofErr w:type="spellStart"/>
      <w:r>
        <w:rPr>
          <w:rFonts w:ascii="Times New Roman" w:hAnsi="Times New Roman" w:cs="Times New Roman"/>
          <w:sz w:val="24"/>
          <w:szCs w:val="24"/>
        </w:rPr>
        <w:t>Ezu</w:t>
      </w:r>
      <w:proofErr w:type="spellEnd"/>
      <w:r>
        <w:rPr>
          <w:rFonts w:ascii="Times New Roman" w:hAnsi="Times New Roman" w:cs="Times New Roman"/>
          <w:sz w:val="24"/>
          <w:szCs w:val="24"/>
        </w:rPr>
        <w:t xml:space="preserve"> et al. (2023) and Hassan and Hassan (2023). Conversely, prior studies such as </w:t>
      </w:r>
      <w:proofErr w:type="spellStart"/>
      <w:r>
        <w:rPr>
          <w:rFonts w:ascii="Times New Roman" w:hAnsi="Times New Roman" w:cs="Times New Roman"/>
          <w:sz w:val="24"/>
          <w:szCs w:val="24"/>
        </w:rPr>
        <w:t>Purnomo</w:t>
      </w:r>
      <w:proofErr w:type="spellEnd"/>
      <w:r>
        <w:rPr>
          <w:rFonts w:ascii="Times New Roman" w:hAnsi="Times New Roman" w:cs="Times New Roman"/>
          <w:sz w:val="24"/>
          <w:szCs w:val="24"/>
        </w:rPr>
        <w:t xml:space="preserve"> et al. (2025) and </w:t>
      </w:r>
      <w:proofErr w:type="spellStart"/>
      <w:r>
        <w:rPr>
          <w:rFonts w:ascii="Times New Roman" w:hAnsi="Times New Roman" w:cs="Times New Roman"/>
          <w:sz w:val="24"/>
          <w:szCs w:val="24"/>
        </w:rPr>
        <w:t>Fawwaz</w:t>
      </w:r>
      <w:proofErr w:type="spellEnd"/>
      <w:r>
        <w:rPr>
          <w:rFonts w:ascii="Times New Roman" w:hAnsi="Times New Roman" w:cs="Times New Roman"/>
          <w:sz w:val="24"/>
          <w:szCs w:val="24"/>
        </w:rPr>
        <w:t xml:space="preserve"> and Char-Lee (2024) reported a strong positive role of ownership concentr</w:t>
      </w:r>
      <w:r>
        <w:rPr>
          <w:rFonts w:ascii="Times New Roman" w:hAnsi="Times New Roman" w:cs="Times New Roman"/>
          <w:sz w:val="24"/>
          <w:szCs w:val="24"/>
        </w:rPr>
        <w:t>ation without examining the conditioning role of capital strength. Their omission of capital adequacy as a moderating factor may explain the difference. In Nigeria’s heavily regulated banking sector, capital adequacy operates as an external governance mech</w:t>
      </w:r>
      <w:r>
        <w:rPr>
          <w:rFonts w:ascii="Times New Roman" w:hAnsi="Times New Roman" w:cs="Times New Roman"/>
          <w:sz w:val="24"/>
          <w:szCs w:val="24"/>
        </w:rPr>
        <w:t>anism, potentially substituting for internal ownership-based control. Agency Theory explains this finding through a substitution effect: when regulatory capital discipline is strong, the marginal governance benefit of managerial ownership declines. From th</w:t>
      </w:r>
      <w:r>
        <w:rPr>
          <w:rFonts w:ascii="Times New Roman" w:hAnsi="Times New Roman" w:cs="Times New Roman"/>
          <w:sz w:val="24"/>
          <w:szCs w:val="24"/>
        </w:rPr>
        <w:t xml:space="preserve">e Resource-Based Theory perspective, capital adequacy is a </w:t>
      </w:r>
      <w:r>
        <w:rPr>
          <w:rFonts w:ascii="Times New Roman" w:hAnsi="Times New Roman" w:cs="Times New Roman"/>
          <w:sz w:val="24"/>
          <w:szCs w:val="24"/>
        </w:rPr>
        <w:lastRenderedPageBreak/>
        <w:t>strategic financial resource; when abundant, it may reduce the reliance on managerial ownership as a governance asset, thereby weakening its value-enhancing impact.</w:t>
      </w:r>
    </w:p>
    <w:p w:rsidR="00477E52" w:rsidRDefault="009243C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4.2.5b: Capital Adequacy, Foreig</w:t>
      </w:r>
      <w:r>
        <w:rPr>
          <w:rFonts w:ascii="Times New Roman" w:hAnsi="Times New Roman" w:cs="Times New Roman"/>
          <w:b/>
          <w:bCs/>
          <w:sz w:val="24"/>
          <w:szCs w:val="24"/>
        </w:rPr>
        <w:t>n Ownership and Firm Value</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interaction term FOWN×CAR has a coefficient of -2404.784 with a p-value of 0.786, which is statistically </w:t>
      </w:r>
      <w:r>
        <w:rPr>
          <w:rFonts w:ascii="Times New Roman" w:hAnsi="Times New Roman" w:cs="Times New Roman"/>
          <w:sz w:val="24"/>
          <w:szCs w:val="24"/>
          <w:lang w:val="en-US"/>
        </w:rPr>
        <w:t>non-</w:t>
      </w:r>
      <w:r>
        <w:rPr>
          <w:rFonts w:ascii="Times New Roman" w:hAnsi="Times New Roman" w:cs="Times New Roman"/>
          <w:sz w:val="24"/>
          <w:szCs w:val="24"/>
        </w:rPr>
        <w:t xml:space="preserve">significant at the 5% </w:t>
      </w:r>
      <w:proofErr w:type="gramStart"/>
      <w:r>
        <w:rPr>
          <w:rFonts w:ascii="Times New Roman" w:hAnsi="Times New Roman" w:cs="Times New Roman"/>
          <w:sz w:val="24"/>
          <w:szCs w:val="24"/>
        </w:rPr>
        <w:t>level</w:t>
      </w:r>
      <w:r>
        <w:rPr>
          <w:rFonts w:ascii="Times New Roman" w:hAnsi="Times New Roman" w:cs="Times New Roman"/>
          <w:sz w:val="24"/>
          <w:szCs w:val="24"/>
          <w:lang w:val="en-US"/>
        </w:rPr>
        <w:t>,</w:t>
      </w:r>
      <w:proofErr w:type="gramEnd"/>
      <w:r>
        <w:rPr>
          <w:rFonts w:ascii="Times New Roman" w:hAnsi="Times New Roman" w:cs="Times New Roman"/>
          <w:sz w:val="24"/>
          <w:szCs w:val="24"/>
        </w:rPr>
        <w:t xml:space="preserve"> the null hypothesis cannot be rejected. This indicates that Capital Adequacy does not s</w:t>
      </w:r>
      <w:r>
        <w:rPr>
          <w:rFonts w:ascii="Times New Roman" w:hAnsi="Times New Roman" w:cs="Times New Roman"/>
          <w:sz w:val="24"/>
          <w:szCs w:val="24"/>
        </w:rPr>
        <w:t>ignificantly moderate the relationship between foreign ownership and firm value. In practical terms, variations in banks’ capital adequacy levels do not significantly strengthen or weaken the effect of foreign ownership on Tobin’s Q among listed deposit mo</w:t>
      </w:r>
      <w:r>
        <w:rPr>
          <w:rFonts w:ascii="Times New Roman" w:hAnsi="Times New Roman" w:cs="Times New Roman"/>
          <w:sz w:val="24"/>
          <w:szCs w:val="24"/>
        </w:rPr>
        <w:t>ney banks in Nigeria.</w:t>
      </w:r>
    </w:p>
    <w:p w:rsidR="00477E52" w:rsidRDefault="009243CD">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The finding that capital adequacy does not significantly moderate the relationship between foreign ownership and firm value is consistent with </w:t>
      </w:r>
      <w:proofErr w:type="spellStart"/>
      <w:r>
        <w:rPr>
          <w:rFonts w:ascii="Times New Roman" w:hAnsi="Times New Roman" w:cs="Times New Roman"/>
          <w:sz w:val="24"/>
          <w:szCs w:val="24"/>
        </w:rPr>
        <w:t>Thanapin</w:t>
      </w:r>
      <w:proofErr w:type="spellEnd"/>
      <w:r>
        <w:rPr>
          <w:rFonts w:ascii="Times New Roman" w:hAnsi="Times New Roman" w:cs="Times New Roman"/>
          <w:sz w:val="24"/>
          <w:szCs w:val="24"/>
        </w:rPr>
        <w:t xml:space="preserve"> (2023) and </w:t>
      </w:r>
      <w:proofErr w:type="spellStart"/>
      <w:r>
        <w:rPr>
          <w:rFonts w:ascii="Times New Roman" w:hAnsi="Times New Roman" w:cs="Times New Roman"/>
          <w:sz w:val="24"/>
          <w:szCs w:val="24"/>
        </w:rPr>
        <w:t>Ismaila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Tanko</w:t>
      </w:r>
      <w:proofErr w:type="spellEnd"/>
      <w:r>
        <w:rPr>
          <w:rFonts w:ascii="Times New Roman" w:hAnsi="Times New Roman" w:cs="Times New Roman"/>
          <w:sz w:val="24"/>
          <w:szCs w:val="24"/>
        </w:rPr>
        <w:t xml:space="preserve"> (2024).</w:t>
      </w:r>
      <w:proofErr w:type="gramEnd"/>
      <w:r>
        <w:rPr>
          <w:rFonts w:ascii="Times New Roman" w:hAnsi="Times New Roman" w:cs="Times New Roman"/>
          <w:sz w:val="24"/>
          <w:szCs w:val="24"/>
        </w:rPr>
        <w:t xml:space="preserve"> However, this finding contrasts with </w:t>
      </w:r>
      <w:proofErr w:type="spellStart"/>
      <w:r>
        <w:rPr>
          <w:rFonts w:ascii="Times New Roman" w:hAnsi="Times New Roman" w:cs="Times New Roman"/>
          <w:sz w:val="24"/>
          <w:szCs w:val="24"/>
        </w:rPr>
        <w:t>Fawwaz</w:t>
      </w:r>
      <w:proofErr w:type="spellEnd"/>
      <w:r>
        <w:rPr>
          <w:rFonts w:ascii="Times New Roman" w:hAnsi="Times New Roman" w:cs="Times New Roman"/>
          <w:sz w:val="24"/>
          <w:szCs w:val="24"/>
        </w:rPr>
        <w:t xml:space="preserve"> a</w:t>
      </w:r>
      <w:r>
        <w:rPr>
          <w:rFonts w:ascii="Times New Roman" w:hAnsi="Times New Roman" w:cs="Times New Roman"/>
          <w:sz w:val="24"/>
          <w:szCs w:val="24"/>
        </w:rPr>
        <w:t>nd Char-Lee (2024), who reported positive performance effects of foreign ownership in Jordan. The contradiction may arise from institutional differences: in more stable and investor-friendly environments, foreign investors may leverage strong capitalizatio</w:t>
      </w:r>
      <w:r>
        <w:rPr>
          <w:rFonts w:ascii="Times New Roman" w:hAnsi="Times New Roman" w:cs="Times New Roman"/>
          <w:sz w:val="24"/>
          <w:szCs w:val="24"/>
        </w:rPr>
        <w:t>n to enhance strategic expansion and performance. In Nigeria, regulatory uncertainty and macroeconomic volatility may limit foreign shareholders’ capacity to influence strategy regardless of capital levels. Agency Theory posits that foreign investors act a</w:t>
      </w:r>
      <w:r>
        <w:rPr>
          <w:rFonts w:ascii="Times New Roman" w:hAnsi="Times New Roman" w:cs="Times New Roman"/>
          <w:sz w:val="24"/>
          <w:szCs w:val="24"/>
        </w:rPr>
        <w:t xml:space="preserve">s external monitors, yet their effectiveness depends on institutional enforcement. From the Resource-Based Theory lens, foreign ownership can provide capital and expertise; however, without complementary institutional support, the interaction with capital </w:t>
      </w:r>
      <w:r>
        <w:rPr>
          <w:rFonts w:ascii="Times New Roman" w:hAnsi="Times New Roman" w:cs="Times New Roman"/>
          <w:sz w:val="24"/>
          <w:szCs w:val="24"/>
        </w:rPr>
        <w:t>adequacy may not produce additional value-enhancing effects.</w:t>
      </w:r>
    </w:p>
    <w:p w:rsidR="00477E52" w:rsidRDefault="009243C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4.2.5c: Capital Adequacy, Institutional Ownership and Firm Value</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The interaction term IOWN×CAR records a coefficient of -0.0610 with a p-value of 0.347, which is also statistically insignificant.</w:t>
      </w:r>
      <w:r>
        <w:rPr>
          <w:rFonts w:ascii="Times New Roman" w:hAnsi="Times New Roman" w:cs="Times New Roman"/>
          <w:sz w:val="24"/>
          <w:szCs w:val="24"/>
        </w:rPr>
        <w:t xml:space="preserve"> Given that the p-value is greater than 0.05, the null hypothesis cannot be rejected. This implies that Capital Adequacy does not significantly moderate the relationship between institutional ownership and firm value. Therefore, the influence of institutio</w:t>
      </w:r>
      <w:r>
        <w:rPr>
          <w:rFonts w:ascii="Times New Roman" w:hAnsi="Times New Roman" w:cs="Times New Roman"/>
          <w:sz w:val="24"/>
          <w:szCs w:val="24"/>
        </w:rPr>
        <w:t>nal ownership on Tobin’s Q remains largely unaffected by differences in capital strength across listed deposit money banks in Nigeria.</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lang w:val="en-US"/>
        </w:rPr>
        <w:t>non</w:t>
      </w:r>
      <w:r>
        <w:rPr>
          <w:rFonts w:ascii="Times New Roman" w:hAnsi="Times New Roman" w:cs="Times New Roman"/>
          <w:sz w:val="24"/>
          <w:szCs w:val="24"/>
        </w:rPr>
        <w:t xml:space="preserve"> significant moderating effect of capital adequacy on the relationship between institutional ownership and firm va</w:t>
      </w:r>
      <w:r>
        <w:rPr>
          <w:rFonts w:ascii="Times New Roman" w:hAnsi="Times New Roman" w:cs="Times New Roman"/>
          <w:sz w:val="24"/>
          <w:szCs w:val="24"/>
        </w:rPr>
        <w:t xml:space="preserve">lue aligns with </w:t>
      </w:r>
      <w:proofErr w:type="spellStart"/>
      <w:r>
        <w:rPr>
          <w:rFonts w:ascii="Times New Roman" w:hAnsi="Times New Roman" w:cs="Times New Roman"/>
          <w:sz w:val="24"/>
          <w:szCs w:val="24"/>
        </w:rPr>
        <w:t>Ismaila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Tanko</w:t>
      </w:r>
      <w:proofErr w:type="spellEnd"/>
      <w:r>
        <w:rPr>
          <w:rFonts w:ascii="Times New Roman" w:hAnsi="Times New Roman" w:cs="Times New Roman"/>
          <w:sz w:val="24"/>
          <w:szCs w:val="24"/>
        </w:rPr>
        <w:t xml:space="preserve"> (2024) and </w:t>
      </w:r>
      <w:proofErr w:type="spellStart"/>
      <w:r>
        <w:rPr>
          <w:rFonts w:ascii="Times New Roman" w:hAnsi="Times New Roman" w:cs="Times New Roman"/>
          <w:sz w:val="24"/>
          <w:szCs w:val="24"/>
        </w:rPr>
        <w:t>Olokoyo</w:t>
      </w:r>
      <w:proofErr w:type="spellEnd"/>
      <w:r>
        <w:rPr>
          <w:rFonts w:ascii="Times New Roman" w:hAnsi="Times New Roman" w:cs="Times New Roman"/>
          <w:sz w:val="24"/>
          <w:szCs w:val="24"/>
        </w:rPr>
        <w:t xml:space="preserve"> et al. (2021). In contrast, studies such as </w:t>
      </w:r>
      <w:proofErr w:type="spellStart"/>
      <w:r>
        <w:rPr>
          <w:rFonts w:ascii="Times New Roman" w:hAnsi="Times New Roman" w:cs="Times New Roman"/>
          <w:sz w:val="24"/>
          <w:szCs w:val="24"/>
        </w:rPr>
        <w:t>Fawwaz</w:t>
      </w:r>
      <w:proofErr w:type="spellEnd"/>
      <w:r>
        <w:rPr>
          <w:rFonts w:ascii="Times New Roman" w:hAnsi="Times New Roman" w:cs="Times New Roman"/>
          <w:sz w:val="24"/>
          <w:szCs w:val="24"/>
        </w:rPr>
        <w:t xml:space="preserve"> and Char-Lee (2024) and Ahmed (2025) reported positive effects of institutional ownership on firm performance and sustainability outcomes in other juris</w:t>
      </w:r>
      <w:r>
        <w:rPr>
          <w:rFonts w:ascii="Times New Roman" w:hAnsi="Times New Roman" w:cs="Times New Roman"/>
          <w:sz w:val="24"/>
          <w:szCs w:val="24"/>
        </w:rPr>
        <w:t>dictions. These contradictions may reflect differences in investor activism and legal protections. In markets with strong shareholder rights, institutional investors may leverage</w:t>
      </w:r>
      <w:r>
        <w:rPr>
          <w:rFonts w:ascii="Times New Roman" w:hAnsi="Times New Roman" w:cs="Times New Roman"/>
          <w:sz w:val="24"/>
          <w:szCs w:val="24"/>
          <w:lang w:val="en-US"/>
        </w:rPr>
        <w:t xml:space="preserve"> on</w:t>
      </w:r>
      <w:r>
        <w:rPr>
          <w:rFonts w:ascii="Times New Roman" w:hAnsi="Times New Roman" w:cs="Times New Roman"/>
          <w:sz w:val="24"/>
          <w:szCs w:val="24"/>
        </w:rPr>
        <w:t xml:space="preserve"> capital strength to enforce better governance and performance. In Nigeria,</w:t>
      </w:r>
      <w:r>
        <w:rPr>
          <w:rFonts w:ascii="Times New Roman" w:hAnsi="Times New Roman" w:cs="Times New Roman"/>
          <w:sz w:val="24"/>
          <w:szCs w:val="24"/>
        </w:rPr>
        <w:t xml:space="preserve"> institutional investors may lack the independence or enforcement power necessary to utilize capital strength strategically. From an Agency Theory perspective, institutional investors are expected to reduce agency costs; however, where monitoring incentive</w:t>
      </w:r>
      <w:r>
        <w:rPr>
          <w:rFonts w:ascii="Times New Roman" w:hAnsi="Times New Roman" w:cs="Times New Roman"/>
          <w:sz w:val="24"/>
          <w:szCs w:val="24"/>
        </w:rPr>
        <w:t>s are weak, capital adequacy does not amplify their governance role. Under the Resource-Based Theory, institutional ownership can be a valuable governance resource, but without active engagement and strategic deployment, its interaction with financial capi</w:t>
      </w:r>
      <w:r>
        <w:rPr>
          <w:rFonts w:ascii="Times New Roman" w:hAnsi="Times New Roman" w:cs="Times New Roman"/>
          <w:sz w:val="24"/>
          <w:szCs w:val="24"/>
        </w:rPr>
        <w:t>tal does not significantly enhance firm value.</w:t>
      </w:r>
    </w:p>
    <w:p w:rsidR="00477E52" w:rsidRDefault="009243CD">
      <w:pPr>
        <w:spacing w:line="240" w:lineRule="auto"/>
        <w:rPr>
          <w:rFonts w:ascii="Times New Roman" w:hAnsi="Times New Roman" w:cs="Times New Roman"/>
          <w:b/>
          <w:bCs/>
          <w:sz w:val="24"/>
          <w:szCs w:val="24"/>
        </w:rPr>
      </w:pPr>
      <w:r>
        <w:rPr>
          <w:rFonts w:ascii="Times New Roman" w:hAnsi="Times New Roman" w:cs="Times New Roman"/>
          <w:b/>
          <w:bCs/>
          <w:sz w:val="24"/>
          <w:szCs w:val="24"/>
        </w:rPr>
        <w:t>5. CONCLUSION AND RECOMMENDATION</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concludes that </w:t>
      </w:r>
      <w:r>
        <w:rPr>
          <w:rFonts w:ascii="Times New Roman" w:hAnsi="Times New Roman" w:cs="Times New Roman"/>
          <w:sz w:val="24"/>
          <w:szCs w:val="24"/>
          <w:lang w:val="en-US"/>
        </w:rPr>
        <w:t xml:space="preserve">different </w:t>
      </w:r>
      <w:r>
        <w:rPr>
          <w:rFonts w:ascii="Times New Roman" w:hAnsi="Times New Roman" w:cs="Times New Roman"/>
          <w:sz w:val="24"/>
          <w:szCs w:val="24"/>
        </w:rPr>
        <w:t>ownership structure exerts differentiated effects on the value of listed deposit money banks in Nigeria. Managerial ownership emerges as a va</w:t>
      </w:r>
      <w:r>
        <w:rPr>
          <w:rFonts w:ascii="Times New Roman" w:hAnsi="Times New Roman" w:cs="Times New Roman"/>
          <w:sz w:val="24"/>
          <w:szCs w:val="24"/>
        </w:rPr>
        <w:t>lue-</w:t>
      </w:r>
      <w:r>
        <w:rPr>
          <w:rFonts w:ascii="Times New Roman" w:hAnsi="Times New Roman" w:cs="Times New Roman"/>
          <w:sz w:val="24"/>
          <w:szCs w:val="24"/>
        </w:rPr>
        <w:lastRenderedPageBreak/>
        <w:t>enhancing governance mechanism, suggesting that insider equity participation strengthens market confidence and incentive alignment</w:t>
      </w:r>
      <w:r>
        <w:rPr>
          <w:rFonts w:ascii="Times New Roman" w:hAnsi="Times New Roman" w:cs="Times New Roman"/>
          <w:sz w:val="24"/>
          <w:szCs w:val="24"/>
          <w:lang w:val="en-US"/>
        </w:rPr>
        <w:t>, due to the principle of ownership stake</w:t>
      </w:r>
      <w:r>
        <w:rPr>
          <w:rFonts w:ascii="Times New Roman" w:hAnsi="Times New Roman" w:cs="Times New Roman"/>
          <w:sz w:val="24"/>
          <w:szCs w:val="24"/>
        </w:rPr>
        <w:t>. In contrast, foreign ownership does not appear to play a decisive role in shapi</w:t>
      </w:r>
      <w:r>
        <w:rPr>
          <w:rFonts w:ascii="Times New Roman" w:hAnsi="Times New Roman" w:cs="Times New Roman"/>
          <w:sz w:val="24"/>
          <w:szCs w:val="24"/>
        </w:rPr>
        <w:t>ng firm value within the Nigerian banking context, while institutional ownership is associated with value-reducing outcomes, indicating possible limitations in monitoring effectiveness or governance activism. Although capital adequacy does not independentl</w:t>
      </w:r>
      <w:r>
        <w:rPr>
          <w:rFonts w:ascii="Times New Roman" w:hAnsi="Times New Roman" w:cs="Times New Roman"/>
          <w:sz w:val="24"/>
          <w:szCs w:val="24"/>
        </w:rPr>
        <w:t xml:space="preserve">y drive market valuation, it performs a conditional role by influencing how managerial ownership translates into firm value, without materially altering the effects of foreign and institutional ownership. </w:t>
      </w:r>
    </w:p>
    <w:p w:rsidR="00477E52" w:rsidRDefault="009243C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Based on the empirical findings, the study </w:t>
      </w:r>
      <w:r>
        <w:rPr>
          <w:rFonts w:ascii="Times New Roman" w:hAnsi="Times New Roman" w:cs="Times New Roman"/>
          <w:sz w:val="24"/>
          <w:szCs w:val="24"/>
        </w:rPr>
        <w:t>recommends the following:</w:t>
      </w:r>
    </w:p>
    <w:p w:rsidR="00477E52" w:rsidRDefault="009243CD">
      <w:pPr>
        <w:numPr>
          <w:ilvl w:val="0"/>
          <w:numId w:val="1"/>
        </w:numPr>
        <w:tabs>
          <w:tab w:val="clear" w:pos="720"/>
          <w:tab w:val="left" w:pos="567"/>
        </w:tabs>
        <w:spacing w:line="240" w:lineRule="auto"/>
        <w:ind w:left="284" w:hanging="142"/>
        <w:jc w:val="both"/>
        <w:rPr>
          <w:rFonts w:ascii="Times New Roman" w:hAnsi="Times New Roman" w:cs="Times New Roman"/>
          <w:sz w:val="24"/>
          <w:szCs w:val="24"/>
        </w:rPr>
      </w:pPr>
      <w:r>
        <w:rPr>
          <w:rFonts w:ascii="Times New Roman" w:hAnsi="Times New Roman" w:cs="Times New Roman"/>
          <w:sz w:val="24"/>
          <w:szCs w:val="24"/>
        </w:rPr>
        <w:t xml:space="preserve">Central Bank of Nigeria (CBN) and the Securities and Exchange Commission (SEC) should encourage well-structured equity participation schemes for executive directors and </w:t>
      </w:r>
      <w:r>
        <w:rPr>
          <w:rFonts w:ascii="Times New Roman" w:hAnsi="Times New Roman" w:cs="Times New Roman"/>
          <w:sz w:val="24"/>
          <w:szCs w:val="24"/>
          <w:lang w:val="en-US"/>
        </w:rPr>
        <w:t>employee-</w:t>
      </w:r>
      <w:r>
        <w:rPr>
          <w:rFonts w:ascii="Times New Roman" w:hAnsi="Times New Roman" w:cs="Times New Roman"/>
          <w:sz w:val="24"/>
          <w:szCs w:val="24"/>
        </w:rPr>
        <w:t>members</w:t>
      </w:r>
      <w:r>
        <w:rPr>
          <w:rFonts w:ascii="Times New Roman" w:hAnsi="Times New Roman" w:cs="Times New Roman"/>
          <w:sz w:val="24"/>
          <w:szCs w:val="24"/>
          <w:lang w:val="en-US"/>
        </w:rPr>
        <w:t xml:space="preserve"> </w:t>
      </w:r>
      <w:r>
        <w:rPr>
          <w:rFonts w:ascii="Times New Roman" w:hAnsi="Times New Roman" w:cs="Times New Roman"/>
          <w:sz w:val="24"/>
          <w:szCs w:val="24"/>
        </w:rPr>
        <w:t>such</w:t>
      </w:r>
      <w:r>
        <w:rPr>
          <w:rFonts w:ascii="Times New Roman" w:hAnsi="Times New Roman" w:cs="Times New Roman"/>
          <w:sz w:val="24"/>
          <w:szCs w:val="24"/>
          <w:lang w:val="en-US"/>
        </w:rPr>
        <w:t xml:space="preserve"> that</w:t>
      </w:r>
      <w:r>
        <w:rPr>
          <w:rFonts w:ascii="Times New Roman" w:hAnsi="Times New Roman" w:cs="Times New Roman"/>
          <w:sz w:val="24"/>
          <w:szCs w:val="24"/>
        </w:rPr>
        <w:t xml:space="preserve"> ownership should be balanced to pr</w:t>
      </w:r>
      <w:r>
        <w:rPr>
          <w:rFonts w:ascii="Times New Roman" w:hAnsi="Times New Roman" w:cs="Times New Roman"/>
          <w:sz w:val="24"/>
          <w:szCs w:val="24"/>
        </w:rPr>
        <w:t>event managerial entrenchment. Regulatory guidelines may incorporate threshold-based shareholding limits that promote incentive alignment without compromising board independence.</w:t>
      </w:r>
    </w:p>
    <w:p w:rsidR="00477E52" w:rsidRDefault="009243CD">
      <w:pPr>
        <w:numPr>
          <w:ilvl w:val="0"/>
          <w:numId w:val="1"/>
        </w:numPr>
        <w:tabs>
          <w:tab w:val="clear" w:pos="720"/>
          <w:tab w:val="left" w:pos="567"/>
        </w:tabs>
        <w:spacing w:line="240" w:lineRule="auto"/>
        <w:ind w:left="284" w:hanging="142"/>
        <w:jc w:val="both"/>
        <w:rPr>
          <w:rFonts w:ascii="Times New Roman" w:hAnsi="Times New Roman" w:cs="Times New Roman"/>
          <w:sz w:val="24"/>
          <w:szCs w:val="24"/>
        </w:rPr>
      </w:pPr>
      <w:r>
        <w:rPr>
          <w:rFonts w:ascii="Times New Roman" w:hAnsi="Times New Roman" w:cs="Times New Roman"/>
          <w:sz w:val="24"/>
          <w:szCs w:val="24"/>
          <w:lang w:val="en-US"/>
        </w:rPr>
        <w:t>R</w:t>
      </w:r>
      <w:proofErr w:type="spellStart"/>
      <w:r>
        <w:rPr>
          <w:rFonts w:ascii="Times New Roman" w:hAnsi="Times New Roman" w:cs="Times New Roman"/>
          <w:sz w:val="24"/>
          <w:szCs w:val="24"/>
        </w:rPr>
        <w:t>egulatory</w:t>
      </w:r>
      <w:proofErr w:type="spellEnd"/>
      <w:r>
        <w:rPr>
          <w:rFonts w:ascii="Times New Roman" w:hAnsi="Times New Roman" w:cs="Times New Roman"/>
          <w:sz w:val="24"/>
          <w:szCs w:val="24"/>
        </w:rPr>
        <w:t xml:space="preserve"> authorities (particularly the SEC and the National Pension </w:t>
      </w:r>
      <w:r>
        <w:rPr>
          <w:rFonts w:ascii="Times New Roman" w:hAnsi="Times New Roman" w:cs="Times New Roman"/>
          <w:sz w:val="24"/>
          <w:szCs w:val="24"/>
        </w:rPr>
        <w:t>Commission (</w:t>
      </w:r>
      <w:proofErr w:type="spellStart"/>
      <w:r>
        <w:rPr>
          <w:rFonts w:ascii="Times New Roman" w:hAnsi="Times New Roman" w:cs="Times New Roman"/>
          <w:sz w:val="24"/>
          <w:szCs w:val="24"/>
        </w:rPr>
        <w:t>PenCom</w:t>
      </w:r>
      <w:proofErr w:type="spellEnd"/>
      <w:r>
        <w:rPr>
          <w:rFonts w:ascii="Times New Roman" w:hAnsi="Times New Roman" w:cs="Times New Roman"/>
          <w:sz w:val="24"/>
          <w:szCs w:val="24"/>
        </w:rPr>
        <w:t>)) should strengthen stewardship codes that require institutional investors to engage actively in governance oversight. Mandatory voting disclosures, board engagement policies, and enhanced accountability frameworks should be introduced t</w:t>
      </w:r>
      <w:r>
        <w:rPr>
          <w:rFonts w:ascii="Times New Roman" w:hAnsi="Times New Roman" w:cs="Times New Roman"/>
          <w:sz w:val="24"/>
          <w:szCs w:val="24"/>
        </w:rPr>
        <w:t>o ensure that institutional investors function as active monitors rather than passive shareholders.</w:t>
      </w:r>
    </w:p>
    <w:p w:rsidR="00477E52" w:rsidRDefault="009243CD">
      <w:pPr>
        <w:numPr>
          <w:ilvl w:val="0"/>
          <w:numId w:val="1"/>
        </w:numPr>
        <w:tabs>
          <w:tab w:val="clear" w:pos="720"/>
          <w:tab w:val="left" w:pos="567"/>
        </w:tabs>
        <w:spacing w:line="240" w:lineRule="auto"/>
        <w:ind w:left="284" w:hanging="142"/>
        <w:jc w:val="both"/>
        <w:rPr>
          <w:rFonts w:ascii="Times New Roman" w:hAnsi="Times New Roman" w:cs="Times New Roman"/>
          <w:sz w:val="24"/>
          <w:szCs w:val="24"/>
        </w:rPr>
      </w:pPr>
      <w:r>
        <w:rPr>
          <w:rFonts w:ascii="Times New Roman" w:hAnsi="Times New Roman" w:cs="Times New Roman"/>
          <w:sz w:val="24"/>
          <w:szCs w:val="24"/>
        </w:rPr>
        <w:t>Although foreign ownership did not show a statistically significant effect on firm value, regulatory agencies such as the Nigerian Investment Promotion Comm</w:t>
      </w:r>
      <w:r>
        <w:rPr>
          <w:rFonts w:ascii="Times New Roman" w:hAnsi="Times New Roman" w:cs="Times New Roman"/>
          <w:sz w:val="24"/>
          <w:szCs w:val="24"/>
        </w:rPr>
        <w:t xml:space="preserve">ission (NIPC) and the CBN should design frameworks that encourage strategic, long-term foreign investment rather than passive equity participation. Emphasis should be placed on knowledge transfer, risk management expertise, and technological innovation to </w:t>
      </w:r>
      <w:r>
        <w:rPr>
          <w:rFonts w:ascii="Times New Roman" w:hAnsi="Times New Roman" w:cs="Times New Roman"/>
          <w:sz w:val="24"/>
          <w:szCs w:val="24"/>
        </w:rPr>
        <w:t>ensure that foreign participation contributes meaningfully to value creation.</w:t>
      </w:r>
    </w:p>
    <w:p w:rsidR="00477E52" w:rsidRDefault="009243CD">
      <w:pPr>
        <w:numPr>
          <w:ilvl w:val="0"/>
          <w:numId w:val="1"/>
        </w:numPr>
        <w:tabs>
          <w:tab w:val="clear" w:pos="720"/>
          <w:tab w:val="left" w:pos="567"/>
        </w:tabs>
        <w:spacing w:line="240" w:lineRule="auto"/>
        <w:ind w:left="284" w:hanging="142"/>
        <w:jc w:val="both"/>
        <w:rPr>
          <w:rFonts w:ascii="Times New Roman" w:hAnsi="Times New Roman" w:cs="Times New Roman"/>
          <w:sz w:val="24"/>
          <w:szCs w:val="24"/>
        </w:rPr>
      </w:pPr>
      <w:r>
        <w:rPr>
          <w:rFonts w:ascii="Times New Roman" w:hAnsi="Times New Roman" w:cs="Times New Roman"/>
          <w:sz w:val="24"/>
          <w:szCs w:val="24"/>
        </w:rPr>
        <w:t xml:space="preserve">While capital adequacy did not directly increase firm value, it plays a critical stabilizing role and significantly conditions the governance effect of managerial ownership. The </w:t>
      </w:r>
      <w:r>
        <w:rPr>
          <w:rFonts w:ascii="Times New Roman" w:hAnsi="Times New Roman" w:cs="Times New Roman"/>
          <w:sz w:val="24"/>
          <w:szCs w:val="24"/>
        </w:rPr>
        <w:t>CBN should continue enforcing prudent capital requirements in line with Basel standards, while ensuring that capital buffers are efficiently utilized to support productive lending and growth-oriented activities. Excessively conservative capitalization that</w:t>
      </w:r>
      <w:r>
        <w:rPr>
          <w:rFonts w:ascii="Times New Roman" w:hAnsi="Times New Roman" w:cs="Times New Roman"/>
          <w:sz w:val="24"/>
          <w:szCs w:val="24"/>
        </w:rPr>
        <w:t xml:space="preserve"> constrains strategic expansion should be avoided.</w:t>
      </w:r>
    </w:p>
    <w:p w:rsidR="00477E52" w:rsidRDefault="009243CD">
      <w:pPr>
        <w:numPr>
          <w:ilvl w:val="0"/>
          <w:numId w:val="1"/>
        </w:numPr>
        <w:tabs>
          <w:tab w:val="clear" w:pos="720"/>
          <w:tab w:val="left" w:pos="567"/>
        </w:tabs>
        <w:spacing w:line="240" w:lineRule="auto"/>
        <w:ind w:left="284" w:hanging="142"/>
        <w:jc w:val="both"/>
        <w:rPr>
          <w:rFonts w:ascii="Times New Roman" w:hAnsi="Times New Roman" w:cs="Times New Roman"/>
          <w:sz w:val="24"/>
          <w:szCs w:val="24"/>
        </w:rPr>
      </w:pPr>
      <w:r>
        <w:rPr>
          <w:rFonts w:ascii="Times New Roman" w:hAnsi="Times New Roman" w:cs="Times New Roman"/>
          <w:sz w:val="24"/>
          <w:szCs w:val="24"/>
        </w:rPr>
        <w:t>Since capital adequacy moderates the ownership-value relationship, policymakers should adopt an integrated regulatory approach that considers both governance mechanisms and prudential regulation simultaneo</w:t>
      </w:r>
      <w:r>
        <w:rPr>
          <w:rFonts w:ascii="Times New Roman" w:hAnsi="Times New Roman" w:cs="Times New Roman"/>
          <w:sz w:val="24"/>
          <w:szCs w:val="24"/>
        </w:rPr>
        <w:t>usly. Rather than treating ownership structure and capital regulation as separate policy domains, the CBN and SEC should coordinate reforms to ensure that governance incentives and capital strength complement each other in enhancing firm value.</w:t>
      </w:r>
    </w:p>
    <w:p w:rsidR="00477E52" w:rsidRDefault="009243CD">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REFERENCES</w:t>
      </w:r>
    </w:p>
    <w:p w:rsidR="00477E52" w:rsidRDefault="009243CD">
      <w:pPr>
        <w:spacing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Abdulai</w:t>
      </w:r>
      <w:proofErr w:type="spellEnd"/>
      <w:r>
        <w:rPr>
          <w:rFonts w:ascii="Times New Roman" w:hAnsi="Times New Roman" w:cs="Times New Roman"/>
          <w:sz w:val="24"/>
          <w:szCs w:val="24"/>
        </w:rPr>
        <w:t>, S. K. &amp; Umar, S. (2022). "The Impact of Capital Adequacy and Bank Size on Profitability of Ghanaian Banks," MPRA Paper 122478, University Library of Munich, Germany, revised 2022.</w:t>
      </w:r>
    </w:p>
    <w:p w:rsidR="00477E52" w:rsidRDefault="009243CD">
      <w:pPr>
        <w:spacing w:line="240" w:lineRule="auto"/>
        <w:ind w:left="567" w:hanging="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Afza</w:t>
      </w:r>
      <w:proofErr w:type="spellEnd"/>
      <w:r>
        <w:rPr>
          <w:rFonts w:ascii="Times New Roman" w:hAnsi="Times New Roman" w:cs="Times New Roman"/>
          <w:sz w:val="24"/>
          <w:szCs w:val="24"/>
        </w:rPr>
        <w:t xml:space="preserve">, T., &amp; </w:t>
      </w:r>
      <w:proofErr w:type="spellStart"/>
      <w:r>
        <w:rPr>
          <w:rFonts w:ascii="Times New Roman" w:hAnsi="Times New Roman" w:cs="Times New Roman"/>
          <w:sz w:val="24"/>
          <w:szCs w:val="24"/>
        </w:rPr>
        <w:t>Nazir</w:t>
      </w:r>
      <w:proofErr w:type="spellEnd"/>
      <w:r>
        <w:rPr>
          <w:rFonts w:ascii="Times New Roman" w:hAnsi="Times New Roman" w:cs="Times New Roman"/>
          <w:sz w:val="24"/>
          <w:szCs w:val="24"/>
        </w:rPr>
        <w:t>, M. S. (2021).</w:t>
      </w:r>
      <w:proofErr w:type="gramEnd"/>
      <w:r>
        <w:rPr>
          <w:rFonts w:ascii="Times New Roman" w:hAnsi="Times New Roman" w:cs="Times New Roman"/>
          <w:sz w:val="24"/>
          <w:szCs w:val="24"/>
        </w:rPr>
        <w:t xml:space="preserve"> Ownership structure and firm perfo</w:t>
      </w:r>
      <w:r>
        <w:rPr>
          <w:rFonts w:ascii="Times New Roman" w:hAnsi="Times New Roman" w:cs="Times New Roman"/>
          <w:sz w:val="24"/>
          <w:szCs w:val="24"/>
        </w:rPr>
        <w:t xml:space="preserve">rmance: Evidence from emerging markets. </w:t>
      </w:r>
      <w:r>
        <w:rPr>
          <w:rFonts w:ascii="Times New Roman" w:hAnsi="Times New Roman" w:cs="Times New Roman"/>
          <w:i/>
          <w:iCs/>
          <w:sz w:val="24"/>
          <w:szCs w:val="24"/>
        </w:rPr>
        <w:t>Journal of Governance and Regulation</w:t>
      </w:r>
      <w:r>
        <w:rPr>
          <w:rFonts w:ascii="Times New Roman" w:hAnsi="Times New Roman" w:cs="Times New Roman"/>
          <w:sz w:val="24"/>
          <w:szCs w:val="24"/>
        </w:rPr>
        <w:t xml:space="preserve">, 10(1), 15–27. </w:t>
      </w:r>
      <w:hyperlink r:id="rId8" w:history="1">
        <w:r>
          <w:rPr>
            <w:rStyle w:val="Hyperlink"/>
            <w:rFonts w:ascii="Times New Roman" w:hAnsi="Times New Roman" w:cs="Times New Roman"/>
            <w:sz w:val="24"/>
            <w:szCs w:val="24"/>
          </w:rPr>
          <w:t>https://doi.org/10.22495/jgrv10i1art2</w:t>
        </w:r>
      </w:hyperlink>
    </w:p>
    <w:p w:rsidR="00477E52" w:rsidRDefault="009243CD">
      <w:pPr>
        <w:spacing w:line="240" w:lineRule="auto"/>
        <w:ind w:left="567" w:hanging="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Agyei-Boapeah</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Yeboah</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Baah-Boakye</w:t>
      </w:r>
      <w:proofErr w:type="spellEnd"/>
      <w:r>
        <w:rPr>
          <w:rFonts w:ascii="Times New Roman" w:hAnsi="Times New Roman" w:cs="Times New Roman"/>
          <w:sz w:val="24"/>
          <w:szCs w:val="24"/>
        </w:rPr>
        <w:t>, K. (2021).</w:t>
      </w:r>
      <w:proofErr w:type="gramEnd"/>
      <w:r>
        <w:rPr>
          <w:rFonts w:ascii="Times New Roman" w:hAnsi="Times New Roman" w:cs="Times New Roman"/>
          <w:sz w:val="24"/>
          <w:szCs w:val="24"/>
        </w:rPr>
        <w:t xml:space="preserve"> Corporate gover</w:t>
      </w:r>
      <w:r>
        <w:rPr>
          <w:rFonts w:ascii="Times New Roman" w:hAnsi="Times New Roman" w:cs="Times New Roman"/>
          <w:sz w:val="24"/>
          <w:szCs w:val="24"/>
        </w:rPr>
        <w:t xml:space="preserve">nance mechanisms and firm value in sub-Saharan Africa. </w:t>
      </w:r>
      <w:r>
        <w:rPr>
          <w:rFonts w:ascii="Times New Roman" w:hAnsi="Times New Roman" w:cs="Times New Roman"/>
          <w:i/>
          <w:iCs/>
          <w:sz w:val="24"/>
          <w:szCs w:val="24"/>
        </w:rPr>
        <w:t>African Journal of Economic and Management Studies</w:t>
      </w:r>
      <w:r>
        <w:rPr>
          <w:rFonts w:ascii="Times New Roman" w:hAnsi="Times New Roman" w:cs="Times New Roman"/>
          <w:sz w:val="24"/>
          <w:szCs w:val="24"/>
        </w:rPr>
        <w:t xml:space="preserve">, 12(1), 94–112. </w:t>
      </w:r>
      <w:hyperlink r:id="rId9" w:history="1">
        <w:r>
          <w:rPr>
            <w:rStyle w:val="Hyperlink"/>
            <w:rFonts w:ascii="Times New Roman" w:hAnsi="Times New Roman" w:cs="Times New Roman"/>
            <w:sz w:val="24"/>
            <w:szCs w:val="24"/>
          </w:rPr>
          <w:t>https://doi.org/10.1108/AJEMS-02-2020-0086</w:t>
        </w:r>
      </w:hyperlink>
    </w:p>
    <w:p w:rsidR="00477E52" w:rsidRDefault="009243CD">
      <w:pPr>
        <w:spacing w:line="240" w:lineRule="auto"/>
        <w:ind w:left="567" w:hanging="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Ahamed</w:t>
      </w:r>
      <w:proofErr w:type="spellEnd"/>
      <w:r>
        <w:rPr>
          <w:rFonts w:ascii="Times New Roman" w:hAnsi="Times New Roman" w:cs="Times New Roman"/>
          <w:sz w:val="24"/>
          <w:szCs w:val="24"/>
        </w:rPr>
        <w:t xml:space="preserve">, K., &amp; </w:t>
      </w:r>
      <w:proofErr w:type="spellStart"/>
      <w:r>
        <w:rPr>
          <w:rFonts w:ascii="Times New Roman" w:hAnsi="Times New Roman" w:cs="Times New Roman"/>
          <w:sz w:val="24"/>
          <w:szCs w:val="24"/>
        </w:rPr>
        <w:t>Masum</w:t>
      </w:r>
      <w:proofErr w:type="spellEnd"/>
      <w:r>
        <w:rPr>
          <w:rFonts w:ascii="Times New Roman" w:hAnsi="Times New Roman" w:cs="Times New Roman"/>
          <w:sz w:val="24"/>
          <w:szCs w:val="24"/>
        </w:rPr>
        <w:t>, M. (2024).</w:t>
      </w:r>
      <w:proofErr w:type="gramEnd"/>
      <w:r>
        <w:rPr>
          <w:rFonts w:ascii="Times New Roman" w:hAnsi="Times New Roman" w:cs="Times New Roman"/>
          <w:sz w:val="24"/>
          <w:szCs w:val="24"/>
        </w:rPr>
        <w:t xml:space="preserve"> </w:t>
      </w:r>
      <w:r>
        <w:rPr>
          <w:rFonts w:ascii="Times New Roman" w:hAnsi="Times New Roman" w:cs="Times New Roman"/>
          <w:sz w:val="24"/>
          <w:szCs w:val="24"/>
        </w:rPr>
        <w:t xml:space="preserve">Ownership structure and environmental disclosure: Evidence from the textile sector. </w:t>
      </w:r>
      <w:r>
        <w:rPr>
          <w:rFonts w:ascii="Times New Roman" w:hAnsi="Times New Roman" w:cs="Times New Roman"/>
          <w:i/>
          <w:iCs/>
          <w:sz w:val="24"/>
          <w:szCs w:val="24"/>
        </w:rPr>
        <w:t>Journal of Environmental Accounting and Management, 12</w:t>
      </w:r>
      <w:r>
        <w:rPr>
          <w:rFonts w:ascii="Times New Roman" w:hAnsi="Times New Roman" w:cs="Times New Roman"/>
          <w:sz w:val="24"/>
          <w:szCs w:val="24"/>
        </w:rPr>
        <w:t>(2), 91–105.</w:t>
      </w:r>
    </w:p>
    <w:p w:rsidR="00477E52" w:rsidRDefault="009243CD">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Ahmed, I. (2025). Institutional ownership and environmental reporting: Evidence from publicly listed comp</w:t>
      </w:r>
      <w:r>
        <w:rPr>
          <w:rFonts w:ascii="Times New Roman" w:hAnsi="Times New Roman" w:cs="Times New Roman"/>
          <w:sz w:val="24"/>
          <w:szCs w:val="24"/>
        </w:rPr>
        <w:t xml:space="preserve">anies in emerging markets. </w:t>
      </w:r>
      <w:r>
        <w:rPr>
          <w:rFonts w:ascii="Times New Roman" w:hAnsi="Times New Roman" w:cs="Times New Roman"/>
          <w:i/>
          <w:iCs/>
          <w:sz w:val="24"/>
          <w:szCs w:val="24"/>
        </w:rPr>
        <w:t>Journal of Sustainability Reporting, 12</w:t>
      </w:r>
      <w:r>
        <w:rPr>
          <w:rFonts w:ascii="Times New Roman" w:hAnsi="Times New Roman" w:cs="Times New Roman"/>
          <w:sz w:val="24"/>
          <w:szCs w:val="24"/>
        </w:rPr>
        <w:t>(1), 45–62.</w:t>
      </w:r>
    </w:p>
    <w:p w:rsidR="00477E52" w:rsidRDefault="009243CD">
      <w:pPr>
        <w:spacing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Al-</w:t>
      </w:r>
      <w:proofErr w:type="spellStart"/>
      <w:r>
        <w:rPr>
          <w:rFonts w:ascii="Times New Roman" w:hAnsi="Times New Roman" w:cs="Times New Roman"/>
          <w:sz w:val="24"/>
          <w:szCs w:val="24"/>
        </w:rPr>
        <w:t>Faryan</w:t>
      </w:r>
      <w:proofErr w:type="spellEnd"/>
      <w:r>
        <w:rPr>
          <w:rFonts w:ascii="Times New Roman" w:hAnsi="Times New Roman" w:cs="Times New Roman"/>
          <w:sz w:val="24"/>
          <w:szCs w:val="24"/>
        </w:rPr>
        <w:t>, M. A., &amp; Al-</w:t>
      </w:r>
      <w:proofErr w:type="spellStart"/>
      <w:r>
        <w:rPr>
          <w:rFonts w:ascii="Times New Roman" w:hAnsi="Times New Roman" w:cs="Times New Roman"/>
          <w:sz w:val="24"/>
          <w:szCs w:val="24"/>
        </w:rPr>
        <w:t>Amri</w:t>
      </w:r>
      <w:proofErr w:type="spellEnd"/>
      <w:r>
        <w:rPr>
          <w:rFonts w:ascii="Times New Roman" w:hAnsi="Times New Roman" w:cs="Times New Roman"/>
          <w:sz w:val="24"/>
          <w:szCs w:val="24"/>
        </w:rPr>
        <w:t>, K. A. (2023).</w:t>
      </w:r>
      <w:proofErr w:type="gramEnd"/>
      <w:r>
        <w:rPr>
          <w:rFonts w:ascii="Times New Roman" w:hAnsi="Times New Roman" w:cs="Times New Roman"/>
          <w:sz w:val="24"/>
          <w:szCs w:val="24"/>
        </w:rPr>
        <w:t xml:space="preserve"> Institutional ownership and firm performance: Evidence from the Gulf Cooperation Council countries. </w:t>
      </w:r>
      <w:r>
        <w:rPr>
          <w:rFonts w:ascii="Times New Roman" w:hAnsi="Times New Roman" w:cs="Times New Roman"/>
          <w:i/>
          <w:iCs/>
          <w:sz w:val="24"/>
          <w:szCs w:val="24"/>
        </w:rPr>
        <w:t>Journal of Financial Regulation and</w:t>
      </w:r>
      <w:r>
        <w:rPr>
          <w:rFonts w:ascii="Times New Roman" w:hAnsi="Times New Roman" w:cs="Times New Roman"/>
          <w:i/>
          <w:iCs/>
          <w:sz w:val="24"/>
          <w:szCs w:val="24"/>
        </w:rPr>
        <w:t xml:space="preserve"> Compliance</w:t>
      </w:r>
      <w:r>
        <w:rPr>
          <w:rFonts w:ascii="Times New Roman" w:hAnsi="Times New Roman" w:cs="Times New Roman"/>
          <w:sz w:val="24"/>
          <w:szCs w:val="24"/>
        </w:rPr>
        <w:t xml:space="preserve">, 31(1), 88–104. </w:t>
      </w:r>
      <w:hyperlink r:id="rId10" w:history="1">
        <w:r>
          <w:rPr>
            <w:rStyle w:val="Hyperlink"/>
            <w:rFonts w:ascii="Times New Roman" w:hAnsi="Times New Roman" w:cs="Times New Roman"/>
            <w:sz w:val="24"/>
            <w:szCs w:val="24"/>
          </w:rPr>
          <w:t>https://doi.org/10.1108/JFRC-05-2022-0057</w:t>
        </w:r>
      </w:hyperlink>
    </w:p>
    <w:p w:rsidR="00477E52" w:rsidRDefault="009243CD">
      <w:pPr>
        <w:spacing w:line="240" w:lineRule="auto"/>
        <w:ind w:left="567" w:hanging="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Almashaqbeh</w:t>
      </w:r>
      <w:proofErr w:type="spellEnd"/>
      <w:r>
        <w:rPr>
          <w:rFonts w:ascii="Times New Roman" w:hAnsi="Times New Roman" w:cs="Times New Roman"/>
          <w:sz w:val="24"/>
          <w:szCs w:val="24"/>
        </w:rPr>
        <w:t xml:space="preserve">, I. A., Abu </w:t>
      </w:r>
      <w:proofErr w:type="spellStart"/>
      <w:r>
        <w:rPr>
          <w:rFonts w:ascii="Times New Roman" w:hAnsi="Times New Roman" w:cs="Times New Roman"/>
          <w:sz w:val="24"/>
          <w:szCs w:val="24"/>
        </w:rPr>
        <w:t>Khadra</w:t>
      </w:r>
      <w:proofErr w:type="spellEnd"/>
      <w:r>
        <w:rPr>
          <w:rFonts w:ascii="Times New Roman" w:hAnsi="Times New Roman" w:cs="Times New Roman"/>
          <w:sz w:val="24"/>
          <w:szCs w:val="24"/>
        </w:rPr>
        <w:t xml:space="preserve">, M. F., &amp; </w:t>
      </w:r>
      <w:proofErr w:type="spellStart"/>
      <w:r>
        <w:rPr>
          <w:rFonts w:ascii="Times New Roman" w:hAnsi="Times New Roman" w:cs="Times New Roman"/>
          <w:sz w:val="24"/>
          <w:szCs w:val="24"/>
        </w:rPr>
        <w:t>Alzoubi</w:t>
      </w:r>
      <w:proofErr w:type="spellEnd"/>
      <w:r>
        <w:rPr>
          <w:rFonts w:ascii="Times New Roman" w:hAnsi="Times New Roman" w:cs="Times New Roman"/>
          <w:sz w:val="24"/>
          <w:szCs w:val="24"/>
        </w:rPr>
        <w:t>, A. M. (2023).</w:t>
      </w:r>
      <w:proofErr w:type="gramEnd"/>
      <w:r>
        <w:rPr>
          <w:rFonts w:ascii="Times New Roman" w:hAnsi="Times New Roman" w:cs="Times New Roman"/>
          <w:sz w:val="24"/>
          <w:szCs w:val="24"/>
        </w:rPr>
        <w:t xml:space="preserve"> Ownership structure and firm value: Evidence from Amman Stock Ex</w:t>
      </w:r>
      <w:r>
        <w:rPr>
          <w:rFonts w:ascii="Times New Roman" w:hAnsi="Times New Roman" w:cs="Times New Roman"/>
          <w:sz w:val="24"/>
          <w:szCs w:val="24"/>
        </w:rPr>
        <w:t xml:space="preserve">change. </w:t>
      </w:r>
      <w:r>
        <w:rPr>
          <w:rFonts w:ascii="Times New Roman" w:hAnsi="Times New Roman" w:cs="Times New Roman"/>
          <w:i/>
          <w:iCs/>
          <w:sz w:val="24"/>
          <w:szCs w:val="24"/>
        </w:rPr>
        <w:t>International Journal of Economics and Financial Issues</w:t>
      </w:r>
      <w:r>
        <w:rPr>
          <w:rFonts w:ascii="Times New Roman" w:hAnsi="Times New Roman" w:cs="Times New Roman"/>
          <w:sz w:val="24"/>
          <w:szCs w:val="24"/>
        </w:rPr>
        <w:t>, 13(1), 45–56.</w:t>
      </w:r>
    </w:p>
    <w:p w:rsidR="00477E52" w:rsidRDefault="009243CD">
      <w:pPr>
        <w:spacing w:line="240" w:lineRule="auto"/>
        <w:ind w:left="567" w:hanging="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Asma</w:t>
      </w:r>
      <w:proofErr w:type="spellEnd"/>
      <w:r>
        <w:rPr>
          <w:rFonts w:ascii="Times New Roman" w:hAnsi="Times New Roman" w:cs="Times New Roman"/>
          <w:sz w:val="24"/>
          <w:szCs w:val="24"/>
        </w:rPr>
        <w:t>, S., Abdullah, M., &amp; Khan, H. (2022).</w:t>
      </w:r>
      <w:proofErr w:type="gramEnd"/>
      <w:r>
        <w:rPr>
          <w:rFonts w:ascii="Times New Roman" w:hAnsi="Times New Roman" w:cs="Times New Roman"/>
          <w:sz w:val="24"/>
          <w:szCs w:val="24"/>
        </w:rPr>
        <w:t xml:space="preserve"> Ownership structure and firm performance: Evidence from Pakistan’s banking sector. </w:t>
      </w:r>
      <w:proofErr w:type="gramStart"/>
      <w:r>
        <w:rPr>
          <w:rFonts w:ascii="Times New Roman" w:hAnsi="Times New Roman" w:cs="Times New Roman"/>
          <w:i/>
          <w:iCs/>
          <w:sz w:val="24"/>
          <w:szCs w:val="24"/>
        </w:rPr>
        <w:t>Cogent Economics &amp; Finance</w:t>
      </w:r>
      <w:r>
        <w:rPr>
          <w:rFonts w:ascii="Times New Roman" w:hAnsi="Times New Roman" w:cs="Times New Roman"/>
          <w:sz w:val="24"/>
          <w:szCs w:val="24"/>
        </w:rPr>
        <w:t>, 10(1), 2035678.</w:t>
      </w:r>
      <w:proofErr w:type="gramEnd"/>
      <w:r>
        <w:rPr>
          <w:rFonts w:ascii="Times New Roman" w:hAnsi="Times New Roman" w:cs="Times New Roman"/>
          <w:sz w:val="24"/>
          <w:szCs w:val="24"/>
        </w:rPr>
        <w:t xml:space="preserve"> </w:t>
      </w:r>
      <w:hyperlink r:id="rId11" w:history="1">
        <w:r>
          <w:rPr>
            <w:rStyle w:val="Hyperlink"/>
            <w:rFonts w:ascii="Times New Roman" w:hAnsi="Times New Roman" w:cs="Times New Roman"/>
            <w:sz w:val="24"/>
            <w:szCs w:val="24"/>
          </w:rPr>
          <w:t>https://doi.org/10.1080/23322039.2022.2035678</w:t>
        </w:r>
      </w:hyperlink>
    </w:p>
    <w:p w:rsidR="00477E52" w:rsidRDefault="009243CD">
      <w:pPr>
        <w:spacing w:line="240" w:lineRule="auto"/>
        <w:ind w:left="567" w:hanging="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Asongu</w:t>
      </w:r>
      <w:proofErr w:type="spellEnd"/>
      <w:r>
        <w:rPr>
          <w:rFonts w:ascii="Times New Roman" w:hAnsi="Times New Roman" w:cs="Times New Roman"/>
          <w:sz w:val="24"/>
          <w:szCs w:val="24"/>
        </w:rPr>
        <w:t xml:space="preserve">, S. A., &amp; </w:t>
      </w:r>
      <w:proofErr w:type="spellStart"/>
      <w:r>
        <w:rPr>
          <w:rFonts w:ascii="Times New Roman" w:hAnsi="Times New Roman" w:cs="Times New Roman"/>
          <w:sz w:val="24"/>
          <w:szCs w:val="24"/>
        </w:rPr>
        <w:t>Odhiambo</w:t>
      </w:r>
      <w:proofErr w:type="spellEnd"/>
      <w:r>
        <w:rPr>
          <w:rFonts w:ascii="Times New Roman" w:hAnsi="Times New Roman" w:cs="Times New Roman"/>
          <w:sz w:val="24"/>
          <w:szCs w:val="24"/>
        </w:rPr>
        <w:t>, N. M. (2019).</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Enhancing governance for sustainability in sub-Saharan Africa.</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Sustainable Development</w:t>
      </w:r>
      <w:r>
        <w:rPr>
          <w:rFonts w:ascii="Times New Roman" w:hAnsi="Times New Roman" w:cs="Times New Roman"/>
          <w:sz w:val="24"/>
          <w:szCs w:val="24"/>
        </w:rPr>
        <w:t xml:space="preserve">, 27(4), 713–724. </w:t>
      </w:r>
      <w:hyperlink r:id="rId12" w:history="1">
        <w:r>
          <w:rPr>
            <w:rStyle w:val="Hyperlink"/>
            <w:rFonts w:ascii="Times New Roman" w:hAnsi="Times New Roman" w:cs="Times New Roman"/>
            <w:sz w:val="24"/>
            <w:szCs w:val="24"/>
          </w:rPr>
          <w:t>https://doi.org/10.1002/sd.1931</w:t>
        </w:r>
      </w:hyperlink>
    </w:p>
    <w:p w:rsidR="00477E52" w:rsidRDefault="009243CD">
      <w:pPr>
        <w:spacing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Awwad</w:t>
      </w:r>
      <w:proofErr w:type="spellEnd"/>
      <w:r>
        <w:rPr>
          <w:rFonts w:ascii="Times New Roman" w:hAnsi="Times New Roman" w:cs="Times New Roman"/>
          <w:sz w:val="24"/>
          <w:szCs w:val="24"/>
        </w:rPr>
        <w:t xml:space="preserve">, B. (2023). Capital adequacy and profitability indicators: An empirical study on Palestinian banks. </w:t>
      </w:r>
      <w:proofErr w:type="gramStart"/>
      <w:r>
        <w:rPr>
          <w:rFonts w:ascii="Times New Roman" w:hAnsi="Times New Roman" w:cs="Times New Roman"/>
          <w:i/>
          <w:iCs/>
          <w:sz w:val="24"/>
          <w:szCs w:val="24"/>
        </w:rPr>
        <w:t>Sustainable Finance, Digitalization and the role of Technology,</w:t>
      </w:r>
      <w:r>
        <w:rPr>
          <w:rFonts w:ascii="Times New Roman" w:hAnsi="Times New Roman" w:cs="Times New Roman"/>
          <w:sz w:val="24"/>
          <w:szCs w:val="24"/>
        </w:rPr>
        <w:t xml:space="preserve"> 145-16</w:t>
      </w:r>
      <w:r>
        <w:rPr>
          <w:rFonts w:ascii="Times New Roman" w:hAnsi="Times New Roman" w:cs="Times New Roman"/>
          <w:sz w:val="24"/>
          <w:szCs w:val="24"/>
        </w:rPr>
        <w:t>0.</w:t>
      </w:r>
      <w:proofErr w:type="gramEnd"/>
    </w:p>
    <w:p w:rsidR="00477E52" w:rsidRDefault="009243CD">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Barney, J. (1991). Firm resources and sustained competitive advantage. </w:t>
      </w:r>
      <w:r>
        <w:rPr>
          <w:rFonts w:ascii="Times New Roman" w:hAnsi="Times New Roman" w:cs="Times New Roman"/>
          <w:i/>
          <w:iCs/>
          <w:sz w:val="24"/>
          <w:szCs w:val="24"/>
        </w:rPr>
        <w:t>Journal of Management</w:t>
      </w:r>
      <w:r>
        <w:rPr>
          <w:rFonts w:ascii="Times New Roman" w:hAnsi="Times New Roman" w:cs="Times New Roman"/>
          <w:sz w:val="24"/>
          <w:szCs w:val="24"/>
        </w:rPr>
        <w:t>, 17(1), 99–120.</w:t>
      </w:r>
    </w:p>
    <w:p w:rsidR="00477E52" w:rsidRDefault="009243CD">
      <w:pPr>
        <w:spacing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Chen, L., &amp; Wang, Y. (2021).</w:t>
      </w:r>
      <w:proofErr w:type="gramEnd"/>
      <w:r>
        <w:rPr>
          <w:rFonts w:ascii="Times New Roman" w:hAnsi="Times New Roman" w:cs="Times New Roman"/>
          <w:sz w:val="24"/>
          <w:szCs w:val="24"/>
        </w:rPr>
        <w:t xml:space="preserve"> Foreign ownership and corporate governance: A review. </w:t>
      </w:r>
      <w:r>
        <w:rPr>
          <w:rFonts w:ascii="Times New Roman" w:hAnsi="Times New Roman" w:cs="Times New Roman"/>
          <w:i/>
          <w:iCs/>
          <w:sz w:val="24"/>
          <w:szCs w:val="24"/>
        </w:rPr>
        <w:t>Journal of International Business Studies</w:t>
      </w:r>
      <w:r>
        <w:rPr>
          <w:rFonts w:ascii="Times New Roman" w:hAnsi="Times New Roman" w:cs="Times New Roman"/>
          <w:sz w:val="24"/>
          <w:szCs w:val="24"/>
        </w:rPr>
        <w:t>, 52(5), 798–817.</w:t>
      </w:r>
    </w:p>
    <w:p w:rsidR="00477E52" w:rsidRDefault="009243CD">
      <w:pPr>
        <w:spacing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Ch</w:t>
      </w:r>
      <w:r>
        <w:rPr>
          <w:rFonts w:ascii="Times New Roman" w:hAnsi="Times New Roman" w:cs="Times New Roman"/>
          <w:sz w:val="24"/>
          <w:szCs w:val="24"/>
        </w:rPr>
        <w:t>en, R., &amp; Wang, Y. (2021).</w:t>
      </w:r>
      <w:proofErr w:type="gramEnd"/>
      <w:r>
        <w:rPr>
          <w:rFonts w:ascii="Times New Roman" w:hAnsi="Times New Roman" w:cs="Times New Roman"/>
          <w:sz w:val="24"/>
          <w:szCs w:val="24"/>
        </w:rPr>
        <w:t xml:space="preserve"> Foreign ownership and corporate governance: A review. </w:t>
      </w:r>
      <w:r>
        <w:rPr>
          <w:rFonts w:ascii="Times New Roman" w:hAnsi="Times New Roman" w:cs="Times New Roman"/>
          <w:i/>
          <w:iCs/>
          <w:sz w:val="24"/>
          <w:szCs w:val="24"/>
        </w:rPr>
        <w:t>Journal of International Business Studies, 52</w:t>
      </w:r>
      <w:r>
        <w:rPr>
          <w:rFonts w:ascii="Times New Roman" w:hAnsi="Times New Roman" w:cs="Times New Roman"/>
          <w:sz w:val="24"/>
          <w:szCs w:val="24"/>
        </w:rPr>
        <w:t>(5), 798–817.</w:t>
      </w:r>
    </w:p>
    <w:p w:rsidR="00477E52" w:rsidRDefault="009243CD">
      <w:pPr>
        <w:spacing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Chen, R., &amp; Yu, W. (2020).</w:t>
      </w:r>
      <w:proofErr w:type="gramEnd"/>
      <w:r>
        <w:rPr>
          <w:rFonts w:ascii="Times New Roman" w:hAnsi="Times New Roman" w:cs="Times New Roman"/>
          <w:sz w:val="24"/>
          <w:szCs w:val="24"/>
        </w:rPr>
        <w:t xml:space="preserve"> How ownership structure affects firm performance: Evidence from China. </w:t>
      </w:r>
      <w:r>
        <w:rPr>
          <w:rFonts w:ascii="Times New Roman" w:hAnsi="Times New Roman" w:cs="Times New Roman"/>
          <w:i/>
          <w:iCs/>
          <w:sz w:val="24"/>
          <w:szCs w:val="24"/>
        </w:rPr>
        <w:t>Asian Economic and</w:t>
      </w:r>
      <w:r>
        <w:rPr>
          <w:rFonts w:ascii="Times New Roman" w:hAnsi="Times New Roman" w:cs="Times New Roman"/>
          <w:i/>
          <w:iCs/>
          <w:sz w:val="24"/>
          <w:szCs w:val="24"/>
        </w:rPr>
        <w:t xml:space="preserve"> Financial Review</w:t>
      </w:r>
      <w:r>
        <w:rPr>
          <w:rFonts w:ascii="Times New Roman" w:hAnsi="Times New Roman" w:cs="Times New Roman"/>
          <w:sz w:val="24"/>
          <w:szCs w:val="24"/>
        </w:rPr>
        <w:t>, 10(3), 306–319.</w:t>
      </w:r>
    </w:p>
    <w:p w:rsidR="00477E52" w:rsidRDefault="009243CD">
      <w:pPr>
        <w:spacing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Chen, S., Zhang, H., &amp; Zhou, H. (2021).</w:t>
      </w:r>
      <w:proofErr w:type="gramEnd"/>
      <w:r>
        <w:rPr>
          <w:rFonts w:ascii="Times New Roman" w:hAnsi="Times New Roman" w:cs="Times New Roman"/>
          <w:sz w:val="24"/>
          <w:szCs w:val="24"/>
        </w:rPr>
        <w:t xml:space="preserve"> State ownership and firm performance: Evidence from financial reforms. </w:t>
      </w:r>
      <w:proofErr w:type="gramStart"/>
      <w:r>
        <w:rPr>
          <w:rFonts w:ascii="Times New Roman" w:hAnsi="Times New Roman" w:cs="Times New Roman"/>
          <w:i/>
          <w:iCs/>
          <w:sz w:val="24"/>
          <w:szCs w:val="24"/>
        </w:rPr>
        <w:t>Emerging Markets Review, 46</w:t>
      </w:r>
      <w:r>
        <w:rPr>
          <w:rFonts w:ascii="Times New Roman" w:hAnsi="Times New Roman" w:cs="Times New Roman"/>
          <w:sz w:val="24"/>
          <w:szCs w:val="24"/>
        </w:rPr>
        <w:t>, 100733.</w:t>
      </w:r>
      <w:proofErr w:type="gramEnd"/>
      <w:r>
        <w:rPr>
          <w:rFonts w:ascii="Times New Roman" w:hAnsi="Times New Roman" w:cs="Times New Roman"/>
          <w:sz w:val="24"/>
          <w:szCs w:val="24"/>
        </w:rPr>
        <w:t xml:space="preserve"> </w:t>
      </w:r>
      <w:hyperlink r:id="rId13" w:history="1">
        <w:r>
          <w:rPr>
            <w:rStyle w:val="Hyperlink"/>
            <w:rFonts w:ascii="Times New Roman" w:hAnsi="Times New Roman" w:cs="Times New Roman"/>
            <w:sz w:val="24"/>
            <w:szCs w:val="24"/>
          </w:rPr>
          <w:t>https://doi.org</w:t>
        </w:r>
        <w:r>
          <w:rPr>
            <w:rStyle w:val="Hyperlink"/>
            <w:rFonts w:ascii="Times New Roman" w:hAnsi="Times New Roman" w:cs="Times New Roman"/>
            <w:sz w:val="24"/>
            <w:szCs w:val="24"/>
          </w:rPr>
          <w:t>/10.1016/j.ememar.2020.100733</w:t>
        </w:r>
      </w:hyperlink>
    </w:p>
    <w:p w:rsidR="00477E52" w:rsidRDefault="009243CD">
      <w:pPr>
        <w:spacing w:line="240" w:lineRule="auto"/>
        <w:ind w:left="567" w:hanging="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Deshi</w:t>
      </w:r>
      <w:proofErr w:type="spellEnd"/>
      <w:r>
        <w:rPr>
          <w:rFonts w:ascii="Times New Roman" w:hAnsi="Times New Roman" w:cs="Times New Roman"/>
          <w:sz w:val="24"/>
          <w:szCs w:val="24"/>
        </w:rPr>
        <w:t xml:space="preserve">, N. N., Dang, D. Y., </w:t>
      </w:r>
      <w:proofErr w:type="spellStart"/>
      <w:r>
        <w:rPr>
          <w:rFonts w:ascii="Times New Roman" w:hAnsi="Times New Roman" w:cs="Times New Roman"/>
          <w:sz w:val="24"/>
          <w:szCs w:val="24"/>
        </w:rPr>
        <w:t>Ogochukwu</w:t>
      </w:r>
      <w:proofErr w:type="spellEnd"/>
      <w:r>
        <w:rPr>
          <w:rFonts w:ascii="Times New Roman" w:hAnsi="Times New Roman" w:cs="Times New Roman"/>
          <w:sz w:val="24"/>
          <w:szCs w:val="24"/>
        </w:rPr>
        <w:t xml:space="preserve">-Ray, C., &amp; </w:t>
      </w:r>
      <w:proofErr w:type="spellStart"/>
      <w:r>
        <w:rPr>
          <w:rFonts w:ascii="Times New Roman" w:hAnsi="Times New Roman" w:cs="Times New Roman"/>
          <w:sz w:val="24"/>
          <w:szCs w:val="24"/>
        </w:rPr>
        <w:t>Bawa</w:t>
      </w:r>
      <w:proofErr w:type="spellEnd"/>
      <w:r>
        <w:rPr>
          <w:rFonts w:ascii="Times New Roman" w:hAnsi="Times New Roman" w:cs="Times New Roman"/>
          <w:sz w:val="24"/>
          <w:szCs w:val="24"/>
        </w:rPr>
        <w:t>, J. (2025).</w:t>
      </w:r>
      <w:proofErr w:type="gramEnd"/>
      <w:r>
        <w:rPr>
          <w:rFonts w:ascii="Times New Roman" w:hAnsi="Times New Roman" w:cs="Times New Roman"/>
          <w:sz w:val="24"/>
          <w:szCs w:val="24"/>
        </w:rPr>
        <w:t xml:space="preserve"> Effect of firm financial attributes on value of listed consumer goods companies in Nigeria. </w:t>
      </w:r>
      <w:r>
        <w:rPr>
          <w:rFonts w:ascii="Times New Roman" w:hAnsi="Times New Roman" w:cs="Times New Roman"/>
          <w:i/>
          <w:iCs/>
          <w:sz w:val="24"/>
          <w:szCs w:val="24"/>
        </w:rPr>
        <w:t>Global Academic and Scientific Journal of Multidisciplinary Studie</w:t>
      </w:r>
      <w:r>
        <w:rPr>
          <w:rFonts w:ascii="Times New Roman" w:hAnsi="Times New Roman" w:cs="Times New Roman"/>
          <w:i/>
          <w:iCs/>
          <w:sz w:val="24"/>
          <w:szCs w:val="24"/>
        </w:rPr>
        <w:t>s,</w:t>
      </w:r>
      <w:r>
        <w:rPr>
          <w:rFonts w:ascii="Times New Roman" w:hAnsi="Times New Roman" w:cs="Times New Roman"/>
          <w:sz w:val="24"/>
          <w:szCs w:val="24"/>
        </w:rPr>
        <w:t xml:space="preserve"> (GASJMS), 3(4), 131-142.</w:t>
      </w:r>
    </w:p>
    <w:p w:rsidR="00477E52" w:rsidRDefault="009243CD">
      <w:pPr>
        <w:spacing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Deshi</w:t>
      </w:r>
      <w:proofErr w:type="spellEnd"/>
      <w:r>
        <w:rPr>
          <w:rFonts w:ascii="Times New Roman" w:hAnsi="Times New Roman" w:cs="Times New Roman"/>
          <w:sz w:val="24"/>
          <w:szCs w:val="24"/>
        </w:rPr>
        <w:t xml:space="preserve">, N. N., Sunday, S. K. (2025). Ownership Structure and Firm Value: A Quantitative Study of Listed Money Deposit Banks in Nigeria. </w:t>
      </w:r>
      <w:r>
        <w:rPr>
          <w:rFonts w:ascii="Times New Roman" w:hAnsi="Times New Roman" w:cs="Times New Roman"/>
          <w:i/>
          <w:iCs/>
          <w:sz w:val="24"/>
          <w:szCs w:val="24"/>
        </w:rPr>
        <w:t>Indiana Journal of Economics and Business Management,</w:t>
      </w:r>
      <w:r>
        <w:rPr>
          <w:rFonts w:ascii="Times New Roman" w:hAnsi="Times New Roman" w:cs="Times New Roman"/>
          <w:sz w:val="24"/>
          <w:szCs w:val="24"/>
        </w:rPr>
        <w:t xml:space="preserve"> 5(3), 82-98.</w:t>
      </w:r>
    </w:p>
    <w:p w:rsidR="00477E52" w:rsidRDefault="009243CD">
      <w:pPr>
        <w:spacing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Donaldson, L., &amp; Davis, J.</w:t>
      </w:r>
      <w:r>
        <w:rPr>
          <w:rFonts w:ascii="Times New Roman" w:hAnsi="Times New Roman" w:cs="Times New Roman"/>
          <w:sz w:val="24"/>
          <w:szCs w:val="24"/>
        </w:rPr>
        <w:t xml:space="preserve"> H. (1991).</w:t>
      </w:r>
      <w:proofErr w:type="gramEnd"/>
      <w:r>
        <w:rPr>
          <w:rFonts w:ascii="Times New Roman" w:hAnsi="Times New Roman" w:cs="Times New Roman"/>
          <w:sz w:val="24"/>
          <w:szCs w:val="24"/>
        </w:rPr>
        <w:t xml:space="preserve"> Stewardship theory or agency theory: CEO governance and shareholder returns. </w:t>
      </w:r>
      <w:r>
        <w:rPr>
          <w:rFonts w:ascii="Times New Roman" w:hAnsi="Times New Roman" w:cs="Times New Roman"/>
          <w:i/>
          <w:iCs/>
          <w:sz w:val="24"/>
          <w:szCs w:val="24"/>
        </w:rPr>
        <w:t>Australian Journal of Management</w:t>
      </w:r>
      <w:r>
        <w:rPr>
          <w:rFonts w:ascii="Times New Roman" w:hAnsi="Times New Roman" w:cs="Times New Roman"/>
          <w:sz w:val="24"/>
          <w:szCs w:val="24"/>
        </w:rPr>
        <w:t>, 16(1), 49–64.</w:t>
      </w:r>
    </w:p>
    <w:p w:rsidR="00477E52" w:rsidRDefault="009243CD">
      <w:pPr>
        <w:spacing w:line="240" w:lineRule="auto"/>
        <w:ind w:left="567" w:hanging="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Egolum</w:t>
      </w:r>
      <w:proofErr w:type="spellEnd"/>
      <w:r>
        <w:rPr>
          <w:rFonts w:ascii="Times New Roman" w:hAnsi="Times New Roman" w:cs="Times New Roman"/>
          <w:sz w:val="24"/>
          <w:szCs w:val="24"/>
        </w:rPr>
        <w:t xml:space="preserve">, U. P., </w:t>
      </w:r>
      <w:proofErr w:type="spellStart"/>
      <w:r>
        <w:rPr>
          <w:rFonts w:ascii="Times New Roman" w:hAnsi="Times New Roman" w:cs="Times New Roman"/>
          <w:sz w:val="24"/>
          <w:szCs w:val="24"/>
        </w:rPr>
        <w:t>Olayemi</w:t>
      </w:r>
      <w:proofErr w:type="spellEnd"/>
      <w:r>
        <w:rPr>
          <w:rFonts w:ascii="Times New Roman" w:hAnsi="Times New Roman" w:cs="Times New Roman"/>
          <w:sz w:val="24"/>
          <w:szCs w:val="24"/>
        </w:rPr>
        <w:t xml:space="preserve">, O., &amp; </w:t>
      </w:r>
      <w:proofErr w:type="spellStart"/>
      <w:r>
        <w:rPr>
          <w:rFonts w:ascii="Times New Roman" w:hAnsi="Times New Roman" w:cs="Times New Roman"/>
          <w:sz w:val="24"/>
          <w:szCs w:val="24"/>
        </w:rPr>
        <w:t>Uwuigbe</w:t>
      </w:r>
      <w:proofErr w:type="spellEnd"/>
      <w:r>
        <w:rPr>
          <w:rFonts w:ascii="Times New Roman" w:hAnsi="Times New Roman" w:cs="Times New Roman"/>
          <w:sz w:val="24"/>
          <w:szCs w:val="24"/>
        </w:rPr>
        <w:t>, U. (2021).</w:t>
      </w:r>
      <w:proofErr w:type="gramEnd"/>
      <w:r>
        <w:rPr>
          <w:rFonts w:ascii="Times New Roman" w:hAnsi="Times New Roman" w:cs="Times New Roman"/>
          <w:sz w:val="24"/>
          <w:szCs w:val="24"/>
        </w:rPr>
        <w:t xml:space="preserve"> CEO ownership and firm value: Evidence from Nigeria’s oil and gas sec</w:t>
      </w:r>
      <w:r>
        <w:rPr>
          <w:rFonts w:ascii="Times New Roman" w:hAnsi="Times New Roman" w:cs="Times New Roman"/>
          <w:sz w:val="24"/>
          <w:szCs w:val="24"/>
        </w:rPr>
        <w:t xml:space="preserve">tor. </w:t>
      </w:r>
      <w:r>
        <w:rPr>
          <w:rFonts w:ascii="Times New Roman" w:hAnsi="Times New Roman" w:cs="Times New Roman"/>
          <w:i/>
          <w:iCs/>
          <w:sz w:val="24"/>
          <w:szCs w:val="24"/>
        </w:rPr>
        <w:t>Journal of African Financial Studies, 13</w:t>
      </w:r>
      <w:r>
        <w:rPr>
          <w:rFonts w:ascii="Times New Roman" w:hAnsi="Times New Roman" w:cs="Times New Roman"/>
          <w:sz w:val="24"/>
          <w:szCs w:val="24"/>
        </w:rPr>
        <w:t>(1), 23–40.</w:t>
      </w:r>
    </w:p>
    <w:p w:rsidR="00477E52" w:rsidRDefault="009243CD">
      <w:pPr>
        <w:spacing w:line="240" w:lineRule="auto"/>
        <w:ind w:left="567" w:hanging="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Ezu</w:t>
      </w:r>
      <w:proofErr w:type="spellEnd"/>
      <w:r>
        <w:rPr>
          <w:rFonts w:ascii="Times New Roman" w:hAnsi="Times New Roman" w:cs="Times New Roman"/>
          <w:sz w:val="24"/>
          <w:szCs w:val="24"/>
        </w:rPr>
        <w:t xml:space="preserve">, G. K., </w:t>
      </w:r>
      <w:proofErr w:type="spellStart"/>
      <w:r>
        <w:rPr>
          <w:rFonts w:ascii="Times New Roman" w:hAnsi="Times New Roman" w:cs="Times New Roman"/>
          <w:sz w:val="24"/>
          <w:szCs w:val="24"/>
        </w:rPr>
        <w:t>Nwanna</w:t>
      </w:r>
      <w:proofErr w:type="spellEnd"/>
      <w:r>
        <w:rPr>
          <w:rFonts w:ascii="Times New Roman" w:hAnsi="Times New Roman" w:cs="Times New Roman"/>
          <w:sz w:val="24"/>
          <w:szCs w:val="24"/>
        </w:rPr>
        <w:t>, I. O. &amp; Eke-Jeff, O. M. (2023).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Effect of capital adequacy on the performance of deposit money banks in Nigeria.</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International Journal of Novel Research in Marketing Management and Economics, </w:t>
      </w:r>
      <w:r>
        <w:rPr>
          <w:rFonts w:ascii="Times New Roman" w:hAnsi="Times New Roman" w:cs="Times New Roman"/>
          <w:sz w:val="24"/>
          <w:szCs w:val="24"/>
        </w:rPr>
        <w:t>10 (1), 53-63.</w:t>
      </w:r>
    </w:p>
    <w:p w:rsidR="00477E52" w:rsidRDefault="009243CD">
      <w:pPr>
        <w:spacing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 xml:space="preserve">Fan, J. P. H., Wei, K. C. J., &amp; </w:t>
      </w:r>
      <w:proofErr w:type="spellStart"/>
      <w:r>
        <w:rPr>
          <w:rFonts w:ascii="Times New Roman" w:hAnsi="Times New Roman" w:cs="Times New Roman"/>
          <w:sz w:val="24"/>
          <w:szCs w:val="24"/>
        </w:rPr>
        <w:t>Xu</w:t>
      </w:r>
      <w:proofErr w:type="spellEnd"/>
      <w:r>
        <w:rPr>
          <w:rFonts w:ascii="Times New Roman" w:hAnsi="Times New Roman" w:cs="Times New Roman"/>
          <w:sz w:val="24"/>
          <w:szCs w:val="24"/>
        </w:rPr>
        <w:t>, X. (2022).</w:t>
      </w:r>
      <w:proofErr w:type="gramEnd"/>
      <w:r>
        <w:rPr>
          <w:rFonts w:ascii="Times New Roman" w:hAnsi="Times New Roman" w:cs="Times New Roman"/>
          <w:sz w:val="24"/>
          <w:szCs w:val="24"/>
        </w:rPr>
        <w:t xml:space="preserve"> Corporate ownership structure and firm value: Evidence from East Asia. </w:t>
      </w:r>
      <w:r>
        <w:rPr>
          <w:rFonts w:ascii="Times New Roman" w:hAnsi="Times New Roman" w:cs="Times New Roman"/>
          <w:i/>
          <w:iCs/>
          <w:sz w:val="24"/>
          <w:szCs w:val="24"/>
        </w:rPr>
        <w:t>Journal of Financial Economics</w:t>
      </w:r>
      <w:r>
        <w:rPr>
          <w:rFonts w:ascii="Times New Roman" w:hAnsi="Times New Roman" w:cs="Times New Roman"/>
          <w:sz w:val="24"/>
          <w:szCs w:val="24"/>
        </w:rPr>
        <w:t>, 58(3), 327–3</w:t>
      </w:r>
      <w:r>
        <w:rPr>
          <w:rFonts w:ascii="Times New Roman" w:hAnsi="Times New Roman" w:cs="Times New Roman"/>
          <w:sz w:val="24"/>
          <w:szCs w:val="24"/>
        </w:rPr>
        <w:t xml:space="preserve">72. </w:t>
      </w:r>
      <w:hyperlink r:id="rId14" w:history="1">
        <w:r>
          <w:rPr>
            <w:rStyle w:val="Hyperlink"/>
            <w:rFonts w:ascii="Times New Roman" w:hAnsi="Times New Roman" w:cs="Times New Roman"/>
            <w:sz w:val="24"/>
            <w:szCs w:val="24"/>
          </w:rPr>
          <w:t>https://doi.org/10.1016/S0304-405X(00)00067-1</w:t>
        </w:r>
      </w:hyperlink>
    </w:p>
    <w:p w:rsidR="00477E52" w:rsidRDefault="009243CD">
      <w:pPr>
        <w:spacing w:line="240" w:lineRule="auto"/>
        <w:ind w:left="567" w:hanging="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Fawwaz</w:t>
      </w:r>
      <w:proofErr w:type="spellEnd"/>
      <w:r>
        <w:rPr>
          <w:rFonts w:ascii="Times New Roman" w:hAnsi="Times New Roman" w:cs="Times New Roman"/>
          <w:sz w:val="24"/>
          <w:szCs w:val="24"/>
        </w:rPr>
        <w:t>, A. M., &amp; Char-Lee, Y. (2024).</w:t>
      </w:r>
      <w:proofErr w:type="gramEnd"/>
      <w:r>
        <w:rPr>
          <w:rFonts w:ascii="Times New Roman" w:hAnsi="Times New Roman" w:cs="Times New Roman"/>
          <w:sz w:val="24"/>
          <w:szCs w:val="24"/>
        </w:rPr>
        <w:t xml:space="preserve"> Ownership concentration and firm performance: Evidence from Amman Stock Exchange. </w:t>
      </w:r>
      <w:r>
        <w:rPr>
          <w:rFonts w:ascii="Times New Roman" w:hAnsi="Times New Roman" w:cs="Times New Roman"/>
          <w:i/>
          <w:iCs/>
          <w:sz w:val="24"/>
          <w:szCs w:val="24"/>
        </w:rPr>
        <w:t>International Journal of</w:t>
      </w:r>
      <w:r>
        <w:rPr>
          <w:rFonts w:ascii="Times New Roman" w:hAnsi="Times New Roman" w:cs="Times New Roman"/>
          <w:i/>
          <w:iCs/>
          <w:sz w:val="24"/>
          <w:szCs w:val="24"/>
        </w:rPr>
        <w:t xml:space="preserve"> Financial Studies, 12</w:t>
      </w:r>
      <w:r>
        <w:rPr>
          <w:rFonts w:ascii="Times New Roman" w:hAnsi="Times New Roman" w:cs="Times New Roman"/>
          <w:sz w:val="24"/>
          <w:szCs w:val="24"/>
        </w:rPr>
        <w:t>(1), 55–74.</w:t>
      </w:r>
    </w:p>
    <w:p w:rsidR="00477E52" w:rsidRDefault="009243CD">
      <w:pPr>
        <w:spacing w:line="240" w:lineRule="auto"/>
        <w:ind w:left="567" w:hanging="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Gillan</w:t>
      </w:r>
      <w:proofErr w:type="spellEnd"/>
      <w:r>
        <w:rPr>
          <w:rFonts w:ascii="Times New Roman" w:hAnsi="Times New Roman" w:cs="Times New Roman"/>
          <w:sz w:val="24"/>
          <w:szCs w:val="24"/>
        </w:rPr>
        <w:t>, S. L., &amp; Starks, L. T. (2003).</w:t>
      </w:r>
      <w:proofErr w:type="gramEnd"/>
      <w:r>
        <w:rPr>
          <w:rFonts w:ascii="Times New Roman" w:hAnsi="Times New Roman" w:cs="Times New Roman"/>
          <w:sz w:val="24"/>
          <w:szCs w:val="24"/>
        </w:rPr>
        <w:t xml:space="preserve"> Corporate governance, corporate ownership, and the role of institutional investors: A global perspective. </w:t>
      </w:r>
      <w:r>
        <w:rPr>
          <w:rFonts w:ascii="Times New Roman" w:hAnsi="Times New Roman" w:cs="Times New Roman"/>
          <w:i/>
          <w:iCs/>
          <w:sz w:val="24"/>
          <w:szCs w:val="24"/>
        </w:rPr>
        <w:t>Journal of Applied Finance</w:t>
      </w:r>
      <w:r>
        <w:rPr>
          <w:rFonts w:ascii="Times New Roman" w:hAnsi="Times New Roman" w:cs="Times New Roman"/>
          <w:sz w:val="24"/>
          <w:szCs w:val="24"/>
        </w:rPr>
        <w:t>, 13(2), 4–22.</w:t>
      </w:r>
    </w:p>
    <w:p w:rsidR="00477E52" w:rsidRDefault="009243CD">
      <w:pPr>
        <w:spacing w:line="240" w:lineRule="auto"/>
        <w:ind w:left="567" w:hanging="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Ismaila</w:t>
      </w:r>
      <w:proofErr w:type="spellEnd"/>
      <w:r>
        <w:rPr>
          <w:rFonts w:ascii="Times New Roman" w:hAnsi="Times New Roman" w:cs="Times New Roman"/>
          <w:sz w:val="24"/>
          <w:szCs w:val="24"/>
        </w:rPr>
        <w:t xml:space="preserve">, A. R., &amp; </w:t>
      </w:r>
      <w:proofErr w:type="spellStart"/>
      <w:r>
        <w:rPr>
          <w:rFonts w:ascii="Times New Roman" w:hAnsi="Times New Roman" w:cs="Times New Roman"/>
          <w:sz w:val="24"/>
          <w:szCs w:val="24"/>
        </w:rPr>
        <w:t>Tanko</w:t>
      </w:r>
      <w:proofErr w:type="spellEnd"/>
      <w:r>
        <w:rPr>
          <w:rFonts w:ascii="Times New Roman" w:hAnsi="Times New Roman" w:cs="Times New Roman"/>
          <w:sz w:val="24"/>
          <w:szCs w:val="24"/>
        </w:rPr>
        <w:t>, M. (2024).</w:t>
      </w:r>
      <w:proofErr w:type="gramEnd"/>
      <w:r>
        <w:rPr>
          <w:rFonts w:ascii="Times New Roman" w:hAnsi="Times New Roman" w:cs="Times New Roman"/>
          <w:sz w:val="24"/>
          <w:szCs w:val="24"/>
        </w:rPr>
        <w:t xml:space="preserve"> </w:t>
      </w:r>
      <w:r>
        <w:rPr>
          <w:rFonts w:ascii="Times New Roman" w:hAnsi="Times New Roman" w:cs="Times New Roman"/>
          <w:sz w:val="24"/>
          <w:szCs w:val="24"/>
        </w:rPr>
        <w:t xml:space="preserve">Ownership structure and firm performance in Nigerian deposit money banks. </w:t>
      </w:r>
      <w:r>
        <w:rPr>
          <w:rFonts w:ascii="Times New Roman" w:hAnsi="Times New Roman" w:cs="Times New Roman"/>
          <w:i/>
          <w:iCs/>
          <w:sz w:val="24"/>
          <w:szCs w:val="24"/>
        </w:rPr>
        <w:t>Nigerian Journal of Banking and Finance, 15</w:t>
      </w:r>
      <w:r>
        <w:rPr>
          <w:rFonts w:ascii="Times New Roman" w:hAnsi="Times New Roman" w:cs="Times New Roman"/>
          <w:sz w:val="24"/>
          <w:szCs w:val="24"/>
        </w:rPr>
        <w:t>(2), 95–112.</w:t>
      </w:r>
    </w:p>
    <w:p w:rsidR="00477E52" w:rsidRDefault="009243CD">
      <w:pPr>
        <w:spacing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 xml:space="preserve">Jensen, M. C., &amp; </w:t>
      </w:r>
      <w:proofErr w:type="spellStart"/>
      <w:r>
        <w:rPr>
          <w:rFonts w:ascii="Times New Roman" w:hAnsi="Times New Roman" w:cs="Times New Roman"/>
          <w:sz w:val="24"/>
          <w:szCs w:val="24"/>
        </w:rPr>
        <w:t>Meckling</w:t>
      </w:r>
      <w:proofErr w:type="spellEnd"/>
      <w:r>
        <w:rPr>
          <w:rFonts w:ascii="Times New Roman" w:hAnsi="Times New Roman" w:cs="Times New Roman"/>
          <w:sz w:val="24"/>
          <w:szCs w:val="24"/>
        </w:rPr>
        <w:t>, W. H. (1976).</w:t>
      </w:r>
      <w:proofErr w:type="gramEnd"/>
      <w:r>
        <w:rPr>
          <w:rFonts w:ascii="Times New Roman" w:hAnsi="Times New Roman" w:cs="Times New Roman"/>
          <w:sz w:val="24"/>
          <w:szCs w:val="24"/>
        </w:rPr>
        <w:t xml:space="preserve"> Theory of the firm: Managerial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agency costs and ownership structure. </w:t>
      </w:r>
      <w:r>
        <w:rPr>
          <w:rFonts w:ascii="Times New Roman" w:hAnsi="Times New Roman" w:cs="Times New Roman"/>
          <w:i/>
          <w:iCs/>
          <w:sz w:val="24"/>
          <w:szCs w:val="24"/>
        </w:rPr>
        <w:t>Journal of Financial Economics</w:t>
      </w:r>
      <w:r>
        <w:rPr>
          <w:rFonts w:ascii="Times New Roman" w:hAnsi="Times New Roman" w:cs="Times New Roman"/>
          <w:sz w:val="24"/>
          <w:szCs w:val="24"/>
        </w:rPr>
        <w:t>, 3(4), 305–360.</w:t>
      </w:r>
    </w:p>
    <w:p w:rsidR="00477E52" w:rsidRDefault="009243CD">
      <w:pPr>
        <w:spacing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 xml:space="preserve">John, A., Ibrahim, U.A., Tonga, E.A. &amp; </w:t>
      </w:r>
      <w:proofErr w:type="spellStart"/>
      <w:r>
        <w:rPr>
          <w:rFonts w:ascii="Times New Roman" w:hAnsi="Times New Roman" w:cs="Times New Roman"/>
          <w:sz w:val="24"/>
          <w:szCs w:val="24"/>
        </w:rPr>
        <w:t>Chinyere</w:t>
      </w:r>
      <w:proofErr w:type="spellEnd"/>
      <w:r>
        <w:rPr>
          <w:rFonts w:ascii="Times New Roman" w:hAnsi="Times New Roman" w:cs="Times New Roman"/>
          <w:sz w:val="24"/>
          <w:szCs w:val="24"/>
        </w:rPr>
        <w:t>, A.-E.I. (2025) Impact of Credit Default on the Capital Adequacy Ratio of Quoted Deposit Money Banks in Nigeria.</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 xml:space="preserve">Open Access Library Journal, </w:t>
      </w:r>
      <w:r>
        <w:rPr>
          <w:rFonts w:ascii="Times New Roman" w:hAnsi="Times New Roman" w:cs="Times New Roman"/>
          <w:sz w:val="24"/>
          <w:szCs w:val="24"/>
        </w:rPr>
        <w:t xml:space="preserve">12, 1-1.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10.42</w:t>
      </w:r>
      <w:r>
        <w:rPr>
          <w:rFonts w:ascii="Times New Roman" w:hAnsi="Times New Roman" w:cs="Times New Roman"/>
          <w:sz w:val="24"/>
          <w:szCs w:val="24"/>
        </w:rPr>
        <w:t>36/oalib.1113026</w:t>
      </w:r>
    </w:p>
    <w:p w:rsidR="00477E52" w:rsidRDefault="009243CD">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La </w:t>
      </w:r>
      <w:proofErr w:type="spellStart"/>
      <w:r>
        <w:rPr>
          <w:rFonts w:ascii="Times New Roman" w:hAnsi="Times New Roman" w:cs="Times New Roman"/>
          <w:sz w:val="24"/>
          <w:szCs w:val="24"/>
        </w:rPr>
        <w:t>Porta</w:t>
      </w:r>
      <w:proofErr w:type="spellEnd"/>
      <w:r>
        <w:rPr>
          <w:rFonts w:ascii="Times New Roman" w:hAnsi="Times New Roman" w:cs="Times New Roman"/>
          <w:sz w:val="24"/>
          <w:szCs w:val="24"/>
        </w:rPr>
        <w:t>, R., Lopez-de-</w:t>
      </w:r>
      <w:proofErr w:type="spellStart"/>
      <w:r>
        <w:rPr>
          <w:rFonts w:ascii="Times New Roman" w:hAnsi="Times New Roman" w:cs="Times New Roman"/>
          <w:sz w:val="24"/>
          <w:szCs w:val="24"/>
        </w:rPr>
        <w:t>Silanes</w:t>
      </w:r>
      <w:proofErr w:type="spellEnd"/>
      <w:r>
        <w:rPr>
          <w:rFonts w:ascii="Times New Roman" w:hAnsi="Times New Roman" w:cs="Times New Roman"/>
          <w:sz w:val="24"/>
          <w:szCs w:val="24"/>
        </w:rPr>
        <w:t xml:space="preserve">, F., &amp; </w:t>
      </w:r>
      <w:proofErr w:type="spellStart"/>
      <w:r>
        <w:rPr>
          <w:rFonts w:ascii="Times New Roman" w:hAnsi="Times New Roman" w:cs="Times New Roman"/>
          <w:sz w:val="24"/>
          <w:szCs w:val="24"/>
        </w:rPr>
        <w:t>Shleifer</w:t>
      </w:r>
      <w:proofErr w:type="spellEnd"/>
      <w:r>
        <w:rPr>
          <w:rFonts w:ascii="Times New Roman" w:hAnsi="Times New Roman" w:cs="Times New Roman"/>
          <w:sz w:val="24"/>
          <w:szCs w:val="24"/>
        </w:rPr>
        <w:t xml:space="preserve">, A. (2002). </w:t>
      </w:r>
      <w:proofErr w:type="gramStart"/>
      <w:r>
        <w:rPr>
          <w:rFonts w:ascii="Times New Roman" w:hAnsi="Times New Roman" w:cs="Times New Roman"/>
          <w:sz w:val="24"/>
          <w:szCs w:val="24"/>
        </w:rPr>
        <w:t>Investor protection and corporate valuation.</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The Journal of Finance</w:t>
      </w:r>
      <w:r>
        <w:rPr>
          <w:rFonts w:ascii="Times New Roman" w:hAnsi="Times New Roman" w:cs="Times New Roman"/>
          <w:sz w:val="24"/>
          <w:szCs w:val="24"/>
        </w:rPr>
        <w:t xml:space="preserve">, 57(3), 1147–1170. </w:t>
      </w:r>
      <w:hyperlink r:id="rId15" w:history="1">
        <w:r>
          <w:rPr>
            <w:rStyle w:val="Hyperlink"/>
            <w:rFonts w:ascii="Times New Roman" w:hAnsi="Times New Roman" w:cs="Times New Roman"/>
            <w:sz w:val="24"/>
            <w:szCs w:val="24"/>
          </w:rPr>
          <w:t>https://doi.org/10.1111/1540-6261.00457</w:t>
        </w:r>
      </w:hyperlink>
    </w:p>
    <w:p w:rsidR="00477E52" w:rsidRDefault="009243CD">
      <w:pPr>
        <w:spacing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Li, F., &amp; Liu, Y. (2022).</w:t>
      </w:r>
      <w:proofErr w:type="gramEnd"/>
      <w:r>
        <w:rPr>
          <w:rFonts w:ascii="Times New Roman" w:hAnsi="Times New Roman" w:cs="Times New Roman"/>
          <w:sz w:val="24"/>
          <w:szCs w:val="24"/>
        </w:rPr>
        <w:t xml:space="preserve"> Foreign ownership and firm </w:t>
      </w:r>
      <w:proofErr w:type="spellStart"/>
      <w:r>
        <w:rPr>
          <w:rFonts w:ascii="Times New Roman" w:hAnsi="Times New Roman" w:cs="Times New Roman"/>
          <w:sz w:val="24"/>
          <w:szCs w:val="24"/>
        </w:rPr>
        <w:t>behavior</w:t>
      </w:r>
      <w:proofErr w:type="spellEnd"/>
      <w:r>
        <w:rPr>
          <w:rFonts w:ascii="Times New Roman" w:hAnsi="Times New Roman" w:cs="Times New Roman"/>
          <w:sz w:val="24"/>
          <w:szCs w:val="24"/>
        </w:rPr>
        <w:t xml:space="preserve">: A conceptual clarification. </w:t>
      </w:r>
      <w:r>
        <w:rPr>
          <w:rFonts w:ascii="Times New Roman" w:hAnsi="Times New Roman" w:cs="Times New Roman"/>
          <w:i/>
          <w:iCs/>
          <w:sz w:val="24"/>
          <w:szCs w:val="24"/>
        </w:rPr>
        <w:t>Asian Journal of Business Research</w:t>
      </w:r>
      <w:r>
        <w:rPr>
          <w:rFonts w:ascii="Times New Roman" w:hAnsi="Times New Roman" w:cs="Times New Roman"/>
          <w:sz w:val="24"/>
          <w:szCs w:val="24"/>
        </w:rPr>
        <w:t>, 12(1), 23–38.</w:t>
      </w:r>
    </w:p>
    <w:p w:rsidR="00477E52" w:rsidRDefault="009243CD">
      <w:pPr>
        <w:spacing w:line="240" w:lineRule="auto"/>
        <w:ind w:left="567" w:hanging="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Mangena</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Tauringana</w:t>
      </w:r>
      <w:proofErr w:type="spellEnd"/>
      <w:r>
        <w:rPr>
          <w:rFonts w:ascii="Times New Roman" w:hAnsi="Times New Roman" w:cs="Times New Roman"/>
          <w:sz w:val="24"/>
          <w:szCs w:val="24"/>
        </w:rPr>
        <w:t xml:space="preserve">, V., &amp; </w:t>
      </w:r>
      <w:proofErr w:type="spellStart"/>
      <w:r>
        <w:rPr>
          <w:rFonts w:ascii="Times New Roman" w:hAnsi="Times New Roman" w:cs="Times New Roman"/>
          <w:sz w:val="24"/>
          <w:szCs w:val="24"/>
        </w:rPr>
        <w:t>Chamisa</w:t>
      </w:r>
      <w:proofErr w:type="spellEnd"/>
      <w:r>
        <w:rPr>
          <w:rFonts w:ascii="Times New Roman" w:hAnsi="Times New Roman" w:cs="Times New Roman"/>
          <w:sz w:val="24"/>
          <w:szCs w:val="24"/>
        </w:rPr>
        <w:t>, E. (2012).</w:t>
      </w:r>
      <w:proofErr w:type="gramEnd"/>
      <w:r>
        <w:rPr>
          <w:rFonts w:ascii="Times New Roman" w:hAnsi="Times New Roman" w:cs="Times New Roman"/>
          <w:sz w:val="24"/>
          <w:szCs w:val="24"/>
        </w:rPr>
        <w:t xml:space="preserve"> Corporate boards, ownership structure and firm performance in</w:t>
      </w:r>
      <w:r>
        <w:rPr>
          <w:rFonts w:ascii="Times New Roman" w:hAnsi="Times New Roman" w:cs="Times New Roman"/>
          <w:sz w:val="24"/>
          <w:szCs w:val="24"/>
        </w:rPr>
        <w:t xml:space="preserve"> an environment of severe political and economic crisis. </w:t>
      </w:r>
      <w:r>
        <w:rPr>
          <w:rFonts w:ascii="Times New Roman" w:hAnsi="Times New Roman" w:cs="Times New Roman"/>
          <w:i/>
          <w:iCs/>
          <w:sz w:val="24"/>
          <w:szCs w:val="24"/>
        </w:rPr>
        <w:t>British Journal of Accounting and Finance</w:t>
      </w:r>
      <w:r>
        <w:rPr>
          <w:rFonts w:ascii="Times New Roman" w:hAnsi="Times New Roman" w:cs="Times New Roman"/>
          <w:sz w:val="24"/>
          <w:szCs w:val="24"/>
        </w:rPr>
        <w:t>, 44(1), 123–143.</w:t>
      </w:r>
    </w:p>
    <w:p w:rsidR="00477E52" w:rsidRDefault="009243CD">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Musa, H. (2024). Ownership structure and corporate environmental disclosure: Evidence from Nigeria. </w:t>
      </w:r>
      <w:r>
        <w:rPr>
          <w:rFonts w:ascii="Times New Roman" w:hAnsi="Times New Roman" w:cs="Times New Roman"/>
          <w:i/>
          <w:iCs/>
          <w:sz w:val="24"/>
          <w:szCs w:val="24"/>
        </w:rPr>
        <w:t>African Journal of Accounting and Sustai</w:t>
      </w:r>
      <w:r>
        <w:rPr>
          <w:rFonts w:ascii="Times New Roman" w:hAnsi="Times New Roman" w:cs="Times New Roman"/>
          <w:i/>
          <w:iCs/>
          <w:sz w:val="24"/>
          <w:szCs w:val="24"/>
        </w:rPr>
        <w:t>nability, 10</w:t>
      </w:r>
      <w:r>
        <w:rPr>
          <w:rFonts w:ascii="Times New Roman" w:hAnsi="Times New Roman" w:cs="Times New Roman"/>
          <w:sz w:val="24"/>
          <w:szCs w:val="24"/>
        </w:rPr>
        <w:t>(2), 78–99.</w:t>
      </w:r>
    </w:p>
    <w:p w:rsidR="00477E52" w:rsidRDefault="009243CD">
      <w:pPr>
        <w:spacing w:line="240" w:lineRule="auto"/>
        <w:ind w:left="567" w:hanging="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Musacchio</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Lazzarini</w:t>
      </w:r>
      <w:proofErr w:type="spellEnd"/>
      <w:r>
        <w:rPr>
          <w:rFonts w:ascii="Times New Roman" w:hAnsi="Times New Roman" w:cs="Times New Roman"/>
          <w:sz w:val="24"/>
          <w:szCs w:val="24"/>
        </w:rPr>
        <w:t>, S. G. (2014).</w:t>
      </w:r>
      <w:proofErr w:type="gramEnd"/>
      <w:r>
        <w:rPr>
          <w:rFonts w:ascii="Times New Roman" w:hAnsi="Times New Roman" w:cs="Times New Roman"/>
          <w:sz w:val="24"/>
          <w:szCs w:val="24"/>
        </w:rPr>
        <w:t xml:space="preserve"> </w:t>
      </w:r>
      <w:proofErr w:type="gramStart"/>
      <w:r>
        <w:rPr>
          <w:rFonts w:ascii="Times New Roman" w:hAnsi="Times New Roman" w:cs="Times New Roman"/>
          <w:i/>
          <w:iCs/>
          <w:sz w:val="24"/>
          <w:szCs w:val="24"/>
        </w:rPr>
        <w:t>Reinventing state capitalism: Leviathan in business, Brazil and beyond</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Harvard University Press.</w:t>
      </w:r>
      <w:proofErr w:type="gramEnd"/>
    </w:p>
    <w:p w:rsidR="00477E52" w:rsidRDefault="009243CD">
      <w:pPr>
        <w:spacing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Nguyen, Q. T., Yip, N., &amp; Tran, B. T. (2022).</w:t>
      </w:r>
      <w:proofErr w:type="gramEnd"/>
      <w:r>
        <w:rPr>
          <w:rFonts w:ascii="Times New Roman" w:hAnsi="Times New Roman" w:cs="Times New Roman"/>
          <w:sz w:val="24"/>
          <w:szCs w:val="24"/>
        </w:rPr>
        <w:t xml:space="preserve"> Foreign ownership and firm productivity: Evide</w:t>
      </w:r>
      <w:r>
        <w:rPr>
          <w:rFonts w:ascii="Times New Roman" w:hAnsi="Times New Roman" w:cs="Times New Roman"/>
          <w:sz w:val="24"/>
          <w:szCs w:val="24"/>
        </w:rPr>
        <w:t xml:space="preserve">nce from ASEAN emerging markets. </w:t>
      </w:r>
      <w:r>
        <w:rPr>
          <w:rFonts w:ascii="Times New Roman" w:hAnsi="Times New Roman" w:cs="Times New Roman"/>
          <w:i/>
          <w:iCs/>
          <w:sz w:val="24"/>
          <w:szCs w:val="24"/>
        </w:rPr>
        <w:t>Asia Pacific Journal of Management</w:t>
      </w:r>
      <w:r>
        <w:rPr>
          <w:rFonts w:ascii="Times New Roman" w:hAnsi="Times New Roman" w:cs="Times New Roman"/>
          <w:sz w:val="24"/>
          <w:szCs w:val="24"/>
        </w:rPr>
        <w:t xml:space="preserve">, 39(2), 519–543. </w:t>
      </w:r>
      <w:hyperlink r:id="rId16" w:history="1">
        <w:r>
          <w:rPr>
            <w:rStyle w:val="Hyperlink"/>
            <w:rFonts w:ascii="Times New Roman" w:hAnsi="Times New Roman" w:cs="Times New Roman"/>
            <w:sz w:val="24"/>
            <w:szCs w:val="24"/>
          </w:rPr>
          <w:t>https://doi.org/10.1007/s10490-021-09739-1</w:t>
        </w:r>
      </w:hyperlink>
    </w:p>
    <w:p w:rsidR="00477E52" w:rsidRDefault="009243CD">
      <w:pPr>
        <w:spacing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Nguyen, T. T., &amp; van </w:t>
      </w:r>
      <w:proofErr w:type="spellStart"/>
      <w:r>
        <w:rPr>
          <w:rFonts w:ascii="Times New Roman" w:hAnsi="Times New Roman" w:cs="Times New Roman"/>
          <w:sz w:val="24"/>
          <w:szCs w:val="24"/>
        </w:rPr>
        <w:t>Dijk</w:t>
      </w:r>
      <w:proofErr w:type="spellEnd"/>
      <w:r>
        <w:rPr>
          <w:rFonts w:ascii="Times New Roman" w:hAnsi="Times New Roman" w:cs="Times New Roman"/>
          <w:sz w:val="24"/>
          <w:szCs w:val="24"/>
        </w:rPr>
        <w:t>, M. A. (2020).</w:t>
      </w:r>
      <w:proofErr w:type="gramEnd"/>
      <w:r>
        <w:rPr>
          <w:rFonts w:ascii="Times New Roman" w:hAnsi="Times New Roman" w:cs="Times New Roman"/>
          <w:sz w:val="24"/>
          <w:szCs w:val="24"/>
        </w:rPr>
        <w:t xml:space="preserve"> The impact of ownership stru</w:t>
      </w:r>
      <w:r>
        <w:rPr>
          <w:rFonts w:ascii="Times New Roman" w:hAnsi="Times New Roman" w:cs="Times New Roman"/>
          <w:sz w:val="24"/>
          <w:szCs w:val="24"/>
        </w:rPr>
        <w:t xml:space="preserve">cture on firm value: Empirical evidence from Vietnam. </w:t>
      </w:r>
      <w:r>
        <w:rPr>
          <w:rFonts w:ascii="Times New Roman" w:hAnsi="Times New Roman" w:cs="Times New Roman"/>
          <w:i/>
          <w:iCs/>
          <w:sz w:val="24"/>
          <w:szCs w:val="24"/>
        </w:rPr>
        <w:t>Emerging Markets Finance and Trade</w:t>
      </w:r>
      <w:r>
        <w:rPr>
          <w:rFonts w:ascii="Times New Roman" w:hAnsi="Times New Roman" w:cs="Times New Roman"/>
          <w:sz w:val="24"/>
          <w:szCs w:val="24"/>
        </w:rPr>
        <w:t xml:space="preserve">, 56(2), 354–371. </w:t>
      </w:r>
      <w:hyperlink r:id="rId17" w:history="1">
        <w:r>
          <w:rPr>
            <w:rStyle w:val="Hyperlink"/>
            <w:rFonts w:ascii="Times New Roman" w:hAnsi="Times New Roman" w:cs="Times New Roman"/>
            <w:sz w:val="24"/>
            <w:szCs w:val="24"/>
          </w:rPr>
          <w:t>https://doi.org/10.1080/1540496X.2019.1658066</w:t>
        </w:r>
      </w:hyperlink>
    </w:p>
    <w:p w:rsidR="00477E52" w:rsidRDefault="009243CD">
      <w:pPr>
        <w:spacing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Nyberg, A. J., &amp; Fulmer, I. S. (2022).</w:t>
      </w:r>
      <w:proofErr w:type="gramEnd"/>
      <w:r>
        <w:rPr>
          <w:rFonts w:ascii="Times New Roman" w:hAnsi="Times New Roman" w:cs="Times New Roman"/>
          <w:sz w:val="24"/>
          <w:szCs w:val="24"/>
        </w:rPr>
        <w:t xml:space="preserve"> Cor</w:t>
      </w:r>
      <w:r>
        <w:rPr>
          <w:rFonts w:ascii="Times New Roman" w:hAnsi="Times New Roman" w:cs="Times New Roman"/>
          <w:sz w:val="24"/>
          <w:szCs w:val="24"/>
        </w:rPr>
        <w:t xml:space="preserve">porate governance and firm value: A resource-dependence perspective. </w:t>
      </w:r>
      <w:r>
        <w:rPr>
          <w:rFonts w:ascii="Times New Roman" w:hAnsi="Times New Roman" w:cs="Times New Roman"/>
          <w:i/>
          <w:iCs/>
          <w:sz w:val="24"/>
          <w:szCs w:val="24"/>
        </w:rPr>
        <w:t>Academy of Management Perspectives</w:t>
      </w:r>
      <w:r>
        <w:rPr>
          <w:rFonts w:ascii="Times New Roman" w:hAnsi="Times New Roman" w:cs="Times New Roman"/>
          <w:sz w:val="24"/>
          <w:szCs w:val="24"/>
        </w:rPr>
        <w:t xml:space="preserve">, 36(1), 56–74. </w:t>
      </w:r>
      <w:hyperlink r:id="rId18" w:history="1">
        <w:r>
          <w:rPr>
            <w:rStyle w:val="Hyperlink"/>
            <w:rFonts w:ascii="Times New Roman" w:hAnsi="Times New Roman" w:cs="Times New Roman"/>
            <w:sz w:val="24"/>
            <w:szCs w:val="24"/>
          </w:rPr>
          <w:t>https://doi.org/10.5465/amp.2019.0010</w:t>
        </w:r>
      </w:hyperlink>
    </w:p>
    <w:p w:rsidR="00477E52" w:rsidRDefault="009243CD">
      <w:pPr>
        <w:spacing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Ochieng</w:t>
      </w:r>
      <w:proofErr w:type="spellEnd"/>
      <w:r>
        <w:rPr>
          <w:rFonts w:ascii="Times New Roman" w:hAnsi="Times New Roman" w:cs="Times New Roman"/>
          <w:sz w:val="24"/>
          <w:szCs w:val="24"/>
        </w:rPr>
        <w:t>, D. O., &amp; Ahmed, A. H. (2021). Owners</w:t>
      </w:r>
      <w:r>
        <w:rPr>
          <w:rFonts w:ascii="Times New Roman" w:hAnsi="Times New Roman" w:cs="Times New Roman"/>
          <w:sz w:val="24"/>
          <w:szCs w:val="24"/>
        </w:rPr>
        <w:t xml:space="preserve">hip structure and firm performance: Evidence from listed firms in Kenya. </w:t>
      </w:r>
      <w:r>
        <w:rPr>
          <w:rFonts w:ascii="Times New Roman" w:hAnsi="Times New Roman" w:cs="Times New Roman"/>
          <w:i/>
          <w:iCs/>
          <w:sz w:val="24"/>
          <w:szCs w:val="24"/>
        </w:rPr>
        <w:t>African Journal of Economic Policy</w:t>
      </w:r>
      <w:r>
        <w:rPr>
          <w:rFonts w:ascii="Times New Roman" w:hAnsi="Times New Roman" w:cs="Times New Roman"/>
          <w:sz w:val="24"/>
          <w:szCs w:val="24"/>
        </w:rPr>
        <w:t>, 28(1), 45–62.</w:t>
      </w:r>
    </w:p>
    <w:p w:rsidR="00477E52" w:rsidRDefault="009243CD">
      <w:pPr>
        <w:spacing w:line="240" w:lineRule="auto"/>
        <w:ind w:left="567" w:hanging="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Odeh</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Deshi</w:t>
      </w:r>
      <w:proofErr w:type="spellEnd"/>
      <w:r>
        <w:rPr>
          <w:rFonts w:ascii="Times New Roman" w:hAnsi="Times New Roman" w:cs="Times New Roman"/>
          <w:sz w:val="24"/>
          <w:szCs w:val="24"/>
        </w:rPr>
        <w:t>, N. N. (2025).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Effect of Ownership Structure on the Failure of Listed Commercial Banks in Nigeria.</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Indiana Journal of</w:t>
      </w:r>
      <w:r>
        <w:rPr>
          <w:rFonts w:ascii="Times New Roman" w:hAnsi="Times New Roman" w:cs="Times New Roman"/>
          <w:i/>
          <w:iCs/>
          <w:sz w:val="24"/>
          <w:szCs w:val="24"/>
        </w:rPr>
        <w:t xml:space="preserve"> Economics and Business Management,</w:t>
      </w:r>
      <w:r>
        <w:rPr>
          <w:rFonts w:ascii="Times New Roman" w:hAnsi="Times New Roman" w:cs="Times New Roman"/>
          <w:sz w:val="24"/>
          <w:szCs w:val="24"/>
        </w:rPr>
        <w:t xml:space="preserve"> 5(3), 44-56.</w:t>
      </w:r>
    </w:p>
    <w:p w:rsidR="00477E52" w:rsidRDefault="009243CD">
      <w:pPr>
        <w:spacing w:line="240" w:lineRule="auto"/>
        <w:ind w:left="567" w:hanging="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Okeke</w:t>
      </w:r>
      <w:proofErr w:type="spellEnd"/>
      <w:r>
        <w:rPr>
          <w:rFonts w:ascii="Times New Roman" w:hAnsi="Times New Roman" w:cs="Times New Roman"/>
          <w:sz w:val="24"/>
          <w:szCs w:val="24"/>
        </w:rPr>
        <w:t xml:space="preserve">, I. C., </w:t>
      </w:r>
      <w:proofErr w:type="spellStart"/>
      <w:r>
        <w:rPr>
          <w:rFonts w:ascii="Times New Roman" w:hAnsi="Times New Roman" w:cs="Times New Roman"/>
          <w:sz w:val="24"/>
          <w:szCs w:val="24"/>
        </w:rPr>
        <w:t>Chidi-Okeke</w:t>
      </w:r>
      <w:proofErr w:type="spellEnd"/>
      <w:r>
        <w:rPr>
          <w:rFonts w:ascii="Times New Roman" w:hAnsi="Times New Roman" w:cs="Times New Roman"/>
          <w:sz w:val="24"/>
          <w:szCs w:val="24"/>
        </w:rPr>
        <w:t xml:space="preserve"> C. N., &amp; </w:t>
      </w:r>
      <w:proofErr w:type="spellStart"/>
      <w:r>
        <w:rPr>
          <w:rFonts w:ascii="Times New Roman" w:hAnsi="Times New Roman" w:cs="Times New Roman"/>
          <w:sz w:val="24"/>
          <w:szCs w:val="24"/>
        </w:rPr>
        <w:t>Obialo</w:t>
      </w:r>
      <w:proofErr w:type="spellEnd"/>
      <w:r>
        <w:rPr>
          <w:rFonts w:ascii="Times New Roman" w:hAnsi="Times New Roman" w:cs="Times New Roman"/>
          <w:sz w:val="24"/>
          <w:szCs w:val="24"/>
        </w:rPr>
        <w:t>, K. R., (2025).</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Effect of Capital Adequacy on the Profitability of Deposit Money Banks in Nigeria.</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International Journal of Research and Innovation in Social Sci</w:t>
      </w:r>
      <w:r>
        <w:rPr>
          <w:rFonts w:ascii="Times New Roman" w:hAnsi="Times New Roman" w:cs="Times New Roman"/>
          <w:i/>
          <w:iCs/>
          <w:sz w:val="24"/>
          <w:szCs w:val="24"/>
        </w:rPr>
        <w:t>ence (IJRISS),</w:t>
      </w:r>
      <w:r>
        <w:rPr>
          <w:rFonts w:ascii="Times New Roman" w:hAnsi="Times New Roman" w:cs="Times New Roman"/>
          <w:sz w:val="24"/>
          <w:szCs w:val="24"/>
        </w:rPr>
        <w:t xml:space="preserve"> Volume IX Issue X, 494-506.</w:t>
      </w:r>
    </w:p>
    <w:p w:rsidR="00477E52" w:rsidRDefault="009243CD">
      <w:pPr>
        <w:spacing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Okike</w:t>
      </w:r>
      <w:proofErr w:type="spellEnd"/>
      <w:r>
        <w:rPr>
          <w:rFonts w:ascii="Times New Roman" w:hAnsi="Times New Roman" w:cs="Times New Roman"/>
          <w:sz w:val="24"/>
          <w:szCs w:val="24"/>
        </w:rPr>
        <w:t xml:space="preserve">, E. N. M. (2007). Corporate governance in Nigeria: The status quo. </w:t>
      </w:r>
      <w:r>
        <w:rPr>
          <w:rFonts w:ascii="Times New Roman" w:hAnsi="Times New Roman" w:cs="Times New Roman"/>
          <w:i/>
          <w:iCs/>
          <w:sz w:val="24"/>
          <w:szCs w:val="24"/>
        </w:rPr>
        <w:t>Corporate Governance: An International Review</w:t>
      </w:r>
      <w:r>
        <w:rPr>
          <w:rFonts w:ascii="Times New Roman" w:hAnsi="Times New Roman" w:cs="Times New Roman"/>
          <w:sz w:val="24"/>
          <w:szCs w:val="24"/>
        </w:rPr>
        <w:t xml:space="preserve">, 15(2), 173–193. </w:t>
      </w:r>
      <w:hyperlink r:id="rId19" w:history="1">
        <w:r>
          <w:rPr>
            <w:rStyle w:val="Hyperlink"/>
            <w:rFonts w:ascii="Times New Roman" w:hAnsi="Times New Roman" w:cs="Times New Roman"/>
            <w:sz w:val="24"/>
            <w:szCs w:val="24"/>
          </w:rPr>
          <w:t>https://doi.org</w:t>
        </w:r>
        <w:r>
          <w:rPr>
            <w:rStyle w:val="Hyperlink"/>
            <w:rFonts w:ascii="Times New Roman" w:hAnsi="Times New Roman" w:cs="Times New Roman"/>
            <w:sz w:val="24"/>
            <w:szCs w:val="24"/>
          </w:rPr>
          <w:t>/10.1111/j.1467-8683.2007.00553.x</w:t>
        </w:r>
      </w:hyperlink>
    </w:p>
    <w:p w:rsidR="00477E52" w:rsidRDefault="009243CD">
      <w:pPr>
        <w:spacing w:line="240" w:lineRule="auto"/>
        <w:ind w:left="567" w:hanging="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Olayemi</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Uwuigbe</w:t>
      </w:r>
      <w:proofErr w:type="spellEnd"/>
      <w:r>
        <w:rPr>
          <w:rFonts w:ascii="Times New Roman" w:hAnsi="Times New Roman" w:cs="Times New Roman"/>
          <w:sz w:val="24"/>
          <w:szCs w:val="24"/>
        </w:rPr>
        <w:t xml:space="preserve">, U., &amp; </w:t>
      </w:r>
      <w:proofErr w:type="spellStart"/>
      <w:r>
        <w:rPr>
          <w:rFonts w:ascii="Times New Roman" w:hAnsi="Times New Roman" w:cs="Times New Roman"/>
          <w:sz w:val="24"/>
          <w:szCs w:val="24"/>
        </w:rPr>
        <w:t>Ajetunmobi</w:t>
      </w:r>
      <w:proofErr w:type="spellEnd"/>
      <w:r>
        <w:rPr>
          <w:rFonts w:ascii="Times New Roman" w:hAnsi="Times New Roman" w:cs="Times New Roman"/>
          <w:sz w:val="24"/>
          <w:szCs w:val="24"/>
        </w:rPr>
        <w:t>, O. (2023).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Ownership structure and market value of listed Nigerian banks.</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Journal of African Financial Studies</w:t>
      </w:r>
      <w:r>
        <w:rPr>
          <w:rFonts w:ascii="Times New Roman" w:hAnsi="Times New Roman" w:cs="Times New Roman"/>
          <w:sz w:val="24"/>
          <w:szCs w:val="24"/>
        </w:rPr>
        <w:t>, 15(2), 115–130.</w:t>
      </w:r>
    </w:p>
    <w:p w:rsidR="00477E52" w:rsidRDefault="009243CD">
      <w:pPr>
        <w:spacing w:line="240" w:lineRule="auto"/>
        <w:ind w:left="567" w:hanging="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Olokoyo</w:t>
      </w:r>
      <w:proofErr w:type="spellEnd"/>
      <w:r>
        <w:rPr>
          <w:rFonts w:ascii="Times New Roman" w:hAnsi="Times New Roman" w:cs="Times New Roman"/>
          <w:sz w:val="24"/>
          <w:szCs w:val="24"/>
        </w:rPr>
        <w:t xml:space="preserve">, F. O., </w:t>
      </w:r>
      <w:proofErr w:type="spellStart"/>
      <w:r>
        <w:rPr>
          <w:rFonts w:ascii="Times New Roman" w:hAnsi="Times New Roman" w:cs="Times New Roman"/>
          <w:sz w:val="24"/>
          <w:szCs w:val="24"/>
        </w:rPr>
        <w:t>Osuma</w:t>
      </w:r>
      <w:proofErr w:type="spellEnd"/>
      <w:r>
        <w:rPr>
          <w:rFonts w:ascii="Times New Roman" w:hAnsi="Times New Roman" w:cs="Times New Roman"/>
          <w:sz w:val="24"/>
          <w:szCs w:val="24"/>
        </w:rPr>
        <w:t>, G. O.,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Salako</w:t>
      </w:r>
      <w:proofErr w:type="spellEnd"/>
      <w:r>
        <w:rPr>
          <w:rFonts w:ascii="Times New Roman" w:hAnsi="Times New Roman" w:cs="Times New Roman"/>
          <w:sz w:val="24"/>
          <w:szCs w:val="24"/>
        </w:rPr>
        <w:t>, O. A. (2021).</w:t>
      </w:r>
      <w:proofErr w:type="gramEnd"/>
      <w:r>
        <w:rPr>
          <w:rFonts w:ascii="Times New Roman" w:hAnsi="Times New Roman" w:cs="Times New Roman"/>
          <w:sz w:val="24"/>
          <w:szCs w:val="24"/>
        </w:rPr>
        <w:t xml:space="preserve"> Ownership structure and firm performance: Evidence from listed non-financial firms in Nigeria. </w:t>
      </w:r>
      <w:r>
        <w:rPr>
          <w:rFonts w:ascii="Times New Roman" w:hAnsi="Times New Roman" w:cs="Times New Roman"/>
          <w:i/>
          <w:iCs/>
          <w:sz w:val="24"/>
          <w:szCs w:val="24"/>
        </w:rPr>
        <w:t>Journal of Financial Reporting and Accounting</w:t>
      </w:r>
      <w:r>
        <w:rPr>
          <w:rFonts w:ascii="Times New Roman" w:hAnsi="Times New Roman" w:cs="Times New Roman"/>
          <w:sz w:val="24"/>
          <w:szCs w:val="24"/>
        </w:rPr>
        <w:t xml:space="preserve">, 19(1), 105–124. </w:t>
      </w:r>
      <w:hyperlink r:id="rId20" w:history="1">
        <w:r>
          <w:rPr>
            <w:rStyle w:val="Hyperlink"/>
            <w:rFonts w:ascii="Times New Roman" w:hAnsi="Times New Roman" w:cs="Times New Roman"/>
            <w:sz w:val="24"/>
            <w:szCs w:val="24"/>
          </w:rPr>
          <w:t>https://doi.org/10.1</w:t>
        </w:r>
        <w:r>
          <w:rPr>
            <w:rStyle w:val="Hyperlink"/>
            <w:rFonts w:ascii="Times New Roman" w:hAnsi="Times New Roman" w:cs="Times New Roman"/>
            <w:sz w:val="24"/>
            <w:szCs w:val="24"/>
          </w:rPr>
          <w:t>108/JFRA-06-2020-0141</w:t>
        </w:r>
      </w:hyperlink>
    </w:p>
    <w:p w:rsidR="00477E52" w:rsidRDefault="009243CD">
      <w:pPr>
        <w:spacing w:line="240" w:lineRule="auto"/>
        <w:ind w:left="567" w:hanging="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Purnomo</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Siregar</w:t>
      </w:r>
      <w:proofErr w:type="spellEnd"/>
      <w:r>
        <w:rPr>
          <w:rFonts w:ascii="Times New Roman" w:hAnsi="Times New Roman" w:cs="Times New Roman"/>
          <w:sz w:val="24"/>
          <w:szCs w:val="24"/>
        </w:rPr>
        <w:t xml:space="preserve">, S. V., &amp; </w:t>
      </w:r>
      <w:proofErr w:type="spellStart"/>
      <w:r>
        <w:rPr>
          <w:rFonts w:ascii="Times New Roman" w:hAnsi="Times New Roman" w:cs="Times New Roman"/>
          <w:sz w:val="24"/>
          <w:szCs w:val="24"/>
        </w:rPr>
        <w:t>Wahyuni</w:t>
      </w:r>
      <w:proofErr w:type="spellEnd"/>
      <w:r>
        <w:rPr>
          <w:rFonts w:ascii="Times New Roman" w:hAnsi="Times New Roman" w:cs="Times New Roman"/>
          <w:sz w:val="24"/>
          <w:szCs w:val="24"/>
        </w:rPr>
        <w:t>, E. T. (2025).</w:t>
      </w:r>
      <w:proofErr w:type="gramEnd"/>
      <w:r>
        <w:rPr>
          <w:rFonts w:ascii="Times New Roman" w:hAnsi="Times New Roman" w:cs="Times New Roman"/>
          <w:sz w:val="24"/>
          <w:szCs w:val="24"/>
        </w:rPr>
        <w:t xml:space="preserve"> Sharia compliance and managerial ownership: Impact on financial performance in Indonesia. </w:t>
      </w:r>
      <w:r>
        <w:rPr>
          <w:rFonts w:ascii="Times New Roman" w:hAnsi="Times New Roman" w:cs="Times New Roman"/>
          <w:i/>
          <w:iCs/>
          <w:sz w:val="24"/>
          <w:szCs w:val="24"/>
        </w:rPr>
        <w:t>Asian Journal of Islamic Finance, 7</w:t>
      </w:r>
      <w:r>
        <w:rPr>
          <w:rFonts w:ascii="Times New Roman" w:hAnsi="Times New Roman" w:cs="Times New Roman"/>
          <w:sz w:val="24"/>
          <w:szCs w:val="24"/>
        </w:rPr>
        <w:t>(1), 15–33.</w:t>
      </w:r>
    </w:p>
    <w:p w:rsidR="00477E52" w:rsidRDefault="009243CD">
      <w:pPr>
        <w:spacing w:line="240" w:lineRule="auto"/>
        <w:ind w:left="567" w:hanging="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Rahman</w:t>
      </w:r>
      <w:proofErr w:type="spellEnd"/>
      <w:r>
        <w:rPr>
          <w:rFonts w:ascii="Times New Roman" w:hAnsi="Times New Roman" w:cs="Times New Roman"/>
          <w:sz w:val="24"/>
          <w:szCs w:val="24"/>
        </w:rPr>
        <w:t xml:space="preserve">, M. M., </w:t>
      </w:r>
      <w:proofErr w:type="spellStart"/>
      <w:r>
        <w:rPr>
          <w:rFonts w:ascii="Times New Roman" w:hAnsi="Times New Roman" w:cs="Times New Roman"/>
          <w:sz w:val="24"/>
          <w:szCs w:val="24"/>
        </w:rPr>
        <w:t>Mamun</w:t>
      </w:r>
      <w:proofErr w:type="spellEnd"/>
      <w:r>
        <w:rPr>
          <w:rFonts w:ascii="Times New Roman" w:hAnsi="Times New Roman" w:cs="Times New Roman"/>
          <w:sz w:val="24"/>
          <w:szCs w:val="24"/>
        </w:rPr>
        <w:t>, A. A., &amp; Islam, M.</w:t>
      </w:r>
      <w:r>
        <w:rPr>
          <w:rFonts w:ascii="Times New Roman" w:hAnsi="Times New Roman" w:cs="Times New Roman"/>
          <w:sz w:val="24"/>
          <w:szCs w:val="24"/>
        </w:rPr>
        <w:t xml:space="preserve"> A. (2020).</w:t>
      </w:r>
      <w:proofErr w:type="gramEnd"/>
      <w:r>
        <w:rPr>
          <w:rFonts w:ascii="Times New Roman" w:hAnsi="Times New Roman" w:cs="Times New Roman"/>
          <w:sz w:val="24"/>
          <w:szCs w:val="24"/>
        </w:rPr>
        <w:t xml:space="preserve"> Board characteristics and firm performance: Evidence from an emerging economy. </w:t>
      </w:r>
      <w:r>
        <w:rPr>
          <w:rFonts w:ascii="Times New Roman" w:hAnsi="Times New Roman" w:cs="Times New Roman"/>
          <w:i/>
          <w:iCs/>
          <w:sz w:val="24"/>
          <w:szCs w:val="24"/>
        </w:rPr>
        <w:t>Journal of Economic and Administrative Sciences, 36</w:t>
      </w:r>
      <w:r>
        <w:rPr>
          <w:rFonts w:ascii="Times New Roman" w:hAnsi="Times New Roman" w:cs="Times New Roman"/>
          <w:sz w:val="24"/>
          <w:szCs w:val="24"/>
        </w:rPr>
        <w:t>(3), 226–245.</w:t>
      </w:r>
    </w:p>
    <w:p w:rsidR="00477E52" w:rsidRDefault="009243CD">
      <w:pPr>
        <w:spacing w:line="240" w:lineRule="auto"/>
        <w:ind w:left="567" w:hanging="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Rahman</w:t>
      </w:r>
      <w:proofErr w:type="spellEnd"/>
      <w:r>
        <w:rPr>
          <w:rFonts w:ascii="Times New Roman" w:hAnsi="Times New Roman" w:cs="Times New Roman"/>
          <w:sz w:val="24"/>
          <w:szCs w:val="24"/>
        </w:rPr>
        <w:t xml:space="preserve">, M. M., </w:t>
      </w:r>
      <w:proofErr w:type="spellStart"/>
      <w:r>
        <w:rPr>
          <w:rFonts w:ascii="Times New Roman" w:hAnsi="Times New Roman" w:cs="Times New Roman"/>
          <w:sz w:val="24"/>
          <w:szCs w:val="24"/>
        </w:rPr>
        <w:t>Uddin</w:t>
      </w:r>
      <w:proofErr w:type="spellEnd"/>
      <w:r>
        <w:rPr>
          <w:rFonts w:ascii="Times New Roman" w:hAnsi="Times New Roman" w:cs="Times New Roman"/>
          <w:sz w:val="24"/>
          <w:szCs w:val="24"/>
        </w:rPr>
        <w:t>, S. M., &amp; Sultana, T. (2022).</w:t>
      </w:r>
      <w:proofErr w:type="gramEnd"/>
      <w:r>
        <w:rPr>
          <w:rFonts w:ascii="Times New Roman" w:hAnsi="Times New Roman" w:cs="Times New Roman"/>
          <w:sz w:val="24"/>
          <w:szCs w:val="24"/>
        </w:rPr>
        <w:t xml:space="preserve"> Institutional ownership and corporate sustainabil</w:t>
      </w:r>
      <w:r>
        <w:rPr>
          <w:rFonts w:ascii="Times New Roman" w:hAnsi="Times New Roman" w:cs="Times New Roman"/>
          <w:sz w:val="24"/>
          <w:szCs w:val="24"/>
        </w:rPr>
        <w:t xml:space="preserve">ity practices in emerging markets. </w:t>
      </w:r>
      <w:proofErr w:type="gramStart"/>
      <w:r>
        <w:rPr>
          <w:rFonts w:ascii="Times New Roman" w:hAnsi="Times New Roman" w:cs="Times New Roman"/>
          <w:i/>
          <w:iCs/>
          <w:sz w:val="24"/>
          <w:szCs w:val="24"/>
        </w:rPr>
        <w:t>Business Strategy and the Environment</w:t>
      </w:r>
      <w:r>
        <w:rPr>
          <w:rFonts w:ascii="Times New Roman" w:hAnsi="Times New Roman" w:cs="Times New Roman"/>
          <w:sz w:val="24"/>
          <w:szCs w:val="24"/>
        </w:rPr>
        <w:t>, 31(6), 2502–2515.</w:t>
      </w:r>
      <w:proofErr w:type="gramEnd"/>
    </w:p>
    <w:p w:rsidR="00477E52" w:rsidRDefault="009243CD">
      <w:pPr>
        <w:spacing w:line="240" w:lineRule="auto"/>
        <w:ind w:left="567" w:hanging="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Shleifer</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Vishny</w:t>
      </w:r>
      <w:proofErr w:type="spellEnd"/>
      <w:r>
        <w:rPr>
          <w:rFonts w:ascii="Times New Roman" w:hAnsi="Times New Roman" w:cs="Times New Roman"/>
          <w:sz w:val="24"/>
          <w:szCs w:val="24"/>
        </w:rPr>
        <w:t>, R. W. (1997).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 survey of corporate governance.</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The Journal of Finance</w:t>
      </w:r>
      <w:r>
        <w:rPr>
          <w:rFonts w:ascii="Times New Roman" w:hAnsi="Times New Roman" w:cs="Times New Roman"/>
          <w:sz w:val="24"/>
          <w:szCs w:val="24"/>
        </w:rPr>
        <w:t xml:space="preserve">, 52(2), 737–783. </w:t>
      </w:r>
      <w:hyperlink r:id="rId21" w:history="1">
        <w:r>
          <w:rPr>
            <w:rStyle w:val="Hyperlink"/>
            <w:rFonts w:ascii="Times New Roman" w:hAnsi="Times New Roman" w:cs="Times New Roman"/>
            <w:sz w:val="24"/>
            <w:szCs w:val="24"/>
          </w:rPr>
          <w:t>https://doi.org/10.1111/j.1540-6261.1997.tb04820.x</w:t>
        </w:r>
      </w:hyperlink>
    </w:p>
    <w:p w:rsidR="00477E52" w:rsidRDefault="009243CD">
      <w:pPr>
        <w:spacing w:line="240" w:lineRule="auto"/>
        <w:ind w:left="567" w:hanging="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Thanapin</w:t>
      </w:r>
      <w:proofErr w:type="spellEnd"/>
      <w:r>
        <w:rPr>
          <w:rFonts w:ascii="Times New Roman" w:hAnsi="Times New Roman" w:cs="Times New Roman"/>
          <w:sz w:val="24"/>
          <w:szCs w:val="24"/>
        </w:rPr>
        <w:t>, S. (2023).</w:t>
      </w:r>
      <w:proofErr w:type="gramEnd"/>
      <w:r>
        <w:rPr>
          <w:rFonts w:ascii="Times New Roman" w:hAnsi="Times New Roman" w:cs="Times New Roman"/>
          <w:sz w:val="24"/>
          <w:szCs w:val="24"/>
        </w:rPr>
        <w:t xml:space="preserve"> Government and foreign ownership and their impact on firm value: Evidence from Thailand. </w:t>
      </w:r>
      <w:r>
        <w:rPr>
          <w:rFonts w:ascii="Times New Roman" w:hAnsi="Times New Roman" w:cs="Times New Roman"/>
          <w:i/>
          <w:iCs/>
          <w:sz w:val="24"/>
          <w:szCs w:val="24"/>
        </w:rPr>
        <w:t>Southeast Asian Journal of Economics, 14</w:t>
      </w:r>
      <w:r>
        <w:rPr>
          <w:rFonts w:ascii="Times New Roman" w:hAnsi="Times New Roman" w:cs="Times New Roman"/>
          <w:sz w:val="24"/>
          <w:szCs w:val="24"/>
        </w:rPr>
        <w:t>(2), 101–120.</w:t>
      </w:r>
    </w:p>
    <w:p w:rsidR="00477E52" w:rsidRDefault="009243CD">
      <w:pPr>
        <w:spacing w:line="240" w:lineRule="auto"/>
        <w:ind w:left="567" w:hanging="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Uwuigbe</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Uwuigbe</w:t>
      </w:r>
      <w:proofErr w:type="spellEnd"/>
      <w:r>
        <w:rPr>
          <w:rFonts w:ascii="Times New Roman" w:hAnsi="Times New Roman" w:cs="Times New Roman"/>
          <w:sz w:val="24"/>
          <w:szCs w:val="24"/>
        </w:rPr>
        <w:t>, O. R</w:t>
      </w:r>
      <w:r>
        <w:rPr>
          <w:rFonts w:ascii="Times New Roman" w:hAnsi="Times New Roman" w:cs="Times New Roman"/>
          <w:sz w:val="24"/>
          <w:szCs w:val="24"/>
        </w:rPr>
        <w:t xml:space="preserve">., </w:t>
      </w:r>
      <w:proofErr w:type="spellStart"/>
      <w:r>
        <w:rPr>
          <w:rFonts w:ascii="Times New Roman" w:hAnsi="Times New Roman" w:cs="Times New Roman"/>
          <w:sz w:val="24"/>
          <w:szCs w:val="24"/>
        </w:rPr>
        <w:t>Olayemi</w:t>
      </w:r>
      <w:proofErr w:type="spellEnd"/>
      <w:r>
        <w:rPr>
          <w:rFonts w:ascii="Times New Roman" w:hAnsi="Times New Roman" w:cs="Times New Roman"/>
          <w:sz w:val="24"/>
          <w:szCs w:val="24"/>
        </w:rPr>
        <w:t xml:space="preserve">, O., &amp; </w:t>
      </w:r>
      <w:proofErr w:type="spellStart"/>
      <w:r>
        <w:rPr>
          <w:rFonts w:ascii="Times New Roman" w:hAnsi="Times New Roman" w:cs="Times New Roman"/>
          <w:sz w:val="24"/>
          <w:szCs w:val="24"/>
        </w:rPr>
        <w:t>Ajetunmobi</w:t>
      </w:r>
      <w:proofErr w:type="spellEnd"/>
      <w:r>
        <w:rPr>
          <w:rFonts w:ascii="Times New Roman" w:hAnsi="Times New Roman" w:cs="Times New Roman"/>
          <w:sz w:val="24"/>
          <w:szCs w:val="24"/>
        </w:rPr>
        <w:t>, O. (2020).</w:t>
      </w:r>
      <w:proofErr w:type="gramEnd"/>
      <w:r>
        <w:rPr>
          <w:rFonts w:ascii="Times New Roman" w:hAnsi="Times New Roman" w:cs="Times New Roman"/>
          <w:sz w:val="24"/>
          <w:szCs w:val="24"/>
        </w:rPr>
        <w:t xml:space="preserve"> Ownership structure and firm value: The moderating role of firm size. </w:t>
      </w:r>
      <w:r>
        <w:rPr>
          <w:rFonts w:ascii="Times New Roman" w:hAnsi="Times New Roman" w:cs="Times New Roman"/>
          <w:i/>
          <w:iCs/>
          <w:sz w:val="24"/>
          <w:szCs w:val="24"/>
        </w:rPr>
        <w:t>Investment Management and Financial Innovations</w:t>
      </w:r>
      <w:r>
        <w:rPr>
          <w:rFonts w:ascii="Times New Roman" w:hAnsi="Times New Roman" w:cs="Times New Roman"/>
          <w:sz w:val="24"/>
          <w:szCs w:val="24"/>
        </w:rPr>
        <w:t xml:space="preserve">, 17(2), 132–141. </w:t>
      </w:r>
      <w:hyperlink r:id="rId22" w:history="1">
        <w:r>
          <w:rPr>
            <w:rStyle w:val="Hyperlink"/>
            <w:rFonts w:ascii="Times New Roman" w:hAnsi="Times New Roman" w:cs="Times New Roman"/>
            <w:sz w:val="24"/>
            <w:szCs w:val="24"/>
          </w:rPr>
          <w:t>https://doi.org/10.2151</w:t>
        </w:r>
        <w:r>
          <w:rPr>
            <w:rStyle w:val="Hyperlink"/>
            <w:rFonts w:ascii="Times New Roman" w:hAnsi="Times New Roman" w:cs="Times New Roman"/>
            <w:sz w:val="24"/>
            <w:szCs w:val="24"/>
          </w:rPr>
          <w:t>1/imfi.17(2).2020.12</w:t>
        </w:r>
      </w:hyperlink>
    </w:p>
    <w:p w:rsidR="00477E52" w:rsidRDefault="009243CD">
      <w:pPr>
        <w:spacing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 xml:space="preserve">Wang, H., &amp; </w:t>
      </w:r>
      <w:proofErr w:type="spellStart"/>
      <w:r>
        <w:rPr>
          <w:rFonts w:ascii="Times New Roman" w:hAnsi="Times New Roman" w:cs="Times New Roman"/>
          <w:sz w:val="24"/>
          <w:szCs w:val="24"/>
        </w:rPr>
        <w:t>Ang</w:t>
      </w:r>
      <w:proofErr w:type="spellEnd"/>
      <w:r>
        <w:rPr>
          <w:rFonts w:ascii="Times New Roman" w:hAnsi="Times New Roman" w:cs="Times New Roman"/>
          <w:sz w:val="24"/>
          <w:szCs w:val="24"/>
        </w:rPr>
        <w:t>, J. (2022).</w:t>
      </w:r>
      <w:proofErr w:type="gramEnd"/>
      <w:r>
        <w:rPr>
          <w:rFonts w:ascii="Times New Roman" w:hAnsi="Times New Roman" w:cs="Times New Roman"/>
          <w:sz w:val="24"/>
          <w:szCs w:val="24"/>
        </w:rPr>
        <w:t xml:space="preserve"> State ownership and performance: A meta-analytic review. </w:t>
      </w:r>
      <w:proofErr w:type="gramStart"/>
      <w:r>
        <w:rPr>
          <w:rFonts w:ascii="Times New Roman" w:hAnsi="Times New Roman" w:cs="Times New Roman"/>
          <w:i/>
          <w:iCs/>
          <w:sz w:val="24"/>
          <w:szCs w:val="24"/>
        </w:rPr>
        <w:t>Journal of World Business, 57</w:t>
      </w:r>
      <w:r>
        <w:rPr>
          <w:rFonts w:ascii="Times New Roman" w:hAnsi="Times New Roman" w:cs="Times New Roman"/>
          <w:sz w:val="24"/>
          <w:szCs w:val="24"/>
        </w:rPr>
        <w:t>(2), 101276.</w:t>
      </w:r>
      <w:proofErr w:type="gramEnd"/>
      <w:r>
        <w:rPr>
          <w:rFonts w:ascii="Times New Roman" w:hAnsi="Times New Roman" w:cs="Times New Roman"/>
          <w:sz w:val="24"/>
          <w:szCs w:val="24"/>
        </w:rPr>
        <w:t xml:space="preserve"> </w:t>
      </w:r>
      <w:hyperlink r:id="rId23" w:history="1">
        <w:r>
          <w:rPr>
            <w:rStyle w:val="Hyperlink"/>
            <w:rFonts w:ascii="Times New Roman" w:hAnsi="Times New Roman" w:cs="Times New Roman"/>
            <w:sz w:val="24"/>
            <w:szCs w:val="24"/>
          </w:rPr>
          <w:t>https://doi.org/10.1016/j.jwb.2021.101276</w:t>
        </w:r>
      </w:hyperlink>
    </w:p>
    <w:p w:rsidR="00477E52" w:rsidRDefault="009243CD">
      <w:pPr>
        <w:spacing w:line="24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Wernerfelt</w:t>
      </w:r>
      <w:proofErr w:type="spellEnd"/>
      <w:r>
        <w:rPr>
          <w:rFonts w:ascii="Times New Roman" w:hAnsi="Times New Roman" w:cs="Times New Roman"/>
          <w:sz w:val="24"/>
          <w:szCs w:val="24"/>
        </w:rPr>
        <w:t xml:space="preserve">, B. (1984). </w:t>
      </w:r>
      <w:proofErr w:type="gramStart"/>
      <w:r>
        <w:rPr>
          <w:rFonts w:ascii="Times New Roman" w:hAnsi="Times New Roman" w:cs="Times New Roman"/>
          <w:sz w:val="24"/>
          <w:szCs w:val="24"/>
        </w:rPr>
        <w:t>A resource-based view of the firm.</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Strategic Management Journal</w:t>
      </w:r>
      <w:r>
        <w:rPr>
          <w:rFonts w:ascii="Times New Roman" w:hAnsi="Times New Roman" w:cs="Times New Roman"/>
          <w:sz w:val="24"/>
          <w:szCs w:val="24"/>
        </w:rPr>
        <w:t>, 5(2), 171–180.</w:t>
      </w:r>
    </w:p>
    <w:p w:rsidR="00477E52" w:rsidRDefault="009243CD">
      <w:pPr>
        <w:spacing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World Bank.</w:t>
      </w:r>
      <w:proofErr w:type="gramEnd"/>
      <w:r>
        <w:rPr>
          <w:rFonts w:ascii="Times New Roman" w:hAnsi="Times New Roman" w:cs="Times New Roman"/>
          <w:sz w:val="24"/>
          <w:szCs w:val="24"/>
        </w:rPr>
        <w:t xml:space="preserve"> (2020). </w:t>
      </w:r>
      <w:r>
        <w:rPr>
          <w:rFonts w:ascii="Times New Roman" w:hAnsi="Times New Roman" w:cs="Times New Roman"/>
          <w:i/>
          <w:iCs/>
          <w:sz w:val="24"/>
          <w:szCs w:val="24"/>
        </w:rPr>
        <w:t>State-Owned Enterprises: Catalysts for public value creation?</w:t>
      </w:r>
      <w:r>
        <w:rPr>
          <w:rFonts w:ascii="Times New Roman" w:hAnsi="Times New Roman" w:cs="Times New Roman"/>
          <w:sz w:val="24"/>
          <w:szCs w:val="24"/>
        </w:rPr>
        <w:t xml:space="preserve"> Washington, DC: World Bank Publications.</w:t>
      </w:r>
    </w:p>
    <w:p w:rsidR="00477E52" w:rsidRDefault="009243CD">
      <w:pPr>
        <w:spacing w:line="240" w:lineRule="auto"/>
        <w:ind w:left="567" w:hanging="567"/>
        <w:jc w:val="both"/>
        <w:rPr>
          <w:rFonts w:ascii="Times New Roman" w:hAnsi="Times New Roman" w:cs="Times New Roman"/>
          <w:sz w:val="24"/>
          <w:szCs w:val="24"/>
        </w:rPr>
      </w:pPr>
      <w:proofErr w:type="gramStart"/>
      <w:r>
        <w:rPr>
          <w:rFonts w:ascii="Times New Roman" w:hAnsi="Times New Roman" w:cs="Times New Roman"/>
          <w:sz w:val="24"/>
          <w:szCs w:val="24"/>
        </w:rPr>
        <w:t>Zhao, Q., &amp; Zhang, X. (2021).</w:t>
      </w:r>
      <w:proofErr w:type="gramEnd"/>
      <w:r>
        <w:rPr>
          <w:rFonts w:ascii="Times New Roman" w:hAnsi="Times New Roman" w:cs="Times New Roman"/>
          <w:sz w:val="24"/>
          <w:szCs w:val="24"/>
        </w:rPr>
        <w:t xml:space="preserve"> </w:t>
      </w:r>
      <w:r>
        <w:rPr>
          <w:rFonts w:ascii="Times New Roman" w:hAnsi="Times New Roman" w:cs="Times New Roman"/>
          <w:sz w:val="24"/>
          <w:szCs w:val="24"/>
        </w:rPr>
        <w:t xml:space="preserve">Tobin’s Q and firm investment: Reassessing the evidence. </w:t>
      </w:r>
      <w:proofErr w:type="gramStart"/>
      <w:r>
        <w:rPr>
          <w:rFonts w:ascii="Times New Roman" w:hAnsi="Times New Roman" w:cs="Times New Roman"/>
          <w:i/>
          <w:iCs/>
          <w:sz w:val="24"/>
          <w:szCs w:val="24"/>
        </w:rPr>
        <w:t>Review of Financial Studies</w:t>
      </w:r>
      <w:r>
        <w:rPr>
          <w:rFonts w:ascii="Times New Roman" w:hAnsi="Times New Roman" w:cs="Times New Roman"/>
          <w:sz w:val="24"/>
          <w:szCs w:val="24"/>
        </w:rPr>
        <w:t>, 34(6), 2951–2979.</w:t>
      </w:r>
      <w:proofErr w:type="gramEnd"/>
    </w:p>
    <w:p w:rsidR="00477E52" w:rsidRDefault="00477E52"/>
    <w:sectPr w:rsidR="00477E52">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3CD" w:rsidRDefault="009243CD">
      <w:pPr>
        <w:spacing w:line="240" w:lineRule="auto"/>
      </w:pPr>
      <w:r>
        <w:separator/>
      </w:r>
    </w:p>
  </w:endnote>
  <w:endnote w:type="continuationSeparator" w:id="0">
    <w:p w:rsidR="009243CD" w:rsidRDefault="009243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等线">
    <w:altName w:val="Microsoft YaHei"/>
    <w:charset w:val="86"/>
    <w:family w:val="auto"/>
    <w:pitch w:val="default"/>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517887"/>
    </w:sdtPr>
    <w:sdtEndPr/>
    <w:sdtContent>
      <w:p w:rsidR="00477E52" w:rsidRDefault="009243CD">
        <w:pPr>
          <w:pStyle w:val="Footer"/>
          <w:jc w:val="center"/>
        </w:pPr>
        <w:r>
          <w:fldChar w:fldCharType="begin"/>
        </w:r>
        <w:r>
          <w:instrText xml:space="preserve"> PAGE   \* MERGEFORMAT </w:instrText>
        </w:r>
        <w:r>
          <w:fldChar w:fldCharType="separate"/>
        </w:r>
        <w:r w:rsidR="002D1032">
          <w:rPr>
            <w:noProof/>
          </w:rPr>
          <w:t>1</w:t>
        </w:r>
        <w:r>
          <w:fldChar w:fldCharType="end"/>
        </w:r>
      </w:p>
    </w:sdtContent>
  </w:sdt>
  <w:p w:rsidR="00477E52" w:rsidRDefault="00477E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3CD" w:rsidRDefault="009243CD">
      <w:pPr>
        <w:spacing w:after="0"/>
      </w:pPr>
      <w:r>
        <w:separator/>
      </w:r>
    </w:p>
  </w:footnote>
  <w:footnote w:type="continuationSeparator" w:id="0">
    <w:p w:rsidR="009243CD" w:rsidRDefault="009243C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032" w:rsidRDefault="002D1032">
    <w:pPr>
      <w:pStyle w:val="Header"/>
    </w:pPr>
    <w:r w:rsidRPr="002D1032">
      <w:t>MODERATING EFFECT OF CAPITAL ADEQUACY ON THE RELATIONSHIP BETWEEN OWNERSHIP STRUCTURE AND VALUE OF LISTED COMMERCIAL BANKS IN NIGERIA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83140"/>
    <w:multiLevelType w:val="multilevel"/>
    <w:tmpl w:val="14F83140"/>
    <w:lvl w:ilvl="0">
      <w:start w:val="1"/>
      <w:numFmt w:val="lowerRoman"/>
      <w:lvlText w:val="%1."/>
      <w:lvlJc w:val="righ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6C66FB"/>
    <w:rsid w:val="002D1032"/>
    <w:rsid w:val="00477E52"/>
    <w:rsid w:val="009243CD"/>
    <w:rsid w:val="046A3B06"/>
    <w:rsid w:val="286C6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eastAsiaTheme="minorHAnsi"/>
      <w:kern w:val="2"/>
      <w:sz w:val="22"/>
      <w:szCs w:val="2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D1032"/>
    <w:pPr>
      <w:tabs>
        <w:tab w:val="center" w:pos="4513"/>
        <w:tab w:val="right" w:pos="9026"/>
      </w:tabs>
      <w:spacing w:after="0" w:line="240" w:lineRule="auto"/>
    </w:pPr>
  </w:style>
  <w:style w:type="character" w:customStyle="1" w:styleId="HeaderChar">
    <w:name w:val="Header Char"/>
    <w:basedOn w:val="DefaultParagraphFont"/>
    <w:link w:val="Header"/>
    <w:rsid w:val="002D1032"/>
    <w:rPr>
      <w:rFonts w:eastAsiaTheme="minorHAnsi"/>
      <w:kern w:val="2"/>
      <w:sz w:val="22"/>
      <w:szCs w:val="22"/>
      <w:lang w:val="en-GB" w:eastAsia="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eastAsiaTheme="minorHAnsi"/>
      <w:kern w:val="2"/>
      <w:sz w:val="22"/>
      <w:szCs w:val="22"/>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D1032"/>
    <w:pPr>
      <w:tabs>
        <w:tab w:val="center" w:pos="4513"/>
        <w:tab w:val="right" w:pos="9026"/>
      </w:tabs>
      <w:spacing w:after="0" w:line="240" w:lineRule="auto"/>
    </w:pPr>
  </w:style>
  <w:style w:type="character" w:customStyle="1" w:styleId="HeaderChar">
    <w:name w:val="Header Char"/>
    <w:basedOn w:val="DefaultParagraphFont"/>
    <w:link w:val="Header"/>
    <w:rsid w:val="002D1032"/>
    <w:rPr>
      <w:rFonts w:eastAsiaTheme="minorHAnsi"/>
      <w:kern w:val="2"/>
      <w:sz w:val="22"/>
      <w:szCs w:val="22"/>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doi.org/10.22495/jgrv10i1art2" TargetMode="External"/><Relationship Id="rId13" Type="http://schemas.openxmlformats.org/officeDocument/2006/relationships/hyperlink" Target="https://doi.org/10.1016/j.ememar.2020.100733" TargetMode="External"/><Relationship Id="rId18" Type="http://schemas.openxmlformats.org/officeDocument/2006/relationships/hyperlink" Target="https://doi.org/10.5465/amp.2019.0010"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doi.org/10.1111/j.1540-6261.1997.tb04820.x" TargetMode="External"/><Relationship Id="rId7" Type="http://schemas.openxmlformats.org/officeDocument/2006/relationships/endnotes" Target="endnotes.xml"/><Relationship Id="rId12" Type="http://schemas.openxmlformats.org/officeDocument/2006/relationships/hyperlink" Target="https://doi.org/10.1002/sd.1931" TargetMode="External"/><Relationship Id="rId17" Type="http://schemas.openxmlformats.org/officeDocument/2006/relationships/hyperlink" Target="https://doi.org/10.1080/1540496X.2019.1658066"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07/s10490-021-09739-1" TargetMode="External"/><Relationship Id="rId20" Type="http://schemas.openxmlformats.org/officeDocument/2006/relationships/hyperlink" Target="https://doi.org/10.1108/JFRA-06-2020-014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80/23322039.2022.2035678"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111/1540-6261.00457" TargetMode="External"/><Relationship Id="rId23" Type="http://schemas.openxmlformats.org/officeDocument/2006/relationships/hyperlink" Target="https://doi.org/10.1016/j.jwb.2021.101276" TargetMode="External"/><Relationship Id="rId10" Type="http://schemas.openxmlformats.org/officeDocument/2006/relationships/hyperlink" Target="https://doi.org/10.1108/JFRC-05-2022-0057" TargetMode="External"/><Relationship Id="rId19" Type="http://schemas.openxmlformats.org/officeDocument/2006/relationships/hyperlink" Target="https://doi.org/10.1111/j.1467-8683.2007.00553.x" TargetMode="External"/><Relationship Id="rId4" Type="http://schemas.openxmlformats.org/officeDocument/2006/relationships/settings" Target="settings.xml"/><Relationship Id="rId9" Type="http://schemas.openxmlformats.org/officeDocument/2006/relationships/hyperlink" Target="https://doi.org/10.1108/AJEMS-02-2020-0086" TargetMode="External"/><Relationship Id="rId14" Type="http://schemas.openxmlformats.org/officeDocument/2006/relationships/hyperlink" Target="https://doi.org/10.1016/S0304-405X(00)00067-1" TargetMode="External"/><Relationship Id="rId22" Type="http://schemas.openxmlformats.org/officeDocument/2006/relationships/hyperlink" Target="https://doi.org/10.21511/imfi.17(2).2020.12" TargetMode="Externa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11817</Words>
  <Characters>67362</Characters>
  <Application>Microsoft Office Word</Application>
  <DocSecurity>0</DocSecurity>
  <Lines>561</Lines>
  <Paragraphs>158</Paragraphs>
  <ScaleCrop>false</ScaleCrop>
  <Company/>
  <LinksUpToDate>false</LinksUpToDate>
  <CharactersWithSpaces>79021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 Ngereboa</dc:creator>
  <cp:lastModifiedBy>qwert</cp:lastModifiedBy>
  <cp:revision>2</cp:revision>
  <dcterms:created xsi:type="dcterms:W3CDTF">2026-03-19T10:44:00Z</dcterms:created>
  <dcterms:modified xsi:type="dcterms:W3CDTF">2026-03-20T07:04:00Z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DFBC8B5E91954CC8A8533B906D7CB4F6_13</vt:lpwstr>
  </property>
</Properties>
</file>