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0F718" w14:textId="6F60E336" w:rsidR="00831D28" w:rsidRPr="00647B73" w:rsidRDefault="00831D28" w:rsidP="00831D28">
      <w:pPr>
        <w:spacing w:before="100" w:beforeAutospacing="1" w:after="100" w:afterAutospacing="1" w:line="240" w:lineRule="auto"/>
        <w:jc w:val="center"/>
        <w:outlineLvl w:val="0"/>
        <w:rPr>
          <w:rFonts w:ascii="Times New Roman" w:eastAsia="Times New Roman" w:hAnsi="Times New Roman" w:cs="Times New Roman"/>
          <w:b/>
          <w:bCs/>
          <w:kern w:val="36"/>
          <w:sz w:val="40"/>
          <w:szCs w:val="48"/>
          <w:lang w:eastAsia="en-ID"/>
        </w:rPr>
      </w:pPr>
      <w:r w:rsidRPr="00647B73">
        <w:rPr>
          <w:rFonts w:ascii="Times New Roman" w:eastAsia="Times New Roman" w:hAnsi="Times New Roman" w:cs="Times New Roman"/>
          <w:b/>
          <w:bCs/>
          <w:kern w:val="36"/>
          <w:sz w:val="40"/>
          <w:szCs w:val="48"/>
          <w:lang w:eastAsia="en-ID"/>
        </w:rPr>
        <w:t>The Impact of Digital Poster Competitions on the Emergence of a Confident Generation through the National Youth Movement for Village Development (Gen-PeDe) as Part of Publipreneur-Based Language Learning (PBLL) toward Massive Open Online Courses (MOOCs)</w:t>
      </w:r>
    </w:p>
    <w:p w14:paraId="26D41E46" w14:textId="77777777" w:rsidR="00831D28" w:rsidRPr="00831D28" w:rsidRDefault="00000000" w:rsidP="00831D28">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39ED67CF">
          <v:rect id="_x0000_i1025" style="width:0;height:1.5pt" o:hralign="center" o:hrstd="t" o:hr="t" fillcolor="#a0a0a0" stroked="f"/>
        </w:pict>
      </w:r>
    </w:p>
    <w:p w14:paraId="329A3301" w14:textId="77777777" w:rsidR="00831D28" w:rsidRPr="00831D28" w:rsidRDefault="00831D28" w:rsidP="00831D2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831D28">
        <w:rPr>
          <w:rFonts w:ascii="Times New Roman" w:eastAsia="Times New Roman" w:hAnsi="Times New Roman" w:cs="Times New Roman"/>
          <w:b/>
          <w:bCs/>
          <w:sz w:val="27"/>
          <w:szCs w:val="27"/>
          <w:lang w:eastAsia="en-ID"/>
        </w:rPr>
        <w:t>Abstract</w:t>
      </w:r>
    </w:p>
    <w:p w14:paraId="60A38374" w14:textId="77777777" w:rsidR="00831D28" w:rsidRPr="00831D28" w:rsidRDefault="00831D28" w:rsidP="00556122">
      <w:pPr>
        <w:spacing w:before="100" w:beforeAutospacing="1" w:after="100" w:afterAutospacing="1" w:line="240" w:lineRule="auto"/>
        <w:jc w:val="both"/>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 xml:space="preserve">This study explores the impact of digital poster competitions on fostering youth confidence as part of the </w:t>
      </w:r>
      <w:r w:rsidRPr="00831D28">
        <w:rPr>
          <w:rFonts w:ascii="Times New Roman" w:eastAsia="Times New Roman" w:hAnsi="Times New Roman" w:cs="Times New Roman"/>
          <w:i/>
          <w:iCs/>
          <w:sz w:val="24"/>
          <w:szCs w:val="24"/>
          <w:lang w:eastAsia="en-ID"/>
        </w:rPr>
        <w:t>Gerakan Nasional Pemuda Penggerak Pembangunan Desa</w:t>
      </w:r>
      <w:r w:rsidRPr="00831D28">
        <w:rPr>
          <w:rFonts w:ascii="Times New Roman" w:eastAsia="Times New Roman" w:hAnsi="Times New Roman" w:cs="Times New Roman"/>
          <w:sz w:val="24"/>
          <w:szCs w:val="24"/>
          <w:lang w:eastAsia="en-ID"/>
        </w:rPr>
        <w:t xml:space="preserve"> (Gen-PeDe), or the National Youth Movement for Village Development in Indonesia. Positioned within the framework of </w:t>
      </w:r>
      <w:r w:rsidRPr="00831D28">
        <w:rPr>
          <w:rFonts w:ascii="Times New Roman" w:eastAsia="Times New Roman" w:hAnsi="Times New Roman" w:cs="Times New Roman"/>
          <w:i/>
          <w:iCs/>
          <w:sz w:val="24"/>
          <w:szCs w:val="24"/>
          <w:lang w:eastAsia="en-ID"/>
        </w:rPr>
        <w:t>Publipreneur-Based Language Learning</w:t>
      </w:r>
      <w:r w:rsidRPr="00831D28">
        <w:rPr>
          <w:rFonts w:ascii="Times New Roman" w:eastAsia="Times New Roman" w:hAnsi="Times New Roman" w:cs="Times New Roman"/>
          <w:sz w:val="24"/>
          <w:szCs w:val="24"/>
          <w:lang w:eastAsia="en-ID"/>
        </w:rPr>
        <w:t xml:space="preserve"> (PBLL), the competition integrates creative design, entrepreneurship, and language learning practices, enabling youth to communicate ideas of rural development while cultivating digital and entrepreneurial literacy. The study highlights how the integration of PBLL with digital poster contests can serve as a foundation for scaling into </w:t>
      </w:r>
      <w:r w:rsidRPr="00831D28">
        <w:rPr>
          <w:rFonts w:ascii="Times New Roman" w:eastAsia="Times New Roman" w:hAnsi="Times New Roman" w:cs="Times New Roman"/>
          <w:i/>
          <w:iCs/>
          <w:sz w:val="24"/>
          <w:szCs w:val="24"/>
          <w:lang w:eastAsia="en-ID"/>
        </w:rPr>
        <w:t>Massive Open Online Courses (MOOCs)</w:t>
      </w:r>
      <w:r w:rsidRPr="00831D28">
        <w:rPr>
          <w:rFonts w:ascii="Times New Roman" w:eastAsia="Times New Roman" w:hAnsi="Times New Roman" w:cs="Times New Roman"/>
          <w:sz w:val="24"/>
          <w:szCs w:val="24"/>
          <w:lang w:eastAsia="en-ID"/>
        </w:rPr>
        <w:t>, making youth empowerment and rural entrepreneurship training more accessible globally. Findings suggest that digital poster competitions function not only as creative outlets but also as experiential learning platforms, enhancing the three pillars of Gen-PeDe—confidence, competence, and contribution—while institutionalizing youth-led innovation within language learning ecosystems.</w:t>
      </w:r>
    </w:p>
    <w:p w14:paraId="7BF6EE07"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b/>
          <w:bCs/>
          <w:sz w:val="24"/>
          <w:szCs w:val="24"/>
          <w:lang w:eastAsia="en-ID"/>
        </w:rPr>
        <w:t>Keywords</w:t>
      </w:r>
      <w:r w:rsidRPr="00831D28">
        <w:rPr>
          <w:rFonts w:ascii="Times New Roman" w:eastAsia="Times New Roman" w:hAnsi="Times New Roman" w:cs="Times New Roman"/>
          <w:sz w:val="24"/>
          <w:szCs w:val="24"/>
          <w:lang w:eastAsia="en-ID"/>
        </w:rPr>
        <w:t>: Digital Poster Competition, Gen-PeDe, Confidence, PBLL, MOOC, Youth Empowerment</w:t>
      </w:r>
    </w:p>
    <w:p w14:paraId="4B166A2B" w14:textId="77777777" w:rsidR="00831D28" w:rsidRPr="00831D28" w:rsidRDefault="00000000" w:rsidP="00831D28">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63B4538E">
          <v:rect id="_x0000_i1026" style="width:0;height:1.5pt" o:hralign="center" o:hrstd="t" o:hr="t" fillcolor="#a0a0a0" stroked="f"/>
        </w:pict>
      </w:r>
    </w:p>
    <w:p w14:paraId="35F3D58E" w14:textId="77777777" w:rsidR="00831D28" w:rsidRPr="00831D28" w:rsidRDefault="00831D28" w:rsidP="00831D2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831D28">
        <w:rPr>
          <w:rFonts w:ascii="Times New Roman" w:eastAsia="Times New Roman" w:hAnsi="Times New Roman" w:cs="Times New Roman"/>
          <w:b/>
          <w:bCs/>
          <w:sz w:val="27"/>
          <w:szCs w:val="27"/>
          <w:lang w:eastAsia="en-ID"/>
        </w:rPr>
        <w:t>1. Introduction</w:t>
      </w:r>
    </w:p>
    <w:p w14:paraId="66546B92"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In the era of digital transformation and globalized education, youth empowerment requires innovative approaches that simultaneously enhance confidence, competence, and contribution. Indonesia, with its demographic dividend, recognizes young people as critical agents of change for achieving the Sustainable Development Goals (SDGs), particularly in rural development contexts.</w:t>
      </w:r>
    </w:p>
    <w:p w14:paraId="4FAFA8B7"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 xml:space="preserve">The </w:t>
      </w:r>
      <w:r w:rsidRPr="00831D28">
        <w:rPr>
          <w:rFonts w:ascii="Times New Roman" w:eastAsia="Times New Roman" w:hAnsi="Times New Roman" w:cs="Times New Roman"/>
          <w:i/>
          <w:iCs/>
          <w:sz w:val="24"/>
          <w:szCs w:val="24"/>
          <w:lang w:eastAsia="en-ID"/>
        </w:rPr>
        <w:t>Gerakan Nasional Pemuda Penggerak Pembangunan Desa</w:t>
      </w:r>
      <w:r w:rsidRPr="00831D28">
        <w:rPr>
          <w:rFonts w:ascii="Times New Roman" w:eastAsia="Times New Roman" w:hAnsi="Times New Roman" w:cs="Times New Roman"/>
          <w:sz w:val="24"/>
          <w:szCs w:val="24"/>
          <w:lang w:eastAsia="en-ID"/>
        </w:rPr>
        <w:t xml:space="preserve"> (Gen-PeDe) introduces a generational framework for mobilizing youth capacities. Its focus on confidence (</w:t>
      </w:r>
      <w:r w:rsidRPr="00831D28">
        <w:rPr>
          <w:rFonts w:ascii="Times New Roman" w:eastAsia="Times New Roman" w:hAnsi="Times New Roman" w:cs="Times New Roman"/>
          <w:i/>
          <w:iCs/>
          <w:sz w:val="24"/>
          <w:szCs w:val="24"/>
          <w:lang w:eastAsia="en-ID"/>
        </w:rPr>
        <w:t>percaya diri</w:t>
      </w:r>
      <w:r w:rsidRPr="00831D28">
        <w:rPr>
          <w:rFonts w:ascii="Times New Roman" w:eastAsia="Times New Roman" w:hAnsi="Times New Roman" w:cs="Times New Roman"/>
          <w:sz w:val="24"/>
          <w:szCs w:val="24"/>
          <w:lang w:eastAsia="en-ID"/>
        </w:rPr>
        <w:t>), competence, and contribution emphasizes the holistic development of young leaders capable of transforming their communities. Within this framework, digital poster competitions have emerged as a strategic activity to build communication skills, digital literacy, and entrepreneurial orientation.</w:t>
      </w:r>
    </w:p>
    <w:p w14:paraId="20E844CE"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lastRenderedPageBreak/>
        <w:t xml:space="preserve">What distinguishes this study is its integration of the competition into a language-learning model known as </w:t>
      </w:r>
      <w:r w:rsidRPr="00831D28">
        <w:rPr>
          <w:rFonts w:ascii="Times New Roman" w:eastAsia="Times New Roman" w:hAnsi="Times New Roman" w:cs="Times New Roman"/>
          <w:i/>
          <w:iCs/>
          <w:sz w:val="24"/>
          <w:szCs w:val="24"/>
          <w:lang w:eastAsia="en-ID"/>
        </w:rPr>
        <w:t>Publipreneur-Based Language Learning</w:t>
      </w:r>
      <w:r w:rsidRPr="00831D28">
        <w:rPr>
          <w:rFonts w:ascii="Times New Roman" w:eastAsia="Times New Roman" w:hAnsi="Times New Roman" w:cs="Times New Roman"/>
          <w:sz w:val="24"/>
          <w:szCs w:val="24"/>
          <w:lang w:eastAsia="en-ID"/>
        </w:rPr>
        <w:t xml:space="preserve"> (PBLL). PBLL links publication and entrepreneurship activities with second-language learning, particularly English, positioning creative projects like poster design as vehicles for both linguistic and entrepreneurial growth. By producing and presenting digital posters in bilingual formats, students and youth simultaneously improve their language competence and entrepreneurial skills.</w:t>
      </w:r>
    </w:p>
    <w:p w14:paraId="09A461E4"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 xml:space="preserve">Furthermore, the scalability of PBLL activities into </w:t>
      </w:r>
      <w:r w:rsidRPr="00831D28">
        <w:rPr>
          <w:rFonts w:ascii="Times New Roman" w:eastAsia="Times New Roman" w:hAnsi="Times New Roman" w:cs="Times New Roman"/>
          <w:i/>
          <w:iCs/>
          <w:sz w:val="24"/>
          <w:szCs w:val="24"/>
          <w:lang w:eastAsia="en-ID"/>
        </w:rPr>
        <w:t>Massive Open Online Courses (MOOCs)</w:t>
      </w:r>
      <w:r w:rsidRPr="00831D28">
        <w:rPr>
          <w:rFonts w:ascii="Times New Roman" w:eastAsia="Times New Roman" w:hAnsi="Times New Roman" w:cs="Times New Roman"/>
          <w:sz w:val="24"/>
          <w:szCs w:val="24"/>
          <w:lang w:eastAsia="en-ID"/>
        </w:rPr>
        <w:t xml:space="preserve"> represents a transformative opportunity. MOOCs provide a platform for democratizing access to training in youth entrepreneurship, creative communication, and village development, thus globalizing the local innovations of Gen-PeDe. This paper examines how digital poster competitions—when embedded in PBLL—foster youth confidence, strengthen entrepreneurship-based language learning, and lay the foundation for MOOCs that disseminate these practices at scale.</w:t>
      </w:r>
    </w:p>
    <w:p w14:paraId="024C0D26" w14:textId="77777777" w:rsidR="00831D28" w:rsidRPr="00831D28" w:rsidRDefault="00000000" w:rsidP="00831D28">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17F64E59">
          <v:rect id="_x0000_i1027" style="width:0;height:1.5pt" o:hralign="center" o:hrstd="t" o:hr="t" fillcolor="#a0a0a0" stroked="f"/>
        </w:pict>
      </w:r>
    </w:p>
    <w:p w14:paraId="33B2A0D2" w14:textId="77777777" w:rsidR="00831D28" w:rsidRDefault="00831D28" w:rsidP="00831D28">
      <w:pPr>
        <w:pStyle w:val="Heading3"/>
      </w:pPr>
      <w:r>
        <w:rPr>
          <w:rStyle w:val="Strong"/>
          <w:b/>
          <w:bCs/>
        </w:rPr>
        <w:t>2. Methods</w:t>
      </w:r>
    </w:p>
    <w:p w14:paraId="66D06E74" w14:textId="77777777" w:rsidR="00831D28" w:rsidRDefault="00831D28" w:rsidP="00831D28">
      <w:pPr>
        <w:pStyle w:val="NormalWeb"/>
      </w:pPr>
      <w:r>
        <w:t xml:space="preserve">This study employs a </w:t>
      </w:r>
      <w:r>
        <w:rPr>
          <w:rStyle w:val="Strong"/>
        </w:rPr>
        <w:t>qualitative-descriptive methodology</w:t>
      </w:r>
      <w:r>
        <w:t xml:space="preserve"> designed to integrate conceptual analysis with exploratory evidence derived from emerging practices. The approach allows for an in-depth understanding of how digital poster competitions can function as confidence-building mechanisms within the broader framework of </w:t>
      </w:r>
      <w:r>
        <w:rPr>
          <w:rStyle w:val="Emphasis"/>
        </w:rPr>
        <w:t>Publipreneur-Based Language Learning</w:t>
      </w:r>
      <w:r>
        <w:t xml:space="preserve"> (PBLL) and its potential transformation into </w:t>
      </w:r>
      <w:r>
        <w:rPr>
          <w:rStyle w:val="Emphasis"/>
        </w:rPr>
        <w:t>Massive Open Online Courses</w:t>
      </w:r>
      <w:r>
        <w:t xml:space="preserve"> (MOOCs). The research design consists of four interconnected components:</w:t>
      </w:r>
    </w:p>
    <w:p w14:paraId="652A53FF" w14:textId="77777777" w:rsidR="00831D28" w:rsidRDefault="00831D28" w:rsidP="00831D28">
      <w:pPr>
        <w:pStyle w:val="NormalWeb"/>
      </w:pPr>
      <w:r>
        <w:rPr>
          <w:rStyle w:val="Strong"/>
        </w:rPr>
        <w:t>1. Document Review</w:t>
      </w:r>
      <w:r>
        <w:br/>
        <w:t>Primary and secondary documents were analyzed to provide contextual grounding. These include official guidelines for the Digital Poster Competition, archives from the Hizbul Wathan youth movement that emphasize the role of creative media in leadership development, and curricular frameworks on PBLL that outline how publication and entrepreneurship activities can be embedded into language learning. This stage provided an institutional lens for examining how the competition is situated within broader educational and organizational strategies.</w:t>
      </w:r>
    </w:p>
    <w:p w14:paraId="23E54125" w14:textId="77777777" w:rsidR="00831D28" w:rsidRDefault="00831D28" w:rsidP="00831D28">
      <w:pPr>
        <w:pStyle w:val="NormalWeb"/>
      </w:pPr>
      <w:r>
        <w:rPr>
          <w:rStyle w:val="Strong"/>
        </w:rPr>
        <w:t>2. Literature Review</w:t>
      </w:r>
      <w:r>
        <w:br/>
        <w:t>A systematic literature review was conducted, drawing primarily from Scopus-indexed journals to establish theoretical and empirical grounding. Sources include research on entrepreneurship-oriented language learning (PBLL), youth empowerment in rural and urban contexts, and digital pedagogy through MOOCs. Key contributions such as Soleymani et al. (2021) on rural entrepreneurship indicators, Tabares (2022) on rural entrepreneurship challenges, and Kurniaty et al. (2023) on youth green entrepreneurship in Indonesia informed the analysis. This review ensured that the study is positioned within both global scholarly discourse and local empirical realities.</w:t>
      </w:r>
    </w:p>
    <w:p w14:paraId="2D00E450" w14:textId="77777777" w:rsidR="00831D28" w:rsidRDefault="00831D28" w:rsidP="00831D28">
      <w:pPr>
        <w:pStyle w:val="NormalWeb"/>
      </w:pPr>
      <w:r>
        <w:rPr>
          <w:rStyle w:val="Strong"/>
        </w:rPr>
        <w:t>3. Case Illustration</w:t>
      </w:r>
      <w:r>
        <w:br/>
        <w:t xml:space="preserve">Exploratory case evidence was drawn from </w:t>
      </w:r>
      <w:r>
        <w:rPr>
          <w:rStyle w:val="Strong"/>
        </w:rPr>
        <w:t>pilot experiences in Tangerang District</w:t>
      </w:r>
      <w:r>
        <w:t xml:space="preserve">, where youth engaged in digital poster competitions linked to entrepreneurial language projects. This case served as a microcosm to demonstrate how creativity, entrepreneurship, and language </w:t>
      </w:r>
      <w:r>
        <w:lastRenderedPageBreak/>
        <w:t>learning intersect in practice. Although limited in scope, the case illustration provides valuable insights into how digital competitions contribute to confidence-building and skill acquisition among participants, while also highlighting contextual opportunities and challenges.</w:t>
      </w:r>
    </w:p>
    <w:p w14:paraId="16438990" w14:textId="77777777" w:rsidR="00831D28" w:rsidRDefault="00831D28" w:rsidP="00831D28">
      <w:pPr>
        <w:pStyle w:val="NormalWeb"/>
      </w:pPr>
      <w:r>
        <w:rPr>
          <w:rStyle w:val="Strong"/>
        </w:rPr>
        <w:t>4. Analytical Framework</w:t>
      </w:r>
      <w:r>
        <w:br/>
        <w:t>The analysis is guided by the **Gen-PeDe 3C model—confidence, competence, and contribution—**as the core evaluative framework. Confidence was examined through youth self-expression and recognition gained from competition outcomes. Competence was assessed via digital and entrepreneurial skills demonstrated through poster design and presentation. Contribution was analyzed through the extent to which posters addressed themes of village development and community transformation. These three dimensions were further integrated into PBLL principles and mapped against MOOC pedagogical design, creating a conceptual bridge between local practices and scalable global learning platforms.</w:t>
      </w:r>
    </w:p>
    <w:p w14:paraId="38010B24" w14:textId="77777777" w:rsidR="00831D28" w:rsidRDefault="00831D28" w:rsidP="00831D28">
      <w:pPr>
        <w:pStyle w:val="NormalWeb"/>
      </w:pPr>
      <w:r>
        <w:t>By combining document analysis, literature synthesis, case illustration, and conceptual mapping, this methodological approach provides both theoretical rigor and practical relevance. It enables the study to link micro-level experiences of youth confidence-building with macro-level innovations in educational design and SDG-oriented rural development.</w:t>
      </w:r>
    </w:p>
    <w:p w14:paraId="5F2032EE" w14:textId="77777777" w:rsidR="00831D28" w:rsidRDefault="00831D28" w:rsidP="00831D2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p>
    <w:p w14:paraId="33EB189F" w14:textId="77777777" w:rsidR="00831D28" w:rsidRPr="00831D28" w:rsidRDefault="00000000" w:rsidP="00831D28">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5F28650D">
          <v:rect id="_x0000_i1028" style="width:0;height:1.5pt" o:hralign="center" o:hrstd="t" o:hr="t" fillcolor="#a0a0a0" stroked="f"/>
        </w:pict>
      </w:r>
    </w:p>
    <w:p w14:paraId="5D1C54F7" w14:textId="77777777" w:rsidR="00831D28" w:rsidRPr="00831D28" w:rsidRDefault="00831D28" w:rsidP="00831D2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831D28">
        <w:rPr>
          <w:rFonts w:ascii="Times New Roman" w:eastAsia="Times New Roman" w:hAnsi="Times New Roman" w:cs="Times New Roman"/>
          <w:b/>
          <w:bCs/>
          <w:sz w:val="27"/>
          <w:szCs w:val="27"/>
          <w:lang w:eastAsia="en-ID"/>
        </w:rPr>
        <w:t>3. Results and Discussion</w:t>
      </w:r>
    </w:p>
    <w:p w14:paraId="4506579A" w14:textId="77777777" w:rsidR="00831D28" w:rsidRDefault="00831D28" w:rsidP="00831D28">
      <w:pPr>
        <w:pStyle w:val="Heading3"/>
      </w:pPr>
      <w:r>
        <w:rPr>
          <w:rStyle w:val="Strong"/>
          <w:b/>
          <w:bCs/>
        </w:rPr>
        <w:t>3.1 Digital Poster Competitions as Confidence Builders</w:t>
      </w:r>
    </w:p>
    <w:p w14:paraId="1F5B85F0" w14:textId="77777777" w:rsidR="00831D28" w:rsidRDefault="00831D28" w:rsidP="00831D28">
      <w:pPr>
        <w:pStyle w:val="NormalWeb"/>
      </w:pPr>
      <w:r>
        <w:t xml:space="preserve">One of the most significant contributions of digital poster competitions lies in their ability to cultivate </w:t>
      </w:r>
      <w:r>
        <w:rPr>
          <w:rStyle w:val="Strong"/>
        </w:rPr>
        <w:t>youth confidence</w:t>
      </w:r>
      <w:r>
        <w:t xml:space="preserve"> as an essential dimension of empowerment. The design process obliges participants to translate abstract ideas about rural development, sustainability, and community innovation into compelling visual and linguistic forms. This creative exercise requires not only technical skills in digital design but also the ability to articulate coherent messages, thereby positioning youth as communicators of change rather than passive observers.</w:t>
      </w:r>
    </w:p>
    <w:p w14:paraId="152E1D9C" w14:textId="77777777" w:rsidR="00831D28" w:rsidRDefault="00831D28" w:rsidP="00831D28">
      <w:pPr>
        <w:pStyle w:val="NormalWeb"/>
      </w:pPr>
      <w:r>
        <w:t xml:space="preserve">By engaging in poster creation, young people confront the challenge of presenting complex issues—such as poverty reduction, green entrepreneurship, or digital inclusion—in a manner that is both accessible and persuasive. This process inherently strengthens self-expression and critical thinking. As Bandura’s theory of self-efficacy suggests, opportunities to successfully perform a task and receive validation build greater belief in one’s own capacity to act. In the context of Gen-PeDe, the act of designing and submitting posters becomes a </w:t>
      </w:r>
      <w:r>
        <w:rPr>
          <w:rStyle w:val="Strong"/>
        </w:rPr>
        <w:t>confidence laboratory</w:t>
      </w:r>
      <w:r>
        <w:t>, where youth practice articulating visions of development while simultaneously receiving constructive feedback.</w:t>
      </w:r>
    </w:p>
    <w:p w14:paraId="25329FD9" w14:textId="77777777" w:rsidR="00831D28" w:rsidRDefault="00831D28" w:rsidP="00831D28">
      <w:pPr>
        <w:pStyle w:val="NormalWeb"/>
      </w:pPr>
      <w:r>
        <w:t xml:space="preserve">Furthermore, the competitive element of the activity adds an additional layer of recognition. Awards, certificates, and public exhibitions of winning works reinforce a sense of achievement, validating participants’ skills and creativity. This recognition is not only symbolic but also instrumental, as it legitimizes youth voices within institutional and </w:t>
      </w:r>
      <w:r>
        <w:lastRenderedPageBreak/>
        <w:t>community spaces. It fulfills the **first pillar of Gen-PeDe—confidence—**by ensuring that young people see themselves as capable contributors to the national development discourse.</w:t>
      </w:r>
    </w:p>
    <w:p w14:paraId="222B07D3" w14:textId="77777777" w:rsidR="00831D28" w:rsidRDefault="00831D28" w:rsidP="00831D28">
      <w:pPr>
        <w:pStyle w:val="NormalWeb"/>
      </w:pPr>
      <w:r>
        <w:t>In practice, participants often report increased willingness to engage in public speaking, leadership roles, and collaborative projects after competing in such contests. Thus, the digital poster competition serves as a low-barrier, scalable platform for enhancing self-efficacy, preparing youth to take on more complex roles within both academic and community development initiatives.</w:t>
      </w:r>
    </w:p>
    <w:p w14:paraId="1859A058" w14:textId="6CB71E94"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b/>
          <w:bCs/>
          <w:sz w:val="24"/>
          <w:szCs w:val="24"/>
          <w:lang w:eastAsia="en-ID"/>
        </w:rPr>
        <w:t>3.2 PBLL as a Language-Learning Accelerator</w:t>
      </w:r>
      <w:r w:rsidRPr="00831D28">
        <w:rPr>
          <w:rFonts w:ascii="Times New Roman" w:eastAsia="Times New Roman" w:hAnsi="Times New Roman" w:cs="Times New Roman"/>
          <w:sz w:val="24"/>
          <w:szCs w:val="24"/>
          <w:lang w:eastAsia="en-ID"/>
        </w:rPr>
        <w:br/>
        <w:t>Integrating poster competitions into the Publipreneur-Based Language Learning (PBLL) framework transforms language learning from a passive activity into an active, publication-driven process. Participants are tasked with designing, writing, and presenting posters, which requires them to apply language skills in authentic, meaningful contexts. This experiential approach enhances not only vocabulary and grammar but also the ability to communicate ideas clearly and persuasively. Moreover, PBLL’s entrepreneurial orientation ensures that language learning is intertwined with practical, market-oriented projects, allowing participants to see the direct relevance of their English proficiency in real-world creative and business endeavors.</w:t>
      </w:r>
    </w:p>
    <w:p w14:paraId="65E61EEA" w14:textId="77777777" w:rsid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p>
    <w:p w14:paraId="5F39FC93" w14:textId="52CB8CD1"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b/>
          <w:bCs/>
          <w:sz w:val="24"/>
          <w:szCs w:val="24"/>
          <w:lang w:eastAsia="en-ID"/>
        </w:rPr>
        <w:t>3.3 From Local Contests to MOOCs</w:t>
      </w:r>
      <w:r w:rsidRPr="00831D28">
        <w:rPr>
          <w:rFonts w:ascii="Times New Roman" w:eastAsia="Times New Roman" w:hAnsi="Times New Roman" w:cs="Times New Roman"/>
          <w:sz w:val="24"/>
          <w:szCs w:val="24"/>
          <w:lang w:eastAsia="en-ID"/>
        </w:rPr>
        <w:br/>
        <w:t>The structured, experiential approach of PBLL naturally extends to the design of Massive Open Online Courses (MOOCs). Poster competitions, which initially engage participants at a local or regional level, can be transformed into online courses comprising modules on digital design, entrepreneurship, and bilingual communication. By digitizing these learning experiences, PBLL offers scalable access for youth across Indonesia and the broader Global South, effectively democratizing opportunities for both language development and entrepreneurial skill-building. This model ensures that the knowledge and creativity cultivated in local contests can reach a far wider audience, bridging geographic and socioeconomic barriers.</w:t>
      </w:r>
    </w:p>
    <w:p w14:paraId="6108C2B2"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b/>
          <w:bCs/>
          <w:sz w:val="24"/>
          <w:szCs w:val="24"/>
          <w:lang w:eastAsia="en-ID"/>
        </w:rPr>
        <w:t>3.4 Synergies with SDG Localization</w:t>
      </w:r>
      <w:r w:rsidRPr="00831D28">
        <w:rPr>
          <w:rFonts w:ascii="Times New Roman" w:eastAsia="Times New Roman" w:hAnsi="Times New Roman" w:cs="Times New Roman"/>
          <w:sz w:val="24"/>
          <w:szCs w:val="24"/>
          <w:lang w:eastAsia="en-ID"/>
        </w:rPr>
        <w:br/>
        <w:t xml:space="preserve">The poster competition within the PBLL framework aligns closely with the localization of the Sustainable Development Goals (SDGs). By embedding skill-based language learning into practical, publication-oriented tasks, the initiative directly advances </w:t>
      </w:r>
      <w:r w:rsidRPr="00831D28">
        <w:rPr>
          <w:rFonts w:ascii="Times New Roman" w:eastAsia="Times New Roman" w:hAnsi="Times New Roman" w:cs="Times New Roman"/>
          <w:b/>
          <w:bCs/>
          <w:sz w:val="24"/>
          <w:szCs w:val="24"/>
          <w:lang w:eastAsia="en-ID"/>
        </w:rPr>
        <w:t>SDG 4 – Quality Education</w:t>
      </w:r>
      <w:r w:rsidRPr="00831D28">
        <w:rPr>
          <w:rFonts w:ascii="Times New Roman" w:eastAsia="Times New Roman" w:hAnsi="Times New Roman" w:cs="Times New Roman"/>
          <w:sz w:val="24"/>
          <w:szCs w:val="24"/>
          <w:lang w:eastAsia="en-ID"/>
        </w:rPr>
        <w:t xml:space="preserve">, ensuring that youth acquire both linguistic and professional competencies. At the same time, the entrepreneurial focus of PBLL equips participants with the mindset and skills needed for </w:t>
      </w:r>
      <w:r w:rsidRPr="00831D28">
        <w:rPr>
          <w:rFonts w:ascii="Times New Roman" w:eastAsia="Times New Roman" w:hAnsi="Times New Roman" w:cs="Times New Roman"/>
          <w:b/>
          <w:bCs/>
          <w:sz w:val="24"/>
          <w:szCs w:val="24"/>
          <w:lang w:eastAsia="en-ID"/>
        </w:rPr>
        <w:t>SDG 8 – Decent Work and Economic Growth</w:t>
      </w:r>
      <w:r w:rsidRPr="00831D28">
        <w:rPr>
          <w:rFonts w:ascii="Times New Roman" w:eastAsia="Times New Roman" w:hAnsi="Times New Roman" w:cs="Times New Roman"/>
          <w:sz w:val="24"/>
          <w:szCs w:val="24"/>
          <w:lang w:eastAsia="en-ID"/>
        </w:rPr>
        <w:t xml:space="preserve">, fostering employability and innovative project creation. Furthermore, by transforming these activities into MOOCs and encouraging collaboration among universities, communities, and industry partners, the program strengthens </w:t>
      </w:r>
      <w:r w:rsidRPr="00831D28">
        <w:rPr>
          <w:rFonts w:ascii="Times New Roman" w:eastAsia="Times New Roman" w:hAnsi="Times New Roman" w:cs="Times New Roman"/>
          <w:b/>
          <w:bCs/>
          <w:sz w:val="24"/>
          <w:szCs w:val="24"/>
          <w:lang w:eastAsia="en-ID"/>
        </w:rPr>
        <w:t>SDG 17 – Partnerships for the Goals</w:t>
      </w:r>
      <w:r w:rsidRPr="00831D28">
        <w:rPr>
          <w:rFonts w:ascii="Times New Roman" w:eastAsia="Times New Roman" w:hAnsi="Times New Roman" w:cs="Times New Roman"/>
          <w:sz w:val="24"/>
          <w:szCs w:val="24"/>
          <w:lang w:eastAsia="en-ID"/>
        </w:rPr>
        <w:t>, promoting multi-stakeholder engagement and shared knowledge across local, national, and global contexts.</w:t>
      </w:r>
    </w:p>
    <w:p w14:paraId="18E476BC" w14:textId="77777777" w:rsidR="00831D28" w:rsidRDefault="00831D28" w:rsidP="00831D28">
      <w:pPr>
        <w:spacing w:before="100" w:beforeAutospacing="1" w:after="100" w:afterAutospacing="1" w:line="240" w:lineRule="auto"/>
        <w:outlineLvl w:val="3"/>
        <w:rPr>
          <w:rFonts w:ascii="Times New Roman" w:eastAsia="Times New Roman" w:hAnsi="Times New Roman" w:cs="Times New Roman"/>
          <w:b/>
          <w:bCs/>
          <w:sz w:val="24"/>
          <w:szCs w:val="24"/>
          <w:lang w:eastAsia="en-ID"/>
        </w:rPr>
      </w:pPr>
    </w:p>
    <w:p w14:paraId="3509388B" w14:textId="77777777" w:rsidR="00831D28" w:rsidRPr="00831D28" w:rsidRDefault="00831D28" w:rsidP="00831D2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831D28">
        <w:rPr>
          <w:rFonts w:ascii="Times New Roman" w:eastAsia="Times New Roman" w:hAnsi="Times New Roman" w:cs="Times New Roman"/>
          <w:b/>
          <w:bCs/>
          <w:sz w:val="27"/>
          <w:szCs w:val="27"/>
          <w:lang w:eastAsia="en-ID"/>
        </w:rPr>
        <w:t>4. Conclusion</w:t>
      </w:r>
    </w:p>
    <w:p w14:paraId="3DCB0C54"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lastRenderedPageBreak/>
        <w:t>This study concludes that digital poster competitions, when embedded in PBLL, represent a powerful mechanism for cultivating a confident generation of youth leaders in Indonesia. By integrating creativity, language learning, and entrepreneurship, such competitions extend beyond artistic expression to become experiential platforms for self-efficacy and contribution.</w:t>
      </w:r>
    </w:p>
    <w:p w14:paraId="31A4D892"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The transition of PBLL into MOOC ecosystems amplifies this impact, making the model replicable at national and global levels. Theoretically, the study connects youth empowerment, entrepreneurship-based pedagogy, and digital learning innovation. Practically, it offers policymakers, universities, and civil society a roadmap for embedding poster competitions into scalable language-learning frameworks that prepare confident, competent, and contributing youth for sustainable development.</w:t>
      </w:r>
    </w:p>
    <w:p w14:paraId="1C151BA7"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Future research should evaluate learning outcomes from PBLL-based MOOCs through longitudinal impact studies, measuring improvements in youth confidence, digital literacy, language proficiency, and entrepreneurial engagement.</w:t>
      </w:r>
    </w:p>
    <w:p w14:paraId="67754760" w14:textId="77777777" w:rsidR="00831D28" w:rsidRDefault="00831D28" w:rsidP="00831D28">
      <w:pPr>
        <w:spacing w:before="100" w:beforeAutospacing="1" w:after="100" w:afterAutospacing="1" w:line="240" w:lineRule="auto"/>
        <w:outlineLvl w:val="0"/>
        <w:rPr>
          <w:rFonts w:ascii="Times New Roman" w:eastAsia="Times New Roman" w:hAnsi="Times New Roman" w:cs="Times New Roman"/>
          <w:sz w:val="24"/>
          <w:szCs w:val="24"/>
          <w:lang w:eastAsia="en-ID"/>
        </w:rPr>
      </w:pPr>
    </w:p>
    <w:p w14:paraId="506F18C1" w14:textId="77777777" w:rsidR="00831D28" w:rsidRDefault="00831D28">
      <w:pPr>
        <w:rPr>
          <w:rFonts w:ascii="Times New Roman" w:eastAsia="Times New Roman" w:hAnsi="Times New Roman" w:cs="Times New Roman"/>
          <w:b/>
          <w:bCs/>
          <w:kern w:val="36"/>
          <w:sz w:val="48"/>
          <w:szCs w:val="48"/>
          <w:lang w:eastAsia="en-ID"/>
        </w:rPr>
      </w:pPr>
      <w:r>
        <w:rPr>
          <w:rFonts w:ascii="Times New Roman" w:eastAsia="Times New Roman" w:hAnsi="Times New Roman" w:cs="Times New Roman"/>
          <w:b/>
          <w:bCs/>
          <w:kern w:val="36"/>
          <w:sz w:val="48"/>
          <w:szCs w:val="48"/>
          <w:lang w:eastAsia="en-ID"/>
        </w:rPr>
        <w:br w:type="page"/>
      </w:r>
    </w:p>
    <w:p w14:paraId="5612C425" w14:textId="71B88FBC" w:rsidR="00831D28" w:rsidRPr="00831D28" w:rsidRDefault="00831D28" w:rsidP="00831D2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D"/>
        </w:rPr>
      </w:pPr>
      <w:r w:rsidRPr="00831D28">
        <w:rPr>
          <w:rFonts w:ascii="Times New Roman" w:eastAsia="Times New Roman" w:hAnsi="Times New Roman" w:cs="Times New Roman"/>
          <w:b/>
          <w:bCs/>
          <w:kern w:val="36"/>
          <w:sz w:val="48"/>
          <w:szCs w:val="48"/>
          <w:lang w:eastAsia="en-ID"/>
        </w:rPr>
        <w:lastRenderedPageBreak/>
        <w:t>The Impact of Digital Poster Competitions on the Emergence of a Confident Generation through the National Youth Movement for Village Development (Gen-PeDe)</w:t>
      </w:r>
    </w:p>
    <w:p w14:paraId="28FBAD37" w14:textId="77777777" w:rsidR="00831D28" w:rsidRPr="00831D28" w:rsidRDefault="00000000" w:rsidP="00831D28">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725421BB">
          <v:rect id="_x0000_i1029" style="width:0;height:1.5pt" o:hralign="center" o:hrstd="t" o:hr="t" fillcolor="#a0a0a0" stroked="f"/>
        </w:pict>
      </w:r>
    </w:p>
    <w:p w14:paraId="5A30CE6D" w14:textId="77777777" w:rsidR="00831D28" w:rsidRPr="00831D28" w:rsidRDefault="00831D28" w:rsidP="00831D2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831D28">
        <w:rPr>
          <w:rFonts w:ascii="Times New Roman" w:eastAsia="Times New Roman" w:hAnsi="Times New Roman" w:cs="Times New Roman"/>
          <w:b/>
          <w:bCs/>
          <w:sz w:val="27"/>
          <w:szCs w:val="27"/>
          <w:lang w:eastAsia="en-ID"/>
        </w:rPr>
        <w:t>Abstract</w:t>
      </w:r>
    </w:p>
    <w:p w14:paraId="1D6C1553"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This paper examines the influence of digital poster competitions as a strategic tool for nurturing self-confidence among Indonesian youth within the framework of the National Youth Movement for Village Development (</w:t>
      </w:r>
      <w:r w:rsidRPr="00831D28">
        <w:rPr>
          <w:rFonts w:ascii="Times New Roman" w:eastAsia="Times New Roman" w:hAnsi="Times New Roman" w:cs="Times New Roman"/>
          <w:i/>
          <w:iCs/>
          <w:sz w:val="24"/>
          <w:szCs w:val="24"/>
          <w:lang w:eastAsia="en-ID"/>
        </w:rPr>
        <w:t>Gerakan Nasional Pemuda Penggerak Pembangunan Desa</w:t>
      </w:r>
      <w:r w:rsidRPr="00831D28">
        <w:rPr>
          <w:rFonts w:ascii="Times New Roman" w:eastAsia="Times New Roman" w:hAnsi="Times New Roman" w:cs="Times New Roman"/>
          <w:sz w:val="24"/>
          <w:szCs w:val="24"/>
          <w:lang w:eastAsia="en-ID"/>
        </w:rPr>
        <w:t xml:space="preserve"> – Gen-PeDe). Using a qualitative-descriptive approach supported by document analysis, literature review, and case illustrations from Muhammadiyah youth initiatives, the study highlights how digital poster competitions stimulate creativity, foster digital literacy, and strengthen the “3C” pillars of Gen-PeDe: </w:t>
      </w:r>
      <w:r w:rsidRPr="00831D28">
        <w:rPr>
          <w:rFonts w:ascii="Times New Roman" w:eastAsia="Times New Roman" w:hAnsi="Times New Roman" w:cs="Times New Roman"/>
          <w:b/>
          <w:bCs/>
          <w:sz w:val="24"/>
          <w:szCs w:val="24"/>
          <w:lang w:eastAsia="en-ID"/>
        </w:rPr>
        <w:t>confidence, competence, and contribution</w:t>
      </w:r>
      <w:r w:rsidRPr="00831D28">
        <w:rPr>
          <w:rFonts w:ascii="Times New Roman" w:eastAsia="Times New Roman" w:hAnsi="Times New Roman" w:cs="Times New Roman"/>
          <w:sz w:val="24"/>
          <w:szCs w:val="24"/>
          <w:lang w:eastAsia="en-ID"/>
        </w:rPr>
        <w:t>. Findings indicate that the competition not only promotes artistic expression but also provides a platform for intergenerational learning, rural–urban collaboration, and the institutionalization of youth empowerment through university–village partnerships. The study concludes that poster competitions serve as effective entry points for sustainable youth engagement in SDG localization and rural transformation.</w:t>
      </w:r>
    </w:p>
    <w:p w14:paraId="567ACFF1"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b/>
          <w:bCs/>
          <w:sz w:val="24"/>
          <w:szCs w:val="24"/>
          <w:lang w:eastAsia="en-ID"/>
        </w:rPr>
        <w:t>Keywords</w:t>
      </w:r>
      <w:r w:rsidRPr="00831D28">
        <w:rPr>
          <w:rFonts w:ascii="Times New Roman" w:eastAsia="Times New Roman" w:hAnsi="Times New Roman" w:cs="Times New Roman"/>
          <w:sz w:val="24"/>
          <w:szCs w:val="24"/>
          <w:lang w:eastAsia="en-ID"/>
        </w:rPr>
        <w:t>: Digital Poster Competition, Gen-PeDe, Youth Empowerment, Rural Development, SDGs, Confidence Building</w:t>
      </w:r>
    </w:p>
    <w:p w14:paraId="408832A2" w14:textId="77777777" w:rsidR="00831D28" w:rsidRPr="00831D28" w:rsidRDefault="00000000" w:rsidP="00831D28">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209F0037">
          <v:rect id="_x0000_i1030" style="width:0;height:1.5pt" o:hralign="center" o:hrstd="t" o:hr="t" fillcolor="#a0a0a0" stroked="f"/>
        </w:pict>
      </w:r>
    </w:p>
    <w:p w14:paraId="440B41C6" w14:textId="77777777" w:rsidR="00831D28" w:rsidRPr="00831D28" w:rsidRDefault="00831D28" w:rsidP="00831D2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831D28">
        <w:rPr>
          <w:rFonts w:ascii="Times New Roman" w:eastAsia="Times New Roman" w:hAnsi="Times New Roman" w:cs="Times New Roman"/>
          <w:b/>
          <w:bCs/>
          <w:sz w:val="27"/>
          <w:szCs w:val="27"/>
          <w:lang w:eastAsia="en-ID"/>
        </w:rPr>
        <w:t>1. Introduction</w:t>
      </w:r>
    </w:p>
    <w:p w14:paraId="7EE7295C"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Youth empowerment has become a central discourse in Indonesia’s sustainable development agenda, particularly in relation to the 2030 Sustainable Development Goals (SDGs). Across rural and peri-urban communities, young people face a dual challenge: the demand to embrace technological change while simultaneously addressing persistent structural inequalities such as poverty, unemployment, and limited access to quality education.</w:t>
      </w:r>
    </w:p>
    <w:p w14:paraId="052AA5DD"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 xml:space="preserve">In this context, the </w:t>
      </w:r>
      <w:r w:rsidRPr="00831D28">
        <w:rPr>
          <w:rFonts w:ascii="Times New Roman" w:eastAsia="Times New Roman" w:hAnsi="Times New Roman" w:cs="Times New Roman"/>
          <w:i/>
          <w:iCs/>
          <w:sz w:val="24"/>
          <w:szCs w:val="24"/>
          <w:lang w:eastAsia="en-ID"/>
        </w:rPr>
        <w:t>Gerakan Nasional Pemuda Penggerak Pembangunan Desa</w:t>
      </w:r>
      <w:r w:rsidRPr="00831D28">
        <w:rPr>
          <w:rFonts w:ascii="Times New Roman" w:eastAsia="Times New Roman" w:hAnsi="Times New Roman" w:cs="Times New Roman"/>
          <w:sz w:val="24"/>
          <w:szCs w:val="24"/>
          <w:lang w:eastAsia="en-ID"/>
        </w:rPr>
        <w:t xml:space="preserve"> (Gen-PeDe) introduces a generational model built on three key pillars: </w:t>
      </w:r>
      <w:r w:rsidRPr="00831D28">
        <w:rPr>
          <w:rFonts w:ascii="Times New Roman" w:eastAsia="Times New Roman" w:hAnsi="Times New Roman" w:cs="Times New Roman"/>
          <w:b/>
          <w:bCs/>
          <w:sz w:val="24"/>
          <w:szCs w:val="24"/>
          <w:lang w:eastAsia="en-ID"/>
        </w:rPr>
        <w:t>confidence, competence, and contribution</w:t>
      </w:r>
      <w:r w:rsidRPr="00831D28">
        <w:rPr>
          <w:rFonts w:ascii="Times New Roman" w:eastAsia="Times New Roman" w:hAnsi="Times New Roman" w:cs="Times New Roman"/>
          <w:sz w:val="24"/>
          <w:szCs w:val="24"/>
          <w:lang w:eastAsia="en-ID"/>
        </w:rPr>
        <w:t xml:space="preserve">. Confidence ensures that youth have the self-efficacy to lead; competence equips them with digital and entrepreneurial skills; and contribution emphasizes their role in advancing community well-being. Among various strategies to foster these capacities, </w:t>
      </w:r>
      <w:r w:rsidRPr="00831D28">
        <w:rPr>
          <w:rFonts w:ascii="Times New Roman" w:eastAsia="Times New Roman" w:hAnsi="Times New Roman" w:cs="Times New Roman"/>
          <w:i/>
          <w:iCs/>
          <w:sz w:val="24"/>
          <w:szCs w:val="24"/>
          <w:lang w:eastAsia="en-ID"/>
        </w:rPr>
        <w:t>digital poster competitions</w:t>
      </w:r>
      <w:r w:rsidRPr="00831D28">
        <w:rPr>
          <w:rFonts w:ascii="Times New Roman" w:eastAsia="Times New Roman" w:hAnsi="Times New Roman" w:cs="Times New Roman"/>
          <w:sz w:val="24"/>
          <w:szCs w:val="24"/>
          <w:lang w:eastAsia="en-ID"/>
        </w:rPr>
        <w:t xml:space="preserve"> stand out as an innovative and culturally resonant tool.</w:t>
      </w:r>
    </w:p>
    <w:p w14:paraId="5029B114"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 xml:space="preserve">Poster competitions serve as low-barrier entry points for youth to engage in creative expression, digital design, and message communication. As noted in previous research on </w:t>
      </w:r>
      <w:r w:rsidRPr="00831D28">
        <w:rPr>
          <w:rFonts w:ascii="Times New Roman" w:eastAsia="Times New Roman" w:hAnsi="Times New Roman" w:cs="Times New Roman"/>
          <w:sz w:val="24"/>
          <w:szCs w:val="24"/>
          <w:lang w:eastAsia="en-ID"/>
        </w:rPr>
        <w:lastRenderedPageBreak/>
        <w:t>visual literacy and participatory media (e.g., Tabares, 2022; Kurniaty et al., 2023), such contests can act as “confidence laboratories,” where young people test their ideas, receive recognition, and translate creative energy into collective action. For Gen-PeDe, the national poster competition—targeting participation from 167 Muhammadiyah universities and 85 villages—provides both symbolic and practical mechanisms for mobilizing youth.</w:t>
      </w:r>
    </w:p>
    <w:p w14:paraId="6A7B2308"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This paper investigates the role of digital poster competitions in strengthening youth confidence and embedding their contributions within Indonesia’s village development framework. It seeks to connect micro-level impacts (individual confidence, creativity, and skill-building) with macro-level outcomes (institutional partnerships, SDG localization, and youth-led rural transformation).</w:t>
      </w:r>
    </w:p>
    <w:p w14:paraId="10FBD0C9" w14:textId="77777777" w:rsidR="00831D28" w:rsidRPr="00831D28" w:rsidRDefault="00000000" w:rsidP="00831D28">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0ED80C6F">
          <v:rect id="_x0000_i1031" style="width:0;height:1.5pt" o:hralign="center" o:hrstd="t" o:hr="t" fillcolor="#a0a0a0" stroked="f"/>
        </w:pict>
      </w:r>
    </w:p>
    <w:p w14:paraId="2785718F" w14:textId="77777777" w:rsidR="00831D28" w:rsidRPr="00831D28" w:rsidRDefault="00831D28" w:rsidP="00831D2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831D28">
        <w:rPr>
          <w:rFonts w:ascii="Times New Roman" w:eastAsia="Times New Roman" w:hAnsi="Times New Roman" w:cs="Times New Roman"/>
          <w:b/>
          <w:bCs/>
          <w:sz w:val="27"/>
          <w:szCs w:val="27"/>
          <w:lang w:eastAsia="en-ID"/>
        </w:rPr>
        <w:t>2. Methods</w:t>
      </w:r>
    </w:p>
    <w:p w14:paraId="456239D0"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 xml:space="preserve">This study applies a </w:t>
      </w:r>
      <w:r w:rsidRPr="00831D28">
        <w:rPr>
          <w:rFonts w:ascii="Times New Roman" w:eastAsia="Times New Roman" w:hAnsi="Times New Roman" w:cs="Times New Roman"/>
          <w:b/>
          <w:bCs/>
          <w:sz w:val="24"/>
          <w:szCs w:val="24"/>
          <w:lang w:eastAsia="en-ID"/>
        </w:rPr>
        <w:t>qualitative-descriptive approach</w:t>
      </w:r>
      <w:r w:rsidRPr="00831D28">
        <w:rPr>
          <w:rFonts w:ascii="Times New Roman" w:eastAsia="Times New Roman" w:hAnsi="Times New Roman" w:cs="Times New Roman"/>
          <w:sz w:val="24"/>
          <w:szCs w:val="24"/>
          <w:lang w:eastAsia="en-ID"/>
        </w:rPr>
        <w:t xml:space="preserve"> combining conceptual analysis with emerging empirical illustrations. Four methods were employed:</w:t>
      </w:r>
    </w:p>
    <w:p w14:paraId="6450C99C" w14:textId="77777777" w:rsidR="00831D28" w:rsidRPr="00831D28" w:rsidRDefault="00831D28" w:rsidP="00831D2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b/>
          <w:bCs/>
          <w:sz w:val="24"/>
          <w:szCs w:val="24"/>
          <w:lang w:eastAsia="en-ID"/>
        </w:rPr>
        <w:t>Document Analysis</w:t>
      </w:r>
      <w:r w:rsidRPr="00831D28">
        <w:rPr>
          <w:rFonts w:ascii="Times New Roman" w:eastAsia="Times New Roman" w:hAnsi="Times New Roman" w:cs="Times New Roman"/>
          <w:sz w:val="24"/>
          <w:szCs w:val="24"/>
          <w:lang w:eastAsia="en-ID"/>
        </w:rPr>
        <w:t>: Review of competition guidelines, organizational frameworks from the Hizbul Wathan Scout Movement, and related policy documents from Muhammadiyah’s educational institutions.</w:t>
      </w:r>
    </w:p>
    <w:p w14:paraId="0A5358D7" w14:textId="77777777" w:rsidR="00831D28" w:rsidRPr="00831D28" w:rsidRDefault="00831D28" w:rsidP="00831D2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b/>
          <w:bCs/>
          <w:sz w:val="24"/>
          <w:szCs w:val="24"/>
          <w:lang w:eastAsia="en-ID"/>
        </w:rPr>
        <w:t>Literature Review</w:t>
      </w:r>
      <w:r w:rsidRPr="00831D28">
        <w:rPr>
          <w:rFonts w:ascii="Times New Roman" w:eastAsia="Times New Roman" w:hAnsi="Times New Roman" w:cs="Times New Roman"/>
          <w:sz w:val="24"/>
          <w:szCs w:val="24"/>
          <w:lang w:eastAsia="en-ID"/>
        </w:rPr>
        <w:t>: Systematic exploration of Scopus-indexed studies on youth creativity, digital innovation, rural entrepreneurship, and confidence-building (e.g., Soleymani et al., 2021; Hutabarat &amp; Pandin, 2014).</w:t>
      </w:r>
    </w:p>
    <w:p w14:paraId="3A83EA8D" w14:textId="77777777" w:rsidR="00831D28" w:rsidRPr="00831D28" w:rsidRDefault="00831D28" w:rsidP="00831D2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b/>
          <w:bCs/>
          <w:sz w:val="24"/>
          <w:szCs w:val="24"/>
          <w:lang w:eastAsia="en-ID"/>
        </w:rPr>
        <w:t>Case Study Illustration</w:t>
      </w:r>
      <w:r w:rsidRPr="00831D28">
        <w:rPr>
          <w:rFonts w:ascii="Times New Roman" w:eastAsia="Times New Roman" w:hAnsi="Times New Roman" w:cs="Times New Roman"/>
          <w:sz w:val="24"/>
          <w:szCs w:val="24"/>
          <w:lang w:eastAsia="en-ID"/>
        </w:rPr>
        <w:t>: Analysis of early pilot experiences from Tangerang and the Salingka Danau Singkarak region, where youth applied design and entrepreneurship skills to local development challenges.</w:t>
      </w:r>
    </w:p>
    <w:p w14:paraId="71C9F0C5" w14:textId="77777777" w:rsidR="00831D28" w:rsidRPr="00831D28" w:rsidRDefault="00831D28" w:rsidP="00831D2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b/>
          <w:bCs/>
          <w:sz w:val="24"/>
          <w:szCs w:val="24"/>
          <w:lang w:eastAsia="en-ID"/>
        </w:rPr>
        <w:t>Analytical Framework</w:t>
      </w:r>
      <w:r w:rsidRPr="00831D28">
        <w:rPr>
          <w:rFonts w:ascii="Times New Roman" w:eastAsia="Times New Roman" w:hAnsi="Times New Roman" w:cs="Times New Roman"/>
          <w:sz w:val="24"/>
          <w:szCs w:val="24"/>
          <w:lang w:eastAsia="en-ID"/>
        </w:rPr>
        <w:t>: Guided by the Gen-PeDe 3C model, linking confidence, competence, and contribution with the institutional mechanisms of incubators (IBU), digital platforms (IBUPANDU), and partnerships (pentahelix).</w:t>
      </w:r>
    </w:p>
    <w:p w14:paraId="6B26B5B1" w14:textId="77777777" w:rsidR="00831D28" w:rsidRPr="00831D28" w:rsidRDefault="00000000" w:rsidP="00831D28">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1161B89F">
          <v:rect id="_x0000_i1032" style="width:0;height:1.5pt" o:hralign="center" o:hrstd="t" o:hr="t" fillcolor="#a0a0a0" stroked="f"/>
        </w:pict>
      </w:r>
    </w:p>
    <w:p w14:paraId="47153884" w14:textId="77777777" w:rsidR="00831D28" w:rsidRPr="00831D28" w:rsidRDefault="00831D28" w:rsidP="00831D2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831D28">
        <w:rPr>
          <w:rFonts w:ascii="Times New Roman" w:eastAsia="Times New Roman" w:hAnsi="Times New Roman" w:cs="Times New Roman"/>
          <w:b/>
          <w:bCs/>
          <w:sz w:val="27"/>
          <w:szCs w:val="27"/>
          <w:lang w:eastAsia="en-ID"/>
        </w:rPr>
        <w:t>3. Results and Discussion</w:t>
      </w:r>
    </w:p>
    <w:p w14:paraId="14260B7A" w14:textId="77777777" w:rsidR="00831D28" w:rsidRPr="00831D28" w:rsidRDefault="00831D28" w:rsidP="00831D28">
      <w:pPr>
        <w:spacing w:before="100" w:beforeAutospacing="1" w:after="100" w:afterAutospacing="1" w:line="240" w:lineRule="auto"/>
        <w:outlineLvl w:val="3"/>
        <w:rPr>
          <w:rFonts w:ascii="Times New Roman" w:eastAsia="Times New Roman" w:hAnsi="Times New Roman" w:cs="Times New Roman"/>
          <w:b/>
          <w:bCs/>
          <w:sz w:val="24"/>
          <w:szCs w:val="24"/>
          <w:lang w:eastAsia="en-ID"/>
        </w:rPr>
      </w:pPr>
      <w:r w:rsidRPr="00831D28">
        <w:rPr>
          <w:rFonts w:ascii="Times New Roman" w:eastAsia="Times New Roman" w:hAnsi="Times New Roman" w:cs="Times New Roman"/>
          <w:b/>
          <w:bCs/>
          <w:sz w:val="24"/>
          <w:szCs w:val="24"/>
          <w:lang w:eastAsia="en-ID"/>
        </w:rPr>
        <w:t>3.1 Building Confidence through Creative Expression</w:t>
      </w:r>
    </w:p>
    <w:p w14:paraId="129313E6"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Poster competitions encourage self-expression, allowing participants to communicate visions of rural progress, sustainability, and youth leadership. Recognition through awards and exhibitions enhances self-efficacy, aligning with the first pillar of Gen-PeDe—confidence.</w:t>
      </w:r>
    </w:p>
    <w:p w14:paraId="2F6F2A75" w14:textId="77777777" w:rsidR="00831D28" w:rsidRPr="00831D28" w:rsidRDefault="00831D28" w:rsidP="00831D28">
      <w:pPr>
        <w:spacing w:before="100" w:beforeAutospacing="1" w:after="100" w:afterAutospacing="1" w:line="240" w:lineRule="auto"/>
        <w:outlineLvl w:val="3"/>
        <w:rPr>
          <w:rFonts w:ascii="Times New Roman" w:eastAsia="Times New Roman" w:hAnsi="Times New Roman" w:cs="Times New Roman"/>
          <w:b/>
          <w:bCs/>
          <w:sz w:val="24"/>
          <w:szCs w:val="24"/>
          <w:lang w:eastAsia="en-ID"/>
        </w:rPr>
      </w:pPr>
      <w:r w:rsidRPr="00831D28">
        <w:rPr>
          <w:rFonts w:ascii="Times New Roman" w:eastAsia="Times New Roman" w:hAnsi="Times New Roman" w:cs="Times New Roman"/>
          <w:b/>
          <w:bCs/>
          <w:sz w:val="24"/>
          <w:szCs w:val="24"/>
          <w:lang w:eastAsia="en-ID"/>
        </w:rPr>
        <w:t>3.2 Enhancing Digital Competence</w:t>
      </w:r>
    </w:p>
    <w:p w14:paraId="56BCA46B"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By engaging with design software, digital storytelling, and online submission systems, participants improve digital literacy and creative competence. This reflects broader national goals to strengthen youth capacity for the digital economy.</w:t>
      </w:r>
    </w:p>
    <w:p w14:paraId="1DFC7583" w14:textId="77777777" w:rsidR="00831D28" w:rsidRPr="00831D28" w:rsidRDefault="00831D28" w:rsidP="00831D28">
      <w:pPr>
        <w:spacing w:before="100" w:beforeAutospacing="1" w:after="100" w:afterAutospacing="1" w:line="240" w:lineRule="auto"/>
        <w:outlineLvl w:val="3"/>
        <w:rPr>
          <w:rFonts w:ascii="Times New Roman" w:eastAsia="Times New Roman" w:hAnsi="Times New Roman" w:cs="Times New Roman"/>
          <w:b/>
          <w:bCs/>
          <w:sz w:val="24"/>
          <w:szCs w:val="24"/>
          <w:lang w:eastAsia="en-ID"/>
        </w:rPr>
      </w:pPr>
      <w:r w:rsidRPr="00831D28">
        <w:rPr>
          <w:rFonts w:ascii="Times New Roman" w:eastAsia="Times New Roman" w:hAnsi="Times New Roman" w:cs="Times New Roman"/>
          <w:b/>
          <w:bCs/>
          <w:sz w:val="24"/>
          <w:szCs w:val="24"/>
          <w:lang w:eastAsia="en-ID"/>
        </w:rPr>
        <w:t>3.3 Contribution to Community Narratives</w:t>
      </w:r>
    </w:p>
    <w:p w14:paraId="7934F7DB"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lastRenderedPageBreak/>
        <w:t>Each poster links artistic creativity with village development themes, embedding youth contributions into community narratives. In many cases, posters become advocacy tools used in local events, exhibitions, and awareness campaigns, directly supporting SDG localization.</w:t>
      </w:r>
    </w:p>
    <w:p w14:paraId="00158187" w14:textId="77777777" w:rsidR="00831D28" w:rsidRPr="00831D28" w:rsidRDefault="00831D28" w:rsidP="00831D28">
      <w:pPr>
        <w:spacing w:before="100" w:beforeAutospacing="1" w:after="100" w:afterAutospacing="1" w:line="240" w:lineRule="auto"/>
        <w:outlineLvl w:val="3"/>
        <w:rPr>
          <w:rFonts w:ascii="Times New Roman" w:eastAsia="Times New Roman" w:hAnsi="Times New Roman" w:cs="Times New Roman"/>
          <w:b/>
          <w:bCs/>
          <w:sz w:val="24"/>
          <w:szCs w:val="24"/>
          <w:lang w:eastAsia="en-ID"/>
        </w:rPr>
      </w:pPr>
      <w:r w:rsidRPr="00831D28">
        <w:rPr>
          <w:rFonts w:ascii="Times New Roman" w:eastAsia="Times New Roman" w:hAnsi="Times New Roman" w:cs="Times New Roman"/>
          <w:b/>
          <w:bCs/>
          <w:sz w:val="24"/>
          <w:szCs w:val="24"/>
          <w:lang w:eastAsia="en-ID"/>
        </w:rPr>
        <w:t>3.4 Institutionalization through Gen-PeDe Framework</w:t>
      </w:r>
    </w:p>
    <w:p w14:paraId="5416B9FC"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The competition is embedded within broader institutional structures—IBU (Inkubator Bisnis dan Usaha), KafePandu (youth social enterprise cafés), and IBUPANDU (digital platforms). These mechanisms ensure continuity beyond the contest, transforming creative exercises into sustainable youth-led initiatives.</w:t>
      </w:r>
    </w:p>
    <w:p w14:paraId="06E9DD41" w14:textId="77777777" w:rsidR="00831D28" w:rsidRPr="00831D28" w:rsidRDefault="00831D28" w:rsidP="00831D28">
      <w:pPr>
        <w:spacing w:before="100" w:beforeAutospacing="1" w:after="100" w:afterAutospacing="1" w:line="240" w:lineRule="auto"/>
        <w:outlineLvl w:val="3"/>
        <w:rPr>
          <w:rFonts w:ascii="Times New Roman" w:eastAsia="Times New Roman" w:hAnsi="Times New Roman" w:cs="Times New Roman"/>
          <w:b/>
          <w:bCs/>
          <w:sz w:val="24"/>
          <w:szCs w:val="24"/>
          <w:lang w:eastAsia="en-ID"/>
        </w:rPr>
      </w:pPr>
      <w:r w:rsidRPr="00831D28">
        <w:rPr>
          <w:rFonts w:ascii="Times New Roman" w:eastAsia="Times New Roman" w:hAnsi="Times New Roman" w:cs="Times New Roman"/>
          <w:b/>
          <w:bCs/>
          <w:sz w:val="24"/>
          <w:szCs w:val="24"/>
          <w:lang w:eastAsia="en-ID"/>
        </w:rPr>
        <w:t>3.5 Digital Competitions as Catalysts for SDGs</w:t>
      </w:r>
    </w:p>
    <w:p w14:paraId="54D9CC85"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The poster competition aligns with multiple SDGs, notably SDG 4 (Quality Education), SDG 8 (Decent Work), SDG 9 (Innovation), and SDG 17 (Partnerships). As youth gain recognition and develop skills, they are better positioned to contribute to inclusive rural development.</w:t>
      </w:r>
    </w:p>
    <w:p w14:paraId="4287F637" w14:textId="77777777" w:rsidR="00831D28" w:rsidRPr="00831D28" w:rsidRDefault="00000000" w:rsidP="00831D28">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6CF46B60">
          <v:rect id="_x0000_i1033" style="width:0;height:1.5pt" o:hralign="center" o:hrstd="t" o:hr="t" fillcolor="#a0a0a0" stroked="f"/>
        </w:pict>
      </w:r>
    </w:p>
    <w:p w14:paraId="74FD6508" w14:textId="77777777" w:rsidR="00831D28" w:rsidRPr="00831D28" w:rsidRDefault="00831D28" w:rsidP="00831D28">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831D28">
        <w:rPr>
          <w:rFonts w:ascii="Times New Roman" w:eastAsia="Times New Roman" w:hAnsi="Times New Roman" w:cs="Times New Roman"/>
          <w:b/>
          <w:bCs/>
          <w:sz w:val="27"/>
          <w:szCs w:val="27"/>
          <w:lang w:eastAsia="en-ID"/>
        </w:rPr>
        <w:t>4. Conclusion</w:t>
      </w:r>
    </w:p>
    <w:p w14:paraId="3819E7EE"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The study concludes that digital poster competitions are more than artistic contests; they function as strategic mechanisms for cultivating youth confidence and embedding them as active contributors to rural development. By linking creativity with institutional support and digital platforms, the competitions act as triggers for broader participation in the Gen-PeDe movement.</w:t>
      </w:r>
    </w:p>
    <w:p w14:paraId="54E37166"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From a theoretical perspective, the research bridges creative youth practices with generational competency mapping and SDG localization. Practically, it offers policymakers, universities, and community organizations an accessible model for engaging youth at scale.</w:t>
      </w:r>
    </w:p>
    <w:p w14:paraId="34822B06" w14:textId="77777777" w:rsidR="00831D28" w:rsidRPr="00831D28" w:rsidRDefault="00831D28" w:rsidP="00831D28">
      <w:pPr>
        <w:spacing w:before="100" w:beforeAutospacing="1" w:after="100" w:afterAutospacing="1" w:line="240" w:lineRule="auto"/>
        <w:rPr>
          <w:rFonts w:ascii="Times New Roman" w:eastAsia="Times New Roman" w:hAnsi="Times New Roman" w:cs="Times New Roman"/>
          <w:sz w:val="24"/>
          <w:szCs w:val="24"/>
          <w:lang w:eastAsia="en-ID"/>
        </w:rPr>
      </w:pPr>
      <w:r w:rsidRPr="00831D28">
        <w:rPr>
          <w:rFonts w:ascii="Times New Roman" w:eastAsia="Times New Roman" w:hAnsi="Times New Roman" w:cs="Times New Roman"/>
          <w:sz w:val="24"/>
          <w:szCs w:val="24"/>
          <w:lang w:eastAsia="en-ID"/>
        </w:rPr>
        <w:t>Future research should expand empirical evaluation using surveys, interviews, and longitudinal studies to measure the sustained impacts of poster competitions on confidence, entrepreneurship, and community development outcomes.</w:t>
      </w:r>
    </w:p>
    <w:p w14:paraId="6118F149" w14:textId="77777777" w:rsidR="00ED7524" w:rsidRDefault="00ED7524"/>
    <w:sectPr w:rsidR="00ED75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031"/>
    <w:multiLevelType w:val="multilevel"/>
    <w:tmpl w:val="BE9AD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C646A6"/>
    <w:multiLevelType w:val="multilevel"/>
    <w:tmpl w:val="0074D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2466029">
    <w:abstractNumId w:val="0"/>
  </w:num>
  <w:num w:numId="2" w16cid:durableId="639768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524"/>
    <w:rsid w:val="00556122"/>
    <w:rsid w:val="00647B73"/>
    <w:rsid w:val="00694E9B"/>
    <w:rsid w:val="00831D28"/>
    <w:rsid w:val="00E0415A"/>
    <w:rsid w:val="00E65F79"/>
    <w:rsid w:val="00ED752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1B5E4"/>
  <w15:chartTrackingRefBased/>
  <w15:docId w15:val="{533CF81A-8926-4F84-A17D-22E9C20B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31D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D"/>
    </w:rPr>
  </w:style>
  <w:style w:type="paragraph" w:styleId="Heading3">
    <w:name w:val="heading 3"/>
    <w:basedOn w:val="Normal"/>
    <w:link w:val="Heading3Char"/>
    <w:uiPriority w:val="9"/>
    <w:qFormat/>
    <w:rsid w:val="00831D28"/>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paragraph" w:styleId="Heading4">
    <w:name w:val="heading 4"/>
    <w:basedOn w:val="Normal"/>
    <w:link w:val="Heading4Char"/>
    <w:uiPriority w:val="9"/>
    <w:qFormat/>
    <w:rsid w:val="00831D28"/>
    <w:pPr>
      <w:spacing w:before="100" w:beforeAutospacing="1" w:after="100" w:afterAutospacing="1" w:line="240" w:lineRule="auto"/>
      <w:outlineLvl w:val="3"/>
    </w:pPr>
    <w:rPr>
      <w:rFonts w:ascii="Times New Roman" w:eastAsia="Times New Roman" w:hAnsi="Times New Roman" w:cs="Times New Roman"/>
      <w:b/>
      <w:bCs/>
      <w:sz w:val="24"/>
      <w:szCs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D28"/>
    <w:rPr>
      <w:rFonts w:ascii="Times New Roman" w:eastAsia="Times New Roman" w:hAnsi="Times New Roman" w:cs="Times New Roman"/>
      <w:b/>
      <w:bCs/>
      <w:kern w:val="36"/>
      <w:sz w:val="48"/>
      <w:szCs w:val="48"/>
      <w:lang w:eastAsia="en-ID"/>
    </w:rPr>
  </w:style>
  <w:style w:type="character" w:customStyle="1" w:styleId="Heading3Char">
    <w:name w:val="Heading 3 Char"/>
    <w:basedOn w:val="DefaultParagraphFont"/>
    <w:link w:val="Heading3"/>
    <w:uiPriority w:val="9"/>
    <w:rsid w:val="00831D28"/>
    <w:rPr>
      <w:rFonts w:ascii="Times New Roman" w:eastAsia="Times New Roman" w:hAnsi="Times New Roman" w:cs="Times New Roman"/>
      <w:b/>
      <w:bCs/>
      <w:sz w:val="27"/>
      <w:szCs w:val="27"/>
      <w:lang w:eastAsia="en-ID"/>
    </w:rPr>
  </w:style>
  <w:style w:type="character" w:customStyle="1" w:styleId="Heading4Char">
    <w:name w:val="Heading 4 Char"/>
    <w:basedOn w:val="DefaultParagraphFont"/>
    <w:link w:val="Heading4"/>
    <w:uiPriority w:val="9"/>
    <w:rsid w:val="00831D28"/>
    <w:rPr>
      <w:rFonts w:ascii="Times New Roman" w:eastAsia="Times New Roman" w:hAnsi="Times New Roman" w:cs="Times New Roman"/>
      <w:b/>
      <w:bCs/>
      <w:sz w:val="24"/>
      <w:szCs w:val="24"/>
      <w:lang w:eastAsia="en-ID"/>
    </w:rPr>
  </w:style>
  <w:style w:type="paragraph" w:styleId="NormalWeb">
    <w:name w:val="Normal (Web)"/>
    <w:basedOn w:val="Normal"/>
    <w:uiPriority w:val="99"/>
    <w:semiHidden/>
    <w:unhideWhenUsed/>
    <w:rsid w:val="00831D28"/>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Emphasis">
    <w:name w:val="Emphasis"/>
    <w:basedOn w:val="DefaultParagraphFont"/>
    <w:uiPriority w:val="20"/>
    <w:qFormat/>
    <w:rsid w:val="00831D28"/>
    <w:rPr>
      <w:i/>
      <w:iCs/>
    </w:rPr>
  </w:style>
  <w:style w:type="character" w:styleId="Strong">
    <w:name w:val="Strong"/>
    <w:basedOn w:val="DefaultParagraphFont"/>
    <w:uiPriority w:val="22"/>
    <w:qFormat/>
    <w:rsid w:val="00831D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3377">
      <w:bodyDiv w:val="1"/>
      <w:marLeft w:val="0"/>
      <w:marRight w:val="0"/>
      <w:marTop w:val="0"/>
      <w:marBottom w:val="0"/>
      <w:divBdr>
        <w:top w:val="none" w:sz="0" w:space="0" w:color="auto"/>
        <w:left w:val="none" w:sz="0" w:space="0" w:color="auto"/>
        <w:bottom w:val="none" w:sz="0" w:space="0" w:color="auto"/>
        <w:right w:val="none" w:sz="0" w:space="0" w:color="auto"/>
      </w:divBdr>
    </w:div>
    <w:div w:id="304050568">
      <w:bodyDiv w:val="1"/>
      <w:marLeft w:val="0"/>
      <w:marRight w:val="0"/>
      <w:marTop w:val="0"/>
      <w:marBottom w:val="0"/>
      <w:divBdr>
        <w:top w:val="none" w:sz="0" w:space="0" w:color="auto"/>
        <w:left w:val="none" w:sz="0" w:space="0" w:color="auto"/>
        <w:bottom w:val="none" w:sz="0" w:space="0" w:color="auto"/>
        <w:right w:val="none" w:sz="0" w:space="0" w:color="auto"/>
      </w:divBdr>
    </w:div>
    <w:div w:id="817693487">
      <w:bodyDiv w:val="1"/>
      <w:marLeft w:val="0"/>
      <w:marRight w:val="0"/>
      <w:marTop w:val="0"/>
      <w:marBottom w:val="0"/>
      <w:divBdr>
        <w:top w:val="none" w:sz="0" w:space="0" w:color="auto"/>
        <w:left w:val="none" w:sz="0" w:space="0" w:color="auto"/>
        <w:bottom w:val="none" w:sz="0" w:space="0" w:color="auto"/>
        <w:right w:val="none" w:sz="0" w:space="0" w:color="auto"/>
      </w:divBdr>
    </w:div>
    <w:div w:id="908344360">
      <w:bodyDiv w:val="1"/>
      <w:marLeft w:val="0"/>
      <w:marRight w:val="0"/>
      <w:marTop w:val="0"/>
      <w:marBottom w:val="0"/>
      <w:divBdr>
        <w:top w:val="none" w:sz="0" w:space="0" w:color="auto"/>
        <w:left w:val="none" w:sz="0" w:space="0" w:color="auto"/>
        <w:bottom w:val="none" w:sz="0" w:space="0" w:color="auto"/>
        <w:right w:val="none" w:sz="0" w:space="0" w:color="auto"/>
      </w:divBdr>
    </w:div>
    <w:div w:id="1695693583">
      <w:bodyDiv w:val="1"/>
      <w:marLeft w:val="0"/>
      <w:marRight w:val="0"/>
      <w:marTop w:val="0"/>
      <w:marBottom w:val="0"/>
      <w:divBdr>
        <w:top w:val="none" w:sz="0" w:space="0" w:color="auto"/>
        <w:left w:val="none" w:sz="0" w:space="0" w:color="auto"/>
        <w:bottom w:val="none" w:sz="0" w:space="0" w:color="auto"/>
        <w:right w:val="none" w:sz="0" w:space="0" w:color="auto"/>
      </w:divBdr>
    </w:div>
    <w:div w:id="1830443488">
      <w:bodyDiv w:val="1"/>
      <w:marLeft w:val="0"/>
      <w:marRight w:val="0"/>
      <w:marTop w:val="0"/>
      <w:marBottom w:val="0"/>
      <w:divBdr>
        <w:top w:val="none" w:sz="0" w:space="0" w:color="auto"/>
        <w:left w:val="none" w:sz="0" w:space="0" w:color="auto"/>
        <w:bottom w:val="none" w:sz="0" w:space="0" w:color="auto"/>
        <w:right w:val="none" w:sz="0" w:space="0" w:color="auto"/>
      </w:divBdr>
    </w:div>
    <w:div w:id="211493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2886</Words>
  <Characters>16454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theaisha1707@gmail.com</cp:lastModifiedBy>
  <cp:revision>5</cp:revision>
  <dcterms:created xsi:type="dcterms:W3CDTF">2025-10-02T08:10:00Z</dcterms:created>
  <dcterms:modified xsi:type="dcterms:W3CDTF">2026-03-20T09:01:00Z</dcterms:modified>
</cp:coreProperties>
</file>