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charts/chart1.xml" ContentType="application/vnd.openxmlformats-officedocument.drawingml.chart+xml"/>
  <Override PartName="/word/charts/chart2.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DF4F33B" w14:textId="77777777" w:rsidR="00A0365C" w:rsidRDefault="00A0365C" w:rsidP="00A0365C">
      <w:pPr>
        <w:jc w:val="center"/>
        <w:rPr>
          <w:rFonts w:ascii="Times New Roman" w:hAnsi="Times New Roman" w:cs="Times New Roman"/>
          <w:b/>
          <w:bCs/>
          <w:sz w:val="24"/>
          <w:szCs w:val="24"/>
        </w:rPr>
      </w:pPr>
      <w:r w:rsidRPr="00451613">
        <w:rPr>
          <w:rFonts w:ascii="Times New Roman" w:hAnsi="Times New Roman" w:cs="Times New Roman"/>
          <w:b/>
          <w:bCs/>
          <w:sz w:val="24"/>
          <w:szCs w:val="24"/>
        </w:rPr>
        <w:t>Decoding ML Models Which Masters Stock Market Prediction</w:t>
      </w:r>
    </w:p>
    <w:p w14:paraId="293425C8" w14:textId="77777777" w:rsidR="00A0365C" w:rsidRPr="00451613" w:rsidRDefault="00A0365C" w:rsidP="00A0365C">
      <w:pPr>
        <w:jc w:val="both"/>
        <w:rPr>
          <w:rFonts w:ascii="Times New Roman" w:hAnsi="Times New Roman" w:cs="Times New Roman"/>
          <w:b/>
          <w:bCs/>
          <w:sz w:val="24"/>
          <w:szCs w:val="24"/>
        </w:rPr>
      </w:pPr>
      <w:bookmarkStart w:id="0" w:name="_GoBack"/>
      <w:bookmarkEnd w:id="0"/>
      <w:r w:rsidRPr="00451613">
        <w:rPr>
          <w:rFonts w:ascii="Times New Roman" w:hAnsi="Times New Roman" w:cs="Times New Roman"/>
          <w:b/>
          <w:bCs/>
          <w:sz w:val="24"/>
          <w:szCs w:val="24"/>
        </w:rPr>
        <w:t>Abstract:</w:t>
      </w:r>
    </w:p>
    <w:p w14:paraId="509A44C5" w14:textId="77777777" w:rsidR="00A0365C" w:rsidRPr="00451613" w:rsidRDefault="00A0365C" w:rsidP="00A0365C">
      <w:pPr>
        <w:jc w:val="both"/>
        <w:rPr>
          <w:rFonts w:ascii="Times New Roman" w:hAnsi="Times New Roman" w:cs="Times New Roman"/>
          <w:sz w:val="24"/>
          <w:szCs w:val="24"/>
        </w:rPr>
      </w:pPr>
      <w:r w:rsidRPr="00451613">
        <w:rPr>
          <w:rFonts w:ascii="Times New Roman" w:hAnsi="Times New Roman" w:cs="Times New Roman"/>
          <w:sz w:val="24"/>
          <w:szCs w:val="24"/>
        </w:rPr>
        <w:t xml:space="preserve">Predicting the stock market has always been difficult because financial data is dynamic, volatile, and non-linear. </w:t>
      </w:r>
      <w:r>
        <w:rPr>
          <w:rFonts w:ascii="Times New Roman" w:hAnsi="Times New Roman" w:cs="Times New Roman"/>
          <w:sz w:val="24"/>
          <w:szCs w:val="24"/>
        </w:rPr>
        <w:t>Machine-learning</w:t>
      </w:r>
      <w:r w:rsidRPr="00451613">
        <w:rPr>
          <w:rFonts w:ascii="Times New Roman" w:hAnsi="Times New Roman" w:cs="Times New Roman"/>
          <w:sz w:val="24"/>
          <w:szCs w:val="24"/>
        </w:rPr>
        <w:t xml:space="preserve"> (ML) models have become increasingly effective instruments for predicting stock prices and market trends as artificial intelligence has advanced. In this study, the predictive performance of three </w:t>
      </w:r>
      <w:r>
        <w:rPr>
          <w:rFonts w:ascii="Times New Roman" w:hAnsi="Times New Roman" w:cs="Times New Roman"/>
          <w:sz w:val="24"/>
          <w:szCs w:val="24"/>
        </w:rPr>
        <w:t>machine-learning</w:t>
      </w:r>
      <w:r w:rsidRPr="00451613">
        <w:rPr>
          <w:rFonts w:ascii="Times New Roman" w:hAnsi="Times New Roman" w:cs="Times New Roman"/>
          <w:sz w:val="24"/>
          <w:szCs w:val="24"/>
        </w:rPr>
        <w:t xml:space="preserve"> models—SVM, LSTM, and MLP—is assessed using stock price data from a subset of companies. The results show that no model performs better in every situation. Instead, the dataset's properties—such as data patterns, volatility, and the volume of historical records—have a significant impact on each model's accuracy and efficiency. MLP is good at capturing non-linear patterns in Mahindra and Mahindra, LSTM is efficient in the case of TATA Steel, and SVM shows good predictive ability in JSW.  SVM and MLP both show satisfactory results in the case of Maruti Suzuki. As a result, all three models demonstrate effectiveness in various settings, highlighting the significance of data attributes when choosing a suitable </w:t>
      </w:r>
      <w:r>
        <w:rPr>
          <w:rFonts w:ascii="Times New Roman" w:hAnsi="Times New Roman" w:cs="Times New Roman"/>
          <w:sz w:val="24"/>
          <w:szCs w:val="24"/>
        </w:rPr>
        <w:t>machine-learning</w:t>
      </w:r>
      <w:r w:rsidRPr="00451613">
        <w:rPr>
          <w:rFonts w:ascii="Times New Roman" w:hAnsi="Times New Roman" w:cs="Times New Roman"/>
          <w:sz w:val="24"/>
          <w:szCs w:val="24"/>
        </w:rPr>
        <w:t xml:space="preserve"> model for stock market prediction.</w:t>
      </w:r>
    </w:p>
    <w:p w14:paraId="494D0E9C" w14:textId="77777777" w:rsidR="00A0365C" w:rsidRPr="00451613" w:rsidRDefault="00A0365C" w:rsidP="00A0365C">
      <w:pPr>
        <w:jc w:val="both"/>
        <w:rPr>
          <w:rFonts w:ascii="Times New Roman" w:hAnsi="Times New Roman" w:cs="Times New Roman"/>
          <w:sz w:val="24"/>
          <w:szCs w:val="24"/>
        </w:rPr>
      </w:pPr>
      <w:r w:rsidRPr="00451613">
        <w:rPr>
          <w:rFonts w:ascii="Times New Roman" w:hAnsi="Times New Roman" w:cs="Times New Roman"/>
          <w:i/>
          <w:iCs/>
          <w:sz w:val="24"/>
          <w:szCs w:val="24"/>
        </w:rPr>
        <w:t xml:space="preserve">Keywords: </w:t>
      </w:r>
      <w:r>
        <w:rPr>
          <w:rFonts w:ascii="Times New Roman" w:hAnsi="Times New Roman" w:cs="Times New Roman"/>
          <w:sz w:val="24"/>
          <w:szCs w:val="24"/>
        </w:rPr>
        <w:t>Machine-learning</w:t>
      </w:r>
      <w:r w:rsidRPr="00451613">
        <w:rPr>
          <w:rFonts w:ascii="Times New Roman" w:hAnsi="Times New Roman" w:cs="Times New Roman"/>
          <w:sz w:val="24"/>
          <w:szCs w:val="24"/>
        </w:rPr>
        <w:t>, Stock Market, LSTM, SVM, MLP, Deep learning, Stock market prediction</w:t>
      </w:r>
    </w:p>
    <w:p w14:paraId="2C3656BB" w14:textId="77777777" w:rsidR="00A0365C" w:rsidRPr="00451613" w:rsidRDefault="00A0365C" w:rsidP="00A0365C">
      <w:pPr>
        <w:jc w:val="both"/>
        <w:rPr>
          <w:rFonts w:ascii="Times New Roman" w:hAnsi="Times New Roman" w:cs="Times New Roman"/>
          <w:b/>
          <w:bCs/>
          <w:sz w:val="24"/>
          <w:szCs w:val="24"/>
        </w:rPr>
        <w:sectPr w:rsidR="00A0365C" w:rsidRPr="00451613" w:rsidSect="00A0365C">
          <w:footerReference w:type="default" r:id="rId7"/>
          <w:pgSz w:w="11906" w:h="16838"/>
          <w:pgMar w:top="1440" w:right="1440" w:bottom="1440" w:left="1440" w:header="708" w:footer="708" w:gutter="0"/>
          <w:cols w:space="708"/>
          <w:docGrid w:linePitch="360"/>
        </w:sectPr>
      </w:pPr>
      <w:r w:rsidRPr="00451613">
        <w:rPr>
          <w:rFonts w:ascii="Times New Roman" w:hAnsi="Times New Roman" w:cs="Times New Roman"/>
          <w:b/>
          <w:bCs/>
          <w:sz w:val="24"/>
          <w:szCs w:val="24"/>
        </w:rPr>
        <w:t>1. Introduction:</w:t>
      </w:r>
    </w:p>
    <w:p w14:paraId="3BAA1887" w14:textId="77777777" w:rsidR="00A0365C" w:rsidRPr="00451613" w:rsidRDefault="00A0365C" w:rsidP="00A0365C">
      <w:pPr>
        <w:jc w:val="both"/>
        <w:rPr>
          <w:rFonts w:ascii="Times New Roman" w:hAnsi="Times New Roman" w:cs="Times New Roman"/>
          <w:sz w:val="24"/>
          <w:szCs w:val="24"/>
        </w:rPr>
      </w:pPr>
      <w:r w:rsidRPr="00451613">
        <w:rPr>
          <w:rFonts w:ascii="Times New Roman" w:hAnsi="Times New Roman" w:cs="Times New Roman"/>
          <w:sz w:val="24"/>
          <w:szCs w:val="24"/>
        </w:rPr>
        <w:lastRenderedPageBreak/>
        <w:t xml:space="preserve">Stock market prediction is a complex task (Kumar &amp; Thenmozhi, n.d.-c), but complexity makes it interesting. The curiosity of researchers (Gunduz, 2021) and financial analysts to make stock market predictions accurate and take informed investment decisions sets a stage for new techniques (Gupta et al., 2025). The stock market is one of the chaotic places that is shaken not only by defined forces (Vijh et al., 2020) but also by undefined forces, which makes the stock market uncertain or unpredictable. Traditionally econometric models utilized for the prediction of the stock market consist of GARCH, ARMA, ARIMA, etc. Even these measures show a light of success in stock market prediction (Wilhelmsson, 2006) (Lorenzato de Oliveira JF, Ludermir TB, 2014). (Zhao, C., Cai, J., &amp; Yang, S. 2025), but as time passes, the stock market becomes a </w:t>
      </w:r>
      <w:r w:rsidRPr="00451613">
        <w:rPr>
          <w:rFonts w:ascii="Times New Roman" w:hAnsi="Times New Roman" w:cs="Times New Roman"/>
          <w:sz w:val="24"/>
          <w:szCs w:val="24"/>
        </w:rPr>
        <w:lastRenderedPageBreak/>
        <w:t xml:space="preserve">turmoil, and the traditional techniques fail to align with the market momentum. These models begin to struggle with the non-linearity and non-stationarity of the long-term data (Han et al., 2024). Mostly retail investors remain unaware of the behaviour of the market. (Khan et al., 2020), Therefore, subsequent research has shown that these models struggle to capture the non-periodic features of stocks and fail to fully reflect the true distribution of the data (Zhao, C., Cai, J., &amp; Yang, S. 2025). Undoubtedly, these challenges become a gateway for AI in stock market prediction. Since the dawn of artificial intelligence, </w:t>
      </w:r>
      <w:r>
        <w:rPr>
          <w:rFonts w:ascii="Times New Roman" w:hAnsi="Times New Roman" w:cs="Times New Roman"/>
          <w:sz w:val="24"/>
          <w:szCs w:val="24"/>
        </w:rPr>
        <w:t>machine-learning</w:t>
      </w:r>
      <w:r w:rsidRPr="00451613">
        <w:rPr>
          <w:rFonts w:ascii="Times New Roman" w:hAnsi="Times New Roman" w:cs="Times New Roman"/>
          <w:sz w:val="24"/>
          <w:szCs w:val="24"/>
        </w:rPr>
        <w:t xml:space="preserve"> models have been able to learn patterns from the historical data and make predictions for their ultimate users (Gupta et al., 2025). There are many usable </w:t>
      </w:r>
      <w:r>
        <w:rPr>
          <w:rFonts w:ascii="Times New Roman" w:hAnsi="Times New Roman" w:cs="Times New Roman"/>
          <w:sz w:val="24"/>
          <w:szCs w:val="24"/>
        </w:rPr>
        <w:t>machine-learning</w:t>
      </w:r>
      <w:r w:rsidRPr="00451613">
        <w:rPr>
          <w:rFonts w:ascii="Times New Roman" w:hAnsi="Times New Roman" w:cs="Times New Roman"/>
          <w:sz w:val="24"/>
          <w:szCs w:val="24"/>
        </w:rPr>
        <w:t xml:space="preserve"> models for prediction with satisfactory success rates, including Random Forest (RF), Support </w:t>
      </w:r>
      <w:r w:rsidRPr="00451613">
        <w:rPr>
          <w:rFonts w:ascii="Times New Roman" w:hAnsi="Times New Roman" w:cs="Times New Roman"/>
          <w:sz w:val="24"/>
          <w:szCs w:val="24"/>
        </w:rPr>
        <w:lastRenderedPageBreak/>
        <w:t xml:space="preserve">Vector Machines (SVM), and Gradient Boosting Decision Trees (GBDT) (Zhao, C., Cai, J., &amp; Yang, S. 2025); however, in the case of large data, you can’t solely rely on </w:t>
      </w:r>
      <w:r>
        <w:rPr>
          <w:rFonts w:ascii="Times New Roman" w:hAnsi="Times New Roman" w:cs="Times New Roman"/>
          <w:sz w:val="24"/>
          <w:szCs w:val="24"/>
        </w:rPr>
        <w:t>machine-learning</w:t>
      </w:r>
      <w:r w:rsidRPr="00451613">
        <w:rPr>
          <w:rFonts w:ascii="Times New Roman" w:hAnsi="Times New Roman" w:cs="Times New Roman"/>
          <w:sz w:val="24"/>
          <w:szCs w:val="24"/>
        </w:rPr>
        <w:t xml:space="preserve"> models for prediction (LeCun et al., 2015) because they face problems in the case of large data sets and highly sequential data. Deep learning as a subset of </w:t>
      </w:r>
      <w:r>
        <w:rPr>
          <w:rFonts w:ascii="Times New Roman" w:hAnsi="Times New Roman" w:cs="Times New Roman"/>
          <w:sz w:val="24"/>
          <w:szCs w:val="24"/>
        </w:rPr>
        <w:t>machine-learning</w:t>
      </w:r>
      <w:r w:rsidRPr="00451613">
        <w:rPr>
          <w:rFonts w:ascii="Times New Roman" w:hAnsi="Times New Roman" w:cs="Times New Roman"/>
          <w:sz w:val="24"/>
          <w:szCs w:val="24"/>
        </w:rPr>
        <w:t xml:space="preserve"> provides a solution for the drawback of ML and enters the race of prediction tools, including Convolutional Neural Networks (CNN), Recurrent Neural Networks (RNN), and Long Short-Term Memory Networks (LSTM) (Zhao, C., Cai, J., &amp; Yang, S. 2025). There are various tools of </w:t>
      </w:r>
      <w:r>
        <w:rPr>
          <w:rFonts w:ascii="Times New Roman" w:hAnsi="Times New Roman" w:cs="Times New Roman"/>
          <w:sz w:val="24"/>
          <w:szCs w:val="24"/>
        </w:rPr>
        <w:t>machine-learning</w:t>
      </w:r>
      <w:r w:rsidRPr="00451613">
        <w:rPr>
          <w:rFonts w:ascii="Times New Roman" w:hAnsi="Times New Roman" w:cs="Times New Roman"/>
          <w:sz w:val="24"/>
          <w:szCs w:val="24"/>
        </w:rPr>
        <w:t xml:space="preserve"> and deep learning, but the question rises: which model is most suitable for prediction? Which is more assurable and considered as a premise for investors’ decision? Which model suitable for which type of data? So here researchers in this study try to find out the answers to these above questions. Before starting, we take a dive into techniques, which we further used in our analysis.</w:t>
      </w:r>
    </w:p>
    <w:p w14:paraId="077BCFA8" w14:textId="77777777" w:rsidR="00A0365C" w:rsidRPr="00451613" w:rsidRDefault="00A0365C" w:rsidP="00A0365C">
      <w:pPr>
        <w:jc w:val="both"/>
        <w:rPr>
          <w:rFonts w:ascii="Times New Roman" w:hAnsi="Times New Roman" w:cs="Times New Roman"/>
          <w:sz w:val="24"/>
          <w:szCs w:val="24"/>
        </w:rPr>
      </w:pPr>
      <w:r w:rsidRPr="00451613">
        <w:rPr>
          <w:rFonts w:ascii="Times New Roman" w:hAnsi="Times New Roman" w:cs="Times New Roman"/>
          <w:sz w:val="24"/>
          <w:szCs w:val="24"/>
        </w:rPr>
        <w:t>Neural networks and deep learning approaches are mainly developed for time series prediction, especially in recurrent neural networks (RNN) (Saranj, A. &amp; Zolfaghari, M. 2022) (Cui et al., 2020; Toubeau et al., 2021). RNN faces a gradient problem. LSTM is an upgraded version of RNN that does</w:t>
      </w:r>
      <w:r>
        <w:rPr>
          <w:rFonts w:ascii="Times New Roman" w:hAnsi="Times New Roman" w:cs="Times New Roman"/>
          <w:sz w:val="24"/>
          <w:szCs w:val="24"/>
        </w:rPr>
        <w:t xml:space="preserve"> not</w:t>
      </w:r>
      <w:r w:rsidRPr="00451613">
        <w:rPr>
          <w:rFonts w:ascii="Times New Roman" w:hAnsi="Times New Roman" w:cs="Times New Roman"/>
          <w:sz w:val="24"/>
          <w:szCs w:val="24"/>
        </w:rPr>
        <w:t xml:space="preserve"> only cover gaps of RNN but also provides extra features like a 3-gate mechanism, long-term dependency handling, and memory cells, which are able to apply to historical data and improve time series analysis (Petersen et al., 2019; Guo et al., 2021). (Saranj, A. &amp; Zolfaghari, M. 2022)(Billah, M. M., Sultana, A., Bhuiyan, F., &amp; Kaosar, M. G. 2024) LSTM is way better than </w:t>
      </w:r>
      <w:r w:rsidRPr="00451613">
        <w:rPr>
          <w:rFonts w:ascii="Times New Roman" w:hAnsi="Times New Roman" w:cs="Times New Roman"/>
          <w:sz w:val="24"/>
          <w:szCs w:val="24"/>
        </w:rPr>
        <w:lastRenderedPageBreak/>
        <w:t>technical analysis tools, i.e., SMA and EMA, due to their capability of capturing long-term patterns through memory cells and forget, input &amp; output gates (Tuğrul etal. 2024)</w:t>
      </w:r>
    </w:p>
    <w:p w14:paraId="33DA26FD" w14:textId="77777777" w:rsidR="00A0365C" w:rsidRPr="00451613" w:rsidRDefault="00A0365C" w:rsidP="00A0365C">
      <w:pPr>
        <w:jc w:val="both"/>
        <w:rPr>
          <w:rFonts w:ascii="Times New Roman" w:hAnsi="Times New Roman" w:cs="Times New Roman"/>
          <w:sz w:val="24"/>
          <w:szCs w:val="24"/>
        </w:rPr>
      </w:pPr>
      <w:r w:rsidRPr="00451613">
        <w:rPr>
          <w:rFonts w:ascii="Times New Roman" w:hAnsi="Times New Roman" w:cs="Times New Roman"/>
          <w:sz w:val="24"/>
          <w:szCs w:val="24"/>
        </w:rPr>
        <w:t xml:space="preserve">ANN is one of the commonly used techniques in </w:t>
      </w:r>
      <w:r>
        <w:rPr>
          <w:rFonts w:ascii="Times New Roman" w:hAnsi="Times New Roman" w:cs="Times New Roman"/>
          <w:sz w:val="24"/>
          <w:szCs w:val="24"/>
        </w:rPr>
        <w:t>machine-learning</w:t>
      </w:r>
      <w:r w:rsidRPr="00451613">
        <w:rPr>
          <w:rFonts w:ascii="Times New Roman" w:hAnsi="Times New Roman" w:cs="Times New Roman"/>
          <w:sz w:val="24"/>
          <w:szCs w:val="24"/>
        </w:rPr>
        <w:t xml:space="preserve">, not only in the stock market. ANNs have shown a high degree of success in function approximation in different fields, including geotechnical engineering (Huang et al., 2023) (Zhang and Goh, 2016), but it faces problems like overfitting due to the heavy amount of data. Support vector developed as a successor of ANN, handling limitations of ANN (Hegazy et al., 2013). SVM divided data into two classes through a </w:t>
      </w:r>
      <w:r>
        <w:rPr>
          <w:rFonts w:ascii="Times New Roman" w:hAnsi="Times New Roman" w:cs="Times New Roman"/>
          <w:sz w:val="24"/>
          <w:szCs w:val="24"/>
        </w:rPr>
        <w:t>straight-line</w:t>
      </w:r>
      <w:r w:rsidRPr="00451613">
        <w:rPr>
          <w:rFonts w:ascii="Times New Roman" w:hAnsi="Times New Roman" w:cs="Times New Roman"/>
          <w:sz w:val="24"/>
          <w:szCs w:val="24"/>
        </w:rPr>
        <w:t xml:space="preserve"> (Toraman et al., 2019) (Çınar &amp; Tuncer, 2020), which is known as a hyperplane in N dimensions (N is the number of features) (Chen et al., 2004). SVM is a binary linear classifier that has been extended to non-linear data using kernels and multi-class data using various techniques (Chauhan et al., 2018).</w:t>
      </w:r>
    </w:p>
    <w:p w14:paraId="53169246" w14:textId="77777777" w:rsidR="00A0365C" w:rsidRPr="00451613" w:rsidRDefault="00A0365C" w:rsidP="00A0365C">
      <w:pPr>
        <w:jc w:val="both"/>
        <w:rPr>
          <w:rFonts w:ascii="Times New Roman" w:hAnsi="Times New Roman" w:cs="Times New Roman"/>
          <w:sz w:val="24"/>
          <w:szCs w:val="24"/>
        </w:rPr>
      </w:pPr>
      <w:r w:rsidRPr="00451613">
        <w:rPr>
          <w:rFonts w:ascii="Times New Roman" w:hAnsi="Times New Roman" w:cs="Times New Roman"/>
          <w:sz w:val="24"/>
          <w:szCs w:val="24"/>
        </w:rPr>
        <w:t xml:space="preserve">SVM classifies into two types. One is linear SVM, and the second one is nonlinear SVM (Kurani et al., 2021). (Chauhan et al., 2018) in linear SVM, data is classified into two classes through a linear </w:t>
      </w:r>
      <w:r>
        <w:rPr>
          <w:rFonts w:ascii="Times New Roman" w:hAnsi="Times New Roman" w:cs="Times New Roman"/>
          <w:sz w:val="24"/>
          <w:szCs w:val="24"/>
        </w:rPr>
        <w:t>straight-line</w:t>
      </w:r>
      <w:r w:rsidRPr="00451613">
        <w:rPr>
          <w:rFonts w:ascii="Times New Roman" w:hAnsi="Times New Roman" w:cs="Times New Roman"/>
          <w:sz w:val="24"/>
          <w:szCs w:val="24"/>
        </w:rPr>
        <w:t xml:space="preserve">, unlike nonlinear data, which cannot be divided into two groups using one </w:t>
      </w:r>
      <w:r>
        <w:rPr>
          <w:rFonts w:ascii="Times New Roman" w:hAnsi="Times New Roman" w:cs="Times New Roman"/>
          <w:sz w:val="24"/>
          <w:szCs w:val="24"/>
        </w:rPr>
        <w:t>straight-line</w:t>
      </w:r>
      <w:r w:rsidRPr="00451613">
        <w:rPr>
          <w:rFonts w:ascii="Times New Roman" w:hAnsi="Times New Roman" w:cs="Times New Roman"/>
          <w:sz w:val="24"/>
          <w:szCs w:val="24"/>
        </w:rPr>
        <w:t>. SVM is highly powerful with high dimensions; the remembering power of SVM is also great. (Chhajer et al., 2022) SVM can be utilized in various places like particle identification, text categorization, engine knock detection, bioinformatics, database marketing, etc. (Yue et al., 2003)</w:t>
      </w:r>
    </w:p>
    <w:p w14:paraId="23F66385" w14:textId="77777777" w:rsidR="00A0365C" w:rsidRPr="00451613" w:rsidRDefault="00A0365C" w:rsidP="00A0365C">
      <w:pPr>
        <w:jc w:val="both"/>
        <w:rPr>
          <w:rFonts w:ascii="Times New Roman" w:hAnsi="Times New Roman" w:cs="Times New Roman"/>
          <w:sz w:val="24"/>
          <w:szCs w:val="24"/>
        </w:rPr>
      </w:pPr>
      <w:r w:rsidRPr="00451613">
        <w:rPr>
          <w:rFonts w:ascii="Times New Roman" w:hAnsi="Times New Roman" w:cs="Times New Roman"/>
          <w:sz w:val="24"/>
          <w:szCs w:val="24"/>
        </w:rPr>
        <w:t xml:space="preserve">MLP can handle nonlinear data because of its approximating arbitrage feature, which </w:t>
      </w:r>
      <w:r w:rsidRPr="00451613">
        <w:rPr>
          <w:rFonts w:ascii="Times New Roman" w:hAnsi="Times New Roman" w:cs="Times New Roman"/>
          <w:sz w:val="24"/>
          <w:szCs w:val="24"/>
        </w:rPr>
        <w:lastRenderedPageBreak/>
        <w:t>helps to enhance its prediction. Nonlinear processing elements (PEs), which introduce nonlinearity in the data and help models to learn complex patterns within the data set (Guresen et al., 2011). In MLP, data passes from 3 layers, which are divided as input layer, hidden layer, and output layer, and in each layer, numerous neurons are present. These neurons are not connected in the same layer but are connected to the next layer (M et al., 2018). teaches the model about patterns and minimizes prediction error.</w:t>
      </w:r>
    </w:p>
    <w:p w14:paraId="3E54A1DC" w14:textId="77777777" w:rsidR="00A0365C" w:rsidRPr="00451613" w:rsidRDefault="00A0365C" w:rsidP="00A0365C">
      <w:pPr>
        <w:jc w:val="both"/>
        <w:rPr>
          <w:rFonts w:ascii="Times New Roman" w:hAnsi="Times New Roman" w:cs="Times New Roman"/>
          <w:sz w:val="24"/>
          <w:szCs w:val="24"/>
        </w:rPr>
      </w:pPr>
      <w:r w:rsidRPr="00451613">
        <w:rPr>
          <w:rFonts w:ascii="Times New Roman" w:hAnsi="Times New Roman" w:cs="Times New Roman"/>
          <w:b/>
          <w:bCs/>
          <w:sz w:val="24"/>
          <w:szCs w:val="24"/>
        </w:rPr>
        <w:t>2. Related Work:</w:t>
      </w:r>
    </w:p>
    <w:p w14:paraId="4FD245C5" w14:textId="77777777" w:rsidR="00A0365C" w:rsidRPr="00451613" w:rsidRDefault="00A0365C" w:rsidP="00A0365C">
      <w:pPr>
        <w:jc w:val="both"/>
        <w:rPr>
          <w:rFonts w:ascii="Times New Roman" w:hAnsi="Times New Roman" w:cs="Times New Roman"/>
          <w:sz w:val="24"/>
          <w:szCs w:val="24"/>
        </w:rPr>
      </w:pPr>
      <w:bookmarkStart w:id="1" w:name="_Hlk199848715"/>
      <w:r w:rsidRPr="00451613">
        <w:rPr>
          <w:rFonts w:ascii="Times New Roman" w:hAnsi="Times New Roman" w:cs="Times New Roman"/>
          <w:sz w:val="24"/>
          <w:szCs w:val="24"/>
        </w:rPr>
        <w:t xml:space="preserve">When traditional models faced the non-linearity and non-stationarity problem, </w:t>
      </w:r>
      <w:r>
        <w:rPr>
          <w:rFonts w:ascii="Times New Roman" w:hAnsi="Times New Roman" w:cs="Times New Roman"/>
          <w:sz w:val="24"/>
          <w:szCs w:val="24"/>
        </w:rPr>
        <w:t>machine-learning</w:t>
      </w:r>
      <w:r w:rsidRPr="00451613">
        <w:rPr>
          <w:rFonts w:ascii="Times New Roman" w:hAnsi="Times New Roman" w:cs="Times New Roman"/>
          <w:sz w:val="24"/>
          <w:szCs w:val="24"/>
        </w:rPr>
        <w:t xml:space="preserve"> models came into the picture with their outrageous power of detecting patterns and forecasting. (Nikou et al., 2019) (Das &amp; Padhy, 2012; Guo, Wang, Liu, &amp; Yang, 2014; Lu, Lee, &amp; Chiu, 2009) express, Out of so many </w:t>
      </w:r>
      <w:r>
        <w:rPr>
          <w:rFonts w:ascii="Times New Roman" w:hAnsi="Times New Roman" w:cs="Times New Roman"/>
          <w:sz w:val="24"/>
          <w:szCs w:val="24"/>
        </w:rPr>
        <w:t>machine-learning</w:t>
      </w:r>
      <w:r w:rsidRPr="00451613">
        <w:rPr>
          <w:rFonts w:ascii="Times New Roman" w:hAnsi="Times New Roman" w:cs="Times New Roman"/>
          <w:sz w:val="24"/>
          <w:szCs w:val="24"/>
        </w:rPr>
        <w:t xml:space="preserve"> algorithms, ANN, SVM, and RF were widely utilized for forecasting with high precision, and Aydin &amp; Cavdar (2015), Giovanis (2009), and Yim (2002) reflect the superiority of these ML models over traditional regression models (Chhajer et al., 2022) if we provide sufficient thick data for prediction. Liu (2025) compared ML and DL models and depicted that SVM and RF show an inability to capture the critical time dependency patterns in stock market data efficiently, while DL models like RNN &amp; LSTM, etc., are the forefathers of ML models in capturing time dependency trajectories. (Han et al., 2024) Describe DL as a multi-layer tapestry of understanding used for computer vision, speech recognition, and NLP. Chahal &amp; Gulia (2019) underline the application of </w:t>
      </w:r>
      <w:r w:rsidRPr="00451613">
        <w:rPr>
          <w:rFonts w:ascii="Times New Roman" w:hAnsi="Times New Roman" w:cs="Times New Roman"/>
          <w:sz w:val="24"/>
          <w:szCs w:val="24"/>
        </w:rPr>
        <w:lastRenderedPageBreak/>
        <w:t xml:space="preserve">ML and DL as per data characteristics; for the small training data set, one must work on ML. On the other hand, if the data set is large and you want to do an analysis in minutes, then prefer DL because the process time is low as compared to conventional ML techniques. (Chhajer et al., 2022) forecast share price of Amazon with SVM &amp; LR, Tesla with SVM and LSTM, and Reliance Ltd. through SVM on technical indicator data; in each forecast SVM shows different results as per the competitor model in the case of Amazon SVM shows less accuracy than LR on the other side as compared to LSTM; SVM and LR both show the same preciseness, and in the Reliance Ltd. case, resulted in accuracy ranging between 51.43% and 53.15% as per the kernel used. Even include that SVM is faster than ANN when dealing with thousands of data. Kumar &amp; Thenmozhi (n.d.) evaluate the performance of SVM, RF, and ANN in forecasting the S&amp;P CNX NIFTY INDEX from the year 2000 to 2005 and also utilize 12 technical indicators and find that SVM outperforms RF and ANN, SVM is superior to RF by 1.04%, and RF is better than ANN. SVM is efficient because of its structural risk minimization principle as compared to other tools. (Lakshminarayanan &amp; McCrae, n.d.) Researchers consider two types of data to measure the performance of LSTM with moving average and SVM on the combined data set (DJI stock price, gold price, and crude oil) and individual data separately. The study displays that in the case of the combined data set, LSTM outperforms SVM, but on the other side of the coin, SVM and LSTM act equally if data is individual and without moving average. This study includes literature from Wang et al. (2018), who denote that </w:t>
      </w:r>
      <w:r w:rsidRPr="00451613">
        <w:rPr>
          <w:rFonts w:ascii="Times New Roman" w:hAnsi="Times New Roman" w:cs="Times New Roman"/>
          <w:sz w:val="24"/>
          <w:szCs w:val="24"/>
        </w:rPr>
        <w:lastRenderedPageBreak/>
        <w:t xml:space="preserve">LSTM presents more accuracy compared to backpropagation NN. Billah et al. (2024) disclose that if the data set is short-term, then LSTM predicts the market better as compared to SMA, EMA, or vice versa. Gupta, S., Nachappa, S., &amp; Paramanandham, N. (2025) analyze the superiority of models such as LSTM, GARCH, SVM, RF, ANN, XGBoost, and AdaBoost over others, using historical data of TCS on the NSE website from Jan 2019 to June 2024. The study infers that LSTM ranked 1st and GARCH ranked 2nd in performance to predict volatility, surpassing other models in performance with a high margin (20.83% success margin in the case of RF and 14.36% or 12.244% for SVM), but LSTM in the case of GARCH shows a lower margin (2.42%) of success. Guresen et al. (2011) compare the classical ANN model, MLP with DAN2, and the hybrid models GARCH-MLP and GARCH-DAN2 and conclude that MLP predicts the NASDAQ Stock Exchange Index with the small error of 0.54% and surpasses all the other models. (Majumder, A. 2021) Their researcher measured the performance of ML models and used 6 evaluation matrices (EVS, RMSE, MSE, R-squared root, adjusted R-squared score, and MAE). Across all six models, LSTM performed superior to other models (LR, RF, SVM, and VAR), because LSTM's multiple-layer and gate structure make it highly efficient for sequential data. SVM infers as the worst model in the study over all six metrics. Namdari (2021) studied and evaluated MLP combined with fundamental analysis and technical analysis and compared it with LSTM, SVM, HATS, and a hybrid model (NARX + Fundamental Analysis + Historical Prices), in which the hybrid model outperformed all the models. The </w:t>
      </w:r>
      <w:r w:rsidRPr="00451613">
        <w:rPr>
          <w:rFonts w:ascii="Times New Roman" w:hAnsi="Times New Roman" w:cs="Times New Roman"/>
          <w:sz w:val="24"/>
          <w:szCs w:val="24"/>
        </w:rPr>
        <w:lastRenderedPageBreak/>
        <w:t xml:space="preserve">result of the hybrid model can be generalized and is more reliable; even MLP + Fundamental Analysis shows 64.38% accuracy with good generalization power as compared to MLP + Technical Analysis. Kara et al. (2010) conclude that ANN outperforms SVM in the prediction of the ISE National 100 Index; the researcher divided data 50-50% for comparing performance. Guo et al. (2020) examine the efficiency of SVM, RF, and LSTM and find that none of the models are able to predict short-term energy loads; therefore, the study proposes a fusion method for prediction by combining all three models’ characteristics, which outperforms all the individual models. The Bhandari et al. (2022) study depicts that single-layer LSTM is performing well as compared to multilayer LSTM and suggests that adding complexity in multilayer did not help to improve prediction and even has a chance of overfitting in multilayer LSTM. Apart from stock market prediction, </w:t>
      </w:r>
      <w:r>
        <w:rPr>
          <w:rFonts w:ascii="Times New Roman" w:hAnsi="Times New Roman" w:cs="Times New Roman"/>
          <w:sz w:val="24"/>
          <w:szCs w:val="24"/>
        </w:rPr>
        <w:t>machine-learning</w:t>
      </w:r>
      <w:r w:rsidRPr="00451613">
        <w:rPr>
          <w:rFonts w:ascii="Times New Roman" w:hAnsi="Times New Roman" w:cs="Times New Roman"/>
          <w:sz w:val="24"/>
          <w:szCs w:val="24"/>
        </w:rPr>
        <w:t xml:space="preserve"> and deep learning models overshadow traditional models in various sectors of the economy. (Alizadegan et al., 2024) energy consumption, (Dolaeva et al., 2025) P/E ratio forecast through investor sentiment (R. Chen et al., 2019) typhoon prediction, (K. Gupta et al., 2022) blood pressure detection, (Luo &amp; Gong, 2023) air pollutant detection, (Zhang &amp; Fu, 2022) smart wearable for sports,  (Rehman et al., 2019) predict movie reviews in all the research LSTM model and hybrid models yield highly accurate results; moreover, SVM and RF are also utilized in predicting the risk of railway incidents (W. Huang et al., 2021), bioinformatics (www), image classification (Chandra &amp; Bedi, 2018), surface water and groundwater hydrology </w:t>
      </w:r>
      <w:r w:rsidRPr="00451613">
        <w:rPr>
          <w:rFonts w:ascii="Times New Roman" w:hAnsi="Times New Roman" w:cs="Times New Roman"/>
          <w:sz w:val="24"/>
          <w:szCs w:val="24"/>
        </w:rPr>
        <w:lastRenderedPageBreak/>
        <w:t xml:space="preserve">(Raghavendra &amp; Deka, 2014) (Naghibi et al., 2017), and identifying genetic diversity for conservation or protection (Sylvester et al., 2017). Psychological research (Fife &amp; D’Onofrio, 2022) Ample comparative study of </w:t>
      </w:r>
      <w:r>
        <w:rPr>
          <w:rFonts w:ascii="Times New Roman" w:hAnsi="Times New Roman" w:cs="Times New Roman"/>
          <w:sz w:val="24"/>
          <w:szCs w:val="24"/>
        </w:rPr>
        <w:t>machine-learning</w:t>
      </w:r>
      <w:r w:rsidRPr="00451613">
        <w:rPr>
          <w:rFonts w:ascii="Times New Roman" w:hAnsi="Times New Roman" w:cs="Times New Roman"/>
          <w:sz w:val="24"/>
          <w:szCs w:val="24"/>
        </w:rPr>
        <w:t xml:space="preserve"> and deep learning tools exists; nevertheless, barely any study utilized datasets spanning over a decade. Furthermore, current research scarcely accounts for companies across diverse sectors in the study. Which hinders generalization of their study. Thus, our contribution is to analyze a dataset of 4 companies of 2 different sectors </w:t>
      </w:r>
      <w:r w:rsidRPr="001D029A">
        <w:rPr>
          <w:rFonts w:ascii="Times New Roman" w:hAnsi="Times New Roman" w:cs="Times New Roman"/>
          <w:sz w:val="24"/>
          <w:szCs w:val="24"/>
        </w:rPr>
        <w:t xml:space="preserve">over the </w:t>
      </w:r>
      <w:r>
        <w:rPr>
          <w:rFonts w:ascii="Times New Roman" w:hAnsi="Times New Roman" w:cs="Times New Roman"/>
          <w:sz w:val="24"/>
          <w:szCs w:val="24"/>
        </w:rPr>
        <w:t>long-term</w:t>
      </w:r>
      <w:r w:rsidRPr="001D029A">
        <w:rPr>
          <w:rFonts w:ascii="Times New Roman" w:hAnsi="Times New Roman" w:cs="Times New Roman"/>
          <w:sz w:val="24"/>
          <w:szCs w:val="24"/>
        </w:rPr>
        <w:t xml:space="preserve"> of share price. and measure</w:t>
      </w:r>
      <w:r w:rsidRPr="00451613">
        <w:rPr>
          <w:rFonts w:ascii="Times New Roman" w:hAnsi="Times New Roman" w:cs="Times New Roman"/>
          <w:sz w:val="24"/>
          <w:szCs w:val="24"/>
        </w:rPr>
        <w:t xml:space="preserve"> the performance of LSTM, SVM, and MLP, which hardly any studies compare.</w:t>
      </w:r>
    </w:p>
    <w:p w14:paraId="50CB7008" w14:textId="77777777" w:rsidR="00A0365C" w:rsidRPr="00451613" w:rsidRDefault="00A0365C" w:rsidP="00A0365C">
      <w:pPr>
        <w:jc w:val="both"/>
        <w:rPr>
          <w:rFonts w:ascii="Times New Roman" w:hAnsi="Times New Roman" w:cs="Times New Roman"/>
          <w:b/>
          <w:bCs/>
          <w:sz w:val="24"/>
          <w:szCs w:val="24"/>
        </w:rPr>
      </w:pPr>
      <w:r w:rsidRPr="00451613">
        <w:rPr>
          <w:rFonts w:ascii="Times New Roman" w:hAnsi="Times New Roman" w:cs="Times New Roman"/>
          <w:b/>
          <w:bCs/>
          <w:sz w:val="24"/>
          <w:szCs w:val="24"/>
        </w:rPr>
        <w:t>3. Research Methodology:</w:t>
      </w:r>
    </w:p>
    <w:p w14:paraId="2795B81A" w14:textId="77777777" w:rsidR="00A0365C" w:rsidRPr="00451613" w:rsidRDefault="00A0365C" w:rsidP="00A0365C">
      <w:pPr>
        <w:jc w:val="both"/>
        <w:rPr>
          <w:rFonts w:ascii="Times New Roman" w:hAnsi="Times New Roman" w:cs="Times New Roman"/>
          <w:b/>
          <w:bCs/>
          <w:sz w:val="24"/>
          <w:szCs w:val="24"/>
        </w:rPr>
      </w:pPr>
      <w:r w:rsidRPr="00451613">
        <w:rPr>
          <w:rFonts w:ascii="Times New Roman" w:hAnsi="Times New Roman" w:cs="Times New Roman"/>
          <w:b/>
          <w:bCs/>
          <w:sz w:val="24"/>
          <w:szCs w:val="24"/>
        </w:rPr>
        <w:t>3.1. Variable selection:</w:t>
      </w:r>
    </w:p>
    <w:p w14:paraId="35C48514" w14:textId="77777777" w:rsidR="00A0365C" w:rsidRPr="00451613" w:rsidRDefault="00A0365C" w:rsidP="00A0365C">
      <w:pPr>
        <w:jc w:val="both"/>
        <w:rPr>
          <w:rFonts w:ascii="Times New Roman" w:hAnsi="Times New Roman" w:cs="Times New Roman"/>
          <w:sz w:val="24"/>
          <w:szCs w:val="24"/>
        </w:rPr>
      </w:pPr>
      <w:r w:rsidRPr="00451613">
        <w:rPr>
          <w:rFonts w:ascii="Times New Roman" w:hAnsi="Times New Roman" w:cs="Times New Roman"/>
          <w:sz w:val="24"/>
          <w:szCs w:val="24"/>
        </w:rPr>
        <w:t xml:space="preserve">This section describes the research data and prediction models selected for the study. Daily closing price for the financial year 2014-2015 to 2024-2025 of the 4 companies, out of which 2 are from the NSE automobile sectoral index and the rest are from the metal sectoral index. The sector selected on the line of highest FII received from calendar years 2020 to 2025 is the auto sector, which is ranked 1st; the oil sector is 2nd, and the metal sector is ranked 3rd, as per researcher data analysis. </w:t>
      </w:r>
      <w:r w:rsidRPr="00451613">
        <w:rPr>
          <w:rFonts w:ascii="Times New Roman" w:hAnsi="Times New Roman" w:cs="Times New Roman"/>
          <w:sz w:val="24"/>
          <w:szCs w:val="24"/>
        </w:rPr>
        <w:lastRenderedPageBreak/>
        <w:t>For the study, the oil sector was not considered because it was established in the year 2020; therefore, the metal sector came into the picture, and based on two criteria, companies were selected: one, it should be consistent from financial year 2014-2015 to 2024-25 in the respective indices, and two, it has the highest weight in sector indices. On March 28, 2025. The data set includes both bearish and bullish trends, which help models to make better predictions.</w:t>
      </w:r>
    </w:p>
    <w:p w14:paraId="4F321C9E" w14:textId="77777777" w:rsidR="00A0365C" w:rsidRPr="00451613" w:rsidRDefault="00A0365C" w:rsidP="00A0365C">
      <w:pPr>
        <w:jc w:val="both"/>
        <w:rPr>
          <w:rFonts w:ascii="Times New Roman" w:hAnsi="Times New Roman" w:cs="Times New Roman"/>
          <w:b/>
          <w:bCs/>
          <w:sz w:val="24"/>
          <w:szCs w:val="24"/>
          <w:lang w:val="en-US"/>
        </w:rPr>
      </w:pPr>
      <w:r w:rsidRPr="00451613">
        <w:rPr>
          <w:rFonts w:ascii="Times New Roman" w:hAnsi="Times New Roman" w:cs="Times New Roman"/>
          <w:b/>
          <w:bCs/>
          <w:sz w:val="24"/>
          <w:szCs w:val="24"/>
          <w:lang w:val="en-US"/>
        </w:rPr>
        <w:t>3.2. Model selection:</w:t>
      </w:r>
    </w:p>
    <w:p w14:paraId="5080B6C2" w14:textId="77777777" w:rsidR="00A0365C" w:rsidRPr="00451613" w:rsidRDefault="00A0365C" w:rsidP="00A0365C">
      <w:pPr>
        <w:jc w:val="both"/>
        <w:rPr>
          <w:rFonts w:ascii="Times New Roman" w:hAnsi="Times New Roman" w:cs="Times New Roman"/>
          <w:sz w:val="24"/>
          <w:szCs w:val="24"/>
        </w:rPr>
      </w:pPr>
      <w:r w:rsidRPr="00451613">
        <w:rPr>
          <w:rFonts w:ascii="Times New Roman" w:hAnsi="Times New Roman" w:cs="Times New Roman"/>
          <w:sz w:val="24"/>
          <w:szCs w:val="24"/>
        </w:rPr>
        <w:t>For the proposed study, 3 ML prediction models were selected based on their different characteristics, such as LSTM, SVM &amp; MLP. LSTM has the characteristic of learning from historical data of time series, which helps to make precise predictions, while SVM helps to classify data in the binary trends (Kara et al., 2010) through hyperplane margin to reduce error bound in regression. (Gupta et al., 2025). MLP used backpropagation to train the model itself, which helped in the precise prediction of the stock market (Guresen et al., 2011).</w:t>
      </w:r>
    </w:p>
    <w:p w14:paraId="74F016C0" w14:textId="77777777" w:rsidR="00A0365C" w:rsidRPr="00451613" w:rsidRDefault="00A0365C" w:rsidP="00A0365C">
      <w:pPr>
        <w:jc w:val="both"/>
        <w:rPr>
          <w:rFonts w:ascii="Times New Roman" w:hAnsi="Times New Roman" w:cs="Times New Roman"/>
          <w:b/>
          <w:bCs/>
          <w:sz w:val="24"/>
          <w:szCs w:val="24"/>
          <w:lang w:val="en-US"/>
        </w:rPr>
        <w:sectPr w:rsidR="00A0365C" w:rsidRPr="00451613" w:rsidSect="00A0365C">
          <w:type w:val="continuous"/>
          <w:pgSz w:w="11906" w:h="16838"/>
          <w:pgMar w:top="1440" w:right="1440" w:bottom="1440" w:left="1440" w:header="708" w:footer="708" w:gutter="0"/>
          <w:cols w:num="2" w:space="720"/>
          <w:docGrid w:linePitch="360"/>
        </w:sectPr>
      </w:pPr>
      <w:r w:rsidRPr="00451613">
        <w:rPr>
          <w:rFonts w:ascii="Times New Roman" w:hAnsi="Times New Roman" w:cs="Times New Roman"/>
          <w:b/>
          <w:bCs/>
          <w:sz w:val="24"/>
          <w:szCs w:val="24"/>
          <w:lang w:val="en-US"/>
        </w:rPr>
        <w:t>3.3. Analysis process:</w:t>
      </w:r>
    </w:p>
    <w:p w14:paraId="39A5C1A1" w14:textId="77777777" w:rsidR="00A0365C" w:rsidRPr="00451613" w:rsidRDefault="00A0365C" w:rsidP="00A0365C">
      <w:pPr>
        <w:jc w:val="both"/>
        <w:rPr>
          <w:rFonts w:ascii="Times New Roman" w:hAnsi="Times New Roman" w:cs="Times New Roman"/>
          <w:b/>
          <w:bCs/>
          <w:sz w:val="24"/>
          <w:szCs w:val="24"/>
          <w:lang w:val="en-US"/>
        </w:rPr>
      </w:pPr>
    </w:p>
    <w:p w14:paraId="27021D53" w14:textId="77777777" w:rsidR="00A0365C" w:rsidRPr="00451613" w:rsidRDefault="00A0365C" w:rsidP="00A0365C">
      <w:pPr>
        <w:spacing w:after="0"/>
        <w:jc w:val="both"/>
        <w:rPr>
          <w:rFonts w:ascii="Times New Roman" w:hAnsi="Times New Roman" w:cs="Times New Roman"/>
          <w:b/>
          <w:bCs/>
          <w:sz w:val="24"/>
          <w:szCs w:val="24"/>
          <w:lang w:val="en-US"/>
        </w:rPr>
      </w:pPr>
      <w:r w:rsidRPr="00451613">
        <w:rPr>
          <w:rFonts w:ascii="Times New Roman" w:hAnsi="Times New Roman" w:cs="Times New Roman"/>
          <w:b/>
          <w:bCs/>
          <w:noProof/>
          <w:sz w:val="24"/>
          <w:szCs w:val="24"/>
          <w:lang w:eastAsia="en-IN"/>
        </w:rPr>
        <w:drawing>
          <wp:inline distT="0" distB="0" distL="0" distR="0" wp14:anchorId="79CBE560" wp14:editId="1E2B80F9">
            <wp:extent cx="6184900" cy="1302385"/>
            <wp:effectExtent l="0" t="57150" r="0" b="88265"/>
            <wp:docPr id="1577993829"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14:paraId="172BB8D8" w14:textId="77777777" w:rsidR="00A0365C" w:rsidRPr="00451613" w:rsidRDefault="00A0365C" w:rsidP="00A0365C">
      <w:pPr>
        <w:spacing w:after="0"/>
        <w:jc w:val="both"/>
        <w:rPr>
          <w:rFonts w:ascii="Times New Roman" w:hAnsi="Times New Roman" w:cs="Times New Roman"/>
          <w:b/>
          <w:bCs/>
          <w:sz w:val="24"/>
          <w:szCs w:val="24"/>
          <w:lang w:val="en-US"/>
        </w:rPr>
      </w:pPr>
      <w:r w:rsidRPr="00451613">
        <w:rPr>
          <w:rFonts w:ascii="Times New Roman" w:hAnsi="Times New Roman" w:cs="Times New Roman"/>
          <w:b/>
          <w:bCs/>
          <w:sz w:val="24"/>
          <w:szCs w:val="24"/>
          <w:lang w:val="en-US"/>
        </w:rPr>
        <w:t xml:space="preserve">Fig 1: </w:t>
      </w:r>
      <w:r w:rsidRPr="00451613">
        <w:rPr>
          <w:rFonts w:ascii="Times New Roman" w:hAnsi="Times New Roman" w:cs="Times New Roman"/>
          <w:sz w:val="24"/>
          <w:szCs w:val="24"/>
          <w:lang w:val="en-US"/>
        </w:rPr>
        <w:t>Steps to train and prediction through model</w:t>
      </w:r>
    </w:p>
    <w:bookmarkEnd w:id="1"/>
    <w:p w14:paraId="035EF916" w14:textId="77777777" w:rsidR="00A0365C" w:rsidRPr="00451613" w:rsidRDefault="00A0365C" w:rsidP="00A0365C">
      <w:pPr>
        <w:jc w:val="both"/>
        <w:rPr>
          <w:rFonts w:ascii="Times New Roman" w:hAnsi="Times New Roman" w:cs="Times New Roman"/>
          <w:sz w:val="24"/>
          <w:szCs w:val="24"/>
        </w:rPr>
      </w:pPr>
      <w:r w:rsidRPr="00451613">
        <w:rPr>
          <w:rFonts w:ascii="Times New Roman" w:hAnsi="Times New Roman" w:cs="Times New Roman"/>
          <w:b/>
          <w:bCs/>
          <w:sz w:val="24"/>
          <w:szCs w:val="24"/>
        </w:rPr>
        <w:t>3.4. Method Analysis</w:t>
      </w:r>
      <w:r w:rsidRPr="00451613">
        <w:rPr>
          <w:rFonts w:ascii="Times New Roman" w:hAnsi="Times New Roman" w:cs="Times New Roman"/>
          <w:sz w:val="24"/>
          <w:szCs w:val="24"/>
        </w:rPr>
        <w:t>:</w:t>
      </w:r>
    </w:p>
    <w:p w14:paraId="6D866076" w14:textId="77777777" w:rsidR="00A0365C" w:rsidRDefault="00A0365C" w:rsidP="00A0365C">
      <w:pPr>
        <w:jc w:val="both"/>
        <w:rPr>
          <w:rFonts w:ascii="Times New Roman" w:hAnsi="Times New Roman" w:cs="Times New Roman"/>
          <w:sz w:val="24"/>
          <w:szCs w:val="24"/>
        </w:rPr>
      </w:pPr>
      <w:r w:rsidRPr="00451613">
        <w:rPr>
          <w:rFonts w:ascii="Times New Roman" w:hAnsi="Times New Roman" w:cs="Times New Roman"/>
          <w:sz w:val="24"/>
          <w:szCs w:val="24"/>
        </w:rPr>
        <w:lastRenderedPageBreak/>
        <w:t>Study applies 3 most know models of ML on the dataset of NSE from Financial year 2014-15 to 2024-2025. Specifically, 80%-20% data used for training and testing respectively. Prediction accuracy and reliability of these models are assessed by calculating two different performance metrics—RMSE &amp; MAE. Between two prediction metrics, RMSE measures the square root of the mean square error of the actual values and estimated values, MAE estimates the size of the error computed as the relative average of the error. Smaller the values of RMSE and MAE, better the performance of the model.</w:t>
      </w:r>
    </w:p>
    <w:p w14:paraId="572F73CB" w14:textId="77777777" w:rsidR="00A0365C" w:rsidRPr="004441B4" w:rsidRDefault="00A0365C" w:rsidP="00A0365C">
      <w:pPr>
        <w:jc w:val="center"/>
        <w:rPr>
          <w:rFonts w:ascii="Times New Roman" w:hAnsi="Times New Roman" w:cs="Times New Roman"/>
          <w:b/>
          <w:bCs/>
          <w:sz w:val="24"/>
          <w:szCs w:val="24"/>
        </w:rPr>
      </w:pPr>
      <w:r w:rsidRPr="004441B4">
        <w:rPr>
          <w:rFonts w:ascii="Times New Roman" w:hAnsi="Times New Roman" w:cs="Times New Roman"/>
          <w:b/>
          <w:bCs/>
          <w:sz w:val="24"/>
          <w:szCs w:val="24"/>
        </w:rPr>
        <w:t>Table 1: Train- Test Data for model</w:t>
      </w:r>
    </w:p>
    <w:tbl>
      <w:tblPr>
        <w:tblStyle w:val="TableGrid"/>
        <w:tblW w:w="0" w:type="auto"/>
        <w:tblLook w:val="04A0" w:firstRow="1" w:lastRow="0" w:firstColumn="1" w:lastColumn="0" w:noHBand="0" w:noVBand="1"/>
      </w:tblPr>
      <w:tblGrid>
        <w:gridCol w:w="1803"/>
        <w:gridCol w:w="1803"/>
        <w:gridCol w:w="1803"/>
        <w:gridCol w:w="1803"/>
        <w:gridCol w:w="1804"/>
      </w:tblGrid>
      <w:tr w:rsidR="00A0365C" w14:paraId="46F5ABB0" w14:textId="77777777" w:rsidTr="00434B93">
        <w:tc>
          <w:tcPr>
            <w:tcW w:w="1803" w:type="dxa"/>
          </w:tcPr>
          <w:p w14:paraId="527A265C" w14:textId="77777777" w:rsidR="00A0365C" w:rsidRDefault="00A0365C" w:rsidP="00434B93">
            <w:pPr>
              <w:jc w:val="both"/>
              <w:rPr>
                <w:rFonts w:ascii="Times New Roman" w:hAnsi="Times New Roman" w:cs="Times New Roman"/>
                <w:sz w:val="24"/>
                <w:szCs w:val="24"/>
              </w:rPr>
            </w:pPr>
          </w:p>
        </w:tc>
        <w:tc>
          <w:tcPr>
            <w:tcW w:w="1803" w:type="dxa"/>
            <w:vAlign w:val="center"/>
          </w:tcPr>
          <w:p w14:paraId="331E7BAD" w14:textId="77777777" w:rsidR="00A0365C" w:rsidRDefault="00A0365C" w:rsidP="00434B93">
            <w:pPr>
              <w:jc w:val="center"/>
              <w:rPr>
                <w:rFonts w:ascii="Times New Roman" w:hAnsi="Times New Roman" w:cs="Times New Roman"/>
                <w:sz w:val="24"/>
                <w:szCs w:val="24"/>
              </w:rPr>
            </w:pPr>
          </w:p>
        </w:tc>
        <w:tc>
          <w:tcPr>
            <w:tcW w:w="1803" w:type="dxa"/>
            <w:vAlign w:val="center"/>
          </w:tcPr>
          <w:p w14:paraId="337B7709" w14:textId="77777777" w:rsidR="00A0365C" w:rsidRPr="004441B4" w:rsidRDefault="00A0365C" w:rsidP="00434B93">
            <w:pPr>
              <w:jc w:val="center"/>
              <w:rPr>
                <w:rFonts w:ascii="Times New Roman" w:hAnsi="Times New Roman" w:cs="Times New Roman"/>
                <w:b/>
                <w:bCs/>
                <w:sz w:val="24"/>
                <w:szCs w:val="24"/>
              </w:rPr>
            </w:pPr>
            <w:r w:rsidRPr="004441B4">
              <w:rPr>
                <w:rFonts w:ascii="Times New Roman" w:hAnsi="Times New Roman" w:cs="Times New Roman"/>
                <w:b/>
                <w:bCs/>
                <w:sz w:val="24"/>
                <w:szCs w:val="24"/>
              </w:rPr>
              <w:t>Percentage</w:t>
            </w:r>
          </w:p>
        </w:tc>
        <w:tc>
          <w:tcPr>
            <w:tcW w:w="1803" w:type="dxa"/>
            <w:vAlign w:val="center"/>
          </w:tcPr>
          <w:p w14:paraId="22927049" w14:textId="77777777" w:rsidR="00A0365C" w:rsidRPr="004441B4" w:rsidRDefault="00A0365C" w:rsidP="00434B93">
            <w:pPr>
              <w:jc w:val="center"/>
              <w:rPr>
                <w:rFonts w:ascii="Times New Roman" w:hAnsi="Times New Roman" w:cs="Times New Roman"/>
                <w:b/>
                <w:bCs/>
                <w:sz w:val="24"/>
                <w:szCs w:val="24"/>
              </w:rPr>
            </w:pPr>
            <w:r w:rsidRPr="004441B4">
              <w:rPr>
                <w:rFonts w:ascii="Times New Roman" w:hAnsi="Times New Roman" w:cs="Times New Roman"/>
                <w:b/>
                <w:bCs/>
                <w:sz w:val="24"/>
                <w:szCs w:val="24"/>
              </w:rPr>
              <w:t>N</w:t>
            </w:r>
          </w:p>
        </w:tc>
        <w:tc>
          <w:tcPr>
            <w:tcW w:w="1804" w:type="dxa"/>
            <w:vAlign w:val="center"/>
          </w:tcPr>
          <w:p w14:paraId="66EA5617" w14:textId="77777777" w:rsidR="00A0365C" w:rsidRPr="004441B4" w:rsidRDefault="00A0365C" w:rsidP="00434B93">
            <w:pPr>
              <w:jc w:val="center"/>
              <w:rPr>
                <w:rFonts w:ascii="Times New Roman" w:hAnsi="Times New Roman" w:cs="Times New Roman"/>
                <w:b/>
                <w:bCs/>
                <w:sz w:val="24"/>
                <w:szCs w:val="24"/>
              </w:rPr>
            </w:pPr>
            <w:r w:rsidRPr="004441B4">
              <w:rPr>
                <w:rFonts w:ascii="Times New Roman" w:hAnsi="Times New Roman" w:cs="Times New Roman"/>
                <w:b/>
                <w:bCs/>
                <w:sz w:val="24"/>
                <w:szCs w:val="24"/>
              </w:rPr>
              <w:t>Company Name</w:t>
            </w:r>
          </w:p>
        </w:tc>
      </w:tr>
      <w:tr w:rsidR="00A0365C" w14:paraId="41D5C8A6" w14:textId="77777777" w:rsidTr="00434B93">
        <w:tc>
          <w:tcPr>
            <w:tcW w:w="1803" w:type="dxa"/>
            <w:vMerge w:val="restart"/>
            <w:vAlign w:val="center"/>
          </w:tcPr>
          <w:p w14:paraId="59C85807" w14:textId="77777777" w:rsidR="00A0365C" w:rsidRDefault="00A0365C" w:rsidP="00434B93">
            <w:pPr>
              <w:jc w:val="center"/>
              <w:rPr>
                <w:rFonts w:ascii="Times New Roman" w:hAnsi="Times New Roman" w:cs="Times New Roman"/>
                <w:sz w:val="24"/>
                <w:szCs w:val="24"/>
              </w:rPr>
            </w:pPr>
            <w:r>
              <w:rPr>
                <w:rFonts w:ascii="Times New Roman" w:hAnsi="Times New Roman" w:cs="Times New Roman"/>
                <w:sz w:val="24"/>
                <w:szCs w:val="24"/>
              </w:rPr>
              <w:t>Sample</w:t>
            </w:r>
          </w:p>
        </w:tc>
        <w:tc>
          <w:tcPr>
            <w:tcW w:w="1803" w:type="dxa"/>
            <w:vAlign w:val="center"/>
          </w:tcPr>
          <w:p w14:paraId="75E5DD41" w14:textId="77777777" w:rsidR="00A0365C" w:rsidRDefault="00A0365C" w:rsidP="00434B93">
            <w:pPr>
              <w:jc w:val="center"/>
              <w:rPr>
                <w:rFonts w:ascii="Times New Roman" w:hAnsi="Times New Roman" w:cs="Times New Roman"/>
                <w:sz w:val="24"/>
                <w:szCs w:val="24"/>
              </w:rPr>
            </w:pPr>
            <w:r>
              <w:rPr>
                <w:rFonts w:ascii="Times New Roman" w:hAnsi="Times New Roman" w:cs="Times New Roman"/>
                <w:sz w:val="24"/>
                <w:szCs w:val="24"/>
              </w:rPr>
              <w:t>Training</w:t>
            </w:r>
          </w:p>
        </w:tc>
        <w:tc>
          <w:tcPr>
            <w:tcW w:w="1803" w:type="dxa"/>
            <w:vAlign w:val="center"/>
          </w:tcPr>
          <w:p w14:paraId="0E660937" w14:textId="77777777" w:rsidR="00A0365C" w:rsidRDefault="00A0365C" w:rsidP="00434B93">
            <w:pPr>
              <w:jc w:val="center"/>
              <w:rPr>
                <w:rFonts w:ascii="Times New Roman" w:hAnsi="Times New Roman" w:cs="Times New Roman"/>
                <w:sz w:val="24"/>
                <w:szCs w:val="24"/>
              </w:rPr>
            </w:pPr>
            <w:r>
              <w:rPr>
                <w:rFonts w:ascii="Times New Roman" w:hAnsi="Times New Roman" w:cs="Times New Roman"/>
                <w:sz w:val="24"/>
                <w:szCs w:val="24"/>
              </w:rPr>
              <w:t>80%</w:t>
            </w:r>
          </w:p>
        </w:tc>
        <w:tc>
          <w:tcPr>
            <w:tcW w:w="1803" w:type="dxa"/>
            <w:vAlign w:val="center"/>
          </w:tcPr>
          <w:p w14:paraId="7B7C4D88" w14:textId="77777777" w:rsidR="00A0365C" w:rsidRDefault="00A0365C" w:rsidP="00434B93">
            <w:pPr>
              <w:jc w:val="center"/>
              <w:rPr>
                <w:rFonts w:ascii="Times New Roman" w:hAnsi="Times New Roman" w:cs="Times New Roman"/>
                <w:sz w:val="24"/>
                <w:szCs w:val="24"/>
              </w:rPr>
            </w:pPr>
            <w:r>
              <w:rPr>
                <w:rFonts w:ascii="Times New Roman" w:hAnsi="Times New Roman" w:cs="Times New Roman"/>
                <w:sz w:val="24"/>
                <w:szCs w:val="24"/>
              </w:rPr>
              <w:t>1977</w:t>
            </w:r>
          </w:p>
        </w:tc>
        <w:tc>
          <w:tcPr>
            <w:tcW w:w="1804" w:type="dxa"/>
            <w:vMerge w:val="restart"/>
            <w:vAlign w:val="center"/>
          </w:tcPr>
          <w:p w14:paraId="6AB75057" w14:textId="77777777" w:rsidR="00A0365C" w:rsidRDefault="00A0365C" w:rsidP="00434B93">
            <w:pPr>
              <w:jc w:val="center"/>
              <w:rPr>
                <w:rFonts w:ascii="Times New Roman" w:hAnsi="Times New Roman" w:cs="Times New Roman"/>
                <w:sz w:val="24"/>
                <w:szCs w:val="24"/>
              </w:rPr>
            </w:pPr>
            <w:r>
              <w:rPr>
                <w:rFonts w:ascii="Times New Roman" w:hAnsi="Times New Roman" w:cs="Times New Roman"/>
                <w:sz w:val="24"/>
                <w:szCs w:val="24"/>
              </w:rPr>
              <w:t xml:space="preserve">JSW </w:t>
            </w:r>
          </w:p>
          <w:p w14:paraId="15921637" w14:textId="77777777" w:rsidR="00A0365C" w:rsidRDefault="00A0365C" w:rsidP="00434B93">
            <w:pPr>
              <w:jc w:val="center"/>
              <w:rPr>
                <w:rFonts w:ascii="Times New Roman" w:hAnsi="Times New Roman" w:cs="Times New Roman"/>
                <w:sz w:val="24"/>
                <w:szCs w:val="24"/>
              </w:rPr>
            </w:pPr>
            <w:r>
              <w:rPr>
                <w:rFonts w:ascii="Times New Roman" w:hAnsi="Times New Roman" w:cs="Times New Roman"/>
                <w:sz w:val="24"/>
                <w:szCs w:val="24"/>
              </w:rPr>
              <w:t>Maruti Suzuki</w:t>
            </w:r>
          </w:p>
          <w:p w14:paraId="206AF215" w14:textId="77777777" w:rsidR="00A0365C" w:rsidRDefault="00A0365C" w:rsidP="00434B93">
            <w:pPr>
              <w:jc w:val="center"/>
              <w:rPr>
                <w:rFonts w:ascii="Times New Roman" w:hAnsi="Times New Roman" w:cs="Times New Roman"/>
                <w:sz w:val="24"/>
                <w:szCs w:val="24"/>
              </w:rPr>
            </w:pPr>
            <w:r>
              <w:rPr>
                <w:rFonts w:ascii="Times New Roman" w:hAnsi="Times New Roman" w:cs="Times New Roman"/>
                <w:sz w:val="24"/>
                <w:szCs w:val="24"/>
              </w:rPr>
              <w:t>M &amp; M</w:t>
            </w:r>
          </w:p>
        </w:tc>
      </w:tr>
      <w:tr w:rsidR="00A0365C" w14:paraId="3D3F9150" w14:textId="77777777" w:rsidTr="00434B93">
        <w:tc>
          <w:tcPr>
            <w:tcW w:w="1803" w:type="dxa"/>
            <w:vMerge/>
          </w:tcPr>
          <w:p w14:paraId="417F6AE9" w14:textId="77777777" w:rsidR="00A0365C" w:rsidRDefault="00A0365C" w:rsidP="00434B93">
            <w:pPr>
              <w:jc w:val="both"/>
              <w:rPr>
                <w:rFonts w:ascii="Times New Roman" w:hAnsi="Times New Roman" w:cs="Times New Roman"/>
                <w:sz w:val="24"/>
                <w:szCs w:val="24"/>
              </w:rPr>
            </w:pPr>
          </w:p>
        </w:tc>
        <w:tc>
          <w:tcPr>
            <w:tcW w:w="1803" w:type="dxa"/>
            <w:vAlign w:val="center"/>
          </w:tcPr>
          <w:p w14:paraId="503547FB" w14:textId="77777777" w:rsidR="00A0365C" w:rsidRDefault="00A0365C" w:rsidP="00434B93">
            <w:pPr>
              <w:jc w:val="center"/>
              <w:rPr>
                <w:rFonts w:ascii="Times New Roman" w:hAnsi="Times New Roman" w:cs="Times New Roman"/>
                <w:sz w:val="24"/>
                <w:szCs w:val="24"/>
              </w:rPr>
            </w:pPr>
            <w:r>
              <w:rPr>
                <w:rFonts w:ascii="Times New Roman" w:hAnsi="Times New Roman" w:cs="Times New Roman"/>
                <w:sz w:val="24"/>
                <w:szCs w:val="24"/>
              </w:rPr>
              <w:t>Testing</w:t>
            </w:r>
          </w:p>
        </w:tc>
        <w:tc>
          <w:tcPr>
            <w:tcW w:w="1803" w:type="dxa"/>
            <w:vAlign w:val="center"/>
          </w:tcPr>
          <w:p w14:paraId="27175222" w14:textId="77777777" w:rsidR="00A0365C" w:rsidRDefault="00A0365C" w:rsidP="00434B93">
            <w:pPr>
              <w:jc w:val="center"/>
              <w:rPr>
                <w:rFonts w:ascii="Times New Roman" w:hAnsi="Times New Roman" w:cs="Times New Roman"/>
                <w:sz w:val="24"/>
                <w:szCs w:val="24"/>
              </w:rPr>
            </w:pPr>
            <w:r>
              <w:rPr>
                <w:rFonts w:ascii="Times New Roman" w:hAnsi="Times New Roman" w:cs="Times New Roman"/>
                <w:sz w:val="24"/>
                <w:szCs w:val="24"/>
              </w:rPr>
              <w:t>20%</w:t>
            </w:r>
          </w:p>
        </w:tc>
        <w:tc>
          <w:tcPr>
            <w:tcW w:w="1803" w:type="dxa"/>
            <w:vAlign w:val="center"/>
          </w:tcPr>
          <w:p w14:paraId="44B6B60C" w14:textId="77777777" w:rsidR="00A0365C" w:rsidRDefault="00A0365C" w:rsidP="00434B93">
            <w:pPr>
              <w:jc w:val="center"/>
              <w:rPr>
                <w:rFonts w:ascii="Times New Roman" w:hAnsi="Times New Roman" w:cs="Times New Roman"/>
                <w:sz w:val="24"/>
                <w:szCs w:val="24"/>
              </w:rPr>
            </w:pPr>
            <w:r>
              <w:rPr>
                <w:rFonts w:ascii="Times New Roman" w:hAnsi="Times New Roman" w:cs="Times New Roman"/>
                <w:sz w:val="24"/>
                <w:szCs w:val="24"/>
              </w:rPr>
              <w:t>493</w:t>
            </w:r>
          </w:p>
        </w:tc>
        <w:tc>
          <w:tcPr>
            <w:tcW w:w="1804" w:type="dxa"/>
            <w:vMerge/>
            <w:vAlign w:val="center"/>
          </w:tcPr>
          <w:p w14:paraId="3072C014" w14:textId="77777777" w:rsidR="00A0365C" w:rsidRDefault="00A0365C" w:rsidP="00434B93">
            <w:pPr>
              <w:jc w:val="center"/>
              <w:rPr>
                <w:rFonts w:ascii="Times New Roman" w:hAnsi="Times New Roman" w:cs="Times New Roman"/>
                <w:sz w:val="24"/>
                <w:szCs w:val="24"/>
              </w:rPr>
            </w:pPr>
          </w:p>
        </w:tc>
      </w:tr>
      <w:tr w:rsidR="00A0365C" w14:paraId="6207DBD1" w14:textId="77777777" w:rsidTr="00434B93">
        <w:tc>
          <w:tcPr>
            <w:tcW w:w="1803" w:type="dxa"/>
            <w:vAlign w:val="center"/>
          </w:tcPr>
          <w:p w14:paraId="4AB67FEE" w14:textId="77777777" w:rsidR="00A0365C" w:rsidRPr="004441B4" w:rsidRDefault="00A0365C" w:rsidP="00434B93">
            <w:pPr>
              <w:jc w:val="center"/>
              <w:rPr>
                <w:rFonts w:ascii="Times New Roman" w:hAnsi="Times New Roman" w:cs="Times New Roman"/>
                <w:b/>
                <w:bCs/>
                <w:sz w:val="24"/>
                <w:szCs w:val="24"/>
              </w:rPr>
            </w:pPr>
          </w:p>
        </w:tc>
        <w:tc>
          <w:tcPr>
            <w:tcW w:w="1803" w:type="dxa"/>
            <w:vAlign w:val="center"/>
          </w:tcPr>
          <w:p w14:paraId="5656AD71" w14:textId="77777777" w:rsidR="00A0365C" w:rsidRDefault="00A0365C" w:rsidP="00434B93">
            <w:pPr>
              <w:jc w:val="center"/>
              <w:rPr>
                <w:rFonts w:ascii="Times New Roman" w:hAnsi="Times New Roman" w:cs="Times New Roman"/>
                <w:sz w:val="24"/>
                <w:szCs w:val="24"/>
              </w:rPr>
            </w:pPr>
          </w:p>
        </w:tc>
        <w:tc>
          <w:tcPr>
            <w:tcW w:w="1803" w:type="dxa"/>
            <w:vAlign w:val="center"/>
          </w:tcPr>
          <w:p w14:paraId="5648BC0A" w14:textId="77777777" w:rsidR="00A0365C" w:rsidRDefault="00A0365C" w:rsidP="00434B93">
            <w:pPr>
              <w:jc w:val="center"/>
              <w:rPr>
                <w:rFonts w:ascii="Times New Roman" w:hAnsi="Times New Roman" w:cs="Times New Roman"/>
                <w:sz w:val="24"/>
                <w:szCs w:val="24"/>
              </w:rPr>
            </w:pPr>
          </w:p>
        </w:tc>
        <w:tc>
          <w:tcPr>
            <w:tcW w:w="1803" w:type="dxa"/>
            <w:vAlign w:val="center"/>
          </w:tcPr>
          <w:p w14:paraId="3F62AC5E" w14:textId="77777777" w:rsidR="00A0365C" w:rsidRPr="004441B4" w:rsidRDefault="00A0365C" w:rsidP="00434B93">
            <w:pPr>
              <w:jc w:val="center"/>
              <w:rPr>
                <w:rFonts w:ascii="Times New Roman" w:hAnsi="Times New Roman" w:cs="Times New Roman"/>
                <w:b/>
                <w:bCs/>
                <w:sz w:val="24"/>
                <w:szCs w:val="24"/>
              </w:rPr>
            </w:pPr>
          </w:p>
        </w:tc>
        <w:tc>
          <w:tcPr>
            <w:tcW w:w="1804" w:type="dxa"/>
            <w:vMerge/>
            <w:vAlign w:val="center"/>
          </w:tcPr>
          <w:p w14:paraId="477B58BB" w14:textId="77777777" w:rsidR="00A0365C" w:rsidRDefault="00A0365C" w:rsidP="00434B93">
            <w:pPr>
              <w:jc w:val="center"/>
              <w:rPr>
                <w:rFonts w:ascii="Times New Roman" w:hAnsi="Times New Roman" w:cs="Times New Roman"/>
                <w:sz w:val="24"/>
                <w:szCs w:val="24"/>
              </w:rPr>
            </w:pPr>
          </w:p>
        </w:tc>
      </w:tr>
      <w:tr w:rsidR="00A0365C" w14:paraId="762682EB" w14:textId="77777777" w:rsidTr="00434B93">
        <w:tc>
          <w:tcPr>
            <w:tcW w:w="1803" w:type="dxa"/>
            <w:vAlign w:val="center"/>
          </w:tcPr>
          <w:p w14:paraId="6288D19E" w14:textId="77777777" w:rsidR="00A0365C" w:rsidRPr="004441B4" w:rsidRDefault="00A0365C" w:rsidP="00434B93">
            <w:pPr>
              <w:jc w:val="center"/>
              <w:rPr>
                <w:rFonts w:ascii="Times New Roman" w:hAnsi="Times New Roman" w:cs="Times New Roman"/>
                <w:b/>
                <w:bCs/>
                <w:sz w:val="24"/>
                <w:szCs w:val="24"/>
              </w:rPr>
            </w:pPr>
            <w:r w:rsidRPr="004441B4">
              <w:rPr>
                <w:rFonts w:ascii="Times New Roman" w:hAnsi="Times New Roman" w:cs="Times New Roman"/>
                <w:b/>
                <w:bCs/>
                <w:sz w:val="24"/>
                <w:szCs w:val="24"/>
              </w:rPr>
              <w:t>Total</w:t>
            </w:r>
          </w:p>
        </w:tc>
        <w:tc>
          <w:tcPr>
            <w:tcW w:w="1803" w:type="dxa"/>
            <w:vAlign w:val="center"/>
          </w:tcPr>
          <w:p w14:paraId="35DE7B6E" w14:textId="77777777" w:rsidR="00A0365C" w:rsidRDefault="00A0365C" w:rsidP="00434B93">
            <w:pPr>
              <w:jc w:val="center"/>
              <w:rPr>
                <w:rFonts w:ascii="Times New Roman" w:hAnsi="Times New Roman" w:cs="Times New Roman"/>
                <w:sz w:val="24"/>
                <w:szCs w:val="24"/>
              </w:rPr>
            </w:pPr>
          </w:p>
        </w:tc>
        <w:tc>
          <w:tcPr>
            <w:tcW w:w="1803" w:type="dxa"/>
            <w:vAlign w:val="center"/>
          </w:tcPr>
          <w:p w14:paraId="33320D6B" w14:textId="77777777" w:rsidR="00A0365C" w:rsidRDefault="00A0365C" w:rsidP="00434B93">
            <w:pPr>
              <w:jc w:val="center"/>
              <w:rPr>
                <w:rFonts w:ascii="Times New Roman" w:hAnsi="Times New Roman" w:cs="Times New Roman"/>
                <w:sz w:val="24"/>
                <w:szCs w:val="24"/>
              </w:rPr>
            </w:pPr>
          </w:p>
        </w:tc>
        <w:tc>
          <w:tcPr>
            <w:tcW w:w="1803" w:type="dxa"/>
            <w:vAlign w:val="center"/>
          </w:tcPr>
          <w:p w14:paraId="22398F46" w14:textId="77777777" w:rsidR="00A0365C" w:rsidRPr="004441B4" w:rsidRDefault="00A0365C" w:rsidP="00434B93">
            <w:pPr>
              <w:jc w:val="center"/>
              <w:rPr>
                <w:rFonts w:ascii="Times New Roman" w:hAnsi="Times New Roman" w:cs="Times New Roman"/>
                <w:b/>
                <w:bCs/>
                <w:sz w:val="24"/>
                <w:szCs w:val="24"/>
              </w:rPr>
            </w:pPr>
            <w:r w:rsidRPr="004441B4">
              <w:rPr>
                <w:rFonts w:ascii="Times New Roman" w:hAnsi="Times New Roman" w:cs="Times New Roman"/>
                <w:b/>
                <w:bCs/>
                <w:sz w:val="24"/>
                <w:szCs w:val="24"/>
              </w:rPr>
              <w:t>2471</w:t>
            </w:r>
          </w:p>
        </w:tc>
        <w:tc>
          <w:tcPr>
            <w:tcW w:w="1804" w:type="dxa"/>
            <w:vAlign w:val="center"/>
          </w:tcPr>
          <w:p w14:paraId="153A3C43" w14:textId="77777777" w:rsidR="00A0365C" w:rsidRDefault="00A0365C" w:rsidP="00434B93">
            <w:pPr>
              <w:jc w:val="center"/>
              <w:rPr>
                <w:rFonts w:ascii="Times New Roman" w:hAnsi="Times New Roman" w:cs="Times New Roman"/>
                <w:sz w:val="24"/>
                <w:szCs w:val="24"/>
              </w:rPr>
            </w:pPr>
          </w:p>
        </w:tc>
      </w:tr>
      <w:tr w:rsidR="00A0365C" w14:paraId="7CF4CE0D" w14:textId="77777777" w:rsidTr="00434B93">
        <w:tc>
          <w:tcPr>
            <w:tcW w:w="1803" w:type="dxa"/>
            <w:vMerge w:val="restart"/>
            <w:vAlign w:val="center"/>
          </w:tcPr>
          <w:p w14:paraId="3E79747F" w14:textId="77777777" w:rsidR="00A0365C" w:rsidRDefault="00A0365C" w:rsidP="00434B93">
            <w:pPr>
              <w:jc w:val="center"/>
              <w:rPr>
                <w:rFonts w:ascii="Times New Roman" w:hAnsi="Times New Roman" w:cs="Times New Roman"/>
                <w:sz w:val="24"/>
                <w:szCs w:val="24"/>
              </w:rPr>
            </w:pPr>
            <w:r>
              <w:rPr>
                <w:rFonts w:ascii="Times New Roman" w:hAnsi="Times New Roman" w:cs="Times New Roman"/>
                <w:sz w:val="24"/>
                <w:szCs w:val="24"/>
              </w:rPr>
              <w:t>Sample</w:t>
            </w:r>
          </w:p>
        </w:tc>
        <w:tc>
          <w:tcPr>
            <w:tcW w:w="1803" w:type="dxa"/>
            <w:vAlign w:val="center"/>
          </w:tcPr>
          <w:p w14:paraId="5477012E" w14:textId="77777777" w:rsidR="00A0365C" w:rsidRDefault="00A0365C" w:rsidP="00434B93">
            <w:pPr>
              <w:jc w:val="center"/>
              <w:rPr>
                <w:rFonts w:ascii="Times New Roman" w:hAnsi="Times New Roman" w:cs="Times New Roman"/>
                <w:sz w:val="24"/>
                <w:szCs w:val="24"/>
              </w:rPr>
            </w:pPr>
            <w:r>
              <w:rPr>
                <w:rFonts w:ascii="Times New Roman" w:hAnsi="Times New Roman" w:cs="Times New Roman"/>
                <w:sz w:val="24"/>
                <w:szCs w:val="24"/>
              </w:rPr>
              <w:t>Training</w:t>
            </w:r>
          </w:p>
        </w:tc>
        <w:tc>
          <w:tcPr>
            <w:tcW w:w="1803" w:type="dxa"/>
            <w:vAlign w:val="center"/>
          </w:tcPr>
          <w:p w14:paraId="747521C4" w14:textId="77777777" w:rsidR="00A0365C" w:rsidRDefault="00A0365C" w:rsidP="00434B93">
            <w:pPr>
              <w:jc w:val="center"/>
              <w:rPr>
                <w:rFonts w:ascii="Times New Roman" w:hAnsi="Times New Roman" w:cs="Times New Roman"/>
                <w:sz w:val="24"/>
                <w:szCs w:val="24"/>
              </w:rPr>
            </w:pPr>
            <w:r>
              <w:rPr>
                <w:rFonts w:ascii="Times New Roman" w:hAnsi="Times New Roman" w:cs="Times New Roman"/>
                <w:sz w:val="24"/>
                <w:szCs w:val="24"/>
              </w:rPr>
              <w:t>80%</w:t>
            </w:r>
          </w:p>
        </w:tc>
        <w:tc>
          <w:tcPr>
            <w:tcW w:w="1803" w:type="dxa"/>
            <w:vAlign w:val="center"/>
          </w:tcPr>
          <w:p w14:paraId="4C9D5729" w14:textId="77777777" w:rsidR="00A0365C" w:rsidRDefault="00A0365C" w:rsidP="00434B93">
            <w:pPr>
              <w:jc w:val="center"/>
              <w:rPr>
                <w:rFonts w:ascii="Times New Roman" w:hAnsi="Times New Roman" w:cs="Times New Roman"/>
                <w:sz w:val="24"/>
                <w:szCs w:val="24"/>
              </w:rPr>
            </w:pPr>
            <w:r>
              <w:rPr>
                <w:rFonts w:ascii="Times New Roman" w:hAnsi="Times New Roman" w:cs="Times New Roman"/>
                <w:sz w:val="24"/>
                <w:szCs w:val="24"/>
              </w:rPr>
              <w:t>1973</w:t>
            </w:r>
          </w:p>
        </w:tc>
        <w:tc>
          <w:tcPr>
            <w:tcW w:w="1804" w:type="dxa"/>
            <w:vMerge w:val="restart"/>
            <w:vAlign w:val="center"/>
          </w:tcPr>
          <w:p w14:paraId="4B259C95" w14:textId="77777777" w:rsidR="00A0365C" w:rsidRDefault="00A0365C" w:rsidP="00434B93">
            <w:pPr>
              <w:jc w:val="center"/>
              <w:rPr>
                <w:rFonts w:ascii="Times New Roman" w:hAnsi="Times New Roman" w:cs="Times New Roman"/>
                <w:sz w:val="24"/>
                <w:szCs w:val="24"/>
              </w:rPr>
            </w:pPr>
            <w:r>
              <w:rPr>
                <w:rFonts w:ascii="Times New Roman" w:hAnsi="Times New Roman" w:cs="Times New Roman"/>
                <w:sz w:val="24"/>
                <w:szCs w:val="24"/>
              </w:rPr>
              <w:t>TATA Steel</w:t>
            </w:r>
          </w:p>
        </w:tc>
      </w:tr>
      <w:tr w:rsidR="00A0365C" w14:paraId="436B5046" w14:textId="77777777" w:rsidTr="00434B93">
        <w:tc>
          <w:tcPr>
            <w:tcW w:w="1803" w:type="dxa"/>
            <w:vMerge/>
            <w:vAlign w:val="center"/>
          </w:tcPr>
          <w:p w14:paraId="5691C554" w14:textId="77777777" w:rsidR="00A0365C" w:rsidRDefault="00A0365C" w:rsidP="00434B93">
            <w:pPr>
              <w:jc w:val="center"/>
              <w:rPr>
                <w:rFonts w:ascii="Times New Roman" w:hAnsi="Times New Roman" w:cs="Times New Roman"/>
                <w:sz w:val="24"/>
                <w:szCs w:val="24"/>
              </w:rPr>
            </w:pPr>
          </w:p>
        </w:tc>
        <w:tc>
          <w:tcPr>
            <w:tcW w:w="1803" w:type="dxa"/>
            <w:vAlign w:val="center"/>
          </w:tcPr>
          <w:p w14:paraId="314C040E" w14:textId="77777777" w:rsidR="00A0365C" w:rsidRDefault="00A0365C" w:rsidP="00434B93">
            <w:pPr>
              <w:jc w:val="center"/>
              <w:rPr>
                <w:rFonts w:ascii="Times New Roman" w:hAnsi="Times New Roman" w:cs="Times New Roman"/>
                <w:sz w:val="24"/>
                <w:szCs w:val="24"/>
              </w:rPr>
            </w:pPr>
            <w:r>
              <w:rPr>
                <w:rFonts w:ascii="Times New Roman" w:hAnsi="Times New Roman" w:cs="Times New Roman"/>
                <w:sz w:val="24"/>
                <w:szCs w:val="24"/>
              </w:rPr>
              <w:t>Testing</w:t>
            </w:r>
          </w:p>
        </w:tc>
        <w:tc>
          <w:tcPr>
            <w:tcW w:w="1803" w:type="dxa"/>
            <w:vAlign w:val="center"/>
          </w:tcPr>
          <w:p w14:paraId="4C444D13" w14:textId="77777777" w:rsidR="00A0365C" w:rsidRDefault="00A0365C" w:rsidP="00434B93">
            <w:pPr>
              <w:jc w:val="center"/>
              <w:rPr>
                <w:rFonts w:ascii="Times New Roman" w:hAnsi="Times New Roman" w:cs="Times New Roman"/>
                <w:sz w:val="24"/>
                <w:szCs w:val="24"/>
              </w:rPr>
            </w:pPr>
            <w:r>
              <w:rPr>
                <w:rFonts w:ascii="Times New Roman" w:hAnsi="Times New Roman" w:cs="Times New Roman"/>
                <w:sz w:val="24"/>
                <w:szCs w:val="24"/>
              </w:rPr>
              <w:t>20%</w:t>
            </w:r>
          </w:p>
        </w:tc>
        <w:tc>
          <w:tcPr>
            <w:tcW w:w="1803" w:type="dxa"/>
            <w:vAlign w:val="center"/>
          </w:tcPr>
          <w:p w14:paraId="734DB062" w14:textId="77777777" w:rsidR="00A0365C" w:rsidRDefault="00A0365C" w:rsidP="00434B93">
            <w:pPr>
              <w:jc w:val="center"/>
              <w:rPr>
                <w:rFonts w:ascii="Times New Roman" w:hAnsi="Times New Roman" w:cs="Times New Roman"/>
                <w:sz w:val="24"/>
                <w:szCs w:val="24"/>
              </w:rPr>
            </w:pPr>
            <w:r>
              <w:rPr>
                <w:rFonts w:ascii="Times New Roman" w:hAnsi="Times New Roman" w:cs="Times New Roman"/>
                <w:sz w:val="24"/>
                <w:szCs w:val="24"/>
              </w:rPr>
              <w:t>493</w:t>
            </w:r>
          </w:p>
        </w:tc>
        <w:tc>
          <w:tcPr>
            <w:tcW w:w="1804" w:type="dxa"/>
            <w:vMerge/>
            <w:vAlign w:val="center"/>
          </w:tcPr>
          <w:p w14:paraId="0674A1AE" w14:textId="77777777" w:rsidR="00A0365C" w:rsidRDefault="00A0365C" w:rsidP="00434B93">
            <w:pPr>
              <w:jc w:val="center"/>
              <w:rPr>
                <w:rFonts w:ascii="Times New Roman" w:hAnsi="Times New Roman" w:cs="Times New Roman"/>
                <w:sz w:val="24"/>
                <w:szCs w:val="24"/>
              </w:rPr>
            </w:pPr>
          </w:p>
        </w:tc>
      </w:tr>
      <w:tr w:rsidR="00A0365C" w14:paraId="1859BE89" w14:textId="77777777" w:rsidTr="00434B93">
        <w:tc>
          <w:tcPr>
            <w:tcW w:w="1803" w:type="dxa"/>
            <w:vAlign w:val="center"/>
          </w:tcPr>
          <w:p w14:paraId="06F372E3" w14:textId="77777777" w:rsidR="00A0365C" w:rsidRPr="004441B4" w:rsidRDefault="00A0365C" w:rsidP="00434B93">
            <w:pPr>
              <w:jc w:val="center"/>
              <w:rPr>
                <w:rFonts w:ascii="Times New Roman" w:hAnsi="Times New Roman" w:cs="Times New Roman"/>
                <w:b/>
                <w:bCs/>
                <w:sz w:val="24"/>
                <w:szCs w:val="24"/>
              </w:rPr>
            </w:pPr>
            <w:r w:rsidRPr="004441B4">
              <w:rPr>
                <w:rFonts w:ascii="Times New Roman" w:hAnsi="Times New Roman" w:cs="Times New Roman"/>
                <w:b/>
                <w:bCs/>
                <w:sz w:val="24"/>
                <w:szCs w:val="24"/>
              </w:rPr>
              <w:t>Total</w:t>
            </w:r>
          </w:p>
        </w:tc>
        <w:tc>
          <w:tcPr>
            <w:tcW w:w="1803" w:type="dxa"/>
            <w:vAlign w:val="center"/>
          </w:tcPr>
          <w:p w14:paraId="448B1FB1" w14:textId="77777777" w:rsidR="00A0365C" w:rsidRDefault="00A0365C" w:rsidP="00434B93">
            <w:pPr>
              <w:jc w:val="center"/>
              <w:rPr>
                <w:rFonts w:ascii="Times New Roman" w:hAnsi="Times New Roman" w:cs="Times New Roman"/>
                <w:sz w:val="24"/>
                <w:szCs w:val="24"/>
              </w:rPr>
            </w:pPr>
          </w:p>
        </w:tc>
        <w:tc>
          <w:tcPr>
            <w:tcW w:w="1803" w:type="dxa"/>
            <w:vAlign w:val="center"/>
          </w:tcPr>
          <w:p w14:paraId="284BB01B" w14:textId="77777777" w:rsidR="00A0365C" w:rsidRDefault="00A0365C" w:rsidP="00434B93">
            <w:pPr>
              <w:jc w:val="center"/>
              <w:rPr>
                <w:rFonts w:ascii="Times New Roman" w:hAnsi="Times New Roman" w:cs="Times New Roman"/>
                <w:sz w:val="24"/>
                <w:szCs w:val="24"/>
              </w:rPr>
            </w:pPr>
          </w:p>
        </w:tc>
        <w:tc>
          <w:tcPr>
            <w:tcW w:w="1803" w:type="dxa"/>
            <w:vAlign w:val="center"/>
          </w:tcPr>
          <w:p w14:paraId="7AAFB760" w14:textId="77777777" w:rsidR="00A0365C" w:rsidRPr="004441B4" w:rsidRDefault="00A0365C" w:rsidP="00434B93">
            <w:pPr>
              <w:jc w:val="center"/>
              <w:rPr>
                <w:rFonts w:ascii="Times New Roman" w:hAnsi="Times New Roman" w:cs="Times New Roman"/>
                <w:b/>
                <w:bCs/>
                <w:sz w:val="24"/>
                <w:szCs w:val="24"/>
              </w:rPr>
            </w:pPr>
            <w:r w:rsidRPr="004441B4">
              <w:rPr>
                <w:rFonts w:ascii="Times New Roman" w:hAnsi="Times New Roman" w:cs="Times New Roman"/>
                <w:b/>
                <w:bCs/>
                <w:sz w:val="24"/>
                <w:szCs w:val="24"/>
              </w:rPr>
              <w:t>2466</w:t>
            </w:r>
          </w:p>
        </w:tc>
        <w:tc>
          <w:tcPr>
            <w:tcW w:w="1804" w:type="dxa"/>
            <w:vAlign w:val="center"/>
          </w:tcPr>
          <w:p w14:paraId="421AC739" w14:textId="77777777" w:rsidR="00A0365C" w:rsidRDefault="00A0365C" w:rsidP="00434B93">
            <w:pPr>
              <w:jc w:val="center"/>
              <w:rPr>
                <w:rFonts w:ascii="Times New Roman" w:hAnsi="Times New Roman" w:cs="Times New Roman"/>
                <w:sz w:val="24"/>
                <w:szCs w:val="24"/>
              </w:rPr>
            </w:pPr>
          </w:p>
        </w:tc>
      </w:tr>
    </w:tbl>
    <w:p w14:paraId="45EF45AA" w14:textId="77777777" w:rsidR="00A0365C" w:rsidRPr="00451613" w:rsidRDefault="00A0365C" w:rsidP="00A0365C">
      <w:pPr>
        <w:rPr>
          <w:rFonts w:ascii="Times New Roman" w:hAnsi="Times New Roman" w:cs="Times New Roman"/>
          <w:b/>
          <w:bCs/>
          <w:sz w:val="24"/>
          <w:szCs w:val="24"/>
        </w:rPr>
      </w:pPr>
      <w:r w:rsidRPr="00451613">
        <w:rPr>
          <w:rFonts w:ascii="Times New Roman" w:hAnsi="Times New Roman" w:cs="Times New Roman"/>
          <w:b/>
          <w:bCs/>
          <w:sz w:val="24"/>
          <w:szCs w:val="24"/>
        </w:rPr>
        <w:t xml:space="preserve">4. Analysis </w:t>
      </w:r>
    </w:p>
    <w:p w14:paraId="075077EF" w14:textId="77777777" w:rsidR="00A0365C" w:rsidRPr="00451613" w:rsidRDefault="00A0365C" w:rsidP="00A0365C">
      <w:pPr>
        <w:rPr>
          <w:rFonts w:ascii="Times New Roman" w:hAnsi="Times New Roman" w:cs="Times New Roman"/>
          <w:sz w:val="24"/>
          <w:szCs w:val="24"/>
        </w:rPr>
      </w:pPr>
      <w:r w:rsidRPr="00451613">
        <w:rPr>
          <w:rFonts w:ascii="Times New Roman" w:hAnsi="Times New Roman" w:cs="Times New Roman"/>
          <w:b/>
          <w:bCs/>
          <w:sz w:val="24"/>
          <w:szCs w:val="24"/>
        </w:rPr>
        <w:t>4.1. SVM in stock market prediction:</w:t>
      </w:r>
    </w:p>
    <w:p w14:paraId="3515B1E4" w14:textId="77777777" w:rsidR="00A0365C" w:rsidRPr="00451613" w:rsidRDefault="00A0365C" w:rsidP="00A0365C">
      <w:pPr>
        <w:rPr>
          <w:rFonts w:ascii="Times New Roman" w:hAnsi="Times New Roman" w:cs="Times New Roman"/>
          <w:sz w:val="24"/>
          <w:szCs w:val="24"/>
        </w:rPr>
      </w:pPr>
      <w:r w:rsidRPr="00451613">
        <w:rPr>
          <w:rFonts w:ascii="Times New Roman" w:hAnsi="Times New Roman" w:cs="Times New Roman"/>
          <w:sz w:val="24"/>
          <w:szCs w:val="24"/>
        </w:rPr>
        <w:t>First, SVM apply to predict share prices of JSW, TATA Steel, Mahindra &amp; Mahindra, Maruti Suzuki through a testing closing prices of these companies.</w:t>
      </w:r>
      <w:r w:rsidRPr="00451613">
        <w:rPr>
          <w:rFonts w:ascii="Times New Roman" w:hAnsi="Times New Roman" w:cs="Times New Roman"/>
          <w:noProof/>
          <w:sz w:val="24"/>
          <w:szCs w:val="24"/>
          <w:lang w:eastAsia="en-IN"/>
        </w:rPr>
        <w:drawing>
          <wp:inline distT="0" distB="0" distL="0" distR="0" wp14:anchorId="05FF95EB" wp14:editId="39271A75">
            <wp:extent cx="5633906" cy="3470564"/>
            <wp:effectExtent l="0" t="0" r="5080" b="0"/>
            <wp:docPr id="1085701230" name="Picture 1" descr="A graph with numbers and li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5701230" name="Picture 1" descr="A graph with numbers and lines&#10;&#10;AI-generated content may be incorrect."/>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673917" cy="3495211"/>
                    </a:xfrm>
                    <a:prstGeom prst="rect">
                      <a:avLst/>
                    </a:prstGeom>
                    <a:noFill/>
                    <a:ln>
                      <a:noFill/>
                    </a:ln>
                  </pic:spPr>
                </pic:pic>
              </a:graphicData>
            </a:graphic>
          </wp:inline>
        </w:drawing>
      </w:r>
      <w:bookmarkStart w:id="2" w:name="_Hlk208834099"/>
      <w:r w:rsidRPr="00451613">
        <w:rPr>
          <w:rFonts w:ascii="Times New Roman" w:hAnsi="Times New Roman" w:cs="Times New Roman"/>
          <w:b/>
          <w:bCs/>
          <w:sz w:val="24"/>
          <w:szCs w:val="24"/>
        </w:rPr>
        <w:t>Fig 2</w:t>
      </w:r>
      <w:r w:rsidRPr="00451613">
        <w:rPr>
          <w:rFonts w:ascii="Times New Roman" w:hAnsi="Times New Roman" w:cs="Times New Roman"/>
          <w:sz w:val="24"/>
          <w:szCs w:val="24"/>
        </w:rPr>
        <w:t xml:space="preserve">: SVM trend chart for closing prices of JSW </w:t>
      </w:r>
    </w:p>
    <w:bookmarkEnd w:id="2"/>
    <w:p w14:paraId="1C5635CC" w14:textId="77777777" w:rsidR="00A0365C" w:rsidRPr="00451613" w:rsidRDefault="00A0365C" w:rsidP="00A0365C">
      <w:pPr>
        <w:spacing w:after="0"/>
        <w:rPr>
          <w:rFonts w:ascii="Times New Roman" w:hAnsi="Times New Roman" w:cs="Times New Roman"/>
          <w:noProof/>
          <w:sz w:val="24"/>
          <w:szCs w:val="24"/>
        </w:rPr>
      </w:pPr>
      <w:r w:rsidRPr="00451613">
        <w:rPr>
          <w:rFonts w:ascii="Times New Roman" w:hAnsi="Times New Roman" w:cs="Times New Roman"/>
          <w:noProof/>
          <w:lang w:eastAsia="en-IN"/>
        </w:rPr>
        <w:lastRenderedPageBreak/>
        <w:drawing>
          <wp:inline distT="0" distB="0" distL="0" distR="0" wp14:anchorId="2C2EDC49" wp14:editId="1CC5B7EF">
            <wp:extent cx="5762290" cy="3768436"/>
            <wp:effectExtent l="0" t="0" r="0" b="3810"/>
            <wp:docPr id="105726463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69005" cy="3772827"/>
                    </a:xfrm>
                    <a:prstGeom prst="rect">
                      <a:avLst/>
                    </a:prstGeom>
                    <a:noFill/>
                    <a:ln>
                      <a:noFill/>
                    </a:ln>
                  </pic:spPr>
                </pic:pic>
              </a:graphicData>
            </a:graphic>
          </wp:inline>
        </w:drawing>
      </w:r>
    </w:p>
    <w:p w14:paraId="325A8EE7" w14:textId="77777777" w:rsidR="00A0365C" w:rsidRPr="00451613" w:rsidRDefault="00A0365C" w:rsidP="00A0365C">
      <w:pPr>
        <w:spacing w:after="0"/>
        <w:jc w:val="both"/>
        <w:rPr>
          <w:rFonts w:ascii="Times New Roman" w:hAnsi="Times New Roman" w:cs="Times New Roman"/>
          <w:sz w:val="24"/>
          <w:szCs w:val="24"/>
        </w:rPr>
      </w:pPr>
      <w:r w:rsidRPr="00451613">
        <w:rPr>
          <w:rFonts w:ascii="Times New Roman" w:hAnsi="Times New Roman" w:cs="Times New Roman"/>
          <w:b/>
          <w:bCs/>
          <w:sz w:val="24"/>
          <w:szCs w:val="24"/>
        </w:rPr>
        <w:t>Fig 3</w:t>
      </w:r>
      <w:r w:rsidRPr="00451613">
        <w:rPr>
          <w:rFonts w:ascii="Times New Roman" w:hAnsi="Times New Roman" w:cs="Times New Roman"/>
          <w:sz w:val="24"/>
          <w:szCs w:val="24"/>
        </w:rPr>
        <w:t>: SVM trend chart for closing prices of TATA Steel</w:t>
      </w:r>
    </w:p>
    <w:p w14:paraId="57290BCF" w14:textId="77777777" w:rsidR="00A0365C" w:rsidRPr="00451613" w:rsidRDefault="00A0365C" w:rsidP="00A0365C">
      <w:pPr>
        <w:spacing w:after="0"/>
        <w:rPr>
          <w:rFonts w:ascii="Times New Roman" w:hAnsi="Times New Roman" w:cs="Times New Roman"/>
          <w:sz w:val="24"/>
          <w:szCs w:val="24"/>
        </w:rPr>
      </w:pPr>
      <w:r w:rsidRPr="00451613">
        <w:rPr>
          <w:rFonts w:ascii="Times New Roman" w:hAnsi="Times New Roman" w:cs="Times New Roman"/>
          <w:noProof/>
          <w:sz w:val="24"/>
          <w:szCs w:val="24"/>
          <w:lang w:eastAsia="en-IN"/>
        </w:rPr>
        <w:drawing>
          <wp:inline distT="0" distB="0" distL="0" distR="0" wp14:anchorId="682E1660" wp14:editId="4B1D56D0">
            <wp:extent cx="6147416" cy="4051005"/>
            <wp:effectExtent l="0" t="0" r="6350" b="6985"/>
            <wp:docPr id="1060061743" name="Picture 3" descr="A graph with blue and orange li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0061743" name="Picture 3" descr="A graph with blue and orange lines&#10;&#10;AI-generated content may be incorrect."/>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152950" cy="4054651"/>
                    </a:xfrm>
                    <a:prstGeom prst="rect">
                      <a:avLst/>
                    </a:prstGeom>
                    <a:noFill/>
                    <a:ln>
                      <a:noFill/>
                    </a:ln>
                  </pic:spPr>
                </pic:pic>
              </a:graphicData>
            </a:graphic>
          </wp:inline>
        </w:drawing>
      </w:r>
    </w:p>
    <w:p w14:paraId="5CB6E082" w14:textId="77777777" w:rsidR="00A0365C" w:rsidRPr="00451613" w:rsidRDefault="00A0365C" w:rsidP="00A0365C">
      <w:pPr>
        <w:spacing w:after="0"/>
        <w:rPr>
          <w:rFonts w:ascii="Times New Roman" w:hAnsi="Times New Roman" w:cs="Times New Roman"/>
          <w:sz w:val="24"/>
          <w:szCs w:val="24"/>
        </w:rPr>
      </w:pPr>
      <w:r w:rsidRPr="00451613">
        <w:rPr>
          <w:rFonts w:ascii="Times New Roman" w:hAnsi="Times New Roman" w:cs="Times New Roman"/>
          <w:b/>
          <w:bCs/>
          <w:sz w:val="24"/>
          <w:szCs w:val="24"/>
        </w:rPr>
        <w:t>Fig 4</w:t>
      </w:r>
      <w:r w:rsidRPr="00451613">
        <w:rPr>
          <w:rFonts w:ascii="Times New Roman" w:hAnsi="Times New Roman" w:cs="Times New Roman"/>
          <w:sz w:val="24"/>
          <w:szCs w:val="24"/>
        </w:rPr>
        <w:t>: SVM trend chart for closing prices of Mahindra &amp; Mahindra</w:t>
      </w:r>
    </w:p>
    <w:p w14:paraId="6ECFD309" w14:textId="77777777" w:rsidR="00A0365C" w:rsidRPr="00451613" w:rsidRDefault="00A0365C" w:rsidP="00A0365C">
      <w:pPr>
        <w:spacing w:after="0"/>
        <w:jc w:val="both"/>
        <w:rPr>
          <w:rFonts w:ascii="Times New Roman" w:hAnsi="Times New Roman" w:cs="Times New Roman"/>
          <w:sz w:val="24"/>
          <w:szCs w:val="24"/>
        </w:rPr>
      </w:pPr>
      <w:r w:rsidRPr="00451613">
        <w:rPr>
          <w:rFonts w:ascii="Times New Roman" w:hAnsi="Times New Roman" w:cs="Times New Roman"/>
          <w:noProof/>
          <w:sz w:val="24"/>
          <w:szCs w:val="24"/>
          <w:lang w:eastAsia="en-IN"/>
        </w:rPr>
        <w:lastRenderedPageBreak/>
        <w:drawing>
          <wp:inline distT="0" distB="0" distL="0" distR="0" wp14:anchorId="3F983FA8" wp14:editId="4ECEDE8E">
            <wp:extent cx="6149340" cy="3911600"/>
            <wp:effectExtent l="0" t="0" r="3810" b="0"/>
            <wp:docPr id="1936315572" name="Picture 4" descr="A graph with blue and orange li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6315572" name="Picture 4" descr="A graph with blue and orange lines&#10;&#10;AI-generated content may be incorrect."/>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149340" cy="3911600"/>
                    </a:xfrm>
                    <a:prstGeom prst="rect">
                      <a:avLst/>
                    </a:prstGeom>
                    <a:noFill/>
                    <a:ln>
                      <a:noFill/>
                    </a:ln>
                  </pic:spPr>
                </pic:pic>
              </a:graphicData>
            </a:graphic>
          </wp:inline>
        </w:drawing>
      </w:r>
    </w:p>
    <w:p w14:paraId="35DFEB1E" w14:textId="77777777" w:rsidR="00A0365C" w:rsidRPr="00451613" w:rsidRDefault="00A0365C" w:rsidP="00A0365C">
      <w:pPr>
        <w:spacing w:after="0"/>
        <w:jc w:val="both"/>
        <w:rPr>
          <w:rFonts w:ascii="Times New Roman" w:hAnsi="Times New Roman" w:cs="Times New Roman"/>
          <w:sz w:val="24"/>
          <w:szCs w:val="24"/>
        </w:rPr>
      </w:pPr>
      <w:r w:rsidRPr="00451613">
        <w:rPr>
          <w:rFonts w:ascii="Times New Roman" w:hAnsi="Times New Roman" w:cs="Times New Roman"/>
          <w:b/>
          <w:bCs/>
          <w:sz w:val="24"/>
          <w:szCs w:val="24"/>
        </w:rPr>
        <w:t>Fig 5</w:t>
      </w:r>
      <w:r w:rsidRPr="00451613">
        <w:rPr>
          <w:rFonts w:ascii="Times New Roman" w:hAnsi="Times New Roman" w:cs="Times New Roman"/>
          <w:sz w:val="24"/>
          <w:szCs w:val="24"/>
        </w:rPr>
        <w:t>: SVM trend chart for closing prices of Maruti Suzuki</w:t>
      </w:r>
    </w:p>
    <w:p w14:paraId="6A4BB8A2" w14:textId="77777777" w:rsidR="00A0365C" w:rsidRPr="00451613" w:rsidRDefault="00A0365C" w:rsidP="00A0365C">
      <w:pPr>
        <w:jc w:val="both"/>
        <w:rPr>
          <w:rFonts w:ascii="Times New Roman" w:hAnsi="Times New Roman" w:cs="Times New Roman"/>
          <w:sz w:val="24"/>
          <w:szCs w:val="24"/>
        </w:rPr>
      </w:pPr>
      <w:bookmarkStart w:id="3" w:name="_Hlk208834385"/>
      <w:r w:rsidRPr="00451613">
        <w:rPr>
          <w:rFonts w:ascii="Times New Roman" w:hAnsi="Times New Roman" w:cs="Times New Roman"/>
          <w:sz w:val="24"/>
          <w:szCs w:val="24"/>
        </w:rPr>
        <w:t>In all the above graphs, the orange &amp; blue lines represent predictive and actual values, respectively, through which the researcher observed that SVM in the case of M&amp;M was not able to catch the trend and was slightly misleading in the case of Maruti Suzuki and worst in the case of TATA Steel, where it was able to catch the trend but had a high error in the actual and predictive values. On the other hand, it shows high predictability in JSW. It is concluded that when there is a sharp spike in the share price, then SVM is not able to capture the trend, which leads to unreliable predictions, as noted in TATA Steel and M&amp;M, and even in Maruti Suzuki.</w:t>
      </w:r>
    </w:p>
    <w:p w14:paraId="75F71DC7" w14:textId="77777777" w:rsidR="00A0365C" w:rsidRPr="00451613" w:rsidRDefault="00A0365C" w:rsidP="00A0365C">
      <w:pPr>
        <w:jc w:val="both"/>
        <w:rPr>
          <w:rFonts w:ascii="Times New Roman" w:hAnsi="Times New Roman" w:cs="Times New Roman"/>
          <w:sz w:val="24"/>
          <w:szCs w:val="24"/>
        </w:rPr>
      </w:pPr>
      <w:r w:rsidRPr="00451613">
        <w:rPr>
          <w:rFonts w:ascii="Times New Roman" w:hAnsi="Times New Roman" w:cs="Times New Roman"/>
          <w:b/>
          <w:bCs/>
          <w:sz w:val="24"/>
          <w:szCs w:val="24"/>
        </w:rPr>
        <w:t>4.2.</w:t>
      </w:r>
      <w:r w:rsidRPr="00451613">
        <w:rPr>
          <w:rFonts w:ascii="Times New Roman" w:hAnsi="Times New Roman" w:cs="Times New Roman"/>
          <w:sz w:val="24"/>
          <w:szCs w:val="24"/>
        </w:rPr>
        <w:t xml:space="preserve"> </w:t>
      </w:r>
      <w:r w:rsidRPr="00451613">
        <w:rPr>
          <w:rFonts w:ascii="Times New Roman" w:hAnsi="Times New Roman" w:cs="Times New Roman"/>
          <w:b/>
          <w:bCs/>
          <w:sz w:val="24"/>
          <w:szCs w:val="24"/>
        </w:rPr>
        <w:t>LSTM in stock market prediction:</w:t>
      </w:r>
    </w:p>
    <w:bookmarkEnd w:id="3"/>
    <w:p w14:paraId="243E4FF5" w14:textId="77777777" w:rsidR="00A0365C" w:rsidRPr="00451613" w:rsidRDefault="00A0365C" w:rsidP="00A0365C">
      <w:pPr>
        <w:spacing w:after="0"/>
        <w:jc w:val="both"/>
        <w:rPr>
          <w:rFonts w:ascii="Times New Roman" w:hAnsi="Times New Roman" w:cs="Times New Roman"/>
          <w:b/>
          <w:bCs/>
          <w:sz w:val="24"/>
          <w:szCs w:val="24"/>
        </w:rPr>
      </w:pPr>
      <w:r w:rsidRPr="00451613">
        <w:rPr>
          <w:rFonts w:ascii="Times New Roman" w:hAnsi="Times New Roman" w:cs="Times New Roman"/>
          <w:noProof/>
          <w:sz w:val="24"/>
          <w:szCs w:val="24"/>
          <w:lang w:eastAsia="en-IN"/>
        </w:rPr>
        <w:drawing>
          <wp:inline distT="0" distB="0" distL="0" distR="0" wp14:anchorId="713CD536" wp14:editId="45CC5A79">
            <wp:extent cx="5524115" cy="2392326"/>
            <wp:effectExtent l="0" t="0" r="635" b="8255"/>
            <wp:docPr id="1257552079" name="Picture 5" descr="A graph with red and green li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7552079" name="Picture 5" descr="A graph with red and green lines&#10;&#10;AI-generated content may be incorrect."/>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589265" cy="2420540"/>
                    </a:xfrm>
                    <a:prstGeom prst="rect">
                      <a:avLst/>
                    </a:prstGeom>
                    <a:noFill/>
                    <a:ln>
                      <a:noFill/>
                    </a:ln>
                  </pic:spPr>
                </pic:pic>
              </a:graphicData>
            </a:graphic>
          </wp:inline>
        </w:drawing>
      </w:r>
    </w:p>
    <w:p w14:paraId="058E3CCE" w14:textId="77777777" w:rsidR="00A0365C" w:rsidRPr="00451613" w:rsidRDefault="00A0365C" w:rsidP="00A0365C">
      <w:pPr>
        <w:spacing w:after="0"/>
        <w:rPr>
          <w:rFonts w:ascii="Times New Roman" w:hAnsi="Times New Roman" w:cs="Times New Roman"/>
          <w:sz w:val="24"/>
          <w:szCs w:val="24"/>
        </w:rPr>
      </w:pPr>
      <w:bookmarkStart w:id="4" w:name="_Hlk208834414"/>
      <w:r w:rsidRPr="00451613">
        <w:rPr>
          <w:rFonts w:ascii="Times New Roman" w:hAnsi="Times New Roman" w:cs="Times New Roman"/>
          <w:b/>
          <w:bCs/>
          <w:sz w:val="24"/>
          <w:szCs w:val="24"/>
        </w:rPr>
        <w:t>Fig 6</w:t>
      </w:r>
      <w:r w:rsidRPr="00451613">
        <w:rPr>
          <w:rFonts w:ascii="Times New Roman" w:hAnsi="Times New Roman" w:cs="Times New Roman"/>
          <w:sz w:val="24"/>
          <w:szCs w:val="24"/>
        </w:rPr>
        <w:t>: LSTM trend chart for closing prices of JSW</w:t>
      </w:r>
    </w:p>
    <w:bookmarkEnd w:id="4"/>
    <w:p w14:paraId="3CBF534C" w14:textId="77777777" w:rsidR="00A0365C" w:rsidRPr="00451613" w:rsidRDefault="00A0365C" w:rsidP="00A0365C">
      <w:pPr>
        <w:spacing w:after="0"/>
        <w:rPr>
          <w:rFonts w:ascii="Times New Roman" w:hAnsi="Times New Roman" w:cs="Times New Roman"/>
          <w:sz w:val="24"/>
          <w:szCs w:val="24"/>
        </w:rPr>
      </w:pPr>
      <w:r w:rsidRPr="00451613">
        <w:rPr>
          <w:rFonts w:ascii="Times New Roman" w:hAnsi="Times New Roman" w:cs="Times New Roman"/>
          <w:noProof/>
          <w:lang w:eastAsia="en-IN"/>
        </w:rPr>
        <w:lastRenderedPageBreak/>
        <w:drawing>
          <wp:inline distT="0" distB="0" distL="0" distR="0" wp14:anchorId="4BB7B67D" wp14:editId="3EFF7E14">
            <wp:extent cx="5120640" cy="3838353"/>
            <wp:effectExtent l="0" t="0" r="3810" b="0"/>
            <wp:docPr id="30803681" name="Picture 5" descr="A graph showing the price of stee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803681" name="Picture 5" descr="A graph showing the price of steel&#10;&#10;AI-generated content may be incorrect."/>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121351" cy="3838886"/>
                    </a:xfrm>
                    <a:prstGeom prst="rect">
                      <a:avLst/>
                    </a:prstGeom>
                    <a:noFill/>
                    <a:ln>
                      <a:noFill/>
                    </a:ln>
                  </pic:spPr>
                </pic:pic>
              </a:graphicData>
            </a:graphic>
          </wp:inline>
        </w:drawing>
      </w:r>
    </w:p>
    <w:p w14:paraId="12EB67C0" w14:textId="77777777" w:rsidR="00A0365C" w:rsidRPr="00451613" w:rsidRDefault="00A0365C" w:rsidP="00A0365C">
      <w:pPr>
        <w:spacing w:after="0"/>
        <w:jc w:val="both"/>
        <w:rPr>
          <w:rFonts w:ascii="Times New Roman" w:hAnsi="Times New Roman" w:cs="Times New Roman"/>
          <w:sz w:val="24"/>
          <w:szCs w:val="24"/>
        </w:rPr>
      </w:pPr>
      <w:r w:rsidRPr="00451613">
        <w:rPr>
          <w:rFonts w:ascii="Times New Roman" w:hAnsi="Times New Roman" w:cs="Times New Roman"/>
          <w:b/>
          <w:bCs/>
          <w:sz w:val="24"/>
          <w:szCs w:val="24"/>
        </w:rPr>
        <w:t>Fig 7</w:t>
      </w:r>
      <w:r w:rsidRPr="00451613">
        <w:rPr>
          <w:rFonts w:ascii="Times New Roman" w:hAnsi="Times New Roman" w:cs="Times New Roman"/>
          <w:sz w:val="24"/>
          <w:szCs w:val="24"/>
        </w:rPr>
        <w:t>: LSTM trend chart for closing prices of TATA Steel</w:t>
      </w:r>
    </w:p>
    <w:p w14:paraId="6BF7DBC2" w14:textId="77777777" w:rsidR="00A0365C" w:rsidRPr="00451613" w:rsidRDefault="00A0365C" w:rsidP="00A0365C">
      <w:pPr>
        <w:jc w:val="both"/>
        <w:rPr>
          <w:rFonts w:ascii="Times New Roman" w:hAnsi="Times New Roman" w:cs="Times New Roman"/>
          <w:b/>
          <w:bCs/>
          <w:sz w:val="24"/>
          <w:szCs w:val="24"/>
        </w:rPr>
      </w:pPr>
    </w:p>
    <w:p w14:paraId="1EB6855C" w14:textId="77777777" w:rsidR="00A0365C" w:rsidRPr="00451613" w:rsidRDefault="00A0365C" w:rsidP="00A0365C">
      <w:pPr>
        <w:spacing w:after="0"/>
        <w:jc w:val="both"/>
        <w:rPr>
          <w:rFonts w:ascii="Times New Roman" w:hAnsi="Times New Roman" w:cs="Times New Roman"/>
          <w:b/>
          <w:bCs/>
          <w:sz w:val="24"/>
          <w:szCs w:val="24"/>
        </w:rPr>
      </w:pPr>
      <w:r w:rsidRPr="00451613">
        <w:rPr>
          <w:rFonts w:ascii="Times New Roman" w:hAnsi="Times New Roman" w:cs="Times New Roman"/>
          <w:noProof/>
          <w:sz w:val="24"/>
          <w:szCs w:val="24"/>
          <w:lang w:eastAsia="en-IN"/>
        </w:rPr>
        <w:drawing>
          <wp:inline distT="0" distB="0" distL="0" distR="0" wp14:anchorId="0377995E" wp14:editId="1E43581C">
            <wp:extent cx="5120640" cy="4136065"/>
            <wp:effectExtent l="0" t="0" r="3810" b="0"/>
            <wp:docPr id="895643908" name="Picture 2" descr="A graph showing price and predicti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5643908" name="Picture 2" descr="A graph showing price and prediction&#10;&#10;AI-generated content may be incorrect."/>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127534" cy="4141633"/>
                    </a:xfrm>
                    <a:prstGeom prst="rect">
                      <a:avLst/>
                    </a:prstGeom>
                    <a:noFill/>
                    <a:ln>
                      <a:noFill/>
                    </a:ln>
                  </pic:spPr>
                </pic:pic>
              </a:graphicData>
            </a:graphic>
          </wp:inline>
        </w:drawing>
      </w:r>
    </w:p>
    <w:p w14:paraId="5B26D2D7" w14:textId="77777777" w:rsidR="00A0365C" w:rsidRPr="00451613" w:rsidRDefault="00A0365C" w:rsidP="00A0365C">
      <w:pPr>
        <w:spacing w:after="0"/>
        <w:jc w:val="both"/>
        <w:rPr>
          <w:rFonts w:ascii="Times New Roman" w:hAnsi="Times New Roman" w:cs="Times New Roman"/>
          <w:sz w:val="24"/>
          <w:szCs w:val="24"/>
        </w:rPr>
      </w:pPr>
      <w:r w:rsidRPr="00451613">
        <w:rPr>
          <w:rFonts w:ascii="Times New Roman" w:hAnsi="Times New Roman" w:cs="Times New Roman"/>
          <w:b/>
          <w:bCs/>
          <w:sz w:val="24"/>
          <w:szCs w:val="24"/>
        </w:rPr>
        <w:t>Fig 8</w:t>
      </w:r>
      <w:r w:rsidRPr="00451613">
        <w:rPr>
          <w:rFonts w:ascii="Times New Roman" w:hAnsi="Times New Roman" w:cs="Times New Roman"/>
          <w:sz w:val="24"/>
          <w:szCs w:val="24"/>
        </w:rPr>
        <w:t>: LSTM trend chart for closing prices of Mahindra &amp; Mahindra</w:t>
      </w:r>
    </w:p>
    <w:p w14:paraId="7B7379B0" w14:textId="77777777" w:rsidR="00A0365C" w:rsidRPr="00451613" w:rsidRDefault="00A0365C" w:rsidP="00A0365C">
      <w:pPr>
        <w:spacing w:after="0"/>
        <w:jc w:val="both"/>
        <w:rPr>
          <w:rFonts w:ascii="Times New Roman" w:hAnsi="Times New Roman" w:cs="Times New Roman"/>
          <w:b/>
          <w:bCs/>
          <w:sz w:val="24"/>
          <w:szCs w:val="24"/>
        </w:rPr>
      </w:pPr>
      <w:r w:rsidRPr="00451613">
        <w:rPr>
          <w:rFonts w:ascii="Times New Roman" w:hAnsi="Times New Roman" w:cs="Times New Roman"/>
          <w:noProof/>
          <w:sz w:val="24"/>
          <w:szCs w:val="24"/>
          <w:lang w:eastAsia="en-IN"/>
        </w:rPr>
        <w:lastRenderedPageBreak/>
        <w:drawing>
          <wp:inline distT="0" distB="0" distL="0" distR="0" wp14:anchorId="1897DD0D" wp14:editId="1507FC04">
            <wp:extent cx="5200015" cy="3578225"/>
            <wp:effectExtent l="0" t="0" r="635" b="3175"/>
            <wp:docPr id="645885796" name="Picture 3" descr="A graph of price and pric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5885796" name="Picture 3" descr="A graph of price and price&#10;&#10;AI-generated content may be incorrect."/>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200015" cy="3578225"/>
                    </a:xfrm>
                    <a:prstGeom prst="rect">
                      <a:avLst/>
                    </a:prstGeom>
                    <a:noFill/>
                    <a:ln>
                      <a:noFill/>
                    </a:ln>
                  </pic:spPr>
                </pic:pic>
              </a:graphicData>
            </a:graphic>
          </wp:inline>
        </w:drawing>
      </w:r>
    </w:p>
    <w:p w14:paraId="1810513F" w14:textId="77777777" w:rsidR="00A0365C" w:rsidRPr="00451613" w:rsidRDefault="00A0365C" w:rsidP="00A0365C">
      <w:pPr>
        <w:spacing w:after="0"/>
        <w:jc w:val="both"/>
        <w:rPr>
          <w:rFonts w:ascii="Times New Roman" w:hAnsi="Times New Roman" w:cs="Times New Roman"/>
          <w:sz w:val="24"/>
          <w:szCs w:val="24"/>
        </w:rPr>
      </w:pPr>
      <w:r w:rsidRPr="00451613">
        <w:rPr>
          <w:rFonts w:ascii="Times New Roman" w:hAnsi="Times New Roman" w:cs="Times New Roman"/>
          <w:b/>
          <w:bCs/>
          <w:sz w:val="24"/>
          <w:szCs w:val="24"/>
        </w:rPr>
        <w:t>Fig 9</w:t>
      </w:r>
      <w:r w:rsidRPr="00451613">
        <w:rPr>
          <w:rFonts w:ascii="Times New Roman" w:hAnsi="Times New Roman" w:cs="Times New Roman"/>
          <w:sz w:val="24"/>
          <w:szCs w:val="24"/>
        </w:rPr>
        <w:t>: LSTM trend chart for closing prices of Maruti Suzuki</w:t>
      </w:r>
    </w:p>
    <w:p w14:paraId="45099E8D" w14:textId="77777777" w:rsidR="00A0365C" w:rsidRPr="00451613" w:rsidRDefault="00A0365C" w:rsidP="00A0365C">
      <w:pPr>
        <w:jc w:val="both"/>
        <w:rPr>
          <w:rFonts w:ascii="Times New Roman" w:hAnsi="Times New Roman" w:cs="Times New Roman"/>
          <w:sz w:val="24"/>
          <w:szCs w:val="24"/>
        </w:rPr>
      </w:pPr>
      <w:bookmarkStart w:id="5" w:name="_Hlk208834495"/>
      <w:r w:rsidRPr="00451613">
        <w:rPr>
          <w:rFonts w:ascii="Times New Roman" w:hAnsi="Times New Roman" w:cs="Times New Roman"/>
          <w:sz w:val="24"/>
          <w:szCs w:val="24"/>
        </w:rPr>
        <w:t>The researcher marked that in all graphs LSTM is able to understand trends with spikes but not to predict clear peaks and lows of the trend or even mislead the overall values of the trend.</w:t>
      </w:r>
    </w:p>
    <w:p w14:paraId="1D1457B3" w14:textId="77777777" w:rsidR="00A0365C" w:rsidRPr="00451613" w:rsidRDefault="00A0365C" w:rsidP="00A0365C">
      <w:pPr>
        <w:jc w:val="both"/>
        <w:rPr>
          <w:rFonts w:ascii="Times New Roman" w:hAnsi="Times New Roman" w:cs="Times New Roman"/>
          <w:b/>
          <w:bCs/>
          <w:sz w:val="24"/>
          <w:szCs w:val="24"/>
        </w:rPr>
      </w:pPr>
      <w:r w:rsidRPr="00451613">
        <w:rPr>
          <w:rFonts w:ascii="Times New Roman" w:hAnsi="Times New Roman" w:cs="Times New Roman"/>
          <w:b/>
          <w:bCs/>
          <w:sz w:val="24"/>
          <w:szCs w:val="24"/>
        </w:rPr>
        <w:t>4.3. MLP in stock market prediction:</w:t>
      </w:r>
    </w:p>
    <w:bookmarkEnd w:id="5"/>
    <w:p w14:paraId="307524A7" w14:textId="77777777" w:rsidR="00A0365C" w:rsidRPr="00451613" w:rsidRDefault="00A0365C" w:rsidP="00A0365C">
      <w:pPr>
        <w:spacing w:after="0"/>
        <w:jc w:val="both"/>
        <w:rPr>
          <w:rFonts w:ascii="Times New Roman" w:hAnsi="Times New Roman" w:cs="Times New Roman"/>
          <w:b/>
          <w:bCs/>
          <w:sz w:val="24"/>
          <w:szCs w:val="24"/>
        </w:rPr>
      </w:pPr>
      <w:r w:rsidRPr="00451613">
        <w:rPr>
          <w:rFonts w:ascii="Times New Roman" w:hAnsi="Times New Roman" w:cs="Times New Roman"/>
          <w:noProof/>
          <w:sz w:val="24"/>
          <w:szCs w:val="24"/>
          <w:lang w:eastAsia="en-IN"/>
        </w:rPr>
        <w:drawing>
          <wp:inline distT="0" distB="0" distL="0" distR="0" wp14:anchorId="6E5BD315" wp14:editId="53BDBE38">
            <wp:extent cx="5376545" cy="3564890"/>
            <wp:effectExtent l="0" t="0" r="0" b="0"/>
            <wp:docPr id="961522359" name="Picture 3" descr="A graph with orange and blue li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1522359" name="Picture 3" descr="A graph with orange and blue lines&#10;&#10;AI-generated content may be incorrect."/>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376545" cy="3564890"/>
                    </a:xfrm>
                    <a:prstGeom prst="rect">
                      <a:avLst/>
                    </a:prstGeom>
                    <a:noFill/>
                    <a:ln>
                      <a:noFill/>
                    </a:ln>
                  </pic:spPr>
                </pic:pic>
              </a:graphicData>
            </a:graphic>
          </wp:inline>
        </w:drawing>
      </w:r>
    </w:p>
    <w:p w14:paraId="190BDE1B" w14:textId="77777777" w:rsidR="00A0365C" w:rsidRPr="00451613" w:rsidRDefault="00A0365C" w:rsidP="00A0365C">
      <w:pPr>
        <w:spacing w:after="0"/>
        <w:jc w:val="both"/>
        <w:rPr>
          <w:rFonts w:ascii="Times New Roman" w:hAnsi="Times New Roman" w:cs="Times New Roman"/>
          <w:sz w:val="24"/>
          <w:szCs w:val="24"/>
        </w:rPr>
      </w:pPr>
      <w:bookmarkStart w:id="6" w:name="_Hlk208834514"/>
      <w:r w:rsidRPr="00451613">
        <w:rPr>
          <w:rFonts w:ascii="Times New Roman" w:hAnsi="Times New Roman" w:cs="Times New Roman"/>
          <w:b/>
          <w:bCs/>
          <w:sz w:val="24"/>
          <w:szCs w:val="24"/>
        </w:rPr>
        <w:t>Fig 10</w:t>
      </w:r>
      <w:r w:rsidRPr="00451613">
        <w:rPr>
          <w:rFonts w:ascii="Times New Roman" w:hAnsi="Times New Roman" w:cs="Times New Roman"/>
          <w:sz w:val="24"/>
          <w:szCs w:val="24"/>
        </w:rPr>
        <w:t>: MLP trend chart for closing prices of JSW</w:t>
      </w:r>
    </w:p>
    <w:bookmarkEnd w:id="6"/>
    <w:p w14:paraId="77547790" w14:textId="77777777" w:rsidR="00A0365C" w:rsidRPr="00451613" w:rsidRDefault="00A0365C" w:rsidP="00A0365C">
      <w:pPr>
        <w:jc w:val="both"/>
        <w:rPr>
          <w:rFonts w:ascii="Times New Roman" w:hAnsi="Times New Roman" w:cs="Times New Roman"/>
          <w:b/>
          <w:bCs/>
          <w:sz w:val="24"/>
          <w:szCs w:val="24"/>
        </w:rPr>
      </w:pPr>
      <w:r w:rsidRPr="00451613">
        <w:rPr>
          <w:rFonts w:ascii="Times New Roman" w:hAnsi="Times New Roman" w:cs="Times New Roman"/>
          <w:noProof/>
          <w:lang w:eastAsia="en-IN"/>
        </w:rPr>
        <w:lastRenderedPageBreak/>
        <w:drawing>
          <wp:inline distT="0" distB="0" distL="0" distR="0" wp14:anchorId="31375245" wp14:editId="325BF86F">
            <wp:extent cx="5378450" cy="3568700"/>
            <wp:effectExtent l="0" t="0" r="0" b="0"/>
            <wp:docPr id="101143538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378450" cy="3568700"/>
                    </a:xfrm>
                    <a:prstGeom prst="rect">
                      <a:avLst/>
                    </a:prstGeom>
                    <a:noFill/>
                    <a:ln>
                      <a:noFill/>
                    </a:ln>
                  </pic:spPr>
                </pic:pic>
              </a:graphicData>
            </a:graphic>
          </wp:inline>
        </w:drawing>
      </w:r>
    </w:p>
    <w:p w14:paraId="7E7BD3A2" w14:textId="77777777" w:rsidR="00A0365C" w:rsidRPr="00451613" w:rsidRDefault="00A0365C" w:rsidP="00A0365C">
      <w:pPr>
        <w:jc w:val="both"/>
        <w:rPr>
          <w:rFonts w:ascii="Times New Roman" w:hAnsi="Times New Roman" w:cs="Times New Roman"/>
          <w:sz w:val="24"/>
          <w:szCs w:val="24"/>
        </w:rPr>
      </w:pPr>
      <w:r w:rsidRPr="00451613">
        <w:rPr>
          <w:rFonts w:ascii="Times New Roman" w:hAnsi="Times New Roman" w:cs="Times New Roman"/>
          <w:b/>
          <w:bCs/>
          <w:sz w:val="24"/>
          <w:szCs w:val="24"/>
        </w:rPr>
        <w:t>Fig 11</w:t>
      </w:r>
      <w:r w:rsidRPr="00451613">
        <w:rPr>
          <w:rFonts w:ascii="Times New Roman" w:hAnsi="Times New Roman" w:cs="Times New Roman"/>
          <w:sz w:val="24"/>
          <w:szCs w:val="24"/>
        </w:rPr>
        <w:t>: MLP trend chart for closing prices of TATA Steel</w:t>
      </w:r>
    </w:p>
    <w:p w14:paraId="6F72E5A9" w14:textId="77777777" w:rsidR="00A0365C" w:rsidRPr="00451613" w:rsidRDefault="00A0365C" w:rsidP="00A0365C">
      <w:pPr>
        <w:jc w:val="both"/>
        <w:rPr>
          <w:rFonts w:ascii="Times New Roman" w:hAnsi="Times New Roman" w:cs="Times New Roman"/>
          <w:b/>
          <w:bCs/>
          <w:sz w:val="24"/>
          <w:szCs w:val="24"/>
        </w:rPr>
      </w:pPr>
    </w:p>
    <w:p w14:paraId="25E16F52" w14:textId="77777777" w:rsidR="00A0365C" w:rsidRPr="00451613" w:rsidRDefault="00A0365C" w:rsidP="00A0365C">
      <w:pPr>
        <w:spacing w:after="0"/>
        <w:jc w:val="both"/>
        <w:rPr>
          <w:rFonts w:ascii="Times New Roman" w:hAnsi="Times New Roman" w:cs="Times New Roman"/>
          <w:b/>
          <w:bCs/>
          <w:sz w:val="24"/>
          <w:szCs w:val="24"/>
        </w:rPr>
      </w:pPr>
      <w:r w:rsidRPr="00451613">
        <w:rPr>
          <w:rFonts w:ascii="Times New Roman" w:hAnsi="Times New Roman" w:cs="Times New Roman"/>
          <w:noProof/>
          <w:sz w:val="24"/>
          <w:szCs w:val="24"/>
          <w:lang w:eastAsia="en-IN"/>
        </w:rPr>
        <w:drawing>
          <wp:inline distT="0" distB="0" distL="0" distR="0" wp14:anchorId="0D568C39" wp14:editId="4C4E2EA3">
            <wp:extent cx="5376545" cy="3564890"/>
            <wp:effectExtent l="0" t="0" r="0" b="0"/>
            <wp:docPr id="837921212" name="Picture 1" descr="A graph with blue and orange li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7921212" name="Picture 1" descr="A graph with blue and orange lines&#10;&#10;AI-generated content may be incorrect."/>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376545" cy="3564890"/>
                    </a:xfrm>
                    <a:prstGeom prst="rect">
                      <a:avLst/>
                    </a:prstGeom>
                    <a:noFill/>
                    <a:ln>
                      <a:noFill/>
                    </a:ln>
                  </pic:spPr>
                </pic:pic>
              </a:graphicData>
            </a:graphic>
          </wp:inline>
        </w:drawing>
      </w:r>
    </w:p>
    <w:p w14:paraId="5478580E" w14:textId="77777777" w:rsidR="00A0365C" w:rsidRPr="00451613" w:rsidRDefault="00A0365C" w:rsidP="00A0365C">
      <w:pPr>
        <w:spacing w:after="0"/>
        <w:jc w:val="both"/>
        <w:rPr>
          <w:rFonts w:ascii="Times New Roman" w:hAnsi="Times New Roman" w:cs="Times New Roman"/>
          <w:b/>
          <w:bCs/>
          <w:sz w:val="24"/>
          <w:szCs w:val="24"/>
        </w:rPr>
      </w:pPr>
      <w:bookmarkStart w:id="7" w:name="_Hlk208834536"/>
      <w:r w:rsidRPr="00451613">
        <w:rPr>
          <w:rFonts w:ascii="Times New Roman" w:hAnsi="Times New Roman" w:cs="Times New Roman"/>
          <w:b/>
          <w:bCs/>
          <w:sz w:val="24"/>
          <w:szCs w:val="24"/>
        </w:rPr>
        <w:t>Fig 12</w:t>
      </w:r>
      <w:r w:rsidRPr="00451613">
        <w:rPr>
          <w:rFonts w:ascii="Times New Roman" w:hAnsi="Times New Roman" w:cs="Times New Roman"/>
          <w:sz w:val="24"/>
          <w:szCs w:val="24"/>
        </w:rPr>
        <w:t>: MLP trend chart for closing prices of Mahindra &amp; Mahindra</w:t>
      </w:r>
      <w:bookmarkEnd w:id="7"/>
    </w:p>
    <w:p w14:paraId="27D704ED" w14:textId="77777777" w:rsidR="00A0365C" w:rsidRPr="00451613" w:rsidRDefault="00A0365C" w:rsidP="00A0365C">
      <w:pPr>
        <w:spacing w:after="0"/>
        <w:jc w:val="both"/>
        <w:rPr>
          <w:rFonts w:ascii="Times New Roman" w:hAnsi="Times New Roman" w:cs="Times New Roman"/>
          <w:b/>
          <w:bCs/>
          <w:sz w:val="24"/>
          <w:szCs w:val="24"/>
        </w:rPr>
      </w:pPr>
      <w:r w:rsidRPr="00451613">
        <w:rPr>
          <w:rFonts w:ascii="Times New Roman" w:hAnsi="Times New Roman" w:cs="Times New Roman"/>
          <w:noProof/>
          <w:sz w:val="24"/>
          <w:szCs w:val="24"/>
          <w:lang w:eastAsia="en-IN"/>
        </w:rPr>
        <w:lastRenderedPageBreak/>
        <w:drawing>
          <wp:inline distT="0" distB="0" distL="0" distR="0" wp14:anchorId="6E600B70" wp14:editId="75A3BAED">
            <wp:extent cx="5387648" cy="4146698"/>
            <wp:effectExtent l="0" t="0" r="3810" b="6350"/>
            <wp:docPr id="2062867843" name="Picture 2" descr="A graph with blue and orange li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2867843" name="Picture 2" descr="A graph with blue and orange lines&#10;&#10;AI-generated content may be incorrect."/>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391021" cy="4149294"/>
                    </a:xfrm>
                    <a:prstGeom prst="rect">
                      <a:avLst/>
                    </a:prstGeom>
                    <a:noFill/>
                    <a:ln>
                      <a:noFill/>
                    </a:ln>
                  </pic:spPr>
                </pic:pic>
              </a:graphicData>
            </a:graphic>
          </wp:inline>
        </w:drawing>
      </w:r>
    </w:p>
    <w:p w14:paraId="7EE4CAE4" w14:textId="77777777" w:rsidR="00A0365C" w:rsidRPr="00451613" w:rsidRDefault="00A0365C" w:rsidP="00A0365C">
      <w:pPr>
        <w:spacing w:after="0"/>
        <w:jc w:val="both"/>
        <w:rPr>
          <w:rFonts w:ascii="Times New Roman" w:hAnsi="Times New Roman" w:cs="Times New Roman"/>
          <w:sz w:val="24"/>
          <w:szCs w:val="24"/>
        </w:rPr>
      </w:pPr>
      <w:r w:rsidRPr="00451613">
        <w:rPr>
          <w:rFonts w:ascii="Times New Roman" w:hAnsi="Times New Roman" w:cs="Times New Roman"/>
          <w:b/>
          <w:bCs/>
          <w:sz w:val="24"/>
          <w:szCs w:val="24"/>
        </w:rPr>
        <w:t>Fig 13</w:t>
      </w:r>
      <w:r w:rsidRPr="00451613">
        <w:rPr>
          <w:rFonts w:ascii="Times New Roman" w:hAnsi="Times New Roman" w:cs="Times New Roman"/>
          <w:sz w:val="24"/>
          <w:szCs w:val="24"/>
        </w:rPr>
        <w:t>: MLP trend chart for closing prices of Maruti Suzuki</w:t>
      </w:r>
    </w:p>
    <w:p w14:paraId="2A488205" w14:textId="77777777" w:rsidR="00A0365C" w:rsidRPr="00451613" w:rsidRDefault="00A0365C" w:rsidP="00A0365C">
      <w:pPr>
        <w:jc w:val="both"/>
        <w:rPr>
          <w:rFonts w:ascii="Times New Roman" w:hAnsi="Times New Roman" w:cs="Times New Roman"/>
          <w:sz w:val="24"/>
          <w:szCs w:val="24"/>
        </w:rPr>
      </w:pPr>
      <w:bookmarkStart w:id="8" w:name="_Hlk208834567"/>
      <w:r w:rsidRPr="00451613">
        <w:rPr>
          <w:rFonts w:ascii="Times New Roman" w:hAnsi="Times New Roman" w:cs="Times New Roman"/>
          <w:sz w:val="24"/>
          <w:szCs w:val="24"/>
        </w:rPr>
        <w:t>In MLP graphs, the yellow and blue lines denote predictive and actual values, respectively. It was observed that in all the companies apart from TATA Steel, MLP showed satisfactory performance as compared to other models, able to capture the nonlinearity of the data followed by a closely aligned prediction of MLP.</w:t>
      </w:r>
    </w:p>
    <w:p w14:paraId="3AB0B097" w14:textId="77777777" w:rsidR="00A0365C" w:rsidRPr="004441B4" w:rsidRDefault="00A0365C" w:rsidP="00A0365C">
      <w:pPr>
        <w:jc w:val="center"/>
        <w:rPr>
          <w:rFonts w:ascii="Times New Roman" w:hAnsi="Times New Roman" w:cs="Times New Roman"/>
          <w:b/>
          <w:bCs/>
          <w:sz w:val="24"/>
          <w:szCs w:val="24"/>
        </w:rPr>
      </w:pPr>
      <w:r w:rsidRPr="004441B4">
        <w:rPr>
          <w:rFonts w:ascii="Times New Roman" w:hAnsi="Times New Roman" w:cs="Times New Roman"/>
          <w:b/>
          <w:bCs/>
          <w:sz w:val="24"/>
          <w:szCs w:val="24"/>
        </w:rPr>
        <w:t>Table 2: Error of models to predict closing prices of companies</w:t>
      </w:r>
    </w:p>
    <w:tbl>
      <w:tblPr>
        <w:tblStyle w:val="TableGrid"/>
        <w:tblW w:w="0" w:type="auto"/>
        <w:tblLook w:val="04A0" w:firstRow="1" w:lastRow="0" w:firstColumn="1" w:lastColumn="0" w:noHBand="0" w:noVBand="1"/>
      </w:tblPr>
      <w:tblGrid>
        <w:gridCol w:w="1803"/>
        <w:gridCol w:w="1803"/>
        <w:gridCol w:w="1803"/>
        <w:gridCol w:w="1803"/>
        <w:gridCol w:w="1804"/>
      </w:tblGrid>
      <w:tr w:rsidR="00A0365C" w:rsidRPr="00451613" w14:paraId="676BCB3C" w14:textId="77777777" w:rsidTr="00434B93">
        <w:tc>
          <w:tcPr>
            <w:tcW w:w="1803" w:type="dxa"/>
            <w:vAlign w:val="center"/>
          </w:tcPr>
          <w:p w14:paraId="2773623B" w14:textId="77777777" w:rsidR="00A0365C" w:rsidRPr="00451613" w:rsidRDefault="00A0365C" w:rsidP="00434B93">
            <w:pPr>
              <w:jc w:val="both"/>
              <w:rPr>
                <w:rFonts w:ascii="Times New Roman" w:hAnsi="Times New Roman" w:cs="Times New Roman"/>
                <w:sz w:val="24"/>
                <w:szCs w:val="24"/>
              </w:rPr>
            </w:pPr>
            <w:bookmarkStart w:id="9" w:name="_Hlk208834581"/>
            <w:bookmarkEnd w:id="8"/>
            <w:r w:rsidRPr="00451613">
              <w:rPr>
                <w:rFonts w:ascii="Times New Roman" w:hAnsi="Times New Roman" w:cs="Times New Roman"/>
                <w:b/>
                <w:bCs/>
                <w:sz w:val="24"/>
                <w:szCs w:val="24"/>
              </w:rPr>
              <w:t>Error in calculation</w:t>
            </w:r>
          </w:p>
        </w:tc>
        <w:tc>
          <w:tcPr>
            <w:tcW w:w="1803" w:type="dxa"/>
            <w:vAlign w:val="center"/>
          </w:tcPr>
          <w:p w14:paraId="108C2EF4" w14:textId="77777777" w:rsidR="00A0365C" w:rsidRPr="00451613" w:rsidRDefault="00A0365C" w:rsidP="00434B93">
            <w:pPr>
              <w:jc w:val="both"/>
              <w:rPr>
                <w:rFonts w:ascii="Times New Roman" w:hAnsi="Times New Roman" w:cs="Times New Roman"/>
                <w:b/>
                <w:bCs/>
                <w:sz w:val="24"/>
                <w:szCs w:val="24"/>
              </w:rPr>
            </w:pPr>
            <w:r w:rsidRPr="00451613">
              <w:rPr>
                <w:rFonts w:ascii="Times New Roman" w:hAnsi="Times New Roman" w:cs="Times New Roman"/>
                <w:b/>
                <w:bCs/>
                <w:sz w:val="24"/>
                <w:szCs w:val="24"/>
              </w:rPr>
              <w:t>SVM</w:t>
            </w:r>
          </w:p>
        </w:tc>
        <w:tc>
          <w:tcPr>
            <w:tcW w:w="1803" w:type="dxa"/>
            <w:vAlign w:val="center"/>
          </w:tcPr>
          <w:p w14:paraId="6CF1FEFC" w14:textId="77777777" w:rsidR="00A0365C" w:rsidRPr="00451613" w:rsidRDefault="00A0365C" w:rsidP="00434B93">
            <w:pPr>
              <w:jc w:val="both"/>
              <w:rPr>
                <w:rFonts w:ascii="Times New Roman" w:hAnsi="Times New Roman" w:cs="Times New Roman"/>
                <w:b/>
                <w:bCs/>
                <w:sz w:val="24"/>
                <w:szCs w:val="24"/>
              </w:rPr>
            </w:pPr>
            <w:r w:rsidRPr="00451613">
              <w:rPr>
                <w:rFonts w:ascii="Times New Roman" w:hAnsi="Times New Roman" w:cs="Times New Roman"/>
                <w:b/>
                <w:bCs/>
                <w:sz w:val="24"/>
                <w:szCs w:val="24"/>
              </w:rPr>
              <w:t>LSTM</w:t>
            </w:r>
          </w:p>
        </w:tc>
        <w:tc>
          <w:tcPr>
            <w:tcW w:w="1803" w:type="dxa"/>
            <w:vAlign w:val="center"/>
          </w:tcPr>
          <w:p w14:paraId="1ACFFA2B" w14:textId="77777777" w:rsidR="00A0365C" w:rsidRPr="00451613" w:rsidRDefault="00A0365C" w:rsidP="00434B93">
            <w:pPr>
              <w:jc w:val="both"/>
              <w:rPr>
                <w:rFonts w:ascii="Times New Roman" w:hAnsi="Times New Roman" w:cs="Times New Roman"/>
                <w:b/>
                <w:bCs/>
                <w:sz w:val="24"/>
                <w:szCs w:val="24"/>
              </w:rPr>
            </w:pPr>
            <w:r w:rsidRPr="00451613">
              <w:rPr>
                <w:rFonts w:ascii="Times New Roman" w:hAnsi="Times New Roman" w:cs="Times New Roman"/>
                <w:b/>
                <w:bCs/>
                <w:sz w:val="24"/>
                <w:szCs w:val="24"/>
              </w:rPr>
              <w:t>MLP</w:t>
            </w:r>
          </w:p>
        </w:tc>
        <w:tc>
          <w:tcPr>
            <w:tcW w:w="1804" w:type="dxa"/>
            <w:vAlign w:val="center"/>
          </w:tcPr>
          <w:p w14:paraId="37BCF766" w14:textId="77777777" w:rsidR="00A0365C" w:rsidRPr="00451613" w:rsidRDefault="00A0365C" w:rsidP="00434B93">
            <w:pPr>
              <w:jc w:val="both"/>
              <w:rPr>
                <w:rFonts w:ascii="Times New Roman" w:hAnsi="Times New Roman" w:cs="Times New Roman"/>
                <w:b/>
                <w:bCs/>
                <w:sz w:val="24"/>
                <w:szCs w:val="24"/>
              </w:rPr>
            </w:pPr>
            <w:r w:rsidRPr="00451613">
              <w:rPr>
                <w:rFonts w:ascii="Times New Roman" w:hAnsi="Times New Roman" w:cs="Times New Roman"/>
                <w:b/>
                <w:bCs/>
                <w:sz w:val="24"/>
                <w:szCs w:val="24"/>
              </w:rPr>
              <w:t>Datasets</w:t>
            </w:r>
          </w:p>
        </w:tc>
      </w:tr>
      <w:tr w:rsidR="00A0365C" w:rsidRPr="00451613" w14:paraId="64B6470A" w14:textId="77777777" w:rsidTr="00434B93">
        <w:tc>
          <w:tcPr>
            <w:tcW w:w="1803" w:type="dxa"/>
          </w:tcPr>
          <w:p w14:paraId="2D60AC11" w14:textId="77777777" w:rsidR="00A0365C" w:rsidRPr="00451613" w:rsidRDefault="00A0365C" w:rsidP="00434B93">
            <w:pPr>
              <w:jc w:val="both"/>
              <w:rPr>
                <w:rFonts w:ascii="Times New Roman" w:hAnsi="Times New Roman" w:cs="Times New Roman"/>
                <w:sz w:val="24"/>
                <w:szCs w:val="24"/>
              </w:rPr>
            </w:pPr>
            <w:r w:rsidRPr="00451613">
              <w:rPr>
                <w:rFonts w:ascii="Times New Roman" w:hAnsi="Times New Roman" w:cs="Times New Roman"/>
                <w:sz w:val="24"/>
                <w:szCs w:val="24"/>
              </w:rPr>
              <w:t>RMSE</w:t>
            </w:r>
          </w:p>
        </w:tc>
        <w:tc>
          <w:tcPr>
            <w:tcW w:w="1803" w:type="dxa"/>
          </w:tcPr>
          <w:p w14:paraId="70B5D7E6" w14:textId="77777777" w:rsidR="00A0365C" w:rsidRPr="00451613" w:rsidRDefault="00A0365C" w:rsidP="00434B93">
            <w:pPr>
              <w:jc w:val="both"/>
              <w:rPr>
                <w:rFonts w:ascii="Times New Roman" w:hAnsi="Times New Roman" w:cs="Times New Roman"/>
                <w:b/>
                <w:bCs/>
                <w:sz w:val="24"/>
                <w:szCs w:val="24"/>
              </w:rPr>
            </w:pPr>
            <w:r w:rsidRPr="00451613">
              <w:rPr>
                <w:rFonts w:ascii="Times New Roman" w:hAnsi="Times New Roman" w:cs="Times New Roman"/>
                <w:b/>
                <w:bCs/>
                <w:sz w:val="24"/>
                <w:szCs w:val="24"/>
              </w:rPr>
              <w:t>0.83%</w:t>
            </w:r>
          </w:p>
        </w:tc>
        <w:tc>
          <w:tcPr>
            <w:tcW w:w="1803" w:type="dxa"/>
          </w:tcPr>
          <w:p w14:paraId="0B287696" w14:textId="77777777" w:rsidR="00A0365C" w:rsidRPr="00451613" w:rsidRDefault="00A0365C" w:rsidP="00434B93">
            <w:pPr>
              <w:jc w:val="both"/>
              <w:rPr>
                <w:rFonts w:ascii="Times New Roman" w:hAnsi="Times New Roman" w:cs="Times New Roman"/>
                <w:sz w:val="24"/>
                <w:szCs w:val="24"/>
              </w:rPr>
            </w:pPr>
            <w:r w:rsidRPr="00451613">
              <w:rPr>
                <w:rFonts w:ascii="Times New Roman" w:hAnsi="Times New Roman" w:cs="Times New Roman"/>
                <w:sz w:val="24"/>
                <w:szCs w:val="24"/>
              </w:rPr>
              <w:t>1.65%</w:t>
            </w:r>
          </w:p>
        </w:tc>
        <w:tc>
          <w:tcPr>
            <w:tcW w:w="1803" w:type="dxa"/>
          </w:tcPr>
          <w:p w14:paraId="2A5A1EDA" w14:textId="77777777" w:rsidR="00A0365C" w:rsidRPr="00451613" w:rsidRDefault="00A0365C" w:rsidP="00434B93">
            <w:pPr>
              <w:jc w:val="both"/>
              <w:rPr>
                <w:rFonts w:ascii="Times New Roman" w:hAnsi="Times New Roman" w:cs="Times New Roman"/>
                <w:sz w:val="24"/>
                <w:szCs w:val="24"/>
              </w:rPr>
            </w:pPr>
            <w:r w:rsidRPr="00451613">
              <w:rPr>
                <w:rFonts w:ascii="Times New Roman" w:hAnsi="Times New Roman" w:cs="Times New Roman"/>
                <w:sz w:val="24"/>
                <w:szCs w:val="24"/>
              </w:rPr>
              <w:t>1.68%</w:t>
            </w:r>
          </w:p>
        </w:tc>
        <w:tc>
          <w:tcPr>
            <w:tcW w:w="1804" w:type="dxa"/>
            <w:vMerge w:val="restart"/>
            <w:vAlign w:val="center"/>
          </w:tcPr>
          <w:p w14:paraId="5E5E5A2D" w14:textId="77777777" w:rsidR="00A0365C" w:rsidRPr="00451613" w:rsidRDefault="00A0365C" w:rsidP="00434B93">
            <w:pPr>
              <w:jc w:val="both"/>
              <w:rPr>
                <w:rFonts w:ascii="Times New Roman" w:hAnsi="Times New Roman" w:cs="Times New Roman"/>
                <w:sz w:val="24"/>
                <w:szCs w:val="24"/>
              </w:rPr>
            </w:pPr>
            <w:r w:rsidRPr="00451613">
              <w:rPr>
                <w:rFonts w:ascii="Times New Roman" w:hAnsi="Times New Roman" w:cs="Times New Roman"/>
                <w:sz w:val="24"/>
                <w:szCs w:val="24"/>
              </w:rPr>
              <w:t>JSW</w:t>
            </w:r>
          </w:p>
        </w:tc>
      </w:tr>
      <w:tr w:rsidR="00A0365C" w:rsidRPr="00451613" w14:paraId="376FC072" w14:textId="77777777" w:rsidTr="00434B93">
        <w:tc>
          <w:tcPr>
            <w:tcW w:w="1803" w:type="dxa"/>
          </w:tcPr>
          <w:p w14:paraId="3FD02A8B" w14:textId="77777777" w:rsidR="00A0365C" w:rsidRPr="00451613" w:rsidRDefault="00A0365C" w:rsidP="00434B93">
            <w:pPr>
              <w:jc w:val="both"/>
              <w:rPr>
                <w:rFonts w:ascii="Times New Roman" w:hAnsi="Times New Roman" w:cs="Times New Roman"/>
                <w:sz w:val="24"/>
                <w:szCs w:val="24"/>
              </w:rPr>
            </w:pPr>
            <w:r w:rsidRPr="00451613">
              <w:rPr>
                <w:rFonts w:ascii="Times New Roman" w:hAnsi="Times New Roman" w:cs="Times New Roman"/>
                <w:sz w:val="24"/>
                <w:szCs w:val="24"/>
              </w:rPr>
              <w:t>MAE</w:t>
            </w:r>
          </w:p>
        </w:tc>
        <w:tc>
          <w:tcPr>
            <w:tcW w:w="1803" w:type="dxa"/>
          </w:tcPr>
          <w:p w14:paraId="2FFCDD28" w14:textId="77777777" w:rsidR="00A0365C" w:rsidRPr="00451613" w:rsidRDefault="00A0365C" w:rsidP="00434B93">
            <w:pPr>
              <w:jc w:val="both"/>
              <w:rPr>
                <w:rFonts w:ascii="Times New Roman" w:hAnsi="Times New Roman" w:cs="Times New Roman"/>
                <w:b/>
                <w:bCs/>
                <w:sz w:val="24"/>
                <w:szCs w:val="24"/>
              </w:rPr>
            </w:pPr>
            <w:r w:rsidRPr="00451613">
              <w:rPr>
                <w:rFonts w:ascii="Times New Roman" w:hAnsi="Times New Roman" w:cs="Times New Roman"/>
                <w:b/>
                <w:bCs/>
                <w:sz w:val="24"/>
                <w:szCs w:val="24"/>
              </w:rPr>
              <w:t>0.69%</w:t>
            </w:r>
          </w:p>
        </w:tc>
        <w:tc>
          <w:tcPr>
            <w:tcW w:w="1803" w:type="dxa"/>
          </w:tcPr>
          <w:p w14:paraId="12BD0606" w14:textId="77777777" w:rsidR="00A0365C" w:rsidRPr="00451613" w:rsidRDefault="00A0365C" w:rsidP="00434B93">
            <w:pPr>
              <w:jc w:val="both"/>
              <w:rPr>
                <w:rFonts w:ascii="Times New Roman" w:hAnsi="Times New Roman" w:cs="Times New Roman"/>
                <w:sz w:val="24"/>
                <w:szCs w:val="24"/>
              </w:rPr>
            </w:pPr>
            <w:r w:rsidRPr="00451613">
              <w:rPr>
                <w:rFonts w:ascii="Times New Roman" w:hAnsi="Times New Roman" w:cs="Times New Roman"/>
                <w:sz w:val="24"/>
                <w:szCs w:val="24"/>
              </w:rPr>
              <w:t>1.28%</w:t>
            </w:r>
          </w:p>
        </w:tc>
        <w:tc>
          <w:tcPr>
            <w:tcW w:w="1803" w:type="dxa"/>
          </w:tcPr>
          <w:p w14:paraId="789CDA62" w14:textId="77777777" w:rsidR="00A0365C" w:rsidRPr="00451613" w:rsidRDefault="00A0365C" w:rsidP="00434B93">
            <w:pPr>
              <w:jc w:val="both"/>
              <w:rPr>
                <w:rFonts w:ascii="Times New Roman" w:hAnsi="Times New Roman" w:cs="Times New Roman"/>
                <w:sz w:val="24"/>
                <w:szCs w:val="24"/>
              </w:rPr>
            </w:pPr>
            <w:r w:rsidRPr="00451613">
              <w:rPr>
                <w:rFonts w:ascii="Times New Roman" w:hAnsi="Times New Roman" w:cs="Times New Roman"/>
                <w:sz w:val="24"/>
                <w:szCs w:val="24"/>
              </w:rPr>
              <w:t>1.28%</w:t>
            </w:r>
          </w:p>
        </w:tc>
        <w:tc>
          <w:tcPr>
            <w:tcW w:w="1804" w:type="dxa"/>
            <w:vMerge/>
            <w:vAlign w:val="center"/>
          </w:tcPr>
          <w:p w14:paraId="3472E95F" w14:textId="77777777" w:rsidR="00A0365C" w:rsidRPr="00451613" w:rsidRDefault="00A0365C" w:rsidP="00434B93">
            <w:pPr>
              <w:jc w:val="both"/>
              <w:rPr>
                <w:rFonts w:ascii="Times New Roman" w:hAnsi="Times New Roman" w:cs="Times New Roman"/>
                <w:sz w:val="24"/>
                <w:szCs w:val="24"/>
              </w:rPr>
            </w:pPr>
          </w:p>
        </w:tc>
      </w:tr>
      <w:tr w:rsidR="00A0365C" w:rsidRPr="00451613" w14:paraId="1D3A7E8A" w14:textId="77777777" w:rsidTr="00434B93">
        <w:tc>
          <w:tcPr>
            <w:tcW w:w="1803" w:type="dxa"/>
          </w:tcPr>
          <w:p w14:paraId="5536B492" w14:textId="77777777" w:rsidR="00A0365C" w:rsidRPr="00451613" w:rsidRDefault="00A0365C" w:rsidP="00434B93">
            <w:pPr>
              <w:jc w:val="both"/>
              <w:rPr>
                <w:rFonts w:ascii="Times New Roman" w:hAnsi="Times New Roman" w:cs="Times New Roman"/>
                <w:sz w:val="24"/>
                <w:szCs w:val="24"/>
              </w:rPr>
            </w:pPr>
            <w:r w:rsidRPr="00451613">
              <w:rPr>
                <w:rFonts w:ascii="Times New Roman" w:hAnsi="Times New Roman" w:cs="Times New Roman"/>
                <w:sz w:val="24"/>
                <w:szCs w:val="24"/>
              </w:rPr>
              <w:t>RMSE</w:t>
            </w:r>
          </w:p>
        </w:tc>
        <w:tc>
          <w:tcPr>
            <w:tcW w:w="1803" w:type="dxa"/>
          </w:tcPr>
          <w:p w14:paraId="2EBA391B" w14:textId="77777777" w:rsidR="00A0365C" w:rsidRPr="00451613" w:rsidRDefault="00A0365C" w:rsidP="00434B93">
            <w:pPr>
              <w:jc w:val="both"/>
              <w:rPr>
                <w:rFonts w:ascii="Times New Roman" w:hAnsi="Times New Roman" w:cs="Times New Roman"/>
                <w:sz w:val="24"/>
                <w:szCs w:val="24"/>
              </w:rPr>
            </w:pPr>
            <w:r w:rsidRPr="00451613">
              <w:rPr>
                <w:rFonts w:ascii="Times New Roman" w:hAnsi="Times New Roman" w:cs="Times New Roman"/>
                <w:lang w:val="en-US"/>
              </w:rPr>
              <w:t>7.41%</w:t>
            </w:r>
          </w:p>
        </w:tc>
        <w:tc>
          <w:tcPr>
            <w:tcW w:w="1803" w:type="dxa"/>
          </w:tcPr>
          <w:p w14:paraId="392D8226" w14:textId="77777777" w:rsidR="00A0365C" w:rsidRPr="00451613" w:rsidRDefault="00A0365C" w:rsidP="00434B93">
            <w:pPr>
              <w:jc w:val="both"/>
              <w:rPr>
                <w:rFonts w:ascii="Times New Roman" w:hAnsi="Times New Roman" w:cs="Times New Roman"/>
                <w:b/>
                <w:bCs/>
                <w:sz w:val="24"/>
                <w:szCs w:val="24"/>
              </w:rPr>
            </w:pPr>
            <w:r w:rsidRPr="00451613">
              <w:rPr>
                <w:rFonts w:ascii="Times New Roman" w:hAnsi="Times New Roman" w:cs="Times New Roman"/>
                <w:b/>
                <w:bCs/>
                <w:lang w:val="en-US"/>
              </w:rPr>
              <w:t>1.71</w:t>
            </w:r>
            <w:r w:rsidRPr="00451613">
              <w:rPr>
                <w:rFonts w:ascii="Times New Roman" w:hAnsi="Times New Roman" w:cs="Times New Roman"/>
                <w:b/>
                <w:bCs/>
                <w:sz w:val="24"/>
                <w:szCs w:val="24"/>
              </w:rPr>
              <w:t>%</w:t>
            </w:r>
          </w:p>
        </w:tc>
        <w:tc>
          <w:tcPr>
            <w:tcW w:w="1803" w:type="dxa"/>
          </w:tcPr>
          <w:p w14:paraId="21E6AE45" w14:textId="77777777" w:rsidR="00A0365C" w:rsidRPr="00451613" w:rsidRDefault="00A0365C" w:rsidP="00434B93">
            <w:pPr>
              <w:jc w:val="both"/>
              <w:rPr>
                <w:rFonts w:ascii="Times New Roman" w:hAnsi="Times New Roman" w:cs="Times New Roman"/>
                <w:sz w:val="24"/>
                <w:szCs w:val="24"/>
              </w:rPr>
            </w:pPr>
            <w:r w:rsidRPr="00451613">
              <w:rPr>
                <w:rFonts w:ascii="Times New Roman" w:hAnsi="Times New Roman" w:cs="Times New Roman"/>
                <w:lang w:val="en-US"/>
              </w:rPr>
              <w:t>1.97</w:t>
            </w:r>
            <w:r w:rsidRPr="00451613">
              <w:rPr>
                <w:rFonts w:ascii="Times New Roman" w:hAnsi="Times New Roman" w:cs="Times New Roman"/>
                <w:sz w:val="24"/>
                <w:szCs w:val="24"/>
              </w:rPr>
              <w:t>%</w:t>
            </w:r>
          </w:p>
        </w:tc>
        <w:tc>
          <w:tcPr>
            <w:tcW w:w="1804" w:type="dxa"/>
            <w:vMerge w:val="restart"/>
            <w:vAlign w:val="center"/>
          </w:tcPr>
          <w:p w14:paraId="29B844F7" w14:textId="77777777" w:rsidR="00A0365C" w:rsidRPr="00451613" w:rsidRDefault="00A0365C" w:rsidP="00434B93">
            <w:pPr>
              <w:jc w:val="both"/>
              <w:rPr>
                <w:rFonts w:ascii="Times New Roman" w:hAnsi="Times New Roman" w:cs="Times New Roman"/>
                <w:sz w:val="24"/>
                <w:szCs w:val="24"/>
              </w:rPr>
            </w:pPr>
            <w:r w:rsidRPr="00451613">
              <w:rPr>
                <w:rFonts w:ascii="Times New Roman" w:hAnsi="Times New Roman" w:cs="Times New Roman"/>
                <w:sz w:val="24"/>
                <w:szCs w:val="24"/>
              </w:rPr>
              <w:t>TATA Steel</w:t>
            </w:r>
          </w:p>
        </w:tc>
      </w:tr>
      <w:tr w:rsidR="00A0365C" w:rsidRPr="00451613" w14:paraId="77153845" w14:textId="77777777" w:rsidTr="00434B93">
        <w:tc>
          <w:tcPr>
            <w:tcW w:w="1803" w:type="dxa"/>
          </w:tcPr>
          <w:p w14:paraId="6815408F" w14:textId="77777777" w:rsidR="00A0365C" w:rsidRPr="00451613" w:rsidRDefault="00A0365C" w:rsidP="00434B93">
            <w:pPr>
              <w:jc w:val="both"/>
              <w:rPr>
                <w:rFonts w:ascii="Times New Roman" w:hAnsi="Times New Roman" w:cs="Times New Roman"/>
                <w:sz w:val="24"/>
                <w:szCs w:val="24"/>
              </w:rPr>
            </w:pPr>
            <w:r w:rsidRPr="00451613">
              <w:rPr>
                <w:rFonts w:ascii="Times New Roman" w:hAnsi="Times New Roman" w:cs="Times New Roman"/>
                <w:sz w:val="24"/>
                <w:szCs w:val="24"/>
              </w:rPr>
              <w:t>MAE</w:t>
            </w:r>
          </w:p>
        </w:tc>
        <w:tc>
          <w:tcPr>
            <w:tcW w:w="1803" w:type="dxa"/>
          </w:tcPr>
          <w:p w14:paraId="125A9248" w14:textId="77777777" w:rsidR="00A0365C" w:rsidRPr="00451613" w:rsidRDefault="00A0365C" w:rsidP="00434B93">
            <w:pPr>
              <w:jc w:val="both"/>
              <w:rPr>
                <w:rFonts w:ascii="Times New Roman" w:hAnsi="Times New Roman" w:cs="Times New Roman"/>
                <w:sz w:val="24"/>
                <w:szCs w:val="24"/>
              </w:rPr>
            </w:pPr>
            <w:r w:rsidRPr="00451613">
              <w:rPr>
                <w:rFonts w:ascii="Times New Roman" w:hAnsi="Times New Roman" w:cs="Times New Roman"/>
                <w:lang w:val="en-US"/>
              </w:rPr>
              <w:t>7.19</w:t>
            </w:r>
            <w:r w:rsidRPr="00451613">
              <w:rPr>
                <w:rFonts w:ascii="Times New Roman" w:hAnsi="Times New Roman" w:cs="Times New Roman"/>
                <w:sz w:val="24"/>
                <w:szCs w:val="24"/>
              </w:rPr>
              <w:t>%</w:t>
            </w:r>
          </w:p>
        </w:tc>
        <w:tc>
          <w:tcPr>
            <w:tcW w:w="1803" w:type="dxa"/>
          </w:tcPr>
          <w:p w14:paraId="37AA8FF3" w14:textId="77777777" w:rsidR="00A0365C" w:rsidRPr="00451613" w:rsidRDefault="00A0365C" w:rsidP="00434B93">
            <w:pPr>
              <w:jc w:val="both"/>
              <w:rPr>
                <w:rFonts w:ascii="Times New Roman" w:hAnsi="Times New Roman" w:cs="Times New Roman"/>
                <w:b/>
                <w:bCs/>
                <w:sz w:val="24"/>
                <w:szCs w:val="24"/>
              </w:rPr>
            </w:pPr>
            <w:r w:rsidRPr="00451613">
              <w:rPr>
                <w:rFonts w:ascii="Times New Roman" w:hAnsi="Times New Roman" w:cs="Times New Roman"/>
                <w:b/>
                <w:bCs/>
                <w:lang w:val="en-US"/>
              </w:rPr>
              <w:t>2.27</w:t>
            </w:r>
            <w:r w:rsidRPr="00451613">
              <w:rPr>
                <w:rFonts w:ascii="Times New Roman" w:hAnsi="Times New Roman" w:cs="Times New Roman"/>
                <w:b/>
                <w:bCs/>
                <w:sz w:val="24"/>
                <w:szCs w:val="24"/>
              </w:rPr>
              <w:t>%</w:t>
            </w:r>
          </w:p>
        </w:tc>
        <w:tc>
          <w:tcPr>
            <w:tcW w:w="1803" w:type="dxa"/>
          </w:tcPr>
          <w:p w14:paraId="2561352C" w14:textId="77777777" w:rsidR="00A0365C" w:rsidRPr="00451613" w:rsidRDefault="00A0365C" w:rsidP="00434B93">
            <w:pPr>
              <w:jc w:val="both"/>
              <w:rPr>
                <w:rFonts w:ascii="Times New Roman" w:hAnsi="Times New Roman" w:cs="Times New Roman"/>
                <w:sz w:val="24"/>
                <w:szCs w:val="24"/>
              </w:rPr>
            </w:pPr>
            <w:r w:rsidRPr="00451613">
              <w:rPr>
                <w:rFonts w:ascii="Times New Roman" w:hAnsi="Times New Roman" w:cs="Times New Roman"/>
                <w:lang w:val="en-US"/>
              </w:rPr>
              <w:t>2.46</w:t>
            </w:r>
            <w:r w:rsidRPr="00451613">
              <w:rPr>
                <w:rFonts w:ascii="Times New Roman" w:hAnsi="Times New Roman" w:cs="Times New Roman"/>
                <w:sz w:val="24"/>
                <w:szCs w:val="24"/>
              </w:rPr>
              <w:t>%</w:t>
            </w:r>
          </w:p>
        </w:tc>
        <w:tc>
          <w:tcPr>
            <w:tcW w:w="1804" w:type="dxa"/>
            <w:vMerge/>
            <w:vAlign w:val="center"/>
          </w:tcPr>
          <w:p w14:paraId="1D418EEF" w14:textId="77777777" w:rsidR="00A0365C" w:rsidRPr="00451613" w:rsidRDefault="00A0365C" w:rsidP="00434B93">
            <w:pPr>
              <w:jc w:val="both"/>
              <w:rPr>
                <w:rFonts w:ascii="Times New Roman" w:hAnsi="Times New Roman" w:cs="Times New Roman"/>
                <w:sz w:val="24"/>
                <w:szCs w:val="24"/>
              </w:rPr>
            </w:pPr>
          </w:p>
        </w:tc>
      </w:tr>
      <w:tr w:rsidR="00A0365C" w:rsidRPr="00451613" w14:paraId="55F01649" w14:textId="77777777" w:rsidTr="00434B93">
        <w:tc>
          <w:tcPr>
            <w:tcW w:w="1803" w:type="dxa"/>
          </w:tcPr>
          <w:p w14:paraId="041C99EB" w14:textId="77777777" w:rsidR="00A0365C" w:rsidRPr="00451613" w:rsidRDefault="00A0365C" w:rsidP="00434B93">
            <w:pPr>
              <w:jc w:val="both"/>
              <w:rPr>
                <w:rFonts w:ascii="Times New Roman" w:hAnsi="Times New Roman" w:cs="Times New Roman"/>
                <w:sz w:val="24"/>
                <w:szCs w:val="24"/>
              </w:rPr>
            </w:pPr>
            <w:r w:rsidRPr="00451613">
              <w:rPr>
                <w:rFonts w:ascii="Times New Roman" w:hAnsi="Times New Roman" w:cs="Times New Roman"/>
                <w:sz w:val="24"/>
                <w:szCs w:val="24"/>
              </w:rPr>
              <w:t>RMSE</w:t>
            </w:r>
          </w:p>
        </w:tc>
        <w:tc>
          <w:tcPr>
            <w:tcW w:w="1803" w:type="dxa"/>
          </w:tcPr>
          <w:p w14:paraId="584980BF" w14:textId="77777777" w:rsidR="00A0365C" w:rsidRPr="00451613" w:rsidRDefault="00A0365C" w:rsidP="00434B93">
            <w:pPr>
              <w:jc w:val="both"/>
              <w:rPr>
                <w:rFonts w:ascii="Times New Roman" w:hAnsi="Times New Roman" w:cs="Times New Roman"/>
                <w:sz w:val="24"/>
                <w:szCs w:val="24"/>
              </w:rPr>
            </w:pPr>
            <w:r w:rsidRPr="00451613">
              <w:rPr>
                <w:rFonts w:ascii="Times New Roman" w:hAnsi="Times New Roman" w:cs="Times New Roman"/>
                <w:sz w:val="24"/>
                <w:szCs w:val="24"/>
              </w:rPr>
              <w:t>5.67%</w:t>
            </w:r>
          </w:p>
        </w:tc>
        <w:tc>
          <w:tcPr>
            <w:tcW w:w="1803" w:type="dxa"/>
          </w:tcPr>
          <w:p w14:paraId="16DCF7F4" w14:textId="77777777" w:rsidR="00A0365C" w:rsidRPr="00451613" w:rsidRDefault="00A0365C" w:rsidP="00434B93">
            <w:pPr>
              <w:jc w:val="both"/>
              <w:rPr>
                <w:rFonts w:ascii="Times New Roman" w:hAnsi="Times New Roman" w:cs="Times New Roman"/>
                <w:sz w:val="24"/>
                <w:szCs w:val="24"/>
              </w:rPr>
            </w:pPr>
            <w:r w:rsidRPr="00451613">
              <w:rPr>
                <w:rFonts w:ascii="Times New Roman" w:hAnsi="Times New Roman" w:cs="Times New Roman"/>
                <w:sz w:val="24"/>
                <w:szCs w:val="24"/>
              </w:rPr>
              <w:t>3.65%</w:t>
            </w:r>
          </w:p>
        </w:tc>
        <w:tc>
          <w:tcPr>
            <w:tcW w:w="1803" w:type="dxa"/>
          </w:tcPr>
          <w:p w14:paraId="362119F1" w14:textId="77777777" w:rsidR="00A0365C" w:rsidRPr="00451613" w:rsidRDefault="00A0365C" w:rsidP="00434B93">
            <w:pPr>
              <w:jc w:val="both"/>
              <w:rPr>
                <w:rFonts w:ascii="Times New Roman" w:hAnsi="Times New Roman" w:cs="Times New Roman"/>
                <w:b/>
                <w:bCs/>
                <w:sz w:val="24"/>
                <w:szCs w:val="24"/>
              </w:rPr>
            </w:pPr>
            <w:r w:rsidRPr="00451613">
              <w:rPr>
                <w:rFonts w:ascii="Times New Roman" w:hAnsi="Times New Roman" w:cs="Times New Roman"/>
                <w:b/>
                <w:bCs/>
                <w:sz w:val="24"/>
                <w:szCs w:val="24"/>
              </w:rPr>
              <w:t>2.44%</w:t>
            </w:r>
          </w:p>
        </w:tc>
        <w:tc>
          <w:tcPr>
            <w:tcW w:w="1804" w:type="dxa"/>
            <w:vMerge w:val="restart"/>
            <w:vAlign w:val="center"/>
          </w:tcPr>
          <w:p w14:paraId="2EED0546" w14:textId="77777777" w:rsidR="00A0365C" w:rsidRPr="00451613" w:rsidRDefault="00A0365C" w:rsidP="00434B93">
            <w:pPr>
              <w:jc w:val="both"/>
              <w:rPr>
                <w:rFonts w:ascii="Times New Roman" w:hAnsi="Times New Roman" w:cs="Times New Roman"/>
                <w:sz w:val="24"/>
                <w:szCs w:val="24"/>
              </w:rPr>
            </w:pPr>
            <w:r w:rsidRPr="00451613">
              <w:rPr>
                <w:rFonts w:ascii="Times New Roman" w:hAnsi="Times New Roman" w:cs="Times New Roman"/>
                <w:sz w:val="24"/>
                <w:szCs w:val="24"/>
              </w:rPr>
              <w:t>Mahindra &amp; Mahindra</w:t>
            </w:r>
          </w:p>
        </w:tc>
      </w:tr>
      <w:tr w:rsidR="00A0365C" w:rsidRPr="00451613" w14:paraId="38B0321E" w14:textId="77777777" w:rsidTr="00434B93">
        <w:tc>
          <w:tcPr>
            <w:tcW w:w="1803" w:type="dxa"/>
          </w:tcPr>
          <w:p w14:paraId="7693CFC6" w14:textId="77777777" w:rsidR="00A0365C" w:rsidRPr="00451613" w:rsidRDefault="00A0365C" w:rsidP="00434B93">
            <w:pPr>
              <w:jc w:val="both"/>
              <w:rPr>
                <w:rFonts w:ascii="Times New Roman" w:hAnsi="Times New Roman" w:cs="Times New Roman"/>
                <w:sz w:val="24"/>
                <w:szCs w:val="24"/>
              </w:rPr>
            </w:pPr>
            <w:r w:rsidRPr="00451613">
              <w:rPr>
                <w:rFonts w:ascii="Times New Roman" w:hAnsi="Times New Roman" w:cs="Times New Roman"/>
                <w:sz w:val="24"/>
                <w:szCs w:val="24"/>
              </w:rPr>
              <w:t>MAE</w:t>
            </w:r>
          </w:p>
        </w:tc>
        <w:tc>
          <w:tcPr>
            <w:tcW w:w="1803" w:type="dxa"/>
          </w:tcPr>
          <w:p w14:paraId="1F96D64B" w14:textId="77777777" w:rsidR="00A0365C" w:rsidRPr="00451613" w:rsidRDefault="00A0365C" w:rsidP="00434B93">
            <w:pPr>
              <w:jc w:val="both"/>
              <w:rPr>
                <w:rFonts w:ascii="Times New Roman" w:hAnsi="Times New Roman" w:cs="Times New Roman"/>
                <w:sz w:val="24"/>
                <w:szCs w:val="24"/>
              </w:rPr>
            </w:pPr>
            <w:r w:rsidRPr="00451613">
              <w:rPr>
                <w:rFonts w:ascii="Times New Roman" w:hAnsi="Times New Roman" w:cs="Times New Roman"/>
                <w:sz w:val="24"/>
                <w:szCs w:val="24"/>
              </w:rPr>
              <w:t>4.18%</w:t>
            </w:r>
          </w:p>
        </w:tc>
        <w:tc>
          <w:tcPr>
            <w:tcW w:w="1803" w:type="dxa"/>
          </w:tcPr>
          <w:p w14:paraId="78A7BC5B" w14:textId="77777777" w:rsidR="00A0365C" w:rsidRPr="00451613" w:rsidRDefault="00A0365C" w:rsidP="00434B93">
            <w:pPr>
              <w:jc w:val="both"/>
              <w:rPr>
                <w:rFonts w:ascii="Times New Roman" w:hAnsi="Times New Roman" w:cs="Times New Roman"/>
                <w:sz w:val="24"/>
                <w:szCs w:val="24"/>
              </w:rPr>
            </w:pPr>
            <w:r w:rsidRPr="00451613">
              <w:rPr>
                <w:rFonts w:ascii="Times New Roman" w:hAnsi="Times New Roman" w:cs="Times New Roman"/>
                <w:sz w:val="24"/>
                <w:szCs w:val="24"/>
              </w:rPr>
              <w:t>2.82%</w:t>
            </w:r>
          </w:p>
        </w:tc>
        <w:tc>
          <w:tcPr>
            <w:tcW w:w="1803" w:type="dxa"/>
          </w:tcPr>
          <w:p w14:paraId="55F1E957" w14:textId="77777777" w:rsidR="00A0365C" w:rsidRPr="00451613" w:rsidRDefault="00A0365C" w:rsidP="00434B93">
            <w:pPr>
              <w:jc w:val="both"/>
              <w:rPr>
                <w:rFonts w:ascii="Times New Roman" w:hAnsi="Times New Roman" w:cs="Times New Roman"/>
                <w:b/>
                <w:bCs/>
                <w:sz w:val="24"/>
                <w:szCs w:val="24"/>
              </w:rPr>
            </w:pPr>
            <w:r w:rsidRPr="00451613">
              <w:rPr>
                <w:rFonts w:ascii="Times New Roman" w:hAnsi="Times New Roman" w:cs="Times New Roman"/>
                <w:b/>
                <w:bCs/>
                <w:sz w:val="24"/>
                <w:szCs w:val="24"/>
              </w:rPr>
              <w:t>1.73%</w:t>
            </w:r>
          </w:p>
        </w:tc>
        <w:tc>
          <w:tcPr>
            <w:tcW w:w="1804" w:type="dxa"/>
            <w:vMerge/>
          </w:tcPr>
          <w:p w14:paraId="3C91993B" w14:textId="77777777" w:rsidR="00A0365C" w:rsidRPr="00451613" w:rsidRDefault="00A0365C" w:rsidP="00434B93">
            <w:pPr>
              <w:jc w:val="both"/>
              <w:rPr>
                <w:rFonts w:ascii="Times New Roman" w:hAnsi="Times New Roman" w:cs="Times New Roman"/>
                <w:sz w:val="24"/>
                <w:szCs w:val="24"/>
              </w:rPr>
            </w:pPr>
          </w:p>
        </w:tc>
      </w:tr>
      <w:tr w:rsidR="00A0365C" w:rsidRPr="00451613" w14:paraId="63B2DB88" w14:textId="77777777" w:rsidTr="00434B93">
        <w:tc>
          <w:tcPr>
            <w:tcW w:w="1803" w:type="dxa"/>
          </w:tcPr>
          <w:p w14:paraId="5A7F7FE4" w14:textId="77777777" w:rsidR="00A0365C" w:rsidRPr="00451613" w:rsidRDefault="00A0365C" w:rsidP="00434B93">
            <w:pPr>
              <w:jc w:val="both"/>
              <w:rPr>
                <w:rFonts w:ascii="Times New Roman" w:hAnsi="Times New Roman" w:cs="Times New Roman"/>
                <w:sz w:val="24"/>
                <w:szCs w:val="24"/>
              </w:rPr>
            </w:pPr>
            <w:r w:rsidRPr="00451613">
              <w:rPr>
                <w:rFonts w:ascii="Times New Roman" w:hAnsi="Times New Roman" w:cs="Times New Roman"/>
                <w:sz w:val="24"/>
                <w:szCs w:val="24"/>
              </w:rPr>
              <w:t>RMSE</w:t>
            </w:r>
          </w:p>
        </w:tc>
        <w:tc>
          <w:tcPr>
            <w:tcW w:w="1803" w:type="dxa"/>
          </w:tcPr>
          <w:p w14:paraId="685A233F" w14:textId="77777777" w:rsidR="00A0365C" w:rsidRPr="00451613" w:rsidRDefault="00A0365C" w:rsidP="00434B93">
            <w:pPr>
              <w:jc w:val="both"/>
              <w:rPr>
                <w:rFonts w:ascii="Times New Roman" w:hAnsi="Times New Roman" w:cs="Times New Roman"/>
                <w:b/>
                <w:bCs/>
                <w:sz w:val="24"/>
                <w:szCs w:val="24"/>
              </w:rPr>
            </w:pPr>
            <w:r w:rsidRPr="00451613">
              <w:rPr>
                <w:rFonts w:ascii="Times New Roman" w:hAnsi="Times New Roman" w:cs="Times New Roman"/>
                <w:b/>
                <w:bCs/>
                <w:sz w:val="24"/>
                <w:szCs w:val="24"/>
              </w:rPr>
              <w:t>1.55%</w:t>
            </w:r>
          </w:p>
        </w:tc>
        <w:tc>
          <w:tcPr>
            <w:tcW w:w="1803" w:type="dxa"/>
          </w:tcPr>
          <w:p w14:paraId="6507046C" w14:textId="77777777" w:rsidR="00A0365C" w:rsidRPr="00451613" w:rsidRDefault="00A0365C" w:rsidP="00434B93">
            <w:pPr>
              <w:jc w:val="both"/>
              <w:rPr>
                <w:rFonts w:ascii="Times New Roman" w:hAnsi="Times New Roman" w:cs="Times New Roman"/>
                <w:sz w:val="24"/>
                <w:szCs w:val="24"/>
              </w:rPr>
            </w:pPr>
            <w:r w:rsidRPr="00451613">
              <w:rPr>
                <w:rFonts w:ascii="Times New Roman" w:hAnsi="Times New Roman" w:cs="Times New Roman"/>
                <w:sz w:val="24"/>
                <w:szCs w:val="24"/>
              </w:rPr>
              <w:t>1.99%</w:t>
            </w:r>
          </w:p>
        </w:tc>
        <w:tc>
          <w:tcPr>
            <w:tcW w:w="1803" w:type="dxa"/>
          </w:tcPr>
          <w:p w14:paraId="59418996" w14:textId="77777777" w:rsidR="00A0365C" w:rsidRPr="00451613" w:rsidRDefault="00A0365C" w:rsidP="00434B93">
            <w:pPr>
              <w:jc w:val="both"/>
              <w:rPr>
                <w:rFonts w:ascii="Times New Roman" w:hAnsi="Times New Roman" w:cs="Times New Roman"/>
                <w:sz w:val="24"/>
                <w:szCs w:val="24"/>
              </w:rPr>
            </w:pPr>
            <w:r w:rsidRPr="00451613">
              <w:rPr>
                <w:rFonts w:ascii="Times New Roman" w:hAnsi="Times New Roman" w:cs="Times New Roman"/>
                <w:sz w:val="24"/>
                <w:szCs w:val="24"/>
              </w:rPr>
              <w:t>1.73%</w:t>
            </w:r>
          </w:p>
        </w:tc>
        <w:tc>
          <w:tcPr>
            <w:tcW w:w="1804" w:type="dxa"/>
            <w:vMerge w:val="restart"/>
            <w:vAlign w:val="center"/>
          </w:tcPr>
          <w:p w14:paraId="42481DFA" w14:textId="77777777" w:rsidR="00A0365C" w:rsidRPr="00451613" w:rsidRDefault="00A0365C" w:rsidP="00434B93">
            <w:pPr>
              <w:jc w:val="both"/>
              <w:rPr>
                <w:rFonts w:ascii="Times New Roman" w:hAnsi="Times New Roman" w:cs="Times New Roman"/>
                <w:sz w:val="24"/>
                <w:szCs w:val="24"/>
              </w:rPr>
            </w:pPr>
            <w:r w:rsidRPr="00451613">
              <w:rPr>
                <w:rFonts w:ascii="Times New Roman" w:hAnsi="Times New Roman" w:cs="Times New Roman"/>
                <w:sz w:val="24"/>
                <w:szCs w:val="24"/>
              </w:rPr>
              <w:t>Maruti Suzuki</w:t>
            </w:r>
          </w:p>
        </w:tc>
      </w:tr>
      <w:tr w:rsidR="00A0365C" w:rsidRPr="00451613" w14:paraId="7EF75D9C" w14:textId="77777777" w:rsidTr="00434B93">
        <w:tc>
          <w:tcPr>
            <w:tcW w:w="1803" w:type="dxa"/>
          </w:tcPr>
          <w:p w14:paraId="5F9CD6D5" w14:textId="77777777" w:rsidR="00A0365C" w:rsidRPr="00451613" w:rsidRDefault="00A0365C" w:rsidP="00434B93">
            <w:pPr>
              <w:jc w:val="both"/>
              <w:rPr>
                <w:rFonts w:ascii="Times New Roman" w:hAnsi="Times New Roman" w:cs="Times New Roman"/>
                <w:sz w:val="24"/>
                <w:szCs w:val="24"/>
              </w:rPr>
            </w:pPr>
            <w:r w:rsidRPr="00451613">
              <w:rPr>
                <w:rFonts w:ascii="Times New Roman" w:hAnsi="Times New Roman" w:cs="Times New Roman"/>
                <w:sz w:val="24"/>
                <w:szCs w:val="24"/>
              </w:rPr>
              <w:t>MAE</w:t>
            </w:r>
          </w:p>
        </w:tc>
        <w:tc>
          <w:tcPr>
            <w:tcW w:w="1803" w:type="dxa"/>
          </w:tcPr>
          <w:p w14:paraId="1EEA8ED6" w14:textId="77777777" w:rsidR="00A0365C" w:rsidRPr="00451613" w:rsidRDefault="00A0365C" w:rsidP="00434B93">
            <w:pPr>
              <w:jc w:val="both"/>
              <w:rPr>
                <w:rFonts w:ascii="Times New Roman" w:hAnsi="Times New Roman" w:cs="Times New Roman"/>
                <w:sz w:val="24"/>
                <w:szCs w:val="24"/>
              </w:rPr>
            </w:pPr>
            <w:r w:rsidRPr="00451613">
              <w:rPr>
                <w:rFonts w:ascii="Times New Roman" w:hAnsi="Times New Roman" w:cs="Times New Roman"/>
                <w:sz w:val="24"/>
                <w:szCs w:val="24"/>
              </w:rPr>
              <w:t>1.28%</w:t>
            </w:r>
          </w:p>
        </w:tc>
        <w:tc>
          <w:tcPr>
            <w:tcW w:w="1803" w:type="dxa"/>
          </w:tcPr>
          <w:p w14:paraId="277658F9" w14:textId="77777777" w:rsidR="00A0365C" w:rsidRPr="00451613" w:rsidRDefault="00A0365C" w:rsidP="00434B93">
            <w:pPr>
              <w:jc w:val="both"/>
              <w:rPr>
                <w:rFonts w:ascii="Times New Roman" w:hAnsi="Times New Roman" w:cs="Times New Roman"/>
                <w:sz w:val="24"/>
                <w:szCs w:val="24"/>
              </w:rPr>
            </w:pPr>
            <w:r w:rsidRPr="00451613">
              <w:rPr>
                <w:rFonts w:ascii="Times New Roman" w:hAnsi="Times New Roman" w:cs="Times New Roman"/>
                <w:sz w:val="24"/>
                <w:szCs w:val="24"/>
              </w:rPr>
              <w:t>1.57%</w:t>
            </w:r>
          </w:p>
        </w:tc>
        <w:tc>
          <w:tcPr>
            <w:tcW w:w="1803" w:type="dxa"/>
          </w:tcPr>
          <w:p w14:paraId="024008E6" w14:textId="77777777" w:rsidR="00A0365C" w:rsidRPr="00451613" w:rsidRDefault="00A0365C" w:rsidP="00434B93">
            <w:pPr>
              <w:jc w:val="both"/>
              <w:rPr>
                <w:rFonts w:ascii="Times New Roman" w:hAnsi="Times New Roman" w:cs="Times New Roman"/>
                <w:b/>
                <w:bCs/>
                <w:sz w:val="24"/>
                <w:szCs w:val="24"/>
              </w:rPr>
            </w:pPr>
            <w:r w:rsidRPr="00451613">
              <w:rPr>
                <w:rFonts w:ascii="Times New Roman" w:hAnsi="Times New Roman" w:cs="Times New Roman"/>
                <w:b/>
                <w:bCs/>
                <w:sz w:val="24"/>
                <w:szCs w:val="24"/>
              </w:rPr>
              <w:t>1.23%</w:t>
            </w:r>
          </w:p>
        </w:tc>
        <w:tc>
          <w:tcPr>
            <w:tcW w:w="1804" w:type="dxa"/>
            <w:vMerge/>
          </w:tcPr>
          <w:p w14:paraId="6DA21B1F" w14:textId="77777777" w:rsidR="00A0365C" w:rsidRPr="00451613" w:rsidRDefault="00A0365C" w:rsidP="00434B93">
            <w:pPr>
              <w:jc w:val="both"/>
              <w:rPr>
                <w:rFonts w:ascii="Times New Roman" w:hAnsi="Times New Roman" w:cs="Times New Roman"/>
                <w:sz w:val="24"/>
                <w:szCs w:val="24"/>
              </w:rPr>
            </w:pPr>
          </w:p>
        </w:tc>
      </w:tr>
    </w:tbl>
    <w:bookmarkEnd w:id="9"/>
    <w:p w14:paraId="72CF296C" w14:textId="77777777" w:rsidR="00A0365C" w:rsidRPr="00451613" w:rsidRDefault="00A0365C" w:rsidP="00A0365C">
      <w:pPr>
        <w:jc w:val="both"/>
        <w:rPr>
          <w:rFonts w:ascii="Times New Roman" w:hAnsi="Times New Roman" w:cs="Times New Roman"/>
          <w:sz w:val="24"/>
          <w:szCs w:val="24"/>
        </w:rPr>
      </w:pPr>
      <w:r w:rsidRPr="00451613">
        <w:rPr>
          <w:rFonts w:ascii="Times New Roman" w:hAnsi="Times New Roman" w:cs="Times New Roman"/>
          <w:sz w:val="24"/>
          <w:szCs w:val="24"/>
        </w:rPr>
        <w:t>The table shown above of error denotes that in the case of SVM, RMSE and MAE are .83%, 7.41%, 5.67%, 1.55%, &amp; .69%, 7.19%, 4.18%, and 1.28%, respectively, for JSW, TATA Steel, Mahindra &amp; Mahindra, &amp; Maruti Suzuki; the values for LSTM are 1.65%, 1.28%, 1.71%, 2.27%, 3.65%, 2.82%, 1.99%, and 1.57%, as follows, and for MLP, 1.68%, 1.28%, 1.97%, 2.46%, 2.44%, 1.73%, 1.73%, and 1.23%. Bold values in the above table represent the lowest error values of the ML models for the respective company share price prediction.</w:t>
      </w:r>
    </w:p>
    <w:p w14:paraId="107508E7" w14:textId="77777777" w:rsidR="00A0365C" w:rsidRPr="00451613" w:rsidRDefault="00A0365C" w:rsidP="00A0365C">
      <w:pPr>
        <w:jc w:val="both"/>
        <w:rPr>
          <w:rFonts w:ascii="Times New Roman" w:hAnsi="Times New Roman" w:cs="Times New Roman"/>
          <w:b/>
          <w:bCs/>
          <w:sz w:val="24"/>
          <w:szCs w:val="24"/>
        </w:rPr>
      </w:pPr>
      <w:r w:rsidRPr="00451613">
        <w:rPr>
          <w:rFonts w:ascii="Times New Roman" w:hAnsi="Times New Roman" w:cs="Times New Roman"/>
          <w:b/>
          <w:bCs/>
          <w:sz w:val="24"/>
          <w:szCs w:val="24"/>
        </w:rPr>
        <w:lastRenderedPageBreak/>
        <w:t>5. Results and Discussion</w:t>
      </w:r>
    </w:p>
    <w:p w14:paraId="74E33259" w14:textId="77777777" w:rsidR="00A0365C" w:rsidRPr="00451613" w:rsidRDefault="00A0365C" w:rsidP="00A0365C">
      <w:pPr>
        <w:jc w:val="both"/>
        <w:rPr>
          <w:rFonts w:ascii="Times New Roman" w:hAnsi="Times New Roman" w:cs="Times New Roman"/>
          <w:b/>
          <w:bCs/>
          <w:sz w:val="24"/>
          <w:szCs w:val="24"/>
        </w:rPr>
      </w:pPr>
      <w:r w:rsidRPr="00451613">
        <w:rPr>
          <w:rFonts w:ascii="Times New Roman" w:hAnsi="Times New Roman" w:cs="Times New Roman"/>
          <w:noProof/>
          <w:lang w:eastAsia="en-IN"/>
        </w:rPr>
        <w:drawing>
          <wp:inline distT="0" distB="0" distL="0" distR="0" wp14:anchorId="2546FE06" wp14:editId="2F8C039F">
            <wp:extent cx="4572000" cy="2743200"/>
            <wp:effectExtent l="0" t="0" r="0" b="0"/>
            <wp:docPr id="234820756" name="Chart 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81070027-056C-2A65-6155-259C7AA3E1A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4B0F7585" w14:textId="77777777" w:rsidR="00A0365C" w:rsidRPr="00451613" w:rsidRDefault="00A0365C" w:rsidP="00A0365C">
      <w:pPr>
        <w:jc w:val="both"/>
        <w:rPr>
          <w:rFonts w:ascii="Times New Roman" w:hAnsi="Times New Roman" w:cs="Times New Roman"/>
          <w:b/>
          <w:bCs/>
          <w:sz w:val="24"/>
          <w:szCs w:val="24"/>
        </w:rPr>
      </w:pPr>
    </w:p>
    <w:p w14:paraId="2B1C4C74" w14:textId="77777777" w:rsidR="00A0365C" w:rsidRPr="00451613" w:rsidRDefault="00A0365C" w:rsidP="00A0365C">
      <w:pPr>
        <w:jc w:val="both"/>
        <w:rPr>
          <w:rFonts w:ascii="Times New Roman" w:hAnsi="Times New Roman" w:cs="Times New Roman"/>
          <w:b/>
          <w:bCs/>
          <w:sz w:val="24"/>
          <w:szCs w:val="24"/>
        </w:rPr>
      </w:pPr>
      <w:r w:rsidRPr="00451613">
        <w:rPr>
          <w:rFonts w:ascii="Times New Roman" w:hAnsi="Times New Roman" w:cs="Times New Roman"/>
          <w:noProof/>
          <w:lang w:eastAsia="en-IN"/>
        </w:rPr>
        <w:drawing>
          <wp:inline distT="0" distB="0" distL="0" distR="0" wp14:anchorId="2973C3A1" wp14:editId="5924BB4C">
            <wp:extent cx="4572000" cy="2743200"/>
            <wp:effectExtent l="0" t="0" r="0" b="0"/>
            <wp:docPr id="355852724" name="Chart 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18B8C149-9A62-E1EF-D174-B17EBB4E015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77ADCF82" w14:textId="77777777" w:rsidR="00A0365C" w:rsidRPr="00451613" w:rsidRDefault="00A0365C" w:rsidP="00A0365C">
      <w:pPr>
        <w:jc w:val="both"/>
        <w:rPr>
          <w:rFonts w:ascii="Times New Roman" w:hAnsi="Times New Roman" w:cs="Times New Roman"/>
          <w:sz w:val="24"/>
          <w:szCs w:val="24"/>
        </w:rPr>
      </w:pPr>
      <w:r w:rsidRPr="00451613">
        <w:rPr>
          <w:rFonts w:ascii="Times New Roman" w:hAnsi="Times New Roman" w:cs="Times New Roman"/>
          <w:b/>
          <w:bCs/>
          <w:sz w:val="24"/>
          <w:szCs w:val="24"/>
        </w:rPr>
        <w:t>Fig 14</w:t>
      </w:r>
      <w:r w:rsidRPr="00451613">
        <w:rPr>
          <w:rFonts w:ascii="Times New Roman" w:hAnsi="Times New Roman" w:cs="Times New Roman"/>
          <w:sz w:val="24"/>
          <w:szCs w:val="24"/>
        </w:rPr>
        <w:t xml:space="preserve">: Comparison of error &amp; accuracy among the models </w:t>
      </w:r>
    </w:p>
    <w:p w14:paraId="61FEB878" w14:textId="77777777" w:rsidR="00A0365C" w:rsidRPr="00451613" w:rsidRDefault="00A0365C" w:rsidP="00A0365C">
      <w:pPr>
        <w:jc w:val="both"/>
        <w:rPr>
          <w:rFonts w:ascii="Times New Roman" w:hAnsi="Times New Roman" w:cs="Times New Roman"/>
          <w:sz w:val="24"/>
          <w:szCs w:val="24"/>
        </w:rPr>
      </w:pPr>
      <w:r w:rsidRPr="00451613">
        <w:rPr>
          <w:rFonts w:ascii="Times New Roman" w:hAnsi="Times New Roman" w:cs="Times New Roman"/>
          <w:sz w:val="24"/>
          <w:szCs w:val="24"/>
        </w:rPr>
        <w:t>As we compared the results of various models, we interpreted that in the case of JSW, SVM showed the lowest error rate as compared to LSTM and MLP because SVM was able to observe a sudden downfall and gradual recovery in the prices of JSW, but as we moved towards TATA Steel, LSTM surpassed MLP and SVM due to the fact that LSTM learns from the past trends, and in TATA Steel there was a gradual upward trend, which LSTM observed and predicted properly. Even MLP did not stay back; it also showed the lowest error rate in the condition of M&amp;M through its feedforward learning behavior and also showed a competitive result with SVM in the case of Maruti Suzuki.</w:t>
      </w:r>
    </w:p>
    <w:p w14:paraId="03F7B262" w14:textId="77777777" w:rsidR="00A0365C" w:rsidRPr="00451613" w:rsidRDefault="00A0365C" w:rsidP="00A0365C">
      <w:pPr>
        <w:jc w:val="both"/>
        <w:rPr>
          <w:rFonts w:ascii="Times New Roman" w:hAnsi="Times New Roman" w:cs="Times New Roman"/>
          <w:sz w:val="24"/>
          <w:szCs w:val="24"/>
        </w:rPr>
      </w:pPr>
    </w:p>
    <w:p w14:paraId="50830476" w14:textId="6A949D9B" w:rsidR="00A0365C" w:rsidRPr="00451613" w:rsidRDefault="00A0365C" w:rsidP="00A0365C">
      <w:pPr>
        <w:jc w:val="both"/>
        <w:rPr>
          <w:rFonts w:ascii="Times New Roman" w:hAnsi="Times New Roman" w:cs="Times New Roman"/>
          <w:b/>
          <w:bCs/>
          <w:sz w:val="24"/>
          <w:szCs w:val="24"/>
        </w:rPr>
        <w:sectPr w:rsidR="00A0365C" w:rsidRPr="00451613" w:rsidSect="00A0365C">
          <w:type w:val="continuous"/>
          <w:pgSz w:w="11906" w:h="16838"/>
          <w:pgMar w:top="1440" w:right="1440" w:bottom="1440" w:left="1440" w:header="708" w:footer="708" w:gutter="0"/>
          <w:cols w:space="720"/>
          <w:docGrid w:linePitch="360"/>
        </w:sectPr>
      </w:pPr>
      <w:r w:rsidRPr="00451613">
        <w:rPr>
          <w:rFonts w:ascii="Times New Roman" w:hAnsi="Times New Roman" w:cs="Times New Roman"/>
          <w:b/>
          <w:bCs/>
          <w:sz w:val="24"/>
          <w:szCs w:val="24"/>
        </w:rPr>
        <w:lastRenderedPageBreak/>
        <w:t>6.Conclusion:</w:t>
      </w:r>
    </w:p>
    <w:p w14:paraId="4D4EF8CF" w14:textId="77777777" w:rsidR="00A0365C" w:rsidRPr="00451613" w:rsidRDefault="00A0365C" w:rsidP="00A0365C">
      <w:pPr>
        <w:jc w:val="both"/>
        <w:rPr>
          <w:rFonts w:ascii="Times New Roman" w:hAnsi="Times New Roman" w:cs="Times New Roman"/>
          <w:sz w:val="24"/>
          <w:szCs w:val="24"/>
        </w:rPr>
      </w:pPr>
      <w:r w:rsidRPr="00451613">
        <w:rPr>
          <w:rFonts w:ascii="Times New Roman" w:hAnsi="Times New Roman" w:cs="Times New Roman"/>
          <w:sz w:val="24"/>
          <w:szCs w:val="24"/>
        </w:rPr>
        <w:lastRenderedPageBreak/>
        <w:t>After the introduction of ML and DL, there is a revolution in stock market prediction, which makes prediction complex but interesting through coding. In this study we figure out the efficiency and superiority of ML and DL models with 4 different data sets. Our study contradicts the conclusion of previous studies, as it clearly showed the superiority of LSTM over other predictive models when there is large sequential data, but from the above comparative analysis, it can be observed that there is no monopoly of one model over all the types of datasets. Therefore, in JSW, SVM outperforms; in TATA Steel, LSTM; in M &amp; M, MLP; and in Maruti Suzuki, MLP and SVM close in prediction. So, the results allowed the researcher to conclude that the efficiency of the models’ predictions depends upon the characteristics of the dataset, such as linear relation, financial shocks, recovery of share price, etc., not on the quality of the model. There should be a perfect alignment of characteristics of the dataset and quality of the model if one wants accurate prediction. ML, DL models, and the stock market are an ocean that is difficult to cover by only study, so here are some limitations of the study: 1. It only considers the dataset of the Indian stock market. 2. Researchers only compare 3 models, in which only one DL model is utilized. 3. We consider only long-term datasets for the study. So, future researchers can focus on these areas for further work.</w:t>
      </w:r>
    </w:p>
    <w:p w14:paraId="69AC0426" w14:textId="77777777" w:rsidR="00A0365C" w:rsidRPr="001D029A" w:rsidRDefault="00A0365C" w:rsidP="00A0365C">
      <w:pPr>
        <w:jc w:val="both"/>
        <w:rPr>
          <w:rFonts w:ascii="Times New Roman" w:hAnsi="Times New Roman" w:cs="Times New Roman"/>
          <w:b/>
          <w:bCs/>
          <w:sz w:val="24"/>
          <w:szCs w:val="24"/>
        </w:rPr>
      </w:pPr>
      <w:r w:rsidRPr="001D029A">
        <w:rPr>
          <w:rFonts w:ascii="Times New Roman" w:hAnsi="Times New Roman" w:cs="Times New Roman"/>
          <w:b/>
          <w:bCs/>
          <w:sz w:val="24"/>
          <w:szCs w:val="24"/>
        </w:rPr>
        <w:t>7. CRediT authorship contribution statement</w:t>
      </w:r>
    </w:p>
    <w:p w14:paraId="072815AD" w14:textId="77777777" w:rsidR="00A0365C" w:rsidRDefault="00A0365C" w:rsidP="00A0365C">
      <w:pPr>
        <w:jc w:val="both"/>
        <w:rPr>
          <w:rFonts w:ascii="Times New Roman" w:hAnsi="Times New Roman" w:cs="Times New Roman"/>
          <w:sz w:val="24"/>
          <w:szCs w:val="24"/>
        </w:rPr>
      </w:pPr>
      <w:r w:rsidRPr="00451613">
        <w:rPr>
          <w:rFonts w:ascii="Times New Roman" w:hAnsi="Times New Roman" w:cs="Times New Roman"/>
          <w:b/>
          <w:bCs/>
          <w:sz w:val="24"/>
          <w:szCs w:val="24"/>
        </w:rPr>
        <w:t xml:space="preserve">Priya Gupta: </w:t>
      </w:r>
      <w:r w:rsidRPr="00451613">
        <w:rPr>
          <w:rFonts w:ascii="Times New Roman" w:hAnsi="Times New Roman" w:cs="Times New Roman"/>
          <w:sz w:val="24"/>
          <w:szCs w:val="24"/>
        </w:rPr>
        <w:t>Conceptualization, Writing - Original Draft, Methodology,</w:t>
      </w:r>
      <w:r w:rsidRPr="00451613">
        <w:rPr>
          <w:rFonts w:ascii="Times New Roman" w:hAnsi="Times New Roman" w:cs="Times New Roman"/>
        </w:rPr>
        <w:t xml:space="preserve"> </w:t>
      </w:r>
      <w:r w:rsidRPr="00451613">
        <w:rPr>
          <w:rFonts w:ascii="Times New Roman" w:hAnsi="Times New Roman" w:cs="Times New Roman"/>
          <w:sz w:val="24"/>
          <w:szCs w:val="24"/>
        </w:rPr>
        <w:t xml:space="preserve">Visualization </w:t>
      </w:r>
      <w:r w:rsidRPr="00451613">
        <w:rPr>
          <w:rFonts w:ascii="Times New Roman" w:hAnsi="Times New Roman" w:cs="Times New Roman"/>
          <w:b/>
          <w:bCs/>
          <w:sz w:val="24"/>
          <w:szCs w:val="24"/>
        </w:rPr>
        <w:lastRenderedPageBreak/>
        <w:t>Kajol Verma</w:t>
      </w:r>
      <w:r w:rsidRPr="00451613">
        <w:rPr>
          <w:rFonts w:ascii="Times New Roman" w:hAnsi="Times New Roman" w:cs="Times New Roman"/>
          <w:sz w:val="24"/>
          <w:szCs w:val="24"/>
        </w:rPr>
        <w:t xml:space="preserve">: Methodology, Software </w:t>
      </w:r>
      <w:r w:rsidRPr="00451613">
        <w:rPr>
          <w:rFonts w:ascii="Times New Roman" w:hAnsi="Times New Roman" w:cs="Times New Roman"/>
          <w:b/>
          <w:bCs/>
          <w:sz w:val="24"/>
          <w:szCs w:val="24"/>
        </w:rPr>
        <w:t>Dr</w:t>
      </w:r>
      <w:r w:rsidRPr="00451613">
        <w:rPr>
          <w:rFonts w:ascii="Times New Roman" w:hAnsi="Times New Roman" w:cs="Times New Roman"/>
          <w:sz w:val="24"/>
          <w:szCs w:val="24"/>
        </w:rPr>
        <w:t xml:space="preserve">. </w:t>
      </w:r>
      <w:r w:rsidRPr="00451613">
        <w:rPr>
          <w:rFonts w:ascii="Times New Roman" w:hAnsi="Times New Roman" w:cs="Times New Roman"/>
          <w:b/>
          <w:bCs/>
          <w:sz w:val="24"/>
          <w:szCs w:val="24"/>
        </w:rPr>
        <w:t>Rakesh Kumar</w:t>
      </w:r>
      <w:r w:rsidRPr="00451613">
        <w:rPr>
          <w:rFonts w:ascii="Times New Roman" w:hAnsi="Times New Roman" w:cs="Times New Roman"/>
          <w:sz w:val="24"/>
          <w:szCs w:val="24"/>
        </w:rPr>
        <w:t xml:space="preserve">: Supervision, Resources </w:t>
      </w:r>
      <w:r w:rsidRPr="00451613">
        <w:rPr>
          <w:rFonts w:ascii="Times New Roman" w:hAnsi="Times New Roman" w:cs="Times New Roman"/>
          <w:b/>
          <w:bCs/>
          <w:sz w:val="24"/>
          <w:szCs w:val="24"/>
        </w:rPr>
        <w:t>Bela Bansal:</w:t>
      </w:r>
      <w:r w:rsidRPr="00451613">
        <w:rPr>
          <w:rFonts w:ascii="Times New Roman" w:hAnsi="Times New Roman" w:cs="Times New Roman"/>
          <w:sz w:val="24"/>
          <w:szCs w:val="24"/>
        </w:rPr>
        <w:t xml:space="preserve"> Writing - Review &amp; Editing</w:t>
      </w:r>
      <w:r>
        <w:rPr>
          <w:rFonts w:ascii="Times New Roman" w:hAnsi="Times New Roman" w:cs="Times New Roman"/>
          <w:sz w:val="24"/>
          <w:szCs w:val="24"/>
        </w:rPr>
        <w:t xml:space="preserve"> </w:t>
      </w:r>
      <w:r w:rsidRPr="00451613">
        <w:rPr>
          <w:rFonts w:ascii="Times New Roman" w:hAnsi="Times New Roman" w:cs="Times New Roman"/>
          <w:b/>
          <w:bCs/>
          <w:sz w:val="24"/>
          <w:szCs w:val="24"/>
        </w:rPr>
        <w:t>Dr. Sanil Kumar:</w:t>
      </w:r>
      <w:r w:rsidRPr="00451613">
        <w:rPr>
          <w:rFonts w:ascii="Times New Roman" w:hAnsi="Times New Roman" w:cs="Times New Roman"/>
          <w:sz w:val="24"/>
          <w:szCs w:val="24"/>
        </w:rPr>
        <w:t xml:space="preserve"> Supervision</w:t>
      </w:r>
    </w:p>
    <w:p w14:paraId="27D44898" w14:textId="77777777" w:rsidR="00A0365C" w:rsidRDefault="00A0365C" w:rsidP="00A0365C">
      <w:pPr>
        <w:jc w:val="both"/>
        <w:rPr>
          <w:rFonts w:ascii="Times New Roman" w:hAnsi="Times New Roman" w:cs="Times New Roman"/>
          <w:b/>
          <w:bCs/>
          <w:sz w:val="24"/>
          <w:szCs w:val="24"/>
        </w:rPr>
      </w:pPr>
      <w:r>
        <w:rPr>
          <w:rFonts w:ascii="Times New Roman" w:hAnsi="Times New Roman" w:cs="Times New Roman"/>
          <w:b/>
          <w:bCs/>
          <w:sz w:val="24"/>
          <w:szCs w:val="24"/>
        </w:rPr>
        <w:t xml:space="preserve">8. </w:t>
      </w:r>
      <w:r w:rsidRPr="00D91475">
        <w:rPr>
          <w:rFonts w:ascii="Times New Roman" w:hAnsi="Times New Roman" w:cs="Times New Roman"/>
          <w:b/>
          <w:bCs/>
          <w:sz w:val="24"/>
          <w:szCs w:val="24"/>
        </w:rPr>
        <w:t>Declaration generative AI use</w:t>
      </w:r>
      <w:r>
        <w:rPr>
          <w:rFonts w:ascii="Times New Roman" w:hAnsi="Times New Roman" w:cs="Times New Roman"/>
          <w:b/>
          <w:bCs/>
          <w:sz w:val="24"/>
          <w:szCs w:val="24"/>
        </w:rPr>
        <w:t>:</w:t>
      </w:r>
    </w:p>
    <w:p w14:paraId="15F1B248" w14:textId="77777777" w:rsidR="00A0365C" w:rsidRPr="00D91475" w:rsidRDefault="00A0365C" w:rsidP="00A0365C">
      <w:pPr>
        <w:jc w:val="both"/>
        <w:rPr>
          <w:rFonts w:ascii="Times New Roman" w:hAnsi="Times New Roman" w:cs="Times New Roman"/>
          <w:sz w:val="24"/>
          <w:szCs w:val="24"/>
        </w:rPr>
      </w:pPr>
      <w:r w:rsidRPr="00D91475">
        <w:rPr>
          <w:rFonts w:ascii="Times New Roman" w:hAnsi="Times New Roman" w:cs="Times New Roman"/>
          <w:sz w:val="24"/>
          <w:szCs w:val="24"/>
        </w:rPr>
        <w:t>During the preparation of this work the author(s) used</w:t>
      </w:r>
      <w:r>
        <w:rPr>
          <w:rFonts w:ascii="Times New Roman" w:hAnsi="Times New Roman" w:cs="Times New Roman"/>
          <w:sz w:val="24"/>
          <w:szCs w:val="24"/>
        </w:rPr>
        <w:t xml:space="preserve"> Chat GPT </w:t>
      </w:r>
      <w:r w:rsidRPr="00D91475">
        <w:rPr>
          <w:rFonts w:ascii="Times New Roman" w:hAnsi="Times New Roman" w:cs="Times New Roman"/>
          <w:sz w:val="24"/>
          <w:szCs w:val="24"/>
        </w:rPr>
        <w:t>in</w:t>
      </w:r>
      <w:r>
        <w:rPr>
          <w:rFonts w:ascii="Times New Roman" w:hAnsi="Times New Roman" w:cs="Times New Roman"/>
          <w:sz w:val="24"/>
          <w:szCs w:val="24"/>
        </w:rPr>
        <w:t xml:space="preserve"> </w:t>
      </w:r>
      <w:r w:rsidRPr="00D91475">
        <w:rPr>
          <w:rFonts w:ascii="Times New Roman" w:hAnsi="Times New Roman" w:cs="Times New Roman"/>
          <w:sz w:val="24"/>
          <w:szCs w:val="24"/>
        </w:rPr>
        <w:t xml:space="preserve">order to </w:t>
      </w:r>
      <w:r>
        <w:rPr>
          <w:rFonts w:ascii="Times New Roman" w:hAnsi="Times New Roman" w:cs="Times New Roman"/>
          <w:sz w:val="24"/>
          <w:szCs w:val="24"/>
        </w:rPr>
        <w:t xml:space="preserve">rephrase sentences in the section of Abstarct and some part of introduction. </w:t>
      </w:r>
      <w:r w:rsidRPr="00D91475">
        <w:rPr>
          <w:rFonts w:ascii="Times New Roman" w:hAnsi="Times New Roman" w:cs="Times New Roman"/>
          <w:sz w:val="24"/>
          <w:szCs w:val="24"/>
        </w:rPr>
        <w:t xml:space="preserve">After using this </w:t>
      </w:r>
      <w:r>
        <w:rPr>
          <w:rFonts w:ascii="Times New Roman" w:hAnsi="Times New Roman" w:cs="Times New Roman"/>
          <w:sz w:val="24"/>
          <w:szCs w:val="24"/>
        </w:rPr>
        <w:t>Chat GPT</w:t>
      </w:r>
      <w:r w:rsidRPr="00D91475">
        <w:rPr>
          <w:rFonts w:ascii="Times New Roman" w:hAnsi="Times New Roman" w:cs="Times New Roman"/>
          <w:sz w:val="24"/>
          <w:szCs w:val="24"/>
        </w:rPr>
        <w:t>, the author(s) reviewed and edited the content as needed and take(s) full responsibility for the content of the published article.</w:t>
      </w:r>
    </w:p>
    <w:p w14:paraId="74513D6F" w14:textId="77777777" w:rsidR="00A0365C" w:rsidRPr="00451613" w:rsidRDefault="00A0365C" w:rsidP="00A0365C">
      <w:pPr>
        <w:jc w:val="both"/>
        <w:rPr>
          <w:rFonts w:ascii="Times New Roman" w:hAnsi="Times New Roman" w:cs="Times New Roman"/>
          <w:b/>
          <w:bCs/>
          <w:sz w:val="24"/>
          <w:szCs w:val="24"/>
        </w:rPr>
      </w:pPr>
      <w:r>
        <w:rPr>
          <w:rFonts w:ascii="Times New Roman" w:hAnsi="Times New Roman" w:cs="Times New Roman"/>
          <w:b/>
          <w:bCs/>
          <w:sz w:val="24"/>
          <w:szCs w:val="24"/>
        </w:rPr>
        <w:t>9</w:t>
      </w:r>
      <w:r w:rsidRPr="00451613">
        <w:rPr>
          <w:rFonts w:ascii="Times New Roman" w:hAnsi="Times New Roman" w:cs="Times New Roman"/>
          <w:b/>
          <w:bCs/>
          <w:sz w:val="24"/>
          <w:szCs w:val="24"/>
        </w:rPr>
        <w:t>. REFERENCE:</w:t>
      </w:r>
    </w:p>
    <w:p w14:paraId="6BAEBDE3" w14:textId="77777777" w:rsidR="00A0365C" w:rsidRPr="00451613" w:rsidRDefault="00A0365C" w:rsidP="00A0365C">
      <w:pPr>
        <w:ind w:left="720" w:hanging="720"/>
        <w:jc w:val="both"/>
        <w:rPr>
          <w:rFonts w:ascii="Times New Roman" w:hAnsi="Times New Roman" w:cs="Times New Roman"/>
          <w:color w:val="000000" w:themeColor="text1"/>
          <w:shd w:val="clear" w:color="auto" w:fill="FFFFFF"/>
        </w:rPr>
      </w:pPr>
      <w:r w:rsidRPr="00451613">
        <w:rPr>
          <w:rFonts w:ascii="Times New Roman" w:hAnsi="Times New Roman" w:cs="Times New Roman"/>
          <w:color w:val="000000" w:themeColor="text1"/>
          <w:shd w:val="clear" w:color="auto" w:fill="FFFFFF"/>
        </w:rPr>
        <w:t>Billah, M. M., Sultana, A., Bhuiyan, F., &amp; Kaosar, M. G. (2024). Stock price prediction: comparison of different moving average techniques using deep learning model. </w:t>
      </w:r>
      <w:r w:rsidRPr="00451613">
        <w:rPr>
          <w:rFonts w:ascii="Times New Roman" w:hAnsi="Times New Roman" w:cs="Times New Roman"/>
          <w:i/>
          <w:iCs/>
          <w:color w:val="000000" w:themeColor="text1"/>
          <w:shd w:val="clear" w:color="auto" w:fill="FFFFFF"/>
        </w:rPr>
        <w:t>Neural Computing and Applications</w:t>
      </w:r>
      <w:r w:rsidRPr="00451613">
        <w:rPr>
          <w:rFonts w:ascii="Times New Roman" w:hAnsi="Times New Roman" w:cs="Times New Roman"/>
          <w:color w:val="000000" w:themeColor="text1"/>
          <w:shd w:val="clear" w:color="auto" w:fill="FFFFFF"/>
        </w:rPr>
        <w:t>, </w:t>
      </w:r>
      <w:r w:rsidRPr="00451613">
        <w:rPr>
          <w:rFonts w:ascii="Times New Roman" w:hAnsi="Times New Roman" w:cs="Times New Roman"/>
          <w:i/>
          <w:iCs/>
          <w:color w:val="000000" w:themeColor="text1"/>
          <w:shd w:val="clear" w:color="auto" w:fill="FFFFFF"/>
        </w:rPr>
        <w:t>36</w:t>
      </w:r>
      <w:r w:rsidRPr="00451613">
        <w:rPr>
          <w:rFonts w:ascii="Times New Roman" w:hAnsi="Times New Roman" w:cs="Times New Roman"/>
          <w:color w:val="000000" w:themeColor="text1"/>
          <w:shd w:val="clear" w:color="auto" w:fill="FFFFFF"/>
        </w:rPr>
        <w:t xml:space="preserve">, 5861-5871. </w:t>
      </w:r>
      <w:hyperlink r:id="rId27" w:history="1">
        <w:r w:rsidRPr="00451613">
          <w:rPr>
            <w:rStyle w:val="Hyperlink"/>
            <w:rFonts w:ascii="Times New Roman" w:hAnsi="Times New Roman" w:cs="Times New Roman"/>
            <w:color w:val="000000" w:themeColor="text1"/>
          </w:rPr>
          <w:t>https://doi.org/10.1007/s00521-023-09369-0</w:t>
        </w:r>
      </w:hyperlink>
    </w:p>
    <w:p w14:paraId="29B7A354" w14:textId="77777777" w:rsidR="00A0365C" w:rsidRPr="00451613" w:rsidRDefault="00A0365C" w:rsidP="00A0365C">
      <w:pPr>
        <w:ind w:left="720" w:hanging="720"/>
        <w:jc w:val="both"/>
        <w:rPr>
          <w:rFonts w:ascii="Times New Roman" w:hAnsi="Times New Roman" w:cs="Times New Roman"/>
          <w:color w:val="000000" w:themeColor="text1"/>
          <w:shd w:val="clear" w:color="auto" w:fill="FFFFFF"/>
        </w:rPr>
      </w:pPr>
      <w:r w:rsidRPr="00451613">
        <w:rPr>
          <w:rFonts w:ascii="Times New Roman" w:hAnsi="Times New Roman" w:cs="Times New Roman"/>
          <w:color w:val="000000" w:themeColor="text1"/>
          <w:shd w:val="clear" w:color="auto" w:fill="FFFFFF"/>
        </w:rPr>
        <w:t xml:space="preserve">Chahal, A., &amp; Gulia, P. (2019). </w:t>
      </w:r>
      <w:r>
        <w:rPr>
          <w:rFonts w:ascii="Times New Roman" w:hAnsi="Times New Roman" w:cs="Times New Roman"/>
          <w:color w:val="000000" w:themeColor="text1"/>
          <w:shd w:val="clear" w:color="auto" w:fill="FFFFFF"/>
        </w:rPr>
        <w:t>Machine-learning</w:t>
      </w:r>
      <w:r w:rsidRPr="00451613">
        <w:rPr>
          <w:rFonts w:ascii="Times New Roman" w:hAnsi="Times New Roman" w:cs="Times New Roman"/>
          <w:color w:val="000000" w:themeColor="text1"/>
          <w:shd w:val="clear" w:color="auto" w:fill="FFFFFF"/>
        </w:rPr>
        <w:t xml:space="preserve"> and deep learning. </w:t>
      </w:r>
      <w:r w:rsidRPr="00451613">
        <w:rPr>
          <w:rFonts w:ascii="Times New Roman" w:hAnsi="Times New Roman" w:cs="Times New Roman"/>
          <w:i/>
          <w:iCs/>
          <w:color w:val="000000" w:themeColor="text1"/>
          <w:shd w:val="clear" w:color="auto" w:fill="FFFFFF"/>
        </w:rPr>
        <w:t>International Journal of Innovative Technology and Exploring Engineering</w:t>
      </w:r>
      <w:r w:rsidRPr="00451613">
        <w:rPr>
          <w:rFonts w:ascii="Times New Roman" w:hAnsi="Times New Roman" w:cs="Times New Roman"/>
          <w:color w:val="000000" w:themeColor="text1"/>
          <w:shd w:val="clear" w:color="auto" w:fill="FFFFFF"/>
        </w:rPr>
        <w:t>, </w:t>
      </w:r>
      <w:r w:rsidRPr="00451613">
        <w:rPr>
          <w:rFonts w:ascii="Times New Roman" w:hAnsi="Times New Roman" w:cs="Times New Roman"/>
          <w:i/>
          <w:iCs/>
          <w:color w:val="000000" w:themeColor="text1"/>
          <w:shd w:val="clear" w:color="auto" w:fill="FFFFFF"/>
        </w:rPr>
        <w:t>8</w:t>
      </w:r>
      <w:r w:rsidRPr="00451613">
        <w:rPr>
          <w:rFonts w:ascii="Times New Roman" w:hAnsi="Times New Roman" w:cs="Times New Roman"/>
          <w:color w:val="000000" w:themeColor="text1"/>
          <w:shd w:val="clear" w:color="auto" w:fill="FFFFFF"/>
        </w:rPr>
        <w:t xml:space="preserve">(12), 4910-4914. </w:t>
      </w:r>
      <w:hyperlink r:id="rId28" w:history="1">
        <w:r w:rsidRPr="00451613">
          <w:rPr>
            <w:rStyle w:val="Hyperlink"/>
            <w:rFonts w:ascii="Times New Roman" w:hAnsi="Times New Roman" w:cs="Times New Roman"/>
            <w:color w:val="000000" w:themeColor="text1"/>
            <w:shd w:val="clear" w:color="auto" w:fill="FFFFFF"/>
          </w:rPr>
          <w:t>https://doi.org/10.35940/ijitee.L3550.1081219</w:t>
        </w:r>
      </w:hyperlink>
    </w:p>
    <w:p w14:paraId="05019CB8" w14:textId="77777777" w:rsidR="00A0365C" w:rsidRPr="00451613" w:rsidRDefault="00A0365C" w:rsidP="00A0365C">
      <w:pPr>
        <w:ind w:left="720" w:hanging="720"/>
        <w:jc w:val="both"/>
        <w:rPr>
          <w:rFonts w:ascii="Times New Roman" w:hAnsi="Times New Roman" w:cs="Times New Roman"/>
          <w:color w:val="000000" w:themeColor="text1"/>
          <w:shd w:val="clear" w:color="auto" w:fill="FFFFFF"/>
        </w:rPr>
      </w:pPr>
      <w:r w:rsidRPr="00451613">
        <w:rPr>
          <w:rFonts w:ascii="Times New Roman" w:hAnsi="Times New Roman" w:cs="Times New Roman"/>
          <w:color w:val="000000" w:themeColor="text1"/>
          <w:shd w:val="clear" w:color="auto" w:fill="FFFFFF"/>
        </w:rPr>
        <w:t>Chandra, M. A., &amp; Bedi, S. S. (2021). Survey on SVM and their application in image classification. </w:t>
      </w:r>
      <w:r w:rsidRPr="00451613">
        <w:rPr>
          <w:rFonts w:ascii="Times New Roman" w:hAnsi="Times New Roman" w:cs="Times New Roman"/>
          <w:i/>
          <w:iCs/>
          <w:color w:val="000000" w:themeColor="text1"/>
          <w:shd w:val="clear" w:color="auto" w:fill="FFFFFF"/>
        </w:rPr>
        <w:t>International Journal of Information Technology</w:t>
      </w:r>
      <w:r w:rsidRPr="00451613">
        <w:rPr>
          <w:rFonts w:ascii="Times New Roman" w:hAnsi="Times New Roman" w:cs="Times New Roman"/>
          <w:color w:val="000000" w:themeColor="text1"/>
          <w:shd w:val="clear" w:color="auto" w:fill="FFFFFF"/>
        </w:rPr>
        <w:t>, </w:t>
      </w:r>
      <w:r w:rsidRPr="00451613">
        <w:rPr>
          <w:rFonts w:ascii="Times New Roman" w:hAnsi="Times New Roman" w:cs="Times New Roman"/>
          <w:i/>
          <w:iCs/>
          <w:color w:val="000000" w:themeColor="text1"/>
          <w:shd w:val="clear" w:color="auto" w:fill="FFFFFF"/>
        </w:rPr>
        <w:t>13</w:t>
      </w:r>
      <w:r w:rsidRPr="00451613">
        <w:rPr>
          <w:rFonts w:ascii="Times New Roman" w:hAnsi="Times New Roman" w:cs="Times New Roman"/>
          <w:color w:val="000000" w:themeColor="text1"/>
          <w:shd w:val="clear" w:color="auto" w:fill="FFFFFF"/>
        </w:rPr>
        <w:t xml:space="preserve">(5), 1867-1877. </w:t>
      </w:r>
      <w:hyperlink r:id="rId29" w:history="1">
        <w:r w:rsidRPr="00451613">
          <w:rPr>
            <w:rStyle w:val="Hyperlink"/>
            <w:rFonts w:ascii="Times New Roman" w:hAnsi="Times New Roman" w:cs="Times New Roman"/>
            <w:color w:val="000000" w:themeColor="text1"/>
          </w:rPr>
          <w:t>https://doi.org/10.1007/s41870-017-0080-1</w:t>
        </w:r>
      </w:hyperlink>
    </w:p>
    <w:p w14:paraId="29E5F219" w14:textId="77777777" w:rsidR="00A0365C" w:rsidRPr="00451613" w:rsidRDefault="00A0365C" w:rsidP="00A0365C">
      <w:pPr>
        <w:ind w:left="720" w:hanging="720"/>
        <w:jc w:val="both"/>
        <w:rPr>
          <w:rFonts w:ascii="Times New Roman" w:hAnsi="Times New Roman" w:cs="Times New Roman"/>
          <w:color w:val="000000" w:themeColor="text1"/>
          <w:shd w:val="clear" w:color="auto" w:fill="FFFFFF"/>
        </w:rPr>
      </w:pPr>
      <w:r w:rsidRPr="00451613">
        <w:rPr>
          <w:rFonts w:ascii="Times New Roman" w:hAnsi="Times New Roman" w:cs="Times New Roman"/>
          <w:color w:val="000000" w:themeColor="text1"/>
          <w:shd w:val="clear" w:color="auto" w:fill="FFFFFF"/>
        </w:rPr>
        <w:t>Chauhan, V. K., Dahiya, K., &amp; Sharma, A. (2019). Problem formulations and solvers in linear SVM: a review. </w:t>
      </w:r>
      <w:r w:rsidRPr="00451613">
        <w:rPr>
          <w:rFonts w:ascii="Times New Roman" w:hAnsi="Times New Roman" w:cs="Times New Roman"/>
          <w:i/>
          <w:iCs/>
          <w:color w:val="000000" w:themeColor="text1"/>
          <w:shd w:val="clear" w:color="auto" w:fill="FFFFFF"/>
        </w:rPr>
        <w:t xml:space="preserve">Artificial Intelligence </w:t>
      </w:r>
      <w:r w:rsidRPr="00451613">
        <w:rPr>
          <w:rFonts w:ascii="Times New Roman" w:hAnsi="Times New Roman" w:cs="Times New Roman"/>
          <w:i/>
          <w:iCs/>
          <w:color w:val="000000" w:themeColor="text1"/>
          <w:shd w:val="clear" w:color="auto" w:fill="FFFFFF"/>
        </w:rPr>
        <w:lastRenderedPageBreak/>
        <w:t>Review</w:t>
      </w:r>
      <w:r w:rsidRPr="00451613">
        <w:rPr>
          <w:rFonts w:ascii="Times New Roman" w:hAnsi="Times New Roman" w:cs="Times New Roman"/>
          <w:color w:val="000000" w:themeColor="text1"/>
          <w:shd w:val="clear" w:color="auto" w:fill="FFFFFF"/>
        </w:rPr>
        <w:t>, </w:t>
      </w:r>
      <w:r w:rsidRPr="00451613">
        <w:rPr>
          <w:rFonts w:ascii="Times New Roman" w:hAnsi="Times New Roman" w:cs="Times New Roman"/>
          <w:i/>
          <w:iCs/>
          <w:color w:val="000000" w:themeColor="text1"/>
          <w:shd w:val="clear" w:color="auto" w:fill="FFFFFF"/>
        </w:rPr>
        <w:t>52</w:t>
      </w:r>
      <w:r w:rsidRPr="00451613">
        <w:rPr>
          <w:rFonts w:ascii="Times New Roman" w:hAnsi="Times New Roman" w:cs="Times New Roman"/>
          <w:color w:val="000000" w:themeColor="text1"/>
          <w:shd w:val="clear" w:color="auto" w:fill="FFFFFF"/>
        </w:rPr>
        <w:t xml:space="preserve">, 803-855. </w:t>
      </w:r>
      <w:hyperlink r:id="rId30" w:history="1">
        <w:r w:rsidRPr="00451613">
          <w:rPr>
            <w:rStyle w:val="Hyperlink"/>
            <w:rFonts w:ascii="Times New Roman" w:hAnsi="Times New Roman" w:cs="Times New Roman"/>
            <w:color w:val="000000" w:themeColor="text1"/>
          </w:rPr>
          <w:t>https://doi.org/10.1007/s10462-018-9614-6</w:t>
        </w:r>
      </w:hyperlink>
    </w:p>
    <w:p w14:paraId="758565D9" w14:textId="77777777" w:rsidR="00A0365C" w:rsidRPr="00451613" w:rsidRDefault="00A0365C" w:rsidP="00A0365C">
      <w:pPr>
        <w:spacing w:before="100" w:beforeAutospacing="1" w:after="0" w:line="240" w:lineRule="auto"/>
        <w:ind w:left="720" w:hanging="720"/>
        <w:jc w:val="both"/>
        <w:rPr>
          <w:rFonts w:ascii="Times New Roman" w:eastAsia="Times New Roman" w:hAnsi="Times New Roman" w:cs="Times New Roman"/>
          <w:color w:val="000000" w:themeColor="text1"/>
          <w:kern w:val="0"/>
          <w14:ligatures w14:val="none"/>
        </w:rPr>
      </w:pPr>
      <w:r w:rsidRPr="00451613">
        <w:rPr>
          <w:rFonts w:ascii="Times New Roman" w:eastAsia="Times New Roman" w:hAnsi="Times New Roman" w:cs="Times New Roman"/>
          <w:color w:val="000000" w:themeColor="text1"/>
          <w:kern w:val="0"/>
          <w14:ligatures w14:val="none"/>
        </w:rPr>
        <w:t xml:space="preserve">Chen, R., Wang, X., Zhang, W., Zhu, X., Li, A., &amp; Yang, C. (2019). A hybrid CNN-LSTM model for typhoon formation forecasting. </w:t>
      </w:r>
      <w:r w:rsidRPr="00451613">
        <w:rPr>
          <w:rFonts w:ascii="Times New Roman" w:eastAsia="Times New Roman" w:hAnsi="Times New Roman" w:cs="Times New Roman"/>
          <w:i/>
          <w:iCs/>
          <w:color w:val="000000" w:themeColor="text1"/>
          <w:kern w:val="0"/>
          <w14:ligatures w14:val="none"/>
        </w:rPr>
        <w:t>Geoinformatica, 23</w:t>
      </w:r>
      <w:r w:rsidRPr="00451613">
        <w:rPr>
          <w:rFonts w:ascii="Times New Roman" w:eastAsia="Times New Roman" w:hAnsi="Times New Roman" w:cs="Times New Roman"/>
          <w:color w:val="000000" w:themeColor="text1"/>
          <w:kern w:val="0"/>
          <w14:ligatures w14:val="none"/>
        </w:rPr>
        <w:t xml:space="preserve">, 375–396. </w:t>
      </w:r>
      <w:hyperlink r:id="rId31" w:history="1">
        <w:r w:rsidRPr="00451613">
          <w:rPr>
            <w:rStyle w:val="Hyperlink"/>
            <w:rFonts w:ascii="Times New Roman" w:eastAsia="Times New Roman" w:hAnsi="Times New Roman" w:cs="Times New Roman"/>
            <w:color w:val="000000" w:themeColor="text1"/>
            <w:kern w:val="0"/>
            <w14:ligatures w14:val="none"/>
          </w:rPr>
          <w:t>https://doi.org/10.1007/s10707-019-00355-0</w:t>
        </w:r>
      </w:hyperlink>
    </w:p>
    <w:p w14:paraId="19A11B96" w14:textId="77777777" w:rsidR="00A0365C" w:rsidRPr="00451613" w:rsidRDefault="00A0365C" w:rsidP="00A0365C">
      <w:pPr>
        <w:ind w:left="720" w:hanging="720"/>
        <w:jc w:val="both"/>
        <w:rPr>
          <w:rFonts w:ascii="Times New Roman" w:hAnsi="Times New Roman" w:cs="Times New Roman"/>
          <w:color w:val="000000" w:themeColor="text1"/>
          <w:shd w:val="clear" w:color="auto" w:fill="FFFFFF"/>
        </w:rPr>
      </w:pPr>
      <w:r w:rsidRPr="00451613">
        <w:rPr>
          <w:rFonts w:ascii="Times New Roman" w:hAnsi="Times New Roman" w:cs="Times New Roman"/>
          <w:color w:val="000000" w:themeColor="text1"/>
          <w:shd w:val="clear" w:color="auto" w:fill="FFFFFF"/>
        </w:rPr>
        <w:t>Chen, W. H., Hsu, S. H., &amp; Shen, H. P. (2005). Application of SVM and ANN for intrusion detection. </w:t>
      </w:r>
      <w:r w:rsidRPr="00451613">
        <w:rPr>
          <w:rFonts w:ascii="Times New Roman" w:hAnsi="Times New Roman" w:cs="Times New Roman"/>
          <w:i/>
          <w:iCs/>
          <w:color w:val="000000" w:themeColor="text1"/>
          <w:shd w:val="clear" w:color="auto" w:fill="FFFFFF"/>
        </w:rPr>
        <w:t>Computers &amp; Operations Research</w:t>
      </w:r>
      <w:r w:rsidRPr="00451613">
        <w:rPr>
          <w:rFonts w:ascii="Times New Roman" w:hAnsi="Times New Roman" w:cs="Times New Roman"/>
          <w:color w:val="000000" w:themeColor="text1"/>
          <w:shd w:val="clear" w:color="auto" w:fill="FFFFFF"/>
        </w:rPr>
        <w:t>, </w:t>
      </w:r>
      <w:r w:rsidRPr="00451613">
        <w:rPr>
          <w:rFonts w:ascii="Times New Roman" w:hAnsi="Times New Roman" w:cs="Times New Roman"/>
          <w:i/>
          <w:iCs/>
          <w:color w:val="000000" w:themeColor="text1"/>
          <w:shd w:val="clear" w:color="auto" w:fill="FFFFFF"/>
        </w:rPr>
        <w:t>32</w:t>
      </w:r>
      <w:r w:rsidRPr="00451613">
        <w:rPr>
          <w:rFonts w:ascii="Times New Roman" w:hAnsi="Times New Roman" w:cs="Times New Roman"/>
          <w:color w:val="000000" w:themeColor="text1"/>
          <w:shd w:val="clear" w:color="auto" w:fill="FFFFFF"/>
        </w:rPr>
        <w:t xml:space="preserve">(10), 2617-2634. </w:t>
      </w:r>
      <w:hyperlink r:id="rId32" w:history="1">
        <w:r w:rsidRPr="00451613">
          <w:rPr>
            <w:rStyle w:val="Hyperlink"/>
            <w:rFonts w:ascii="Times New Roman" w:hAnsi="Times New Roman" w:cs="Times New Roman"/>
            <w:color w:val="000000" w:themeColor="text1"/>
          </w:rPr>
          <w:t>https://doi.org/10.1016/j.cor.2004.03.019</w:t>
        </w:r>
      </w:hyperlink>
    </w:p>
    <w:p w14:paraId="54AC16BE" w14:textId="77777777" w:rsidR="00A0365C" w:rsidRPr="00451613" w:rsidRDefault="00A0365C" w:rsidP="00A0365C">
      <w:pPr>
        <w:ind w:left="720" w:hanging="720"/>
        <w:jc w:val="both"/>
        <w:rPr>
          <w:rFonts w:ascii="Times New Roman" w:hAnsi="Times New Roman" w:cs="Times New Roman"/>
          <w:color w:val="000000" w:themeColor="text1"/>
          <w:shd w:val="clear" w:color="auto" w:fill="FFFFFF"/>
        </w:rPr>
      </w:pPr>
      <w:r w:rsidRPr="00451613">
        <w:rPr>
          <w:rFonts w:ascii="Times New Roman" w:hAnsi="Times New Roman" w:cs="Times New Roman"/>
          <w:color w:val="000000" w:themeColor="text1"/>
          <w:shd w:val="clear" w:color="auto" w:fill="FFFFFF"/>
        </w:rPr>
        <w:t>Çınar, A., &amp; Tuncer, S. A. (2021). Classification of normal sinus rhythm, abnormal arrhythmia and congestive heart failure ECG signals using LSTM and hybrid CNN-SVM deep neural networks. </w:t>
      </w:r>
      <w:r w:rsidRPr="00451613">
        <w:rPr>
          <w:rFonts w:ascii="Times New Roman" w:hAnsi="Times New Roman" w:cs="Times New Roman"/>
          <w:i/>
          <w:iCs/>
          <w:color w:val="000000" w:themeColor="text1"/>
          <w:shd w:val="clear" w:color="auto" w:fill="FFFFFF"/>
        </w:rPr>
        <w:t>Computer Methods in Biomechanics and Biomedical Engineering</w:t>
      </w:r>
      <w:r w:rsidRPr="00451613">
        <w:rPr>
          <w:rFonts w:ascii="Times New Roman" w:hAnsi="Times New Roman" w:cs="Times New Roman"/>
          <w:color w:val="000000" w:themeColor="text1"/>
          <w:shd w:val="clear" w:color="auto" w:fill="FFFFFF"/>
        </w:rPr>
        <w:t>, </w:t>
      </w:r>
      <w:r w:rsidRPr="00451613">
        <w:rPr>
          <w:rFonts w:ascii="Times New Roman" w:hAnsi="Times New Roman" w:cs="Times New Roman"/>
          <w:i/>
          <w:iCs/>
          <w:color w:val="000000" w:themeColor="text1"/>
          <w:shd w:val="clear" w:color="auto" w:fill="FFFFFF"/>
        </w:rPr>
        <w:t>24</w:t>
      </w:r>
      <w:r w:rsidRPr="00451613">
        <w:rPr>
          <w:rFonts w:ascii="Times New Roman" w:hAnsi="Times New Roman" w:cs="Times New Roman"/>
          <w:color w:val="000000" w:themeColor="text1"/>
          <w:shd w:val="clear" w:color="auto" w:fill="FFFFFF"/>
        </w:rPr>
        <w:t xml:space="preserve">(2), 203-214. </w:t>
      </w:r>
      <w:hyperlink r:id="rId33" w:history="1">
        <w:r w:rsidRPr="00451613">
          <w:rPr>
            <w:rStyle w:val="Hyperlink"/>
            <w:rFonts w:ascii="Times New Roman" w:hAnsi="Times New Roman" w:cs="Times New Roman"/>
            <w:color w:val="000000" w:themeColor="text1"/>
          </w:rPr>
          <w:t>https://doi.org/10.1080/10255842.2020.1821192</w:t>
        </w:r>
      </w:hyperlink>
    </w:p>
    <w:p w14:paraId="68F15B46" w14:textId="77777777" w:rsidR="00A0365C" w:rsidRPr="00451613" w:rsidRDefault="00A0365C" w:rsidP="00A0365C">
      <w:pPr>
        <w:ind w:left="720" w:hanging="720"/>
        <w:jc w:val="both"/>
        <w:rPr>
          <w:rFonts w:ascii="Times New Roman" w:hAnsi="Times New Roman" w:cs="Times New Roman"/>
          <w:color w:val="000000" w:themeColor="text1"/>
          <w:shd w:val="clear" w:color="auto" w:fill="FFFFFF"/>
        </w:rPr>
      </w:pPr>
      <w:r w:rsidRPr="00451613">
        <w:rPr>
          <w:rFonts w:ascii="Times New Roman" w:hAnsi="Times New Roman" w:cs="Times New Roman"/>
          <w:color w:val="000000" w:themeColor="text1"/>
          <w:shd w:val="clear" w:color="auto" w:fill="FFFFFF"/>
        </w:rPr>
        <w:t>Fife, D. A., &amp; D’Onofrio, J. (2023). Common, uncommon, and novel applications of random forest in psychological research. </w:t>
      </w:r>
      <w:r w:rsidRPr="00451613">
        <w:rPr>
          <w:rFonts w:ascii="Times New Roman" w:hAnsi="Times New Roman" w:cs="Times New Roman"/>
          <w:i/>
          <w:iCs/>
          <w:color w:val="000000" w:themeColor="text1"/>
          <w:shd w:val="clear" w:color="auto" w:fill="FFFFFF"/>
        </w:rPr>
        <w:t>Behavior Research Methods</w:t>
      </w:r>
      <w:r w:rsidRPr="00451613">
        <w:rPr>
          <w:rFonts w:ascii="Times New Roman" w:hAnsi="Times New Roman" w:cs="Times New Roman"/>
          <w:color w:val="000000" w:themeColor="text1"/>
          <w:shd w:val="clear" w:color="auto" w:fill="FFFFFF"/>
        </w:rPr>
        <w:t>, </w:t>
      </w:r>
      <w:r w:rsidRPr="00451613">
        <w:rPr>
          <w:rFonts w:ascii="Times New Roman" w:hAnsi="Times New Roman" w:cs="Times New Roman"/>
          <w:i/>
          <w:iCs/>
          <w:color w:val="000000" w:themeColor="text1"/>
          <w:shd w:val="clear" w:color="auto" w:fill="FFFFFF"/>
        </w:rPr>
        <w:t>55</w:t>
      </w:r>
      <w:r w:rsidRPr="00451613">
        <w:rPr>
          <w:rFonts w:ascii="Times New Roman" w:hAnsi="Times New Roman" w:cs="Times New Roman"/>
          <w:color w:val="000000" w:themeColor="text1"/>
          <w:shd w:val="clear" w:color="auto" w:fill="FFFFFF"/>
        </w:rPr>
        <w:t xml:space="preserve">, 2447-2466. </w:t>
      </w:r>
      <w:hyperlink r:id="rId34" w:history="1">
        <w:r w:rsidRPr="00451613">
          <w:rPr>
            <w:rStyle w:val="Hyperlink"/>
            <w:rFonts w:ascii="Times New Roman" w:hAnsi="Times New Roman" w:cs="Times New Roman"/>
            <w:color w:val="000000" w:themeColor="text1"/>
          </w:rPr>
          <w:t>https://doi.org/10.3758/s13428-022-01901-9</w:t>
        </w:r>
      </w:hyperlink>
    </w:p>
    <w:p w14:paraId="0E478DFC" w14:textId="77777777" w:rsidR="00A0365C" w:rsidRPr="00451613" w:rsidRDefault="00A0365C" w:rsidP="00A0365C">
      <w:pPr>
        <w:ind w:left="720" w:hanging="720"/>
        <w:jc w:val="both"/>
        <w:rPr>
          <w:rFonts w:ascii="Times New Roman" w:hAnsi="Times New Roman" w:cs="Times New Roman"/>
          <w:color w:val="000000" w:themeColor="text1"/>
          <w:shd w:val="clear" w:color="auto" w:fill="FFFFFF"/>
        </w:rPr>
      </w:pPr>
      <w:r w:rsidRPr="00451613">
        <w:rPr>
          <w:rFonts w:ascii="Times New Roman" w:hAnsi="Times New Roman" w:cs="Times New Roman"/>
          <w:color w:val="000000" w:themeColor="text1"/>
          <w:shd w:val="clear" w:color="auto" w:fill="FFFFFF"/>
        </w:rPr>
        <w:t>Guresen, E., Kayakutlu, G., &amp; Daim, T. U. (2011). Using artificial neural network models in stock market index prediction. </w:t>
      </w:r>
      <w:r w:rsidRPr="00451613">
        <w:rPr>
          <w:rFonts w:ascii="Times New Roman" w:hAnsi="Times New Roman" w:cs="Times New Roman"/>
          <w:i/>
          <w:iCs/>
          <w:color w:val="000000" w:themeColor="text1"/>
          <w:shd w:val="clear" w:color="auto" w:fill="FFFFFF"/>
        </w:rPr>
        <w:t>Expert Systems with Applications</w:t>
      </w:r>
      <w:r w:rsidRPr="00451613">
        <w:rPr>
          <w:rFonts w:ascii="Times New Roman" w:hAnsi="Times New Roman" w:cs="Times New Roman"/>
          <w:color w:val="000000" w:themeColor="text1"/>
          <w:shd w:val="clear" w:color="auto" w:fill="FFFFFF"/>
        </w:rPr>
        <w:t>, </w:t>
      </w:r>
      <w:r w:rsidRPr="00451613">
        <w:rPr>
          <w:rFonts w:ascii="Times New Roman" w:hAnsi="Times New Roman" w:cs="Times New Roman"/>
          <w:i/>
          <w:iCs/>
          <w:color w:val="000000" w:themeColor="text1"/>
          <w:shd w:val="clear" w:color="auto" w:fill="FFFFFF"/>
        </w:rPr>
        <w:t>38</w:t>
      </w:r>
      <w:r w:rsidRPr="00451613">
        <w:rPr>
          <w:rFonts w:ascii="Times New Roman" w:hAnsi="Times New Roman" w:cs="Times New Roman"/>
          <w:color w:val="000000" w:themeColor="text1"/>
          <w:shd w:val="clear" w:color="auto" w:fill="FFFFFF"/>
        </w:rPr>
        <w:t>(8), 10389-10397.</w:t>
      </w:r>
    </w:p>
    <w:p w14:paraId="6A1EB231" w14:textId="77777777" w:rsidR="00A0365C" w:rsidRPr="00451613" w:rsidRDefault="00A0365C" w:rsidP="00A0365C">
      <w:pPr>
        <w:spacing w:before="100" w:beforeAutospacing="1" w:after="100" w:afterAutospacing="1" w:line="240" w:lineRule="auto"/>
        <w:ind w:left="720" w:hanging="720"/>
        <w:jc w:val="both"/>
        <w:rPr>
          <w:rFonts w:ascii="Times New Roman" w:eastAsia="Times New Roman" w:hAnsi="Times New Roman" w:cs="Times New Roman"/>
          <w:color w:val="000000" w:themeColor="text1"/>
          <w:kern w:val="0"/>
          <w14:ligatures w14:val="none"/>
        </w:rPr>
      </w:pPr>
      <w:r w:rsidRPr="00451613">
        <w:rPr>
          <w:rFonts w:ascii="Times New Roman" w:eastAsia="Times New Roman" w:hAnsi="Times New Roman" w:cs="Times New Roman"/>
          <w:color w:val="000000" w:themeColor="text1"/>
          <w:kern w:val="0"/>
          <w14:ligatures w14:val="none"/>
        </w:rPr>
        <w:t xml:space="preserve">Hegazy, O., Soliman, O. S., &amp; Salam, M. A. (2013). A </w:t>
      </w:r>
      <w:r>
        <w:rPr>
          <w:rFonts w:ascii="Times New Roman" w:eastAsia="Times New Roman" w:hAnsi="Times New Roman" w:cs="Times New Roman"/>
          <w:color w:val="000000" w:themeColor="text1"/>
          <w:kern w:val="0"/>
          <w14:ligatures w14:val="none"/>
        </w:rPr>
        <w:t>machine-learning</w:t>
      </w:r>
      <w:r w:rsidRPr="00451613">
        <w:rPr>
          <w:rFonts w:ascii="Times New Roman" w:eastAsia="Times New Roman" w:hAnsi="Times New Roman" w:cs="Times New Roman"/>
          <w:color w:val="000000" w:themeColor="text1"/>
          <w:kern w:val="0"/>
          <w14:ligatures w14:val="none"/>
        </w:rPr>
        <w:t xml:space="preserve"> model to predict stock market price. </w:t>
      </w:r>
      <w:r w:rsidRPr="00451613">
        <w:rPr>
          <w:rFonts w:ascii="Times New Roman" w:eastAsia="Times New Roman" w:hAnsi="Times New Roman" w:cs="Times New Roman"/>
          <w:i/>
          <w:iCs/>
          <w:color w:val="000000" w:themeColor="text1"/>
          <w:kern w:val="0"/>
          <w14:ligatures w14:val="none"/>
        </w:rPr>
        <w:t>International Journal of Computer Science and Telecommunications, 4</w:t>
      </w:r>
      <w:r w:rsidRPr="00451613">
        <w:rPr>
          <w:rFonts w:ascii="Times New Roman" w:eastAsia="Times New Roman" w:hAnsi="Times New Roman" w:cs="Times New Roman"/>
          <w:color w:val="000000" w:themeColor="text1"/>
          <w:kern w:val="0"/>
          <w14:ligatures w14:val="none"/>
        </w:rPr>
        <w:t>(12), 17–23.</w:t>
      </w:r>
    </w:p>
    <w:p w14:paraId="36A7041A" w14:textId="77777777" w:rsidR="00A0365C" w:rsidRPr="00451613" w:rsidRDefault="00A0365C" w:rsidP="00A0365C">
      <w:pPr>
        <w:ind w:left="720" w:hanging="720"/>
        <w:jc w:val="both"/>
        <w:rPr>
          <w:rFonts w:ascii="Times New Roman" w:hAnsi="Times New Roman" w:cs="Times New Roman"/>
          <w:color w:val="000000" w:themeColor="text1"/>
        </w:rPr>
      </w:pPr>
      <w:r w:rsidRPr="00451613">
        <w:rPr>
          <w:rFonts w:ascii="Times New Roman" w:hAnsi="Times New Roman" w:cs="Times New Roman"/>
          <w:color w:val="000000" w:themeColor="text1"/>
          <w:sz w:val="20"/>
          <w:szCs w:val="20"/>
          <w:shd w:val="clear" w:color="auto" w:fill="FFFFFF"/>
        </w:rPr>
        <w:lastRenderedPageBreak/>
        <w:t xml:space="preserve">Janiesch, C., Zschech, P., &amp; Heinrich, K. (2021). </w:t>
      </w:r>
      <w:r>
        <w:rPr>
          <w:rFonts w:ascii="Times New Roman" w:hAnsi="Times New Roman" w:cs="Times New Roman"/>
          <w:color w:val="000000" w:themeColor="text1"/>
          <w:sz w:val="20"/>
          <w:szCs w:val="20"/>
          <w:shd w:val="clear" w:color="auto" w:fill="FFFFFF"/>
        </w:rPr>
        <w:t>Machine-learning</w:t>
      </w:r>
      <w:r w:rsidRPr="00451613">
        <w:rPr>
          <w:rFonts w:ascii="Times New Roman" w:hAnsi="Times New Roman" w:cs="Times New Roman"/>
          <w:color w:val="000000" w:themeColor="text1"/>
          <w:sz w:val="20"/>
          <w:szCs w:val="20"/>
          <w:shd w:val="clear" w:color="auto" w:fill="FFFFFF"/>
        </w:rPr>
        <w:t xml:space="preserve"> and deep learning. </w:t>
      </w:r>
      <w:r w:rsidRPr="00451613">
        <w:rPr>
          <w:rFonts w:ascii="Times New Roman" w:hAnsi="Times New Roman" w:cs="Times New Roman"/>
          <w:i/>
          <w:iCs/>
          <w:color w:val="000000" w:themeColor="text1"/>
          <w:sz w:val="20"/>
          <w:szCs w:val="20"/>
          <w:shd w:val="clear" w:color="auto" w:fill="FFFFFF"/>
        </w:rPr>
        <w:t>Electronic markets</w:t>
      </w:r>
      <w:r w:rsidRPr="00451613">
        <w:rPr>
          <w:rFonts w:ascii="Times New Roman" w:hAnsi="Times New Roman" w:cs="Times New Roman"/>
          <w:color w:val="000000" w:themeColor="text1"/>
          <w:sz w:val="20"/>
          <w:szCs w:val="20"/>
          <w:shd w:val="clear" w:color="auto" w:fill="FFFFFF"/>
        </w:rPr>
        <w:t>, </w:t>
      </w:r>
      <w:r w:rsidRPr="00451613">
        <w:rPr>
          <w:rFonts w:ascii="Times New Roman" w:hAnsi="Times New Roman" w:cs="Times New Roman"/>
          <w:i/>
          <w:iCs/>
          <w:color w:val="000000" w:themeColor="text1"/>
          <w:sz w:val="20"/>
          <w:szCs w:val="20"/>
          <w:shd w:val="clear" w:color="auto" w:fill="FFFFFF"/>
        </w:rPr>
        <w:t>31</w:t>
      </w:r>
      <w:r w:rsidRPr="00451613">
        <w:rPr>
          <w:rFonts w:ascii="Times New Roman" w:hAnsi="Times New Roman" w:cs="Times New Roman"/>
          <w:color w:val="000000" w:themeColor="text1"/>
          <w:sz w:val="20"/>
          <w:szCs w:val="20"/>
          <w:shd w:val="clear" w:color="auto" w:fill="FFFFFF"/>
        </w:rPr>
        <w:t xml:space="preserve">, 685-695. </w:t>
      </w:r>
      <w:hyperlink r:id="rId35" w:history="1">
        <w:r w:rsidRPr="00451613">
          <w:rPr>
            <w:rStyle w:val="Hyperlink"/>
            <w:rFonts w:ascii="Times New Roman" w:hAnsi="Times New Roman" w:cs="Times New Roman"/>
            <w:color w:val="000000" w:themeColor="text1"/>
          </w:rPr>
          <w:t>https://doi.org/10.1007/s12525-021-00475-2</w:t>
        </w:r>
      </w:hyperlink>
    </w:p>
    <w:p w14:paraId="40552E6A" w14:textId="77777777" w:rsidR="00A0365C" w:rsidRPr="00451613" w:rsidRDefault="00A0365C" w:rsidP="00A0365C">
      <w:pPr>
        <w:ind w:left="720" w:hanging="720"/>
        <w:jc w:val="both"/>
        <w:rPr>
          <w:rFonts w:ascii="Times New Roman" w:hAnsi="Times New Roman" w:cs="Times New Roman"/>
          <w:color w:val="000000" w:themeColor="text1"/>
          <w:shd w:val="clear" w:color="auto" w:fill="FFFFFF"/>
        </w:rPr>
      </w:pPr>
      <w:r w:rsidRPr="00451613">
        <w:rPr>
          <w:rFonts w:ascii="Times New Roman" w:hAnsi="Times New Roman" w:cs="Times New Roman"/>
          <w:color w:val="000000" w:themeColor="text1"/>
          <w:shd w:val="clear" w:color="auto" w:fill="FFFFFF"/>
        </w:rPr>
        <w:t>Kara, Y., Boyacioglu, M. A., &amp; Baykan, Ö. K. (2011). Predicting direction of stock price index movement using artificial neural networks and support vector machines: The sample of the Istanbul Stock Exchange. </w:t>
      </w:r>
      <w:r w:rsidRPr="00451613">
        <w:rPr>
          <w:rFonts w:ascii="Times New Roman" w:hAnsi="Times New Roman" w:cs="Times New Roman"/>
          <w:i/>
          <w:iCs/>
          <w:color w:val="000000" w:themeColor="text1"/>
          <w:shd w:val="clear" w:color="auto" w:fill="FFFFFF"/>
        </w:rPr>
        <w:t>Expert systems with Applications</w:t>
      </w:r>
      <w:r w:rsidRPr="00451613">
        <w:rPr>
          <w:rFonts w:ascii="Times New Roman" w:hAnsi="Times New Roman" w:cs="Times New Roman"/>
          <w:color w:val="000000" w:themeColor="text1"/>
          <w:shd w:val="clear" w:color="auto" w:fill="FFFFFF"/>
        </w:rPr>
        <w:t>, </w:t>
      </w:r>
      <w:r w:rsidRPr="00451613">
        <w:rPr>
          <w:rFonts w:ascii="Times New Roman" w:hAnsi="Times New Roman" w:cs="Times New Roman"/>
          <w:i/>
          <w:iCs/>
          <w:color w:val="000000" w:themeColor="text1"/>
          <w:shd w:val="clear" w:color="auto" w:fill="FFFFFF"/>
        </w:rPr>
        <w:t>38</w:t>
      </w:r>
      <w:r w:rsidRPr="00451613">
        <w:rPr>
          <w:rFonts w:ascii="Times New Roman" w:hAnsi="Times New Roman" w:cs="Times New Roman"/>
          <w:color w:val="000000" w:themeColor="text1"/>
          <w:shd w:val="clear" w:color="auto" w:fill="FFFFFF"/>
        </w:rPr>
        <w:t xml:space="preserve">(5), 5311-5319. </w:t>
      </w:r>
      <w:hyperlink r:id="rId36" w:tgtFrame="_new" w:history="1">
        <w:r w:rsidRPr="00451613">
          <w:rPr>
            <w:rFonts w:ascii="Times New Roman" w:eastAsia="Times New Roman" w:hAnsi="Times New Roman" w:cs="Times New Roman"/>
            <w:color w:val="000000" w:themeColor="text1"/>
            <w:kern w:val="0"/>
            <w:u w:val="single"/>
            <w14:ligatures w14:val="none"/>
          </w:rPr>
          <w:t>https://doi.org/10.1016/j.eswa.2010.10.027</w:t>
        </w:r>
      </w:hyperlink>
    </w:p>
    <w:p w14:paraId="1EE2719A" w14:textId="77777777" w:rsidR="00A0365C" w:rsidRPr="00451613" w:rsidRDefault="00A0365C" w:rsidP="00A0365C">
      <w:pPr>
        <w:spacing w:before="100" w:beforeAutospacing="1" w:after="100" w:afterAutospacing="1" w:line="240" w:lineRule="auto"/>
        <w:ind w:left="720" w:hanging="720"/>
        <w:jc w:val="both"/>
        <w:rPr>
          <w:rFonts w:ascii="Times New Roman" w:eastAsia="Times New Roman" w:hAnsi="Times New Roman" w:cs="Times New Roman"/>
          <w:color w:val="000000" w:themeColor="text1"/>
          <w:kern w:val="0"/>
          <w14:ligatures w14:val="none"/>
        </w:rPr>
      </w:pPr>
      <w:r w:rsidRPr="00451613">
        <w:rPr>
          <w:rFonts w:ascii="Times New Roman" w:eastAsia="Times New Roman" w:hAnsi="Times New Roman" w:cs="Times New Roman"/>
          <w:color w:val="000000" w:themeColor="text1"/>
          <w:kern w:val="0"/>
          <w14:ligatures w14:val="none"/>
        </w:rPr>
        <w:t>Khan, W., Ghazanfar, M. A., Azam, M. A., Karami, A., Alyoubi, K. H., &amp; Alfakeeh, A. S. (2022).</w:t>
      </w:r>
      <w:r w:rsidRPr="00451613">
        <w:rPr>
          <w:rFonts w:ascii="Times New Roman" w:eastAsia="Times New Roman" w:hAnsi="Times New Roman" w:cs="Times New Roman"/>
          <w:color w:val="000000" w:themeColor="text1"/>
          <w:kern w:val="0"/>
          <w14:ligatures w14:val="none"/>
        </w:rPr>
        <w:br/>
        <w:t xml:space="preserve">Stock market prediction using </w:t>
      </w:r>
      <w:r>
        <w:rPr>
          <w:rFonts w:ascii="Times New Roman" w:eastAsia="Times New Roman" w:hAnsi="Times New Roman" w:cs="Times New Roman"/>
          <w:color w:val="000000" w:themeColor="text1"/>
          <w:kern w:val="0"/>
          <w14:ligatures w14:val="none"/>
        </w:rPr>
        <w:t>machine-learning</w:t>
      </w:r>
      <w:r w:rsidRPr="00451613">
        <w:rPr>
          <w:rFonts w:ascii="Times New Roman" w:eastAsia="Times New Roman" w:hAnsi="Times New Roman" w:cs="Times New Roman"/>
          <w:color w:val="000000" w:themeColor="text1"/>
          <w:kern w:val="0"/>
          <w14:ligatures w14:val="none"/>
        </w:rPr>
        <w:t xml:space="preserve"> classifiers and social media, news.</w:t>
      </w:r>
      <w:r w:rsidRPr="00451613">
        <w:rPr>
          <w:rFonts w:ascii="Times New Roman" w:eastAsia="Times New Roman" w:hAnsi="Times New Roman" w:cs="Times New Roman"/>
          <w:color w:val="000000" w:themeColor="text1"/>
          <w:kern w:val="0"/>
          <w14:ligatures w14:val="none"/>
        </w:rPr>
        <w:br/>
      </w:r>
      <w:r w:rsidRPr="00451613">
        <w:rPr>
          <w:rFonts w:ascii="Times New Roman" w:eastAsia="Times New Roman" w:hAnsi="Times New Roman" w:cs="Times New Roman"/>
          <w:i/>
          <w:iCs/>
          <w:color w:val="000000" w:themeColor="text1"/>
          <w:kern w:val="0"/>
          <w14:ligatures w14:val="none"/>
        </w:rPr>
        <w:t>Journal of Ambient Intelligence and Humanized Computing, 13</w:t>
      </w:r>
      <w:r w:rsidRPr="00451613">
        <w:rPr>
          <w:rFonts w:ascii="Times New Roman" w:eastAsia="Times New Roman" w:hAnsi="Times New Roman" w:cs="Times New Roman"/>
          <w:color w:val="000000" w:themeColor="text1"/>
          <w:kern w:val="0"/>
          <w14:ligatures w14:val="none"/>
        </w:rPr>
        <w:t>, 3433–3456.</w:t>
      </w:r>
      <w:r w:rsidRPr="00451613">
        <w:rPr>
          <w:rFonts w:ascii="Times New Roman" w:eastAsia="Times New Roman" w:hAnsi="Times New Roman" w:cs="Times New Roman"/>
          <w:color w:val="000000" w:themeColor="text1"/>
          <w:kern w:val="0"/>
          <w14:ligatures w14:val="none"/>
        </w:rPr>
        <w:br/>
      </w:r>
      <w:hyperlink r:id="rId37" w:tgtFrame="_new" w:history="1">
        <w:r w:rsidRPr="00451613">
          <w:rPr>
            <w:rFonts w:ascii="Times New Roman" w:eastAsia="Times New Roman" w:hAnsi="Times New Roman" w:cs="Times New Roman"/>
            <w:color w:val="000000" w:themeColor="text1"/>
            <w:kern w:val="0"/>
            <w:u w:val="single"/>
            <w14:ligatures w14:val="none"/>
          </w:rPr>
          <w:t>https://doi.org/10.1007/s12652-020-01839-w</w:t>
        </w:r>
      </w:hyperlink>
    </w:p>
    <w:p w14:paraId="702CD34B" w14:textId="77777777" w:rsidR="00A0365C" w:rsidRPr="00451613" w:rsidRDefault="00A0365C" w:rsidP="00A0365C">
      <w:pPr>
        <w:ind w:left="720" w:hanging="720"/>
        <w:jc w:val="both"/>
        <w:rPr>
          <w:rFonts w:ascii="Times New Roman" w:hAnsi="Times New Roman" w:cs="Times New Roman"/>
          <w:color w:val="000000" w:themeColor="text1"/>
          <w:sz w:val="20"/>
          <w:szCs w:val="20"/>
          <w:shd w:val="clear" w:color="auto" w:fill="FFFFFF"/>
        </w:rPr>
      </w:pPr>
      <w:r w:rsidRPr="00451613">
        <w:rPr>
          <w:rFonts w:ascii="Times New Roman" w:hAnsi="Times New Roman" w:cs="Times New Roman"/>
          <w:color w:val="000000" w:themeColor="text1"/>
          <w:sz w:val="20"/>
          <w:szCs w:val="20"/>
          <w:shd w:val="clear" w:color="auto" w:fill="FFFFFF"/>
        </w:rPr>
        <w:t>Meshram, I. S., &amp; Kulal, P. J. (2021). A comparative study of SVM, LSTM and LR algorithms for stock market prediction using OHLC data. </w:t>
      </w:r>
      <w:r w:rsidRPr="00451613">
        <w:rPr>
          <w:rFonts w:ascii="Times New Roman" w:hAnsi="Times New Roman" w:cs="Times New Roman"/>
          <w:i/>
          <w:iCs/>
          <w:color w:val="000000" w:themeColor="text1"/>
        </w:rPr>
        <w:t>International Research Journal of Modernization in Engineering Technology and Science, 3</w:t>
      </w:r>
      <w:r w:rsidRPr="00451613">
        <w:rPr>
          <w:rFonts w:ascii="Times New Roman" w:hAnsi="Times New Roman" w:cs="Times New Roman"/>
          <w:color w:val="000000" w:themeColor="text1"/>
        </w:rPr>
        <w:t>(10), 1316-1322.</w:t>
      </w:r>
    </w:p>
    <w:p w14:paraId="02B2E6DA" w14:textId="77777777" w:rsidR="00A0365C" w:rsidRPr="00451613" w:rsidRDefault="00A0365C" w:rsidP="00A0365C">
      <w:pPr>
        <w:ind w:left="720" w:hanging="720"/>
        <w:jc w:val="both"/>
        <w:rPr>
          <w:rFonts w:ascii="Times New Roman" w:hAnsi="Times New Roman" w:cs="Times New Roman"/>
          <w:color w:val="000000" w:themeColor="text1"/>
          <w:sz w:val="20"/>
          <w:szCs w:val="20"/>
          <w:shd w:val="clear" w:color="auto" w:fill="FFFFFF"/>
        </w:rPr>
      </w:pPr>
      <w:r w:rsidRPr="00451613">
        <w:rPr>
          <w:rFonts w:ascii="Times New Roman" w:hAnsi="Times New Roman" w:cs="Times New Roman"/>
          <w:color w:val="000000" w:themeColor="text1"/>
          <w:sz w:val="20"/>
          <w:szCs w:val="20"/>
          <w:shd w:val="clear" w:color="auto" w:fill="FFFFFF"/>
        </w:rPr>
        <w:t>Murshed, B. A. H., Abawajy, J., Mallappa, S., Saif, M. A. N., &amp; Al-Ariki, H. D. E. (2022). DEA-RNN: A hybrid deep learning approach for cyberbullying detection in Twitter social media platform. </w:t>
      </w:r>
      <w:r w:rsidRPr="00451613">
        <w:rPr>
          <w:rFonts w:ascii="Times New Roman" w:hAnsi="Times New Roman" w:cs="Times New Roman"/>
          <w:i/>
          <w:iCs/>
          <w:color w:val="000000" w:themeColor="text1"/>
          <w:sz w:val="20"/>
          <w:szCs w:val="20"/>
          <w:shd w:val="clear" w:color="auto" w:fill="FFFFFF"/>
        </w:rPr>
        <w:t>IEEE Access</w:t>
      </w:r>
      <w:r w:rsidRPr="00451613">
        <w:rPr>
          <w:rFonts w:ascii="Times New Roman" w:hAnsi="Times New Roman" w:cs="Times New Roman"/>
          <w:color w:val="000000" w:themeColor="text1"/>
          <w:sz w:val="20"/>
          <w:szCs w:val="20"/>
          <w:shd w:val="clear" w:color="auto" w:fill="FFFFFF"/>
        </w:rPr>
        <w:t>, </w:t>
      </w:r>
      <w:r w:rsidRPr="00451613">
        <w:rPr>
          <w:rFonts w:ascii="Times New Roman" w:hAnsi="Times New Roman" w:cs="Times New Roman"/>
          <w:i/>
          <w:iCs/>
          <w:color w:val="000000" w:themeColor="text1"/>
          <w:sz w:val="20"/>
          <w:szCs w:val="20"/>
          <w:shd w:val="clear" w:color="auto" w:fill="FFFFFF"/>
        </w:rPr>
        <w:t>10</w:t>
      </w:r>
      <w:r w:rsidRPr="00451613">
        <w:rPr>
          <w:rFonts w:ascii="Times New Roman" w:hAnsi="Times New Roman" w:cs="Times New Roman"/>
          <w:color w:val="000000" w:themeColor="text1"/>
          <w:sz w:val="20"/>
          <w:szCs w:val="20"/>
          <w:shd w:val="clear" w:color="auto" w:fill="FFFFFF"/>
        </w:rPr>
        <w:t>, 25857-25871.</w:t>
      </w:r>
    </w:p>
    <w:p w14:paraId="244EDD63" w14:textId="77777777" w:rsidR="00A0365C" w:rsidRPr="00451613" w:rsidRDefault="00A0365C" w:rsidP="00A0365C">
      <w:pPr>
        <w:spacing w:before="100" w:beforeAutospacing="1" w:after="100" w:afterAutospacing="1" w:line="240" w:lineRule="auto"/>
        <w:ind w:left="720" w:hanging="720"/>
        <w:jc w:val="both"/>
        <w:rPr>
          <w:rFonts w:ascii="Times New Roman" w:eastAsia="Times New Roman" w:hAnsi="Times New Roman" w:cs="Times New Roman"/>
          <w:color w:val="000000" w:themeColor="text1"/>
          <w:kern w:val="0"/>
          <w14:ligatures w14:val="none"/>
        </w:rPr>
      </w:pPr>
      <w:r w:rsidRPr="00451613">
        <w:rPr>
          <w:rFonts w:ascii="Times New Roman" w:eastAsia="Times New Roman" w:hAnsi="Times New Roman" w:cs="Times New Roman"/>
          <w:color w:val="000000" w:themeColor="text1"/>
          <w:kern w:val="0"/>
          <w14:ligatures w14:val="none"/>
        </w:rPr>
        <w:t>Naghibi, S. A., Ahmadi, K., &amp; Daneshi, A. (2017). Application of support vector machine, random forest, and genetic algorithm–optimized random forest models in groundwater potential mapping.</w:t>
      </w:r>
      <w:r w:rsidRPr="00451613">
        <w:rPr>
          <w:rFonts w:ascii="Times New Roman" w:eastAsia="Times New Roman" w:hAnsi="Times New Roman" w:cs="Times New Roman"/>
          <w:color w:val="000000" w:themeColor="text1"/>
          <w:kern w:val="0"/>
          <w14:ligatures w14:val="none"/>
        </w:rPr>
        <w:br/>
      </w:r>
      <w:r w:rsidRPr="00451613">
        <w:rPr>
          <w:rFonts w:ascii="Times New Roman" w:eastAsia="Times New Roman" w:hAnsi="Times New Roman" w:cs="Times New Roman"/>
          <w:i/>
          <w:iCs/>
          <w:color w:val="000000" w:themeColor="text1"/>
          <w:kern w:val="0"/>
          <w14:ligatures w14:val="none"/>
        </w:rPr>
        <w:t>Water Resources Management, 31</w:t>
      </w:r>
      <w:r w:rsidRPr="00451613">
        <w:rPr>
          <w:rFonts w:ascii="Times New Roman" w:eastAsia="Times New Roman" w:hAnsi="Times New Roman" w:cs="Times New Roman"/>
          <w:color w:val="000000" w:themeColor="text1"/>
          <w:kern w:val="0"/>
          <w14:ligatures w14:val="none"/>
        </w:rPr>
        <w:t>, 2761–2775.</w:t>
      </w:r>
      <w:r w:rsidRPr="00451613">
        <w:rPr>
          <w:rFonts w:ascii="Times New Roman" w:eastAsia="Times New Roman" w:hAnsi="Times New Roman" w:cs="Times New Roman"/>
          <w:color w:val="000000" w:themeColor="text1"/>
          <w:kern w:val="0"/>
          <w14:ligatures w14:val="none"/>
        </w:rPr>
        <w:br/>
      </w:r>
      <w:hyperlink r:id="rId38" w:history="1">
        <w:r w:rsidRPr="00451613">
          <w:rPr>
            <w:rStyle w:val="Hyperlink"/>
            <w:rFonts w:ascii="Times New Roman" w:eastAsia="Times New Roman" w:hAnsi="Times New Roman" w:cs="Times New Roman"/>
            <w:color w:val="000000" w:themeColor="text1"/>
            <w:kern w:val="0"/>
            <w14:ligatures w14:val="none"/>
          </w:rPr>
          <w:t>https://doi.org/10.1007/s11269-017-1660-3</w:t>
        </w:r>
      </w:hyperlink>
    </w:p>
    <w:p w14:paraId="008FEE8C" w14:textId="77777777" w:rsidR="00A0365C" w:rsidRPr="00451613" w:rsidRDefault="00A0365C" w:rsidP="00A0365C">
      <w:pPr>
        <w:ind w:left="720" w:hanging="720"/>
        <w:jc w:val="both"/>
        <w:rPr>
          <w:rFonts w:ascii="Times New Roman" w:hAnsi="Times New Roman" w:cs="Times New Roman"/>
          <w:color w:val="000000" w:themeColor="text1"/>
          <w:sz w:val="20"/>
          <w:szCs w:val="20"/>
          <w:shd w:val="clear" w:color="auto" w:fill="FFFFFF"/>
        </w:rPr>
      </w:pPr>
      <w:r w:rsidRPr="00451613">
        <w:rPr>
          <w:rFonts w:ascii="Times New Roman" w:hAnsi="Times New Roman" w:cs="Times New Roman"/>
          <w:color w:val="000000" w:themeColor="text1"/>
          <w:sz w:val="20"/>
          <w:szCs w:val="20"/>
          <w:shd w:val="clear" w:color="auto" w:fill="FFFFFF"/>
        </w:rPr>
        <w:t xml:space="preserve">Nikou, M., Mansourfar, G., &amp; Bagherzadeh, J. (2019). Stock price prediction using DEEP learning algorithm and its comparison with </w:t>
      </w:r>
      <w:r>
        <w:rPr>
          <w:rFonts w:ascii="Times New Roman" w:hAnsi="Times New Roman" w:cs="Times New Roman"/>
          <w:color w:val="000000" w:themeColor="text1"/>
          <w:sz w:val="20"/>
          <w:szCs w:val="20"/>
          <w:shd w:val="clear" w:color="auto" w:fill="FFFFFF"/>
        </w:rPr>
        <w:t>machine-learning</w:t>
      </w:r>
      <w:r w:rsidRPr="00451613">
        <w:rPr>
          <w:rFonts w:ascii="Times New Roman" w:hAnsi="Times New Roman" w:cs="Times New Roman"/>
          <w:color w:val="000000" w:themeColor="text1"/>
          <w:sz w:val="20"/>
          <w:szCs w:val="20"/>
          <w:shd w:val="clear" w:color="auto" w:fill="FFFFFF"/>
        </w:rPr>
        <w:t xml:space="preserve"> algorithms. </w:t>
      </w:r>
      <w:r w:rsidRPr="00451613">
        <w:rPr>
          <w:rFonts w:ascii="Times New Roman" w:hAnsi="Times New Roman" w:cs="Times New Roman"/>
          <w:i/>
          <w:iCs/>
          <w:color w:val="000000" w:themeColor="text1"/>
          <w:sz w:val="20"/>
          <w:szCs w:val="20"/>
          <w:shd w:val="clear" w:color="auto" w:fill="FFFFFF"/>
        </w:rPr>
        <w:t>Intelligent Systems in Accounting, Finance and Management</w:t>
      </w:r>
      <w:r w:rsidRPr="00451613">
        <w:rPr>
          <w:rFonts w:ascii="Times New Roman" w:hAnsi="Times New Roman" w:cs="Times New Roman"/>
          <w:color w:val="000000" w:themeColor="text1"/>
          <w:sz w:val="20"/>
          <w:szCs w:val="20"/>
          <w:shd w:val="clear" w:color="auto" w:fill="FFFFFF"/>
        </w:rPr>
        <w:t>, </w:t>
      </w:r>
      <w:r w:rsidRPr="00451613">
        <w:rPr>
          <w:rFonts w:ascii="Times New Roman" w:hAnsi="Times New Roman" w:cs="Times New Roman"/>
          <w:i/>
          <w:iCs/>
          <w:color w:val="000000" w:themeColor="text1"/>
          <w:sz w:val="20"/>
          <w:szCs w:val="20"/>
          <w:shd w:val="clear" w:color="auto" w:fill="FFFFFF"/>
        </w:rPr>
        <w:t>26</w:t>
      </w:r>
      <w:r w:rsidRPr="00451613">
        <w:rPr>
          <w:rFonts w:ascii="Times New Roman" w:hAnsi="Times New Roman" w:cs="Times New Roman"/>
          <w:color w:val="000000" w:themeColor="text1"/>
          <w:sz w:val="20"/>
          <w:szCs w:val="20"/>
          <w:shd w:val="clear" w:color="auto" w:fill="FFFFFF"/>
        </w:rPr>
        <w:t xml:space="preserve">(4), 164-174.  </w:t>
      </w:r>
      <w:hyperlink r:id="rId39" w:history="1">
        <w:r w:rsidRPr="00451613">
          <w:rPr>
            <w:rStyle w:val="Hyperlink"/>
            <w:rFonts w:ascii="Times New Roman" w:hAnsi="Times New Roman" w:cs="Times New Roman"/>
            <w:color w:val="000000" w:themeColor="text1"/>
            <w:sz w:val="20"/>
            <w:szCs w:val="20"/>
            <w:shd w:val="clear" w:color="auto" w:fill="FFFFFF"/>
          </w:rPr>
          <w:t>https://doi.org/10.1002/isaf.1459</w:t>
        </w:r>
      </w:hyperlink>
    </w:p>
    <w:p w14:paraId="2CBF113B" w14:textId="77777777" w:rsidR="00A0365C" w:rsidRPr="00451613" w:rsidRDefault="00A0365C" w:rsidP="00A0365C">
      <w:pPr>
        <w:spacing w:before="100" w:beforeAutospacing="1" w:after="0" w:line="240" w:lineRule="auto"/>
        <w:ind w:left="720" w:hanging="720"/>
        <w:jc w:val="both"/>
        <w:rPr>
          <w:rFonts w:ascii="Times New Roman" w:eastAsia="Times New Roman" w:hAnsi="Times New Roman" w:cs="Times New Roman"/>
          <w:color w:val="000000" w:themeColor="text1"/>
          <w:kern w:val="0"/>
          <w14:ligatures w14:val="none"/>
        </w:rPr>
      </w:pPr>
      <w:r w:rsidRPr="00451613">
        <w:rPr>
          <w:rFonts w:ascii="Times New Roman" w:eastAsia="Times New Roman" w:hAnsi="Times New Roman" w:cs="Times New Roman"/>
          <w:color w:val="000000" w:themeColor="text1"/>
          <w:kern w:val="0"/>
          <w14:ligatures w14:val="none"/>
        </w:rPr>
        <w:t xml:space="preserve">Raghavendra, N. R., &amp; Deka, P. C. (2014). Support vector machine applications in the field of hydrology: A review. </w:t>
      </w:r>
      <w:r w:rsidRPr="00451613">
        <w:rPr>
          <w:rFonts w:ascii="Times New Roman" w:eastAsia="Times New Roman" w:hAnsi="Times New Roman" w:cs="Times New Roman"/>
          <w:i/>
          <w:iCs/>
          <w:color w:val="000000" w:themeColor="text1"/>
          <w:kern w:val="0"/>
          <w14:ligatures w14:val="none"/>
        </w:rPr>
        <w:t>Applied Soft Computing, 19</w:t>
      </w:r>
      <w:r w:rsidRPr="00451613">
        <w:rPr>
          <w:rFonts w:ascii="Times New Roman" w:eastAsia="Times New Roman" w:hAnsi="Times New Roman" w:cs="Times New Roman"/>
          <w:color w:val="000000" w:themeColor="text1"/>
          <w:kern w:val="0"/>
          <w14:ligatures w14:val="none"/>
        </w:rPr>
        <w:t>, 372–386.</w:t>
      </w:r>
      <w:r w:rsidRPr="00451613">
        <w:rPr>
          <w:rFonts w:ascii="Times New Roman" w:eastAsia="Times New Roman" w:hAnsi="Times New Roman" w:cs="Times New Roman"/>
          <w:color w:val="000000" w:themeColor="text1"/>
          <w:kern w:val="0"/>
          <w14:ligatures w14:val="none"/>
        </w:rPr>
        <w:br/>
      </w:r>
      <w:hyperlink r:id="rId40" w:tgtFrame="_new" w:history="1">
        <w:r w:rsidRPr="00451613">
          <w:rPr>
            <w:rFonts w:ascii="Times New Roman" w:eastAsia="Times New Roman" w:hAnsi="Times New Roman" w:cs="Times New Roman"/>
            <w:color w:val="000000" w:themeColor="text1"/>
            <w:kern w:val="0"/>
            <w:u w:val="single"/>
            <w14:ligatures w14:val="none"/>
          </w:rPr>
          <w:t>https://doi.org/10.1016/j.asoc.2014.02.002</w:t>
        </w:r>
      </w:hyperlink>
    </w:p>
    <w:p w14:paraId="3904C9E5" w14:textId="77777777" w:rsidR="00A0365C" w:rsidRPr="00451613" w:rsidRDefault="00A0365C" w:rsidP="00A0365C">
      <w:pPr>
        <w:ind w:left="720" w:hanging="720"/>
        <w:jc w:val="both"/>
        <w:rPr>
          <w:rFonts w:ascii="Times New Roman" w:hAnsi="Times New Roman" w:cs="Times New Roman"/>
          <w:color w:val="000000" w:themeColor="text1"/>
        </w:rPr>
      </w:pPr>
      <w:r w:rsidRPr="00451613">
        <w:rPr>
          <w:rFonts w:ascii="Times New Roman" w:hAnsi="Times New Roman" w:cs="Times New Roman"/>
          <w:color w:val="000000" w:themeColor="text1"/>
          <w:sz w:val="20"/>
          <w:szCs w:val="20"/>
          <w:shd w:val="clear" w:color="auto" w:fill="FFFFFF"/>
        </w:rPr>
        <w:t xml:space="preserve">Rahimzad, M., Moghaddam Nia, A., Zolfonoon, H., Soltani, J., Danandeh Mehr, A., &amp; Kwon, H. H. (2021). Performance comparison of an LSTM-based deep learning model versus conventional </w:t>
      </w:r>
      <w:r>
        <w:rPr>
          <w:rFonts w:ascii="Times New Roman" w:hAnsi="Times New Roman" w:cs="Times New Roman"/>
          <w:color w:val="000000" w:themeColor="text1"/>
          <w:sz w:val="20"/>
          <w:szCs w:val="20"/>
          <w:shd w:val="clear" w:color="auto" w:fill="FFFFFF"/>
        </w:rPr>
        <w:t>machine-learning</w:t>
      </w:r>
      <w:r w:rsidRPr="00451613">
        <w:rPr>
          <w:rFonts w:ascii="Times New Roman" w:hAnsi="Times New Roman" w:cs="Times New Roman"/>
          <w:color w:val="000000" w:themeColor="text1"/>
          <w:sz w:val="20"/>
          <w:szCs w:val="20"/>
          <w:shd w:val="clear" w:color="auto" w:fill="FFFFFF"/>
        </w:rPr>
        <w:t xml:space="preserve"> algorithms for </w:t>
      </w:r>
      <w:r>
        <w:rPr>
          <w:rFonts w:ascii="Times New Roman" w:hAnsi="Times New Roman" w:cs="Times New Roman"/>
          <w:color w:val="000000" w:themeColor="text1"/>
          <w:sz w:val="20"/>
          <w:szCs w:val="20"/>
          <w:shd w:val="clear" w:color="auto" w:fill="FFFFFF"/>
        </w:rPr>
        <w:t>streamflow</w:t>
      </w:r>
      <w:r w:rsidRPr="00451613">
        <w:rPr>
          <w:rFonts w:ascii="Times New Roman" w:hAnsi="Times New Roman" w:cs="Times New Roman"/>
          <w:color w:val="000000" w:themeColor="text1"/>
          <w:sz w:val="20"/>
          <w:szCs w:val="20"/>
          <w:shd w:val="clear" w:color="auto" w:fill="FFFFFF"/>
        </w:rPr>
        <w:t xml:space="preserve"> forecasting. </w:t>
      </w:r>
      <w:r w:rsidRPr="00451613">
        <w:rPr>
          <w:rFonts w:ascii="Times New Roman" w:hAnsi="Times New Roman" w:cs="Times New Roman"/>
          <w:i/>
          <w:iCs/>
          <w:color w:val="000000" w:themeColor="text1"/>
          <w:sz w:val="20"/>
          <w:szCs w:val="20"/>
          <w:shd w:val="clear" w:color="auto" w:fill="FFFFFF"/>
        </w:rPr>
        <w:t>Water Resources Management</w:t>
      </w:r>
      <w:r w:rsidRPr="00451613">
        <w:rPr>
          <w:rFonts w:ascii="Times New Roman" w:hAnsi="Times New Roman" w:cs="Times New Roman"/>
          <w:color w:val="000000" w:themeColor="text1"/>
          <w:sz w:val="20"/>
          <w:szCs w:val="20"/>
          <w:shd w:val="clear" w:color="auto" w:fill="FFFFFF"/>
        </w:rPr>
        <w:t>, </w:t>
      </w:r>
      <w:r w:rsidRPr="00451613">
        <w:rPr>
          <w:rFonts w:ascii="Times New Roman" w:hAnsi="Times New Roman" w:cs="Times New Roman"/>
          <w:i/>
          <w:iCs/>
          <w:color w:val="000000" w:themeColor="text1"/>
          <w:sz w:val="20"/>
          <w:szCs w:val="20"/>
          <w:shd w:val="clear" w:color="auto" w:fill="FFFFFF"/>
        </w:rPr>
        <w:t>35</w:t>
      </w:r>
      <w:r w:rsidRPr="00451613">
        <w:rPr>
          <w:rFonts w:ascii="Times New Roman" w:hAnsi="Times New Roman" w:cs="Times New Roman"/>
          <w:color w:val="000000" w:themeColor="text1"/>
          <w:sz w:val="20"/>
          <w:szCs w:val="20"/>
          <w:shd w:val="clear" w:color="auto" w:fill="FFFFFF"/>
        </w:rPr>
        <w:t xml:space="preserve">, 4167-4187. </w:t>
      </w:r>
      <w:hyperlink r:id="rId41" w:history="1">
        <w:r w:rsidRPr="00451613">
          <w:rPr>
            <w:rStyle w:val="Hyperlink"/>
            <w:rFonts w:ascii="Times New Roman" w:hAnsi="Times New Roman" w:cs="Times New Roman"/>
            <w:color w:val="000000" w:themeColor="text1"/>
          </w:rPr>
          <w:t>https://doi.org/10.1007/s11269-021-02937-w</w:t>
        </w:r>
      </w:hyperlink>
    </w:p>
    <w:p w14:paraId="07C223C9" w14:textId="77777777" w:rsidR="00A0365C" w:rsidRPr="00451613" w:rsidRDefault="00A0365C" w:rsidP="00A0365C">
      <w:pPr>
        <w:ind w:left="720" w:hanging="720"/>
        <w:jc w:val="both"/>
        <w:rPr>
          <w:rFonts w:ascii="Times New Roman" w:hAnsi="Times New Roman" w:cs="Times New Roman"/>
          <w:color w:val="000000" w:themeColor="text1"/>
          <w:shd w:val="clear" w:color="auto" w:fill="FFFFFF"/>
        </w:rPr>
      </w:pPr>
      <w:r w:rsidRPr="00451613">
        <w:rPr>
          <w:rFonts w:ascii="Times New Roman" w:hAnsi="Times New Roman" w:cs="Times New Roman"/>
          <w:color w:val="000000" w:themeColor="text1"/>
          <w:shd w:val="clear" w:color="auto" w:fill="FFFFFF"/>
        </w:rPr>
        <w:t>Rehman, A. U., Malik, A. K., Raza, B., &amp; Ali, W. (2019). A hybrid CNN-LSTM model for improving accuracy of movie reviews sentiment analysis. </w:t>
      </w:r>
      <w:r w:rsidRPr="00451613">
        <w:rPr>
          <w:rFonts w:ascii="Times New Roman" w:hAnsi="Times New Roman" w:cs="Times New Roman"/>
          <w:i/>
          <w:iCs/>
          <w:color w:val="000000" w:themeColor="text1"/>
          <w:shd w:val="clear" w:color="auto" w:fill="FFFFFF"/>
        </w:rPr>
        <w:t>Multimedia Tools and Applications</w:t>
      </w:r>
      <w:r w:rsidRPr="00451613">
        <w:rPr>
          <w:rFonts w:ascii="Times New Roman" w:hAnsi="Times New Roman" w:cs="Times New Roman"/>
          <w:color w:val="000000" w:themeColor="text1"/>
          <w:shd w:val="clear" w:color="auto" w:fill="FFFFFF"/>
        </w:rPr>
        <w:t>, </w:t>
      </w:r>
      <w:r w:rsidRPr="00451613">
        <w:rPr>
          <w:rFonts w:ascii="Times New Roman" w:hAnsi="Times New Roman" w:cs="Times New Roman"/>
          <w:i/>
          <w:iCs/>
          <w:color w:val="000000" w:themeColor="text1"/>
          <w:shd w:val="clear" w:color="auto" w:fill="FFFFFF"/>
        </w:rPr>
        <w:t>78</w:t>
      </w:r>
      <w:r w:rsidRPr="00451613">
        <w:rPr>
          <w:rFonts w:ascii="Times New Roman" w:hAnsi="Times New Roman" w:cs="Times New Roman"/>
          <w:color w:val="000000" w:themeColor="text1"/>
          <w:shd w:val="clear" w:color="auto" w:fill="FFFFFF"/>
        </w:rPr>
        <w:t xml:space="preserve">, 26597-26613. </w:t>
      </w:r>
      <w:hyperlink r:id="rId42" w:history="1">
        <w:r w:rsidRPr="00451613">
          <w:rPr>
            <w:rStyle w:val="Hyperlink"/>
            <w:rFonts w:ascii="Times New Roman" w:hAnsi="Times New Roman" w:cs="Times New Roman"/>
            <w:color w:val="000000" w:themeColor="text1"/>
          </w:rPr>
          <w:t>https://doi.org/10.1007/s11042-018-7133-5</w:t>
        </w:r>
      </w:hyperlink>
    </w:p>
    <w:p w14:paraId="3DE379B0" w14:textId="77777777" w:rsidR="00A0365C" w:rsidRPr="00451613" w:rsidRDefault="00A0365C" w:rsidP="00A0365C">
      <w:pPr>
        <w:ind w:left="720" w:hanging="720"/>
        <w:jc w:val="both"/>
        <w:rPr>
          <w:rFonts w:ascii="Times New Roman" w:hAnsi="Times New Roman" w:cs="Times New Roman"/>
          <w:color w:val="000000" w:themeColor="text1"/>
        </w:rPr>
      </w:pPr>
      <w:r w:rsidRPr="00451613">
        <w:rPr>
          <w:rFonts w:ascii="Times New Roman" w:hAnsi="Times New Roman" w:cs="Times New Roman"/>
          <w:color w:val="000000" w:themeColor="text1"/>
          <w:sz w:val="20"/>
          <w:szCs w:val="20"/>
          <w:shd w:val="clear" w:color="auto" w:fill="FFFFFF"/>
        </w:rPr>
        <w:t>Roy, S. S., Roy, A., Samui, P., Gandomi, M., &amp; Gandomi, A. H. (2024). Hateful sentiment detection in real-time tweets: An LSTM-</w:t>
      </w:r>
      <w:r w:rsidRPr="00451613">
        <w:rPr>
          <w:rFonts w:ascii="Times New Roman" w:hAnsi="Times New Roman" w:cs="Times New Roman"/>
          <w:color w:val="000000" w:themeColor="text1"/>
          <w:sz w:val="20"/>
          <w:szCs w:val="20"/>
          <w:shd w:val="clear" w:color="auto" w:fill="FFFFFF"/>
        </w:rPr>
        <w:lastRenderedPageBreak/>
        <w:t>based comparative approach. </w:t>
      </w:r>
      <w:r w:rsidRPr="00451613">
        <w:rPr>
          <w:rFonts w:ascii="Times New Roman" w:hAnsi="Times New Roman" w:cs="Times New Roman"/>
          <w:i/>
          <w:iCs/>
          <w:color w:val="000000" w:themeColor="text1"/>
          <w:sz w:val="20"/>
          <w:szCs w:val="20"/>
          <w:shd w:val="clear" w:color="auto" w:fill="FFFFFF"/>
        </w:rPr>
        <w:t>IEEE Transactions on Computational Social Systems</w:t>
      </w:r>
      <w:r w:rsidRPr="00451613">
        <w:rPr>
          <w:rFonts w:ascii="Times New Roman" w:hAnsi="Times New Roman" w:cs="Times New Roman"/>
          <w:color w:val="000000" w:themeColor="text1"/>
          <w:sz w:val="20"/>
          <w:szCs w:val="20"/>
          <w:shd w:val="clear" w:color="auto" w:fill="FFFFFF"/>
        </w:rPr>
        <w:t>, </w:t>
      </w:r>
      <w:r w:rsidRPr="00451613">
        <w:rPr>
          <w:rFonts w:ascii="Times New Roman" w:hAnsi="Times New Roman" w:cs="Times New Roman"/>
          <w:i/>
          <w:iCs/>
          <w:color w:val="000000" w:themeColor="text1"/>
          <w:sz w:val="20"/>
          <w:szCs w:val="20"/>
          <w:shd w:val="clear" w:color="auto" w:fill="FFFFFF"/>
        </w:rPr>
        <w:t>11</w:t>
      </w:r>
      <w:r w:rsidRPr="00451613">
        <w:rPr>
          <w:rFonts w:ascii="Times New Roman" w:hAnsi="Times New Roman" w:cs="Times New Roman"/>
          <w:color w:val="000000" w:themeColor="text1"/>
          <w:sz w:val="20"/>
          <w:szCs w:val="20"/>
          <w:shd w:val="clear" w:color="auto" w:fill="FFFFFF"/>
        </w:rPr>
        <w:t xml:space="preserve">(4), 5028-5037. </w:t>
      </w:r>
      <w:hyperlink r:id="rId43" w:history="1">
        <w:r w:rsidRPr="00451613">
          <w:rPr>
            <w:rStyle w:val="Hyperlink"/>
            <w:rFonts w:ascii="Times New Roman" w:hAnsi="Times New Roman" w:cs="Times New Roman"/>
            <w:color w:val="000000" w:themeColor="text1"/>
          </w:rPr>
          <w:t>https://doi.org/10.1109/TCSS.2023.3260217</w:t>
        </w:r>
      </w:hyperlink>
    </w:p>
    <w:p w14:paraId="5AC01A18" w14:textId="77777777" w:rsidR="00A0365C" w:rsidRPr="00451613" w:rsidRDefault="00A0365C" w:rsidP="00A0365C">
      <w:pPr>
        <w:ind w:left="720" w:hanging="720"/>
        <w:jc w:val="both"/>
        <w:rPr>
          <w:rFonts w:ascii="Times New Roman" w:hAnsi="Times New Roman" w:cs="Times New Roman"/>
          <w:color w:val="000000" w:themeColor="text1"/>
          <w:shd w:val="clear" w:color="auto" w:fill="FFFFFF"/>
        </w:rPr>
      </w:pPr>
      <w:r w:rsidRPr="00451613">
        <w:rPr>
          <w:rFonts w:ascii="Times New Roman" w:hAnsi="Times New Roman" w:cs="Times New Roman"/>
          <w:color w:val="000000" w:themeColor="text1"/>
          <w:shd w:val="clear" w:color="auto" w:fill="FFFFFF"/>
        </w:rPr>
        <w:t>Saranj, A., &amp; Zolfaghari, M. (2022). The electricity consumption forecast: Adopting a hybrid approach by deep learning and ARIMAX-GARCH models. </w:t>
      </w:r>
      <w:r w:rsidRPr="00451613">
        <w:rPr>
          <w:rFonts w:ascii="Times New Roman" w:hAnsi="Times New Roman" w:cs="Times New Roman"/>
          <w:i/>
          <w:iCs/>
          <w:color w:val="000000" w:themeColor="text1"/>
          <w:shd w:val="clear" w:color="auto" w:fill="FFFFFF"/>
        </w:rPr>
        <w:t>Energy Reports</w:t>
      </w:r>
      <w:r w:rsidRPr="00451613">
        <w:rPr>
          <w:rFonts w:ascii="Times New Roman" w:hAnsi="Times New Roman" w:cs="Times New Roman"/>
          <w:color w:val="000000" w:themeColor="text1"/>
          <w:shd w:val="clear" w:color="auto" w:fill="FFFFFF"/>
        </w:rPr>
        <w:t>, </w:t>
      </w:r>
      <w:r w:rsidRPr="00451613">
        <w:rPr>
          <w:rFonts w:ascii="Times New Roman" w:hAnsi="Times New Roman" w:cs="Times New Roman"/>
          <w:i/>
          <w:iCs/>
          <w:color w:val="000000" w:themeColor="text1"/>
          <w:shd w:val="clear" w:color="auto" w:fill="FFFFFF"/>
        </w:rPr>
        <w:t>8</w:t>
      </w:r>
      <w:r w:rsidRPr="00451613">
        <w:rPr>
          <w:rFonts w:ascii="Times New Roman" w:hAnsi="Times New Roman" w:cs="Times New Roman"/>
          <w:color w:val="000000" w:themeColor="text1"/>
          <w:shd w:val="clear" w:color="auto" w:fill="FFFFFF"/>
        </w:rPr>
        <w:t xml:space="preserve">, 7657-7679. </w:t>
      </w:r>
      <w:hyperlink r:id="rId44" w:history="1">
        <w:r w:rsidRPr="00451613">
          <w:rPr>
            <w:rStyle w:val="Hyperlink"/>
            <w:rFonts w:ascii="Times New Roman" w:hAnsi="Times New Roman" w:cs="Times New Roman"/>
            <w:color w:val="000000" w:themeColor="text1"/>
          </w:rPr>
          <w:t>https://doi.org/10.1016/j.egyr.2022.06.007</w:t>
        </w:r>
      </w:hyperlink>
    </w:p>
    <w:p w14:paraId="16B5FDA9" w14:textId="77777777" w:rsidR="00A0365C" w:rsidRPr="00451613" w:rsidRDefault="00A0365C" w:rsidP="00A0365C">
      <w:pPr>
        <w:pStyle w:val="NormalWeb"/>
        <w:ind w:left="720" w:hanging="720"/>
        <w:rPr>
          <w:color w:val="000000" w:themeColor="text1"/>
          <w:sz w:val="22"/>
          <w:szCs w:val="22"/>
        </w:rPr>
      </w:pPr>
      <w:r w:rsidRPr="00451613">
        <w:rPr>
          <w:color w:val="000000" w:themeColor="text1"/>
          <w:sz w:val="22"/>
          <w:szCs w:val="22"/>
          <w:shd w:val="clear" w:color="auto" w:fill="FFFFFF"/>
        </w:rPr>
        <w:t>Sylvester, E. V., Bentzen, P., Bradbury, I. R., Clément, M., Pearce, J., Horne, J., &amp; Beiko, R. G. (2018). Applications of random forest feature selection for fine‐scale genetic population assignment. </w:t>
      </w:r>
      <w:r w:rsidRPr="00451613">
        <w:rPr>
          <w:i/>
          <w:iCs/>
          <w:color w:val="000000" w:themeColor="text1"/>
          <w:sz w:val="22"/>
          <w:szCs w:val="22"/>
          <w:shd w:val="clear" w:color="auto" w:fill="FFFFFF"/>
        </w:rPr>
        <w:t>Evolutionary applications</w:t>
      </w:r>
      <w:r w:rsidRPr="00451613">
        <w:rPr>
          <w:color w:val="000000" w:themeColor="text1"/>
          <w:sz w:val="22"/>
          <w:szCs w:val="22"/>
          <w:shd w:val="clear" w:color="auto" w:fill="FFFFFF"/>
        </w:rPr>
        <w:t>, </w:t>
      </w:r>
      <w:r w:rsidRPr="00451613">
        <w:rPr>
          <w:i/>
          <w:iCs/>
          <w:color w:val="000000" w:themeColor="text1"/>
          <w:sz w:val="22"/>
          <w:szCs w:val="22"/>
          <w:shd w:val="clear" w:color="auto" w:fill="FFFFFF"/>
        </w:rPr>
        <w:t>11</w:t>
      </w:r>
      <w:r w:rsidRPr="00451613">
        <w:rPr>
          <w:color w:val="000000" w:themeColor="text1"/>
          <w:sz w:val="22"/>
          <w:szCs w:val="22"/>
          <w:shd w:val="clear" w:color="auto" w:fill="FFFFFF"/>
        </w:rPr>
        <w:t xml:space="preserve">, 153-165. </w:t>
      </w:r>
      <w:hyperlink r:id="rId45" w:history="1">
        <w:r w:rsidRPr="00451613">
          <w:rPr>
            <w:rStyle w:val="Hyperlink"/>
            <w:color w:val="000000" w:themeColor="text1"/>
            <w:sz w:val="22"/>
            <w:szCs w:val="22"/>
          </w:rPr>
          <w:t>https://doi.org/10.1111/eva.12524</w:t>
        </w:r>
      </w:hyperlink>
    </w:p>
    <w:p w14:paraId="5ED1084C" w14:textId="77777777" w:rsidR="00A0365C" w:rsidRPr="00451613" w:rsidRDefault="00A0365C" w:rsidP="00A0365C">
      <w:pPr>
        <w:ind w:left="720" w:hanging="720"/>
        <w:jc w:val="both"/>
        <w:rPr>
          <w:rFonts w:ascii="Times New Roman" w:hAnsi="Times New Roman" w:cs="Times New Roman"/>
          <w:color w:val="000000" w:themeColor="text1"/>
        </w:rPr>
      </w:pPr>
      <w:r w:rsidRPr="00451613">
        <w:rPr>
          <w:rFonts w:ascii="Times New Roman" w:hAnsi="Times New Roman" w:cs="Times New Roman"/>
          <w:color w:val="000000" w:themeColor="text1"/>
          <w:shd w:val="clear" w:color="auto" w:fill="FFFFFF"/>
        </w:rPr>
        <w:t xml:space="preserve">Tanrikulu, H. M., &amp; Pabuccu, H. (2025). The effect of data types’ on the performance of </w:t>
      </w:r>
      <w:r>
        <w:rPr>
          <w:rFonts w:ascii="Times New Roman" w:hAnsi="Times New Roman" w:cs="Times New Roman"/>
          <w:color w:val="000000" w:themeColor="text1"/>
          <w:shd w:val="clear" w:color="auto" w:fill="FFFFFF"/>
        </w:rPr>
        <w:t>machine-learning</w:t>
      </w:r>
      <w:r w:rsidRPr="00451613">
        <w:rPr>
          <w:rFonts w:ascii="Times New Roman" w:hAnsi="Times New Roman" w:cs="Times New Roman"/>
          <w:color w:val="000000" w:themeColor="text1"/>
          <w:shd w:val="clear" w:color="auto" w:fill="FFFFFF"/>
        </w:rPr>
        <w:t xml:space="preserve"> algorithms for cryptocurrency prediction. </w:t>
      </w:r>
      <w:r w:rsidRPr="00451613">
        <w:rPr>
          <w:rFonts w:ascii="Times New Roman" w:hAnsi="Times New Roman" w:cs="Times New Roman"/>
          <w:i/>
          <w:iCs/>
          <w:color w:val="000000" w:themeColor="text1"/>
          <w:shd w:val="clear" w:color="auto" w:fill="FFFFFF"/>
        </w:rPr>
        <w:t>Computational Economics</w:t>
      </w:r>
      <w:r w:rsidRPr="00451613">
        <w:rPr>
          <w:rFonts w:ascii="Times New Roman" w:hAnsi="Times New Roman" w:cs="Times New Roman"/>
          <w:color w:val="000000" w:themeColor="text1"/>
          <w:shd w:val="clear" w:color="auto" w:fill="FFFFFF"/>
        </w:rPr>
        <w:t xml:space="preserve">, 1-34. </w:t>
      </w:r>
      <w:hyperlink r:id="rId46" w:history="1">
        <w:r w:rsidRPr="00451613">
          <w:rPr>
            <w:rStyle w:val="Hyperlink"/>
            <w:rFonts w:ascii="Times New Roman" w:hAnsi="Times New Roman" w:cs="Times New Roman"/>
            <w:color w:val="000000" w:themeColor="text1"/>
          </w:rPr>
          <w:t>https://doi.org/10.1007/s10614-025-10919-y</w:t>
        </w:r>
      </w:hyperlink>
    </w:p>
    <w:p w14:paraId="14382587" w14:textId="77777777" w:rsidR="00A0365C" w:rsidRPr="00451613" w:rsidRDefault="00A0365C" w:rsidP="00A0365C">
      <w:pPr>
        <w:ind w:left="720" w:hanging="720"/>
        <w:jc w:val="both"/>
        <w:rPr>
          <w:rFonts w:ascii="Times New Roman" w:hAnsi="Times New Roman" w:cs="Times New Roman"/>
          <w:color w:val="000000" w:themeColor="text1"/>
          <w:shd w:val="clear" w:color="auto" w:fill="FFFFFF"/>
        </w:rPr>
      </w:pPr>
      <w:r w:rsidRPr="00451613">
        <w:rPr>
          <w:rFonts w:ascii="Times New Roman" w:hAnsi="Times New Roman" w:cs="Times New Roman"/>
          <w:color w:val="000000" w:themeColor="text1"/>
          <w:shd w:val="clear" w:color="auto" w:fill="FFFFFF"/>
        </w:rPr>
        <w:t>Yue, S., Li, P., &amp; Hao, P. (2003). SVM classification: Its contents and challenges. </w:t>
      </w:r>
      <w:r w:rsidRPr="00451613">
        <w:rPr>
          <w:rFonts w:ascii="Times New Roman" w:hAnsi="Times New Roman" w:cs="Times New Roman"/>
          <w:i/>
          <w:iCs/>
          <w:color w:val="000000" w:themeColor="text1"/>
          <w:shd w:val="clear" w:color="auto" w:fill="FFFFFF"/>
        </w:rPr>
        <w:t>Applied Mathematics Journal of Chinese Universities</w:t>
      </w:r>
      <w:r w:rsidRPr="00451613">
        <w:rPr>
          <w:rFonts w:ascii="Times New Roman" w:hAnsi="Times New Roman" w:cs="Times New Roman"/>
          <w:color w:val="000000" w:themeColor="text1"/>
          <w:shd w:val="clear" w:color="auto" w:fill="FFFFFF"/>
        </w:rPr>
        <w:t>, </w:t>
      </w:r>
      <w:r w:rsidRPr="00451613">
        <w:rPr>
          <w:rFonts w:ascii="Times New Roman" w:hAnsi="Times New Roman" w:cs="Times New Roman"/>
          <w:i/>
          <w:iCs/>
          <w:color w:val="000000" w:themeColor="text1"/>
          <w:shd w:val="clear" w:color="auto" w:fill="FFFFFF"/>
        </w:rPr>
        <w:t>18</w:t>
      </w:r>
      <w:r w:rsidRPr="00451613">
        <w:rPr>
          <w:rFonts w:ascii="Times New Roman" w:hAnsi="Times New Roman" w:cs="Times New Roman"/>
          <w:color w:val="000000" w:themeColor="text1"/>
          <w:shd w:val="clear" w:color="auto" w:fill="FFFFFF"/>
        </w:rPr>
        <w:t>(3), 332-342.</w:t>
      </w:r>
    </w:p>
    <w:p w14:paraId="49045E52" w14:textId="77777777" w:rsidR="00A0365C" w:rsidRPr="00451613" w:rsidRDefault="00A0365C" w:rsidP="00A0365C">
      <w:pPr>
        <w:pStyle w:val="NormalWeb"/>
        <w:jc w:val="both"/>
        <w:rPr>
          <w:rStyle w:val="Strong"/>
          <w:rFonts w:eastAsiaTheme="majorEastAsia"/>
          <w:b w:val="0"/>
          <w:bCs w:val="0"/>
          <w:color w:val="000000" w:themeColor="text1"/>
          <w:sz w:val="22"/>
          <w:szCs w:val="22"/>
        </w:rPr>
      </w:pPr>
      <w:r w:rsidRPr="00451613">
        <w:rPr>
          <w:rStyle w:val="Strong"/>
          <w:rFonts w:eastAsiaTheme="majorEastAsia"/>
          <w:color w:val="000000" w:themeColor="text1"/>
          <w:sz w:val="22"/>
          <w:szCs w:val="22"/>
        </w:rPr>
        <w:t>Reference to a journal Publication with an article number</w:t>
      </w:r>
    </w:p>
    <w:p w14:paraId="47A3450F" w14:textId="77777777" w:rsidR="00A0365C" w:rsidRPr="00451613" w:rsidRDefault="00A0365C" w:rsidP="00A0365C">
      <w:pPr>
        <w:pStyle w:val="NormalWeb"/>
        <w:ind w:left="720" w:hanging="720"/>
        <w:jc w:val="both"/>
        <w:rPr>
          <w:color w:val="000000" w:themeColor="text1"/>
          <w:sz w:val="22"/>
          <w:szCs w:val="22"/>
        </w:rPr>
      </w:pPr>
      <w:r w:rsidRPr="00451613">
        <w:rPr>
          <w:color w:val="000000" w:themeColor="text1"/>
          <w:sz w:val="22"/>
          <w:szCs w:val="22"/>
          <w:shd w:val="clear" w:color="auto" w:fill="FFFFFF"/>
        </w:rPr>
        <w:t>Bhandari, H. N., Rimal, B., Pokhrel, N. R., Rimal, R., Dahal, K. R., &amp; Khatri, R. K. (2022). Predicting stock market index using LSTM. </w:t>
      </w:r>
      <w:r>
        <w:rPr>
          <w:i/>
          <w:iCs/>
          <w:color w:val="000000" w:themeColor="text1"/>
          <w:sz w:val="22"/>
          <w:szCs w:val="22"/>
          <w:shd w:val="clear" w:color="auto" w:fill="FFFFFF"/>
        </w:rPr>
        <w:t>Machine-learning</w:t>
      </w:r>
      <w:r w:rsidRPr="00451613">
        <w:rPr>
          <w:i/>
          <w:iCs/>
          <w:color w:val="000000" w:themeColor="text1"/>
          <w:sz w:val="22"/>
          <w:szCs w:val="22"/>
          <w:shd w:val="clear" w:color="auto" w:fill="FFFFFF"/>
        </w:rPr>
        <w:t xml:space="preserve"> with Applications</w:t>
      </w:r>
      <w:r w:rsidRPr="00451613">
        <w:rPr>
          <w:color w:val="000000" w:themeColor="text1"/>
          <w:sz w:val="22"/>
          <w:szCs w:val="22"/>
          <w:shd w:val="clear" w:color="auto" w:fill="FFFFFF"/>
        </w:rPr>
        <w:t>, </w:t>
      </w:r>
      <w:r w:rsidRPr="00451613">
        <w:rPr>
          <w:i/>
          <w:iCs/>
          <w:color w:val="000000" w:themeColor="text1"/>
          <w:sz w:val="22"/>
          <w:szCs w:val="22"/>
          <w:shd w:val="clear" w:color="auto" w:fill="FFFFFF"/>
        </w:rPr>
        <w:t>9</w:t>
      </w:r>
      <w:r w:rsidRPr="00451613">
        <w:rPr>
          <w:color w:val="000000" w:themeColor="text1"/>
          <w:sz w:val="22"/>
          <w:szCs w:val="22"/>
          <w:shd w:val="clear" w:color="auto" w:fill="FFFFFF"/>
        </w:rPr>
        <w:t xml:space="preserve">, </w:t>
      </w:r>
      <w:r w:rsidRPr="00451613">
        <w:rPr>
          <w:color w:val="000000" w:themeColor="text1"/>
          <w:sz w:val="22"/>
          <w:szCs w:val="22"/>
        </w:rPr>
        <w:t xml:space="preserve">Article </w:t>
      </w:r>
      <w:r w:rsidRPr="00451613">
        <w:rPr>
          <w:color w:val="000000" w:themeColor="text1"/>
          <w:sz w:val="22"/>
          <w:szCs w:val="22"/>
          <w:shd w:val="clear" w:color="auto" w:fill="FFFFFF"/>
        </w:rPr>
        <w:t xml:space="preserve">100320. </w:t>
      </w:r>
      <w:hyperlink r:id="rId47" w:history="1">
        <w:r w:rsidRPr="00451613">
          <w:rPr>
            <w:rStyle w:val="Hyperlink"/>
            <w:rFonts w:eastAsiaTheme="majorEastAsia"/>
            <w:color w:val="000000" w:themeColor="text1"/>
            <w:sz w:val="22"/>
            <w:szCs w:val="22"/>
          </w:rPr>
          <w:t>https://doi.org/10.1016/j.mlwa.2022.100320</w:t>
        </w:r>
      </w:hyperlink>
    </w:p>
    <w:p w14:paraId="5D9D1F0C" w14:textId="77777777" w:rsidR="00A0365C" w:rsidRPr="00451613" w:rsidRDefault="00A0365C" w:rsidP="00A0365C">
      <w:pPr>
        <w:ind w:left="720" w:hanging="720"/>
        <w:jc w:val="both"/>
        <w:rPr>
          <w:rFonts w:ascii="Times New Roman" w:hAnsi="Times New Roman" w:cs="Times New Roman"/>
          <w:color w:val="000000" w:themeColor="text1"/>
        </w:rPr>
      </w:pPr>
      <w:r w:rsidRPr="00451613">
        <w:rPr>
          <w:rFonts w:ascii="Times New Roman" w:hAnsi="Times New Roman" w:cs="Times New Roman"/>
          <w:color w:val="000000" w:themeColor="text1"/>
          <w:sz w:val="20"/>
          <w:szCs w:val="20"/>
          <w:shd w:val="clear" w:color="auto" w:fill="FFFFFF"/>
        </w:rPr>
        <w:t xml:space="preserve">Chhajer, P., Shah, M., &amp; Kshirsagar, A. (2022). The applications of artificial neural networks, </w:t>
      </w:r>
      <w:r w:rsidRPr="00451613">
        <w:rPr>
          <w:rFonts w:ascii="Times New Roman" w:hAnsi="Times New Roman" w:cs="Times New Roman"/>
          <w:color w:val="000000" w:themeColor="text1"/>
          <w:sz w:val="20"/>
          <w:szCs w:val="20"/>
          <w:shd w:val="clear" w:color="auto" w:fill="FFFFFF"/>
        </w:rPr>
        <w:lastRenderedPageBreak/>
        <w:t>support vector machines, and long–short term memory for stock market prediction. </w:t>
      </w:r>
      <w:r w:rsidRPr="00451613">
        <w:rPr>
          <w:rFonts w:ascii="Times New Roman" w:hAnsi="Times New Roman" w:cs="Times New Roman"/>
          <w:i/>
          <w:iCs/>
          <w:color w:val="000000" w:themeColor="text1"/>
          <w:sz w:val="20"/>
          <w:szCs w:val="20"/>
          <w:shd w:val="clear" w:color="auto" w:fill="FFFFFF"/>
        </w:rPr>
        <w:t>Decision Analytics Journal</w:t>
      </w:r>
      <w:r w:rsidRPr="00451613">
        <w:rPr>
          <w:rFonts w:ascii="Times New Roman" w:hAnsi="Times New Roman" w:cs="Times New Roman"/>
          <w:color w:val="000000" w:themeColor="text1"/>
          <w:sz w:val="20"/>
          <w:szCs w:val="20"/>
          <w:shd w:val="clear" w:color="auto" w:fill="FFFFFF"/>
        </w:rPr>
        <w:t>, </w:t>
      </w:r>
      <w:r w:rsidRPr="00451613">
        <w:rPr>
          <w:rFonts w:ascii="Times New Roman" w:hAnsi="Times New Roman" w:cs="Times New Roman"/>
          <w:i/>
          <w:iCs/>
          <w:color w:val="000000" w:themeColor="text1"/>
          <w:sz w:val="20"/>
          <w:szCs w:val="20"/>
          <w:shd w:val="clear" w:color="auto" w:fill="FFFFFF"/>
        </w:rPr>
        <w:t>2</w:t>
      </w:r>
      <w:r w:rsidRPr="00451613">
        <w:rPr>
          <w:rFonts w:ascii="Times New Roman" w:hAnsi="Times New Roman" w:cs="Times New Roman"/>
          <w:color w:val="000000" w:themeColor="text1"/>
          <w:sz w:val="20"/>
          <w:szCs w:val="20"/>
          <w:shd w:val="clear" w:color="auto" w:fill="FFFFFF"/>
        </w:rPr>
        <w:t xml:space="preserve">, Article 100015. </w:t>
      </w:r>
      <w:hyperlink r:id="rId48" w:history="1">
        <w:r w:rsidRPr="00451613">
          <w:rPr>
            <w:rStyle w:val="Hyperlink"/>
            <w:rFonts w:ascii="Times New Roman" w:hAnsi="Times New Roman" w:cs="Times New Roman"/>
            <w:color w:val="000000" w:themeColor="text1"/>
          </w:rPr>
          <w:t>https://doi.org/10.1016/j.dajour.2021.100015</w:t>
        </w:r>
      </w:hyperlink>
    </w:p>
    <w:p w14:paraId="6FBCFDF3" w14:textId="77777777" w:rsidR="00A0365C" w:rsidRPr="00451613" w:rsidRDefault="00A0365C" w:rsidP="00A0365C">
      <w:pPr>
        <w:spacing w:after="0"/>
        <w:ind w:left="720" w:hanging="720"/>
        <w:jc w:val="both"/>
        <w:rPr>
          <w:rFonts w:ascii="Times New Roman" w:hAnsi="Times New Roman" w:cs="Times New Roman"/>
          <w:color w:val="000000" w:themeColor="text1"/>
        </w:rPr>
      </w:pPr>
      <w:r w:rsidRPr="00451613">
        <w:rPr>
          <w:rFonts w:ascii="Times New Roman" w:hAnsi="Times New Roman" w:cs="Times New Roman"/>
          <w:color w:val="000000" w:themeColor="text1"/>
          <w:shd w:val="clear" w:color="auto" w:fill="FFFFFF"/>
        </w:rPr>
        <w:t xml:space="preserve">Dhungana, H. (2025). A </w:t>
      </w:r>
      <w:r>
        <w:rPr>
          <w:rFonts w:ascii="Times New Roman" w:hAnsi="Times New Roman" w:cs="Times New Roman"/>
          <w:color w:val="000000" w:themeColor="text1"/>
          <w:shd w:val="clear" w:color="auto" w:fill="FFFFFF"/>
        </w:rPr>
        <w:t>machine-learning</w:t>
      </w:r>
      <w:r w:rsidRPr="00451613">
        <w:rPr>
          <w:rFonts w:ascii="Times New Roman" w:hAnsi="Times New Roman" w:cs="Times New Roman"/>
          <w:color w:val="000000" w:themeColor="text1"/>
          <w:shd w:val="clear" w:color="auto" w:fill="FFFFFF"/>
        </w:rPr>
        <w:t xml:space="preserve"> approach for wind turbine power forecasting for maintenance planning. </w:t>
      </w:r>
      <w:r w:rsidRPr="00451613">
        <w:rPr>
          <w:rFonts w:ascii="Times New Roman" w:hAnsi="Times New Roman" w:cs="Times New Roman"/>
          <w:i/>
          <w:iCs/>
          <w:color w:val="000000" w:themeColor="text1"/>
          <w:shd w:val="clear" w:color="auto" w:fill="FFFFFF"/>
        </w:rPr>
        <w:t>Energy Informatics</w:t>
      </w:r>
      <w:r w:rsidRPr="00451613">
        <w:rPr>
          <w:rFonts w:ascii="Times New Roman" w:hAnsi="Times New Roman" w:cs="Times New Roman"/>
          <w:color w:val="000000" w:themeColor="text1"/>
          <w:shd w:val="clear" w:color="auto" w:fill="FFFFFF"/>
        </w:rPr>
        <w:t>, </w:t>
      </w:r>
      <w:r w:rsidRPr="00451613">
        <w:rPr>
          <w:rFonts w:ascii="Times New Roman" w:hAnsi="Times New Roman" w:cs="Times New Roman"/>
          <w:i/>
          <w:iCs/>
          <w:color w:val="000000" w:themeColor="text1"/>
          <w:shd w:val="clear" w:color="auto" w:fill="FFFFFF"/>
        </w:rPr>
        <w:t>8</w:t>
      </w:r>
      <w:r w:rsidRPr="00451613">
        <w:rPr>
          <w:rFonts w:ascii="Times New Roman" w:hAnsi="Times New Roman" w:cs="Times New Roman"/>
          <w:color w:val="000000" w:themeColor="text1"/>
          <w:shd w:val="clear" w:color="auto" w:fill="FFFFFF"/>
        </w:rPr>
        <w:t xml:space="preserve">, </w:t>
      </w:r>
      <w:r w:rsidRPr="00451613">
        <w:rPr>
          <w:rFonts w:ascii="Times New Roman" w:hAnsi="Times New Roman" w:cs="Times New Roman"/>
          <w:color w:val="000000" w:themeColor="text1"/>
        </w:rPr>
        <w:t xml:space="preserve">Article </w:t>
      </w:r>
      <w:r w:rsidRPr="00451613">
        <w:rPr>
          <w:rFonts w:ascii="Times New Roman" w:hAnsi="Times New Roman" w:cs="Times New Roman"/>
          <w:color w:val="000000" w:themeColor="text1"/>
          <w:shd w:val="clear" w:color="auto" w:fill="FFFFFF"/>
        </w:rPr>
        <w:t>2.</w:t>
      </w:r>
      <w:hyperlink r:id="rId49" w:history="1">
        <w:r w:rsidRPr="00451613">
          <w:rPr>
            <w:rStyle w:val="Hyperlink"/>
            <w:rFonts w:ascii="Times New Roman" w:hAnsi="Times New Roman" w:cs="Times New Roman"/>
            <w:color w:val="000000" w:themeColor="text1"/>
          </w:rPr>
          <w:t>https://doi.org/10.1186/s42162-024-00459-4</w:t>
        </w:r>
      </w:hyperlink>
      <w:r w:rsidRPr="00451613">
        <w:rPr>
          <w:rFonts w:ascii="Times New Roman" w:eastAsiaTheme="majorEastAsia" w:hAnsi="Times New Roman" w:cs="Times New Roman"/>
          <w:color w:val="000000" w:themeColor="text1"/>
        </w:rPr>
        <w:t>.</w:t>
      </w:r>
    </w:p>
    <w:p w14:paraId="40675760" w14:textId="77777777" w:rsidR="00A0365C" w:rsidRPr="00451613" w:rsidRDefault="00A0365C" w:rsidP="00A0365C">
      <w:pPr>
        <w:pStyle w:val="NormalWeb"/>
        <w:spacing w:after="0" w:afterAutospacing="0"/>
        <w:ind w:left="720" w:hanging="720"/>
        <w:jc w:val="both"/>
        <w:rPr>
          <w:color w:val="000000" w:themeColor="text1"/>
          <w:sz w:val="22"/>
          <w:szCs w:val="22"/>
        </w:rPr>
      </w:pPr>
      <w:r w:rsidRPr="00451613">
        <w:rPr>
          <w:color w:val="000000" w:themeColor="text1"/>
          <w:sz w:val="22"/>
          <w:szCs w:val="22"/>
          <w:shd w:val="clear" w:color="auto" w:fill="FFFFFF"/>
        </w:rPr>
        <w:t xml:space="preserve">Fozap, F. M. P. (2025). Hybrid </w:t>
      </w:r>
      <w:r>
        <w:rPr>
          <w:color w:val="000000" w:themeColor="text1"/>
          <w:sz w:val="22"/>
          <w:szCs w:val="22"/>
          <w:shd w:val="clear" w:color="auto" w:fill="FFFFFF"/>
        </w:rPr>
        <w:t>machine-learning</w:t>
      </w:r>
      <w:r w:rsidRPr="00451613">
        <w:rPr>
          <w:color w:val="000000" w:themeColor="text1"/>
          <w:sz w:val="22"/>
          <w:szCs w:val="22"/>
          <w:shd w:val="clear" w:color="auto" w:fill="FFFFFF"/>
        </w:rPr>
        <w:t xml:space="preserve"> models for long-term stock market forecasting: Integrating technical indicators. </w:t>
      </w:r>
      <w:r w:rsidRPr="00451613">
        <w:rPr>
          <w:i/>
          <w:iCs/>
          <w:color w:val="000000" w:themeColor="text1"/>
          <w:sz w:val="22"/>
          <w:szCs w:val="22"/>
          <w:shd w:val="clear" w:color="auto" w:fill="FFFFFF"/>
        </w:rPr>
        <w:t>Journal of Risk and Financial Management</w:t>
      </w:r>
      <w:r w:rsidRPr="00451613">
        <w:rPr>
          <w:color w:val="000000" w:themeColor="text1"/>
          <w:sz w:val="22"/>
          <w:szCs w:val="22"/>
          <w:shd w:val="clear" w:color="auto" w:fill="FFFFFF"/>
        </w:rPr>
        <w:t>, </w:t>
      </w:r>
      <w:r w:rsidRPr="00451613">
        <w:rPr>
          <w:i/>
          <w:iCs/>
          <w:color w:val="000000" w:themeColor="text1"/>
          <w:sz w:val="22"/>
          <w:szCs w:val="22"/>
          <w:shd w:val="clear" w:color="auto" w:fill="FFFFFF"/>
        </w:rPr>
        <w:t>18</w:t>
      </w:r>
      <w:r w:rsidRPr="00451613">
        <w:rPr>
          <w:color w:val="000000" w:themeColor="text1"/>
          <w:sz w:val="22"/>
          <w:szCs w:val="22"/>
          <w:shd w:val="clear" w:color="auto" w:fill="FFFFFF"/>
        </w:rPr>
        <w:t xml:space="preserve">(4), </w:t>
      </w:r>
      <w:r w:rsidRPr="00451613">
        <w:rPr>
          <w:color w:val="000000" w:themeColor="text1"/>
          <w:sz w:val="22"/>
          <w:szCs w:val="22"/>
        </w:rPr>
        <w:t>Article</w:t>
      </w:r>
      <w:r w:rsidRPr="00451613">
        <w:rPr>
          <w:color w:val="000000" w:themeColor="text1"/>
          <w:sz w:val="22"/>
          <w:szCs w:val="22"/>
          <w:shd w:val="clear" w:color="auto" w:fill="FFFFFF"/>
        </w:rPr>
        <w:t xml:space="preserve"> 201. </w:t>
      </w:r>
      <w:hyperlink r:id="rId50" w:tgtFrame="_new" w:history="1">
        <w:r w:rsidRPr="00451613">
          <w:rPr>
            <w:rStyle w:val="Hyperlink"/>
            <w:rFonts w:eastAsiaTheme="majorEastAsia"/>
            <w:color w:val="000000" w:themeColor="text1"/>
            <w:sz w:val="22"/>
            <w:szCs w:val="22"/>
          </w:rPr>
          <w:t>https://doi.org/10.3390/jrfm18040201</w:t>
        </w:r>
      </w:hyperlink>
    </w:p>
    <w:p w14:paraId="578FE0B4" w14:textId="77777777" w:rsidR="00A0365C" w:rsidRPr="00451613" w:rsidRDefault="00A0365C" w:rsidP="00A0365C">
      <w:pPr>
        <w:pStyle w:val="NormalWeb"/>
        <w:ind w:left="720" w:hanging="720"/>
        <w:jc w:val="both"/>
        <w:rPr>
          <w:color w:val="000000" w:themeColor="text1"/>
          <w:sz w:val="22"/>
          <w:szCs w:val="22"/>
        </w:rPr>
      </w:pPr>
      <w:r w:rsidRPr="00451613">
        <w:rPr>
          <w:color w:val="000000" w:themeColor="text1"/>
          <w:sz w:val="22"/>
          <w:szCs w:val="22"/>
          <w:shd w:val="clear" w:color="auto" w:fill="FFFFFF"/>
        </w:rPr>
        <w:t>Gunduz, H. (2021). An efficient stock market prediction model using hybrid feature reduction method based on variational autoencoders and recursive feature elimination. </w:t>
      </w:r>
      <w:r w:rsidRPr="00451613">
        <w:rPr>
          <w:i/>
          <w:iCs/>
          <w:color w:val="000000" w:themeColor="text1"/>
          <w:sz w:val="22"/>
          <w:szCs w:val="22"/>
          <w:shd w:val="clear" w:color="auto" w:fill="FFFFFF"/>
        </w:rPr>
        <w:t>Financial innovation</w:t>
      </w:r>
      <w:r w:rsidRPr="00451613">
        <w:rPr>
          <w:color w:val="000000" w:themeColor="text1"/>
          <w:sz w:val="22"/>
          <w:szCs w:val="22"/>
          <w:shd w:val="clear" w:color="auto" w:fill="FFFFFF"/>
        </w:rPr>
        <w:t>, </w:t>
      </w:r>
      <w:r w:rsidRPr="00451613">
        <w:rPr>
          <w:i/>
          <w:iCs/>
          <w:color w:val="000000" w:themeColor="text1"/>
          <w:sz w:val="22"/>
          <w:szCs w:val="22"/>
          <w:shd w:val="clear" w:color="auto" w:fill="FFFFFF"/>
        </w:rPr>
        <w:t>7</w:t>
      </w:r>
      <w:r w:rsidRPr="00451613">
        <w:rPr>
          <w:color w:val="000000" w:themeColor="text1"/>
          <w:sz w:val="22"/>
          <w:szCs w:val="22"/>
          <w:shd w:val="clear" w:color="auto" w:fill="FFFFFF"/>
        </w:rPr>
        <w:t xml:space="preserve">, </w:t>
      </w:r>
      <w:r w:rsidRPr="00451613">
        <w:rPr>
          <w:color w:val="000000" w:themeColor="text1"/>
          <w:sz w:val="22"/>
          <w:szCs w:val="22"/>
        </w:rPr>
        <w:t xml:space="preserve">Article </w:t>
      </w:r>
      <w:r w:rsidRPr="00451613">
        <w:rPr>
          <w:color w:val="000000" w:themeColor="text1"/>
          <w:sz w:val="22"/>
          <w:szCs w:val="22"/>
          <w:shd w:val="clear" w:color="auto" w:fill="FFFFFF"/>
        </w:rPr>
        <w:t xml:space="preserve">28. </w:t>
      </w:r>
      <w:hyperlink r:id="rId51" w:tgtFrame="_new" w:history="1">
        <w:r w:rsidRPr="00451613">
          <w:rPr>
            <w:rStyle w:val="Hyperlink"/>
            <w:rFonts w:eastAsiaTheme="majorEastAsia"/>
            <w:color w:val="000000" w:themeColor="text1"/>
            <w:sz w:val="22"/>
            <w:szCs w:val="22"/>
          </w:rPr>
          <w:t>https://doi.org/10.1186/s40854-021-00243-3</w:t>
        </w:r>
      </w:hyperlink>
    </w:p>
    <w:p w14:paraId="45AC49A2" w14:textId="77777777" w:rsidR="00A0365C" w:rsidRPr="00451613" w:rsidRDefault="00A0365C" w:rsidP="00A0365C">
      <w:pPr>
        <w:pStyle w:val="NormalWeb"/>
        <w:ind w:left="720" w:hanging="720"/>
        <w:jc w:val="both"/>
        <w:rPr>
          <w:color w:val="000000" w:themeColor="text1"/>
          <w:sz w:val="22"/>
          <w:szCs w:val="22"/>
        </w:rPr>
      </w:pPr>
      <w:r w:rsidRPr="00451613">
        <w:rPr>
          <w:color w:val="000000" w:themeColor="text1"/>
          <w:sz w:val="22"/>
          <w:szCs w:val="22"/>
          <w:shd w:val="clear" w:color="auto" w:fill="FFFFFF"/>
        </w:rPr>
        <w:t>Guo, W., Che, L., Shahidehpour, M., &amp; Wan, X. (2021). Machine-Learning based methods in short-term load forecasting. </w:t>
      </w:r>
      <w:r w:rsidRPr="00451613">
        <w:rPr>
          <w:i/>
          <w:iCs/>
          <w:color w:val="000000" w:themeColor="text1"/>
          <w:sz w:val="22"/>
          <w:szCs w:val="22"/>
          <w:shd w:val="clear" w:color="auto" w:fill="FFFFFF"/>
        </w:rPr>
        <w:t>The Electricity Journal</w:t>
      </w:r>
      <w:r w:rsidRPr="00451613">
        <w:rPr>
          <w:color w:val="000000" w:themeColor="text1"/>
          <w:sz w:val="22"/>
          <w:szCs w:val="22"/>
          <w:shd w:val="clear" w:color="auto" w:fill="FFFFFF"/>
        </w:rPr>
        <w:t>, </w:t>
      </w:r>
      <w:r w:rsidRPr="00451613">
        <w:rPr>
          <w:i/>
          <w:iCs/>
          <w:color w:val="000000" w:themeColor="text1"/>
          <w:sz w:val="22"/>
          <w:szCs w:val="22"/>
          <w:shd w:val="clear" w:color="auto" w:fill="FFFFFF"/>
        </w:rPr>
        <w:t>34</w:t>
      </w:r>
      <w:r w:rsidRPr="00451613">
        <w:rPr>
          <w:color w:val="000000" w:themeColor="text1"/>
          <w:sz w:val="22"/>
          <w:szCs w:val="22"/>
          <w:shd w:val="clear" w:color="auto" w:fill="FFFFFF"/>
        </w:rPr>
        <w:t xml:space="preserve">(1), </w:t>
      </w:r>
      <w:r w:rsidRPr="00451613">
        <w:rPr>
          <w:color w:val="000000" w:themeColor="text1"/>
          <w:sz w:val="22"/>
          <w:szCs w:val="22"/>
        </w:rPr>
        <w:t xml:space="preserve">Article </w:t>
      </w:r>
      <w:r w:rsidRPr="00451613">
        <w:rPr>
          <w:color w:val="000000" w:themeColor="text1"/>
          <w:sz w:val="22"/>
          <w:szCs w:val="22"/>
          <w:shd w:val="clear" w:color="auto" w:fill="FFFFFF"/>
        </w:rPr>
        <w:t xml:space="preserve">106884. </w:t>
      </w:r>
      <w:hyperlink r:id="rId52" w:history="1">
        <w:r w:rsidRPr="00451613">
          <w:rPr>
            <w:rStyle w:val="Hyperlink"/>
            <w:rFonts w:eastAsiaTheme="majorEastAsia"/>
            <w:color w:val="000000" w:themeColor="text1"/>
            <w:sz w:val="22"/>
            <w:szCs w:val="22"/>
          </w:rPr>
          <w:t>https://doi.org/10.1016/j.tej.2020.106884</w:t>
        </w:r>
      </w:hyperlink>
    </w:p>
    <w:p w14:paraId="7D91A96F" w14:textId="77777777" w:rsidR="00A0365C" w:rsidRPr="00451613" w:rsidRDefault="00A0365C" w:rsidP="00A0365C">
      <w:pPr>
        <w:spacing w:after="0" w:line="240" w:lineRule="auto"/>
        <w:ind w:left="720" w:hanging="720"/>
        <w:jc w:val="both"/>
        <w:rPr>
          <w:rFonts w:ascii="Times New Roman" w:hAnsi="Times New Roman" w:cs="Times New Roman"/>
          <w:color w:val="000000" w:themeColor="text1"/>
        </w:rPr>
      </w:pPr>
      <w:r w:rsidRPr="00451613">
        <w:rPr>
          <w:rFonts w:ascii="Times New Roman" w:hAnsi="Times New Roman" w:cs="Times New Roman"/>
          <w:color w:val="000000" w:themeColor="text1"/>
          <w:shd w:val="clear" w:color="auto" w:fill="FFFFFF"/>
        </w:rPr>
        <w:t>Han, H., Liu, Z., Barrios Barrios, M., Li, J., Zeng, Z., Sarhan, N., &amp; Awwad, E. M. (2024). Time series forecasting model for non-stationary series pattern extraction using deep learning and GARCH modeling. </w:t>
      </w:r>
      <w:r w:rsidRPr="00451613">
        <w:rPr>
          <w:rFonts w:ascii="Times New Roman" w:hAnsi="Times New Roman" w:cs="Times New Roman"/>
          <w:i/>
          <w:iCs/>
          <w:color w:val="000000" w:themeColor="text1"/>
          <w:shd w:val="clear" w:color="auto" w:fill="FFFFFF"/>
        </w:rPr>
        <w:t>Journal of Cloud Computing</w:t>
      </w:r>
      <w:r w:rsidRPr="00451613">
        <w:rPr>
          <w:rFonts w:ascii="Times New Roman" w:hAnsi="Times New Roman" w:cs="Times New Roman"/>
          <w:color w:val="000000" w:themeColor="text1"/>
          <w:shd w:val="clear" w:color="auto" w:fill="FFFFFF"/>
        </w:rPr>
        <w:t>, </w:t>
      </w:r>
      <w:r w:rsidRPr="00451613">
        <w:rPr>
          <w:rFonts w:ascii="Times New Roman" w:hAnsi="Times New Roman" w:cs="Times New Roman"/>
          <w:i/>
          <w:iCs/>
          <w:color w:val="000000" w:themeColor="text1"/>
          <w:shd w:val="clear" w:color="auto" w:fill="FFFFFF"/>
        </w:rPr>
        <w:t>13</w:t>
      </w:r>
      <w:r w:rsidRPr="00451613">
        <w:rPr>
          <w:rFonts w:ascii="Times New Roman" w:hAnsi="Times New Roman" w:cs="Times New Roman"/>
          <w:color w:val="000000" w:themeColor="text1"/>
          <w:shd w:val="clear" w:color="auto" w:fill="FFFFFF"/>
        </w:rPr>
        <w:t xml:space="preserve">, </w:t>
      </w:r>
      <w:r w:rsidRPr="00451613">
        <w:rPr>
          <w:rFonts w:ascii="Times New Roman" w:hAnsi="Times New Roman" w:cs="Times New Roman"/>
          <w:color w:val="000000" w:themeColor="text1"/>
        </w:rPr>
        <w:t xml:space="preserve">Article </w:t>
      </w:r>
      <w:r w:rsidRPr="00451613">
        <w:rPr>
          <w:rFonts w:ascii="Times New Roman" w:hAnsi="Times New Roman" w:cs="Times New Roman"/>
          <w:color w:val="000000" w:themeColor="text1"/>
          <w:shd w:val="clear" w:color="auto" w:fill="FFFFFF"/>
        </w:rPr>
        <w:t xml:space="preserve">2. </w:t>
      </w:r>
      <w:hyperlink r:id="rId53" w:tgtFrame="_new" w:history="1">
        <w:r w:rsidRPr="00451613">
          <w:rPr>
            <w:rStyle w:val="Hyperlink"/>
            <w:rFonts w:ascii="Times New Roman" w:hAnsi="Times New Roman" w:cs="Times New Roman"/>
            <w:color w:val="000000" w:themeColor="text1"/>
          </w:rPr>
          <w:t>https://doi.org/10.1186/s13677-023-00576-7</w:t>
        </w:r>
      </w:hyperlink>
    </w:p>
    <w:p w14:paraId="581E0281" w14:textId="77777777" w:rsidR="00A0365C" w:rsidRPr="00451613" w:rsidRDefault="00A0365C" w:rsidP="00A0365C">
      <w:pPr>
        <w:pStyle w:val="NormalWeb"/>
        <w:spacing w:after="0" w:afterAutospacing="0"/>
        <w:ind w:left="720" w:hanging="720"/>
        <w:jc w:val="both"/>
        <w:rPr>
          <w:color w:val="000000" w:themeColor="text1"/>
          <w:sz w:val="22"/>
          <w:szCs w:val="22"/>
        </w:rPr>
      </w:pPr>
      <w:r w:rsidRPr="00451613">
        <w:rPr>
          <w:color w:val="000000" w:themeColor="text1"/>
          <w:sz w:val="22"/>
          <w:szCs w:val="22"/>
          <w:shd w:val="clear" w:color="auto" w:fill="FFFFFF"/>
        </w:rPr>
        <w:t xml:space="preserve">Huang, F., Xiong, H., Chen, S., Lv, Z., Huang, J., Chang, Z., &amp; Catani, F. (2023). Slope stability prediction based on a </w:t>
      </w:r>
      <w:r w:rsidRPr="00451613">
        <w:rPr>
          <w:color w:val="000000" w:themeColor="text1"/>
          <w:sz w:val="22"/>
          <w:szCs w:val="22"/>
          <w:shd w:val="clear" w:color="auto" w:fill="FFFFFF"/>
        </w:rPr>
        <w:lastRenderedPageBreak/>
        <w:t>long short-term memory neural network: comparisons with convolutional neural networks, support vector machines and random forest models. </w:t>
      </w:r>
      <w:r w:rsidRPr="00451613">
        <w:rPr>
          <w:i/>
          <w:iCs/>
          <w:color w:val="000000" w:themeColor="text1"/>
          <w:sz w:val="22"/>
          <w:szCs w:val="22"/>
          <w:shd w:val="clear" w:color="auto" w:fill="FFFFFF"/>
        </w:rPr>
        <w:t>International Journal of Coal Science &amp; Technology</w:t>
      </w:r>
      <w:r w:rsidRPr="00451613">
        <w:rPr>
          <w:color w:val="000000" w:themeColor="text1"/>
          <w:sz w:val="22"/>
          <w:szCs w:val="22"/>
          <w:shd w:val="clear" w:color="auto" w:fill="FFFFFF"/>
        </w:rPr>
        <w:t>, </w:t>
      </w:r>
      <w:r w:rsidRPr="00451613">
        <w:rPr>
          <w:i/>
          <w:iCs/>
          <w:color w:val="000000" w:themeColor="text1"/>
          <w:sz w:val="22"/>
          <w:szCs w:val="22"/>
          <w:shd w:val="clear" w:color="auto" w:fill="FFFFFF"/>
        </w:rPr>
        <w:t>10</w:t>
      </w:r>
      <w:r w:rsidRPr="00451613">
        <w:rPr>
          <w:color w:val="000000" w:themeColor="text1"/>
          <w:sz w:val="22"/>
          <w:szCs w:val="22"/>
          <w:shd w:val="clear" w:color="auto" w:fill="FFFFFF"/>
        </w:rPr>
        <w:t xml:space="preserve">, </w:t>
      </w:r>
      <w:r w:rsidRPr="00451613">
        <w:rPr>
          <w:color w:val="000000" w:themeColor="text1"/>
          <w:sz w:val="22"/>
          <w:szCs w:val="22"/>
        </w:rPr>
        <w:t>Article</w:t>
      </w:r>
      <w:r w:rsidRPr="00451613">
        <w:rPr>
          <w:color w:val="000000" w:themeColor="text1"/>
          <w:sz w:val="22"/>
          <w:szCs w:val="22"/>
          <w:shd w:val="clear" w:color="auto" w:fill="FFFFFF"/>
        </w:rPr>
        <w:t xml:space="preserve"> 18. </w:t>
      </w:r>
      <w:hyperlink r:id="rId54" w:history="1">
        <w:r w:rsidRPr="00451613">
          <w:rPr>
            <w:rStyle w:val="Hyperlink"/>
            <w:color w:val="000000" w:themeColor="text1"/>
            <w:sz w:val="22"/>
            <w:szCs w:val="22"/>
          </w:rPr>
          <w:t>https://doi.org/10.1007/s40789-023-00579-4</w:t>
        </w:r>
      </w:hyperlink>
    </w:p>
    <w:p w14:paraId="12530062" w14:textId="77777777" w:rsidR="00A0365C" w:rsidRPr="00451613" w:rsidRDefault="00A0365C" w:rsidP="00A0365C">
      <w:pPr>
        <w:ind w:left="720" w:hanging="720"/>
        <w:jc w:val="both"/>
        <w:rPr>
          <w:rFonts w:ascii="Times New Roman" w:hAnsi="Times New Roman" w:cs="Times New Roman"/>
          <w:color w:val="000000" w:themeColor="text1"/>
        </w:rPr>
      </w:pPr>
      <w:r w:rsidRPr="00451613">
        <w:rPr>
          <w:rFonts w:ascii="Times New Roman" w:hAnsi="Times New Roman" w:cs="Times New Roman"/>
          <w:color w:val="000000" w:themeColor="text1"/>
          <w:shd w:val="clear" w:color="auto" w:fill="FFFFFF"/>
        </w:rPr>
        <w:t>Huang, W., Liu, H., Zhang, Y., Mi, R., Tong, C., Xiao, W., &amp; Shuai, B. (2021). Railway dangerous goods transportation system risk identification: Comparisons among SVM, PSO-SVM, GA-SVM and GS-SVM. </w:t>
      </w:r>
      <w:r w:rsidRPr="00451613">
        <w:rPr>
          <w:rFonts w:ascii="Times New Roman" w:hAnsi="Times New Roman" w:cs="Times New Roman"/>
          <w:i/>
          <w:iCs/>
          <w:color w:val="000000" w:themeColor="text1"/>
          <w:shd w:val="clear" w:color="auto" w:fill="FFFFFF"/>
        </w:rPr>
        <w:t>Applied Soft Computing</w:t>
      </w:r>
      <w:r w:rsidRPr="00451613">
        <w:rPr>
          <w:rFonts w:ascii="Times New Roman" w:hAnsi="Times New Roman" w:cs="Times New Roman"/>
          <w:color w:val="000000" w:themeColor="text1"/>
          <w:shd w:val="clear" w:color="auto" w:fill="FFFFFF"/>
        </w:rPr>
        <w:t>, </w:t>
      </w:r>
      <w:r w:rsidRPr="00451613">
        <w:rPr>
          <w:rFonts w:ascii="Times New Roman" w:hAnsi="Times New Roman" w:cs="Times New Roman"/>
          <w:i/>
          <w:iCs/>
          <w:color w:val="000000" w:themeColor="text1"/>
          <w:shd w:val="clear" w:color="auto" w:fill="FFFFFF"/>
        </w:rPr>
        <w:t>109</w:t>
      </w:r>
      <w:r w:rsidRPr="00451613">
        <w:rPr>
          <w:rFonts w:ascii="Times New Roman" w:hAnsi="Times New Roman" w:cs="Times New Roman"/>
          <w:color w:val="000000" w:themeColor="text1"/>
          <w:shd w:val="clear" w:color="auto" w:fill="FFFFFF"/>
        </w:rPr>
        <w:t xml:space="preserve">, Article 107541. </w:t>
      </w:r>
      <w:hyperlink r:id="rId55" w:history="1">
        <w:r w:rsidRPr="00451613">
          <w:rPr>
            <w:rStyle w:val="Hyperlink"/>
            <w:rFonts w:ascii="Times New Roman" w:hAnsi="Times New Roman" w:cs="Times New Roman"/>
            <w:color w:val="000000" w:themeColor="text1"/>
          </w:rPr>
          <w:t>https://doi.org/10.1016/j.asoc.2021.107541</w:t>
        </w:r>
      </w:hyperlink>
    </w:p>
    <w:p w14:paraId="15426A33" w14:textId="77777777" w:rsidR="00A0365C" w:rsidRPr="00451613" w:rsidRDefault="00A0365C" w:rsidP="00A0365C">
      <w:pPr>
        <w:pStyle w:val="NormalWeb"/>
        <w:ind w:left="720" w:hanging="720"/>
        <w:jc w:val="both"/>
        <w:rPr>
          <w:color w:val="000000" w:themeColor="text1"/>
          <w:sz w:val="22"/>
          <w:szCs w:val="22"/>
        </w:rPr>
      </w:pPr>
      <w:r w:rsidRPr="00451613">
        <w:rPr>
          <w:color w:val="000000" w:themeColor="text1"/>
          <w:sz w:val="22"/>
          <w:szCs w:val="22"/>
          <w:shd w:val="clear" w:color="auto" w:fill="FFFFFF"/>
        </w:rPr>
        <w:t>Kanahuati-Ceballos, M., &amp; Valdivia, L. J. (2024). Detection of depressive comments on social media using RNN, LSTM, and random forest: comparison and optimization. </w:t>
      </w:r>
      <w:r w:rsidRPr="00451613">
        <w:rPr>
          <w:i/>
          <w:iCs/>
          <w:color w:val="000000" w:themeColor="text1"/>
          <w:sz w:val="22"/>
          <w:szCs w:val="22"/>
          <w:shd w:val="clear" w:color="auto" w:fill="FFFFFF"/>
        </w:rPr>
        <w:t>Social Network Analysis and Mining</w:t>
      </w:r>
      <w:r w:rsidRPr="00451613">
        <w:rPr>
          <w:color w:val="000000" w:themeColor="text1"/>
          <w:sz w:val="22"/>
          <w:szCs w:val="22"/>
          <w:shd w:val="clear" w:color="auto" w:fill="FFFFFF"/>
        </w:rPr>
        <w:t>, </w:t>
      </w:r>
      <w:r w:rsidRPr="00451613">
        <w:rPr>
          <w:i/>
          <w:iCs/>
          <w:color w:val="000000" w:themeColor="text1"/>
          <w:sz w:val="22"/>
          <w:szCs w:val="22"/>
          <w:shd w:val="clear" w:color="auto" w:fill="FFFFFF"/>
        </w:rPr>
        <w:t>14</w:t>
      </w:r>
      <w:r w:rsidRPr="00451613">
        <w:rPr>
          <w:color w:val="000000" w:themeColor="text1"/>
          <w:sz w:val="22"/>
          <w:szCs w:val="22"/>
          <w:shd w:val="clear" w:color="auto" w:fill="FFFFFF"/>
        </w:rPr>
        <w:t xml:space="preserve">, </w:t>
      </w:r>
      <w:r w:rsidRPr="00451613">
        <w:rPr>
          <w:color w:val="000000" w:themeColor="text1"/>
          <w:sz w:val="22"/>
          <w:szCs w:val="22"/>
        </w:rPr>
        <w:t xml:space="preserve">Article </w:t>
      </w:r>
      <w:r w:rsidRPr="00451613">
        <w:rPr>
          <w:color w:val="000000" w:themeColor="text1"/>
          <w:sz w:val="22"/>
          <w:szCs w:val="22"/>
          <w:shd w:val="clear" w:color="auto" w:fill="FFFFFF"/>
        </w:rPr>
        <w:t xml:space="preserve">44. </w:t>
      </w:r>
      <w:hyperlink r:id="rId56" w:history="1">
        <w:r w:rsidRPr="00451613">
          <w:rPr>
            <w:rStyle w:val="Hyperlink"/>
            <w:color w:val="000000" w:themeColor="text1"/>
            <w:sz w:val="22"/>
            <w:szCs w:val="22"/>
          </w:rPr>
          <w:t>https://doi.org/10.1007/s13278-024-01206-z</w:t>
        </w:r>
      </w:hyperlink>
    </w:p>
    <w:p w14:paraId="2FF0DBA7" w14:textId="77777777" w:rsidR="00A0365C" w:rsidRPr="00451613" w:rsidRDefault="00A0365C" w:rsidP="00A0365C">
      <w:pPr>
        <w:pStyle w:val="NormalWeb"/>
        <w:ind w:left="720" w:hanging="720"/>
        <w:jc w:val="both"/>
        <w:rPr>
          <w:color w:val="000000" w:themeColor="text1"/>
          <w:sz w:val="22"/>
          <w:szCs w:val="22"/>
        </w:rPr>
      </w:pPr>
      <w:r w:rsidRPr="00451613">
        <w:rPr>
          <w:color w:val="000000" w:themeColor="text1"/>
          <w:sz w:val="22"/>
          <w:szCs w:val="22"/>
          <w:shd w:val="clear" w:color="auto" w:fill="FFFFFF"/>
        </w:rPr>
        <w:t>Luo, J., &amp; Gong, Y. (2022). Artificial Intelligent based day-ahead stock market profit forecasting. </w:t>
      </w:r>
      <w:r w:rsidRPr="00451613">
        <w:rPr>
          <w:rStyle w:val="Strong"/>
          <w:rFonts w:eastAsiaTheme="majorEastAsia"/>
          <w:i/>
          <w:iCs/>
          <w:color w:val="000000" w:themeColor="text1"/>
          <w:sz w:val="22"/>
          <w:szCs w:val="22"/>
        </w:rPr>
        <w:t>Computers and Electrical Engineering</w:t>
      </w:r>
      <w:r w:rsidRPr="00451613">
        <w:rPr>
          <w:color w:val="000000" w:themeColor="text1"/>
          <w:sz w:val="22"/>
          <w:szCs w:val="22"/>
          <w:shd w:val="clear" w:color="auto" w:fill="FFFFFF"/>
        </w:rPr>
        <w:t>, </w:t>
      </w:r>
      <w:r w:rsidRPr="00451613">
        <w:rPr>
          <w:i/>
          <w:iCs/>
          <w:color w:val="000000" w:themeColor="text1"/>
          <w:sz w:val="22"/>
          <w:szCs w:val="22"/>
          <w:shd w:val="clear" w:color="auto" w:fill="FFFFFF"/>
        </w:rPr>
        <w:t>99</w:t>
      </w:r>
      <w:r w:rsidRPr="00451613">
        <w:rPr>
          <w:color w:val="000000" w:themeColor="text1"/>
          <w:sz w:val="22"/>
          <w:szCs w:val="22"/>
          <w:shd w:val="clear" w:color="auto" w:fill="FFFFFF"/>
        </w:rPr>
        <w:t xml:space="preserve">, </w:t>
      </w:r>
      <w:r w:rsidRPr="00451613">
        <w:rPr>
          <w:color w:val="000000" w:themeColor="text1"/>
          <w:sz w:val="22"/>
          <w:szCs w:val="22"/>
        </w:rPr>
        <w:t>Article 107837</w:t>
      </w:r>
      <w:r w:rsidRPr="00451613">
        <w:rPr>
          <w:color w:val="000000" w:themeColor="text1"/>
          <w:sz w:val="22"/>
          <w:szCs w:val="22"/>
          <w:shd w:val="clear" w:color="auto" w:fill="FFFFFF"/>
        </w:rPr>
        <w:t xml:space="preserve">. </w:t>
      </w:r>
      <w:hyperlink r:id="rId57" w:history="1">
        <w:r w:rsidRPr="00451613">
          <w:rPr>
            <w:rStyle w:val="Hyperlink"/>
            <w:rFonts w:eastAsiaTheme="majorEastAsia"/>
            <w:color w:val="000000" w:themeColor="text1"/>
            <w:sz w:val="22"/>
            <w:szCs w:val="22"/>
          </w:rPr>
          <w:t>https://doi.org/10.1016/j.compeleceng.2022.107837</w:t>
        </w:r>
      </w:hyperlink>
    </w:p>
    <w:p w14:paraId="46276731" w14:textId="77777777" w:rsidR="00A0365C" w:rsidRPr="00451613" w:rsidRDefault="00A0365C" w:rsidP="00A0365C">
      <w:pPr>
        <w:pStyle w:val="NormalWeb"/>
        <w:ind w:left="720" w:hanging="720"/>
        <w:jc w:val="both"/>
        <w:rPr>
          <w:color w:val="000000" w:themeColor="text1"/>
          <w:sz w:val="22"/>
          <w:szCs w:val="22"/>
        </w:rPr>
      </w:pPr>
      <w:r w:rsidRPr="00451613">
        <w:rPr>
          <w:color w:val="000000" w:themeColor="text1"/>
          <w:sz w:val="22"/>
          <w:szCs w:val="22"/>
          <w:shd w:val="clear" w:color="auto" w:fill="FFFFFF"/>
        </w:rPr>
        <w:t>Luo, J., Zhu, G., &amp; Xiang, H. (2022). Artificial intelligent based day-ahead stock market profit forecasting. </w:t>
      </w:r>
      <w:r w:rsidRPr="00451613">
        <w:rPr>
          <w:i/>
          <w:iCs/>
          <w:color w:val="000000" w:themeColor="text1"/>
          <w:sz w:val="22"/>
          <w:szCs w:val="22"/>
          <w:shd w:val="clear" w:color="auto" w:fill="FFFFFF"/>
        </w:rPr>
        <w:t>Computers and Electrical Engineering</w:t>
      </w:r>
      <w:r w:rsidRPr="00451613">
        <w:rPr>
          <w:color w:val="000000" w:themeColor="text1"/>
          <w:sz w:val="22"/>
          <w:szCs w:val="22"/>
          <w:shd w:val="clear" w:color="auto" w:fill="FFFFFF"/>
        </w:rPr>
        <w:t>, </w:t>
      </w:r>
      <w:r w:rsidRPr="00451613">
        <w:rPr>
          <w:i/>
          <w:iCs/>
          <w:color w:val="000000" w:themeColor="text1"/>
          <w:sz w:val="22"/>
          <w:szCs w:val="22"/>
          <w:shd w:val="clear" w:color="auto" w:fill="FFFFFF"/>
        </w:rPr>
        <w:t>99</w:t>
      </w:r>
      <w:r w:rsidRPr="00451613">
        <w:rPr>
          <w:color w:val="000000" w:themeColor="text1"/>
          <w:sz w:val="22"/>
          <w:szCs w:val="22"/>
          <w:shd w:val="clear" w:color="auto" w:fill="FFFFFF"/>
        </w:rPr>
        <w:t xml:space="preserve">, </w:t>
      </w:r>
      <w:r w:rsidRPr="00451613">
        <w:rPr>
          <w:color w:val="000000" w:themeColor="text1"/>
          <w:sz w:val="22"/>
          <w:szCs w:val="22"/>
        </w:rPr>
        <w:t xml:space="preserve">Article </w:t>
      </w:r>
      <w:r w:rsidRPr="00451613">
        <w:rPr>
          <w:color w:val="000000" w:themeColor="text1"/>
          <w:sz w:val="22"/>
          <w:szCs w:val="22"/>
          <w:shd w:val="clear" w:color="auto" w:fill="FFFFFF"/>
        </w:rPr>
        <w:t>107837.</w:t>
      </w:r>
    </w:p>
    <w:p w14:paraId="70AE8E40" w14:textId="77777777" w:rsidR="00A0365C" w:rsidRPr="00451613" w:rsidRDefault="00A0365C" w:rsidP="00A0365C">
      <w:pPr>
        <w:ind w:left="720" w:hanging="720"/>
        <w:jc w:val="both"/>
        <w:rPr>
          <w:rFonts w:ascii="Times New Roman" w:hAnsi="Times New Roman" w:cs="Times New Roman"/>
          <w:color w:val="000000" w:themeColor="text1"/>
        </w:rPr>
      </w:pPr>
      <w:r w:rsidRPr="00451613">
        <w:rPr>
          <w:rFonts w:ascii="Times New Roman" w:hAnsi="Times New Roman" w:cs="Times New Roman"/>
          <w:color w:val="000000" w:themeColor="text1"/>
          <w:sz w:val="20"/>
          <w:szCs w:val="20"/>
          <w:shd w:val="clear" w:color="auto" w:fill="FFFFFF"/>
        </w:rPr>
        <w:t>Madhu PK, R., Subbaiah, J., &amp; Krithivasan, K. (2021). RF‐LSTM‐based method for prediction and diagnosis of fouling in heat exchanger. </w:t>
      </w:r>
      <w:r w:rsidRPr="00451613">
        <w:rPr>
          <w:rFonts w:ascii="Times New Roman" w:hAnsi="Times New Roman" w:cs="Times New Roman"/>
          <w:i/>
          <w:iCs/>
          <w:color w:val="000000" w:themeColor="text1"/>
          <w:sz w:val="20"/>
          <w:szCs w:val="20"/>
          <w:shd w:val="clear" w:color="auto" w:fill="FFFFFF"/>
        </w:rPr>
        <w:t>Asia‐Pacific Journal of Chemical Engineering</w:t>
      </w:r>
      <w:r w:rsidRPr="00451613">
        <w:rPr>
          <w:rFonts w:ascii="Times New Roman" w:hAnsi="Times New Roman" w:cs="Times New Roman"/>
          <w:color w:val="000000" w:themeColor="text1"/>
          <w:sz w:val="20"/>
          <w:szCs w:val="20"/>
          <w:shd w:val="clear" w:color="auto" w:fill="FFFFFF"/>
        </w:rPr>
        <w:t>, </w:t>
      </w:r>
      <w:r w:rsidRPr="00451613">
        <w:rPr>
          <w:rFonts w:ascii="Times New Roman" w:hAnsi="Times New Roman" w:cs="Times New Roman"/>
          <w:i/>
          <w:iCs/>
          <w:color w:val="000000" w:themeColor="text1"/>
          <w:sz w:val="20"/>
          <w:szCs w:val="20"/>
          <w:shd w:val="clear" w:color="auto" w:fill="FFFFFF"/>
        </w:rPr>
        <w:t>16</w:t>
      </w:r>
      <w:r w:rsidRPr="00451613">
        <w:rPr>
          <w:rFonts w:ascii="Times New Roman" w:hAnsi="Times New Roman" w:cs="Times New Roman"/>
          <w:color w:val="000000" w:themeColor="text1"/>
          <w:sz w:val="20"/>
          <w:szCs w:val="20"/>
          <w:shd w:val="clear" w:color="auto" w:fill="FFFFFF"/>
        </w:rPr>
        <w:t>(5), Article e2684.</w:t>
      </w:r>
      <w:hyperlink r:id="rId58" w:history="1">
        <w:r w:rsidRPr="00451613">
          <w:rPr>
            <w:rStyle w:val="Hyperlink"/>
            <w:rFonts w:ascii="Times New Roman" w:hAnsi="Times New Roman" w:cs="Times New Roman"/>
            <w:color w:val="000000" w:themeColor="text1"/>
            <w:sz w:val="21"/>
            <w:szCs w:val="21"/>
            <w:shd w:val="clear" w:color="auto" w:fill="FFFFFF"/>
          </w:rPr>
          <w:t>https://doi.org/10.1002/apj.2684</w:t>
        </w:r>
      </w:hyperlink>
    </w:p>
    <w:p w14:paraId="73942A14" w14:textId="77777777" w:rsidR="00A0365C" w:rsidRPr="00451613" w:rsidRDefault="00A0365C" w:rsidP="00A0365C">
      <w:pPr>
        <w:ind w:left="720" w:hanging="720"/>
        <w:jc w:val="both"/>
        <w:rPr>
          <w:rFonts w:ascii="Times New Roman" w:hAnsi="Times New Roman" w:cs="Times New Roman"/>
          <w:color w:val="000000" w:themeColor="text1"/>
        </w:rPr>
      </w:pPr>
      <w:r w:rsidRPr="00451613">
        <w:rPr>
          <w:rFonts w:ascii="Times New Roman" w:hAnsi="Times New Roman" w:cs="Times New Roman"/>
          <w:color w:val="000000" w:themeColor="text1"/>
        </w:rPr>
        <w:lastRenderedPageBreak/>
        <w:t xml:space="preserve">Naroum, E., Maka Maka, E., Abboubakar, H., Dayang, P., Bamana, A. B., Garga, B., Daouda, H. D., Bakouri, M., &amp; Khan, I. (2025). </w:t>
      </w:r>
      <w:r w:rsidRPr="00451613">
        <w:rPr>
          <w:rStyle w:val="Emphasis"/>
          <w:rFonts w:ascii="Times New Roman" w:hAnsi="Times New Roman" w:cs="Times New Roman"/>
          <w:color w:val="000000" w:themeColor="text1"/>
        </w:rPr>
        <w:t xml:space="preserve">Comparative analysis of deep learning and </w:t>
      </w:r>
      <w:r>
        <w:rPr>
          <w:rStyle w:val="Emphasis"/>
          <w:rFonts w:ascii="Times New Roman" w:hAnsi="Times New Roman" w:cs="Times New Roman"/>
          <w:color w:val="000000" w:themeColor="text1"/>
        </w:rPr>
        <w:t>machine-learning</w:t>
      </w:r>
      <w:r w:rsidRPr="00451613">
        <w:rPr>
          <w:rStyle w:val="Emphasis"/>
          <w:rFonts w:ascii="Times New Roman" w:hAnsi="Times New Roman" w:cs="Times New Roman"/>
          <w:color w:val="000000" w:themeColor="text1"/>
        </w:rPr>
        <w:t xml:space="preserve"> techniques for forecasting new malaria cases in Cameroon’s Adamaoua region.</w:t>
      </w:r>
      <w:r w:rsidRPr="00451613">
        <w:rPr>
          <w:rFonts w:ascii="Times New Roman" w:hAnsi="Times New Roman" w:cs="Times New Roman"/>
          <w:color w:val="000000" w:themeColor="text1"/>
        </w:rPr>
        <w:t xml:space="preserve"> </w:t>
      </w:r>
      <w:r w:rsidRPr="00451613">
        <w:rPr>
          <w:rStyle w:val="Strong"/>
          <w:rFonts w:ascii="Times New Roman" w:hAnsi="Times New Roman" w:cs="Times New Roman"/>
          <w:i/>
          <w:iCs/>
          <w:color w:val="000000" w:themeColor="text1"/>
        </w:rPr>
        <w:t>Intelligence-Based Medicine</w:t>
      </w:r>
      <w:r w:rsidRPr="00451613">
        <w:rPr>
          <w:rStyle w:val="Strong"/>
          <w:rFonts w:ascii="Times New Roman" w:hAnsi="Times New Roman" w:cs="Times New Roman"/>
          <w:color w:val="000000" w:themeColor="text1"/>
        </w:rPr>
        <w:t>, 11</w:t>
      </w:r>
      <w:r w:rsidRPr="00451613">
        <w:rPr>
          <w:rFonts w:ascii="Times New Roman" w:hAnsi="Times New Roman" w:cs="Times New Roman"/>
          <w:color w:val="000000" w:themeColor="text1"/>
        </w:rPr>
        <w:t xml:space="preserve">, Article 100220. </w:t>
      </w:r>
      <w:hyperlink r:id="rId59" w:history="1">
        <w:r w:rsidRPr="00451613">
          <w:rPr>
            <w:rStyle w:val="Hyperlink"/>
            <w:rFonts w:ascii="Times New Roman" w:hAnsi="Times New Roman" w:cs="Times New Roman"/>
            <w:color w:val="000000" w:themeColor="text1"/>
          </w:rPr>
          <w:t>https://doi.org/10.1016/j.ibmed.2025.100220</w:t>
        </w:r>
      </w:hyperlink>
    </w:p>
    <w:p w14:paraId="161F32C9" w14:textId="77777777" w:rsidR="00A0365C" w:rsidRPr="00451613" w:rsidRDefault="00A0365C" w:rsidP="00A0365C">
      <w:pPr>
        <w:ind w:left="720" w:hanging="720"/>
        <w:jc w:val="both"/>
        <w:rPr>
          <w:rFonts w:ascii="Times New Roman" w:hAnsi="Times New Roman" w:cs="Times New Roman"/>
          <w:color w:val="000000" w:themeColor="text1"/>
        </w:rPr>
      </w:pPr>
      <w:r w:rsidRPr="00451613">
        <w:rPr>
          <w:rFonts w:ascii="Times New Roman" w:hAnsi="Times New Roman" w:cs="Times New Roman"/>
          <w:color w:val="000000" w:themeColor="text1"/>
          <w:sz w:val="20"/>
          <w:szCs w:val="20"/>
          <w:shd w:val="clear" w:color="auto" w:fill="FFFFFF"/>
        </w:rPr>
        <w:t>Oruc, S., Hinis, M. A., &amp; Tugrul, T. (2024). Evaluating performances of LSTM, SVM, GPR, and RF for drought prediction in Norway: a wavelet decomposition approach on regional forecasting. </w:t>
      </w:r>
      <w:r w:rsidRPr="00451613">
        <w:rPr>
          <w:rFonts w:ascii="Times New Roman" w:hAnsi="Times New Roman" w:cs="Times New Roman"/>
          <w:i/>
          <w:iCs/>
          <w:color w:val="000000" w:themeColor="text1"/>
          <w:sz w:val="20"/>
          <w:szCs w:val="20"/>
          <w:shd w:val="clear" w:color="auto" w:fill="FFFFFF"/>
        </w:rPr>
        <w:t>Water</w:t>
      </w:r>
      <w:r w:rsidRPr="00451613">
        <w:rPr>
          <w:rFonts w:ascii="Times New Roman" w:hAnsi="Times New Roman" w:cs="Times New Roman"/>
          <w:color w:val="000000" w:themeColor="text1"/>
          <w:sz w:val="20"/>
          <w:szCs w:val="20"/>
          <w:shd w:val="clear" w:color="auto" w:fill="FFFFFF"/>
        </w:rPr>
        <w:t>, </w:t>
      </w:r>
      <w:r w:rsidRPr="00451613">
        <w:rPr>
          <w:rFonts w:ascii="Times New Roman" w:hAnsi="Times New Roman" w:cs="Times New Roman"/>
          <w:i/>
          <w:iCs/>
          <w:color w:val="000000" w:themeColor="text1"/>
          <w:sz w:val="20"/>
          <w:szCs w:val="20"/>
          <w:shd w:val="clear" w:color="auto" w:fill="FFFFFF"/>
        </w:rPr>
        <w:t>16</w:t>
      </w:r>
      <w:r w:rsidRPr="00451613">
        <w:rPr>
          <w:rFonts w:ascii="Times New Roman" w:hAnsi="Times New Roman" w:cs="Times New Roman"/>
          <w:color w:val="000000" w:themeColor="text1"/>
          <w:sz w:val="20"/>
          <w:szCs w:val="20"/>
          <w:shd w:val="clear" w:color="auto" w:fill="FFFFFF"/>
        </w:rPr>
        <w:t xml:space="preserve">, Article 3465. </w:t>
      </w:r>
      <w:hyperlink r:id="rId60" w:history="1">
        <w:r w:rsidRPr="00451613">
          <w:rPr>
            <w:rStyle w:val="Hyperlink"/>
            <w:rFonts w:ascii="Times New Roman" w:hAnsi="Times New Roman" w:cs="Times New Roman"/>
            <w:color w:val="000000" w:themeColor="text1"/>
          </w:rPr>
          <w:t>https://doi.org/10.3390/w16233465</w:t>
        </w:r>
      </w:hyperlink>
    </w:p>
    <w:p w14:paraId="45EC03B0" w14:textId="77777777" w:rsidR="00A0365C" w:rsidRPr="00451613" w:rsidRDefault="00A0365C" w:rsidP="00A0365C">
      <w:pPr>
        <w:spacing w:after="0"/>
        <w:ind w:left="720" w:hanging="720"/>
        <w:jc w:val="both"/>
        <w:rPr>
          <w:rFonts w:ascii="Times New Roman" w:hAnsi="Times New Roman" w:cs="Times New Roman"/>
          <w:color w:val="000000" w:themeColor="text1"/>
        </w:rPr>
      </w:pPr>
      <w:r w:rsidRPr="00451613">
        <w:rPr>
          <w:rFonts w:ascii="Times New Roman" w:hAnsi="Times New Roman" w:cs="Times New Roman"/>
          <w:color w:val="000000" w:themeColor="text1"/>
          <w:shd w:val="clear" w:color="auto" w:fill="FFFFFF"/>
        </w:rPr>
        <w:t xml:space="preserve">Phuoc, T., Anh, P. T. K., Tam, P. H., &amp; Nguyen, C. V. (2024). Applying </w:t>
      </w:r>
      <w:r>
        <w:rPr>
          <w:rFonts w:ascii="Times New Roman" w:hAnsi="Times New Roman" w:cs="Times New Roman"/>
          <w:color w:val="000000" w:themeColor="text1"/>
          <w:shd w:val="clear" w:color="auto" w:fill="FFFFFF"/>
        </w:rPr>
        <w:t>machine-learning</w:t>
      </w:r>
      <w:r w:rsidRPr="00451613">
        <w:rPr>
          <w:rFonts w:ascii="Times New Roman" w:hAnsi="Times New Roman" w:cs="Times New Roman"/>
          <w:color w:val="000000" w:themeColor="text1"/>
          <w:shd w:val="clear" w:color="auto" w:fill="FFFFFF"/>
        </w:rPr>
        <w:t xml:space="preserve"> algorithms to predict the stock price trend in the stock market–The case of Vietnam. </w:t>
      </w:r>
      <w:r w:rsidRPr="00451613">
        <w:rPr>
          <w:rFonts w:ascii="Times New Roman" w:hAnsi="Times New Roman" w:cs="Times New Roman"/>
          <w:i/>
          <w:iCs/>
          <w:color w:val="000000" w:themeColor="text1"/>
          <w:shd w:val="clear" w:color="auto" w:fill="FFFFFF"/>
        </w:rPr>
        <w:t>Humanities and Social Sciences Communications</w:t>
      </w:r>
      <w:r w:rsidRPr="00451613">
        <w:rPr>
          <w:rFonts w:ascii="Times New Roman" w:hAnsi="Times New Roman" w:cs="Times New Roman"/>
          <w:color w:val="000000" w:themeColor="text1"/>
          <w:shd w:val="clear" w:color="auto" w:fill="FFFFFF"/>
        </w:rPr>
        <w:t>, </w:t>
      </w:r>
      <w:r w:rsidRPr="00451613">
        <w:rPr>
          <w:rFonts w:ascii="Times New Roman" w:hAnsi="Times New Roman" w:cs="Times New Roman"/>
          <w:i/>
          <w:iCs/>
          <w:color w:val="000000" w:themeColor="text1"/>
          <w:shd w:val="clear" w:color="auto" w:fill="FFFFFF"/>
        </w:rPr>
        <w:t>11</w:t>
      </w:r>
      <w:r w:rsidRPr="00451613">
        <w:rPr>
          <w:rFonts w:ascii="Times New Roman" w:hAnsi="Times New Roman" w:cs="Times New Roman"/>
          <w:color w:val="000000" w:themeColor="text1"/>
          <w:shd w:val="clear" w:color="auto" w:fill="FFFFFF"/>
        </w:rPr>
        <w:t xml:space="preserve">, </w:t>
      </w:r>
      <w:r w:rsidRPr="00451613">
        <w:rPr>
          <w:rFonts w:ascii="Times New Roman" w:hAnsi="Times New Roman" w:cs="Times New Roman"/>
          <w:color w:val="000000" w:themeColor="text1"/>
        </w:rPr>
        <w:t>Article 393</w:t>
      </w:r>
      <w:r w:rsidRPr="00451613">
        <w:rPr>
          <w:rFonts w:ascii="Times New Roman" w:hAnsi="Times New Roman" w:cs="Times New Roman"/>
          <w:color w:val="000000" w:themeColor="text1"/>
          <w:shd w:val="clear" w:color="auto" w:fill="FFFFFF"/>
        </w:rPr>
        <w:t xml:space="preserve">. </w:t>
      </w:r>
      <w:hyperlink r:id="rId61" w:history="1">
        <w:r w:rsidRPr="00451613">
          <w:rPr>
            <w:rStyle w:val="Hyperlink"/>
            <w:rFonts w:ascii="Times New Roman" w:eastAsiaTheme="majorEastAsia" w:hAnsi="Times New Roman" w:cs="Times New Roman"/>
            <w:color w:val="000000" w:themeColor="text1"/>
          </w:rPr>
          <w:t>https://doi.org/10.1057/s41599-024-02807-x</w:t>
        </w:r>
      </w:hyperlink>
    </w:p>
    <w:p w14:paraId="0A565966" w14:textId="77777777" w:rsidR="00A0365C" w:rsidRPr="00451613" w:rsidRDefault="00A0365C" w:rsidP="00A0365C">
      <w:pPr>
        <w:pStyle w:val="NormalWeb"/>
        <w:spacing w:after="0" w:afterAutospacing="0"/>
        <w:ind w:left="720" w:hanging="720"/>
        <w:jc w:val="both"/>
        <w:rPr>
          <w:color w:val="000000" w:themeColor="text1"/>
          <w:sz w:val="22"/>
          <w:szCs w:val="22"/>
        </w:rPr>
      </w:pPr>
      <w:r w:rsidRPr="00451613">
        <w:rPr>
          <w:color w:val="000000" w:themeColor="text1"/>
          <w:sz w:val="22"/>
          <w:szCs w:val="22"/>
          <w:shd w:val="clear" w:color="auto" w:fill="FFFFFF"/>
        </w:rPr>
        <w:t xml:space="preserve">Sedighi, M., Mohammadi, M., Ameli, F., Amiri-Ramsheh, B., &amp; Hemmati-Sarapardeh, A. (2025). A comparative study of </w:t>
      </w:r>
      <w:r>
        <w:rPr>
          <w:color w:val="000000" w:themeColor="text1"/>
          <w:sz w:val="22"/>
          <w:szCs w:val="22"/>
          <w:shd w:val="clear" w:color="auto" w:fill="FFFFFF"/>
        </w:rPr>
        <w:t>machine-learning</w:t>
      </w:r>
      <w:r w:rsidRPr="00451613">
        <w:rPr>
          <w:color w:val="000000" w:themeColor="text1"/>
          <w:sz w:val="22"/>
          <w:szCs w:val="22"/>
          <w:shd w:val="clear" w:color="auto" w:fill="FFFFFF"/>
        </w:rPr>
        <w:t xml:space="preserve"> frameworks for predicting CO2 conversion into light olefins. </w:t>
      </w:r>
      <w:r w:rsidRPr="00451613">
        <w:rPr>
          <w:i/>
          <w:iCs/>
          <w:color w:val="000000" w:themeColor="text1"/>
          <w:sz w:val="22"/>
          <w:szCs w:val="22"/>
          <w:shd w:val="clear" w:color="auto" w:fill="FFFFFF"/>
        </w:rPr>
        <w:t>Fuel</w:t>
      </w:r>
      <w:r w:rsidRPr="00451613">
        <w:rPr>
          <w:color w:val="000000" w:themeColor="text1"/>
          <w:sz w:val="22"/>
          <w:szCs w:val="22"/>
          <w:shd w:val="clear" w:color="auto" w:fill="FFFFFF"/>
        </w:rPr>
        <w:t>, </w:t>
      </w:r>
      <w:r w:rsidRPr="00451613">
        <w:rPr>
          <w:i/>
          <w:iCs/>
          <w:color w:val="000000" w:themeColor="text1"/>
          <w:sz w:val="22"/>
          <w:szCs w:val="22"/>
          <w:shd w:val="clear" w:color="auto" w:fill="FFFFFF"/>
        </w:rPr>
        <w:t>379</w:t>
      </w:r>
      <w:r w:rsidRPr="00451613">
        <w:rPr>
          <w:color w:val="000000" w:themeColor="text1"/>
          <w:sz w:val="22"/>
          <w:szCs w:val="22"/>
          <w:shd w:val="clear" w:color="auto" w:fill="FFFFFF"/>
        </w:rPr>
        <w:t xml:space="preserve">, </w:t>
      </w:r>
      <w:r w:rsidRPr="00451613">
        <w:rPr>
          <w:color w:val="000000" w:themeColor="text1"/>
          <w:sz w:val="22"/>
          <w:szCs w:val="22"/>
        </w:rPr>
        <w:t xml:space="preserve">Article </w:t>
      </w:r>
      <w:r w:rsidRPr="00451613">
        <w:rPr>
          <w:color w:val="000000" w:themeColor="text1"/>
          <w:sz w:val="22"/>
          <w:szCs w:val="22"/>
          <w:shd w:val="clear" w:color="auto" w:fill="FFFFFF"/>
        </w:rPr>
        <w:t xml:space="preserve">133017. </w:t>
      </w:r>
      <w:hyperlink r:id="rId62" w:history="1">
        <w:r w:rsidRPr="00451613">
          <w:rPr>
            <w:rStyle w:val="Hyperlink"/>
            <w:rFonts w:eastAsiaTheme="majorEastAsia"/>
            <w:color w:val="000000" w:themeColor="text1"/>
            <w:sz w:val="22"/>
            <w:szCs w:val="22"/>
          </w:rPr>
          <w:t>https://doi.org/10.1016/j.fuel.2024.133017</w:t>
        </w:r>
      </w:hyperlink>
    </w:p>
    <w:p w14:paraId="2DB04518" w14:textId="77777777" w:rsidR="00A0365C" w:rsidRPr="00451613" w:rsidRDefault="00A0365C" w:rsidP="00A0365C">
      <w:pPr>
        <w:ind w:left="720" w:hanging="720"/>
        <w:jc w:val="both"/>
        <w:rPr>
          <w:rFonts w:ascii="Times New Roman" w:hAnsi="Times New Roman" w:cs="Times New Roman"/>
        </w:rPr>
      </w:pPr>
      <w:r w:rsidRPr="00451613">
        <w:rPr>
          <w:rFonts w:ascii="Times New Roman" w:hAnsi="Times New Roman" w:cs="Times New Roman"/>
          <w:color w:val="000000" w:themeColor="text1"/>
          <w:shd w:val="clear" w:color="auto" w:fill="FFFFFF"/>
        </w:rPr>
        <w:t xml:space="preserve">Shobayo, O., Adeyemi-Longe, S., Popoola, O., &amp; Okoyeigbo, O. (2025). A Comparative Analysis of </w:t>
      </w:r>
      <w:r>
        <w:rPr>
          <w:rFonts w:ascii="Times New Roman" w:hAnsi="Times New Roman" w:cs="Times New Roman"/>
          <w:color w:val="000000" w:themeColor="text1"/>
          <w:shd w:val="clear" w:color="auto" w:fill="FFFFFF"/>
        </w:rPr>
        <w:t>Machine-learning</w:t>
      </w:r>
      <w:r w:rsidRPr="00451613">
        <w:rPr>
          <w:rFonts w:ascii="Times New Roman" w:hAnsi="Times New Roman" w:cs="Times New Roman"/>
          <w:color w:val="000000" w:themeColor="text1"/>
          <w:shd w:val="clear" w:color="auto" w:fill="FFFFFF"/>
        </w:rPr>
        <w:t xml:space="preserve"> and Deep Learning Techniques for Accurate Market Price Forecasting. </w:t>
      </w:r>
      <w:r w:rsidRPr="00451613">
        <w:rPr>
          <w:rFonts w:ascii="Times New Roman" w:hAnsi="Times New Roman" w:cs="Times New Roman"/>
          <w:i/>
          <w:iCs/>
          <w:color w:val="000000" w:themeColor="text1"/>
          <w:shd w:val="clear" w:color="auto" w:fill="FFFFFF"/>
        </w:rPr>
        <w:t>Analytics</w:t>
      </w:r>
      <w:r w:rsidRPr="00451613">
        <w:rPr>
          <w:rFonts w:ascii="Times New Roman" w:hAnsi="Times New Roman" w:cs="Times New Roman"/>
          <w:color w:val="000000" w:themeColor="text1"/>
          <w:shd w:val="clear" w:color="auto" w:fill="FFFFFF"/>
        </w:rPr>
        <w:t>, </w:t>
      </w:r>
      <w:r w:rsidRPr="00451613">
        <w:rPr>
          <w:rFonts w:ascii="Times New Roman" w:hAnsi="Times New Roman" w:cs="Times New Roman"/>
          <w:i/>
          <w:iCs/>
          <w:color w:val="000000" w:themeColor="text1"/>
          <w:shd w:val="clear" w:color="auto" w:fill="FFFFFF"/>
        </w:rPr>
        <w:t>4</w:t>
      </w:r>
      <w:r w:rsidRPr="00451613">
        <w:rPr>
          <w:rFonts w:ascii="Times New Roman" w:hAnsi="Times New Roman" w:cs="Times New Roman"/>
          <w:color w:val="000000" w:themeColor="text1"/>
          <w:shd w:val="clear" w:color="auto" w:fill="FFFFFF"/>
        </w:rPr>
        <w:t xml:space="preserve">, Article 5. </w:t>
      </w:r>
      <w:hyperlink r:id="rId63" w:history="1">
        <w:r w:rsidRPr="00451613">
          <w:rPr>
            <w:rStyle w:val="Hyperlink"/>
            <w:rFonts w:ascii="Times New Roman" w:hAnsi="Times New Roman" w:cs="Times New Roman"/>
          </w:rPr>
          <w:t>https://doi.org/10.3390/analytics4010005</w:t>
        </w:r>
      </w:hyperlink>
    </w:p>
    <w:p w14:paraId="5E57758B" w14:textId="77777777" w:rsidR="00A0365C" w:rsidRPr="00451613" w:rsidRDefault="00A0365C" w:rsidP="00A0365C">
      <w:pPr>
        <w:pStyle w:val="NormalWeb"/>
        <w:ind w:left="720" w:hanging="720"/>
        <w:jc w:val="both"/>
        <w:rPr>
          <w:color w:val="000000" w:themeColor="text1"/>
          <w:sz w:val="22"/>
          <w:szCs w:val="22"/>
        </w:rPr>
      </w:pPr>
      <w:r w:rsidRPr="00451613">
        <w:rPr>
          <w:color w:val="000000" w:themeColor="text1"/>
          <w:sz w:val="22"/>
          <w:szCs w:val="22"/>
          <w:shd w:val="clear" w:color="auto" w:fill="FFFFFF"/>
        </w:rPr>
        <w:t xml:space="preserve">Tuğrul, T., Hınıs, M. A., &amp; Oruç, S. (2025). Comparison of LSTM and SVM </w:t>
      </w:r>
      <w:r w:rsidRPr="00451613">
        <w:rPr>
          <w:color w:val="000000" w:themeColor="text1"/>
          <w:sz w:val="22"/>
          <w:szCs w:val="22"/>
          <w:shd w:val="clear" w:color="auto" w:fill="FFFFFF"/>
        </w:rPr>
        <w:lastRenderedPageBreak/>
        <w:t>methods through wavelet decomposition in drought forecasting. </w:t>
      </w:r>
      <w:r w:rsidRPr="00451613">
        <w:rPr>
          <w:i/>
          <w:iCs/>
          <w:color w:val="000000" w:themeColor="text1"/>
          <w:sz w:val="22"/>
          <w:szCs w:val="22"/>
          <w:shd w:val="clear" w:color="auto" w:fill="FFFFFF"/>
        </w:rPr>
        <w:t>Earth Science Informatics</w:t>
      </w:r>
      <w:r w:rsidRPr="00451613">
        <w:rPr>
          <w:color w:val="000000" w:themeColor="text1"/>
          <w:sz w:val="22"/>
          <w:szCs w:val="22"/>
          <w:shd w:val="clear" w:color="auto" w:fill="FFFFFF"/>
        </w:rPr>
        <w:t>, </w:t>
      </w:r>
      <w:r w:rsidRPr="00451613">
        <w:rPr>
          <w:i/>
          <w:iCs/>
          <w:color w:val="000000" w:themeColor="text1"/>
          <w:sz w:val="22"/>
          <w:szCs w:val="22"/>
          <w:shd w:val="clear" w:color="auto" w:fill="FFFFFF"/>
        </w:rPr>
        <w:t>18</w:t>
      </w:r>
      <w:r w:rsidRPr="00451613">
        <w:rPr>
          <w:color w:val="000000" w:themeColor="text1"/>
          <w:sz w:val="22"/>
          <w:szCs w:val="22"/>
          <w:shd w:val="clear" w:color="auto" w:fill="FFFFFF"/>
        </w:rPr>
        <w:t xml:space="preserve">, </w:t>
      </w:r>
      <w:r w:rsidRPr="00451613">
        <w:rPr>
          <w:color w:val="000000" w:themeColor="text1"/>
          <w:sz w:val="22"/>
          <w:szCs w:val="22"/>
        </w:rPr>
        <w:t>Article</w:t>
      </w:r>
      <w:r w:rsidRPr="00451613">
        <w:rPr>
          <w:color w:val="000000" w:themeColor="text1"/>
          <w:sz w:val="22"/>
          <w:szCs w:val="22"/>
          <w:shd w:val="clear" w:color="auto" w:fill="FFFFFF"/>
        </w:rPr>
        <w:t xml:space="preserve"> 139. </w:t>
      </w:r>
      <w:hyperlink r:id="rId64" w:history="1">
        <w:r w:rsidRPr="00451613">
          <w:rPr>
            <w:rStyle w:val="Hyperlink"/>
            <w:color w:val="000000" w:themeColor="text1"/>
            <w:sz w:val="22"/>
            <w:szCs w:val="22"/>
          </w:rPr>
          <w:t>https://doi.org/10.1007/s12145-024-01541-x</w:t>
        </w:r>
      </w:hyperlink>
    </w:p>
    <w:p w14:paraId="5C454ECE" w14:textId="77777777" w:rsidR="00A0365C" w:rsidRPr="00451613" w:rsidRDefault="00A0365C" w:rsidP="00A0365C">
      <w:pPr>
        <w:pStyle w:val="NormalWeb"/>
        <w:ind w:left="720" w:hanging="720"/>
        <w:jc w:val="both"/>
        <w:rPr>
          <w:color w:val="000000" w:themeColor="text1"/>
          <w:sz w:val="22"/>
          <w:szCs w:val="22"/>
        </w:rPr>
      </w:pPr>
      <w:r w:rsidRPr="00451613">
        <w:rPr>
          <w:color w:val="000000" w:themeColor="text1"/>
          <w:sz w:val="22"/>
          <w:szCs w:val="22"/>
          <w:shd w:val="clear" w:color="auto" w:fill="FFFFFF"/>
        </w:rPr>
        <w:t>Zhang, T., &amp; Fu, C. (2022). Application of improved VMD‐LSTM model in sports artificial intelligence. </w:t>
      </w:r>
      <w:r w:rsidRPr="00451613">
        <w:rPr>
          <w:i/>
          <w:iCs/>
          <w:color w:val="000000" w:themeColor="text1"/>
          <w:sz w:val="22"/>
          <w:szCs w:val="22"/>
          <w:shd w:val="clear" w:color="auto" w:fill="FFFFFF"/>
        </w:rPr>
        <w:t>Computational Intelligence and Neuroscience</w:t>
      </w:r>
      <w:r w:rsidRPr="00451613">
        <w:rPr>
          <w:color w:val="000000" w:themeColor="text1"/>
          <w:sz w:val="22"/>
          <w:szCs w:val="22"/>
          <w:shd w:val="clear" w:color="auto" w:fill="FFFFFF"/>
        </w:rPr>
        <w:t>, </w:t>
      </w:r>
      <w:r w:rsidRPr="00451613">
        <w:rPr>
          <w:i/>
          <w:iCs/>
          <w:color w:val="000000" w:themeColor="text1"/>
          <w:sz w:val="22"/>
          <w:szCs w:val="22"/>
          <w:shd w:val="clear" w:color="auto" w:fill="FFFFFF"/>
        </w:rPr>
        <w:t>2022</w:t>
      </w:r>
      <w:r w:rsidRPr="00451613">
        <w:rPr>
          <w:color w:val="000000" w:themeColor="text1"/>
          <w:sz w:val="22"/>
          <w:szCs w:val="22"/>
          <w:shd w:val="clear" w:color="auto" w:fill="FFFFFF"/>
        </w:rPr>
        <w:t xml:space="preserve">, </w:t>
      </w:r>
      <w:r w:rsidRPr="00451613">
        <w:rPr>
          <w:color w:val="000000" w:themeColor="text1"/>
          <w:sz w:val="22"/>
          <w:szCs w:val="22"/>
        </w:rPr>
        <w:t xml:space="preserve">Article </w:t>
      </w:r>
      <w:r w:rsidRPr="00451613">
        <w:rPr>
          <w:color w:val="000000" w:themeColor="text1"/>
          <w:sz w:val="22"/>
          <w:szCs w:val="22"/>
          <w:shd w:val="clear" w:color="auto" w:fill="FFFFFF"/>
        </w:rPr>
        <w:t xml:space="preserve">3410153. </w:t>
      </w:r>
      <w:hyperlink r:id="rId65" w:tgtFrame="_new" w:history="1">
        <w:r w:rsidRPr="00451613">
          <w:rPr>
            <w:rStyle w:val="Hyperlink"/>
            <w:rFonts w:eastAsiaTheme="majorEastAsia"/>
            <w:color w:val="000000" w:themeColor="text1"/>
            <w:sz w:val="22"/>
            <w:szCs w:val="22"/>
          </w:rPr>
          <w:t>https://doi.org/10.1155/2022/3410153</w:t>
        </w:r>
      </w:hyperlink>
    </w:p>
    <w:p w14:paraId="69ED1198" w14:textId="77777777" w:rsidR="00A0365C" w:rsidRPr="00451613" w:rsidRDefault="00A0365C" w:rsidP="00A0365C">
      <w:pPr>
        <w:ind w:left="720" w:hanging="720"/>
        <w:jc w:val="both"/>
        <w:rPr>
          <w:rFonts w:ascii="Times New Roman" w:hAnsi="Times New Roman" w:cs="Times New Roman"/>
          <w:color w:val="000000" w:themeColor="text1"/>
          <w:shd w:val="clear" w:color="auto" w:fill="FFFFFF"/>
        </w:rPr>
      </w:pPr>
      <w:r w:rsidRPr="00451613">
        <w:rPr>
          <w:rFonts w:ascii="Times New Roman" w:hAnsi="Times New Roman" w:cs="Times New Roman"/>
          <w:color w:val="000000" w:themeColor="text1"/>
          <w:shd w:val="clear" w:color="auto" w:fill="FFFFFF"/>
        </w:rPr>
        <w:t>Zhao, C., Cai, J., &amp; Yang, S. (2025). A hybrid stock prediction method based on periodic/non-periodic features analyses. </w:t>
      </w:r>
      <w:r w:rsidRPr="00451613">
        <w:rPr>
          <w:rFonts w:ascii="Times New Roman" w:hAnsi="Times New Roman" w:cs="Times New Roman"/>
          <w:i/>
          <w:iCs/>
          <w:color w:val="000000" w:themeColor="text1"/>
          <w:shd w:val="clear" w:color="auto" w:fill="FFFFFF"/>
        </w:rPr>
        <w:t>EPJ Data Science</w:t>
      </w:r>
      <w:r w:rsidRPr="00451613">
        <w:rPr>
          <w:rFonts w:ascii="Times New Roman" w:hAnsi="Times New Roman" w:cs="Times New Roman"/>
          <w:color w:val="000000" w:themeColor="text1"/>
          <w:shd w:val="clear" w:color="auto" w:fill="FFFFFF"/>
        </w:rPr>
        <w:t>, </w:t>
      </w:r>
      <w:r w:rsidRPr="00451613">
        <w:rPr>
          <w:rFonts w:ascii="Times New Roman" w:hAnsi="Times New Roman" w:cs="Times New Roman"/>
          <w:i/>
          <w:iCs/>
          <w:color w:val="000000" w:themeColor="text1"/>
          <w:shd w:val="clear" w:color="auto" w:fill="FFFFFF"/>
        </w:rPr>
        <w:t>14</w:t>
      </w:r>
      <w:r w:rsidRPr="00451613">
        <w:rPr>
          <w:rFonts w:ascii="Times New Roman" w:hAnsi="Times New Roman" w:cs="Times New Roman"/>
          <w:color w:val="000000" w:themeColor="text1"/>
          <w:shd w:val="clear" w:color="auto" w:fill="FFFFFF"/>
        </w:rPr>
        <w:t xml:space="preserve">, </w:t>
      </w:r>
      <w:r w:rsidRPr="00451613">
        <w:rPr>
          <w:rFonts w:ascii="Times New Roman" w:hAnsi="Times New Roman" w:cs="Times New Roman"/>
          <w:color w:val="000000" w:themeColor="text1"/>
        </w:rPr>
        <w:t xml:space="preserve">Article 1. </w:t>
      </w:r>
      <w:hyperlink r:id="rId66" w:history="1">
        <w:r w:rsidRPr="00451613">
          <w:rPr>
            <w:rStyle w:val="Hyperlink"/>
            <w:rFonts w:ascii="Times New Roman" w:hAnsi="Times New Roman" w:cs="Times New Roman"/>
            <w:color w:val="000000" w:themeColor="text1"/>
          </w:rPr>
          <w:t>https://doi.org/10.1140/epjds/s13688-024-00517-7</w:t>
        </w:r>
      </w:hyperlink>
    </w:p>
    <w:p w14:paraId="46C8EF7A" w14:textId="77777777" w:rsidR="00A0365C" w:rsidRPr="00451613" w:rsidRDefault="00A0365C" w:rsidP="00A0365C">
      <w:pPr>
        <w:pStyle w:val="NormalWeb"/>
        <w:jc w:val="both"/>
        <w:rPr>
          <w:rStyle w:val="Strong"/>
          <w:rFonts w:eastAsiaTheme="majorEastAsia"/>
          <w:b w:val="0"/>
          <w:bCs w:val="0"/>
          <w:color w:val="000000" w:themeColor="text1"/>
          <w:sz w:val="22"/>
          <w:szCs w:val="22"/>
        </w:rPr>
      </w:pPr>
      <w:r w:rsidRPr="00451613">
        <w:rPr>
          <w:rStyle w:val="Strong"/>
          <w:rFonts w:eastAsiaTheme="majorEastAsia"/>
          <w:color w:val="000000" w:themeColor="text1"/>
          <w:sz w:val="22"/>
          <w:szCs w:val="22"/>
        </w:rPr>
        <w:t>Reference to a chapter in a book</w:t>
      </w:r>
    </w:p>
    <w:p w14:paraId="2597ED72" w14:textId="77777777" w:rsidR="00A0365C" w:rsidRPr="00451613" w:rsidRDefault="00A0365C" w:rsidP="00A0365C">
      <w:pPr>
        <w:ind w:left="720" w:hanging="720"/>
        <w:rPr>
          <w:rFonts w:ascii="Times New Roman" w:hAnsi="Times New Roman" w:cs="Times New Roman"/>
          <w:color w:val="000000" w:themeColor="text1"/>
        </w:rPr>
      </w:pPr>
      <w:r w:rsidRPr="00451613">
        <w:rPr>
          <w:rFonts w:ascii="Times New Roman" w:hAnsi="Times New Roman" w:cs="Times New Roman"/>
          <w:color w:val="000000" w:themeColor="text1"/>
        </w:rPr>
        <w:t xml:space="preserve">Majumder, A., Rahman, M.M., Biswas, A.A., Zulfiker, M.S., Basak, S. (2022). Stock Market Prediction: A Time Series Analysis. In: Somani, A.K., Mundra, A., Doss, R., Bhattacharya, S. (Eds) Smart Systems: Innovations in Computing. Smart Innovation, Systems and Technologies </w:t>
      </w:r>
      <w:r w:rsidRPr="00451613">
        <w:rPr>
          <w:rFonts w:ascii="Times New Roman" w:hAnsi="Times New Roman" w:cs="Times New Roman"/>
          <w:color w:val="000000" w:themeColor="text1"/>
          <w:shd w:val="clear" w:color="auto" w:fill="FFFFFF"/>
        </w:rPr>
        <w:t>(pp. 389-401)</w:t>
      </w:r>
      <w:r w:rsidRPr="00451613">
        <w:rPr>
          <w:rFonts w:ascii="Times New Roman" w:hAnsi="Times New Roman" w:cs="Times New Roman"/>
          <w:color w:val="000000" w:themeColor="text1"/>
        </w:rPr>
        <w:t xml:space="preserve">. Springer, Singapore. </w:t>
      </w:r>
      <w:hyperlink r:id="rId67" w:history="1">
        <w:r w:rsidRPr="00451613">
          <w:rPr>
            <w:rStyle w:val="Hyperlink"/>
            <w:rFonts w:ascii="Times New Roman" w:hAnsi="Times New Roman" w:cs="Times New Roman"/>
            <w:color w:val="000000" w:themeColor="text1"/>
          </w:rPr>
          <w:t>https://doi.org/10.1007/978-981-16-2877-1_35</w:t>
        </w:r>
      </w:hyperlink>
    </w:p>
    <w:p w14:paraId="507CE4E3" w14:textId="77777777" w:rsidR="00A0365C" w:rsidRPr="00451613" w:rsidRDefault="00A0365C" w:rsidP="00A0365C">
      <w:pPr>
        <w:pStyle w:val="NormalWeb"/>
        <w:ind w:left="720" w:hanging="720"/>
        <w:rPr>
          <w:color w:val="000000" w:themeColor="text1"/>
          <w:sz w:val="22"/>
          <w:szCs w:val="22"/>
        </w:rPr>
      </w:pPr>
      <w:r w:rsidRPr="00451613">
        <w:rPr>
          <w:color w:val="000000" w:themeColor="text1"/>
          <w:sz w:val="22"/>
          <w:szCs w:val="22"/>
        </w:rPr>
        <w:t xml:space="preserve">Cutler, A., Cutler, D.R., Stevens, J.R. (2012). Random Forests. In: Zhang, C., Ma, Y. (eds) Ensemble </w:t>
      </w:r>
      <w:r>
        <w:rPr>
          <w:color w:val="000000" w:themeColor="text1"/>
          <w:sz w:val="22"/>
          <w:szCs w:val="22"/>
        </w:rPr>
        <w:t>Machine-learning</w:t>
      </w:r>
      <w:r w:rsidRPr="00451613">
        <w:rPr>
          <w:color w:val="000000" w:themeColor="text1"/>
          <w:sz w:val="22"/>
          <w:szCs w:val="22"/>
        </w:rPr>
        <w:t xml:space="preserve">. Springer, New York, NY. </w:t>
      </w:r>
      <w:hyperlink r:id="rId68" w:history="1">
        <w:r w:rsidRPr="00451613">
          <w:rPr>
            <w:rStyle w:val="Hyperlink"/>
            <w:color w:val="000000" w:themeColor="text1"/>
            <w:sz w:val="22"/>
            <w:szCs w:val="22"/>
          </w:rPr>
          <w:t>https://doi.org/10.1007/978-1-4419-9326-7_5</w:t>
        </w:r>
      </w:hyperlink>
    </w:p>
    <w:p w14:paraId="6265B453" w14:textId="77777777" w:rsidR="00A0365C" w:rsidRPr="00451613" w:rsidRDefault="00A0365C" w:rsidP="00A0365C">
      <w:pPr>
        <w:pStyle w:val="NormalWeb"/>
        <w:jc w:val="both"/>
        <w:rPr>
          <w:rStyle w:val="Strong"/>
          <w:rFonts w:eastAsiaTheme="majorEastAsia"/>
          <w:b w:val="0"/>
          <w:bCs w:val="0"/>
          <w:color w:val="000000" w:themeColor="text1"/>
          <w:sz w:val="22"/>
          <w:szCs w:val="22"/>
        </w:rPr>
      </w:pPr>
      <w:r w:rsidRPr="00451613">
        <w:rPr>
          <w:rStyle w:val="Strong"/>
          <w:rFonts w:eastAsiaTheme="majorEastAsia"/>
          <w:color w:val="000000" w:themeColor="text1"/>
          <w:sz w:val="22"/>
          <w:szCs w:val="22"/>
        </w:rPr>
        <w:t>References for a Conference Paper</w:t>
      </w:r>
    </w:p>
    <w:p w14:paraId="72C3C883" w14:textId="77777777" w:rsidR="00A0365C" w:rsidRPr="00451613" w:rsidRDefault="00A0365C" w:rsidP="00A0365C">
      <w:pPr>
        <w:pStyle w:val="NormalWeb"/>
        <w:ind w:left="720" w:hanging="720"/>
        <w:jc w:val="both"/>
        <w:rPr>
          <w:rStyle w:val="Strong"/>
          <w:rFonts w:eastAsiaTheme="majorEastAsia"/>
          <w:b w:val="0"/>
          <w:bCs w:val="0"/>
          <w:color w:val="000000" w:themeColor="text1"/>
          <w:sz w:val="22"/>
          <w:szCs w:val="22"/>
        </w:rPr>
      </w:pPr>
      <w:r w:rsidRPr="00451613">
        <w:rPr>
          <w:rStyle w:val="Strong"/>
          <w:rFonts w:eastAsiaTheme="majorEastAsia"/>
          <w:color w:val="000000" w:themeColor="text1"/>
          <w:sz w:val="22"/>
          <w:szCs w:val="22"/>
        </w:rPr>
        <w:t xml:space="preserve">Gupta, K., Jiwani, N., &amp; Afreen, N. (2022, June). </w:t>
      </w:r>
      <w:r w:rsidRPr="00451613">
        <w:rPr>
          <w:rStyle w:val="Emphasis"/>
          <w:rFonts w:eastAsiaTheme="majorEastAsia"/>
          <w:color w:val="000000" w:themeColor="text1"/>
          <w:sz w:val="22"/>
          <w:szCs w:val="22"/>
        </w:rPr>
        <w:t>Blood pressure detection using CNN-LSTM model</w:t>
      </w:r>
      <w:r w:rsidRPr="00451613">
        <w:rPr>
          <w:rStyle w:val="Strong"/>
          <w:rFonts w:eastAsiaTheme="majorEastAsia"/>
          <w:color w:val="000000" w:themeColor="text1"/>
          <w:sz w:val="22"/>
          <w:szCs w:val="22"/>
        </w:rPr>
        <w:t xml:space="preserve">. Paper presented at the 11th International Conference on Communication </w:t>
      </w:r>
      <w:r w:rsidRPr="00451613">
        <w:rPr>
          <w:rStyle w:val="Strong"/>
          <w:rFonts w:eastAsiaTheme="majorEastAsia"/>
          <w:color w:val="000000" w:themeColor="text1"/>
          <w:sz w:val="22"/>
          <w:szCs w:val="22"/>
        </w:rPr>
        <w:lastRenderedPageBreak/>
        <w:t xml:space="preserve">Systems and Network Technologies (CSNT), Indore, India. </w:t>
      </w:r>
      <w:hyperlink r:id="rId69" w:history="1">
        <w:r w:rsidRPr="00451613">
          <w:rPr>
            <w:rStyle w:val="Hyperlink"/>
            <w:rFonts w:eastAsiaTheme="majorEastAsia"/>
            <w:color w:val="000000" w:themeColor="text1"/>
            <w:sz w:val="22"/>
            <w:szCs w:val="22"/>
          </w:rPr>
          <w:t>https://doi.org/10.1109/CSNT54456.2022.9787648</w:t>
        </w:r>
      </w:hyperlink>
    </w:p>
    <w:p w14:paraId="5BF04D2A" w14:textId="77777777" w:rsidR="00A0365C" w:rsidRPr="00451613" w:rsidRDefault="00A0365C" w:rsidP="00A0365C">
      <w:pPr>
        <w:pStyle w:val="NormalWeb"/>
        <w:ind w:left="720" w:hanging="720"/>
        <w:jc w:val="both"/>
        <w:rPr>
          <w:rStyle w:val="Strong"/>
          <w:rFonts w:eastAsiaTheme="majorEastAsia"/>
          <w:b w:val="0"/>
          <w:bCs w:val="0"/>
          <w:color w:val="000000" w:themeColor="text1"/>
          <w:sz w:val="22"/>
          <w:szCs w:val="22"/>
        </w:rPr>
      </w:pPr>
      <w:r w:rsidRPr="00451613">
        <w:rPr>
          <w:rStyle w:val="Strong"/>
          <w:rFonts w:eastAsiaTheme="majorEastAsia"/>
          <w:color w:val="000000" w:themeColor="text1"/>
          <w:sz w:val="22"/>
          <w:szCs w:val="22"/>
        </w:rPr>
        <w:t xml:space="preserve">Gupta, S., Nachappa, S., &amp; Paramanandham, N. (2024, November). </w:t>
      </w:r>
      <w:r w:rsidRPr="00451613">
        <w:rPr>
          <w:rStyle w:val="Emphasis"/>
          <w:rFonts w:eastAsiaTheme="majorEastAsia"/>
          <w:color w:val="000000" w:themeColor="text1"/>
          <w:sz w:val="22"/>
          <w:szCs w:val="22"/>
        </w:rPr>
        <w:t xml:space="preserve">Stock market time series forecasting using comparative </w:t>
      </w:r>
      <w:r>
        <w:rPr>
          <w:rStyle w:val="Emphasis"/>
          <w:rFonts w:eastAsiaTheme="majorEastAsia"/>
          <w:color w:val="000000" w:themeColor="text1"/>
          <w:sz w:val="22"/>
          <w:szCs w:val="22"/>
        </w:rPr>
        <w:t>machine-learning</w:t>
      </w:r>
      <w:r w:rsidRPr="00451613">
        <w:rPr>
          <w:rStyle w:val="Emphasis"/>
          <w:rFonts w:eastAsiaTheme="majorEastAsia"/>
          <w:color w:val="000000" w:themeColor="text1"/>
          <w:sz w:val="22"/>
          <w:szCs w:val="22"/>
        </w:rPr>
        <w:t xml:space="preserve"> algorithms</w:t>
      </w:r>
      <w:r w:rsidRPr="00451613">
        <w:rPr>
          <w:rStyle w:val="Strong"/>
          <w:rFonts w:eastAsiaTheme="majorEastAsia"/>
          <w:color w:val="000000" w:themeColor="text1"/>
          <w:sz w:val="22"/>
          <w:szCs w:val="22"/>
        </w:rPr>
        <w:t xml:space="preserve">. Paper presented at the 4th International Conference on Evolutionary Computing and Mobile Sustainable Networks, </w:t>
      </w:r>
      <w:r w:rsidRPr="00451613">
        <w:rPr>
          <w:color w:val="000000" w:themeColor="text1"/>
          <w:sz w:val="22"/>
          <w:szCs w:val="22"/>
          <w:shd w:val="clear" w:color="auto" w:fill="FFFFFF"/>
        </w:rPr>
        <w:t>Coimbatore, India</w:t>
      </w:r>
      <w:r w:rsidRPr="00451613">
        <w:rPr>
          <w:rStyle w:val="Strong"/>
          <w:rFonts w:eastAsiaTheme="majorEastAsia"/>
          <w:color w:val="000000" w:themeColor="text1"/>
          <w:sz w:val="22"/>
          <w:szCs w:val="22"/>
        </w:rPr>
        <w:t xml:space="preserve">. </w:t>
      </w:r>
      <w:hyperlink r:id="rId70" w:history="1">
        <w:r w:rsidRPr="00451613">
          <w:rPr>
            <w:rStyle w:val="Hyperlink"/>
            <w:rFonts w:eastAsiaTheme="majorEastAsia"/>
            <w:color w:val="000000" w:themeColor="text1"/>
            <w:sz w:val="22"/>
            <w:szCs w:val="22"/>
          </w:rPr>
          <w:t>https://doi.org/10.1016/j.procs.2025.01.050</w:t>
        </w:r>
      </w:hyperlink>
    </w:p>
    <w:p w14:paraId="2CCD1C9A" w14:textId="77777777" w:rsidR="00A0365C" w:rsidRPr="00451613" w:rsidRDefault="00A0365C" w:rsidP="00A0365C">
      <w:pPr>
        <w:pStyle w:val="NormalWeb"/>
        <w:ind w:left="720" w:hanging="720"/>
        <w:jc w:val="both"/>
        <w:rPr>
          <w:rStyle w:val="Strong"/>
          <w:rFonts w:eastAsiaTheme="majorEastAsia"/>
          <w:b w:val="0"/>
          <w:bCs w:val="0"/>
          <w:color w:val="000000" w:themeColor="text1"/>
          <w:sz w:val="22"/>
          <w:szCs w:val="22"/>
        </w:rPr>
      </w:pPr>
      <w:r w:rsidRPr="00451613">
        <w:rPr>
          <w:rStyle w:val="Strong"/>
          <w:rFonts w:eastAsiaTheme="majorEastAsia"/>
          <w:color w:val="000000" w:themeColor="text1"/>
          <w:sz w:val="22"/>
          <w:szCs w:val="22"/>
        </w:rPr>
        <w:t xml:space="preserve">Hiransha, M., Gopalakrishnan, E. A., Menon, V. K., &amp; Soman, K. P. (2018, April). </w:t>
      </w:r>
      <w:r w:rsidRPr="00451613">
        <w:rPr>
          <w:rStyle w:val="Emphasis"/>
          <w:rFonts w:eastAsiaTheme="majorEastAsia"/>
          <w:color w:val="000000" w:themeColor="text1"/>
          <w:sz w:val="22"/>
          <w:szCs w:val="22"/>
        </w:rPr>
        <w:t>NSE stock market prediction using deep-learning models</w:t>
      </w:r>
      <w:r w:rsidRPr="00451613">
        <w:rPr>
          <w:rStyle w:val="Strong"/>
          <w:rFonts w:eastAsiaTheme="majorEastAsia"/>
          <w:color w:val="000000" w:themeColor="text1"/>
          <w:sz w:val="22"/>
          <w:szCs w:val="22"/>
        </w:rPr>
        <w:t xml:space="preserve">. Paper presented at the International Conference on Computational Intelligence and Data Science (ICCIDS), Gurugram, India. </w:t>
      </w:r>
      <w:hyperlink r:id="rId71" w:history="1">
        <w:r w:rsidRPr="00451613">
          <w:rPr>
            <w:rStyle w:val="Hyperlink"/>
            <w:rFonts w:eastAsiaTheme="majorEastAsia"/>
            <w:color w:val="000000" w:themeColor="text1"/>
            <w:sz w:val="22"/>
            <w:szCs w:val="22"/>
          </w:rPr>
          <w:t>https://doi.org/10.1016/j.procs.2018.05.050</w:t>
        </w:r>
      </w:hyperlink>
    </w:p>
    <w:p w14:paraId="53CEF957" w14:textId="77777777" w:rsidR="00A0365C" w:rsidRPr="00451613" w:rsidRDefault="00A0365C" w:rsidP="00A0365C">
      <w:pPr>
        <w:ind w:left="720" w:hanging="720"/>
        <w:jc w:val="both"/>
        <w:rPr>
          <w:rFonts w:ascii="Times New Roman" w:hAnsi="Times New Roman" w:cs="Times New Roman"/>
          <w:color w:val="000000" w:themeColor="text1"/>
          <w:shd w:val="clear" w:color="auto" w:fill="FFFFFF"/>
        </w:rPr>
      </w:pPr>
      <w:r w:rsidRPr="00451613">
        <w:rPr>
          <w:rFonts w:ascii="Times New Roman" w:hAnsi="Times New Roman" w:cs="Times New Roman"/>
          <w:color w:val="000000" w:themeColor="text1"/>
          <w:shd w:val="clear" w:color="auto" w:fill="FFFFFF"/>
        </w:rPr>
        <w:t xml:space="preserve">Kumar, M., &amp; Thenmozhi, M. (2006, January). Forecasting stock index movement: A comparison of support vector machines and random forest. </w:t>
      </w:r>
      <w:r w:rsidRPr="00451613">
        <w:rPr>
          <w:rFonts w:ascii="Times New Roman" w:hAnsi="Times New Roman" w:cs="Times New Roman"/>
          <w:color w:val="000000" w:themeColor="text1"/>
        </w:rPr>
        <w:t>Paper presented at the</w:t>
      </w:r>
      <w:r w:rsidRPr="00451613">
        <w:rPr>
          <w:rFonts w:ascii="Times New Roman" w:hAnsi="Times New Roman" w:cs="Times New Roman"/>
          <w:color w:val="000000" w:themeColor="text1"/>
          <w:shd w:val="clear" w:color="auto" w:fill="FFFFFF"/>
        </w:rPr>
        <w:t> </w:t>
      </w:r>
      <w:r w:rsidRPr="00451613">
        <w:rPr>
          <w:rFonts w:ascii="Times New Roman" w:hAnsi="Times New Roman" w:cs="Times New Roman"/>
          <w:i/>
          <w:iCs/>
          <w:color w:val="000000" w:themeColor="text1"/>
          <w:shd w:val="clear" w:color="auto" w:fill="FFFFFF"/>
        </w:rPr>
        <w:t>Indian institute of capital markets 9th capital markets conference paper</w:t>
      </w:r>
      <w:r w:rsidRPr="00451613">
        <w:rPr>
          <w:rFonts w:ascii="Times New Roman" w:hAnsi="Times New Roman" w:cs="Times New Roman"/>
          <w:color w:val="000000" w:themeColor="text1"/>
          <w:shd w:val="clear" w:color="auto" w:fill="FFFFFF"/>
        </w:rPr>
        <w:t>. Mumbai, India</w:t>
      </w:r>
    </w:p>
    <w:p w14:paraId="46405DB0" w14:textId="77777777" w:rsidR="00A0365C" w:rsidRPr="00451613" w:rsidRDefault="00A0365C" w:rsidP="00A0365C">
      <w:pPr>
        <w:ind w:left="720" w:hanging="720"/>
        <w:jc w:val="both"/>
        <w:rPr>
          <w:rFonts w:ascii="Times New Roman" w:hAnsi="Times New Roman" w:cs="Times New Roman"/>
          <w:color w:val="000000" w:themeColor="text1"/>
        </w:rPr>
      </w:pPr>
      <w:r w:rsidRPr="00451613">
        <w:rPr>
          <w:rFonts w:ascii="Times New Roman" w:hAnsi="Times New Roman" w:cs="Times New Roman"/>
          <w:color w:val="000000" w:themeColor="text1"/>
          <w:shd w:val="clear" w:color="auto" w:fill="FFFFFF"/>
        </w:rPr>
        <w:t xml:space="preserve">Lakshminarayanan, S. K., &amp; McCrae, J. (2019, November). </w:t>
      </w:r>
      <w:r w:rsidRPr="00451613">
        <w:rPr>
          <w:rFonts w:ascii="Times New Roman" w:hAnsi="Times New Roman" w:cs="Times New Roman"/>
          <w:i/>
          <w:iCs/>
          <w:color w:val="000000" w:themeColor="text1"/>
          <w:shd w:val="clear" w:color="auto" w:fill="FFFFFF"/>
        </w:rPr>
        <w:t>A Comparative Study of SVM and LSTM Deep Learning Algorithms for Stock Market Prediction</w:t>
      </w:r>
      <w:r w:rsidRPr="00451613">
        <w:rPr>
          <w:rFonts w:ascii="Times New Roman" w:hAnsi="Times New Roman" w:cs="Times New Roman"/>
          <w:color w:val="000000" w:themeColor="text1"/>
          <w:shd w:val="clear" w:color="auto" w:fill="FFFFFF"/>
        </w:rPr>
        <w:t xml:space="preserve">. </w:t>
      </w:r>
      <w:r w:rsidRPr="00451613">
        <w:rPr>
          <w:rFonts w:ascii="Times New Roman" w:hAnsi="Times New Roman" w:cs="Times New Roman"/>
          <w:color w:val="000000" w:themeColor="text1"/>
        </w:rPr>
        <w:t xml:space="preserve">Paper presented at the </w:t>
      </w:r>
      <w:r w:rsidRPr="00451613">
        <w:rPr>
          <w:rFonts w:ascii="Times New Roman" w:hAnsi="Times New Roman" w:cs="Times New Roman"/>
          <w:color w:val="000000" w:themeColor="text1"/>
          <w:shd w:val="clear" w:color="auto" w:fill="FFFFFF"/>
        </w:rPr>
        <w:t>Second International Conference on Applied Informatics (ICAI 2019)</w:t>
      </w:r>
      <w:r w:rsidRPr="00451613">
        <w:rPr>
          <w:rFonts w:ascii="Times New Roman" w:hAnsi="Times New Roman" w:cs="Times New Roman"/>
          <w:color w:val="000000" w:themeColor="text1"/>
        </w:rPr>
        <w:t>, Madrid, Spain.</w:t>
      </w:r>
    </w:p>
    <w:p w14:paraId="2E571609" w14:textId="77777777" w:rsidR="00A0365C" w:rsidRPr="00451613" w:rsidRDefault="00A0365C" w:rsidP="00A0365C">
      <w:pPr>
        <w:ind w:left="720" w:hanging="720"/>
        <w:jc w:val="both"/>
        <w:rPr>
          <w:rStyle w:val="Strong"/>
          <w:rFonts w:ascii="Times New Roman" w:hAnsi="Times New Roman" w:cs="Times New Roman"/>
          <w:b w:val="0"/>
          <w:bCs w:val="0"/>
          <w:color w:val="000000" w:themeColor="text1"/>
        </w:rPr>
      </w:pPr>
      <w:r w:rsidRPr="00451613">
        <w:rPr>
          <w:rFonts w:ascii="Times New Roman" w:hAnsi="Times New Roman" w:cs="Times New Roman"/>
          <w:color w:val="000000" w:themeColor="text1"/>
          <w:shd w:val="clear" w:color="auto" w:fill="FFFFFF"/>
        </w:rPr>
        <w:t xml:space="preserve">Liu, Y. (2025, February). </w:t>
      </w:r>
      <w:r w:rsidRPr="00451613">
        <w:rPr>
          <w:rFonts w:ascii="Times New Roman" w:hAnsi="Times New Roman" w:cs="Times New Roman"/>
          <w:i/>
          <w:iCs/>
          <w:color w:val="000000" w:themeColor="text1"/>
          <w:shd w:val="clear" w:color="auto" w:fill="FFFFFF"/>
        </w:rPr>
        <w:t xml:space="preserve">Advancing Stock Return Prediction: A Comprehensive Study of Traditional </w:t>
      </w:r>
      <w:r>
        <w:rPr>
          <w:rFonts w:ascii="Times New Roman" w:hAnsi="Times New Roman" w:cs="Times New Roman"/>
          <w:i/>
          <w:iCs/>
          <w:color w:val="000000" w:themeColor="text1"/>
          <w:shd w:val="clear" w:color="auto" w:fill="FFFFFF"/>
        </w:rPr>
        <w:t>Machine-learning</w:t>
      </w:r>
      <w:r w:rsidRPr="00451613">
        <w:rPr>
          <w:rFonts w:ascii="Times New Roman" w:hAnsi="Times New Roman" w:cs="Times New Roman"/>
          <w:i/>
          <w:iCs/>
          <w:color w:val="000000" w:themeColor="text1"/>
          <w:shd w:val="clear" w:color="auto" w:fill="FFFFFF"/>
        </w:rPr>
        <w:t xml:space="preserve"> and Deep Learning Models</w:t>
      </w:r>
      <w:r w:rsidRPr="00451613">
        <w:rPr>
          <w:rFonts w:ascii="Times New Roman" w:hAnsi="Times New Roman" w:cs="Times New Roman"/>
          <w:color w:val="000000" w:themeColor="text1"/>
          <w:shd w:val="clear" w:color="auto" w:fill="FFFFFF"/>
        </w:rPr>
        <w:t>. In </w:t>
      </w:r>
      <w:r w:rsidRPr="00451613">
        <w:rPr>
          <w:rFonts w:ascii="Times New Roman" w:hAnsi="Times New Roman" w:cs="Times New Roman"/>
          <w:i/>
          <w:iCs/>
          <w:color w:val="000000" w:themeColor="text1"/>
          <w:shd w:val="clear" w:color="auto" w:fill="FFFFFF"/>
        </w:rPr>
        <w:t xml:space="preserve">International Workshop on Navigating the Digital Business </w:t>
      </w:r>
      <w:r w:rsidRPr="00451613">
        <w:rPr>
          <w:rFonts w:ascii="Times New Roman" w:hAnsi="Times New Roman" w:cs="Times New Roman"/>
          <w:i/>
          <w:iCs/>
          <w:color w:val="000000" w:themeColor="text1"/>
          <w:shd w:val="clear" w:color="auto" w:fill="FFFFFF"/>
        </w:rPr>
        <w:lastRenderedPageBreak/>
        <w:t>Frontier for Sustainable Financial Innovation (ICDEBA 2024)</w:t>
      </w:r>
      <w:r w:rsidRPr="00451613">
        <w:rPr>
          <w:rFonts w:ascii="Times New Roman" w:hAnsi="Times New Roman" w:cs="Times New Roman"/>
          <w:color w:val="000000" w:themeColor="text1"/>
          <w:shd w:val="clear" w:color="auto" w:fill="FFFFFF"/>
        </w:rPr>
        <w:t>, China.</w:t>
      </w:r>
    </w:p>
    <w:p w14:paraId="5DF51CBA" w14:textId="77777777" w:rsidR="00A0365C" w:rsidRPr="00451613" w:rsidRDefault="00A0365C" w:rsidP="00A0365C">
      <w:pPr>
        <w:pStyle w:val="NormalWeb"/>
        <w:ind w:left="720" w:hanging="720"/>
        <w:jc w:val="both"/>
        <w:rPr>
          <w:rStyle w:val="Strong"/>
          <w:rFonts w:eastAsiaTheme="majorEastAsia"/>
          <w:b w:val="0"/>
          <w:bCs w:val="0"/>
          <w:color w:val="000000" w:themeColor="text1"/>
          <w:sz w:val="22"/>
          <w:szCs w:val="22"/>
        </w:rPr>
      </w:pPr>
      <w:r w:rsidRPr="00451613">
        <w:rPr>
          <w:rStyle w:val="Strong"/>
          <w:rFonts w:eastAsiaTheme="majorEastAsia"/>
          <w:color w:val="000000" w:themeColor="text1"/>
          <w:sz w:val="22"/>
          <w:szCs w:val="22"/>
        </w:rPr>
        <w:t xml:space="preserve">Mintarya, L. N., Halima, J. N. M., Angie, C., Achmad, S., &amp; Kurniawan, A. (2022, </w:t>
      </w:r>
      <w:r w:rsidRPr="00451613">
        <w:rPr>
          <w:color w:val="000000" w:themeColor="text1"/>
          <w:sz w:val="22"/>
          <w:szCs w:val="22"/>
          <w:shd w:val="clear" w:color="auto" w:fill="FFFFFF"/>
        </w:rPr>
        <w:t>November</w:t>
      </w:r>
      <w:r w:rsidRPr="00451613">
        <w:rPr>
          <w:rStyle w:val="Strong"/>
          <w:rFonts w:eastAsiaTheme="majorEastAsia"/>
          <w:color w:val="000000" w:themeColor="text1"/>
          <w:sz w:val="22"/>
          <w:szCs w:val="22"/>
        </w:rPr>
        <w:t xml:space="preserve">). </w:t>
      </w:r>
      <w:r>
        <w:rPr>
          <w:rStyle w:val="Emphasis"/>
          <w:rFonts w:eastAsiaTheme="majorEastAsia"/>
          <w:color w:val="000000" w:themeColor="text1"/>
          <w:sz w:val="22"/>
          <w:szCs w:val="22"/>
        </w:rPr>
        <w:t>Machine-learning</w:t>
      </w:r>
      <w:r w:rsidRPr="00451613">
        <w:rPr>
          <w:rStyle w:val="Emphasis"/>
          <w:rFonts w:eastAsiaTheme="majorEastAsia"/>
          <w:color w:val="000000" w:themeColor="text1"/>
          <w:sz w:val="22"/>
          <w:szCs w:val="22"/>
        </w:rPr>
        <w:t xml:space="preserve"> approaches in stock market prediction: A systematic literature review</w:t>
      </w:r>
      <w:r w:rsidRPr="00451613">
        <w:rPr>
          <w:rStyle w:val="Strong"/>
          <w:rFonts w:eastAsiaTheme="majorEastAsia"/>
          <w:color w:val="000000" w:themeColor="text1"/>
          <w:sz w:val="22"/>
          <w:szCs w:val="22"/>
        </w:rPr>
        <w:t xml:space="preserve">. Paper presented at the 7th International Conference on Computer Science and Computational Intelligence (CSCI 2022), </w:t>
      </w:r>
      <w:r w:rsidRPr="00451613">
        <w:rPr>
          <w:color w:val="000000" w:themeColor="text1"/>
          <w:sz w:val="22"/>
          <w:szCs w:val="22"/>
          <w:shd w:val="clear" w:color="auto" w:fill="FFFFFF"/>
        </w:rPr>
        <w:t>Bandung, Indonesia</w:t>
      </w:r>
      <w:r w:rsidRPr="00451613">
        <w:rPr>
          <w:rStyle w:val="Strong"/>
          <w:rFonts w:eastAsiaTheme="majorEastAsia"/>
          <w:color w:val="000000" w:themeColor="text1"/>
          <w:sz w:val="22"/>
          <w:szCs w:val="22"/>
        </w:rPr>
        <w:t xml:space="preserve">. </w:t>
      </w:r>
      <w:hyperlink r:id="rId72" w:history="1">
        <w:r w:rsidRPr="00451613">
          <w:rPr>
            <w:rStyle w:val="Hyperlink"/>
            <w:rFonts w:eastAsiaTheme="majorEastAsia"/>
            <w:color w:val="000000" w:themeColor="text1"/>
            <w:sz w:val="22"/>
            <w:szCs w:val="22"/>
          </w:rPr>
          <w:t>https://doi.org/10.1016/j.procs.2022.12.115</w:t>
        </w:r>
      </w:hyperlink>
    </w:p>
    <w:p w14:paraId="1F5BF406" w14:textId="77777777" w:rsidR="00A0365C" w:rsidRPr="00451613" w:rsidRDefault="00A0365C" w:rsidP="00A0365C">
      <w:pPr>
        <w:pStyle w:val="NormalWeb"/>
        <w:ind w:left="720" w:hanging="720"/>
        <w:jc w:val="both"/>
        <w:rPr>
          <w:color w:val="000000" w:themeColor="text1"/>
          <w:sz w:val="22"/>
          <w:szCs w:val="22"/>
        </w:rPr>
      </w:pPr>
      <w:r w:rsidRPr="00451613">
        <w:rPr>
          <w:rStyle w:val="Strong"/>
          <w:rFonts w:eastAsiaTheme="majorEastAsia"/>
          <w:color w:val="000000" w:themeColor="text1"/>
          <w:sz w:val="22"/>
          <w:szCs w:val="22"/>
        </w:rPr>
        <w:t xml:space="preserve">Sharma, U., Kumar, A., Kumar, R., Manchanda, M., &amp; Hooda, S. (2025, March). </w:t>
      </w:r>
      <w:r w:rsidRPr="00451613">
        <w:rPr>
          <w:rStyle w:val="Emphasis"/>
          <w:rFonts w:eastAsiaTheme="majorEastAsia"/>
          <w:color w:val="000000" w:themeColor="text1"/>
          <w:sz w:val="22"/>
          <w:szCs w:val="22"/>
        </w:rPr>
        <w:t>Netflix stock market price prediction</w:t>
      </w:r>
      <w:r w:rsidRPr="00451613">
        <w:rPr>
          <w:rStyle w:val="Strong"/>
          <w:rFonts w:eastAsiaTheme="majorEastAsia"/>
          <w:color w:val="000000" w:themeColor="text1"/>
          <w:sz w:val="22"/>
          <w:szCs w:val="22"/>
        </w:rPr>
        <w:t xml:space="preserve">. Paper presented at the 4th International Conference on Innovation in IoT, Robotics and Automation (IIRA 4.0), </w:t>
      </w:r>
      <w:r w:rsidRPr="00451613">
        <w:rPr>
          <w:color w:val="000000" w:themeColor="text1"/>
          <w:sz w:val="22"/>
          <w:szCs w:val="22"/>
          <w:shd w:val="clear" w:color="auto" w:fill="FFFFFF"/>
        </w:rPr>
        <w:t xml:space="preserve">Moradabad, </w:t>
      </w:r>
      <w:r w:rsidRPr="00451613">
        <w:rPr>
          <w:rStyle w:val="Strong"/>
          <w:rFonts w:eastAsiaTheme="majorEastAsia"/>
          <w:color w:val="000000" w:themeColor="text1"/>
          <w:sz w:val="22"/>
          <w:szCs w:val="22"/>
        </w:rPr>
        <w:t xml:space="preserve">India. </w:t>
      </w:r>
      <w:hyperlink r:id="rId73" w:tgtFrame="_new" w:history="1">
        <w:r w:rsidRPr="00451613">
          <w:rPr>
            <w:rStyle w:val="Hyperlink"/>
            <w:rFonts w:eastAsiaTheme="majorEastAsia"/>
            <w:color w:val="000000" w:themeColor="text1"/>
            <w:sz w:val="22"/>
            <w:szCs w:val="22"/>
          </w:rPr>
          <w:t>https://doi.org/10.1063/5.0248341</w:t>
        </w:r>
      </w:hyperlink>
    </w:p>
    <w:p w14:paraId="25AD459A" w14:textId="77777777" w:rsidR="00A0365C" w:rsidRPr="00451613" w:rsidRDefault="00A0365C" w:rsidP="00A0365C">
      <w:pPr>
        <w:pStyle w:val="NormalWeb"/>
        <w:ind w:left="720" w:hanging="720"/>
        <w:jc w:val="both"/>
        <w:rPr>
          <w:color w:val="000000" w:themeColor="text1"/>
          <w:sz w:val="22"/>
          <w:szCs w:val="22"/>
        </w:rPr>
      </w:pPr>
      <w:r w:rsidRPr="00451613">
        <w:rPr>
          <w:rStyle w:val="Strong"/>
          <w:rFonts w:eastAsiaTheme="majorEastAsia"/>
          <w:color w:val="000000" w:themeColor="text1"/>
          <w:sz w:val="22"/>
          <w:szCs w:val="22"/>
        </w:rPr>
        <w:t xml:space="preserve">Vijh, M., Chandola, D., Tikkiwal, V. A., &amp; Kumar, A. (2019, Febraury). </w:t>
      </w:r>
      <w:r w:rsidRPr="00451613">
        <w:rPr>
          <w:rStyle w:val="Emphasis"/>
          <w:rFonts w:eastAsiaTheme="majorEastAsia"/>
          <w:color w:val="000000" w:themeColor="text1"/>
          <w:sz w:val="22"/>
          <w:szCs w:val="22"/>
        </w:rPr>
        <w:t xml:space="preserve">Stock closing price prediction using </w:t>
      </w:r>
      <w:r>
        <w:rPr>
          <w:rStyle w:val="Emphasis"/>
          <w:rFonts w:eastAsiaTheme="majorEastAsia"/>
          <w:color w:val="000000" w:themeColor="text1"/>
          <w:sz w:val="22"/>
          <w:szCs w:val="22"/>
        </w:rPr>
        <w:t>machine-learning</w:t>
      </w:r>
      <w:r w:rsidRPr="00451613">
        <w:rPr>
          <w:rStyle w:val="Emphasis"/>
          <w:rFonts w:eastAsiaTheme="majorEastAsia"/>
          <w:color w:val="000000" w:themeColor="text1"/>
          <w:sz w:val="22"/>
          <w:szCs w:val="22"/>
        </w:rPr>
        <w:t xml:space="preserve"> techniques</w:t>
      </w:r>
      <w:r w:rsidRPr="00451613">
        <w:rPr>
          <w:rStyle w:val="Strong"/>
          <w:rFonts w:eastAsiaTheme="majorEastAsia"/>
          <w:color w:val="000000" w:themeColor="text1"/>
          <w:sz w:val="22"/>
          <w:szCs w:val="22"/>
        </w:rPr>
        <w:t xml:space="preserve">. Paper presented at the International Conference on Computational Intelligence and Data Science (ICCIDS 2019), Gurugram, India. </w:t>
      </w:r>
      <w:hyperlink r:id="rId74" w:tgtFrame="_new" w:history="1">
        <w:r w:rsidRPr="00451613">
          <w:rPr>
            <w:rStyle w:val="Hyperlink"/>
            <w:rFonts w:eastAsiaTheme="majorEastAsia"/>
            <w:color w:val="000000" w:themeColor="text1"/>
            <w:sz w:val="22"/>
            <w:szCs w:val="22"/>
          </w:rPr>
          <w:t>https://doi.org/10.1016/j.procs.2020.03.326</w:t>
        </w:r>
      </w:hyperlink>
    </w:p>
    <w:p w14:paraId="0353DA00" w14:textId="77777777" w:rsidR="00A0365C" w:rsidRPr="00451613" w:rsidRDefault="00A0365C" w:rsidP="00A0365C">
      <w:pPr>
        <w:pStyle w:val="NormalWeb"/>
        <w:ind w:left="720" w:hanging="720"/>
        <w:jc w:val="both"/>
        <w:rPr>
          <w:rStyle w:val="Strong"/>
          <w:rFonts w:eastAsiaTheme="majorEastAsia"/>
          <w:b w:val="0"/>
          <w:bCs w:val="0"/>
          <w:color w:val="000000" w:themeColor="text1"/>
          <w:sz w:val="22"/>
          <w:szCs w:val="22"/>
        </w:rPr>
      </w:pPr>
      <w:r w:rsidRPr="00451613">
        <w:rPr>
          <w:rStyle w:val="Strong"/>
          <w:rFonts w:eastAsiaTheme="majorEastAsia"/>
          <w:color w:val="000000" w:themeColor="text1"/>
          <w:sz w:val="22"/>
          <w:szCs w:val="22"/>
        </w:rPr>
        <w:t xml:space="preserve">Zhou, Y. (2024, December). </w:t>
      </w:r>
      <w:r w:rsidRPr="00451613">
        <w:rPr>
          <w:rStyle w:val="Emphasis"/>
          <w:rFonts w:eastAsiaTheme="majorEastAsia"/>
          <w:color w:val="000000" w:themeColor="text1"/>
          <w:sz w:val="22"/>
          <w:szCs w:val="22"/>
        </w:rPr>
        <w:t>Analysis of stock prediction model based on LSTM</w:t>
      </w:r>
      <w:r w:rsidRPr="00451613">
        <w:rPr>
          <w:rStyle w:val="Strong"/>
          <w:rFonts w:eastAsiaTheme="majorEastAsia"/>
          <w:color w:val="000000" w:themeColor="text1"/>
          <w:sz w:val="22"/>
          <w:szCs w:val="22"/>
        </w:rPr>
        <w:t xml:space="preserve">. Paper presented at the 3rd International Conference on Financial Technology and Business Analysis, Murcia, Spain. </w:t>
      </w:r>
      <w:hyperlink r:id="rId75" w:history="1">
        <w:r w:rsidRPr="00451613">
          <w:rPr>
            <w:rStyle w:val="Strong"/>
            <w:rFonts w:eastAsiaTheme="majorEastAsia"/>
            <w:color w:val="000000" w:themeColor="text1"/>
            <w:sz w:val="22"/>
            <w:szCs w:val="22"/>
          </w:rPr>
          <w:t>https://doi.org/</w:t>
        </w:r>
        <w:r w:rsidRPr="00451613">
          <w:rPr>
            <w:color w:val="000000" w:themeColor="text1"/>
            <w:sz w:val="22"/>
            <w:szCs w:val="22"/>
          </w:rPr>
          <w:t xml:space="preserve">10.54254/2754-1169/152/2024.19430 </w:t>
        </w:r>
      </w:hyperlink>
    </w:p>
    <w:p w14:paraId="42DED631" w14:textId="77777777" w:rsidR="00A0365C" w:rsidRPr="00451613" w:rsidRDefault="00A0365C" w:rsidP="00A0365C">
      <w:pPr>
        <w:spacing w:after="0" w:line="480" w:lineRule="auto"/>
        <w:ind w:left="-144" w:right="-144"/>
        <w:jc w:val="both"/>
        <w:outlineLvl w:val="0"/>
        <w:rPr>
          <w:rFonts w:ascii="Times New Roman" w:hAnsi="Times New Roman" w:cs="Times New Roman"/>
          <w:sz w:val="24"/>
          <w:szCs w:val="24"/>
        </w:rPr>
      </w:pPr>
    </w:p>
    <w:p w14:paraId="3830FA97" w14:textId="77777777" w:rsidR="00956A2B" w:rsidRDefault="00956A2B"/>
    <w:sectPr w:rsidR="00956A2B" w:rsidSect="00A0365C">
      <w:type w:val="continuous"/>
      <w:pgSz w:w="11906" w:h="16838"/>
      <w:pgMar w:top="1440" w:right="1440" w:bottom="1440" w:left="1440" w:header="708" w:footer="708"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58A9C8D" w14:textId="77777777" w:rsidR="00C856F1" w:rsidRDefault="00C856F1">
      <w:pPr>
        <w:spacing w:after="0" w:line="240" w:lineRule="auto"/>
      </w:pPr>
      <w:r>
        <w:separator/>
      </w:r>
    </w:p>
  </w:endnote>
  <w:endnote w:type="continuationSeparator" w:id="0">
    <w:p w14:paraId="0F23A21E" w14:textId="77777777" w:rsidR="00C856F1" w:rsidRDefault="00C856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23251366"/>
      <w:docPartObj>
        <w:docPartGallery w:val="Page Numbers (Bottom of Page)"/>
        <w:docPartUnique/>
      </w:docPartObj>
    </w:sdtPr>
    <w:sdtEndPr>
      <w:rPr>
        <w:noProof/>
      </w:rPr>
    </w:sdtEndPr>
    <w:sdtContent>
      <w:p w14:paraId="71323B35" w14:textId="77777777" w:rsidR="00A0365C" w:rsidRDefault="00A0365C">
        <w:pPr>
          <w:pStyle w:val="Footer"/>
          <w:jc w:val="center"/>
        </w:pPr>
        <w:r>
          <w:fldChar w:fldCharType="begin"/>
        </w:r>
        <w:r>
          <w:instrText xml:space="preserve"> PAGE   \* MERGEFORMAT </w:instrText>
        </w:r>
        <w:r>
          <w:fldChar w:fldCharType="separate"/>
        </w:r>
        <w:r w:rsidR="00A4012B">
          <w:rPr>
            <w:noProof/>
          </w:rPr>
          <w:t>15</w:t>
        </w:r>
        <w:r>
          <w:rPr>
            <w:noProof/>
          </w:rPr>
          <w:fldChar w:fldCharType="end"/>
        </w:r>
      </w:p>
    </w:sdtContent>
  </w:sdt>
  <w:p w14:paraId="2F164FF9" w14:textId="77777777" w:rsidR="00A0365C" w:rsidRDefault="00A0365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379638B" w14:textId="77777777" w:rsidR="00C856F1" w:rsidRDefault="00C856F1">
      <w:pPr>
        <w:spacing w:after="0" w:line="240" w:lineRule="auto"/>
      </w:pPr>
      <w:r>
        <w:separator/>
      </w:r>
    </w:p>
  </w:footnote>
  <w:footnote w:type="continuationSeparator" w:id="0">
    <w:p w14:paraId="5B05AC1F" w14:textId="77777777" w:rsidR="00C856F1" w:rsidRDefault="00C856F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365C"/>
    <w:rsid w:val="00040F40"/>
    <w:rsid w:val="00222AE4"/>
    <w:rsid w:val="00226701"/>
    <w:rsid w:val="0026676A"/>
    <w:rsid w:val="0035043C"/>
    <w:rsid w:val="00391F6D"/>
    <w:rsid w:val="004A15B0"/>
    <w:rsid w:val="005761EE"/>
    <w:rsid w:val="005B5E3C"/>
    <w:rsid w:val="00717884"/>
    <w:rsid w:val="00765637"/>
    <w:rsid w:val="008B611A"/>
    <w:rsid w:val="00956A2B"/>
    <w:rsid w:val="00A0365C"/>
    <w:rsid w:val="00A4012B"/>
    <w:rsid w:val="00C856F1"/>
    <w:rsid w:val="00E16F45"/>
    <w:rsid w:val="00E8058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C0C6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365C"/>
    <w:rPr>
      <w:kern w:val="2"/>
      <w14:ligatures w14:val="standardContextual"/>
    </w:rPr>
  </w:style>
  <w:style w:type="paragraph" w:styleId="Heading1">
    <w:name w:val="heading 1"/>
    <w:basedOn w:val="Normal"/>
    <w:next w:val="Normal"/>
    <w:link w:val="Heading1Char"/>
    <w:uiPriority w:val="9"/>
    <w:qFormat/>
    <w:rsid w:val="00A0365C"/>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A0365C"/>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A0365C"/>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A0365C"/>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A0365C"/>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A0365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0365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0365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0365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0365C"/>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A0365C"/>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A0365C"/>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A0365C"/>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A0365C"/>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A0365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0365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0365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0365C"/>
    <w:rPr>
      <w:rFonts w:eastAsiaTheme="majorEastAsia" w:cstheme="majorBidi"/>
      <w:color w:val="272727" w:themeColor="text1" w:themeTint="D8"/>
    </w:rPr>
  </w:style>
  <w:style w:type="paragraph" w:styleId="Title">
    <w:name w:val="Title"/>
    <w:basedOn w:val="Normal"/>
    <w:next w:val="Normal"/>
    <w:link w:val="TitleChar"/>
    <w:uiPriority w:val="10"/>
    <w:qFormat/>
    <w:rsid w:val="00A0365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0365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0365C"/>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0365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0365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A0365C"/>
    <w:rPr>
      <w:i/>
      <w:iCs/>
      <w:color w:val="404040" w:themeColor="text1" w:themeTint="BF"/>
    </w:rPr>
  </w:style>
  <w:style w:type="paragraph" w:styleId="ListParagraph">
    <w:name w:val="List Paragraph"/>
    <w:basedOn w:val="Normal"/>
    <w:uiPriority w:val="34"/>
    <w:qFormat/>
    <w:rsid w:val="00A0365C"/>
    <w:pPr>
      <w:ind w:left="720"/>
      <w:contextualSpacing/>
    </w:pPr>
  </w:style>
  <w:style w:type="character" w:styleId="IntenseEmphasis">
    <w:name w:val="Intense Emphasis"/>
    <w:basedOn w:val="DefaultParagraphFont"/>
    <w:uiPriority w:val="21"/>
    <w:qFormat/>
    <w:rsid w:val="00A0365C"/>
    <w:rPr>
      <w:i/>
      <w:iCs/>
      <w:color w:val="365F91" w:themeColor="accent1" w:themeShade="BF"/>
    </w:rPr>
  </w:style>
  <w:style w:type="paragraph" w:styleId="IntenseQuote">
    <w:name w:val="Intense Quote"/>
    <w:basedOn w:val="Normal"/>
    <w:next w:val="Normal"/>
    <w:link w:val="IntenseQuoteChar"/>
    <w:uiPriority w:val="30"/>
    <w:qFormat/>
    <w:rsid w:val="00A0365C"/>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A0365C"/>
    <w:rPr>
      <w:i/>
      <w:iCs/>
      <w:color w:val="365F91" w:themeColor="accent1" w:themeShade="BF"/>
    </w:rPr>
  </w:style>
  <w:style w:type="character" w:styleId="IntenseReference">
    <w:name w:val="Intense Reference"/>
    <w:basedOn w:val="DefaultParagraphFont"/>
    <w:uiPriority w:val="32"/>
    <w:qFormat/>
    <w:rsid w:val="00A0365C"/>
    <w:rPr>
      <w:b/>
      <w:bCs/>
      <w:smallCaps/>
      <w:color w:val="365F91" w:themeColor="accent1" w:themeShade="BF"/>
      <w:spacing w:val="5"/>
    </w:rPr>
  </w:style>
  <w:style w:type="character" w:styleId="Hyperlink">
    <w:name w:val="Hyperlink"/>
    <w:basedOn w:val="DefaultParagraphFont"/>
    <w:uiPriority w:val="99"/>
    <w:unhideWhenUsed/>
    <w:rsid w:val="00A0365C"/>
    <w:rPr>
      <w:color w:val="0000FF" w:themeColor="hyperlink"/>
      <w:u w:val="single"/>
    </w:rPr>
  </w:style>
  <w:style w:type="paragraph" w:styleId="NormalWeb">
    <w:name w:val="Normal (Web)"/>
    <w:basedOn w:val="Normal"/>
    <w:uiPriority w:val="99"/>
    <w:unhideWhenUsed/>
    <w:rsid w:val="00A0365C"/>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table" w:styleId="TableGrid">
    <w:name w:val="Table Grid"/>
    <w:basedOn w:val="TableNormal"/>
    <w:uiPriority w:val="39"/>
    <w:rsid w:val="00A0365C"/>
    <w:pPr>
      <w:spacing w:after="0" w:line="240" w:lineRule="auto"/>
    </w:pPr>
    <w:rPr>
      <w:kern w:val="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A0365C"/>
    <w:rPr>
      <w:b/>
      <w:bCs/>
    </w:rPr>
  </w:style>
  <w:style w:type="character" w:styleId="Emphasis">
    <w:name w:val="Emphasis"/>
    <w:basedOn w:val="DefaultParagraphFont"/>
    <w:uiPriority w:val="20"/>
    <w:qFormat/>
    <w:rsid w:val="00A0365C"/>
    <w:rPr>
      <w:i/>
      <w:iCs/>
    </w:rPr>
  </w:style>
  <w:style w:type="paragraph" w:styleId="Footer">
    <w:name w:val="footer"/>
    <w:basedOn w:val="Normal"/>
    <w:link w:val="FooterChar"/>
    <w:uiPriority w:val="99"/>
    <w:unhideWhenUsed/>
    <w:rsid w:val="00A0365C"/>
    <w:pPr>
      <w:tabs>
        <w:tab w:val="center" w:pos="4513"/>
        <w:tab w:val="right" w:pos="9026"/>
      </w:tabs>
      <w:spacing w:after="0" w:line="240" w:lineRule="auto"/>
    </w:pPr>
  </w:style>
  <w:style w:type="character" w:customStyle="1" w:styleId="FooterChar">
    <w:name w:val="Footer Char"/>
    <w:basedOn w:val="DefaultParagraphFont"/>
    <w:link w:val="Footer"/>
    <w:uiPriority w:val="99"/>
    <w:rsid w:val="00A0365C"/>
    <w:rPr>
      <w:kern w:val="2"/>
      <w14:ligatures w14:val="standardContextu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365C"/>
    <w:rPr>
      <w:kern w:val="2"/>
      <w14:ligatures w14:val="standardContextual"/>
    </w:rPr>
  </w:style>
  <w:style w:type="paragraph" w:styleId="Heading1">
    <w:name w:val="heading 1"/>
    <w:basedOn w:val="Normal"/>
    <w:next w:val="Normal"/>
    <w:link w:val="Heading1Char"/>
    <w:uiPriority w:val="9"/>
    <w:qFormat/>
    <w:rsid w:val="00A0365C"/>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A0365C"/>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A0365C"/>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A0365C"/>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A0365C"/>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A0365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0365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0365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0365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0365C"/>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A0365C"/>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A0365C"/>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A0365C"/>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A0365C"/>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A0365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0365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0365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0365C"/>
    <w:rPr>
      <w:rFonts w:eastAsiaTheme="majorEastAsia" w:cstheme="majorBidi"/>
      <w:color w:val="272727" w:themeColor="text1" w:themeTint="D8"/>
    </w:rPr>
  </w:style>
  <w:style w:type="paragraph" w:styleId="Title">
    <w:name w:val="Title"/>
    <w:basedOn w:val="Normal"/>
    <w:next w:val="Normal"/>
    <w:link w:val="TitleChar"/>
    <w:uiPriority w:val="10"/>
    <w:qFormat/>
    <w:rsid w:val="00A0365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0365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0365C"/>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0365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0365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A0365C"/>
    <w:rPr>
      <w:i/>
      <w:iCs/>
      <w:color w:val="404040" w:themeColor="text1" w:themeTint="BF"/>
    </w:rPr>
  </w:style>
  <w:style w:type="paragraph" w:styleId="ListParagraph">
    <w:name w:val="List Paragraph"/>
    <w:basedOn w:val="Normal"/>
    <w:uiPriority w:val="34"/>
    <w:qFormat/>
    <w:rsid w:val="00A0365C"/>
    <w:pPr>
      <w:ind w:left="720"/>
      <w:contextualSpacing/>
    </w:pPr>
  </w:style>
  <w:style w:type="character" w:styleId="IntenseEmphasis">
    <w:name w:val="Intense Emphasis"/>
    <w:basedOn w:val="DefaultParagraphFont"/>
    <w:uiPriority w:val="21"/>
    <w:qFormat/>
    <w:rsid w:val="00A0365C"/>
    <w:rPr>
      <w:i/>
      <w:iCs/>
      <w:color w:val="365F91" w:themeColor="accent1" w:themeShade="BF"/>
    </w:rPr>
  </w:style>
  <w:style w:type="paragraph" w:styleId="IntenseQuote">
    <w:name w:val="Intense Quote"/>
    <w:basedOn w:val="Normal"/>
    <w:next w:val="Normal"/>
    <w:link w:val="IntenseQuoteChar"/>
    <w:uiPriority w:val="30"/>
    <w:qFormat/>
    <w:rsid w:val="00A0365C"/>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A0365C"/>
    <w:rPr>
      <w:i/>
      <w:iCs/>
      <w:color w:val="365F91" w:themeColor="accent1" w:themeShade="BF"/>
    </w:rPr>
  </w:style>
  <w:style w:type="character" w:styleId="IntenseReference">
    <w:name w:val="Intense Reference"/>
    <w:basedOn w:val="DefaultParagraphFont"/>
    <w:uiPriority w:val="32"/>
    <w:qFormat/>
    <w:rsid w:val="00A0365C"/>
    <w:rPr>
      <w:b/>
      <w:bCs/>
      <w:smallCaps/>
      <w:color w:val="365F91" w:themeColor="accent1" w:themeShade="BF"/>
      <w:spacing w:val="5"/>
    </w:rPr>
  </w:style>
  <w:style w:type="character" w:styleId="Hyperlink">
    <w:name w:val="Hyperlink"/>
    <w:basedOn w:val="DefaultParagraphFont"/>
    <w:uiPriority w:val="99"/>
    <w:unhideWhenUsed/>
    <w:rsid w:val="00A0365C"/>
    <w:rPr>
      <w:color w:val="0000FF" w:themeColor="hyperlink"/>
      <w:u w:val="single"/>
    </w:rPr>
  </w:style>
  <w:style w:type="paragraph" w:styleId="NormalWeb">
    <w:name w:val="Normal (Web)"/>
    <w:basedOn w:val="Normal"/>
    <w:uiPriority w:val="99"/>
    <w:unhideWhenUsed/>
    <w:rsid w:val="00A0365C"/>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table" w:styleId="TableGrid">
    <w:name w:val="Table Grid"/>
    <w:basedOn w:val="TableNormal"/>
    <w:uiPriority w:val="39"/>
    <w:rsid w:val="00A0365C"/>
    <w:pPr>
      <w:spacing w:after="0" w:line="240" w:lineRule="auto"/>
    </w:pPr>
    <w:rPr>
      <w:kern w:val="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A0365C"/>
    <w:rPr>
      <w:b/>
      <w:bCs/>
    </w:rPr>
  </w:style>
  <w:style w:type="character" w:styleId="Emphasis">
    <w:name w:val="Emphasis"/>
    <w:basedOn w:val="DefaultParagraphFont"/>
    <w:uiPriority w:val="20"/>
    <w:qFormat/>
    <w:rsid w:val="00A0365C"/>
    <w:rPr>
      <w:i/>
      <w:iCs/>
    </w:rPr>
  </w:style>
  <w:style w:type="paragraph" w:styleId="Footer">
    <w:name w:val="footer"/>
    <w:basedOn w:val="Normal"/>
    <w:link w:val="FooterChar"/>
    <w:uiPriority w:val="99"/>
    <w:unhideWhenUsed/>
    <w:rsid w:val="00A0365C"/>
    <w:pPr>
      <w:tabs>
        <w:tab w:val="center" w:pos="4513"/>
        <w:tab w:val="right" w:pos="9026"/>
      </w:tabs>
      <w:spacing w:after="0" w:line="240" w:lineRule="auto"/>
    </w:pPr>
  </w:style>
  <w:style w:type="character" w:customStyle="1" w:styleId="FooterChar">
    <w:name w:val="Footer Char"/>
    <w:basedOn w:val="DefaultParagraphFont"/>
    <w:link w:val="Footer"/>
    <w:uiPriority w:val="99"/>
    <w:rsid w:val="00A0365C"/>
    <w:rPr>
      <w:kern w:val="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chart" Target="charts/chart2.xml"/><Relationship Id="rId21" Type="http://schemas.openxmlformats.org/officeDocument/2006/relationships/image" Target="media/image9.png"/><Relationship Id="rId42" Type="http://schemas.openxmlformats.org/officeDocument/2006/relationships/hyperlink" Target="https://doi.org/10.1007/s11042-018-7133-5" TargetMode="External"/><Relationship Id="rId47" Type="http://schemas.openxmlformats.org/officeDocument/2006/relationships/hyperlink" Target="https://doi.org/10.1016/j.mlwa.2022.100320" TargetMode="External"/><Relationship Id="rId63" Type="http://schemas.openxmlformats.org/officeDocument/2006/relationships/hyperlink" Target="https://doi.org/10.3390/analytics4010005" TargetMode="External"/><Relationship Id="rId68" Type="http://schemas.openxmlformats.org/officeDocument/2006/relationships/hyperlink" Target="https://doi.org/10.1007/978-1-4419-9326-7_5" TargetMode="External"/><Relationship Id="rId16" Type="http://schemas.openxmlformats.org/officeDocument/2006/relationships/image" Target="media/image4.png"/><Relationship Id="rId11" Type="http://schemas.openxmlformats.org/officeDocument/2006/relationships/diagramColors" Target="diagrams/colors1.xml"/><Relationship Id="rId24" Type="http://schemas.openxmlformats.org/officeDocument/2006/relationships/image" Target="media/image12.png"/><Relationship Id="rId32" Type="http://schemas.openxmlformats.org/officeDocument/2006/relationships/hyperlink" Target="https://doi.org/10.1016/j.cor.2004.03.019" TargetMode="External"/><Relationship Id="rId37" Type="http://schemas.openxmlformats.org/officeDocument/2006/relationships/hyperlink" Target="https://doi.org/10.1007/s12652-020-01839-w" TargetMode="External"/><Relationship Id="rId40" Type="http://schemas.openxmlformats.org/officeDocument/2006/relationships/hyperlink" Target="https://doi.org/10.1016/j.asoc.2014.02.002" TargetMode="External"/><Relationship Id="rId45" Type="http://schemas.openxmlformats.org/officeDocument/2006/relationships/hyperlink" Target="https://doi.org/10.1111/eva.12524" TargetMode="External"/><Relationship Id="rId53" Type="http://schemas.openxmlformats.org/officeDocument/2006/relationships/hyperlink" Target="https://doi.org/10.1186/s13677-023-00576-7" TargetMode="External"/><Relationship Id="rId58" Type="http://schemas.openxmlformats.org/officeDocument/2006/relationships/hyperlink" Target="https://doi.org/10.1002/apj.2684" TargetMode="External"/><Relationship Id="rId66" Type="http://schemas.openxmlformats.org/officeDocument/2006/relationships/hyperlink" Target="https://doi.org/10.1140/epjds/s13688-024-00517-7" TargetMode="External"/><Relationship Id="rId74" Type="http://schemas.openxmlformats.org/officeDocument/2006/relationships/hyperlink" Target="https://doi.org/10.1016/j.procs.2020.03.326" TargetMode="External"/><Relationship Id="rId5" Type="http://schemas.openxmlformats.org/officeDocument/2006/relationships/footnotes" Target="footnotes.xml"/><Relationship Id="rId61" Type="http://schemas.openxmlformats.org/officeDocument/2006/relationships/hyperlink" Target="https://doi.org/10.1057/s41599-024-02807-x" TargetMode="External"/><Relationship Id="rId19" Type="http://schemas.openxmlformats.org/officeDocument/2006/relationships/image" Target="media/image7.png"/><Relationship Id="rId14" Type="http://schemas.openxmlformats.org/officeDocument/2006/relationships/image" Target="media/image2.png"/><Relationship Id="rId22" Type="http://schemas.openxmlformats.org/officeDocument/2006/relationships/image" Target="media/image10.png"/><Relationship Id="rId27" Type="http://schemas.openxmlformats.org/officeDocument/2006/relationships/hyperlink" Target="https://doi.org/10.1007/s00521-023-09369-0" TargetMode="External"/><Relationship Id="rId30" Type="http://schemas.openxmlformats.org/officeDocument/2006/relationships/hyperlink" Target="https://doi.org/10.1007/s10462-018-9614-6" TargetMode="External"/><Relationship Id="rId35" Type="http://schemas.openxmlformats.org/officeDocument/2006/relationships/hyperlink" Target="https://doi.org/10.1007/s12525-021-00475-2" TargetMode="External"/><Relationship Id="rId43" Type="http://schemas.openxmlformats.org/officeDocument/2006/relationships/hyperlink" Target="https://doi.org/10.1109/TCSS.2023.3260217" TargetMode="External"/><Relationship Id="rId48" Type="http://schemas.openxmlformats.org/officeDocument/2006/relationships/hyperlink" Target="https://doi.org/10.1016/j.dajour.2021.100015" TargetMode="External"/><Relationship Id="rId56" Type="http://schemas.openxmlformats.org/officeDocument/2006/relationships/hyperlink" Target="https://doi.org/10.1007/s13278-024-01206-z" TargetMode="External"/><Relationship Id="rId64" Type="http://schemas.openxmlformats.org/officeDocument/2006/relationships/hyperlink" Target="https://doi.org/10.1007/s12145-024-01541-x" TargetMode="External"/><Relationship Id="rId69" Type="http://schemas.openxmlformats.org/officeDocument/2006/relationships/hyperlink" Target="https://doi.org/10.1109/CSNT54456.2022.9787648" TargetMode="External"/><Relationship Id="rId77" Type="http://schemas.openxmlformats.org/officeDocument/2006/relationships/theme" Target="theme/theme1.xml"/><Relationship Id="rId8" Type="http://schemas.openxmlformats.org/officeDocument/2006/relationships/diagramData" Target="diagrams/data1.xml"/><Relationship Id="rId51" Type="http://schemas.openxmlformats.org/officeDocument/2006/relationships/hyperlink" Target="https://doi.org/10.1186/s40854-021-00243-3" TargetMode="External"/><Relationship Id="rId72" Type="http://schemas.openxmlformats.org/officeDocument/2006/relationships/hyperlink" Target="https://doi.org/10.1016/j.procs.2022.12.115" TargetMode="External"/><Relationship Id="rId3" Type="http://schemas.openxmlformats.org/officeDocument/2006/relationships/settings" Target="settings.xml"/><Relationship Id="rId12" Type="http://schemas.microsoft.com/office/2007/relationships/diagramDrawing" Target="diagrams/drawing1.xml"/><Relationship Id="rId17" Type="http://schemas.openxmlformats.org/officeDocument/2006/relationships/image" Target="media/image5.png"/><Relationship Id="rId25" Type="http://schemas.openxmlformats.org/officeDocument/2006/relationships/chart" Target="charts/chart1.xml"/><Relationship Id="rId33" Type="http://schemas.openxmlformats.org/officeDocument/2006/relationships/hyperlink" Target="https://doi.org/10.1080/10255842.2020.1821192" TargetMode="External"/><Relationship Id="rId38" Type="http://schemas.openxmlformats.org/officeDocument/2006/relationships/hyperlink" Target="https://doi.org/10.1007/s11269-017-1660-3" TargetMode="External"/><Relationship Id="rId46" Type="http://schemas.openxmlformats.org/officeDocument/2006/relationships/hyperlink" Target="https://doi.org/10.1007/s10614-025-10919-y" TargetMode="External"/><Relationship Id="rId59" Type="http://schemas.openxmlformats.org/officeDocument/2006/relationships/hyperlink" Target="https://doi.org/10.1016/j.ibmed.2025.100220" TargetMode="External"/><Relationship Id="rId67" Type="http://schemas.openxmlformats.org/officeDocument/2006/relationships/hyperlink" Target="https://doi.org/10.1007/978-981-16-2877-1_35" TargetMode="External"/><Relationship Id="rId20" Type="http://schemas.openxmlformats.org/officeDocument/2006/relationships/image" Target="media/image8.png"/><Relationship Id="rId41" Type="http://schemas.openxmlformats.org/officeDocument/2006/relationships/hyperlink" Target="https://doi.org/10.1007/s11269-021-02937-w" TargetMode="External"/><Relationship Id="rId54" Type="http://schemas.openxmlformats.org/officeDocument/2006/relationships/hyperlink" Target="https://doi.org/10.1007/s40789-023-00579-4" TargetMode="External"/><Relationship Id="rId62" Type="http://schemas.openxmlformats.org/officeDocument/2006/relationships/hyperlink" Target="https://doi.org/10.1016/j.fuel.2024.133017" TargetMode="External"/><Relationship Id="rId70" Type="http://schemas.openxmlformats.org/officeDocument/2006/relationships/hyperlink" Target="https://doi.org/10.1016/j.procs.2025.01.050" TargetMode="External"/><Relationship Id="rId75" Type="http://schemas.openxmlformats.org/officeDocument/2006/relationships/hyperlink" Target="https://doi.org/10.54254/2754-1169/152/2024.19430" TargetMode="External"/><Relationship Id="rId1" Type="http://schemas.openxmlformats.org/officeDocument/2006/relationships/styles" Target="styles.xml"/><Relationship Id="rId6" Type="http://schemas.openxmlformats.org/officeDocument/2006/relationships/endnotes" Target="endnotes.xml"/><Relationship Id="rId15" Type="http://schemas.openxmlformats.org/officeDocument/2006/relationships/image" Target="media/image3.png"/><Relationship Id="rId23" Type="http://schemas.openxmlformats.org/officeDocument/2006/relationships/image" Target="media/image11.png"/><Relationship Id="rId28" Type="http://schemas.openxmlformats.org/officeDocument/2006/relationships/hyperlink" Target="https://doi.org/10.35940/ijitee.L3550.1081219" TargetMode="External"/><Relationship Id="rId36" Type="http://schemas.openxmlformats.org/officeDocument/2006/relationships/hyperlink" Target="https://doi.org/10.1016/j.eswa.2010.10.027" TargetMode="External"/><Relationship Id="rId49" Type="http://schemas.openxmlformats.org/officeDocument/2006/relationships/hyperlink" Target="https://doi.org/10.1186/s42162-024-00459-4" TargetMode="External"/><Relationship Id="rId57" Type="http://schemas.openxmlformats.org/officeDocument/2006/relationships/hyperlink" Target="https://doi.org/10.1016/j.compeleceng.2022.107837" TargetMode="External"/><Relationship Id="rId10" Type="http://schemas.openxmlformats.org/officeDocument/2006/relationships/diagramQuickStyle" Target="diagrams/quickStyle1.xml"/><Relationship Id="rId31" Type="http://schemas.openxmlformats.org/officeDocument/2006/relationships/hyperlink" Target="https://doi.org/10.1007/s10707-019-00355-0" TargetMode="External"/><Relationship Id="rId44" Type="http://schemas.openxmlformats.org/officeDocument/2006/relationships/hyperlink" Target="https://doi.org/10.1016/j.egyr.2022.06.007" TargetMode="External"/><Relationship Id="rId52" Type="http://schemas.openxmlformats.org/officeDocument/2006/relationships/hyperlink" Target="https://doi.org/10.1016/j.tej.2020.106884" TargetMode="External"/><Relationship Id="rId60" Type="http://schemas.openxmlformats.org/officeDocument/2006/relationships/hyperlink" Target="https://doi.org/10.3390/w16233465" TargetMode="External"/><Relationship Id="rId65" Type="http://schemas.openxmlformats.org/officeDocument/2006/relationships/hyperlink" Target="https://doi.org/10.1155/2022/3410153" TargetMode="External"/><Relationship Id="rId73" Type="http://schemas.openxmlformats.org/officeDocument/2006/relationships/hyperlink" Target="https://doi.org/10.1063/5.0248341" TargetMode="External"/><Relationship Id="rId4" Type="http://schemas.openxmlformats.org/officeDocument/2006/relationships/webSettings" Target="webSettings.xml"/><Relationship Id="rId9" Type="http://schemas.openxmlformats.org/officeDocument/2006/relationships/diagramLayout" Target="diagrams/layout1.xml"/><Relationship Id="rId13" Type="http://schemas.openxmlformats.org/officeDocument/2006/relationships/image" Target="media/image1.png"/><Relationship Id="rId18" Type="http://schemas.openxmlformats.org/officeDocument/2006/relationships/image" Target="media/image6.png"/><Relationship Id="rId39" Type="http://schemas.openxmlformats.org/officeDocument/2006/relationships/hyperlink" Target="https://doi.org/10.1002/isaf.1459" TargetMode="External"/><Relationship Id="rId34" Type="http://schemas.openxmlformats.org/officeDocument/2006/relationships/hyperlink" Target="https://doi.org/10.3758/s13428-022-01901-9" TargetMode="External"/><Relationship Id="rId50" Type="http://schemas.openxmlformats.org/officeDocument/2006/relationships/hyperlink" Target="https://doi.org/10.3390/jrfm18040201" TargetMode="External"/><Relationship Id="rId55" Type="http://schemas.openxmlformats.org/officeDocument/2006/relationships/hyperlink" Target="https://doi.org/10.1016/j.asoc.2021.107541" TargetMode="External"/><Relationship Id="rId76" Type="http://schemas.openxmlformats.org/officeDocument/2006/relationships/fontTable" Target="fontTable.xml"/><Relationship Id="rId7" Type="http://schemas.openxmlformats.org/officeDocument/2006/relationships/footer" Target="footer1.xml"/><Relationship Id="rId71" Type="http://schemas.openxmlformats.org/officeDocument/2006/relationships/hyperlink" Target="https://doi.org/10.1016/j.procs.2018.05.050" TargetMode="External"/><Relationship Id="rId2" Type="http://schemas.microsoft.com/office/2007/relationships/stylesWithEffects" Target="stylesWithEffects.xml"/><Relationship Id="rId29" Type="http://schemas.openxmlformats.org/officeDocument/2006/relationships/hyperlink" Target="https://doi.org/10.1007/s41870-017-0080-1"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I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cap="all" spc="120" normalizeH="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IN">
                <a:latin typeface="Times New Roman" panose="02020603050405020304" pitchFamily="18" charset="0"/>
                <a:cs typeface="Times New Roman" panose="02020603050405020304" pitchFamily="18" charset="0"/>
              </a:rPr>
              <a:t>RMSE</a:t>
            </a:r>
          </a:p>
        </c:rich>
      </c:tx>
      <c:overlay val="0"/>
      <c:spPr>
        <a:noFill/>
        <a:ln>
          <a:noFill/>
        </a:ln>
        <a:effectLst/>
      </c:spPr>
    </c:title>
    <c:autoTitleDeleted val="0"/>
    <c:plotArea>
      <c:layout/>
      <c:barChart>
        <c:barDir val="col"/>
        <c:grouping val="clustered"/>
        <c:varyColors val="0"/>
        <c:ser>
          <c:idx val="0"/>
          <c:order val="0"/>
          <c:tx>
            <c:strRef>
              <c:f>Sheet1!$B$2</c:f>
              <c:strCache>
                <c:ptCount val="1"/>
                <c:pt idx="0">
                  <c:v>SVM</c:v>
                </c:pt>
              </c:strCache>
            </c:strRef>
          </c:tx>
          <c:spPr>
            <a:solidFill>
              <a:schemeClr val="accent1"/>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Sheet1!$A$3:$A$6</c:f>
              <c:strCache>
                <c:ptCount val="4"/>
                <c:pt idx="0">
                  <c:v>JSW</c:v>
                </c:pt>
                <c:pt idx="1">
                  <c:v>TATA</c:v>
                </c:pt>
                <c:pt idx="2">
                  <c:v>M&amp;M</c:v>
                </c:pt>
                <c:pt idx="3">
                  <c:v>Maruti Suzuki</c:v>
                </c:pt>
              </c:strCache>
            </c:strRef>
          </c:cat>
          <c:val>
            <c:numRef>
              <c:f>Sheet1!$B$3:$B$6</c:f>
              <c:numCache>
                <c:formatCode>0.00%</c:formatCode>
                <c:ptCount val="4"/>
                <c:pt idx="0">
                  <c:v>8.3000000000000001E-3</c:v>
                </c:pt>
                <c:pt idx="1">
                  <c:v>7.4099999999999999E-2</c:v>
                </c:pt>
                <c:pt idx="2">
                  <c:v>5.67E-2</c:v>
                </c:pt>
                <c:pt idx="3">
                  <c:v>1.55E-2</c:v>
                </c:pt>
              </c:numCache>
            </c:numRef>
          </c:val>
          <c:extLst xmlns:c16r2="http://schemas.microsoft.com/office/drawing/2015/06/chart">
            <c:ext xmlns:c16="http://schemas.microsoft.com/office/drawing/2014/chart" uri="{C3380CC4-5D6E-409C-BE32-E72D297353CC}">
              <c16:uniqueId val="{00000000-DACE-43C1-A95A-90706E86BB37}"/>
            </c:ext>
          </c:extLst>
        </c:ser>
        <c:ser>
          <c:idx val="1"/>
          <c:order val="1"/>
          <c:tx>
            <c:strRef>
              <c:f>Sheet1!$C$2</c:f>
              <c:strCache>
                <c:ptCount val="1"/>
                <c:pt idx="0">
                  <c:v>LSTM</c:v>
                </c:pt>
              </c:strCache>
            </c:strRef>
          </c:tx>
          <c:spPr>
            <a:solidFill>
              <a:schemeClr val="accent2"/>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Sheet1!$A$3:$A$6</c:f>
              <c:strCache>
                <c:ptCount val="4"/>
                <c:pt idx="0">
                  <c:v>JSW</c:v>
                </c:pt>
                <c:pt idx="1">
                  <c:v>TATA</c:v>
                </c:pt>
                <c:pt idx="2">
                  <c:v>M&amp;M</c:v>
                </c:pt>
                <c:pt idx="3">
                  <c:v>Maruti Suzuki</c:v>
                </c:pt>
              </c:strCache>
            </c:strRef>
          </c:cat>
          <c:val>
            <c:numRef>
              <c:f>Sheet1!$C$3:$C$6</c:f>
              <c:numCache>
                <c:formatCode>0.00%</c:formatCode>
                <c:ptCount val="4"/>
                <c:pt idx="0">
                  <c:v>1.6500000000000001E-2</c:v>
                </c:pt>
                <c:pt idx="1">
                  <c:v>1.7100000000000001E-2</c:v>
                </c:pt>
                <c:pt idx="2">
                  <c:v>3.6499999999999998E-2</c:v>
                </c:pt>
                <c:pt idx="3">
                  <c:v>1.9900000000000001E-2</c:v>
                </c:pt>
              </c:numCache>
            </c:numRef>
          </c:val>
          <c:extLst xmlns:c16r2="http://schemas.microsoft.com/office/drawing/2015/06/chart">
            <c:ext xmlns:c16="http://schemas.microsoft.com/office/drawing/2014/chart" uri="{C3380CC4-5D6E-409C-BE32-E72D297353CC}">
              <c16:uniqueId val="{00000001-DACE-43C1-A95A-90706E86BB37}"/>
            </c:ext>
          </c:extLst>
        </c:ser>
        <c:ser>
          <c:idx val="2"/>
          <c:order val="2"/>
          <c:tx>
            <c:strRef>
              <c:f>Sheet1!$D$2</c:f>
              <c:strCache>
                <c:ptCount val="1"/>
                <c:pt idx="0">
                  <c:v>MLP</c:v>
                </c:pt>
              </c:strCache>
            </c:strRef>
          </c:tx>
          <c:spPr>
            <a:solidFill>
              <a:schemeClr val="accent3"/>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Sheet1!$A$3:$A$6</c:f>
              <c:strCache>
                <c:ptCount val="4"/>
                <c:pt idx="0">
                  <c:v>JSW</c:v>
                </c:pt>
                <c:pt idx="1">
                  <c:v>TATA</c:v>
                </c:pt>
                <c:pt idx="2">
                  <c:v>M&amp;M</c:v>
                </c:pt>
                <c:pt idx="3">
                  <c:v>Maruti Suzuki</c:v>
                </c:pt>
              </c:strCache>
            </c:strRef>
          </c:cat>
          <c:val>
            <c:numRef>
              <c:f>Sheet1!$D$3:$D$6</c:f>
              <c:numCache>
                <c:formatCode>0.00%</c:formatCode>
                <c:ptCount val="4"/>
                <c:pt idx="0">
                  <c:v>1.6799999999999999E-2</c:v>
                </c:pt>
                <c:pt idx="1">
                  <c:v>1.9699999999999999E-2</c:v>
                </c:pt>
                <c:pt idx="2">
                  <c:v>2.4400000000000002E-2</c:v>
                </c:pt>
                <c:pt idx="3">
                  <c:v>1.7299999999999999E-2</c:v>
                </c:pt>
              </c:numCache>
            </c:numRef>
          </c:val>
          <c:extLst xmlns:c16r2="http://schemas.microsoft.com/office/drawing/2015/06/chart">
            <c:ext xmlns:c16="http://schemas.microsoft.com/office/drawing/2014/chart" uri="{C3380CC4-5D6E-409C-BE32-E72D297353CC}">
              <c16:uniqueId val="{00000002-DACE-43C1-A95A-90706E86BB37}"/>
            </c:ext>
          </c:extLst>
        </c:ser>
        <c:dLbls>
          <c:dLblPos val="outEnd"/>
          <c:showLegendKey val="0"/>
          <c:showVal val="1"/>
          <c:showCatName val="0"/>
          <c:showSerName val="0"/>
          <c:showPercent val="0"/>
          <c:showBubbleSize val="0"/>
        </c:dLbls>
        <c:gapWidth val="444"/>
        <c:overlap val="-90"/>
        <c:axId val="184247808"/>
        <c:axId val="183661056"/>
      </c:barChart>
      <c:catAx>
        <c:axId val="184247808"/>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cap="all" spc="120" normalizeH="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83661056"/>
        <c:crosses val="autoZero"/>
        <c:auto val="1"/>
        <c:lblAlgn val="ctr"/>
        <c:lblOffset val="100"/>
        <c:noMultiLvlLbl val="0"/>
      </c:catAx>
      <c:valAx>
        <c:axId val="183661056"/>
        <c:scaling>
          <c:orientation val="minMax"/>
        </c:scaling>
        <c:delete val="1"/>
        <c:axPos val="l"/>
        <c:numFmt formatCode="0.00%" sourceLinked="1"/>
        <c:majorTickMark val="none"/>
        <c:minorTickMark val="none"/>
        <c:tickLblPos val="nextTo"/>
        <c:crossAx val="184247808"/>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lt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I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cap="all" spc="120" normalizeH="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IN">
                <a:latin typeface="Times New Roman" panose="02020603050405020304" pitchFamily="18" charset="0"/>
                <a:cs typeface="Times New Roman" panose="02020603050405020304" pitchFamily="18" charset="0"/>
              </a:rPr>
              <a:t>MAE</a:t>
            </a:r>
          </a:p>
        </c:rich>
      </c:tx>
      <c:overlay val="0"/>
      <c:spPr>
        <a:noFill/>
        <a:ln>
          <a:noFill/>
        </a:ln>
        <a:effectLst/>
      </c:spPr>
    </c:title>
    <c:autoTitleDeleted val="0"/>
    <c:plotArea>
      <c:layout/>
      <c:barChart>
        <c:barDir val="col"/>
        <c:grouping val="clustered"/>
        <c:varyColors val="0"/>
        <c:ser>
          <c:idx val="0"/>
          <c:order val="0"/>
          <c:tx>
            <c:strRef>
              <c:f>Sheet1!$B$20</c:f>
              <c:strCache>
                <c:ptCount val="1"/>
                <c:pt idx="0">
                  <c:v>SVM</c:v>
                </c:pt>
              </c:strCache>
            </c:strRef>
          </c:tx>
          <c:spPr>
            <a:solidFill>
              <a:schemeClr val="accent1"/>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Sheet1!$A$21:$A$24</c:f>
              <c:strCache>
                <c:ptCount val="4"/>
                <c:pt idx="0">
                  <c:v>JSW</c:v>
                </c:pt>
                <c:pt idx="1">
                  <c:v>TATA</c:v>
                </c:pt>
                <c:pt idx="2">
                  <c:v>M&amp;M</c:v>
                </c:pt>
                <c:pt idx="3">
                  <c:v>Maruti Suzuki</c:v>
                </c:pt>
              </c:strCache>
            </c:strRef>
          </c:cat>
          <c:val>
            <c:numRef>
              <c:f>Sheet1!$B$21:$B$24</c:f>
              <c:numCache>
                <c:formatCode>0.00%</c:formatCode>
                <c:ptCount val="4"/>
                <c:pt idx="0">
                  <c:v>6.8999999999999999E-3</c:v>
                </c:pt>
                <c:pt idx="1">
                  <c:v>7.1900000000000006E-2</c:v>
                </c:pt>
                <c:pt idx="2">
                  <c:v>4.1799999999999997E-2</c:v>
                </c:pt>
                <c:pt idx="3">
                  <c:v>1.2800000000000001E-2</c:v>
                </c:pt>
              </c:numCache>
            </c:numRef>
          </c:val>
          <c:extLst xmlns:c16r2="http://schemas.microsoft.com/office/drawing/2015/06/chart">
            <c:ext xmlns:c16="http://schemas.microsoft.com/office/drawing/2014/chart" uri="{C3380CC4-5D6E-409C-BE32-E72D297353CC}">
              <c16:uniqueId val="{00000000-ECFE-4FB6-ADE3-FAC13D6A344F}"/>
            </c:ext>
          </c:extLst>
        </c:ser>
        <c:ser>
          <c:idx val="1"/>
          <c:order val="1"/>
          <c:tx>
            <c:strRef>
              <c:f>Sheet1!$C$20</c:f>
              <c:strCache>
                <c:ptCount val="1"/>
                <c:pt idx="0">
                  <c:v>LSTM</c:v>
                </c:pt>
              </c:strCache>
            </c:strRef>
          </c:tx>
          <c:spPr>
            <a:solidFill>
              <a:schemeClr val="accent2"/>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Sheet1!$A$21:$A$24</c:f>
              <c:strCache>
                <c:ptCount val="4"/>
                <c:pt idx="0">
                  <c:v>JSW</c:v>
                </c:pt>
                <c:pt idx="1">
                  <c:v>TATA</c:v>
                </c:pt>
                <c:pt idx="2">
                  <c:v>M&amp;M</c:v>
                </c:pt>
                <c:pt idx="3">
                  <c:v>Maruti Suzuki</c:v>
                </c:pt>
              </c:strCache>
            </c:strRef>
          </c:cat>
          <c:val>
            <c:numRef>
              <c:f>Sheet1!$C$21:$C$24</c:f>
              <c:numCache>
                <c:formatCode>0.00%</c:formatCode>
                <c:ptCount val="4"/>
                <c:pt idx="0">
                  <c:v>1.2800000000000001E-2</c:v>
                </c:pt>
                <c:pt idx="1">
                  <c:v>2.2700000000000001E-2</c:v>
                </c:pt>
                <c:pt idx="2">
                  <c:v>2.8199999999999999E-2</c:v>
                </c:pt>
                <c:pt idx="3">
                  <c:v>1.5699999999999999E-2</c:v>
                </c:pt>
              </c:numCache>
            </c:numRef>
          </c:val>
          <c:extLst xmlns:c16r2="http://schemas.microsoft.com/office/drawing/2015/06/chart">
            <c:ext xmlns:c16="http://schemas.microsoft.com/office/drawing/2014/chart" uri="{C3380CC4-5D6E-409C-BE32-E72D297353CC}">
              <c16:uniqueId val="{00000001-ECFE-4FB6-ADE3-FAC13D6A344F}"/>
            </c:ext>
          </c:extLst>
        </c:ser>
        <c:ser>
          <c:idx val="2"/>
          <c:order val="2"/>
          <c:tx>
            <c:strRef>
              <c:f>Sheet1!$D$20</c:f>
              <c:strCache>
                <c:ptCount val="1"/>
                <c:pt idx="0">
                  <c:v>MLP</c:v>
                </c:pt>
              </c:strCache>
            </c:strRef>
          </c:tx>
          <c:spPr>
            <a:solidFill>
              <a:schemeClr val="accent3"/>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Sheet1!$A$21:$A$24</c:f>
              <c:strCache>
                <c:ptCount val="4"/>
                <c:pt idx="0">
                  <c:v>JSW</c:v>
                </c:pt>
                <c:pt idx="1">
                  <c:v>TATA</c:v>
                </c:pt>
                <c:pt idx="2">
                  <c:v>M&amp;M</c:v>
                </c:pt>
                <c:pt idx="3">
                  <c:v>Maruti Suzuki</c:v>
                </c:pt>
              </c:strCache>
            </c:strRef>
          </c:cat>
          <c:val>
            <c:numRef>
              <c:f>Sheet1!$D$21:$D$24</c:f>
              <c:numCache>
                <c:formatCode>0.00%</c:formatCode>
                <c:ptCount val="4"/>
                <c:pt idx="0">
                  <c:v>1.2800000000000001E-2</c:v>
                </c:pt>
                <c:pt idx="1">
                  <c:v>2.46E-2</c:v>
                </c:pt>
                <c:pt idx="2">
                  <c:v>1.7299999999999999E-2</c:v>
                </c:pt>
                <c:pt idx="3">
                  <c:v>1.23E-2</c:v>
                </c:pt>
              </c:numCache>
            </c:numRef>
          </c:val>
          <c:extLst xmlns:c16r2="http://schemas.microsoft.com/office/drawing/2015/06/chart">
            <c:ext xmlns:c16="http://schemas.microsoft.com/office/drawing/2014/chart" uri="{C3380CC4-5D6E-409C-BE32-E72D297353CC}">
              <c16:uniqueId val="{00000002-ECFE-4FB6-ADE3-FAC13D6A344F}"/>
            </c:ext>
          </c:extLst>
        </c:ser>
        <c:dLbls>
          <c:dLblPos val="outEnd"/>
          <c:showLegendKey val="0"/>
          <c:showVal val="1"/>
          <c:showCatName val="0"/>
          <c:showSerName val="0"/>
          <c:showPercent val="0"/>
          <c:showBubbleSize val="0"/>
        </c:dLbls>
        <c:gapWidth val="444"/>
        <c:overlap val="-90"/>
        <c:axId val="184244736"/>
        <c:axId val="183662784"/>
      </c:barChart>
      <c:catAx>
        <c:axId val="184244736"/>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cap="all" spc="120" normalizeH="0" baseline="0">
                <a:solidFill>
                  <a:schemeClr val="tx1">
                    <a:lumMod val="65000"/>
                    <a:lumOff val="35000"/>
                  </a:schemeClr>
                </a:solidFill>
                <a:latin typeface="+mn-lt"/>
                <a:ea typeface="+mn-ea"/>
                <a:cs typeface="+mn-cs"/>
              </a:defRPr>
            </a:pPr>
            <a:endParaRPr lang="en-US"/>
          </a:p>
        </c:txPr>
        <c:crossAx val="183662784"/>
        <c:crosses val="autoZero"/>
        <c:auto val="1"/>
        <c:lblAlgn val="ctr"/>
        <c:lblOffset val="100"/>
        <c:noMultiLvlLbl val="0"/>
      </c:catAx>
      <c:valAx>
        <c:axId val="183662784"/>
        <c:scaling>
          <c:orientation val="minMax"/>
        </c:scaling>
        <c:delete val="1"/>
        <c:axPos val="l"/>
        <c:numFmt formatCode="0.00%" sourceLinked="1"/>
        <c:majorTickMark val="none"/>
        <c:minorTickMark val="none"/>
        <c:tickLblPos val="nextTo"/>
        <c:crossAx val="184244736"/>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lt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627A1C3D-691E-4639-9A0D-A123D0586EE7}" type="doc">
      <dgm:prSet loTypeId="urn:microsoft.com/office/officeart/2005/8/layout/process5" loCatId="process" qsTypeId="urn:microsoft.com/office/officeart/2005/8/quickstyle/simple2" qsCatId="simple" csTypeId="urn:microsoft.com/office/officeart/2005/8/colors/accent1_2" csCatId="accent1" phldr="1"/>
      <dgm:spPr/>
      <dgm:t>
        <a:bodyPr/>
        <a:lstStyle/>
        <a:p>
          <a:endParaRPr lang="en-IN"/>
        </a:p>
      </dgm:t>
    </dgm:pt>
    <dgm:pt modelId="{774F65D9-325C-4200-9747-B2D4FEA1DA15}">
      <dgm:prSet phldrT="[Text]" custT="1"/>
      <dgm:spPr/>
      <dgm:t>
        <a:bodyPr/>
        <a:lstStyle/>
        <a:p>
          <a:r>
            <a:rPr lang="en-IN" sz="1200">
              <a:latin typeface="Times New Roman" panose="02020603050405020304" pitchFamily="18" charset="0"/>
              <a:cs typeface="Times New Roman" panose="02020603050405020304" pitchFamily="18" charset="0"/>
            </a:rPr>
            <a:t>Data collection</a:t>
          </a:r>
        </a:p>
      </dgm:t>
    </dgm:pt>
    <dgm:pt modelId="{A1FD261E-BFFB-46CA-84AC-C08D001D14CB}" type="parTrans" cxnId="{8D8F2F1E-C0EF-47FD-BB54-50DA4D7CC64E}">
      <dgm:prSet/>
      <dgm:spPr/>
      <dgm:t>
        <a:bodyPr/>
        <a:lstStyle/>
        <a:p>
          <a:endParaRPr lang="en-IN"/>
        </a:p>
      </dgm:t>
    </dgm:pt>
    <dgm:pt modelId="{E0AB095A-9529-4AC0-9CBD-6BC2B3567778}" type="sibTrans" cxnId="{8D8F2F1E-C0EF-47FD-BB54-50DA4D7CC64E}">
      <dgm:prSet/>
      <dgm:spPr/>
      <dgm:t>
        <a:bodyPr/>
        <a:lstStyle/>
        <a:p>
          <a:endParaRPr lang="en-IN"/>
        </a:p>
      </dgm:t>
    </dgm:pt>
    <dgm:pt modelId="{1152A393-6134-4B12-91BC-16E96A3EC22F}">
      <dgm:prSet phldrT="[Text]" custT="1"/>
      <dgm:spPr/>
      <dgm:t>
        <a:bodyPr/>
        <a:lstStyle/>
        <a:p>
          <a:r>
            <a:rPr lang="en-IN" sz="1200">
              <a:latin typeface="Times New Roman" panose="02020603050405020304" pitchFamily="18" charset="0"/>
              <a:cs typeface="Times New Roman" panose="02020603050405020304" pitchFamily="18" charset="0"/>
            </a:rPr>
            <a:t>Model construct</a:t>
          </a:r>
        </a:p>
      </dgm:t>
    </dgm:pt>
    <dgm:pt modelId="{D5AB0C6C-9458-4BCD-A1D5-399C33DF9DAA}" type="parTrans" cxnId="{8CF2FD63-239C-4C65-932C-E115261E298D}">
      <dgm:prSet/>
      <dgm:spPr/>
      <dgm:t>
        <a:bodyPr/>
        <a:lstStyle/>
        <a:p>
          <a:endParaRPr lang="en-IN"/>
        </a:p>
      </dgm:t>
    </dgm:pt>
    <dgm:pt modelId="{E4AC5FE4-7BAE-4BD9-ACED-9A46591ED438}" type="sibTrans" cxnId="{8CF2FD63-239C-4C65-932C-E115261E298D}">
      <dgm:prSet/>
      <dgm:spPr/>
      <dgm:t>
        <a:bodyPr/>
        <a:lstStyle/>
        <a:p>
          <a:endParaRPr lang="en-IN"/>
        </a:p>
      </dgm:t>
    </dgm:pt>
    <dgm:pt modelId="{34FB92E5-0F76-4162-B3F4-0F2CEEF0D4A5}">
      <dgm:prSet phldrT="[Text]" custT="1"/>
      <dgm:spPr/>
      <dgm:t>
        <a:bodyPr/>
        <a:lstStyle/>
        <a:p>
          <a:r>
            <a:rPr lang="en-IN" sz="1200">
              <a:latin typeface="Times New Roman" panose="02020603050405020304" pitchFamily="18" charset="0"/>
              <a:cs typeface="Times New Roman" panose="02020603050405020304" pitchFamily="18" charset="0"/>
            </a:rPr>
            <a:t>Data Processing</a:t>
          </a:r>
        </a:p>
      </dgm:t>
    </dgm:pt>
    <dgm:pt modelId="{BD05CBD2-363A-41F2-9590-586BF6165BAE}" type="parTrans" cxnId="{037E1379-E539-490E-A3E8-FA65A846118F}">
      <dgm:prSet/>
      <dgm:spPr/>
      <dgm:t>
        <a:bodyPr/>
        <a:lstStyle/>
        <a:p>
          <a:endParaRPr lang="en-IN"/>
        </a:p>
      </dgm:t>
    </dgm:pt>
    <dgm:pt modelId="{61A5562C-E9E7-4390-93C3-3C5EFC6F8F54}" type="sibTrans" cxnId="{037E1379-E539-490E-A3E8-FA65A846118F}">
      <dgm:prSet/>
      <dgm:spPr/>
      <dgm:t>
        <a:bodyPr/>
        <a:lstStyle/>
        <a:p>
          <a:endParaRPr lang="en-IN"/>
        </a:p>
      </dgm:t>
    </dgm:pt>
    <dgm:pt modelId="{F45105BF-4875-48BD-BC52-BE4FD484C463}">
      <dgm:prSet phldrT="[Text]" custT="1"/>
      <dgm:spPr/>
      <dgm:t>
        <a:bodyPr/>
        <a:lstStyle/>
        <a:p>
          <a:r>
            <a:rPr lang="en-IN" sz="1200">
              <a:latin typeface="Times New Roman" panose="02020603050405020304" pitchFamily="18" charset="0"/>
              <a:cs typeface="Times New Roman" panose="02020603050405020304" pitchFamily="18" charset="0"/>
            </a:rPr>
            <a:t>Model selection</a:t>
          </a:r>
        </a:p>
      </dgm:t>
    </dgm:pt>
    <dgm:pt modelId="{0D3D3DFD-2CD3-4ED9-96FD-425F777462C2}" type="parTrans" cxnId="{BAAD165D-D21F-4378-A0F2-A967FE54EB56}">
      <dgm:prSet/>
      <dgm:spPr/>
      <dgm:t>
        <a:bodyPr/>
        <a:lstStyle/>
        <a:p>
          <a:endParaRPr lang="en-IN"/>
        </a:p>
      </dgm:t>
    </dgm:pt>
    <dgm:pt modelId="{71EBD6ED-2525-494E-8A46-866A0DC0C6F5}" type="sibTrans" cxnId="{BAAD165D-D21F-4378-A0F2-A967FE54EB56}">
      <dgm:prSet/>
      <dgm:spPr/>
      <dgm:t>
        <a:bodyPr/>
        <a:lstStyle/>
        <a:p>
          <a:endParaRPr lang="en-IN"/>
        </a:p>
      </dgm:t>
    </dgm:pt>
    <dgm:pt modelId="{D338EBA5-CF6D-4266-B87C-03291CBD8E21}">
      <dgm:prSet phldrT="[Text]" custT="1"/>
      <dgm:spPr/>
      <dgm:t>
        <a:bodyPr/>
        <a:lstStyle/>
        <a:p>
          <a:r>
            <a:rPr lang="en-IN" sz="1200">
              <a:latin typeface="Times New Roman" panose="02020603050405020304" pitchFamily="18" charset="0"/>
              <a:cs typeface="Times New Roman" panose="02020603050405020304" pitchFamily="18" charset="0"/>
            </a:rPr>
            <a:t>Input data</a:t>
          </a:r>
        </a:p>
      </dgm:t>
    </dgm:pt>
    <dgm:pt modelId="{BD90CF5B-CC33-4FDA-9FF5-D95E5B7E1483}" type="parTrans" cxnId="{D6FBFC32-9B1F-4C18-B172-4B32D00293E7}">
      <dgm:prSet/>
      <dgm:spPr/>
      <dgm:t>
        <a:bodyPr/>
        <a:lstStyle/>
        <a:p>
          <a:endParaRPr lang="en-IN"/>
        </a:p>
      </dgm:t>
    </dgm:pt>
    <dgm:pt modelId="{053E6651-C060-472C-BEA5-967F2FD7B69E}" type="sibTrans" cxnId="{D6FBFC32-9B1F-4C18-B172-4B32D00293E7}">
      <dgm:prSet/>
      <dgm:spPr/>
      <dgm:t>
        <a:bodyPr/>
        <a:lstStyle/>
        <a:p>
          <a:endParaRPr lang="en-IN"/>
        </a:p>
      </dgm:t>
    </dgm:pt>
    <dgm:pt modelId="{E0289EED-4D8F-459C-B4DC-A9136D1DDDF2}">
      <dgm:prSet phldrT="[Text]" custT="1"/>
      <dgm:spPr/>
      <dgm:t>
        <a:bodyPr/>
        <a:lstStyle/>
        <a:p>
          <a:r>
            <a:rPr lang="en-IN" sz="1200">
              <a:latin typeface="Times New Roman" panose="02020603050405020304" pitchFamily="18" charset="0"/>
              <a:cs typeface="Times New Roman" panose="02020603050405020304" pitchFamily="18" charset="0"/>
            </a:rPr>
            <a:t>prediction</a:t>
          </a:r>
        </a:p>
      </dgm:t>
    </dgm:pt>
    <dgm:pt modelId="{4102E655-310B-496B-8580-BC43FFFD51C9}" type="parTrans" cxnId="{D8A88CE8-F340-4E63-B6CB-92DC749217D2}">
      <dgm:prSet/>
      <dgm:spPr/>
      <dgm:t>
        <a:bodyPr/>
        <a:lstStyle/>
        <a:p>
          <a:endParaRPr lang="en-IN"/>
        </a:p>
      </dgm:t>
    </dgm:pt>
    <dgm:pt modelId="{C912705D-64F2-4996-8987-CAD6A09180BA}" type="sibTrans" cxnId="{D8A88CE8-F340-4E63-B6CB-92DC749217D2}">
      <dgm:prSet/>
      <dgm:spPr/>
      <dgm:t>
        <a:bodyPr/>
        <a:lstStyle/>
        <a:p>
          <a:endParaRPr lang="en-IN"/>
        </a:p>
      </dgm:t>
    </dgm:pt>
    <dgm:pt modelId="{D2C89BD6-B1F3-4D41-B02B-F26C2C9B9C5E}">
      <dgm:prSet phldrT="[Text]" custT="1"/>
      <dgm:spPr/>
      <dgm:t>
        <a:bodyPr/>
        <a:lstStyle/>
        <a:p>
          <a:r>
            <a:rPr lang="en-IN" sz="1200">
              <a:latin typeface="Times New Roman" panose="02020603050405020304" pitchFamily="18" charset="0"/>
              <a:cs typeface="Times New Roman" panose="02020603050405020304" pitchFamily="18" charset="0"/>
            </a:rPr>
            <a:t>Model Evaluation</a:t>
          </a:r>
        </a:p>
      </dgm:t>
    </dgm:pt>
    <dgm:pt modelId="{524E3BF9-DE16-47F1-996F-AED685735AE4}" type="parTrans" cxnId="{1D14D625-A7A0-4AA8-8612-50411B22FBCE}">
      <dgm:prSet/>
      <dgm:spPr/>
      <dgm:t>
        <a:bodyPr/>
        <a:lstStyle/>
        <a:p>
          <a:endParaRPr lang="en-IN"/>
        </a:p>
      </dgm:t>
    </dgm:pt>
    <dgm:pt modelId="{E7D34004-3D5F-4EC3-B65D-F91823953930}" type="sibTrans" cxnId="{1D14D625-A7A0-4AA8-8612-50411B22FBCE}">
      <dgm:prSet/>
      <dgm:spPr/>
      <dgm:t>
        <a:bodyPr/>
        <a:lstStyle/>
        <a:p>
          <a:endParaRPr lang="en-IN"/>
        </a:p>
      </dgm:t>
    </dgm:pt>
    <dgm:pt modelId="{FFB08E53-51FF-48C0-946B-11C7B4D67B0B}" type="pres">
      <dgm:prSet presAssocID="{627A1C3D-691E-4639-9A0D-A123D0586EE7}" presName="diagram" presStyleCnt="0">
        <dgm:presLayoutVars>
          <dgm:dir/>
          <dgm:resizeHandles val="exact"/>
        </dgm:presLayoutVars>
      </dgm:prSet>
      <dgm:spPr/>
      <dgm:t>
        <a:bodyPr/>
        <a:lstStyle/>
        <a:p>
          <a:endParaRPr lang="en-IN"/>
        </a:p>
      </dgm:t>
    </dgm:pt>
    <dgm:pt modelId="{F437A007-6E92-4B63-834F-7882C1AAD2D5}" type="pres">
      <dgm:prSet presAssocID="{774F65D9-325C-4200-9747-B2D4FEA1DA15}" presName="node" presStyleLbl="node1" presStyleIdx="0" presStyleCnt="7">
        <dgm:presLayoutVars>
          <dgm:bulletEnabled val="1"/>
        </dgm:presLayoutVars>
      </dgm:prSet>
      <dgm:spPr/>
      <dgm:t>
        <a:bodyPr/>
        <a:lstStyle/>
        <a:p>
          <a:endParaRPr lang="en-IN"/>
        </a:p>
      </dgm:t>
    </dgm:pt>
    <dgm:pt modelId="{1E93E51A-195E-4E1D-9977-3C975FABE3BC}" type="pres">
      <dgm:prSet presAssocID="{E0AB095A-9529-4AC0-9CBD-6BC2B3567778}" presName="sibTrans" presStyleLbl="sibTrans2D1" presStyleIdx="0" presStyleCnt="6"/>
      <dgm:spPr/>
      <dgm:t>
        <a:bodyPr/>
        <a:lstStyle/>
        <a:p>
          <a:endParaRPr lang="en-IN"/>
        </a:p>
      </dgm:t>
    </dgm:pt>
    <dgm:pt modelId="{301B1DE4-CD87-4B8E-BFB5-C81181B1BFB4}" type="pres">
      <dgm:prSet presAssocID="{E0AB095A-9529-4AC0-9CBD-6BC2B3567778}" presName="connectorText" presStyleLbl="sibTrans2D1" presStyleIdx="0" presStyleCnt="6"/>
      <dgm:spPr/>
      <dgm:t>
        <a:bodyPr/>
        <a:lstStyle/>
        <a:p>
          <a:endParaRPr lang="en-IN"/>
        </a:p>
      </dgm:t>
    </dgm:pt>
    <dgm:pt modelId="{2FCD47E1-8798-4538-A6B7-2111DD92E572}" type="pres">
      <dgm:prSet presAssocID="{34FB92E5-0F76-4162-B3F4-0F2CEEF0D4A5}" presName="node" presStyleLbl="node1" presStyleIdx="1" presStyleCnt="7">
        <dgm:presLayoutVars>
          <dgm:bulletEnabled val="1"/>
        </dgm:presLayoutVars>
      </dgm:prSet>
      <dgm:spPr/>
      <dgm:t>
        <a:bodyPr/>
        <a:lstStyle/>
        <a:p>
          <a:endParaRPr lang="en-IN"/>
        </a:p>
      </dgm:t>
    </dgm:pt>
    <dgm:pt modelId="{CDDBEACC-9F8D-465E-AAEF-B7C03927A4F5}" type="pres">
      <dgm:prSet presAssocID="{61A5562C-E9E7-4390-93C3-3C5EFC6F8F54}" presName="sibTrans" presStyleLbl="sibTrans2D1" presStyleIdx="1" presStyleCnt="6"/>
      <dgm:spPr/>
      <dgm:t>
        <a:bodyPr/>
        <a:lstStyle/>
        <a:p>
          <a:endParaRPr lang="en-IN"/>
        </a:p>
      </dgm:t>
    </dgm:pt>
    <dgm:pt modelId="{515D50B7-C8FD-444A-8DB8-7ECD9361EABA}" type="pres">
      <dgm:prSet presAssocID="{61A5562C-E9E7-4390-93C3-3C5EFC6F8F54}" presName="connectorText" presStyleLbl="sibTrans2D1" presStyleIdx="1" presStyleCnt="6"/>
      <dgm:spPr/>
      <dgm:t>
        <a:bodyPr/>
        <a:lstStyle/>
        <a:p>
          <a:endParaRPr lang="en-IN"/>
        </a:p>
      </dgm:t>
    </dgm:pt>
    <dgm:pt modelId="{3078AF7C-3A81-401F-9903-DE411F4FDAE9}" type="pres">
      <dgm:prSet presAssocID="{F45105BF-4875-48BD-BC52-BE4FD484C463}" presName="node" presStyleLbl="node1" presStyleIdx="2" presStyleCnt="7">
        <dgm:presLayoutVars>
          <dgm:bulletEnabled val="1"/>
        </dgm:presLayoutVars>
      </dgm:prSet>
      <dgm:spPr/>
      <dgm:t>
        <a:bodyPr/>
        <a:lstStyle/>
        <a:p>
          <a:endParaRPr lang="en-IN"/>
        </a:p>
      </dgm:t>
    </dgm:pt>
    <dgm:pt modelId="{C3349C68-CDF9-4DF8-8260-730B6AE0F977}" type="pres">
      <dgm:prSet presAssocID="{71EBD6ED-2525-494E-8A46-866A0DC0C6F5}" presName="sibTrans" presStyleLbl="sibTrans2D1" presStyleIdx="2" presStyleCnt="6"/>
      <dgm:spPr/>
      <dgm:t>
        <a:bodyPr/>
        <a:lstStyle/>
        <a:p>
          <a:endParaRPr lang="en-IN"/>
        </a:p>
      </dgm:t>
    </dgm:pt>
    <dgm:pt modelId="{EB88B276-4C49-41FB-900E-936383333A81}" type="pres">
      <dgm:prSet presAssocID="{71EBD6ED-2525-494E-8A46-866A0DC0C6F5}" presName="connectorText" presStyleLbl="sibTrans2D1" presStyleIdx="2" presStyleCnt="6"/>
      <dgm:spPr/>
      <dgm:t>
        <a:bodyPr/>
        <a:lstStyle/>
        <a:p>
          <a:endParaRPr lang="en-IN"/>
        </a:p>
      </dgm:t>
    </dgm:pt>
    <dgm:pt modelId="{58A50431-080A-4866-9566-C3E27D0DF99D}" type="pres">
      <dgm:prSet presAssocID="{D338EBA5-CF6D-4266-B87C-03291CBD8E21}" presName="node" presStyleLbl="node1" presStyleIdx="3" presStyleCnt="7">
        <dgm:presLayoutVars>
          <dgm:bulletEnabled val="1"/>
        </dgm:presLayoutVars>
      </dgm:prSet>
      <dgm:spPr/>
      <dgm:t>
        <a:bodyPr/>
        <a:lstStyle/>
        <a:p>
          <a:endParaRPr lang="en-IN"/>
        </a:p>
      </dgm:t>
    </dgm:pt>
    <dgm:pt modelId="{2A78D84D-F047-4C45-B03E-AC05EB83A77B}" type="pres">
      <dgm:prSet presAssocID="{053E6651-C060-472C-BEA5-967F2FD7B69E}" presName="sibTrans" presStyleLbl="sibTrans2D1" presStyleIdx="3" presStyleCnt="6"/>
      <dgm:spPr/>
      <dgm:t>
        <a:bodyPr/>
        <a:lstStyle/>
        <a:p>
          <a:endParaRPr lang="en-IN"/>
        </a:p>
      </dgm:t>
    </dgm:pt>
    <dgm:pt modelId="{2B25C273-8407-4963-AFCA-843E8D53C845}" type="pres">
      <dgm:prSet presAssocID="{053E6651-C060-472C-BEA5-967F2FD7B69E}" presName="connectorText" presStyleLbl="sibTrans2D1" presStyleIdx="3" presStyleCnt="6"/>
      <dgm:spPr/>
      <dgm:t>
        <a:bodyPr/>
        <a:lstStyle/>
        <a:p>
          <a:endParaRPr lang="en-IN"/>
        </a:p>
      </dgm:t>
    </dgm:pt>
    <dgm:pt modelId="{6595733C-41CE-4105-BB7A-F405E282CC33}" type="pres">
      <dgm:prSet presAssocID="{1152A393-6134-4B12-91BC-16E96A3EC22F}" presName="node" presStyleLbl="node1" presStyleIdx="4" presStyleCnt="7">
        <dgm:presLayoutVars>
          <dgm:bulletEnabled val="1"/>
        </dgm:presLayoutVars>
      </dgm:prSet>
      <dgm:spPr/>
      <dgm:t>
        <a:bodyPr/>
        <a:lstStyle/>
        <a:p>
          <a:endParaRPr lang="en-IN"/>
        </a:p>
      </dgm:t>
    </dgm:pt>
    <dgm:pt modelId="{7BE93254-BC4A-4536-939D-D3ED8E7B4F39}" type="pres">
      <dgm:prSet presAssocID="{E4AC5FE4-7BAE-4BD9-ACED-9A46591ED438}" presName="sibTrans" presStyleLbl="sibTrans2D1" presStyleIdx="4" presStyleCnt="6"/>
      <dgm:spPr/>
      <dgm:t>
        <a:bodyPr/>
        <a:lstStyle/>
        <a:p>
          <a:endParaRPr lang="en-IN"/>
        </a:p>
      </dgm:t>
    </dgm:pt>
    <dgm:pt modelId="{4915F368-0681-4E87-89AB-27B96E240E87}" type="pres">
      <dgm:prSet presAssocID="{E4AC5FE4-7BAE-4BD9-ACED-9A46591ED438}" presName="connectorText" presStyleLbl="sibTrans2D1" presStyleIdx="4" presStyleCnt="6"/>
      <dgm:spPr/>
      <dgm:t>
        <a:bodyPr/>
        <a:lstStyle/>
        <a:p>
          <a:endParaRPr lang="en-IN"/>
        </a:p>
      </dgm:t>
    </dgm:pt>
    <dgm:pt modelId="{F55B2A48-9C81-42F2-9CC5-68B96B6B6273}" type="pres">
      <dgm:prSet presAssocID="{E0289EED-4D8F-459C-B4DC-A9136D1DDDF2}" presName="node" presStyleLbl="node1" presStyleIdx="5" presStyleCnt="7">
        <dgm:presLayoutVars>
          <dgm:bulletEnabled val="1"/>
        </dgm:presLayoutVars>
      </dgm:prSet>
      <dgm:spPr/>
      <dgm:t>
        <a:bodyPr/>
        <a:lstStyle/>
        <a:p>
          <a:endParaRPr lang="en-IN"/>
        </a:p>
      </dgm:t>
    </dgm:pt>
    <dgm:pt modelId="{87D82835-0A96-4BC8-A348-101A47CF3610}" type="pres">
      <dgm:prSet presAssocID="{C912705D-64F2-4996-8987-CAD6A09180BA}" presName="sibTrans" presStyleLbl="sibTrans2D1" presStyleIdx="5" presStyleCnt="6"/>
      <dgm:spPr/>
      <dgm:t>
        <a:bodyPr/>
        <a:lstStyle/>
        <a:p>
          <a:endParaRPr lang="en-IN"/>
        </a:p>
      </dgm:t>
    </dgm:pt>
    <dgm:pt modelId="{B7203FB1-838B-49A8-910F-4043DA49D2F1}" type="pres">
      <dgm:prSet presAssocID="{C912705D-64F2-4996-8987-CAD6A09180BA}" presName="connectorText" presStyleLbl="sibTrans2D1" presStyleIdx="5" presStyleCnt="6"/>
      <dgm:spPr/>
      <dgm:t>
        <a:bodyPr/>
        <a:lstStyle/>
        <a:p>
          <a:endParaRPr lang="en-IN"/>
        </a:p>
      </dgm:t>
    </dgm:pt>
    <dgm:pt modelId="{15CFE4CE-AF28-422F-954D-A7B1CB2268D4}" type="pres">
      <dgm:prSet presAssocID="{D2C89BD6-B1F3-4D41-B02B-F26C2C9B9C5E}" presName="node" presStyleLbl="node1" presStyleIdx="6" presStyleCnt="7">
        <dgm:presLayoutVars>
          <dgm:bulletEnabled val="1"/>
        </dgm:presLayoutVars>
      </dgm:prSet>
      <dgm:spPr/>
      <dgm:t>
        <a:bodyPr/>
        <a:lstStyle/>
        <a:p>
          <a:endParaRPr lang="en-IN"/>
        </a:p>
      </dgm:t>
    </dgm:pt>
  </dgm:ptLst>
  <dgm:cxnLst>
    <dgm:cxn modelId="{23737415-4021-4439-9678-5F020E0F2BCD}" type="presOf" srcId="{E4AC5FE4-7BAE-4BD9-ACED-9A46591ED438}" destId="{4915F368-0681-4E87-89AB-27B96E240E87}" srcOrd="1" destOrd="0" presId="urn:microsoft.com/office/officeart/2005/8/layout/process5"/>
    <dgm:cxn modelId="{5690C753-6358-49EC-AABD-68B7A17FE656}" type="presOf" srcId="{E0AB095A-9529-4AC0-9CBD-6BC2B3567778}" destId="{1E93E51A-195E-4E1D-9977-3C975FABE3BC}" srcOrd="0" destOrd="0" presId="urn:microsoft.com/office/officeart/2005/8/layout/process5"/>
    <dgm:cxn modelId="{415D9D8C-DCD8-4E07-B149-86A64A1DAD1E}" type="presOf" srcId="{053E6651-C060-472C-BEA5-967F2FD7B69E}" destId="{2B25C273-8407-4963-AFCA-843E8D53C845}" srcOrd="1" destOrd="0" presId="urn:microsoft.com/office/officeart/2005/8/layout/process5"/>
    <dgm:cxn modelId="{8D8F2F1E-C0EF-47FD-BB54-50DA4D7CC64E}" srcId="{627A1C3D-691E-4639-9A0D-A123D0586EE7}" destId="{774F65D9-325C-4200-9747-B2D4FEA1DA15}" srcOrd="0" destOrd="0" parTransId="{A1FD261E-BFFB-46CA-84AC-C08D001D14CB}" sibTransId="{E0AB095A-9529-4AC0-9CBD-6BC2B3567778}"/>
    <dgm:cxn modelId="{D4B6D132-B757-43BA-A684-FF5365804E35}" type="presOf" srcId="{61A5562C-E9E7-4390-93C3-3C5EFC6F8F54}" destId="{515D50B7-C8FD-444A-8DB8-7ECD9361EABA}" srcOrd="1" destOrd="0" presId="urn:microsoft.com/office/officeart/2005/8/layout/process5"/>
    <dgm:cxn modelId="{8CF2FD63-239C-4C65-932C-E115261E298D}" srcId="{627A1C3D-691E-4639-9A0D-A123D0586EE7}" destId="{1152A393-6134-4B12-91BC-16E96A3EC22F}" srcOrd="4" destOrd="0" parTransId="{D5AB0C6C-9458-4BCD-A1D5-399C33DF9DAA}" sibTransId="{E4AC5FE4-7BAE-4BD9-ACED-9A46591ED438}"/>
    <dgm:cxn modelId="{98B8B4A2-DD37-4383-9274-FD8EA93AF3F6}" type="presOf" srcId="{053E6651-C060-472C-BEA5-967F2FD7B69E}" destId="{2A78D84D-F047-4C45-B03E-AC05EB83A77B}" srcOrd="0" destOrd="0" presId="urn:microsoft.com/office/officeart/2005/8/layout/process5"/>
    <dgm:cxn modelId="{9E59B301-49EC-4BC2-AEA0-1C9AD7035BBB}" type="presOf" srcId="{C912705D-64F2-4996-8987-CAD6A09180BA}" destId="{87D82835-0A96-4BC8-A348-101A47CF3610}" srcOrd="0" destOrd="0" presId="urn:microsoft.com/office/officeart/2005/8/layout/process5"/>
    <dgm:cxn modelId="{6908F849-5016-4C08-A4FE-694BCA385F59}" type="presOf" srcId="{627A1C3D-691E-4639-9A0D-A123D0586EE7}" destId="{FFB08E53-51FF-48C0-946B-11C7B4D67B0B}" srcOrd="0" destOrd="0" presId="urn:microsoft.com/office/officeart/2005/8/layout/process5"/>
    <dgm:cxn modelId="{80007AD2-DC7D-4411-B6A9-D9931B6356EF}" type="presOf" srcId="{61A5562C-E9E7-4390-93C3-3C5EFC6F8F54}" destId="{CDDBEACC-9F8D-465E-AAEF-B7C03927A4F5}" srcOrd="0" destOrd="0" presId="urn:microsoft.com/office/officeart/2005/8/layout/process5"/>
    <dgm:cxn modelId="{DC82B21D-C482-4202-A1F5-81F80C8D48F7}" type="presOf" srcId="{D338EBA5-CF6D-4266-B87C-03291CBD8E21}" destId="{58A50431-080A-4866-9566-C3E27D0DF99D}" srcOrd="0" destOrd="0" presId="urn:microsoft.com/office/officeart/2005/8/layout/process5"/>
    <dgm:cxn modelId="{65423E76-CFA3-4095-B94A-69DF1881A018}" type="presOf" srcId="{F45105BF-4875-48BD-BC52-BE4FD484C463}" destId="{3078AF7C-3A81-401F-9903-DE411F4FDAE9}" srcOrd="0" destOrd="0" presId="urn:microsoft.com/office/officeart/2005/8/layout/process5"/>
    <dgm:cxn modelId="{A9D8508A-7208-4365-B614-6B1DB7FDBEEB}" type="presOf" srcId="{71EBD6ED-2525-494E-8A46-866A0DC0C6F5}" destId="{EB88B276-4C49-41FB-900E-936383333A81}" srcOrd="1" destOrd="0" presId="urn:microsoft.com/office/officeart/2005/8/layout/process5"/>
    <dgm:cxn modelId="{D8A88CE8-F340-4E63-B6CB-92DC749217D2}" srcId="{627A1C3D-691E-4639-9A0D-A123D0586EE7}" destId="{E0289EED-4D8F-459C-B4DC-A9136D1DDDF2}" srcOrd="5" destOrd="0" parTransId="{4102E655-310B-496B-8580-BC43FFFD51C9}" sibTransId="{C912705D-64F2-4996-8987-CAD6A09180BA}"/>
    <dgm:cxn modelId="{1D14D625-A7A0-4AA8-8612-50411B22FBCE}" srcId="{627A1C3D-691E-4639-9A0D-A123D0586EE7}" destId="{D2C89BD6-B1F3-4D41-B02B-F26C2C9B9C5E}" srcOrd="6" destOrd="0" parTransId="{524E3BF9-DE16-47F1-996F-AED685735AE4}" sibTransId="{E7D34004-3D5F-4EC3-B65D-F91823953930}"/>
    <dgm:cxn modelId="{B9E15B88-DAFB-451A-AF7C-9AB057514886}" type="presOf" srcId="{34FB92E5-0F76-4162-B3F4-0F2CEEF0D4A5}" destId="{2FCD47E1-8798-4538-A6B7-2111DD92E572}" srcOrd="0" destOrd="0" presId="urn:microsoft.com/office/officeart/2005/8/layout/process5"/>
    <dgm:cxn modelId="{D6FBFC32-9B1F-4C18-B172-4B32D00293E7}" srcId="{627A1C3D-691E-4639-9A0D-A123D0586EE7}" destId="{D338EBA5-CF6D-4266-B87C-03291CBD8E21}" srcOrd="3" destOrd="0" parTransId="{BD90CF5B-CC33-4FDA-9FF5-D95E5B7E1483}" sibTransId="{053E6651-C060-472C-BEA5-967F2FD7B69E}"/>
    <dgm:cxn modelId="{C84657C2-A639-4D74-862A-344DB441D40D}" type="presOf" srcId="{D2C89BD6-B1F3-4D41-B02B-F26C2C9B9C5E}" destId="{15CFE4CE-AF28-422F-954D-A7B1CB2268D4}" srcOrd="0" destOrd="0" presId="urn:microsoft.com/office/officeart/2005/8/layout/process5"/>
    <dgm:cxn modelId="{A00D26FD-11B1-4885-893E-E61544986D96}" type="presOf" srcId="{E0289EED-4D8F-459C-B4DC-A9136D1DDDF2}" destId="{F55B2A48-9C81-42F2-9CC5-68B96B6B6273}" srcOrd="0" destOrd="0" presId="urn:microsoft.com/office/officeart/2005/8/layout/process5"/>
    <dgm:cxn modelId="{9524DE0B-3A08-4B89-9ADE-625DE0EFD9D7}" type="presOf" srcId="{1152A393-6134-4B12-91BC-16E96A3EC22F}" destId="{6595733C-41CE-4105-BB7A-F405E282CC33}" srcOrd="0" destOrd="0" presId="urn:microsoft.com/office/officeart/2005/8/layout/process5"/>
    <dgm:cxn modelId="{B31CD44C-02CA-4AAB-BFCC-5B883C4EF5D3}" type="presOf" srcId="{774F65D9-325C-4200-9747-B2D4FEA1DA15}" destId="{F437A007-6E92-4B63-834F-7882C1AAD2D5}" srcOrd="0" destOrd="0" presId="urn:microsoft.com/office/officeart/2005/8/layout/process5"/>
    <dgm:cxn modelId="{BAAD165D-D21F-4378-A0F2-A967FE54EB56}" srcId="{627A1C3D-691E-4639-9A0D-A123D0586EE7}" destId="{F45105BF-4875-48BD-BC52-BE4FD484C463}" srcOrd="2" destOrd="0" parTransId="{0D3D3DFD-2CD3-4ED9-96FD-425F777462C2}" sibTransId="{71EBD6ED-2525-494E-8A46-866A0DC0C6F5}"/>
    <dgm:cxn modelId="{9A328212-FA63-4014-962D-C044055BED82}" type="presOf" srcId="{E0AB095A-9529-4AC0-9CBD-6BC2B3567778}" destId="{301B1DE4-CD87-4B8E-BFB5-C81181B1BFB4}" srcOrd="1" destOrd="0" presId="urn:microsoft.com/office/officeart/2005/8/layout/process5"/>
    <dgm:cxn modelId="{D59148E4-70A6-4FBE-B71F-8B214A6F1A71}" type="presOf" srcId="{C912705D-64F2-4996-8987-CAD6A09180BA}" destId="{B7203FB1-838B-49A8-910F-4043DA49D2F1}" srcOrd="1" destOrd="0" presId="urn:microsoft.com/office/officeart/2005/8/layout/process5"/>
    <dgm:cxn modelId="{037E1379-E539-490E-A3E8-FA65A846118F}" srcId="{627A1C3D-691E-4639-9A0D-A123D0586EE7}" destId="{34FB92E5-0F76-4162-B3F4-0F2CEEF0D4A5}" srcOrd="1" destOrd="0" parTransId="{BD05CBD2-363A-41F2-9590-586BF6165BAE}" sibTransId="{61A5562C-E9E7-4390-93C3-3C5EFC6F8F54}"/>
    <dgm:cxn modelId="{CBC4E8EF-230C-44C9-B798-42CF67337D28}" type="presOf" srcId="{E4AC5FE4-7BAE-4BD9-ACED-9A46591ED438}" destId="{7BE93254-BC4A-4536-939D-D3ED8E7B4F39}" srcOrd="0" destOrd="0" presId="urn:microsoft.com/office/officeart/2005/8/layout/process5"/>
    <dgm:cxn modelId="{3D691547-0D31-449A-ABF6-AFA3C1B3F8AE}" type="presOf" srcId="{71EBD6ED-2525-494E-8A46-866A0DC0C6F5}" destId="{C3349C68-CDF9-4DF8-8260-730B6AE0F977}" srcOrd="0" destOrd="0" presId="urn:microsoft.com/office/officeart/2005/8/layout/process5"/>
    <dgm:cxn modelId="{C7C3E5C7-DCFE-49E8-9291-C752FAE6FFBE}" type="presParOf" srcId="{FFB08E53-51FF-48C0-946B-11C7B4D67B0B}" destId="{F437A007-6E92-4B63-834F-7882C1AAD2D5}" srcOrd="0" destOrd="0" presId="urn:microsoft.com/office/officeart/2005/8/layout/process5"/>
    <dgm:cxn modelId="{CE8DBC8A-AAA0-4840-A13A-A31A0610F1E1}" type="presParOf" srcId="{FFB08E53-51FF-48C0-946B-11C7B4D67B0B}" destId="{1E93E51A-195E-4E1D-9977-3C975FABE3BC}" srcOrd="1" destOrd="0" presId="urn:microsoft.com/office/officeart/2005/8/layout/process5"/>
    <dgm:cxn modelId="{76AADAE2-B6F0-4405-A2B1-A77BEC225CF4}" type="presParOf" srcId="{1E93E51A-195E-4E1D-9977-3C975FABE3BC}" destId="{301B1DE4-CD87-4B8E-BFB5-C81181B1BFB4}" srcOrd="0" destOrd="0" presId="urn:microsoft.com/office/officeart/2005/8/layout/process5"/>
    <dgm:cxn modelId="{B56BD8C8-AA33-46C5-B141-BC54C2710958}" type="presParOf" srcId="{FFB08E53-51FF-48C0-946B-11C7B4D67B0B}" destId="{2FCD47E1-8798-4538-A6B7-2111DD92E572}" srcOrd="2" destOrd="0" presId="urn:microsoft.com/office/officeart/2005/8/layout/process5"/>
    <dgm:cxn modelId="{2FF86ABC-1189-41D0-B9A4-E38B66228F8C}" type="presParOf" srcId="{FFB08E53-51FF-48C0-946B-11C7B4D67B0B}" destId="{CDDBEACC-9F8D-465E-AAEF-B7C03927A4F5}" srcOrd="3" destOrd="0" presId="urn:microsoft.com/office/officeart/2005/8/layout/process5"/>
    <dgm:cxn modelId="{FDB99F76-C760-4DA3-B51E-7AABBEE538D4}" type="presParOf" srcId="{CDDBEACC-9F8D-465E-AAEF-B7C03927A4F5}" destId="{515D50B7-C8FD-444A-8DB8-7ECD9361EABA}" srcOrd="0" destOrd="0" presId="urn:microsoft.com/office/officeart/2005/8/layout/process5"/>
    <dgm:cxn modelId="{C1694E4C-59FC-4B04-BB02-9F806B3E3994}" type="presParOf" srcId="{FFB08E53-51FF-48C0-946B-11C7B4D67B0B}" destId="{3078AF7C-3A81-401F-9903-DE411F4FDAE9}" srcOrd="4" destOrd="0" presId="urn:microsoft.com/office/officeart/2005/8/layout/process5"/>
    <dgm:cxn modelId="{B54663FB-CDA7-427E-8C68-247046397437}" type="presParOf" srcId="{FFB08E53-51FF-48C0-946B-11C7B4D67B0B}" destId="{C3349C68-CDF9-4DF8-8260-730B6AE0F977}" srcOrd="5" destOrd="0" presId="urn:microsoft.com/office/officeart/2005/8/layout/process5"/>
    <dgm:cxn modelId="{9D4F1885-6676-40E6-8265-9CC26A0F1DC0}" type="presParOf" srcId="{C3349C68-CDF9-4DF8-8260-730B6AE0F977}" destId="{EB88B276-4C49-41FB-900E-936383333A81}" srcOrd="0" destOrd="0" presId="urn:microsoft.com/office/officeart/2005/8/layout/process5"/>
    <dgm:cxn modelId="{5DFFE519-D301-4C5D-9480-A88F9A7F6DE8}" type="presParOf" srcId="{FFB08E53-51FF-48C0-946B-11C7B4D67B0B}" destId="{58A50431-080A-4866-9566-C3E27D0DF99D}" srcOrd="6" destOrd="0" presId="urn:microsoft.com/office/officeart/2005/8/layout/process5"/>
    <dgm:cxn modelId="{83358BBD-4879-4BBC-B615-4375566F3738}" type="presParOf" srcId="{FFB08E53-51FF-48C0-946B-11C7B4D67B0B}" destId="{2A78D84D-F047-4C45-B03E-AC05EB83A77B}" srcOrd="7" destOrd="0" presId="urn:microsoft.com/office/officeart/2005/8/layout/process5"/>
    <dgm:cxn modelId="{BED80D25-5601-49D0-8775-452F850D8D14}" type="presParOf" srcId="{2A78D84D-F047-4C45-B03E-AC05EB83A77B}" destId="{2B25C273-8407-4963-AFCA-843E8D53C845}" srcOrd="0" destOrd="0" presId="urn:microsoft.com/office/officeart/2005/8/layout/process5"/>
    <dgm:cxn modelId="{66E416AC-C099-499F-A47F-3CD714976835}" type="presParOf" srcId="{FFB08E53-51FF-48C0-946B-11C7B4D67B0B}" destId="{6595733C-41CE-4105-BB7A-F405E282CC33}" srcOrd="8" destOrd="0" presId="urn:microsoft.com/office/officeart/2005/8/layout/process5"/>
    <dgm:cxn modelId="{158A7160-5950-4029-AB30-9F54F8AB23A9}" type="presParOf" srcId="{FFB08E53-51FF-48C0-946B-11C7B4D67B0B}" destId="{7BE93254-BC4A-4536-939D-D3ED8E7B4F39}" srcOrd="9" destOrd="0" presId="urn:microsoft.com/office/officeart/2005/8/layout/process5"/>
    <dgm:cxn modelId="{95BEB5A4-5383-469B-BECC-7F956F18FC48}" type="presParOf" srcId="{7BE93254-BC4A-4536-939D-D3ED8E7B4F39}" destId="{4915F368-0681-4E87-89AB-27B96E240E87}" srcOrd="0" destOrd="0" presId="urn:microsoft.com/office/officeart/2005/8/layout/process5"/>
    <dgm:cxn modelId="{10B332C7-5FB4-4FE0-A482-680C5053B557}" type="presParOf" srcId="{FFB08E53-51FF-48C0-946B-11C7B4D67B0B}" destId="{F55B2A48-9C81-42F2-9CC5-68B96B6B6273}" srcOrd="10" destOrd="0" presId="urn:microsoft.com/office/officeart/2005/8/layout/process5"/>
    <dgm:cxn modelId="{F92E1E23-A56D-4E86-8BB3-D1B42FB27408}" type="presParOf" srcId="{FFB08E53-51FF-48C0-946B-11C7B4D67B0B}" destId="{87D82835-0A96-4BC8-A348-101A47CF3610}" srcOrd="11" destOrd="0" presId="urn:microsoft.com/office/officeart/2005/8/layout/process5"/>
    <dgm:cxn modelId="{05962741-CE4D-4A10-8829-81B50D8B599B}" type="presParOf" srcId="{87D82835-0A96-4BC8-A348-101A47CF3610}" destId="{B7203FB1-838B-49A8-910F-4043DA49D2F1}" srcOrd="0" destOrd="0" presId="urn:microsoft.com/office/officeart/2005/8/layout/process5"/>
    <dgm:cxn modelId="{F386103B-9F97-4B97-847D-8F2C0A225456}" type="presParOf" srcId="{FFB08E53-51FF-48C0-946B-11C7B4D67B0B}" destId="{15CFE4CE-AF28-422F-954D-A7B1CB2268D4}" srcOrd="12" destOrd="0" presId="urn:microsoft.com/office/officeart/2005/8/layout/process5"/>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437A007-6E92-4B63-834F-7882C1AAD2D5}">
      <dsp:nvSpPr>
        <dsp:cNvPr id="0" name=""/>
        <dsp:cNvSpPr/>
      </dsp:nvSpPr>
      <dsp:spPr>
        <a:xfrm>
          <a:off x="406639" y="86"/>
          <a:ext cx="813882" cy="488329"/>
        </a:xfrm>
        <a:prstGeom prst="roundRect">
          <a:avLst>
            <a:gd name="adj" fmla="val 10000"/>
          </a:avLst>
        </a:prstGeom>
        <a:solidFill>
          <a:schemeClr val="accent1">
            <a:hueOff val="0"/>
            <a:satOff val="0"/>
            <a:lumOff val="0"/>
            <a:alphaOff val="0"/>
          </a:schemeClr>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en-IN" sz="1200" kern="1200">
              <a:latin typeface="Times New Roman" panose="02020603050405020304" pitchFamily="18" charset="0"/>
              <a:cs typeface="Times New Roman" panose="02020603050405020304" pitchFamily="18" charset="0"/>
            </a:rPr>
            <a:t>Data collection</a:t>
          </a:r>
        </a:p>
      </dsp:txBody>
      <dsp:txXfrm>
        <a:off x="420942" y="14389"/>
        <a:ext cx="785276" cy="459723"/>
      </dsp:txXfrm>
    </dsp:sp>
    <dsp:sp modelId="{1E93E51A-195E-4E1D-9977-3C975FABE3BC}">
      <dsp:nvSpPr>
        <dsp:cNvPr id="0" name=""/>
        <dsp:cNvSpPr/>
      </dsp:nvSpPr>
      <dsp:spPr>
        <a:xfrm>
          <a:off x="1292142" y="143330"/>
          <a:ext cx="172543" cy="201842"/>
        </a:xfrm>
        <a:prstGeom prst="rightArrow">
          <a:avLst>
            <a:gd name="adj1" fmla="val 60000"/>
            <a:gd name="adj2" fmla="val 50000"/>
          </a:avLst>
        </a:prstGeom>
        <a:solidFill>
          <a:schemeClr val="accent1">
            <a:tint val="60000"/>
            <a:hueOff val="0"/>
            <a:satOff val="0"/>
            <a:lumOff val="0"/>
            <a:alphaOff val="0"/>
          </a:schemeClr>
        </a:solidFill>
        <a:ln>
          <a:noFill/>
        </a:ln>
        <a:effectLst>
          <a:outerShdw blurRad="40000" dist="20000" dir="5400000" rotWithShape="0">
            <a:srgbClr val="000000">
              <a:alpha val="38000"/>
            </a:srgbClr>
          </a:outerShdw>
        </a:effectLst>
      </dsp:spPr>
      <dsp:style>
        <a:lnRef idx="0">
          <a:scrgbClr r="0" g="0" b="0"/>
        </a:lnRef>
        <a:fillRef idx="1">
          <a:scrgbClr r="0" g="0" b="0"/>
        </a:fillRef>
        <a:effectRef idx="1">
          <a:scrgbClr r="0" g="0" b="0"/>
        </a:effectRef>
        <a:fontRef idx="minor">
          <a:schemeClr val="lt1"/>
        </a:fontRef>
      </dsp:style>
      <dsp:txBody>
        <a:bodyPr spcFirstLastPara="0" vert="horz" wrap="square" lIns="0" tIns="0" rIns="0" bIns="0" numCol="1" spcCol="1270" anchor="ctr" anchorCtr="0">
          <a:noAutofit/>
        </a:bodyPr>
        <a:lstStyle/>
        <a:p>
          <a:pPr lvl="0" algn="ctr" defTabSz="355600">
            <a:lnSpc>
              <a:spcPct val="90000"/>
            </a:lnSpc>
            <a:spcBef>
              <a:spcPct val="0"/>
            </a:spcBef>
            <a:spcAft>
              <a:spcPct val="35000"/>
            </a:spcAft>
          </a:pPr>
          <a:endParaRPr lang="en-IN" sz="800" kern="1200"/>
        </a:p>
      </dsp:txBody>
      <dsp:txXfrm>
        <a:off x="1292142" y="183698"/>
        <a:ext cx="120780" cy="121106"/>
      </dsp:txXfrm>
    </dsp:sp>
    <dsp:sp modelId="{2FCD47E1-8798-4538-A6B7-2111DD92E572}">
      <dsp:nvSpPr>
        <dsp:cNvPr id="0" name=""/>
        <dsp:cNvSpPr/>
      </dsp:nvSpPr>
      <dsp:spPr>
        <a:xfrm>
          <a:off x="1546074" y="86"/>
          <a:ext cx="813882" cy="488329"/>
        </a:xfrm>
        <a:prstGeom prst="roundRect">
          <a:avLst>
            <a:gd name="adj" fmla="val 10000"/>
          </a:avLst>
        </a:prstGeom>
        <a:solidFill>
          <a:schemeClr val="accent1">
            <a:hueOff val="0"/>
            <a:satOff val="0"/>
            <a:lumOff val="0"/>
            <a:alphaOff val="0"/>
          </a:schemeClr>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en-IN" sz="1200" kern="1200">
              <a:latin typeface="Times New Roman" panose="02020603050405020304" pitchFamily="18" charset="0"/>
              <a:cs typeface="Times New Roman" panose="02020603050405020304" pitchFamily="18" charset="0"/>
            </a:rPr>
            <a:t>Data Processing</a:t>
          </a:r>
        </a:p>
      </dsp:txBody>
      <dsp:txXfrm>
        <a:off x="1560377" y="14389"/>
        <a:ext cx="785276" cy="459723"/>
      </dsp:txXfrm>
    </dsp:sp>
    <dsp:sp modelId="{CDDBEACC-9F8D-465E-AAEF-B7C03927A4F5}">
      <dsp:nvSpPr>
        <dsp:cNvPr id="0" name=""/>
        <dsp:cNvSpPr/>
      </dsp:nvSpPr>
      <dsp:spPr>
        <a:xfrm>
          <a:off x="2431577" y="143330"/>
          <a:ext cx="172543" cy="201842"/>
        </a:xfrm>
        <a:prstGeom prst="rightArrow">
          <a:avLst>
            <a:gd name="adj1" fmla="val 60000"/>
            <a:gd name="adj2" fmla="val 50000"/>
          </a:avLst>
        </a:prstGeom>
        <a:solidFill>
          <a:schemeClr val="accent1">
            <a:tint val="60000"/>
            <a:hueOff val="0"/>
            <a:satOff val="0"/>
            <a:lumOff val="0"/>
            <a:alphaOff val="0"/>
          </a:schemeClr>
        </a:solidFill>
        <a:ln>
          <a:noFill/>
        </a:ln>
        <a:effectLst>
          <a:outerShdw blurRad="40000" dist="20000" dir="5400000" rotWithShape="0">
            <a:srgbClr val="000000">
              <a:alpha val="38000"/>
            </a:srgbClr>
          </a:outerShdw>
        </a:effectLst>
      </dsp:spPr>
      <dsp:style>
        <a:lnRef idx="0">
          <a:scrgbClr r="0" g="0" b="0"/>
        </a:lnRef>
        <a:fillRef idx="1">
          <a:scrgbClr r="0" g="0" b="0"/>
        </a:fillRef>
        <a:effectRef idx="1">
          <a:scrgbClr r="0" g="0" b="0"/>
        </a:effectRef>
        <a:fontRef idx="minor">
          <a:schemeClr val="lt1"/>
        </a:fontRef>
      </dsp:style>
      <dsp:txBody>
        <a:bodyPr spcFirstLastPara="0" vert="horz" wrap="square" lIns="0" tIns="0" rIns="0" bIns="0" numCol="1" spcCol="1270" anchor="ctr" anchorCtr="0">
          <a:noAutofit/>
        </a:bodyPr>
        <a:lstStyle/>
        <a:p>
          <a:pPr lvl="0" algn="ctr" defTabSz="355600">
            <a:lnSpc>
              <a:spcPct val="90000"/>
            </a:lnSpc>
            <a:spcBef>
              <a:spcPct val="0"/>
            </a:spcBef>
            <a:spcAft>
              <a:spcPct val="35000"/>
            </a:spcAft>
          </a:pPr>
          <a:endParaRPr lang="en-IN" sz="800" kern="1200"/>
        </a:p>
      </dsp:txBody>
      <dsp:txXfrm>
        <a:off x="2431577" y="183698"/>
        <a:ext cx="120780" cy="121106"/>
      </dsp:txXfrm>
    </dsp:sp>
    <dsp:sp modelId="{3078AF7C-3A81-401F-9903-DE411F4FDAE9}">
      <dsp:nvSpPr>
        <dsp:cNvPr id="0" name=""/>
        <dsp:cNvSpPr/>
      </dsp:nvSpPr>
      <dsp:spPr>
        <a:xfrm>
          <a:off x="2685508" y="86"/>
          <a:ext cx="813882" cy="488329"/>
        </a:xfrm>
        <a:prstGeom prst="roundRect">
          <a:avLst>
            <a:gd name="adj" fmla="val 10000"/>
          </a:avLst>
        </a:prstGeom>
        <a:solidFill>
          <a:schemeClr val="accent1">
            <a:hueOff val="0"/>
            <a:satOff val="0"/>
            <a:lumOff val="0"/>
            <a:alphaOff val="0"/>
          </a:schemeClr>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en-IN" sz="1200" kern="1200">
              <a:latin typeface="Times New Roman" panose="02020603050405020304" pitchFamily="18" charset="0"/>
              <a:cs typeface="Times New Roman" panose="02020603050405020304" pitchFamily="18" charset="0"/>
            </a:rPr>
            <a:t>Model selection</a:t>
          </a:r>
        </a:p>
      </dsp:txBody>
      <dsp:txXfrm>
        <a:off x="2699811" y="14389"/>
        <a:ext cx="785276" cy="459723"/>
      </dsp:txXfrm>
    </dsp:sp>
    <dsp:sp modelId="{C3349C68-CDF9-4DF8-8260-730B6AE0F977}">
      <dsp:nvSpPr>
        <dsp:cNvPr id="0" name=""/>
        <dsp:cNvSpPr/>
      </dsp:nvSpPr>
      <dsp:spPr>
        <a:xfrm>
          <a:off x="3571012" y="143330"/>
          <a:ext cx="172543" cy="201842"/>
        </a:xfrm>
        <a:prstGeom prst="rightArrow">
          <a:avLst>
            <a:gd name="adj1" fmla="val 60000"/>
            <a:gd name="adj2" fmla="val 50000"/>
          </a:avLst>
        </a:prstGeom>
        <a:solidFill>
          <a:schemeClr val="accent1">
            <a:tint val="60000"/>
            <a:hueOff val="0"/>
            <a:satOff val="0"/>
            <a:lumOff val="0"/>
            <a:alphaOff val="0"/>
          </a:schemeClr>
        </a:solidFill>
        <a:ln>
          <a:noFill/>
        </a:ln>
        <a:effectLst>
          <a:outerShdw blurRad="40000" dist="20000" dir="5400000" rotWithShape="0">
            <a:srgbClr val="000000">
              <a:alpha val="38000"/>
            </a:srgbClr>
          </a:outerShdw>
        </a:effectLst>
      </dsp:spPr>
      <dsp:style>
        <a:lnRef idx="0">
          <a:scrgbClr r="0" g="0" b="0"/>
        </a:lnRef>
        <a:fillRef idx="1">
          <a:scrgbClr r="0" g="0" b="0"/>
        </a:fillRef>
        <a:effectRef idx="1">
          <a:scrgbClr r="0" g="0" b="0"/>
        </a:effectRef>
        <a:fontRef idx="minor">
          <a:schemeClr val="lt1"/>
        </a:fontRef>
      </dsp:style>
      <dsp:txBody>
        <a:bodyPr spcFirstLastPara="0" vert="horz" wrap="square" lIns="0" tIns="0" rIns="0" bIns="0" numCol="1" spcCol="1270" anchor="ctr" anchorCtr="0">
          <a:noAutofit/>
        </a:bodyPr>
        <a:lstStyle/>
        <a:p>
          <a:pPr lvl="0" algn="ctr" defTabSz="355600">
            <a:lnSpc>
              <a:spcPct val="90000"/>
            </a:lnSpc>
            <a:spcBef>
              <a:spcPct val="0"/>
            </a:spcBef>
            <a:spcAft>
              <a:spcPct val="35000"/>
            </a:spcAft>
          </a:pPr>
          <a:endParaRPr lang="en-IN" sz="800" kern="1200"/>
        </a:p>
      </dsp:txBody>
      <dsp:txXfrm>
        <a:off x="3571012" y="183698"/>
        <a:ext cx="120780" cy="121106"/>
      </dsp:txXfrm>
    </dsp:sp>
    <dsp:sp modelId="{58A50431-080A-4866-9566-C3E27D0DF99D}">
      <dsp:nvSpPr>
        <dsp:cNvPr id="0" name=""/>
        <dsp:cNvSpPr/>
      </dsp:nvSpPr>
      <dsp:spPr>
        <a:xfrm>
          <a:off x="3824943" y="86"/>
          <a:ext cx="813882" cy="488329"/>
        </a:xfrm>
        <a:prstGeom prst="roundRect">
          <a:avLst>
            <a:gd name="adj" fmla="val 10000"/>
          </a:avLst>
        </a:prstGeom>
        <a:solidFill>
          <a:schemeClr val="accent1">
            <a:hueOff val="0"/>
            <a:satOff val="0"/>
            <a:lumOff val="0"/>
            <a:alphaOff val="0"/>
          </a:schemeClr>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en-IN" sz="1200" kern="1200">
              <a:latin typeface="Times New Roman" panose="02020603050405020304" pitchFamily="18" charset="0"/>
              <a:cs typeface="Times New Roman" panose="02020603050405020304" pitchFamily="18" charset="0"/>
            </a:rPr>
            <a:t>Input data</a:t>
          </a:r>
        </a:p>
      </dsp:txBody>
      <dsp:txXfrm>
        <a:off x="3839246" y="14389"/>
        <a:ext cx="785276" cy="459723"/>
      </dsp:txXfrm>
    </dsp:sp>
    <dsp:sp modelId="{2A78D84D-F047-4C45-B03E-AC05EB83A77B}">
      <dsp:nvSpPr>
        <dsp:cNvPr id="0" name=""/>
        <dsp:cNvSpPr/>
      </dsp:nvSpPr>
      <dsp:spPr>
        <a:xfrm>
          <a:off x="4710447" y="143330"/>
          <a:ext cx="172543" cy="201842"/>
        </a:xfrm>
        <a:prstGeom prst="rightArrow">
          <a:avLst>
            <a:gd name="adj1" fmla="val 60000"/>
            <a:gd name="adj2" fmla="val 50000"/>
          </a:avLst>
        </a:prstGeom>
        <a:solidFill>
          <a:schemeClr val="accent1">
            <a:tint val="60000"/>
            <a:hueOff val="0"/>
            <a:satOff val="0"/>
            <a:lumOff val="0"/>
            <a:alphaOff val="0"/>
          </a:schemeClr>
        </a:solidFill>
        <a:ln>
          <a:noFill/>
        </a:ln>
        <a:effectLst>
          <a:outerShdw blurRad="40000" dist="20000" dir="5400000" rotWithShape="0">
            <a:srgbClr val="000000">
              <a:alpha val="38000"/>
            </a:srgbClr>
          </a:outerShdw>
        </a:effectLst>
      </dsp:spPr>
      <dsp:style>
        <a:lnRef idx="0">
          <a:scrgbClr r="0" g="0" b="0"/>
        </a:lnRef>
        <a:fillRef idx="1">
          <a:scrgbClr r="0" g="0" b="0"/>
        </a:fillRef>
        <a:effectRef idx="1">
          <a:scrgbClr r="0" g="0" b="0"/>
        </a:effectRef>
        <a:fontRef idx="minor">
          <a:schemeClr val="lt1"/>
        </a:fontRef>
      </dsp:style>
      <dsp:txBody>
        <a:bodyPr spcFirstLastPara="0" vert="horz" wrap="square" lIns="0" tIns="0" rIns="0" bIns="0" numCol="1" spcCol="1270" anchor="ctr" anchorCtr="0">
          <a:noAutofit/>
        </a:bodyPr>
        <a:lstStyle/>
        <a:p>
          <a:pPr lvl="0" algn="ctr" defTabSz="355600">
            <a:lnSpc>
              <a:spcPct val="90000"/>
            </a:lnSpc>
            <a:spcBef>
              <a:spcPct val="0"/>
            </a:spcBef>
            <a:spcAft>
              <a:spcPct val="35000"/>
            </a:spcAft>
          </a:pPr>
          <a:endParaRPr lang="en-IN" sz="800" kern="1200"/>
        </a:p>
      </dsp:txBody>
      <dsp:txXfrm>
        <a:off x="4710447" y="183698"/>
        <a:ext cx="120780" cy="121106"/>
      </dsp:txXfrm>
    </dsp:sp>
    <dsp:sp modelId="{6595733C-41CE-4105-BB7A-F405E282CC33}">
      <dsp:nvSpPr>
        <dsp:cNvPr id="0" name=""/>
        <dsp:cNvSpPr/>
      </dsp:nvSpPr>
      <dsp:spPr>
        <a:xfrm>
          <a:off x="4964378" y="86"/>
          <a:ext cx="813882" cy="488329"/>
        </a:xfrm>
        <a:prstGeom prst="roundRect">
          <a:avLst>
            <a:gd name="adj" fmla="val 10000"/>
          </a:avLst>
        </a:prstGeom>
        <a:solidFill>
          <a:schemeClr val="accent1">
            <a:hueOff val="0"/>
            <a:satOff val="0"/>
            <a:lumOff val="0"/>
            <a:alphaOff val="0"/>
          </a:schemeClr>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en-IN" sz="1200" kern="1200">
              <a:latin typeface="Times New Roman" panose="02020603050405020304" pitchFamily="18" charset="0"/>
              <a:cs typeface="Times New Roman" panose="02020603050405020304" pitchFamily="18" charset="0"/>
            </a:rPr>
            <a:t>Model construct</a:t>
          </a:r>
        </a:p>
      </dsp:txBody>
      <dsp:txXfrm>
        <a:off x="4978681" y="14389"/>
        <a:ext cx="785276" cy="459723"/>
      </dsp:txXfrm>
    </dsp:sp>
    <dsp:sp modelId="{7BE93254-BC4A-4536-939D-D3ED8E7B4F39}">
      <dsp:nvSpPr>
        <dsp:cNvPr id="0" name=""/>
        <dsp:cNvSpPr/>
      </dsp:nvSpPr>
      <dsp:spPr>
        <a:xfrm rot="5400000">
          <a:off x="5285048" y="545387"/>
          <a:ext cx="172543" cy="201842"/>
        </a:xfrm>
        <a:prstGeom prst="rightArrow">
          <a:avLst>
            <a:gd name="adj1" fmla="val 60000"/>
            <a:gd name="adj2" fmla="val 50000"/>
          </a:avLst>
        </a:prstGeom>
        <a:solidFill>
          <a:schemeClr val="accent1">
            <a:tint val="60000"/>
            <a:hueOff val="0"/>
            <a:satOff val="0"/>
            <a:lumOff val="0"/>
            <a:alphaOff val="0"/>
          </a:schemeClr>
        </a:solidFill>
        <a:ln>
          <a:noFill/>
        </a:ln>
        <a:effectLst>
          <a:outerShdw blurRad="40000" dist="20000" dir="5400000" rotWithShape="0">
            <a:srgbClr val="000000">
              <a:alpha val="38000"/>
            </a:srgbClr>
          </a:outerShdw>
        </a:effectLst>
      </dsp:spPr>
      <dsp:style>
        <a:lnRef idx="0">
          <a:scrgbClr r="0" g="0" b="0"/>
        </a:lnRef>
        <a:fillRef idx="1">
          <a:scrgbClr r="0" g="0" b="0"/>
        </a:fillRef>
        <a:effectRef idx="1">
          <a:scrgbClr r="0" g="0" b="0"/>
        </a:effectRef>
        <a:fontRef idx="minor">
          <a:schemeClr val="lt1"/>
        </a:fontRef>
      </dsp:style>
      <dsp:txBody>
        <a:bodyPr spcFirstLastPara="0" vert="horz" wrap="square" lIns="0" tIns="0" rIns="0" bIns="0" numCol="1" spcCol="1270" anchor="ctr" anchorCtr="0">
          <a:noAutofit/>
        </a:bodyPr>
        <a:lstStyle/>
        <a:p>
          <a:pPr lvl="0" algn="ctr" defTabSz="355600">
            <a:lnSpc>
              <a:spcPct val="90000"/>
            </a:lnSpc>
            <a:spcBef>
              <a:spcPct val="0"/>
            </a:spcBef>
            <a:spcAft>
              <a:spcPct val="35000"/>
            </a:spcAft>
          </a:pPr>
          <a:endParaRPr lang="en-IN" sz="800" kern="1200"/>
        </a:p>
      </dsp:txBody>
      <dsp:txXfrm rot="-5400000">
        <a:off x="5310767" y="560037"/>
        <a:ext cx="121106" cy="120780"/>
      </dsp:txXfrm>
    </dsp:sp>
    <dsp:sp modelId="{F55B2A48-9C81-42F2-9CC5-68B96B6B6273}">
      <dsp:nvSpPr>
        <dsp:cNvPr id="0" name=""/>
        <dsp:cNvSpPr/>
      </dsp:nvSpPr>
      <dsp:spPr>
        <a:xfrm>
          <a:off x="4964378" y="813968"/>
          <a:ext cx="813882" cy="488329"/>
        </a:xfrm>
        <a:prstGeom prst="roundRect">
          <a:avLst>
            <a:gd name="adj" fmla="val 10000"/>
          </a:avLst>
        </a:prstGeom>
        <a:solidFill>
          <a:schemeClr val="accent1">
            <a:hueOff val="0"/>
            <a:satOff val="0"/>
            <a:lumOff val="0"/>
            <a:alphaOff val="0"/>
          </a:schemeClr>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en-IN" sz="1200" kern="1200">
              <a:latin typeface="Times New Roman" panose="02020603050405020304" pitchFamily="18" charset="0"/>
              <a:cs typeface="Times New Roman" panose="02020603050405020304" pitchFamily="18" charset="0"/>
            </a:rPr>
            <a:t>prediction</a:t>
          </a:r>
        </a:p>
      </dsp:txBody>
      <dsp:txXfrm>
        <a:off x="4978681" y="828271"/>
        <a:ext cx="785276" cy="459723"/>
      </dsp:txXfrm>
    </dsp:sp>
    <dsp:sp modelId="{87D82835-0A96-4BC8-A348-101A47CF3610}">
      <dsp:nvSpPr>
        <dsp:cNvPr id="0" name=""/>
        <dsp:cNvSpPr/>
      </dsp:nvSpPr>
      <dsp:spPr>
        <a:xfrm rot="10800000">
          <a:off x="4720214" y="957212"/>
          <a:ext cx="172543" cy="201842"/>
        </a:xfrm>
        <a:prstGeom prst="rightArrow">
          <a:avLst>
            <a:gd name="adj1" fmla="val 60000"/>
            <a:gd name="adj2" fmla="val 50000"/>
          </a:avLst>
        </a:prstGeom>
        <a:solidFill>
          <a:schemeClr val="accent1">
            <a:tint val="60000"/>
            <a:hueOff val="0"/>
            <a:satOff val="0"/>
            <a:lumOff val="0"/>
            <a:alphaOff val="0"/>
          </a:schemeClr>
        </a:solidFill>
        <a:ln>
          <a:noFill/>
        </a:ln>
        <a:effectLst>
          <a:outerShdw blurRad="40000" dist="20000" dir="5400000" rotWithShape="0">
            <a:srgbClr val="000000">
              <a:alpha val="38000"/>
            </a:srgbClr>
          </a:outerShdw>
        </a:effectLst>
      </dsp:spPr>
      <dsp:style>
        <a:lnRef idx="0">
          <a:scrgbClr r="0" g="0" b="0"/>
        </a:lnRef>
        <a:fillRef idx="1">
          <a:scrgbClr r="0" g="0" b="0"/>
        </a:fillRef>
        <a:effectRef idx="1">
          <a:scrgbClr r="0" g="0" b="0"/>
        </a:effectRef>
        <a:fontRef idx="minor">
          <a:schemeClr val="lt1"/>
        </a:fontRef>
      </dsp:style>
      <dsp:txBody>
        <a:bodyPr spcFirstLastPara="0" vert="horz" wrap="square" lIns="0" tIns="0" rIns="0" bIns="0" numCol="1" spcCol="1270" anchor="ctr" anchorCtr="0">
          <a:noAutofit/>
        </a:bodyPr>
        <a:lstStyle/>
        <a:p>
          <a:pPr lvl="0" algn="ctr" defTabSz="355600">
            <a:lnSpc>
              <a:spcPct val="90000"/>
            </a:lnSpc>
            <a:spcBef>
              <a:spcPct val="0"/>
            </a:spcBef>
            <a:spcAft>
              <a:spcPct val="35000"/>
            </a:spcAft>
          </a:pPr>
          <a:endParaRPr lang="en-IN" sz="800" kern="1200"/>
        </a:p>
      </dsp:txBody>
      <dsp:txXfrm rot="10800000">
        <a:off x="4771977" y="997580"/>
        <a:ext cx="120780" cy="121106"/>
      </dsp:txXfrm>
    </dsp:sp>
    <dsp:sp modelId="{15CFE4CE-AF28-422F-954D-A7B1CB2268D4}">
      <dsp:nvSpPr>
        <dsp:cNvPr id="0" name=""/>
        <dsp:cNvSpPr/>
      </dsp:nvSpPr>
      <dsp:spPr>
        <a:xfrm>
          <a:off x="3824943" y="813968"/>
          <a:ext cx="813882" cy="488329"/>
        </a:xfrm>
        <a:prstGeom prst="roundRect">
          <a:avLst>
            <a:gd name="adj" fmla="val 10000"/>
          </a:avLst>
        </a:prstGeom>
        <a:solidFill>
          <a:schemeClr val="accent1">
            <a:hueOff val="0"/>
            <a:satOff val="0"/>
            <a:lumOff val="0"/>
            <a:alphaOff val="0"/>
          </a:schemeClr>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en-IN" sz="1200" kern="1200">
              <a:latin typeface="Times New Roman" panose="02020603050405020304" pitchFamily="18" charset="0"/>
              <a:cs typeface="Times New Roman" panose="02020603050405020304" pitchFamily="18" charset="0"/>
            </a:rPr>
            <a:t>Model Evaluation</a:t>
          </a:r>
        </a:p>
      </dsp:txBody>
      <dsp:txXfrm>
        <a:off x="3839246" y="828271"/>
        <a:ext cx="785276" cy="459723"/>
      </dsp:txXfrm>
    </dsp:sp>
  </dsp:spTree>
</dsp:drawing>
</file>

<file path=word/diagrams/layout1.xml><?xml version="1.0" encoding="utf-8"?>
<dgm:layoutDef xmlns:dgm="http://schemas.openxmlformats.org/drawingml/2006/diagram" xmlns:a="http://schemas.openxmlformats.org/drawingml/2006/main" uniqueId="urn:microsoft.com/office/officeart/2005/8/layout/process5">
  <dgm:title val=""/>
  <dgm:desc val=""/>
  <dgm:catLst>
    <dgm:cat type="process" pri="17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7" srcId="0" destId="1" srcOrd="0" destOrd="0"/>
        <dgm:cxn modelId="8" srcId="0" destId="2" srcOrd="1" destOrd="0"/>
        <dgm:cxn modelId="9" srcId="0" destId="3" srcOrd="2" destOrd="0"/>
        <dgm:cxn modelId="10" srcId="0" destId="4" srcOrd="3" destOrd="0"/>
        <dgm:cxn modelId="11"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diagram">
    <dgm:varLst>
      <dgm:dir/>
      <dgm:resizeHandles val="exact"/>
    </dgm:varLst>
    <dgm:choose name="Name0">
      <dgm:if name="Name1" axis="self" func="var" arg="dir" op="equ" val="norm">
        <dgm:alg type="snake">
          <dgm:param type="grDir" val="tL"/>
          <dgm:param type="flowDir" val="row"/>
          <dgm:param type="contDir" val="revDir"/>
          <dgm:param type="bkpt" val="endCnv"/>
        </dgm:alg>
      </dgm:if>
      <dgm:else name="Name2">
        <dgm:alg type="snake">
          <dgm:param type="grDir" val="tR"/>
          <dgm:param type="flowDir" val="row"/>
          <dgm:param type="contDir" val="revDir"/>
          <dgm:param type="bkpt" val="endCnv"/>
        </dgm:alg>
      </dgm:else>
    </dgm:choose>
    <dgm:shape xmlns:r="http://schemas.openxmlformats.org/officeDocument/2006/relationships" r:blip="">
      <dgm:adjLst/>
    </dgm:shape>
    <dgm:presOf/>
    <dgm:constrLst>
      <dgm:constr type="w" for="ch" ptType="node" refType="w"/>
      <dgm:constr type="w" for="ch" forName="sibTrans" refType="w" refFor="ch" refPtType="node" op="equ" fact="0.4"/>
      <dgm:constr type="sp" refType="w" refFor="ch" refForName="sibTrans" op="equ"/>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5"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Lst>
          <dgm:ruleLst/>
          <dgm:layoutNode name="connectorText">
            <dgm:alg type="tx">
              <dgm:param type="autoTxRot" val="upr"/>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2">
  <dgm:title val=""/>
  <dgm:desc val=""/>
  <dgm:catLst>
    <dgm:cat type="simple" pri="10200"/>
  </dgm:catLst>
  <dgm:scene3d>
    <a:camera prst="orthographicFront"/>
    <a:lightRig rig="threePt" dir="t"/>
  </dgm:scene3d>
  <dgm:styleLbl name="node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ln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vennNode1">
    <dgm:scene3d>
      <a:camera prst="orthographicFront"/>
      <a:lightRig rig="threePt" dir="t"/>
    </dgm:scene3d>
    <dgm:sp3d/>
    <dgm:txPr/>
    <dgm:style>
      <a:lnRef idx="3">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1">
        <a:scrgbClr r="0" g="0" b="0"/>
      </a:effectRef>
      <a:fontRef idx="minor">
        <a:schemeClr val="lt1"/>
      </a:fontRef>
    </dgm:style>
  </dgm:styleLbl>
  <dgm:styleLbl name="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f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20</Pages>
  <Words>5910</Words>
  <Characters>33691</Characters>
  <Application>Microsoft Office Word</Application>
  <DocSecurity>0</DocSecurity>
  <Lines>280</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39522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qwert</cp:lastModifiedBy>
  <cp:revision>3</cp:revision>
  <dcterms:created xsi:type="dcterms:W3CDTF">2026-03-21T08:55:00Z</dcterms:created>
  <dcterms:modified xsi:type="dcterms:W3CDTF">2026-03-21T11:15:00Z</dcterms:modified>
</cp:coreProperties>
</file>