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65" w:rsidRPr="00C80D5B" w:rsidRDefault="00391865" w:rsidP="00391865">
      <w:pPr>
        <w:spacing w:line="360" w:lineRule="auto"/>
        <w:jc w:val="center"/>
        <w:rPr>
          <w:rFonts w:ascii="Times New Roman" w:hAnsi="Times New Roman" w:cs="Times New Roman"/>
          <w:b/>
          <w:sz w:val="28"/>
          <w:szCs w:val="24"/>
        </w:rPr>
      </w:pPr>
      <w:r w:rsidRPr="00C80D5B">
        <w:rPr>
          <w:rFonts w:ascii="Times New Roman" w:hAnsi="Times New Roman" w:cs="Times New Roman"/>
          <w:b/>
          <w:sz w:val="28"/>
          <w:szCs w:val="24"/>
        </w:rPr>
        <w:t>THE STUDY OF WATER QUALITY ASSESSMENT OF MORVAN DAM, MADHYA PRADESH, INDIA</w:t>
      </w:r>
    </w:p>
    <w:p w:rsidR="00391865" w:rsidRPr="00C80D5B" w:rsidRDefault="00391865" w:rsidP="00391865">
      <w:pPr>
        <w:spacing w:line="360" w:lineRule="auto"/>
        <w:jc w:val="center"/>
        <w:rPr>
          <w:rFonts w:ascii="Times New Roman" w:hAnsi="Times New Roman" w:cs="Times New Roman"/>
          <w:sz w:val="24"/>
          <w:szCs w:val="24"/>
        </w:rPr>
      </w:pPr>
    </w:p>
    <w:p w:rsidR="00391865" w:rsidRDefault="00391865" w:rsidP="00391865">
      <w:pPr>
        <w:spacing w:line="360" w:lineRule="auto"/>
        <w:rPr>
          <w:rFonts w:ascii="Times New Roman" w:hAnsi="Times New Roman" w:cs="Times New Roman"/>
          <w:b/>
          <w:sz w:val="28"/>
          <w:szCs w:val="24"/>
        </w:rPr>
      </w:pPr>
      <w:bookmarkStart w:id="0" w:name="_GoBack"/>
      <w:bookmarkEnd w:id="0"/>
      <w:r w:rsidRPr="00391865">
        <w:rPr>
          <w:rFonts w:ascii="Times New Roman" w:hAnsi="Times New Roman" w:cs="Times New Roman"/>
          <w:b/>
          <w:sz w:val="28"/>
          <w:szCs w:val="24"/>
        </w:rPr>
        <w:t>INTRODUCTION</w:t>
      </w:r>
    </w:p>
    <w:p w:rsidR="00D40815" w:rsidRDefault="007B03B5" w:rsidP="00D40815">
      <w:pPr>
        <w:jc w:val="both"/>
        <w:rPr>
          <w:rFonts w:ascii="Times New Roman" w:hAnsi="Times New Roman" w:cs="Times New Roman"/>
          <w:color w:val="212529"/>
          <w:sz w:val="24"/>
          <w:shd w:val="clear" w:color="auto" w:fill="FFFFFF"/>
        </w:rPr>
      </w:pPr>
      <w:r w:rsidRPr="007B03B5">
        <w:rPr>
          <w:rFonts w:ascii="Times New Roman" w:hAnsi="Times New Roman" w:cs="Times New Roman"/>
          <w:color w:val="212529"/>
          <w:sz w:val="24"/>
          <w:shd w:val="clear" w:color="auto" w:fill="FFFFFF"/>
        </w:rPr>
        <w:t>The Morvan Dam is located in the Indian state of Madhya Pradesh, specifically in Morvan Village, which is part of Neemuch district in Jawad Tehsil. The dam is built on the Gambhiri River, which is a tributary of the Chambal River. It was mainly built to supply water for both irrigation and drinking purposes, and it provides water to 26 villages in the Neemach district. The dam is made of stone masonry and was constructed in 1960. Its coordinates are latitude 27° 37’ 06” N and longitude 75° 03’ 30” E. The length of the dam is 990 meters, and its width is 12 meters. The dam can hold a total of 16.46 million cubic meters of water. The maximum depth is 27.42 meters, while the average depth is 13 meters.</w:t>
      </w:r>
      <w:r w:rsidRPr="007B03B5">
        <w:rPr>
          <w:rFonts w:ascii="Times New Roman" w:hAnsi="Times New Roman" w:cs="Times New Roman"/>
          <w:color w:val="212529"/>
          <w:sz w:val="24"/>
        </w:rPr>
        <w:br/>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This dam is very important for the villagers because it supplies drinking water, helps with farming through irrigation, and supports fish farming.</w:t>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It covers about 267,100 hectares of land that is used for irrigation.</w:t>
      </w:r>
      <w:r w:rsidRPr="007B03B5">
        <w:rPr>
          <w:rFonts w:ascii="Times New Roman" w:hAnsi="Times New Roman" w:cs="Times New Roman"/>
          <w:color w:val="212529"/>
          <w:sz w:val="24"/>
        </w:rPr>
        <w:br/>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As development, industrialization, and population growth continue, t</w:t>
      </w:r>
      <w:r>
        <w:rPr>
          <w:rFonts w:ascii="Times New Roman" w:hAnsi="Times New Roman" w:cs="Times New Roman"/>
          <w:color w:val="212529"/>
          <w:sz w:val="24"/>
          <w:shd w:val="clear" w:color="auto" w:fill="FFFFFF"/>
        </w:rPr>
        <w:t>he need for water is increasing</w:t>
      </w:r>
      <w:r>
        <w:rPr>
          <w:rFonts w:ascii="Times New Roman" w:hAnsi="Times New Roman" w:cs="Times New Roman"/>
          <w:color w:val="212529"/>
          <w:sz w:val="24"/>
          <w:shd w:val="clear" w:color="auto" w:fill="FFFFFF"/>
        </w:rPr>
        <w:tab/>
      </w:r>
      <w:r w:rsidRPr="007B03B5">
        <w:rPr>
          <w:rFonts w:ascii="Times New Roman" w:hAnsi="Times New Roman" w:cs="Times New Roman"/>
          <w:color w:val="212529"/>
          <w:sz w:val="24"/>
          <w:shd w:val="clear" w:color="auto" w:fill="FFFFFF"/>
        </w:rPr>
        <w:t>significantly.</w:t>
      </w:r>
      <w:r w:rsidRPr="007B03B5">
        <w:rPr>
          <w:rFonts w:ascii="Times New Roman" w:hAnsi="Times New Roman" w:cs="Times New Roman"/>
          <w:color w:val="212529"/>
          <w:sz w:val="24"/>
        </w:rPr>
        <w:br/>
      </w:r>
      <w:r w:rsidRPr="007B03B5">
        <w:rPr>
          <w:rFonts w:ascii="Times New Roman" w:hAnsi="Times New Roman" w:cs="Times New Roman"/>
          <w:color w:val="212529"/>
          <w:sz w:val="24"/>
          <w:shd w:val="clear" w:color="auto" w:fill="FFFFFF"/>
        </w:rPr>
        <w:t>Dams like the Morvan Dam are used by people and animals for drinking and also for raising fish. Because of this, it is important to monitor the water continuously to ensure its long-ter</w:t>
      </w:r>
      <w:r>
        <w:rPr>
          <w:rFonts w:ascii="Times New Roman" w:hAnsi="Times New Roman" w:cs="Times New Roman"/>
          <w:color w:val="212529"/>
          <w:sz w:val="24"/>
          <w:shd w:val="clear" w:color="auto" w:fill="FFFFFF"/>
        </w:rPr>
        <w:t>m sustainability</w:t>
      </w:r>
      <w:r>
        <w:rPr>
          <w:rFonts w:ascii="Times New Roman" w:hAnsi="Times New Roman" w:cs="Times New Roman"/>
          <w:color w:val="212529"/>
          <w:sz w:val="24"/>
          <w:shd w:val="clear" w:color="auto" w:fill="FFFFFF"/>
        </w:rPr>
        <w:tab/>
        <w:t>and</w:t>
      </w:r>
      <w:r>
        <w:rPr>
          <w:rFonts w:ascii="Times New Roman" w:hAnsi="Times New Roman" w:cs="Times New Roman"/>
          <w:color w:val="212529"/>
          <w:sz w:val="24"/>
          <w:shd w:val="clear" w:color="auto" w:fill="FFFFFF"/>
        </w:rPr>
        <w:tab/>
        <w:t>proper</w:t>
      </w:r>
      <w:r>
        <w:rPr>
          <w:rFonts w:ascii="Times New Roman" w:hAnsi="Times New Roman" w:cs="Times New Roman"/>
          <w:color w:val="212529"/>
          <w:sz w:val="24"/>
          <w:shd w:val="clear" w:color="auto" w:fill="FFFFFF"/>
        </w:rPr>
        <w:tab/>
      </w:r>
      <w:r w:rsidRPr="007B03B5">
        <w:rPr>
          <w:rFonts w:ascii="Times New Roman" w:hAnsi="Times New Roman" w:cs="Times New Roman"/>
          <w:color w:val="212529"/>
          <w:sz w:val="24"/>
          <w:shd w:val="clear" w:color="auto" w:fill="FFFFFF"/>
        </w:rPr>
        <w:t>management.</w:t>
      </w:r>
    </w:p>
    <w:p w:rsidR="00A14CCF" w:rsidRPr="00C6282E" w:rsidRDefault="007B03B5" w:rsidP="00A14CCF">
      <w:pPr>
        <w:jc w:val="both"/>
        <w:rPr>
          <w:rFonts w:ascii="Times New Roman" w:hAnsi="Times New Roman" w:cs="Times New Roman"/>
          <w:sz w:val="24"/>
          <w:szCs w:val="24"/>
        </w:rPr>
      </w:pPr>
      <w:r w:rsidRPr="007B03B5">
        <w:rPr>
          <w:rFonts w:ascii="Times New Roman" w:hAnsi="Times New Roman" w:cs="Times New Roman"/>
          <w:color w:val="212529"/>
          <w:sz w:val="24"/>
        </w:rPr>
        <w:br/>
      </w:r>
      <w:r w:rsidRPr="00A14CCF">
        <w:rPr>
          <w:rFonts w:ascii="Times New Roman" w:hAnsi="Times New Roman" w:cs="Times New Roman"/>
          <w:b/>
          <w:color w:val="212529"/>
          <w:sz w:val="24"/>
        </w:rPr>
        <w:br/>
      </w:r>
      <w:r w:rsidR="00A14CCF" w:rsidRPr="00C6282E">
        <w:rPr>
          <w:rFonts w:ascii="Times New Roman" w:hAnsi="Times New Roman" w:cs="Times New Roman"/>
          <w:b/>
          <w:sz w:val="24"/>
          <w:szCs w:val="24"/>
        </w:rPr>
        <w:t>MATERIALS AND METHODS</w:t>
      </w:r>
    </w:p>
    <w:p w:rsidR="00A14CCF" w:rsidRPr="00C6282E" w:rsidRDefault="00A14CCF" w:rsidP="00A14CCF">
      <w:pPr>
        <w:pStyle w:val="ListParagraph"/>
        <w:spacing w:after="240" w:line="360" w:lineRule="auto"/>
        <w:ind w:left="0"/>
        <w:jc w:val="both"/>
        <w:rPr>
          <w:rFonts w:ascii="Times New Roman" w:hAnsi="Times New Roman" w:cs="Times New Roman"/>
          <w:b/>
          <w:sz w:val="24"/>
          <w:szCs w:val="24"/>
        </w:rPr>
      </w:pPr>
      <w:r w:rsidRPr="00C6282E">
        <w:rPr>
          <w:rFonts w:ascii="Times New Roman" w:hAnsi="Times New Roman" w:cs="Times New Roman"/>
          <w:b/>
          <w:sz w:val="24"/>
          <w:szCs w:val="24"/>
        </w:rPr>
        <w:t>Hydrogen ion Concentration (pH)</w:t>
      </w:r>
    </w:p>
    <w:p w:rsidR="00A14CCF" w:rsidRPr="00C6282E" w:rsidRDefault="00A14CCF" w:rsidP="00A14CCF">
      <w:pPr>
        <w:pStyle w:val="ListParagraph"/>
        <w:spacing w:after="240" w:line="360" w:lineRule="auto"/>
        <w:ind w:left="0"/>
        <w:jc w:val="both"/>
        <w:rPr>
          <w:rFonts w:ascii="Times New Roman" w:hAnsi="Times New Roman" w:cs="Times New Roman"/>
          <w:sz w:val="24"/>
          <w:szCs w:val="24"/>
        </w:rPr>
      </w:pPr>
      <w:r w:rsidRPr="00C6282E">
        <w:rPr>
          <w:rFonts w:ascii="Times New Roman" w:eastAsia="Times New Roman" w:hAnsi="Times New Roman" w:cs="Times New Roman"/>
          <w:sz w:val="24"/>
          <w:szCs w:val="24"/>
          <w:lang w:val="en-IN" w:eastAsia="en-IN"/>
        </w:rPr>
        <w:t xml:space="preserve">        The </w:t>
      </w:r>
      <w:r w:rsidRPr="00C6282E">
        <w:rPr>
          <w:rFonts w:ascii="Times New Roman" w:hAnsi="Times New Roman" w:cs="Times New Roman"/>
          <w:sz w:val="24"/>
          <w:szCs w:val="24"/>
        </w:rPr>
        <w:t>HANNA-pHep is a digital pH meter that can be used to estimate the hydrogen ion concentration or pH of solution. This device is designed to be portable and easy to use, making it suitable for field work. It has a pH range from 0.0 to 14.0, a resolution of 0.1 pH and an accuracy of ± 0.1 pH. The digital pH meter HANNA-pHep was utilized for estimating hydrogen particle concentration (pH) by plunging the electrode into experimental water in clean beaker at the sampling station. This pH meter was previously calibrated in the laboratory utilizing various buffers.</w:t>
      </w:r>
    </w:p>
    <w:p w:rsidR="006A17C0" w:rsidRPr="00C6282E" w:rsidRDefault="006A17C0" w:rsidP="006A17C0">
      <w:pPr>
        <w:spacing w:before="100" w:beforeAutospacing="1" w:after="100" w:afterAutospacing="1" w:line="360" w:lineRule="auto"/>
        <w:rPr>
          <w:rFonts w:ascii="Times New Roman" w:eastAsia="Times New Roman" w:hAnsi="Times New Roman" w:cs="Times New Roman"/>
          <w:b/>
          <w:sz w:val="24"/>
          <w:szCs w:val="24"/>
          <w:lang w:eastAsia="en-IN"/>
        </w:rPr>
      </w:pPr>
      <w:r w:rsidRPr="00C6282E">
        <w:rPr>
          <w:rFonts w:ascii="Times New Roman" w:eastAsia="Times New Roman" w:hAnsi="Times New Roman" w:cs="Times New Roman"/>
          <w:b/>
          <w:sz w:val="24"/>
          <w:szCs w:val="24"/>
          <w:lang w:eastAsia="en-IN"/>
        </w:rPr>
        <w:t xml:space="preserve">Dissolved Oxygen </w:t>
      </w:r>
    </w:p>
    <w:p w:rsidR="006A17C0" w:rsidRPr="00C6282E" w:rsidRDefault="006A17C0" w:rsidP="006A17C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lastRenderedPageBreak/>
        <w:t>The determination of dissolved oxygen content of lake waters the unmodified Winkler’s technique gave the most satisfactory result. Water was sampled in a 250 ml measuring flask with least disturbance of surface water and no air bubble. The stopper of the bottle was carefully removed. One ml of manganous sulphate (MnSO</w:t>
      </w:r>
      <w:r w:rsidRPr="00C6282E">
        <w:rPr>
          <w:rFonts w:ascii="Times New Roman" w:eastAsia="Times New Roman" w:hAnsi="Times New Roman" w:cs="Times New Roman"/>
          <w:sz w:val="24"/>
          <w:szCs w:val="24"/>
          <w:vertAlign w:val="subscript"/>
          <w:lang w:eastAsia="en-IN"/>
        </w:rPr>
        <w:t>4</w:t>
      </w:r>
      <w:r w:rsidRPr="00C6282E">
        <w:rPr>
          <w:rFonts w:ascii="Times New Roman" w:eastAsia="Times New Roman" w:hAnsi="Times New Roman" w:cs="Times New Roman"/>
          <w:sz w:val="24"/>
          <w:szCs w:val="24"/>
          <w:lang w:eastAsia="en-IN"/>
        </w:rPr>
        <w:t>, 4 H</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0) reagent and one ml of alkaline reagent (KOH and KI) was added by means of one ml pipette dipped to the bottom of the bottle and slowly drawing out as the reagents were added. The stopper was replaced and the bottle was inverted three or four times for a thorough mixing of the reagents, producing a flocculant precipitate of light brown colour. One ml of conc. Sulphuric acid was added to dissolve the precipitate, leaving a clear brown solution. To 50 ml of this solution .025 N sodium thiosulphate solutions was run drop by drop thereby changing the colour of the sample solution to pale yellow. One ml of starch solution (indicator) was added to it to give the solution a blue colour and the titration was completed by turning it colourless.</w:t>
      </w:r>
    </w:p>
    <w:p w:rsidR="006A17C0" w:rsidRPr="00C6282E" w:rsidRDefault="006A17C0" w:rsidP="006A17C0">
      <w:pPr>
        <w:spacing w:before="100" w:beforeAutospacing="1" w:after="100" w:afterAutospacing="1" w:line="360" w:lineRule="auto"/>
        <w:ind w:firstLine="567"/>
        <w:jc w:val="both"/>
        <w:rPr>
          <w:rFonts w:ascii="Times New Roman" w:eastAsia="Times New Roman" w:hAnsi="Times New Roman" w:cs="Times New Roman"/>
          <w:sz w:val="24"/>
          <w:szCs w:val="24"/>
          <w:lang w:eastAsia="en-IN"/>
        </w:rPr>
      </w:pPr>
      <w:r w:rsidRPr="00C6282E">
        <w:rPr>
          <w:rFonts w:ascii="Times New Roman" w:eastAsia="Times New Roman" w:hAnsi="Times New Roman" w:cs="Times New Roman"/>
          <w:sz w:val="24"/>
          <w:szCs w:val="24"/>
          <w:lang w:eastAsia="en-IN"/>
        </w:rPr>
        <w:t>Number of ml of Na</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S</w:t>
      </w:r>
      <w:r w:rsidRPr="00C6282E">
        <w:rPr>
          <w:rFonts w:ascii="Times New Roman" w:eastAsia="Times New Roman" w:hAnsi="Times New Roman" w:cs="Times New Roman"/>
          <w:sz w:val="24"/>
          <w:szCs w:val="24"/>
          <w:vertAlign w:val="subscript"/>
          <w:lang w:eastAsia="en-IN"/>
        </w:rPr>
        <w:t>2</w:t>
      </w:r>
      <w:r w:rsidRPr="00C6282E">
        <w:rPr>
          <w:rFonts w:ascii="Times New Roman" w:eastAsia="Times New Roman" w:hAnsi="Times New Roman" w:cs="Times New Roman"/>
          <w:sz w:val="24"/>
          <w:szCs w:val="24"/>
          <w:lang w:eastAsia="en-IN"/>
        </w:rPr>
        <w:t>O</w:t>
      </w:r>
      <w:r w:rsidRPr="00C6282E">
        <w:rPr>
          <w:rFonts w:ascii="Times New Roman" w:eastAsia="Times New Roman" w:hAnsi="Times New Roman" w:cs="Times New Roman"/>
          <w:sz w:val="24"/>
          <w:szCs w:val="24"/>
          <w:vertAlign w:val="subscript"/>
          <w:lang w:eastAsia="en-IN"/>
        </w:rPr>
        <w:t xml:space="preserve">2 </w:t>
      </w:r>
      <w:r w:rsidRPr="00C6282E">
        <w:rPr>
          <w:rFonts w:ascii="Times New Roman" w:eastAsia="Times New Roman" w:hAnsi="Times New Roman" w:cs="Times New Roman"/>
          <w:sz w:val="24"/>
          <w:szCs w:val="24"/>
          <w:lang w:eastAsia="en-IN"/>
        </w:rPr>
        <w:t>solution X 4 = ppm of dissolved oxygen.</w:t>
      </w:r>
    </w:p>
    <w:p w:rsidR="00BE44CC" w:rsidRPr="00391865" w:rsidRDefault="00BE44CC" w:rsidP="006A17C0">
      <w:pPr>
        <w:spacing w:line="360" w:lineRule="auto"/>
        <w:jc w:val="both"/>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Free Carbon - di – oxide</w:t>
      </w:r>
    </w:p>
    <w:p w:rsidR="00BE44CC" w:rsidRPr="00391865" w:rsidRDefault="00BE44CC" w:rsidP="00BE44CC">
      <w:pPr>
        <w:spacing w:before="100" w:beforeAutospacing="1" w:after="100" w:afterAutospacing="1" w:line="360" w:lineRule="auto"/>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50 ml of the water sample was taken and 2 drops of phenolphthalein indicator were added to it. It was titrated with N/ 44 sodium hydroxide solution which was standardised against sulphuric acid solution of equal strength with phenolphthalein as an indicator. The alkali was run slowly till the colour of the sample turned pink. </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Number of ml of N/44 sodium hydroxide consumed X 2 was equal to parts per million of carbon – di – oxide present in the water sample.</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Total alkalinity</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100 ml of water sample was taken in a conical flask to which 0.1 ml of phenolphthalein was added to turn the colour to pink confirming the presence of phenolphthalein alkalinity. The sample was titrated with N/50 sulphuric acid till the pink colour just disappeared. The amount of sulphuric acid consumed was recorded as phenolphthalein alkalinity (P). To the same sample 0.1 ml of methyl orange indicator was added and titrated with N/50 sulphuric acid. The end point was the turning of the yellow colour into pinkish orange. The amount of sulphuric acid consumed was recorded as methyl orange alkalinity (T). </w:t>
      </w:r>
      <w:r w:rsidR="00D70E5B" w:rsidRPr="00391865">
        <w:rPr>
          <w:rFonts w:ascii="Times New Roman" w:eastAsia="Times New Roman" w:hAnsi="Times New Roman" w:cs="Times New Roman"/>
          <w:sz w:val="24"/>
          <w:szCs w:val="24"/>
          <w:lang w:eastAsia="en-IN"/>
        </w:rPr>
        <w:t>The</w:t>
      </w:r>
      <w:r w:rsidRPr="00391865">
        <w:rPr>
          <w:rFonts w:ascii="Times New Roman" w:eastAsia="Times New Roman" w:hAnsi="Times New Roman" w:cs="Times New Roman"/>
          <w:sz w:val="24"/>
          <w:szCs w:val="24"/>
          <w:lang w:eastAsia="en-IN"/>
        </w:rPr>
        <w:t xml:space="preserve"> total alkalinity </w:t>
      </w:r>
      <w:r w:rsidRPr="00391865">
        <w:rPr>
          <w:rFonts w:ascii="Times New Roman" w:eastAsia="Times New Roman" w:hAnsi="Times New Roman" w:cs="Times New Roman"/>
          <w:sz w:val="24"/>
          <w:szCs w:val="24"/>
          <w:lang w:eastAsia="en-IN"/>
        </w:rPr>
        <w:lastRenderedPageBreak/>
        <w:t>was obtained by adding these two values (P+T) and multiplying the same by 10 to express the term in parts per million.</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Phosphate, Silicate, Organic matters, Nitrate, Nitrogen and Ammonia Nitrogen contents</w:t>
      </w:r>
    </w:p>
    <w:p w:rsidR="00BE44CC" w:rsidRPr="00391865" w:rsidRDefault="00BE44CC" w:rsidP="00BE44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There dissolved salts or chemicals in water was determined with the help of a Systronic’s Digital Spectrophotometer 103. At first separate standard solutions for each of the abiotic factors (Table 1) were prepared.</w:t>
      </w:r>
    </w:p>
    <w:p w:rsidR="00BE44CC" w:rsidRPr="00391865" w:rsidRDefault="00BE44CC" w:rsidP="00BE44CC">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Table-1</w:t>
      </w:r>
    </w:p>
    <w:tbl>
      <w:tblPr>
        <w:tblStyle w:val="TableGrid"/>
        <w:tblW w:w="0" w:type="auto"/>
        <w:tblInd w:w="567" w:type="dxa"/>
        <w:tblLook w:val="04A0" w:firstRow="1" w:lastRow="0" w:firstColumn="1" w:lastColumn="0" w:noHBand="0" w:noVBand="1"/>
      </w:tblPr>
      <w:tblGrid>
        <w:gridCol w:w="959"/>
        <w:gridCol w:w="2693"/>
        <w:gridCol w:w="2707"/>
        <w:gridCol w:w="2316"/>
      </w:tblGrid>
      <w:tr w:rsidR="00BE44CC" w:rsidRPr="00391865" w:rsidTr="006501B6">
        <w:tc>
          <w:tcPr>
            <w:tcW w:w="959"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Sl. No.</w:t>
            </w:r>
          </w:p>
        </w:tc>
        <w:tc>
          <w:tcPr>
            <w:tcW w:w="2693"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Dissolved Nutrients</w:t>
            </w:r>
          </w:p>
        </w:tc>
        <w:tc>
          <w:tcPr>
            <w:tcW w:w="2707"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Standard Solution</w:t>
            </w:r>
          </w:p>
        </w:tc>
        <w:tc>
          <w:tcPr>
            <w:tcW w:w="2316" w:type="dxa"/>
          </w:tcPr>
          <w:p w:rsidR="00BE44CC" w:rsidRPr="00391865" w:rsidRDefault="00BE44CC" w:rsidP="006501B6">
            <w:pPr>
              <w:spacing w:before="100" w:beforeAutospacing="1" w:after="100" w:afterAutospacing="1"/>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Indicators</w:t>
            </w:r>
          </w:p>
        </w:tc>
      </w:tr>
      <w:tr w:rsidR="00BE44CC" w:rsidRPr="00391865" w:rsidTr="006501B6">
        <w:tc>
          <w:tcPr>
            <w:tcW w:w="959"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1.</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Phosphate (inorganic)</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Standard phosphate solution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(.438% KH</w:t>
            </w:r>
            <w:r w:rsidRPr="00391865">
              <w:rPr>
                <w:rFonts w:ascii="Times New Roman" w:eastAsia="Times New Roman" w:hAnsi="Times New Roman" w:cs="Times New Roman"/>
                <w:sz w:val="24"/>
                <w:szCs w:val="24"/>
                <w:vertAlign w:val="subscript"/>
                <w:lang w:eastAsia="en-IN"/>
              </w:rPr>
              <w:t>2</w:t>
            </w:r>
            <w:r w:rsidRPr="00391865">
              <w:rPr>
                <w:rFonts w:ascii="Times New Roman" w:eastAsia="Times New Roman" w:hAnsi="Times New Roman" w:cs="Times New Roman"/>
                <w:sz w:val="24"/>
                <w:szCs w:val="24"/>
                <w:lang w:eastAsia="en-IN"/>
              </w:rPr>
              <w:t>PO</w:t>
            </w:r>
            <w:r w:rsidRPr="00391865">
              <w:rPr>
                <w:rFonts w:ascii="Times New Roman" w:eastAsia="Times New Roman" w:hAnsi="Times New Roman" w:cs="Times New Roman"/>
                <w:sz w:val="24"/>
                <w:szCs w:val="24"/>
                <w:vertAlign w:val="subscript"/>
                <w:lang w:eastAsia="en-IN"/>
              </w:rPr>
              <w:t xml:space="preserve">4 </w:t>
            </w:r>
            <w:r w:rsidRPr="00391865">
              <w:rPr>
                <w:rFonts w:ascii="Times New Roman" w:eastAsia="Times New Roman" w:hAnsi="Times New Roman" w:cs="Times New Roman"/>
                <w:sz w:val="24"/>
                <w:szCs w:val="24"/>
                <w:lang w:eastAsia="en-IN"/>
              </w:rPr>
              <w:t>solution)</w:t>
            </w:r>
          </w:p>
        </w:tc>
        <w:tc>
          <w:tcPr>
            <w:tcW w:w="2316" w:type="dxa"/>
          </w:tcPr>
          <w:p w:rsidR="00BE44CC" w:rsidRPr="00391865" w:rsidRDefault="00BE44CC" w:rsidP="006501B6">
            <w:pPr>
              <w:pStyle w:val="ListParagraph"/>
              <w:numPr>
                <w:ilvl w:val="0"/>
                <w:numId w:val="1"/>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Acid Molybdate reagent</w:t>
            </w:r>
          </w:p>
          <w:p w:rsidR="00BE44CC" w:rsidRPr="00391865" w:rsidRDefault="00BE44CC" w:rsidP="006501B6">
            <w:pPr>
              <w:pStyle w:val="ListParagraph"/>
              <w:numPr>
                <w:ilvl w:val="0"/>
                <w:numId w:val="1"/>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Stannous Chloride solution</w:t>
            </w:r>
          </w:p>
          <w:p w:rsidR="00BE44CC" w:rsidRPr="00391865" w:rsidRDefault="00BE44CC" w:rsidP="006501B6">
            <w:pPr>
              <w:pStyle w:val="ListParagraph"/>
              <w:ind w:left="0"/>
              <w:rPr>
                <w:rFonts w:ascii="Times New Roman" w:eastAsia="Times New Roman" w:hAnsi="Times New Roman" w:cs="Times New Roman"/>
                <w:sz w:val="24"/>
                <w:szCs w:val="24"/>
                <w:lang w:val="en-IN" w:eastAsia="en-IN"/>
              </w:rPr>
            </w:pPr>
          </w:p>
        </w:tc>
      </w:tr>
      <w:tr w:rsidR="00BE44CC" w:rsidRPr="00391865" w:rsidTr="006501B6">
        <w:tc>
          <w:tcPr>
            <w:tcW w:w="959"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2. </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Silicate</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Standard Picric acid solution (.1088%) or</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Standard Potassium Chromate solution (.284%)</w:t>
            </w:r>
          </w:p>
        </w:tc>
        <w:tc>
          <w:tcPr>
            <w:tcW w:w="2316" w:type="dxa"/>
          </w:tcPr>
          <w:p w:rsidR="00BE44CC" w:rsidRPr="00391865" w:rsidRDefault="00BE44CC" w:rsidP="006501B6">
            <w:pPr>
              <w:pStyle w:val="ListParagraph"/>
              <w:numPr>
                <w:ilvl w:val="0"/>
                <w:numId w:val="2"/>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10 % Ammonium molybdate solution</w:t>
            </w:r>
          </w:p>
          <w:p w:rsidR="00BE44CC" w:rsidRPr="00391865" w:rsidRDefault="00BE44CC" w:rsidP="006501B6">
            <w:pPr>
              <w:pStyle w:val="ListParagraph"/>
              <w:numPr>
                <w:ilvl w:val="0"/>
                <w:numId w:val="2"/>
              </w:numPr>
              <w:spacing w:after="0" w:line="240" w:lineRule="auto"/>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25 % Sulphuric acid </w:t>
            </w:r>
          </w:p>
          <w:p w:rsidR="00BE44CC" w:rsidRPr="00391865" w:rsidRDefault="00BE44CC" w:rsidP="006501B6">
            <w:pPr>
              <w:pStyle w:val="ListParagraph"/>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(by volume)</w:t>
            </w:r>
          </w:p>
        </w:tc>
      </w:tr>
      <w:tr w:rsidR="00BE44CC" w:rsidRPr="00391865" w:rsidTr="006501B6">
        <w:tc>
          <w:tcPr>
            <w:tcW w:w="959"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3. </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Dissolved organic matters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(sample fixed with 2 drops of toluene)</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Standard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KMnO4 Solution</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(.04%)</w:t>
            </w:r>
          </w:p>
        </w:tc>
        <w:tc>
          <w:tcPr>
            <w:tcW w:w="2316" w:type="dxa"/>
          </w:tcPr>
          <w:p w:rsidR="00BE44CC" w:rsidRPr="00391865" w:rsidRDefault="00BE44CC" w:rsidP="006501B6">
            <w:pPr>
              <w:pStyle w:val="ListParagraph"/>
              <w:numPr>
                <w:ilvl w:val="0"/>
                <w:numId w:val="3"/>
              </w:numPr>
              <w:spacing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Standard Ammonium Oxalate Solution (.0888%)</w:t>
            </w:r>
          </w:p>
          <w:p w:rsidR="00BE44CC" w:rsidRPr="00391865" w:rsidRDefault="00BE44CC" w:rsidP="006501B6">
            <w:pPr>
              <w:pStyle w:val="ListParagraph"/>
              <w:numPr>
                <w:ilvl w:val="0"/>
                <w:numId w:val="3"/>
              </w:numPr>
              <w:spacing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Dilute Sulphuric acid </w:t>
            </w:r>
          </w:p>
          <w:p w:rsidR="00BE44CC" w:rsidRPr="00391865" w:rsidRDefault="00BE44CC" w:rsidP="006501B6">
            <w:pPr>
              <w:pStyle w:val="ListParagraph"/>
              <w:ind w:left="0"/>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       (1:3)</w:t>
            </w:r>
          </w:p>
        </w:tc>
      </w:tr>
      <w:tr w:rsidR="00BE44CC" w:rsidRPr="00391865" w:rsidTr="006501B6">
        <w:tc>
          <w:tcPr>
            <w:tcW w:w="959" w:type="dxa"/>
          </w:tcPr>
          <w:p w:rsidR="00BE44CC" w:rsidRPr="00391865" w:rsidRDefault="00BE44CC" w:rsidP="006501B6">
            <w:pPr>
              <w:spacing w:before="100" w:beforeAutospacing="1"/>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4.</w:t>
            </w:r>
          </w:p>
        </w:tc>
        <w:tc>
          <w:tcPr>
            <w:tcW w:w="2693"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Ammonia Nitrogen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(sample fixed with few drops of sulphuric acid)</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Standard Ammonium Chloride solution </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(.3819%)</w:t>
            </w:r>
          </w:p>
        </w:tc>
        <w:tc>
          <w:tcPr>
            <w:tcW w:w="2316" w:type="dxa"/>
          </w:tcPr>
          <w:p w:rsidR="00BE44CC" w:rsidRPr="00391865" w:rsidRDefault="00BE44CC" w:rsidP="006501B6">
            <w:pPr>
              <w:spacing w:before="100" w:beforeAutospacing="1"/>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Nessler’s  solution</w:t>
            </w:r>
          </w:p>
        </w:tc>
      </w:tr>
      <w:tr w:rsidR="00BE44CC" w:rsidRPr="00391865" w:rsidTr="006501B6">
        <w:trPr>
          <w:trHeight w:val="104"/>
        </w:trPr>
        <w:tc>
          <w:tcPr>
            <w:tcW w:w="959" w:type="dxa"/>
          </w:tcPr>
          <w:p w:rsidR="00BE44CC" w:rsidRPr="00391865" w:rsidRDefault="00BE44CC" w:rsidP="006501B6">
            <w:pPr>
              <w:spacing w:before="100" w:beforeAutospacing="1"/>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5.</w:t>
            </w:r>
          </w:p>
        </w:tc>
        <w:tc>
          <w:tcPr>
            <w:tcW w:w="2693" w:type="dxa"/>
          </w:tcPr>
          <w:p w:rsidR="00BE44CC" w:rsidRPr="00391865" w:rsidRDefault="00BE44CC" w:rsidP="006501B6">
            <w:pPr>
              <w:spacing w:before="100" w:beforeAutospacing="1"/>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Nitrate Nitrogen</w:t>
            </w:r>
          </w:p>
        </w:tc>
        <w:tc>
          <w:tcPr>
            <w:tcW w:w="2707" w:type="dxa"/>
          </w:tcPr>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Standard KNO</w:t>
            </w:r>
            <w:r w:rsidRPr="00391865">
              <w:rPr>
                <w:rFonts w:ascii="Times New Roman" w:eastAsia="Times New Roman" w:hAnsi="Times New Roman" w:cs="Times New Roman"/>
                <w:sz w:val="24"/>
                <w:szCs w:val="24"/>
                <w:vertAlign w:val="subscript"/>
                <w:lang w:eastAsia="en-IN"/>
              </w:rPr>
              <w:t xml:space="preserve">3 </w:t>
            </w:r>
            <w:r w:rsidRPr="00391865">
              <w:rPr>
                <w:rFonts w:ascii="Times New Roman" w:eastAsia="Times New Roman" w:hAnsi="Times New Roman" w:cs="Times New Roman"/>
                <w:sz w:val="24"/>
                <w:szCs w:val="24"/>
                <w:lang w:eastAsia="en-IN"/>
              </w:rPr>
              <w:t>solution</w:t>
            </w:r>
          </w:p>
          <w:p w:rsidR="00BE44CC" w:rsidRPr="00391865" w:rsidRDefault="00BE44CC" w:rsidP="006501B6">
            <w:pPr>
              <w:jc w:val="center"/>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(.0722%)</w:t>
            </w:r>
          </w:p>
        </w:tc>
        <w:tc>
          <w:tcPr>
            <w:tcW w:w="2316" w:type="dxa"/>
          </w:tcPr>
          <w:p w:rsidR="00BE44CC" w:rsidRPr="00391865" w:rsidRDefault="00BE44CC" w:rsidP="006501B6">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 xml:space="preserve">Phenol disulphonic acid </w:t>
            </w:r>
          </w:p>
          <w:p w:rsidR="00BE44CC" w:rsidRPr="00391865" w:rsidRDefault="00BE44CC" w:rsidP="006501B6">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Aluminium sulphate 10%</w:t>
            </w:r>
          </w:p>
          <w:p w:rsidR="00BE44CC" w:rsidRPr="00391865" w:rsidRDefault="00BE44CC" w:rsidP="006501B6">
            <w:pPr>
              <w:pStyle w:val="ListParagraph"/>
              <w:numPr>
                <w:ilvl w:val="0"/>
                <w:numId w:val="4"/>
              </w:numPr>
              <w:spacing w:before="100" w:beforeAutospacing="1" w:after="0" w:line="240" w:lineRule="auto"/>
              <w:ind w:left="0"/>
              <w:jc w:val="center"/>
              <w:rPr>
                <w:rFonts w:ascii="Times New Roman" w:eastAsia="Times New Roman" w:hAnsi="Times New Roman" w:cs="Times New Roman"/>
                <w:sz w:val="24"/>
                <w:szCs w:val="24"/>
                <w:lang w:val="en-IN" w:eastAsia="en-IN"/>
              </w:rPr>
            </w:pPr>
            <w:r w:rsidRPr="00391865">
              <w:rPr>
                <w:rFonts w:ascii="Times New Roman" w:eastAsia="Times New Roman" w:hAnsi="Times New Roman" w:cs="Times New Roman"/>
                <w:sz w:val="24"/>
                <w:szCs w:val="24"/>
                <w:lang w:val="en-IN" w:eastAsia="en-IN"/>
              </w:rPr>
              <w:t>12 N Sodium Hydroxide solution.</w:t>
            </w:r>
          </w:p>
        </w:tc>
      </w:tr>
    </w:tbl>
    <w:p w:rsidR="00BE44CC" w:rsidRPr="00391865" w:rsidRDefault="00BE44CC" w:rsidP="00BE44CC">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391865">
        <w:rPr>
          <w:rFonts w:ascii="Times New Roman" w:eastAsia="Times New Roman" w:hAnsi="Times New Roman" w:cs="Times New Roman"/>
          <w:b/>
          <w:sz w:val="24"/>
          <w:szCs w:val="24"/>
          <w:lang w:eastAsia="en-IN"/>
        </w:rPr>
        <w:t>Table 1: Showing different standard solution and the indicators used for determination of dissolved salt in lake water.</w:t>
      </w:r>
    </w:p>
    <w:p w:rsidR="00BE44CC" w:rsidRPr="00391865" w:rsidRDefault="00BE44CC" w:rsidP="00BE44CC">
      <w:pPr>
        <w:spacing w:before="100" w:beforeAutospacing="1" w:after="100" w:afterAutospacing="1" w:line="360" w:lineRule="auto"/>
        <w:ind w:right="-330"/>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For each standard solution a calibration curve of different concentration of standard solutions and the respective extinction measurement (with the help of spectrophotometer 103) was established using necessary indicators. (Table 1). The extinction of the sample solution was </w:t>
      </w:r>
      <w:r w:rsidRPr="00391865">
        <w:rPr>
          <w:rFonts w:ascii="Times New Roman" w:eastAsia="Times New Roman" w:hAnsi="Times New Roman" w:cs="Times New Roman"/>
          <w:sz w:val="24"/>
          <w:szCs w:val="24"/>
          <w:lang w:eastAsia="en-IN"/>
        </w:rPr>
        <w:lastRenderedPageBreak/>
        <w:t>then determined using same indicators and from the calibration curve the dissolved salt content of the sample in respect to its extinction measurement was determined.</w:t>
      </w:r>
    </w:p>
    <w:p w:rsidR="00BE44CC" w:rsidRPr="00391865" w:rsidRDefault="00BE44CC" w:rsidP="00BE44CC">
      <w:pPr>
        <w:spacing w:before="100" w:beforeAutospacing="1" w:after="100" w:afterAutospacing="1" w:line="360" w:lineRule="auto"/>
        <w:ind w:right="-330"/>
        <w:rPr>
          <w:rFonts w:ascii="Times New Roman" w:eastAsia="Times New Roman" w:hAnsi="Times New Roman" w:cs="Times New Roman"/>
          <w:sz w:val="24"/>
          <w:szCs w:val="24"/>
          <w:lang w:eastAsia="en-IN"/>
        </w:rPr>
      </w:pPr>
      <w:r w:rsidRPr="00391865">
        <w:rPr>
          <w:rFonts w:ascii="Times New Roman" w:eastAsia="Times New Roman" w:hAnsi="Times New Roman" w:cs="Times New Roman"/>
          <w:sz w:val="24"/>
          <w:szCs w:val="24"/>
          <w:lang w:eastAsia="en-IN"/>
        </w:rPr>
        <w:t xml:space="preserve">        For different analysis, following standard solutions and indicators were used (Michael, 1984).</w:t>
      </w:r>
    </w:p>
    <w:p w:rsidR="00BE44CC" w:rsidRPr="00391865" w:rsidRDefault="00BE44CC" w:rsidP="00BE44CC">
      <w:pPr>
        <w:pStyle w:val="ListParagraph"/>
        <w:spacing w:after="240" w:line="360" w:lineRule="auto"/>
        <w:ind w:left="0"/>
        <w:jc w:val="both"/>
        <w:rPr>
          <w:rFonts w:ascii="Times New Roman" w:hAnsi="Times New Roman" w:cs="Times New Roman"/>
          <w:b/>
          <w:sz w:val="24"/>
          <w:szCs w:val="24"/>
        </w:rPr>
      </w:pPr>
      <w:r w:rsidRPr="00391865">
        <w:rPr>
          <w:rFonts w:ascii="Times New Roman" w:hAnsi="Times New Roman" w:cs="Times New Roman"/>
          <w:b/>
          <w:sz w:val="24"/>
          <w:szCs w:val="24"/>
        </w:rPr>
        <w:t xml:space="preserve">Sulphates </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r w:rsidRPr="00391865">
        <w:rPr>
          <w:rFonts w:ascii="Times New Roman" w:hAnsi="Times New Roman" w:cs="Times New Roman"/>
          <w:b/>
          <w:sz w:val="24"/>
          <w:szCs w:val="24"/>
        </w:rPr>
        <w:t xml:space="preserve">        </w:t>
      </w:r>
      <w:r w:rsidRPr="00391865">
        <w:rPr>
          <w:rFonts w:ascii="Times New Roman" w:hAnsi="Times New Roman" w:cs="Times New Roman"/>
          <w:sz w:val="24"/>
          <w:szCs w:val="24"/>
        </w:rPr>
        <w:t>Qualitative test showed that the water sample of Morvan Dam, Kanke Dam, Rukka Dam and Hatia Dam was richer in sulphate content. As such to 50 ml of the sample after necessary dilution was added 10 ml each of NaCl – HCl solution (250 gms NaCl and 20 ml of HCl to 900 ml of distilled water and diluted to 1 litre) and Glycerol – alcohol solution (1 Volume of Glycerol with 2 volumes of ethanol). The extinction was measured against a H</w:t>
      </w:r>
      <w:r w:rsidRPr="00391865">
        <w:rPr>
          <w:rFonts w:ascii="Times New Roman" w:hAnsi="Times New Roman" w:cs="Times New Roman"/>
          <w:sz w:val="24"/>
          <w:szCs w:val="24"/>
          <w:vertAlign w:val="subscript"/>
        </w:rPr>
        <w:t>2</w:t>
      </w:r>
      <w:r w:rsidRPr="00391865">
        <w:rPr>
          <w:rFonts w:ascii="Times New Roman" w:hAnsi="Times New Roman" w:cs="Times New Roman"/>
          <w:sz w:val="24"/>
          <w:szCs w:val="24"/>
        </w:rPr>
        <w:t>O blank in the spectrocolorimeter at any wave length between 380 mµ and 420 mµ. 0.15gm of BaCl</w:t>
      </w:r>
      <w:r w:rsidRPr="00391865">
        <w:rPr>
          <w:rFonts w:ascii="Times New Roman" w:hAnsi="Times New Roman" w:cs="Times New Roman"/>
          <w:sz w:val="24"/>
          <w:szCs w:val="24"/>
          <w:vertAlign w:val="subscript"/>
        </w:rPr>
        <w:t xml:space="preserve">2 </w:t>
      </w:r>
      <w:r w:rsidRPr="00391865">
        <w:rPr>
          <w:rFonts w:ascii="Times New Roman" w:hAnsi="Times New Roman" w:cs="Times New Roman"/>
          <w:sz w:val="24"/>
          <w:szCs w:val="24"/>
        </w:rPr>
        <w:t>was added to the sample and was stirred in an Electric stirrer for 30 minutes, shaken and the extinction was measured after 30 minutes. The extinction due to sulphate was obtained by the dfference. A calibration curve was prepared in the range of 0.02 – 0.2 m eq/l SO</w:t>
      </w:r>
      <w:r w:rsidRPr="00391865">
        <w:rPr>
          <w:rFonts w:ascii="Times New Roman" w:hAnsi="Times New Roman" w:cs="Times New Roman"/>
          <w:sz w:val="24"/>
          <w:szCs w:val="24"/>
          <w:vertAlign w:val="subscript"/>
        </w:rPr>
        <w:t>4</w:t>
      </w:r>
      <w:r w:rsidRPr="00391865">
        <w:rPr>
          <w:rFonts w:ascii="Times New Roman" w:hAnsi="Times New Roman" w:cs="Times New Roman"/>
          <w:b/>
          <w:sz w:val="24"/>
          <w:szCs w:val="24"/>
          <w:vertAlign w:val="superscript"/>
        </w:rPr>
        <w:t xml:space="preserve">2- </w:t>
      </w:r>
      <w:r w:rsidRPr="00391865">
        <w:rPr>
          <w:rFonts w:ascii="Times New Roman" w:hAnsi="Times New Roman" w:cs="Times New Roman"/>
          <w:sz w:val="24"/>
          <w:szCs w:val="24"/>
        </w:rPr>
        <w:t>using dilution of standard H</w:t>
      </w:r>
      <w:r w:rsidRPr="00391865">
        <w:rPr>
          <w:rFonts w:ascii="Times New Roman" w:hAnsi="Times New Roman" w:cs="Times New Roman"/>
          <w:sz w:val="24"/>
          <w:szCs w:val="24"/>
          <w:vertAlign w:val="subscript"/>
        </w:rPr>
        <w:t>2</w:t>
      </w:r>
      <w:r w:rsidRPr="00391865">
        <w:rPr>
          <w:rFonts w:ascii="Times New Roman" w:hAnsi="Times New Roman" w:cs="Times New Roman"/>
          <w:sz w:val="24"/>
          <w:szCs w:val="24"/>
        </w:rPr>
        <w:t>SO</w:t>
      </w:r>
      <w:r w:rsidRPr="00391865">
        <w:rPr>
          <w:rFonts w:ascii="Times New Roman" w:hAnsi="Times New Roman" w:cs="Times New Roman"/>
          <w:sz w:val="24"/>
          <w:szCs w:val="24"/>
          <w:vertAlign w:val="subscript"/>
        </w:rPr>
        <w:t>4.</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1 m eq. SO</w:t>
      </w:r>
      <w:r w:rsidRPr="00391865">
        <w:rPr>
          <w:rFonts w:ascii="Times New Roman" w:hAnsi="Times New Roman" w:cs="Times New Roman"/>
          <w:sz w:val="24"/>
          <w:szCs w:val="24"/>
          <w:vertAlign w:val="subscript"/>
        </w:rPr>
        <w:t>4</w:t>
      </w:r>
      <w:r w:rsidRPr="00391865">
        <w:rPr>
          <w:rFonts w:ascii="Times New Roman" w:hAnsi="Times New Roman" w:cs="Times New Roman"/>
          <w:b/>
          <w:sz w:val="24"/>
          <w:szCs w:val="24"/>
          <w:vertAlign w:val="superscript"/>
        </w:rPr>
        <w:t xml:space="preserve">2- </w:t>
      </w:r>
      <w:r w:rsidRPr="00391865">
        <w:rPr>
          <w:rFonts w:ascii="Times New Roman" w:hAnsi="Times New Roman" w:cs="Times New Roman"/>
          <w:sz w:val="24"/>
          <w:szCs w:val="24"/>
        </w:rPr>
        <w:t>= 48.05 mg SO</w:t>
      </w:r>
      <w:r w:rsidRPr="00391865">
        <w:rPr>
          <w:rFonts w:ascii="Times New Roman" w:hAnsi="Times New Roman" w:cs="Times New Roman"/>
          <w:sz w:val="24"/>
          <w:szCs w:val="24"/>
          <w:vertAlign w:val="subscript"/>
        </w:rPr>
        <w:t>4</w:t>
      </w:r>
      <w:r w:rsidRPr="00391865">
        <w:rPr>
          <w:rFonts w:ascii="Times New Roman" w:hAnsi="Times New Roman" w:cs="Times New Roman"/>
          <w:b/>
          <w:sz w:val="24"/>
          <w:szCs w:val="24"/>
          <w:vertAlign w:val="superscript"/>
        </w:rPr>
        <w:t xml:space="preserve">2- </w:t>
      </w:r>
      <w:r w:rsidRPr="00391865">
        <w:rPr>
          <w:rFonts w:ascii="Times New Roman" w:hAnsi="Times New Roman" w:cs="Times New Roman"/>
          <w:sz w:val="24"/>
          <w:szCs w:val="24"/>
        </w:rPr>
        <w:t>=</w:t>
      </w:r>
      <w:r w:rsidRPr="00391865">
        <w:rPr>
          <w:rFonts w:ascii="Times New Roman" w:hAnsi="Times New Roman" w:cs="Times New Roman"/>
          <w:b/>
          <w:sz w:val="24"/>
          <w:szCs w:val="24"/>
          <w:vertAlign w:val="superscript"/>
        </w:rPr>
        <w:t xml:space="preserve"> </w:t>
      </w:r>
      <w:r w:rsidRPr="00391865">
        <w:rPr>
          <w:rFonts w:ascii="Times New Roman" w:hAnsi="Times New Roman" w:cs="Times New Roman"/>
          <w:sz w:val="24"/>
          <w:szCs w:val="24"/>
        </w:rPr>
        <w:t xml:space="preserve"> 16.0 mg SO</w:t>
      </w:r>
      <w:r w:rsidRPr="00391865">
        <w:rPr>
          <w:rFonts w:ascii="Times New Roman" w:hAnsi="Times New Roman" w:cs="Times New Roman"/>
          <w:sz w:val="24"/>
          <w:szCs w:val="24"/>
          <w:vertAlign w:val="subscript"/>
        </w:rPr>
        <w:t>4</w:t>
      </w:r>
      <w:r w:rsidRPr="00391865">
        <w:rPr>
          <w:rFonts w:ascii="Times New Roman" w:hAnsi="Times New Roman" w:cs="Times New Roman"/>
          <w:sz w:val="24"/>
          <w:szCs w:val="24"/>
        </w:rPr>
        <w:t xml:space="preserve"> – S</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p>
    <w:p w:rsidR="00D70E5B" w:rsidRDefault="00D70E5B" w:rsidP="00BE44CC">
      <w:pPr>
        <w:pStyle w:val="ListParagraph"/>
        <w:spacing w:after="240" w:line="360" w:lineRule="auto"/>
        <w:ind w:left="0"/>
        <w:jc w:val="both"/>
        <w:rPr>
          <w:rFonts w:ascii="Times New Roman" w:hAnsi="Times New Roman" w:cs="Times New Roman"/>
          <w:b/>
          <w:sz w:val="24"/>
          <w:szCs w:val="24"/>
        </w:rPr>
      </w:pPr>
    </w:p>
    <w:p w:rsidR="00BE44CC" w:rsidRPr="00391865" w:rsidRDefault="00BE44CC" w:rsidP="00BE44CC">
      <w:pPr>
        <w:pStyle w:val="ListParagraph"/>
        <w:spacing w:after="240" w:line="360" w:lineRule="auto"/>
        <w:ind w:left="0"/>
        <w:jc w:val="both"/>
        <w:rPr>
          <w:rFonts w:ascii="Times New Roman" w:hAnsi="Times New Roman" w:cs="Times New Roman"/>
          <w:b/>
          <w:sz w:val="24"/>
          <w:szCs w:val="24"/>
        </w:rPr>
      </w:pPr>
      <w:r w:rsidRPr="00391865">
        <w:rPr>
          <w:rFonts w:ascii="Times New Roman" w:hAnsi="Times New Roman" w:cs="Times New Roman"/>
          <w:b/>
          <w:sz w:val="24"/>
          <w:szCs w:val="24"/>
        </w:rPr>
        <w:t>Chlorides</w:t>
      </w:r>
    </w:p>
    <w:p w:rsidR="00BE44CC" w:rsidRPr="00391865" w:rsidRDefault="00BE44CC" w:rsidP="00BE44CC">
      <w:pPr>
        <w:pStyle w:val="ListParagraph"/>
        <w:spacing w:after="240" w:line="360" w:lineRule="auto"/>
        <w:ind w:left="0"/>
        <w:jc w:val="both"/>
        <w:rPr>
          <w:rFonts w:ascii="Times New Roman" w:hAnsi="Times New Roman" w:cs="Times New Roman"/>
          <w:sz w:val="24"/>
          <w:szCs w:val="24"/>
        </w:rPr>
      </w:pPr>
      <w:r w:rsidRPr="00391865">
        <w:rPr>
          <w:rFonts w:ascii="Times New Roman" w:hAnsi="Times New Roman" w:cs="Times New Roman"/>
          <w:b/>
          <w:sz w:val="24"/>
          <w:szCs w:val="24"/>
        </w:rPr>
        <w:t xml:space="preserve">        </w:t>
      </w:r>
      <w:r w:rsidRPr="00391865">
        <w:rPr>
          <w:rFonts w:ascii="Times New Roman" w:hAnsi="Times New Roman" w:cs="Times New Roman"/>
          <w:sz w:val="24"/>
          <w:szCs w:val="24"/>
        </w:rPr>
        <w:t>The chlorides were estimated chemically by titration with silver nitrate using potassium chromate as an indicator with greater accuracy. To a 100cc of water sample a few drops of potassium chromate solution was added. The sample was then titrated against N/100 silver nitrate solution stirring constantly. The end point was reached when a permanent faint red colour of silver chromate appeared 1cc of N/100 silver nitrate = 0.000355 gm of Chloride.</w:t>
      </w:r>
    </w:p>
    <w:p w:rsidR="00BE44CC" w:rsidRPr="00391865" w:rsidRDefault="00BE44CC" w:rsidP="00BE44CC">
      <w:pPr>
        <w:jc w:val="both"/>
        <w:rPr>
          <w:rFonts w:ascii="Times New Roman" w:hAnsi="Times New Roman" w:cs="Times New Roman"/>
          <w:b/>
          <w:sz w:val="24"/>
          <w:szCs w:val="24"/>
        </w:rPr>
      </w:pPr>
      <w:r w:rsidRPr="00391865">
        <w:rPr>
          <w:rFonts w:ascii="Times New Roman" w:hAnsi="Times New Roman" w:cs="Times New Roman"/>
          <w:b/>
          <w:sz w:val="24"/>
          <w:szCs w:val="24"/>
        </w:rPr>
        <w:t>RESULTS</w:t>
      </w:r>
    </w:p>
    <w:p w:rsidR="00BE44CC" w:rsidRPr="00391865" w:rsidRDefault="00BE44CC" w:rsidP="00BE44CC">
      <w:pPr>
        <w:pStyle w:val="ListParagraph"/>
        <w:ind w:left="0"/>
        <w:rPr>
          <w:rFonts w:ascii="Times New Roman" w:hAnsi="Times New Roman" w:cs="Times New Roman"/>
          <w:b/>
          <w:sz w:val="24"/>
          <w:szCs w:val="24"/>
        </w:rPr>
      </w:pPr>
      <w:r w:rsidRPr="00391865">
        <w:rPr>
          <w:rFonts w:ascii="Times New Roman" w:hAnsi="Times New Roman" w:cs="Times New Roman"/>
          <w:b/>
          <w:sz w:val="24"/>
          <w:szCs w:val="24"/>
        </w:rPr>
        <w:t xml:space="preserve">Hydrogen ion concentration </w:t>
      </w:r>
    </w:p>
    <w:p w:rsidR="00BE44CC" w:rsidRPr="00391865" w:rsidRDefault="00BE44CC" w:rsidP="00BE44CC">
      <w:pPr>
        <w:pStyle w:val="ListParagraph"/>
        <w:ind w:left="0"/>
        <w:rPr>
          <w:rFonts w:ascii="Times New Roman" w:hAnsi="Times New Roman" w:cs="Times New Roman"/>
          <w:b/>
          <w:sz w:val="24"/>
          <w:szCs w:val="24"/>
        </w:rPr>
      </w:pPr>
    </w:p>
    <w:p w:rsidR="00BE44CC" w:rsidRPr="00391865" w:rsidRDefault="00BE44CC" w:rsidP="00BE44CC">
      <w:pPr>
        <w:pStyle w:val="ListParagraph"/>
        <w:spacing w:line="360" w:lineRule="auto"/>
        <w:ind w:left="0"/>
        <w:jc w:val="both"/>
        <w:rPr>
          <w:rFonts w:ascii="Times New Roman" w:hAnsi="Times New Roman" w:cs="Times New Roman"/>
          <w:sz w:val="24"/>
          <w:szCs w:val="24"/>
        </w:rPr>
      </w:pPr>
      <w:r w:rsidRPr="00391865">
        <w:rPr>
          <w:rFonts w:ascii="Times New Roman" w:hAnsi="Times New Roman" w:cs="Times New Roman"/>
          <w:b/>
          <w:sz w:val="24"/>
          <w:szCs w:val="24"/>
        </w:rPr>
        <w:t xml:space="preserve">        </w:t>
      </w:r>
      <w:r w:rsidRPr="00391865">
        <w:rPr>
          <w:rFonts w:ascii="Times New Roman" w:hAnsi="Times New Roman" w:cs="Times New Roman"/>
          <w:sz w:val="24"/>
          <w:szCs w:val="24"/>
        </w:rPr>
        <w:t xml:space="preserve">The pH of the lake water tended to remain </w:t>
      </w:r>
      <w:r w:rsidR="00297495">
        <w:rPr>
          <w:rFonts w:ascii="Times New Roman" w:hAnsi="Times New Roman" w:cs="Times New Roman"/>
          <w:sz w:val="24"/>
          <w:szCs w:val="24"/>
        </w:rPr>
        <w:t>neutral to slightly alkaline</w:t>
      </w:r>
      <w:r w:rsidRPr="00391865">
        <w:rPr>
          <w:rFonts w:ascii="Times New Roman" w:hAnsi="Times New Roman" w:cs="Times New Roman"/>
          <w:sz w:val="24"/>
          <w:szCs w:val="24"/>
        </w:rPr>
        <w:t xml:space="preserve"> throughout the period of investigation barring a few months in the beginning of the study. In September 2021 the pH value recorded was </w:t>
      </w:r>
      <w:r w:rsidR="00297495">
        <w:rPr>
          <w:rFonts w:ascii="Times New Roman" w:hAnsi="Times New Roman" w:cs="Times New Roman"/>
          <w:sz w:val="24"/>
          <w:szCs w:val="24"/>
        </w:rPr>
        <w:t xml:space="preserve">7.25 </w:t>
      </w:r>
      <w:r w:rsidR="00475CB4">
        <w:rPr>
          <w:rFonts w:ascii="Times New Roman" w:hAnsi="Times New Roman" w:cs="Times New Roman"/>
          <w:sz w:val="24"/>
          <w:szCs w:val="24"/>
        </w:rPr>
        <w:t>ppm</w:t>
      </w:r>
      <w:r w:rsidRPr="00391865">
        <w:rPr>
          <w:rFonts w:ascii="Times New Roman" w:hAnsi="Times New Roman" w:cs="Times New Roman"/>
          <w:sz w:val="24"/>
          <w:szCs w:val="24"/>
        </w:rPr>
        <w:t xml:space="preserve"> which was subsequently found to be the </w:t>
      </w:r>
      <w:r w:rsidR="00297495">
        <w:rPr>
          <w:rFonts w:ascii="Times New Roman" w:hAnsi="Times New Roman" w:cs="Times New Roman"/>
          <w:sz w:val="24"/>
          <w:szCs w:val="24"/>
        </w:rPr>
        <w:t>neutral to slightly alkaline</w:t>
      </w:r>
      <w:r w:rsidRPr="00391865">
        <w:rPr>
          <w:rFonts w:ascii="Times New Roman" w:hAnsi="Times New Roman" w:cs="Times New Roman"/>
          <w:sz w:val="24"/>
          <w:szCs w:val="24"/>
        </w:rPr>
        <w:t xml:space="preserve"> value during the entire course of the investigation. In the succeeding months </w:t>
      </w:r>
      <w:r w:rsidRPr="00391865">
        <w:rPr>
          <w:rFonts w:ascii="Times New Roman" w:hAnsi="Times New Roman" w:cs="Times New Roman"/>
          <w:sz w:val="24"/>
          <w:szCs w:val="24"/>
        </w:rPr>
        <w:lastRenderedPageBreak/>
        <w:t xml:space="preserve">of October and November the hydrogen ion concentration value remained </w:t>
      </w:r>
      <w:r w:rsidR="00297495">
        <w:rPr>
          <w:rFonts w:ascii="Times New Roman" w:hAnsi="Times New Roman" w:cs="Times New Roman"/>
          <w:sz w:val="24"/>
          <w:szCs w:val="24"/>
        </w:rPr>
        <w:t xml:space="preserve">slightly </w:t>
      </w:r>
      <w:r w:rsidRPr="00391865">
        <w:rPr>
          <w:rFonts w:ascii="Times New Roman" w:hAnsi="Times New Roman" w:cs="Times New Roman"/>
          <w:sz w:val="24"/>
          <w:szCs w:val="24"/>
        </w:rPr>
        <w:t xml:space="preserve">alkaline but December onwards the pH value shifted again to the </w:t>
      </w:r>
      <w:r w:rsidR="00297495">
        <w:rPr>
          <w:rFonts w:ascii="Times New Roman" w:hAnsi="Times New Roman" w:cs="Times New Roman"/>
          <w:sz w:val="24"/>
          <w:szCs w:val="24"/>
        </w:rPr>
        <w:t xml:space="preserve">slightly </w:t>
      </w:r>
      <w:r w:rsidRPr="00391865">
        <w:rPr>
          <w:rFonts w:ascii="Times New Roman" w:hAnsi="Times New Roman" w:cs="Times New Roman"/>
          <w:sz w:val="24"/>
          <w:szCs w:val="24"/>
        </w:rPr>
        <w:t>acidic range. A lower pH value in the cold season (December 2021, January and February 2022) was recorded in comparison to that of summer seasons. This was followed by a sharp decrease in the pH value during July 2022 that was 6.</w:t>
      </w:r>
      <w:r w:rsidR="00297495">
        <w:rPr>
          <w:rFonts w:ascii="Times New Roman" w:hAnsi="Times New Roman" w:cs="Times New Roman"/>
          <w:sz w:val="24"/>
          <w:szCs w:val="24"/>
        </w:rPr>
        <w:t>3</w:t>
      </w:r>
      <w:r w:rsidR="00475CB4">
        <w:rPr>
          <w:rFonts w:ascii="Times New Roman" w:hAnsi="Times New Roman" w:cs="Times New Roman"/>
          <w:sz w:val="24"/>
          <w:szCs w:val="24"/>
        </w:rPr>
        <w:t xml:space="preserve"> ppm</w:t>
      </w:r>
      <w:r w:rsidRPr="00391865">
        <w:rPr>
          <w:rFonts w:ascii="Times New Roman" w:hAnsi="Times New Roman" w:cs="Times New Roman"/>
          <w:sz w:val="24"/>
          <w:szCs w:val="24"/>
        </w:rPr>
        <w:t>. In August a marked increase of 6.</w:t>
      </w:r>
      <w:r w:rsidR="00465A85">
        <w:rPr>
          <w:rFonts w:ascii="Times New Roman" w:hAnsi="Times New Roman" w:cs="Times New Roman"/>
          <w:sz w:val="24"/>
          <w:szCs w:val="24"/>
        </w:rPr>
        <w:t>8</w:t>
      </w:r>
      <w:r w:rsidR="00475CB4">
        <w:rPr>
          <w:rFonts w:ascii="Times New Roman" w:hAnsi="Times New Roman" w:cs="Times New Roman"/>
          <w:sz w:val="24"/>
          <w:szCs w:val="24"/>
        </w:rPr>
        <w:t xml:space="preserve"> ppm</w:t>
      </w:r>
      <w:r w:rsidRPr="00391865">
        <w:rPr>
          <w:rFonts w:ascii="Times New Roman" w:hAnsi="Times New Roman" w:cs="Times New Roman"/>
          <w:sz w:val="24"/>
          <w:szCs w:val="24"/>
        </w:rPr>
        <w:t>, in the pH value was recorded followed by a fall during the month of September 2022 were 6.</w:t>
      </w:r>
      <w:r w:rsidR="00465A85">
        <w:rPr>
          <w:rFonts w:ascii="Times New Roman" w:hAnsi="Times New Roman" w:cs="Times New Roman"/>
          <w:sz w:val="24"/>
          <w:szCs w:val="24"/>
        </w:rPr>
        <w:t>5</w:t>
      </w:r>
      <w:r w:rsidRPr="00391865">
        <w:rPr>
          <w:rFonts w:ascii="Times New Roman" w:hAnsi="Times New Roman" w:cs="Times New Roman"/>
          <w:sz w:val="24"/>
          <w:szCs w:val="24"/>
        </w:rPr>
        <w:t xml:space="preserve"> </w:t>
      </w:r>
      <w:r w:rsidR="00475CB4">
        <w:rPr>
          <w:rFonts w:ascii="Times New Roman" w:hAnsi="Times New Roman" w:cs="Times New Roman"/>
          <w:sz w:val="24"/>
          <w:szCs w:val="24"/>
        </w:rPr>
        <w:t>ppm</w:t>
      </w:r>
      <w:r w:rsidRPr="00391865">
        <w:rPr>
          <w:rFonts w:ascii="Times New Roman" w:hAnsi="Times New Roman" w:cs="Times New Roman"/>
          <w:sz w:val="24"/>
          <w:szCs w:val="24"/>
        </w:rPr>
        <w:t>.</w:t>
      </w:r>
    </w:p>
    <w:p w:rsidR="00BE44CC" w:rsidRPr="00391865" w:rsidRDefault="00BE44CC" w:rsidP="00BE44CC">
      <w:pPr>
        <w:pStyle w:val="ListParagraph"/>
        <w:tabs>
          <w:tab w:val="left" w:pos="1272"/>
        </w:tabs>
        <w:ind w:left="0"/>
        <w:rPr>
          <w:rFonts w:ascii="Times New Roman" w:hAnsi="Times New Roman" w:cs="Times New Roman"/>
          <w:sz w:val="24"/>
          <w:szCs w:val="24"/>
        </w:rPr>
      </w:pPr>
      <w:r w:rsidRPr="00391865">
        <w:rPr>
          <w:rFonts w:ascii="Times New Roman" w:hAnsi="Times New Roman" w:cs="Times New Roman"/>
          <w:sz w:val="24"/>
          <w:szCs w:val="24"/>
        </w:rPr>
        <w:t xml:space="preserve">During the succeeding year of investigation the pH of the lake water </w:t>
      </w:r>
      <w:r w:rsidR="00465A85" w:rsidRPr="00391865">
        <w:rPr>
          <w:rFonts w:ascii="Times New Roman" w:hAnsi="Times New Roman" w:cs="Times New Roman"/>
          <w:sz w:val="24"/>
          <w:szCs w:val="24"/>
        </w:rPr>
        <w:t xml:space="preserve">remained </w:t>
      </w:r>
      <w:r w:rsidR="00465A85">
        <w:rPr>
          <w:rFonts w:ascii="Times New Roman" w:hAnsi="Times New Roman" w:cs="Times New Roman"/>
          <w:sz w:val="24"/>
          <w:szCs w:val="24"/>
        </w:rPr>
        <w:t xml:space="preserve">slightly </w:t>
      </w:r>
      <w:r w:rsidRPr="00391865">
        <w:rPr>
          <w:rFonts w:ascii="Times New Roman" w:hAnsi="Times New Roman" w:cs="Times New Roman"/>
          <w:sz w:val="24"/>
          <w:szCs w:val="24"/>
        </w:rPr>
        <w:t>acidic and the fluctuation of its value showed a regular rise and fall, the trend of which was the same to that of the previous year.</w:t>
      </w:r>
    </w:p>
    <w:p w:rsidR="00BE44CC" w:rsidRDefault="00BE44CC" w:rsidP="00BE44CC">
      <w:pPr>
        <w:pStyle w:val="ListParagraph"/>
        <w:tabs>
          <w:tab w:val="left" w:pos="1272"/>
        </w:tabs>
        <w:ind w:left="1429"/>
        <w:rPr>
          <w:rFonts w:ascii="Times New Roman" w:hAnsi="Times New Roman" w:cs="Times New Roman"/>
          <w:sz w:val="24"/>
          <w:szCs w:val="24"/>
        </w:rPr>
      </w:pPr>
    </w:p>
    <w:p w:rsidR="00D70E5B" w:rsidRPr="00391865" w:rsidRDefault="00D70E5B" w:rsidP="00BE44CC">
      <w:pPr>
        <w:pStyle w:val="ListParagraph"/>
        <w:tabs>
          <w:tab w:val="left" w:pos="1272"/>
        </w:tabs>
        <w:ind w:left="1429"/>
        <w:rPr>
          <w:rFonts w:ascii="Times New Roman" w:hAnsi="Times New Roman" w:cs="Times New Roman"/>
          <w:sz w:val="24"/>
          <w:szCs w:val="24"/>
        </w:rPr>
      </w:pPr>
      <w:r>
        <w:rPr>
          <w:rFonts w:ascii="Times New Roman" w:hAnsi="Times New Roman" w:cs="Times New Roman"/>
          <w:noProof/>
          <w:sz w:val="24"/>
          <w:lang w:val="en-IN" w:eastAsia="en-IN"/>
        </w:rPr>
        <w:drawing>
          <wp:inline distT="0" distB="0" distL="0" distR="0" wp14:anchorId="67C59995" wp14:editId="22A1D2DB">
            <wp:extent cx="5448300" cy="1897380"/>
            <wp:effectExtent l="0" t="0" r="0" b="762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0E5B" w:rsidRDefault="00D70E5B" w:rsidP="00D70E5B">
      <w:pPr>
        <w:pStyle w:val="ListParagraph"/>
        <w:ind w:left="1429"/>
        <w:rPr>
          <w:rFonts w:ascii="Times New Roman" w:hAnsi="Times New Roman" w:cs="Times New Roman"/>
          <w:b/>
          <w:sz w:val="28"/>
        </w:rPr>
      </w:pPr>
      <w:r>
        <w:rPr>
          <w:rFonts w:ascii="Times New Roman" w:hAnsi="Times New Roman" w:cs="Times New Roman"/>
          <w:b/>
          <w:sz w:val="28"/>
        </w:rPr>
        <w:t>Fig (1) –Hydrogen ion Concentration of Morvan Dam</w:t>
      </w:r>
    </w:p>
    <w:p w:rsidR="00465A85" w:rsidRDefault="00465A85" w:rsidP="00D70E5B">
      <w:pPr>
        <w:pStyle w:val="ListParagraph"/>
        <w:ind w:left="1429"/>
        <w:rPr>
          <w:rFonts w:ascii="Times New Roman" w:hAnsi="Times New Roman" w:cs="Times New Roman"/>
          <w:b/>
          <w:sz w:val="28"/>
        </w:rPr>
      </w:pPr>
    </w:p>
    <w:p w:rsidR="00BE44CC" w:rsidRPr="00391865" w:rsidRDefault="00BE44CC" w:rsidP="00BE44CC">
      <w:pPr>
        <w:pStyle w:val="ListParagraph"/>
        <w:numPr>
          <w:ilvl w:val="0"/>
          <w:numId w:val="5"/>
        </w:numPr>
        <w:ind w:left="567"/>
        <w:rPr>
          <w:rFonts w:ascii="Times New Roman" w:hAnsi="Times New Roman" w:cs="Times New Roman"/>
          <w:b/>
          <w:sz w:val="24"/>
          <w:szCs w:val="24"/>
        </w:rPr>
      </w:pPr>
      <w:r w:rsidRPr="00391865">
        <w:rPr>
          <w:rFonts w:ascii="Times New Roman" w:hAnsi="Times New Roman" w:cs="Times New Roman"/>
          <w:b/>
          <w:sz w:val="24"/>
          <w:szCs w:val="24"/>
        </w:rPr>
        <w:t xml:space="preserve">Dissolved Oxygen Content </w:t>
      </w:r>
    </w:p>
    <w:p w:rsidR="00BE44CC" w:rsidRPr="00391865" w:rsidRDefault="00BE44CC" w:rsidP="00BE44CC">
      <w:pPr>
        <w:pStyle w:val="ListParagraph"/>
        <w:ind w:left="284"/>
        <w:jc w:val="both"/>
        <w:rPr>
          <w:rFonts w:ascii="Times New Roman" w:hAnsi="Times New Roman" w:cs="Times New Roman"/>
          <w:sz w:val="24"/>
          <w:szCs w:val="24"/>
        </w:rPr>
      </w:pPr>
      <w:r w:rsidRPr="00391865">
        <w:rPr>
          <w:rFonts w:ascii="Times New Roman" w:hAnsi="Times New Roman" w:cs="Times New Roman"/>
          <w:sz w:val="24"/>
          <w:szCs w:val="24"/>
        </w:rPr>
        <w:t xml:space="preserve">         The dissolved content of lake water varied from 4.2 ppm to 11.6 ppm during the period of investigation. During September 2021 the dissolved Oxygen content of water was 7.</w:t>
      </w:r>
      <w:r w:rsidR="00465A85">
        <w:rPr>
          <w:rFonts w:ascii="Times New Roman" w:hAnsi="Times New Roman" w:cs="Times New Roman"/>
          <w:sz w:val="24"/>
          <w:szCs w:val="24"/>
        </w:rPr>
        <w:t>1</w:t>
      </w:r>
      <w:r w:rsidR="006A5C4D" w:rsidRPr="006A5C4D">
        <w:rPr>
          <w:rFonts w:ascii="Times New Roman" w:hAnsi="Times New Roman" w:cs="Times New Roman"/>
          <w:sz w:val="24"/>
          <w:szCs w:val="24"/>
        </w:rPr>
        <w:t xml:space="preserve"> </w:t>
      </w:r>
      <w:r w:rsidR="006A5C4D" w:rsidRPr="00391865">
        <w:rPr>
          <w:rFonts w:ascii="Times New Roman" w:hAnsi="Times New Roman" w:cs="Times New Roman"/>
          <w:sz w:val="24"/>
          <w:szCs w:val="24"/>
        </w:rPr>
        <w:t>ppm</w:t>
      </w:r>
      <w:r w:rsidRPr="00391865">
        <w:rPr>
          <w:rFonts w:ascii="Times New Roman" w:hAnsi="Times New Roman" w:cs="Times New Roman"/>
          <w:sz w:val="24"/>
          <w:szCs w:val="24"/>
        </w:rPr>
        <w:t xml:space="preserve">, then a gradual increase in the oxygen content of water was observed till January 2022 which was followed by a decline in the months of March and April. The dissolved Oxygen content of lake water showed an increased value during the monsoon months. </w:t>
      </w:r>
    </w:p>
    <w:p w:rsidR="00BE44CC" w:rsidRPr="00391865" w:rsidRDefault="00BE44CC" w:rsidP="00BE44CC">
      <w:pPr>
        <w:pStyle w:val="ListParagraph"/>
        <w:tabs>
          <w:tab w:val="left" w:pos="1272"/>
        </w:tabs>
        <w:ind w:left="284"/>
        <w:jc w:val="both"/>
        <w:rPr>
          <w:rFonts w:ascii="Times New Roman" w:hAnsi="Times New Roman" w:cs="Times New Roman"/>
          <w:sz w:val="24"/>
          <w:szCs w:val="24"/>
        </w:rPr>
      </w:pPr>
      <w:r w:rsidRPr="00391865">
        <w:rPr>
          <w:rFonts w:ascii="Times New Roman" w:hAnsi="Times New Roman" w:cs="Times New Roman"/>
          <w:sz w:val="24"/>
          <w:szCs w:val="24"/>
        </w:rPr>
        <w:tab/>
        <w:t xml:space="preserve">         In the succeeding year, the trend followed more or less the same pattern but the highest values of 1</w:t>
      </w:r>
      <w:r w:rsidR="00465A85">
        <w:rPr>
          <w:rFonts w:ascii="Times New Roman" w:hAnsi="Times New Roman" w:cs="Times New Roman"/>
          <w:sz w:val="24"/>
          <w:szCs w:val="24"/>
        </w:rPr>
        <w:t>1.6</w:t>
      </w:r>
      <w:r w:rsidR="00511B83">
        <w:rPr>
          <w:rFonts w:ascii="Times New Roman" w:hAnsi="Times New Roman" w:cs="Times New Roman"/>
          <w:sz w:val="24"/>
          <w:szCs w:val="24"/>
        </w:rPr>
        <w:t xml:space="preserve"> ppm</w:t>
      </w:r>
      <w:r w:rsidR="00465A85">
        <w:rPr>
          <w:rFonts w:ascii="Times New Roman" w:hAnsi="Times New Roman" w:cs="Times New Roman"/>
          <w:sz w:val="24"/>
          <w:szCs w:val="24"/>
        </w:rPr>
        <w:t xml:space="preserve"> </w:t>
      </w:r>
      <w:r w:rsidRPr="00391865">
        <w:rPr>
          <w:rFonts w:ascii="Times New Roman" w:hAnsi="Times New Roman" w:cs="Times New Roman"/>
          <w:sz w:val="24"/>
          <w:szCs w:val="24"/>
        </w:rPr>
        <w:t>were recorded in the month November 2022 and lowest value was recorded in the month of May 2023</w:t>
      </w:r>
      <w:r w:rsidR="00511B83">
        <w:rPr>
          <w:rFonts w:ascii="Times New Roman" w:hAnsi="Times New Roman" w:cs="Times New Roman"/>
          <w:sz w:val="24"/>
          <w:szCs w:val="24"/>
        </w:rPr>
        <w:t xml:space="preserve"> that was 4.2 ppm</w:t>
      </w:r>
      <w:r w:rsidRPr="00391865">
        <w:rPr>
          <w:rFonts w:ascii="Times New Roman" w:hAnsi="Times New Roman" w:cs="Times New Roman"/>
          <w:sz w:val="24"/>
          <w:szCs w:val="24"/>
        </w:rPr>
        <w:t xml:space="preserve">. </w:t>
      </w:r>
    </w:p>
    <w:p w:rsidR="00BE44CC" w:rsidRDefault="00BE44CC" w:rsidP="00BE44CC">
      <w:pPr>
        <w:pStyle w:val="ListParagraph"/>
        <w:tabs>
          <w:tab w:val="left" w:pos="1272"/>
        </w:tabs>
        <w:ind w:left="284"/>
        <w:jc w:val="both"/>
        <w:rPr>
          <w:rFonts w:ascii="Times New Roman" w:hAnsi="Times New Roman" w:cs="Times New Roman"/>
          <w:sz w:val="24"/>
          <w:szCs w:val="24"/>
        </w:rPr>
      </w:pPr>
      <w:r w:rsidRPr="00391865">
        <w:rPr>
          <w:rFonts w:ascii="Times New Roman" w:hAnsi="Times New Roman" w:cs="Times New Roman"/>
          <w:sz w:val="24"/>
          <w:szCs w:val="24"/>
        </w:rPr>
        <w:t xml:space="preserve">        The data also reveals that the dissolved oxygen was high during the winter months and low during the summer months. The periods of high dissolved oxygen content corresponded with the periods of low water temperature. It was further observed that the periods of high dissolved oxygen content of water corresponded with a decreased pH value. </w:t>
      </w:r>
    </w:p>
    <w:p w:rsidR="00A032B9" w:rsidRPr="00391865" w:rsidRDefault="00A032B9" w:rsidP="00BE44CC">
      <w:pPr>
        <w:pStyle w:val="ListParagraph"/>
        <w:tabs>
          <w:tab w:val="left" w:pos="1272"/>
        </w:tabs>
        <w:ind w:left="284"/>
        <w:jc w:val="both"/>
        <w:rPr>
          <w:rFonts w:ascii="Times New Roman" w:hAnsi="Times New Roman" w:cs="Times New Roman"/>
          <w:sz w:val="24"/>
          <w:szCs w:val="24"/>
        </w:rPr>
      </w:pPr>
    </w:p>
    <w:p w:rsidR="00BE44CC" w:rsidRPr="00391865" w:rsidRDefault="00A032B9" w:rsidP="00BE44CC">
      <w:pPr>
        <w:pStyle w:val="ListParagraph"/>
        <w:tabs>
          <w:tab w:val="left" w:pos="1272"/>
        </w:tabs>
        <w:ind w:left="1429"/>
        <w:jc w:val="both"/>
        <w:rPr>
          <w:rFonts w:ascii="Times New Roman" w:hAnsi="Times New Roman" w:cs="Times New Roman"/>
          <w:sz w:val="24"/>
          <w:szCs w:val="24"/>
        </w:rPr>
      </w:pPr>
      <w:r w:rsidRPr="00D75F61">
        <w:rPr>
          <w:rFonts w:ascii="Times New Roman" w:hAnsi="Times New Roman" w:cs="Times New Roman"/>
          <w:b/>
          <w:noProof/>
          <w:sz w:val="24"/>
          <w:lang w:val="en-IN" w:eastAsia="en-IN"/>
        </w:rPr>
        <w:lastRenderedPageBreak/>
        <w:drawing>
          <wp:inline distT="0" distB="0" distL="0" distR="0" wp14:anchorId="3001CF41" wp14:editId="5078C6DB">
            <wp:extent cx="5189220" cy="1813560"/>
            <wp:effectExtent l="0" t="0" r="11430" b="1524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44CC" w:rsidRPr="00391865" w:rsidRDefault="00BE44CC" w:rsidP="00BE44CC">
      <w:pPr>
        <w:pStyle w:val="ListParagraph"/>
        <w:tabs>
          <w:tab w:val="left" w:pos="1272"/>
        </w:tabs>
        <w:ind w:left="1429"/>
        <w:jc w:val="center"/>
        <w:rPr>
          <w:rFonts w:ascii="Times New Roman" w:hAnsi="Times New Roman" w:cs="Times New Roman"/>
          <w:sz w:val="24"/>
          <w:szCs w:val="24"/>
        </w:rPr>
      </w:pPr>
    </w:p>
    <w:p w:rsidR="00BE44CC" w:rsidRPr="00391865" w:rsidRDefault="00BE44CC" w:rsidP="00BE44CC">
      <w:pPr>
        <w:tabs>
          <w:tab w:val="left" w:pos="1272"/>
        </w:tabs>
        <w:rPr>
          <w:rFonts w:ascii="Times New Roman" w:hAnsi="Times New Roman" w:cs="Times New Roman"/>
          <w:b/>
          <w:sz w:val="24"/>
          <w:szCs w:val="24"/>
        </w:rPr>
      </w:pPr>
      <w:r w:rsidRPr="00391865">
        <w:rPr>
          <w:rFonts w:ascii="Times New Roman" w:hAnsi="Times New Roman" w:cs="Times New Roman"/>
          <w:b/>
          <w:sz w:val="24"/>
          <w:szCs w:val="24"/>
        </w:rPr>
        <w:t xml:space="preserve">                   Fig (</w:t>
      </w:r>
      <w:r w:rsidR="00A032B9">
        <w:rPr>
          <w:rFonts w:ascii="Times New Roman" w:hAnsi="Times New Roman" w:cs="Times New Roman"/>
          <w:b/>
          <w:sz w:val="24"/>
          <w:szCs w:val="24"/>
        </w:rPr>
        <w:t>2</w:t>
      </w:r>
      <w:r w:rsidRPr="00391865">
        <w:rPr>
          <w:rFonts w:ascii="Times New Roman" w:hAnsi="Times New Roman" w:cs="Times New Roman"/>
          <w:b/>
          <w:sz w:val="24"/>
          <w:szCs w:val="24"/>
        </w:rPr>
        <w:t>)- Showing Dissolved Oxygen (O</w:t>
      </w:r>
      <w:r w:rsidRPr="00391865">
        <w:rPr>
          <w:rFonts w:ascii="Times New Roman" w:hAnsi="Times New Roman" w:cs="Times New Roman"/>
          <w:b/>
          <w:sz w:val="24"/>
          <w:szCs w:val="24"/>
          <w:vertAlign w:val="subscript"/>
        </w:rPr>
        <w:t>2</w:t>
      </w:r>
      <w:r w:rsidRPr="00391865">
        <w:rPr>
          <w:rFonts w:ascii="Times New Roman" w:hAnsi="Times New Roman" w:cs="Times New Roman"/>
          <w:b/>
          <w:sz w:val="24"/>
          <w:szCs w:val="24"/>
        </w:rPr>
        <w:t xml:space="preserve">) in ppm in </w:t>
      </w:r>
      <w:r w:rsidR="00A032B9">
        <w:rPr>
          <w:rFonts w:ascii="Times New Roman" w:hAnsi="Times New Roman" w:cs="Times New Roman"/>
          <w:b/>
          <w:sz w:val="24"/>
          <w:szCs w:val="24"/>
        </w:rPr>
        <w:t>Morvan</w:t>
      </w:r>
      <w:r w:rsidRPr="00391865">
        <w:rPr>
          <w:rFonts w:ascii="Times New Roman" w:hAnsi="Times New Roman" w:cs="Times New Roman"/>
          <w:b/>
          <w:sz w:val="24"/>
          <w:szCs w:val="24"/>
        </w:rPr>
        <w:t xml:space="preserve"> Dam</w:t>
      </w:r>
    </w:p>
    <w:p w:rsidR="00BE44CC" w:rsidRPr="00391865" w:rsidRDefault="00BE44CC" w:rsidP="00BE44CC">
      <w:pPr>
        <w:pStyle w:val="ListParagraph"/>
        <w:tabs>
          <w:tab w:val="left" w:pos="1272"/>
        </w:tabs>
        <w:ind w:left="1429"/>
        <w:jc w:val="both"/>
        <w:rPr>
          <w:rFonts w:ascii="Times New Roman" w:hAnsi="Times New Roman" w:cs="Times New Roman"/>
          <w:sz w:val="24"/>
          <w:szCs w:val="24"/>
        </w:rPr>
      </w:pPr>
    </w:p>
    <w:p w:rsidR="00BE44CC" w:rsidRPr="00391865" w:rsidRDefault="00BE44CC" w:rsidP="00BE44CC">
      <w:pPr>
        <w:pStyle w:val="ListParagraph"/>
        <w:tabs>
          <w:tab w:val="left" w:pos="1272"/>
        </w:tabs>
        <w:ind w:left="426"/>
        <w:rPr>
          <w:rFonts w:ascii="Times New Roman" w:hAnsi="Times New Roman" w:cs="Times New Roman"/>
          <w:b/>
          <w:sz w:val="24"/>
          <w:szCs w:val="24"/>
        </w:rPr>
      </w:pPr>
    </w:p>
    <w:p w:rsidR="00BE44CC" w:rsidRPr="00391865" w:rsidRDefault="00BE44CC" w:rsidP="00BE44CC">
      <w:pPr>
        <w:pStyle w:val="ListParagraph"/>
        <w:tabs>
          <w:tab w:val="left" w:pos="1272"/>
        </w:tabs>
        <w:ind w:left="426"/>
        <w:rPr>
          <w:rFonts w:ascii="Times New Roman" w:hAnsi="Times New Roman" w:cs="Times New Roman"/>
          <w:b/>
          <w:sz w:val="24"/>
          <w:szCs w:val="24"/>
        </w:rPr>
      </w:pPr>
      <w:r w:rsidRPr="00391865">
        <w:rPr>
          <w:rFonts w:ascii="Times New Roman" w:hAnsi="Times New Roman" w:cs="Times New Roman"/>
          <w:b/>
          <w:sz w:val="24"/>
          <w:szCs w:val="24"/>
        </w:rPr>
        <w:t xml:space="preserve">3. Free Carbon-di-oxide </w:t>
      </w:r>
    </w:p>
    <w:p w:rsidR="00BE44CC" w:rsidRDefault="00BE44CC" w:rsidP="00BE44CC">
      <w:pPr>
        <w:pStyle w:val="ListParagraph"/>
        <w:tabs>
          <w:tab w:val="left" w:pos="1272"/>
        </w:tabs>
        <w:ind w:left="426"/>
        <w:jc w:val="both"/>
        <w:rPr>
          <w:rFonts w:ascii="Times New Roman" w:hAnsi="Times New Roman" w:cs="Times New Roman"/>
          <w:sz w:val="24"/>
          <w:szCs w:val="24"/>
        </w:rPr>
      </w:pPr>
      <w:r w:rsidRPr="00391865">
        <w:rPr>
          <w:rFonts w:ascii="Times New Roman" w:hAnsi="Times New Roman" w:cs="Times New Roman"/>
          <w:sz w:val="24"/>
          <w:szCs w:val="24"/>
        </w:rPr>
        <w:t xml:space="preserve">                The amount of free carbon-di-oxide recorded throughout the period of investigation was not very high, the maximum of 7.3</w:t>
      </w:r>
      <w:r w:rsidR="00511B83">
        <w:rPr>
          <w:rFonts w:ascii="Times New Roman" w:hAnsi="Times New Roman" w:cs="Times New Roman"/>
          <w:sz w:val="24"/>
          <w:szCs w:val="24"/>
        </w:rPr>
        <w:t xml:space="preserve">5 </w:t>
      </w:r>
      <w:r w:rsidR="00511B83" w:rsidRPr="00391865">
        <w:rPr>
          <w:rFonts w:ascii="Times New Roman" w:hAnsi="Times New Roman" w:cs="Times New Roman"/>
          <w:sz w:val="24"/>
          <w:szCs w:val="24"/>
        </w:rPr>
        <w:t>ppm</w:t>
      </w:r>
      <w:r w:rsidRPr="00391865">
        <w:rPr>
          <w:rFonts w:ascii="Times New Roman" w:hAnsi="Times New Roman" w:cs="Times New Roman"/>
          <w:sz w:val="24"/>
          <w:szCs w:val="24"/>
        </w:rPr>
        <w:t xml:space="preserve">, bring in the month of January 2023. No free carbon-di-oxide was recorded during the month of </w:t>
      </w:r>
      <w:r w:rsidR="00511B83" w:rsidRPr="00391865">
        <w:rPr>
          <w:rFonts w:ascii="Times New Roman" w:hAnsi="Times New Roman" w:cs="Times New Roman"/>
          <w:sz w:val="24"/>
          <w:szCs w:val="24"/>
        </w:rPr>
        <w:t>October 2021</w:t>
      </w:r>
      <w:r w:rsidR="00511B83">
        <w:rPr>
          <w:rFonts w:ascii="Times New Roman" w:hAnsi="Times New Roman" w:cs="Times New Roman"/>
          <w:sz w:val="24"/>
          <w:szCs w:val="24"/>
        </w:rPr>
        <w:t xml:space="preserve">, </w:t>
      </w:r>
      <w:r w:rsidRPr="00391865">
        <w:rPr>
          <w:rFonts w:ascii="Times New Roman" w:hAnsi="Times New Roman" w:cs="Times New Roman"/>
          <w:sz w:val="24"/>
          <w:szCs w:val="24"/>
        </w:rPr>
        <w:t>April 2022, June 2022 and June 2023</w:t>
      </w:r>
      <w:r w:rsidR="00511B83">
        <w:rPr>
          <w:rFonts w:ascii="Times New Roman" w:hAnsi="Times New Roman" w:cs="Times New Roman"/>
          <w:sz w:val="24"/>
          <w:szCs w:val="24"/>
        </w:rPr>
        <w:t>.</w:t>
      </w:r>
      <w:r w:rsidRPr="00391865">
        <w:rPr>
          <w:rFonts w:ascii="Times New Roman" w:hAnsi="Times New Roman" w:cs="Times New Roman"/>
          <w:sz w:val="24"/>
          <w:szCs w:val="24"/>
        </w:rPr>
        <w:t xml:space="preserve"> Expectedly enough free carbon-di-oxide was observed to be absent when the </w:t>
      </w:r>
      <w:r w:rsidR="00BB233B">
        <w:rPr>
          <w:rFonts w:ascii="Times New Roman" w:hAnsi="Times New Roman" w:cs="Times New Roman"/>
          <w:sz w:val="24"/>
          <w:szCs w:val="24"/>
        </w:rPr>
        <w:t>d</w:t>
      </w:r>
      <w:r w:rsidRPr="00391865">
        <w:rPr>
          <w:rFonts w:ascii="Times New Roman" w:hAnsi="Times New Roman" w:cs="Times New Roman"/>
          <w:sz w:val="24"/>
          <w:szCs w:val="24"/>
        </w:rPr>
        <w:t xml:space="preserve">am water was </w:t>
      </w:r>
      <w:r w:rsidR="00190203">
        <w:rPr>
          <w:rFonts w:ascii="Times New Roman" w:hAnsi="Times New Roman" w:cs="Times New Roman"/>
          <w:sz w:val="24"/>
          <w:szCs w:val="24"/>
        </w:rPr>
        <w:t xml:space="preserve">slightly </w:t>
      </w:r>
      <w:r w:rsidRPr="00391865">
        <w:rPr>
          <w:rFonts w:ascii="Times New Roman" w:hAnsi="Times New Roman" w:cs="Times New Roman"/>
          <w:sz w:val="24"/>
          <w:szCs w:val="24"/>
        </w:rPr>
        <w:t>alkaline. A linear relationship was established between free carbon-di-oxide content and turbidity of water (r = 0.85, p &gt; .0001).</w:t>
      </w:r>
    </w:p>
    <w:p w:rsidR="00A032B9" w:rsidRDefault="00A032B9" w:rsidP="00BE44CC">
      <w:pPr>
        <w:pStyle w:val="ListParagraph"/>
        <w:tabs>
          <w:tab w:val="left" w:pos="1272"/>
        </w:tabs>
        <w:ind w:left="426"/>
        <w:jc w:val="both"/>
        <w:rPr>
          <w:rFonts w:ascii="Times New Roman" w:hAnsi="Times New Roman" w:cs="Times New Roman"/>
          <w:sz w:val="24"/>
          <w:szCs w:val="24"/>
        </w:rPr>
      </w:pPr>
    </w:p>
    <w:p w:rsidR="00A032B9" w:rsidRDefault="00A032B9" w:rsidP="00BE44CC">
      <w:pPr>
        <w:pStyle w:val="ListParagraph"/>
        <w:tabs>
          <w:tab w:val="left" w:pos="1272"/>
        </w:tabs>
        <w:ind w:left="426"/>
        <w:jc w:val="both"/>
        <w:rPr>
          <w:rFonts w:ascii="Times New Roman" w:hAnsi="Times New Roman" w:cs="Times New Roman"/>
          <w:sz w:val="24"/>
          <w:szCs w:val="24"/>
        </w:rPr>
      </w:pPr>
    </w:p>
    <w:p w:rsidR="00A032B9" w:rsidRDefault="00A032B9" w:rsidP="00BE44CC">
      <w:pPr>
        <w:pStyle w:val="ListParagraph"/>
        <w:tabs>
          <w:tab w:val="left" w:pos="1272"/>
        </w:tabs>
        <w:ind w:left="426"/>
        <w:jc w:val="both"/>
        <w:rPr>
          <w:rFonts w:ascii="Times New Roman" w:hAnsi="Times New Roman" w:cs="Times New Roman"/>
          <w:sz w:val="24"/>
          <w:szCs w:val="24"/>
        </w:rPr>
      </w:pPr>
      <w:r>
        <w:rPr>
          <w:rFonts w:ascii="Times New Roman" w:hAnsi="Times New Roman" w:cs="Times New Roman"/>
          <w:noProof/>
          <w:sz w:val="24"/>
          <w:lang w:val="en-IN" w:eastAsia="en-IN"/>
        </w:rPr>
        <w:drawing>
          <wp:inline distT="0" distB="0" distL="0" distR="0" wp14:anchorId="28AAC894" wp14:editId="3ADDB021">
            <wp:extent cx="5173980" cy="2209800"/>
            <wp:effectExtent l="0" t="0" r="7620" b="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32B9" w:rsidRDefault="00A032B9" w:rsidP="00A032B9">
      <w:pPr>
        <w:tabs>
          <w:tab w:val="left" w:pos="1272"/>
        </w:tabs>
        <w:ind w:left="709"/>
        <w:jc w:val="center"/>
        <w:rPr>
          <w:rFonts w:ascii="Times New Roman" w:hAnsi="Times New Roman" w:cs="Times New Roman"/>
          <w:b/>
          <w:sz w:val="28"/>
          <w:lang w:val="en-US"/>
        </w:rPr>
      </w:pPr>
      <w:r>
        <w:rPr>
          <w:rFonts w:ascii="Times New Roman" w:hAnsi="Times New Roman" w:cs="Times New Roman"/>
          <w:b/>
          <w:sz w:val="28"/>
          <w:lang w:val="en-US"/>
        </w:rPr>
        <w:t xml:space="preserve">Fig (3) – Showing </w:t>
      </w:r>
      <w:r w:rsidRPr="00A876D6">
        <w:rPr>
          <w:rFonts w:ascii="Times New Roman" w:hAnsi="Times New Roman" w:cs="Times New Roman"/>
          <w:b/>
          <w:bCs/>
          <w:sz w:val="28"/>
          <w:lang w:val="en-US"/>
        </w:rPr>
        <w:t>Free Carbon-di-oxide</w:t>
      </w:r>
      <w:r>
        <w:rPr>
          <w:rFonts w:ascii="Times New Roman" w:hAnsi="Times New Roman" w:cs="Times New Roman"/>
          <w:b/>
          <w:bCs/>
          <w:sz w:val="28"/>
          <w:lang w:val="en-US"/>
        </w:rPr>
        <w:t xml:space="preserve"> </w:t>
      </w:r>
      <w:r w:rsidRPr="00A876D6">
        <w:rPr>
          <w:rFonts w:ascii="Times New Roman" w:hAnsi="Times New Roman" w:cs="Times New Roman"/>
          <w:b/>
          <w:sz w:val="28"/>
          <w:lang w:val="en-US"/>
        </w:rPr>
        <w:t xml:space="preserve"> </w:t>
      </w:r>
      <w:r>
        <w:rPr>
          <w:rFonts w:ascii="Times New Roman" w:hAnsi="Times New Roman" w:cs="Times New Roman"/>
          <w:b/>
          <w:sz w:val="28"/>
          <w:lang w:val="en-US"/>
        </w:rPr>
        <w:t>of Morvan Dam</w:t>
      </w:r>
    </w:p>
    <w:p w:rsidR="00BE44CC" w:rsidRPr="00391865" w:rsidRDefault="00BE44CC" w:rsidP="00BE44CC">
      <w:pPr>
        <w:pStyle w:val="ListParagraph"/>
        <w:tabs>
          <w:tab w:val="left" w:pos="1272"/>
        </w:tabs>
        <w:ind w:left="426"/>
        <w:rPr>
          <w:rFonts w:ascii="Times New Roman" w:hAnsi="Times New Roman" w:cs="Times New Roman"/>
          <w:b/>
          <w:sz w:val="24"/>
          <w:szCs w:val="24"/>
        </w:rPr>
      </w:pPr>
      <w:r w:rsidRPr="00391865">
        <w:rPr>
          <w:rFonts w:ascii="Times New Roman" w:hAnsi="Times New Roman" w:cs="Times New Roman"/>
          <w:b/>
          <w:sz w:val="24"/>
          <w:szCs w:val="24"/>
        </w:rPr>
        <w:t xml:space="preserve">4. Total Alkalinity </w:t>
      </w:r>
    </w:p>
    <w:p w:rsidR="00BE44CC" w:rsidRPr="00391865" w:rsidRDefault="00BE44CC" w:rsidP="00BE44CC">
      <w:pPr>
        <w:tabs>
          <w:tab w:val="left" w:pos="127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t xml:space="preserve">        Alkalinity value of lake water was primarily due to the presence of bicarbonates and the surface bicarbonate alkalinity value ranged from </w:t>
      </w:r>
      <w:r w:rsidR="00190203">
        <w:rPr>
          <w:rFonts w:ascii="Times New Roman" w:hAnsi="Times New Roman" w:cs="Times New Roman"/>
          <w:sz w:val="24"/>
          <w:szCs w:val="24"/>
        </w:rPr>
        <w:t xml:space="preserve">25.0 </w:t>
      </w:r>
      <w:r w:rsidRPr="00391865">
        <w:rPr>
          <w:rFonts w:ascii="Times New Roman" w:hAnsi="Times New Roman" w:cs="Times New Roman"/>
          <w:sz w:val="24"/>
          <w:szCs w:val="24"/>
          <w:lang w:val="en-US"/>
        </w:rPr>
        <w:t>ppm (</w:t>
      </w:r>
      <w:r w:rsidR="00190203">
        <w:rPr>
          <w:rFonts w:ascii="Times New Roman" w:hAnsi="Times New Roman" w:cs="Times New Roman"/>
          <w:sz w:val="24"/>
          <w:szCs w:val="24"/>
          <w:lang w:val="en-US"/>
        </w:rPr>
        <w:t>November</w:t>
      </w:r>
      <w:r w:rsidRPr="00391865">
        <w:rPr>
          <w:rFonts w:ascii="Times New Roman" w:hAnsi="Times New Roman" w:cs="Times New Roman"/>
          <w:sz w:val="24"/>
          <w:szCs w:val="24"/>
          <w:lang w:val="en-US"/>
        </w:rPr>
        <w:t xml:space="preserve"> 2022) to </w:t>
      </w:r>
      <w:r w:rsidR="00190203" w:rsidRPr="00C80D5B">
        <w:rPr>
          <w:rFonts w:ascii="Times New Roman" w:hAnsi="Times New Roman" w:cs="Times New Roman"/>
          <w:sz w:val="24"/>
          <w:szCs w:val="24"/>
        </w:rPr>
        <w:t>9</w:t>
      </w:r>
      <w:r w:rsidR="00190203">
        <w:rPr>
          <w:rFonts w:ascii="Times New Roman" w:hAnsi="Times New Roman" w:cs="Times New Roman"/>
          <w:sz w:val="24"/>
          <w:szCs w:val="24"/>
        </w:rPr>
        <w:t>8</w:t>
      </w:r>
      <w:r w:rsidR="00190203" w:rsidRPr="00C80D5B">
        <w:rPr>
          <w:rFonts w:ascii="Times New Roman" w:hAnsi="Times New Roman" w:cs="Times New Roman"/>
          <w:sz w:val="24"/>
          <w:szCs w:val="24"/>
        </w:rPr>
        <w:t>.</w:t>
      </w:r>
      <w:r w:rsidR="00190203">
        <w:rPr>
          <w:rFonts w:ascii="Times New Roman" w:hAnsi="Times New Roman" w:cs="Times New Roman"/>
          <w:sz w:val="24"/>
          <w:szCs w:val="24"/>
        </w:rPr>
        <w:t xml:space="preserve">9 </w:t>
      </w:r>
      <w:r w:rsidRPr="00391865">
        <w:rPr>
          <w:rFonts w:ascii="Times New Roman" w:hAnsi="Times New Roman" w:cs="Times New Roman"/>
          <w:sz w:val="24"/>
          <w:szCs w:val="24"/>
          <w:lang w:val="en-US"/>
        </w:rPr>
        <w:t>ppm (</w:t>
      </w:r>
      <w:r w:rsidR="00190203">
        <w:rPr>
          <w:rFonts w:ascii="Times New Roman" w:hAnsi="Times New Roman" w:cs="Times New Roman"/>
          <w:sz w:val="24"/>
          <w:szCs w:val="24"/>
          <w:lang w:val="en-US"/>
        </w:rPr>
        <w:t>October</w:t>
      </w:r>
      <w:r w:rsidRPr="00391865">
        <w:rPr>
          <w:rFonts w:ascii="Times New Roman" w:hAnsi="Times New Roman" w:cs="Times New Roman"/>
          <w:sz w:val="24"/>
          <w:szCs w:val="24"/>
          <w:lang w:val="en-US"/>
        </w:rPr>
        <w:t xml:space="preserve"> 202</w:t>
      </w:r>
      <w:r w:rsidR="00190203">
        <w:rPr>
          <w:rFonts w:ascii="Times New Roman" w:hAnsi="Times New Roman" w:cs="Times New Roman"/>
          <w:sz w:val="24"/>
          <w:szCs w:val="24"/>
          <w:lang w:val="en-US"/>
        </w:rPr>
        <w:t>1</w:t>
      </w:r>
      <w:r w:rsidRPr="00391865">
        <w:rPr>
          <w:rFonts w:ascii="Times New Roman" w:hAnsi="Times New Roman" w:cs="Times New Roman"/>
          <w:sz w:val="24"/>
          <w:szCs w:val="24"/>
          <w:lang w:val="en-US"/>
        </w:rPr>
        <w:t xml:space="preserve">).  The carbonate alkalinity was recorded in small amount only during the </w:t>
      </w:r>
      <w:r w:rsidRPr="00391865">
        <w:rPr>
          <w:rFonts w:ascii="Times New Roman" w:hAnsi="Times New Roman" w:cs="Times New Roman"/>
          <w:sz w:val="24"/>
          <w:szCs w:val="24"/>
          <w:lang w:val="en-US"/>
        </w:rPr>
        <w:lastRenderedPageBreak/>
        <w:t>month of November 202</w:t>
      </w:r>
      <w:r w:rsidR="00190203">
        <w:rPr>
          <w:rFonts w:ascii="Times New Roman" w:hAnsi="Times New Roman" w:cs="Times New Roman"/>
          <w:sz w:val="24"/>
          <w:szCs w:val="24"/>
          <w:lang w:val="en-US"/>
        </w:rPr>
        <w:t>2</w:t>
      </w:r>
      <w:r w:rsidRPr="00391865">
        <w:rPr>
          <w:rFonts w:ascii="Times New Roman" w:hAnsi="Times New Roman" w:cs="Times New Roman"/>
          <w:sz w:val="24"/>
          <w:szCs w:val="24"/>
          <w:lang w:val="en-US"/>
        </w:rPr>
        <w:t xml:space="preserve"> was </w:t>
      </w:r>
      <w:r w:rsidR="00190203">
        <w:rPr>
          <w:rFonts w:ascii="Times New Roman" w:hAnsi="Times New Roman" w:cs="Times New Roman"/>
          <w:sz w:val="24"/>
          <w:szCs w:val="24"/>
          <w:lang w:val="en-US"/>
        </w:rPr>
        <w:t>2</w:t>
      </w:r>
      <w:r w:rsidRPr="00391865">
        <w:rPr>
          <w:rFonts w:ascii="Times New Roman" w:hAnsi="Times New Roman" w:cs="Times New Roman"/>
          <w:sz w:val="24"/>
          <w:szCs w:val="24"/>
          <w:lang w:val="en-US"/>
        </w:rPr>
        <w:t>5.</w:t>
      </w:r>
      <w:r w:rsidR="00190203">
        <w:rPr>
          <w:rFonts w:ascii="Times New Roman" w:hAnsi="Times New Roman" w:cs="Times New Roman"/>
          <w:sz w:val="24"/>
          <w:szCs w:val="24"/>
          <w:lang w:val="en-US"/>
        </w:rPr>
        <w:t>0</w:t>
      </w:r>
      <w:r w:rsidR="00BB233B" w:rsidRPr="00BB233B">
        <w:rPr>
          <w:rFonts w:ascii="Times New Roman" w:hAnsi="Times New Roman" w:cs="Times New Roman"/>
          <w:sz w:val="24"/>
          <w:szCs w:val="24"/>
        </w:rPr>
        <w:t xml:space="preserve"> </w:t>
      </w:r>
      <w:r w:rsidR="00BB233B" w:rsidRPr="00391865">
        <w:rPr>
          <w:rFonts w:ascii="Times New Roman" w:hAnsi="Times New Roman" w:cs="Times New Roman"/>
          <w:sz w:val="24"/>
          <w:szCs w:val="24"/>
        </w:rPr>
        <w:t>ppm</w:t>
      </w:r>
      <w:r w:rsidRPr="00391865">
        <w:rPr>
          <w:rFonts w:ascii="Times New Roman" w:hAnsi="Times New Roman" w:cs="Times New Roman"/>
          <w:sz w:val="24"/>
          <w:szCs w:val="24"/>
          <w:lang w:val="en-US"/>
        </w:rPr>
        <w:t>, June 2022 was 48.</w:t>
      </w:r>
      <w:r w:rsidR="00190203">
        <w:rPr>
          <w:rFonts w:ascii="Times New Roman" w:hAnsi="Times New Roman" w:cs="Times New Roman"/>
          <w:sz w:val="24"/>
          <w:szCs w:val="24"/>
          <w:lang w:val="en-US"/>
        </w:rPr>
        <w:t>8</w:t>
      </w:r>
      <w:r w:rsidR="00BB233B" w:rsidRPr="00BB233B">
        <w:rPr>
          <w:rFonts w:ascii="Times New Roman" w:hAnsi="Times New Roman" w:cs="Times New Roman"/>
          <w:sz w:val="24"/>
          <w:szCs w:val="24"/>
          <w:lang w:val="en-US"/>
        </w:rPr>
        <w:t xml:space="preserve"> </w:t>
      </w:r>
      <w:r w:rsidR="00BB233B"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for </w:t>
      </w:r>
      <w:r w:rsidR="00BB233B">
        <w:rPr>
          <w:rFonts w:ascii="Times New Roman" w:hAnsi="Times New Roman" w:cs="Times New Roman"/>
          <w:sz w:val="24"/>
          <w:szCs w:val="24"/>
          <w:lang w:val="en-US"/>
        </w:rPr>
        <w:t>the</w:t>
      </w:r>
      <w:r w:rsidRPr="00391865">
        <w:rPr>
          <w:rFonts w:ascii="Times New Roman" w:hAnsi="Times New Roman" w:cs="Times New Roman"/>
          <w:sz w:val="24"/>
          <w:szCs w:val="24"/>
          <w:lang w:val="en-US"/>
        </w:rPr>
        <w:t xml:space="preserve"> </w:t>
      </w:r>
      <w:r w:rsidR="00BB233B">
        <w:rPr>
          <w:rFonts w:ascii="Times New Roman" w:hAnsi="Times New Roman" w:cs="Times New Roman"/>
          <w:sz w:val="24"/>
          <w:szCs w:val="24"/>
          <w:lang w:val="en-US"/>
        </w:rPr>
        <w:t>dam</w:t>
      </w:r>
      <w:r w:rsidRPr="00391865">
        <w:rPr>
          <w:rFonts w:ascii="Times New Roman" w:hAnsi="Times New Roman" w:cs="Times New Roman"/>
          <w:sz w:val="24"/>
          <w:szCs w:val="24"/>
          <w:lang w:val="en-US"/>
        </w:rPr>
        <w:t xml:space="preserve"> and no free carbon-di-oxide was detected during the period as the pH of lake water was more than the neutral value.   The seasonal curve of total alkalinity value distinct fluctuations throughout the period of investigation. In September 2021, the total alkalinity value was found to be 3</w:t>
      </w:r>
      <w:r w:rsidR="00190203">
        <w:rPr>
          <w:rFonts w:ascii="Times New Roman" w:hAnsi="Times New Roman" w:cs="Times New Roman"/>
          <w:sz w:val="24"/>
          <w:szCs w:val="24"/>
          <w:lang w:val="en-US"/>
        </w:rPr>
        <w:t>0</w:t>
      </w:r>
      <w:r w:rsidRPr="00391865">
        <w:rPr>
          <w:rFonts w:ascii="Times New Roman" w:hAnsi="Times New Roman" w:cs="Times New Roman"/>
          <w:sz w:val="24"/>
          <w:szCs w:val="24"/>
          <w:lang w:val="en-US"/>
        </w:rPr>
        <w:t xml:space="preserve">.0 </w:t>
      </w:r>
      <w:r w:rsidR="00BB233B">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After a sudden rise in October 2021 and fall in November 2021, the alkalinity value tended to increase steadily from the month of February 2022 and reached the peak in April 2022 which was </w:t>
      </w:r>
      <w:r w:rsidR="0024274D">
        <w:rPr>
          <w:rFonts w:ascii="Times New Roman" w:hAnsi="Times New Roman" w:cs="Times New Roman"/>
          <w:sz w:val="24"/>
          <w:szCs w:val="24"/>
          <w:lang w:val="en-US"/>
        </w:rPr>
        <w:t>6</w:t>
      </w:r>
      <w:r w:rsidRPr="00391865">
        <w:rPr>
          <w:rFonts w:ascii="Times New Roman" w:hAnsi="Times New Roman" w:cs="Times New Roman"/>
          <w:sz w:val="24"/>
          <w:szCs w:val="24"/>
          <w:lang w:val="en-US"/>
        </w:rPr>
        <w:t>0.</w:t>
      </w:r>
      <w:r w:rsidR="0024274D">
        <w:rPr>
          <w:rFonts w:ascii="Times New Roman" w:hAnsi="Times New Roman" w:cs="Times New Roman"/>
          <w:sz w:val="24"/>
          <w:szCs w:val="24"/>
          <w:lang w:val="en-US"/>
        </w:rPr>
        <w:t>0</w:t>
      </w:r>
      <w:r w:rsidRPr="00391865">
        <w:rPr>
          <w:rFonts w:ascii="Times New Roman" w:hAnsi="Times New Roman" w:cs="Times New Roman"/>
          <w:sz w:val="24"/>
          <w:szCs w:val="24"/>
          <w:lang w:val="en-US"/>
        </w:rPr>
        <w:t xml:space="preserve"> </w:t>
      </w:r>
      <w:r w:rsidR="00BB233B"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The bicarbonate contents of lake water then tended to go down and reached the minimum in August 2022 was 29.</w:t>
      </w:r>
      <w:r w:rsidR="0024274D">
        <w:rPr>
          <w:rFonts w:ascii="Times New Roman" w:hAnsi="Times New Roman" w:cs="Times New Roman"/>
          <w:sz w:val="24"/>
          <w:szCs w:val="24"/>
          <w:lang w:val="en-US"/>
        </w:rPr>
        <w:t>2</w:t>
      </w:r>
      <w:r w:rsidR="00BB233B">
        <w:rPr>
          <w:rFonts w:ascii="Times New Roman" w:hAnsi="Times New Roman" w:cs="Times New Roman"/>
          <w:sz w:val="24"/>
          <w:szCs w:val="24"/>
          <w:lang w:val="en-US"/>
        </w:rPr>
        <w:t xml:space="preserve"> ppm f</w:t>
      </w:r>
      <w:r w:rsidRPr="00391865">
        <w:rPr>
          <w:rFonts w:ascii="Times New Roman" w:hAnsi="Times New Roman" w:cs="Times New Roman"/>
          <w:sz w:val="24"/>
          <w:szCs w:val="24"/>
          <w:lang w:val="en-US"/>
        </w:rPr>
        <w:t xml:space="preserve">or </w:t>
      </w:r>
      <w:r w:rsidR="00BB233B">
        <w:rPr>
          <w:rFonts w:ascii="Times New Roman" w:hAnsi="Times New Roman" w:cs="Times New Roman"/>
          <w:sz w:val="24"/>
          <w:szCs w:val="24"/>
          <w:lang w:val="en-US"/>
        </w:rPr>
        <w:t>the</w:t>
      </w:r>
      <w:r w:rsidRPr="00391865">
        <w:rPr>
          <w:rFonts w:ascii="Times New Roman" w:hAnsi="Times New Roman" w:cs="Times New Roman"/>
          <w:sz w:val="24"/>
          <w:szCs w:val="24"/>
          <w:lang w:val="en-US"/>
        </w:rPr>
        <w:t xml:space="preserve"> dam ppm. The second year of observation also confirmed the earlier data with slight deviations. The highest value was recorded in the month of April 2023 and July 2023 which was 8</w:t>
      </w:r>
      <w:r w:rsidR="0024274D">
        <w:rPr>
          <w:rFonts w:ascii="Times New Roman" w:hAnsi="Times New Roman" w:cs="Times New Roman"/>
          <w:sz w:val="24"/>
          <w:szCs w:val="24"/>
          <w:lang w:val="en-US"/>
        </w:rPr>
        <w:t>7</w:t>
      </w:r>
      <w:r w:rsidRPr="00391865">
        <w:rPr>
          <w:rFonts w:ascii="Times New Roman" w:hAnsi="Times New Roman" w:cs="Times New Roman"/>
          <w:sz w:val="24"/>
          <w:szCs w:val="24"/>
          <w:lang w:val="en-US"/>
        </w:rPr>
        <w:t>.6</w:t>
      </w:r>
      <w:r w:rsidR="00BB233B">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xml:space="preserve"> and 8</w:t>
      </w:r>
      <w:r w:rsidR="0024274D">
        <w:rPr>
          <w:rFonts w:ascii="Times New Roman" w:hAnsi="Times New Roman" w:cs="Times New Roman"/>
          <w:sz w:val="24"/>
          <w:szCs w:val="24"/>
          <w:lang w:val="en-US"/>
        </w:rPr>
        <w:t>2</w:t>
      </w:r>
      <w:r w:rsidRPr="00391865">
        <w:rPr>
          <w:rFonts w:ascii="Times New Roman" w:hAnsi="Times New Roman" w:cs="Times New Roman"/>
          <w:sz w:val="24"/>
          <w:szCs w:val="24"/>
          <w:lang w:val="en-US"/>
        </w:rPr>
        <w:t>.</w:t>
      </w:r>
      <w:r w:rsidR="0024274D">
        <w:rPr>
          <w:rFonts w:ascii="Times New Roman" w:hAnsi="Times New Roman" w:cs="Times New Roman"/>
          <w:sz w:val="24"/>
          <w:szCs w:val="24"/>
          <w:lang w:val="en-US"/>
        </w:rPr>
        <w:t>9</w:t>
      </w:r>
      <w:r w:rsidRPr="00391865">
        <w:rPr>
          <w:rFonts w:ascii="Times New Roman" w:hAnsi="Times New Roman" w:cs="Times New Roman"/>
          <w:sz w:val="24"/>
          <w:szCs w:val="24"/>
          <w:lang w:val="en-US"/>
        </w:rPr>
        <w:t xml:space="preserve"> ppm and the minimum value was recorded in the month of November 2022 which was 2</w:t>
      </w:r>
      <w:r w:rsidR="0024274D">
        <w:rPr>
          <w:rFonts w:ascii="Times New Roman" w:hAnsi="Times New Roman" w:cs="Times New Roman"/>
          <w:sz w:val="24"/>
          <w:szCs w:val="24"/>
          <w:lang w:val="en-US"/>
        </w:rPr>
        <w:t>5</w:t>
      </w:r>
      <w:r w:rsidRPr="00391865">
        <w:rPr>
          <w:rFonts w:ascii="Times New Roman" w:hAnsi="Times New Roman" w:cs="Times New Roman"/>
          <w:sz w:val="24"/>
          <w:szCs w:val="24"/>
          <w:lang w:val="en-US"/>
        </w:rPr>
        <w:t>.</w:t>
      </w:r>
      <w:r w:rsidR="0024274D">
        <w:rPr>
          <w:rFonts w:ascii="Times New Roman" w:hAnsi="Times New Roman" w:cs="Times New Roman"/>
          <w:sz w:val="24"/>
          <w:szCs w:val="24"/>
          <w:lang w:val="en-US"/>
        </w:rPr>
        <w:t>0</w:t>
      </w:r>
      <w:r w:rsidR="00BB233B">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xml:space="preserve"> </w:t>
      </w:r>
    </w:p>
    <w:p w:rsidR="00BE44CC" w:rsidRDefault="00BE44CC" w:rsidP="00BE44CC">
      <w:pPr>
        <w:tabs>
          <w:tab w:val="left" w:pos="127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t xml:space="preserve">        An inverse relationship with the free carbon-di-oxide with bicarbonate alkalinity was established (r = -0.94, P.0.001). The increase of free carbon-di-oxide value corresponded with the decreased value of bicarbonate alkalinity and the reverse was also observed to be true. The absence of free carbon-di-oxide showed the presence of carbonate content of lake water thereby implying an inverse relationship between them.</w:t>
      </w:r>
    </w:p>
    <w:p w:rsidR="00A032B9" w:rsidRPr="00391865" w:rsidRDefault="00A032B9" w:rsidP="00BE44CC">
      <w:pPr>
        <w:tabs>
          <w:tab w:val="left" w:pos="1272"/>
        </w:tabs>
        <w:jc w:val="both"/>
        <w:rPr>
          <w:rFonts w:ascii="Times New Roman" w:hAnsi="Times New Roman" w:cs="Times New Roman"/>
          <w:sz w:val="24"/>
          <w:szCs w:val="24"/>
          <w:lang w:val="en-US"/>
        </w:rPr>
      </w:pPr>
      <w:r>
        <w:rPr>
          <w:noProof/>
          <w:lang w:eastAsia="en-IN"/>
        </w:rPr>
        <w:drawing>
          <wp:inline distT="0" distB="0" distL="0" distR="0" wp14:anchorId="0D30C3DD" wp14:editId="22D6B4FA">
            <wp:extent cx="4792980" cy="2377440"/>
            <wp:effectExtent l="0" t="0" r="26670" b="2286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44CC" w:rsidRPr="00391865" w:rsidRDefault="00BE44CC" w:rsidP="00BE44CC">
      <w:pPr>
        <w:tabs>
          <w:tab w:val="left" w:pos="1272"/>
        </w:tabs>
        <w:jc w:val="both"/>
        <w:rPr>
          <w:rFonts w:ascii="Times New Roman" w:hAnsi="Times New Roman" w:cs="Times New Roman"/>
          <w:noProof/>
          <w:sz w:val="24"/>
          <w:szCs w:val="24"/>
          <w:lang w:eastAsia="en-IN"/>
        </w:rPr>
      </w:pPr>
      <w:r w:rsidRPr="00391865">
        <w:rPr>
          <w:rFonts w:ascii="Times New Roman" w:hAnsi="Times New Roman" w:cs="Times New Roman"/>
          <w:sz w:val="24"/>
          <w:szCs w:val="24"/>
          <w:lang w:val="en-US"/>
        </w:rPr>
        <w:tab/>
      </w:r>
      <w:r w:rsidR="0056500E">
        <w:rPr>
          <w:rFonts w:ascii="Times New Roman" w:hAnsi="Times New Roman" w:cs="Times New Roman"/>
          <w:b/>
          <w:sz w:val="28"/>
          <w:lang w:val="en-US"/>
        </w:rPr>
        <w:t>Fig (4) – Showing Total Alkalinity of Morvan Dam</w:t>
      </w:r>
    </w:p>
    <w:p w:rsidR="00BE44CC" w:rsidRPr="00391865" w:rsidRDefault="00BE44CC" w:rsidP="00BE44CC">
      <w:pPr>
        <w:tabs>
          <w:tab w:val="left" w:pos="3852"/>
        </w:tabs>
        <w:jc w:val="center"/>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                  </w:t>
      </w:r>
    </w:p>
    <w:p w:rsidR="00F3594F" w:rsidRPr="00391865" w:rsidRDefault="00BE44CC" w:rsidP="00F3594F">
      <w:pPr>
        <w:tabs>
          <w:tab w:val="left" w:pos="3852"/>
        </w:tabs>
        <w:spacing w:line="360" w:lineRule="auto"/>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5.</w:t>
      </w:r>
      <w:r w:rsidR="00F3594F">
        <w:rPr>
          <w:rFonts w:ascii="Times New Roman" w:hAnsi="Times New Roman" w:cs="Times New Roman"/>
          <w:b/>
          <w:sz w:val="24"/>
          <w:szCs w:val="24"/>
          <w:lang w:val="en-US"/>
        </w:rPr>
        <w:t xml:space="preserve"> </w:t>
      </w:r>
      <w:r w:rsidR="00F3594F" w:rsidRPr="00391865">
        <w:rPr>
          <w:rFonts w:ascii="Times New Roman" w:hAnsi="Times New Roman" w:cs="Times New Roman"/>
          <w:b/>
          <w:sz w:val="24"/>
          <w:szCs w:val="24"/>
          <w:lang w:val="en-US"/>
        </w:rPr>
        <w:t xml:space="preserve">Chloride contents </w:t>
      </w:r>
    </w:p>
    <w:p w:rsidR="00F3594F" w:rsidRDefault="00BE44CC" w:rsidP="00F3594F">
      <w:pPr>
        <w:tabs>
          <w:tab w:val="left" w:pos="3852"/>
        </w:tabs>
        <w:spacing w:line="360" w:lineRule="auto"/>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r w:rsidR="00F3594F" w:rsidRPr="00391865">
        <w:rPr>
          <w:rFonts w:ascii="Times New Roman" w:hAnsi="Times New Roman" w:cs="Times New Roman"/>
          <w:sz w:val="24"/>
          <w:szCs w:val="24"/>
          <w:lang w:val="en-US"/>
        </w:rPr>
        <w:t>The Chloride content was found to vary from a minimum of 9.</w:t>
      </w:r>
      <w:r w:rsidR="00F3594F">
        <w:rPr>
          <w:rFonts w:ascii="Times New Roman" w:hAnsi="Times New Roman" w:cs="Times New Roman"/>
          <w:sz w:val="24"/>
          <w:szCs w:val="24"/>
          <w:lang w:val="en-US"/>
        </w:rPr>
        <w:t>8</w:t>
      </w:r>
      <w:r w:rsidR="00BB233B">
        <w:rPr>
          <w:rFonts w:ascii="Times New Roman" w:hAnsi="Times New Roman" w:cs="Times New Roman"/>
          <w:sz w:val="24"/>
          <w:szCs w:val="24"/>
          <w:lang w:val="en-US"/>
        </w:rPr>
        <w:t xml:space="preserve"> ppm</w:t>
      </w:r>
      <w:r w:rsidR="00F3594F" w:rsidRPr="00391865">
        <w:rPr>
          <w:rFonts w:ascii="Times New Roman" w:hAnsi="Times New Roman" w:cs="Times New Roman"/>
          <w:sz w:val="24"/>
          <w:szCs w:val="24"/>
          <w:lang w:val="en-US"/>
        </w:rPr>
        <w:t xml:space="preserve"> in September 2021 to a maximum of 7</w:t>
      </w:r>
      <w:r w:rsidR="00F3594F">
        <w:rPr>
          <w:rFonts w:ascii="Times New Roman" w:hAnsi="Times New Roman" w:cs="Times New Roman"/>
          <w:sz w:val="24"/>
          <w:szCs w:val="24"/>
          <w:lang w:val="en-US"/>
        </w:rPr>
        <w:t>2</w:t>
      </w:r>
      <w:r w:rsidR="00F3594F" w:rsidRPr="00391865">
        <w:rPr>
          <w:rFonts w:ascii="Times New Roman" w:hAnsi="Times New Roman" w:cs="Times New Roman"/>
          <w:sz w:val="24"/>
          <w:szCs w:val="24"/>
          <w:lang w:val="en-US"/>
        </w:rPr>
        <w:t>.</w:t>
      </w:r>
      <w:r w:rsidR="00F3594F">
        <w:rPr>
          <w:rFonts w:ascii="Times New Roman" w:hAnsi="Times New Roman" w:cs="Times New Roman"/>
          <w:sz w:val="24"/>
          <w:szCs w:val="24"/>
          <w:lang w:val="en-US"/>
        </w:rPr>
        <w:t>8</w:t>
      </w:r>
      <w:r w:rsidR="00F3594F" w:rsidRPr="00391865">
        <w:rPr>
          <w:rFonts w:ascii="Times New Roman" w:hAnsi="Times New Roman" w:cs="Times New Roman"/>
          <w:sz w:val="24"/>
          <w:szCs w:val="24"/>
          <w:lang w:val="en-US"/>
        </w:rPr>
        <w:t xml:space="preserve"> </w:t>
      </w:r>
      <w:r w:rsidR="00BB233B">
        <w:rPr>
          <w:rFonts w:ascii="Times New Roman" w:hAnsi="Times New Roman" w:cs="Times New Roman"/>
          <w:sz w:val="24"/>
          <w:szCs w:val="24"/>
          <w:lang w:val="en-US"/>
        </w:rPr>
        <w:t>ppm</w:t>
      </w:r>
      <w:r w:rsidR="00F3594F" w:rsidRPr="00391865">
        <w:rPr>
          <w:rFonts w:ascii="Times New Roman" w:hAnsi="Times New Roman" w:cs="Times New Roman"/>
          <w:sz w:val="24"/>
          <w:szCs w:val="24"/>
          <w:lang w:val="en-US"/>
        </w:rPr>
        <w:t xml:space="preserve">  in July 2023.The chloride content was found to be very high during the early monsoon and rainy seasons (June, July and August) which was mainly due to washing down of organic matter from the surrounding catchment area. Afterwards there was a sharp downward trend to chloride content of the lake water up to October. From May onwards there was a steady increase of chlorides in water which may be attributed to the low water level caused by surface water evaporation due to summer beat. During the second year </w:t>
      </w:r>
      <w:r w:rsidR="00F3594F" w:rsidRPr="00391865">
        <w:rPr>
          <w:rFonts w:ascii="Times New Roman" w:hAnsi="Times New Roman" w:cs="Times New Roman"/>
          <w:sz w:val="24"/>
          <w:szCs w:val="24"/>
          <w:lang w:val="en-US"/>
        </w:rPr>
        <w:lastRenderedPageBreak/>
        <w:t>more or less similar trend was observed. A direct correlation was observed between the chloride content and bicarbonate alkalinity(r=0.98, P&gt;0.001) and also between the chloride content and pH (r=0.75, P&gt;0.001).</w:t>
      </w:r>
    </w:p>
    <w:p w:rsidR="00BE44CC" w:rsidRDefault="00BE44CC" w:rsidP="00F3594F">
      <w:pPr>
        <w:tabs>
          <w:tab w:val="left" w:pos="3852"/>
        </w:tabs>
        <w:spacing w:line="360" w:lineRule="auto"/>
        <w:rPr>
          <w:rFonts w:ascii="Times New Roman" w:hAnsi="Times New Roman" w:cs="Times New Roman"/>
          <w:b/>
          <w:sz w:val="24"/>
          <w:szCs w:val="24"/>
          <w:lang w:val="en-US"/>
        </w:rPr>
      </w:pPr>
      <w:r w:rsidRPr="00391865">
        <w:rPr>
          <w:rFonts w:ascii="Times New Roman" w:hAnsi="Times New Roman" w:cs="Times New Roman"/>
          <w:sz w:val="24"/>
          <w:szCs w:val="24"/>
          <w:lang w:val="en-US"/>
        </w:rPr>
        <w:t xml:space="preserve">        </w:t>
      </w:r>
      <w:r w:rsidR="0056500E">
        <w:rPr>
          <w:rFonts w:ascii="Times New Roman" w:hAnsi="Times New Roman" w:cs="Times New Roman"/>
          <w:noProof/>
          <w:sz w:val="24"/>
          <w:lang w:eastAsia="en-IN"/>
        </w:rPr>
        <w:drawing>
          <wp:inline distT="0" distB="0" distL="0" distR="0" wp14:anchorId="18B2F0BD" wp14:editId="23CA3D08">
            <wp:extent cx="5273040" cy="1577340"/>
            <wp:effectExtent l="0" t="0" r="3810" b="381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500E" w:rsidRDefault="0056500E" w:rsidP="0056500E">
      <w:pPr>
        <w:tabs>
          <w:tab w:val="left" w:pos="3852"/>
        </w:tabs>
        <w:spacing w:line="360" w:lineRule="auto"/>
        <w:ind w:left="1418"/>
        <w:jc w:val="center"/>
        <w:rPr>
          <w:rFonts w:ascii="Times New Roman" w:hAnsi="Times New Roman" w:cs="Times New Roman"/>
          <w:b/>
          <w:sz w:val="28"/>
          <w:lang w:val="en-US"/>
        </w:rPr>
      </w:pPr>
      <w:r w:rsidRPr="00211830">
        <w:rPr>
          <w:rFonts w:ascii="Times New Roman" w:hAnsi="Times New Roman" w:cs="Times New Roman"/>
          <w:b/>
          <w:sz w:val="28"/>
          <w:lang w:val="en-US"/>
        </w:rPr>
        <w:t xml:space="preserve">Fig </w:t>
      </w:r>
      <w:r>
        <w:rPr>
          <w:rFonts w:ascii="Times New Roman" w:hAnsi="Times New Roman" w:cs="Times New Roman"/>
          <w:b/>
          <w:sz w:val="28"/>
          <w:lang w:val="en-US"/>
        </w:rPr>
        <w:t>(5)</w:t>
      </w:r>
      <w:r w:rsidRPr="00211830">
        <w:rPr>
          <w:rFonts w:ascii="Times New Roman" w:hAnsi="Times New Roman" w:cs="Times New Roman"/>
          <w:b/>
          <w:sz w:val="28"/>
          <w:lang w:val="en-US"/>
        </w:rPr>
        <w:t>–</w:t>
      </w:r>
      <w:r>
        <w:rPr>
          <w:rFonts w:ascii="Times New Roman" w:hAnsi="Times New Roman" w:cs="Times New Roman"/>
          <w:b/>
          <w:sz w:val="28"/>
          <w:lang w:val="en-US"/>
        </w:rPr>
        <w:t>Chloride Content</w:t>
      </w:r>
      <w:r w:rsidRPr="00211830">
        <w:rPr>
          <w:rFonts w:ascii="Times New Roman" w:hAnsi="Times New Roman" w:cs="Times New Roman"/>
          <w:b/>
          <w:sz w:val="28"/>
          <w:lang w:val="en-US"/>
        </w:rPr>
        <w:t xml:space="preserve"> of </w:t>
      </w:r>
      <w:r>
        <w:rPr>
          <w:rFonts w:ascii="Times New Roman" w:hAnsi="Times New Roman" w:cs="Times New Roman"/>
          <w:b/>
          <w:sz w:val="28"/>
          <w:lang w:val="en-US"/>
        </w:rPr>
        <w:t>Morgan</w:t>
      </w:r>
      <w:r w:rsidRPr="00211830">
        <w:rPr>
          <w:rFonts w:ascii="Times New Roman" w:hAnsi="Times New Roman" w:cs="Times New Roman"/>
          <w:b/>
          <w:sz w:val="28"/>
          <w:lang w:val="en-US"/>
        </w:rPr>
        <w:t xml:space="preserve"> Dam</w:t>
      </w:r>
    </w:p>
    <w:p w:rsidR="00F9707B" w:rsidRDefault="00F9707B" w:rsidP="0056500E">
      <w:pPr>
        <w:tabs>
          <w:tab w:val="left" w:pos="3852"/>
        </w:tabs>
        <w:spacing w:line="360" w:lineRule="auto"/>
        <w:ind w:left="1418"/>
        <w:jc w:val="center"/>
        <w:rPr>
          <w:rFonts w:ascii="Times New Roman" w:hAnsi="Times New Roman" w:cs="Times New Roman"/>
          <w:b/>
          <w:sz w:val="28"/>
          <w:lang w:val="en-US"/>
        </w:rPr>
      </w:pP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6. Sulphate contents </w:t>
      </w:r>
    </w:p>
    <w:p w:rsidR="00BE44CC" w:rsidRDefault="00BE44CC" w:rsidP="00F9707B">
      <w:pPr>
        <w:tabs>
          <w:tab w:val="left" w:pos="3852"/>
        </w:tabs>
        <w:spacing w:line="360" w:lineRule="auto"/>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r w:rsidRPr="00391865">
        <w:rPr>
          <w:rFonts w:ascii="Times New Roman" w:hAnsi="Times New Roman" w:cs="Times New Roman"/>
          <w:sz w:val="24"/>
          <w:szCs w:val="24"/>
          <w:lang w:val="en-US"/>
        </w:rPr>
        <w:t>Sulphate was chiefly contributed from biotic sources and its concentration varied between a minimum of 1</w:t>
      </w:r>
      <w:r w:rsidR="00871F54">
        <w:rPr>
          <w:rFonts w:ascii="Times New Roman" w:hAnsi="Times New Roman" w:cs="Times New Roman"/>
          <w:sz w:val="24"/>
          <w:szCs w:val="24"/>
          <w:lang w:val="en-US"/>
        </w:rPr>
        <w:t>7</w:t>
      </w:r>
      <w:r w:rsidRPr="00391865">
        <w:rPr>
          <w:rFonts w:ascii="Times New Roman" w:hAnsi="Times New Roman" w:cs="Times New Roman"/>
          <w:sz w:val="24"/>
          <w:szCs w:val="24"/>
          <w:lang w:val="en-US"/>
        </w:rPr>
        <w:t>.</w:t>
      </w:r>
      <w:r w:rsidR="00871F54">
        <w:rPr>
          <w:rFonts w:ascii="Times New Roman" w:hAnsi="Times New Roman" w:cs="Times New Roman"/>
          <w:sz w:val="24"/>
          <w:szCs w:val="24"/>
          <w:lang w:val="en-US"/>
        </w:rPr>
        <w:t>5</w:t>
      </w:r>
      <w:r w:rsidRPr="00391865">
        <w:rPr>
          <w:rFonts w:ascii="Times New Roman" w:hAnsi="Times New Roman" w:cs="Times New Roman"/>
          <w:sz w:val="24"/>
          <w:szCs w:val="24"/>
          <w:lang w:val="en-US"/>
        </w:rPr>
        <w:t>0</w:t>
      </w:r>
      <w:r w:rsidR="00F9707B">
        <w:rPr>
          <w:rFonts w:ascii="Times New Roman" w:hAnsi="Times New Roman" w:cs="Times New Roman"/>
          <w:sz w:val="24"/>
          <w:szCs w:val="24"/>
          <w:lang w:val="en-US"/>
        </w:rPr>
        <w:t xml:space="preserve"> </w:t>
      </w:r>
      <w:r w:rsidR="00F9707B" w:rsidRPr="00391865">
        <w:rPr>
          <w:rFonts w:ascii="Times New Roman" w:hAnsi="Times New Roman" w:cs="Times New Roman"/>
          <w:sz w:val="24"/>
          <w:szCs w:val="24"/>
          <w:lang w:val="en-US"/>
        </w:rPr>
        <w:t>ppm</w:t>
      </w:r>
      <w:r w:rsidR="00475CB4">
        <w:rPr>
          <w:rFonts w:ascii="Times New Roman" w:hAnsi="Times New Roman" w:cs="Times New Roman"/>
          <w:sz w:val="24"/>
          <w:szCs w:val="24"/>
          <w:lang w:val="en-US"/>
        </w:rPr>
        <w:t>,</w:t>
      </w:r>
      <w:r w:rsidRPr="00391865">
        <w:rPr>
          <w:rFonts w:ascii="Times New Roman" w:hAnsi="Times New Roman" w:cs="Times New Roman"/>
          <w:sz w:val="24"/>
          <w:szCs w:val="24"/>
          <w:lang w:val="en-US"/>
        </w:rPr>
        <w:t xml:space="preserve"> to a maximum of 36.</w:t>
      </w:r>
      <w:r w:rsidR="00871F54">
        <w:rPr>
          <w:rFonts w:ascii="Times New Roman" w:hAnsi="Times New Roman" w:cs="Times New Roman"/>
          <w:sz w:val="24"/>
          <w:szCs w:val="24"/>
          <w:lang w:val="en-US"/>
        </w:rPr>
        <w:t>35</w:t>
      </w:r>
      <w:r w:rsidRPr="00391865">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The fluctuation of sulphate content of the lake water showed a high value in the rainy as well as colder months throughout the period of observation. In warmer months, the sulphate content value was observed to decline to the lowest in the month of April during all the years of investigation (</w:t>
      </w:r>
      <w:r w:rsidR="00871F54">
        <w:rPr>
          <w:rFonts w:ascii="Times New Roman" w:hAnsi="Times New Roman" w:cs="Times New Roman"/>
          <w:sz w:val="24"/>
          <w:szCs w:val="24"/>
          <w:lang w:val="en-US"/>
        </w:rPr>
        <w:t>20</w:t>
      </w:r>
      <w:r w:rsidRPr="00391865">
        <w:rPr>
          <w:rFonts w:ascii="Times New Roman" w:hAnsi="Times New Roman" w:cs="Times New Roman"/>
          <w:sz w:val="24"/>
          <w:szCs w:val="24"/>
          <w:lang w:val="en-US"/>
        </w:rPr>
        <w:t>.</w:t>
      </w:r>
      <w:r w:rsidR="00871F54">
        <w:rPr>
          <w:rFonts w:ascii="Times New Roman" w:hAnsi="Times New Roman" w:cs="Times New Roman"/>
          <w:sz w:val="24"/>
          <w:szCs w:val="24"/>
          <w:lang w:val="en-US"/>
        </w:rPr>
        <w:t xml:space="preserve">60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,1</w:t>
      </w:r>
      <w:r w:rsidR="00871F54">
        <w:rPr>
          <w:rFonts w:ascii="Times New Roman" w:hAnsi="Times New Roman" w:cs="Times New Roman"/>
          <w:sz w:val="24"/>
          <w:szCs w:val="24"/>
          <w:lang w:val="en-US"/>
        </w:rPr>
        <w:t>8</w:t>
      </w:r>
      <w:r w:rsidRPr="00391865">
        <w:rPr>
          <w:rFonts w:ascii="Times New Roman" w:hAnsi="Times New Roman" w:cs="Times New Roman"/>
          <w:sz w:val="24"/>
          <w:szCs w:val="24"/>
          <w:lang w:val="en-US"/>
        </w:rPr>
        <w:t>.</w:t>
      </w:r>
      <w:r w:rsidR="00871F54">
        <w:rPr>
          <w:rFonts w:ascii="Times New Roman" w:hAnsi="Times New Roman" w:cs="Times New Roman"/>
          <w:sz w:val="24"/>
          <w:szCs w:val="24"/>
          <w:lang w:val="en-US"/>
        </w:rPr>
        <w:t>60</w:t>
      </w:r>
      <w:r w:rsidRPr="00391865">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respectively. The decrease and increase of the sulphate content of lake water was not observed to be in any relation with the other abiotic components of the lake. </w:t>
      </w:r>
    </w:p>
    <w:p w:rsidR="0056500E" w:rsidRPr="00391865" w:rsidRDefault="0056500E" w:rsidP="00BE44CC">
      <w:pPr>
        <w:tabs>
          <w:tab w:val="left" w:pos="3852"/>
        </w:tabs>
        <w:jc w:val="both"/>
        <w:rPr>
          <w:rFonts w:ascii="Times New Roman" w:hAnsi="Times New Roman" w:cs="Times New Roman"/>
          <w:sz w:val="24"/>
          <w:szCs w:val="24"/>
          <w:lang w:val="en-US"/>
        </w:rPr>
      </w:pPr>
      <w:r>
        <w:rPr>
          <w:rFonts w:ascii="Times New Roman" w:hAnsi="Times New Roman" w:cs="Times New Roman"/>
          <w:noProof/>
          <w:sz w:val="24"/>
          <w:lang w:eastAsia="en-IN"/>
        </w:rPr>
        <w:drawing>
          <wp:inline distT="0" distB="0" distL="0" distR="0" wp14:anchorId="7BF0EEA3" wp14:editId="64FFCE83">
            <wp:extent cx="4762500" cy="2133600"/>
            <wp:effectExtent l="0" t="0" r="19050" b="19050"/>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500E" w:rsidRDefault="0056500E" w:rsidP="0056500E">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(6)</w:t>
      </w:r>
      <w:r w:rsidRPr="00211830">
        <w:rPr>
          <w:rFonts w:ascii="Times New Roman" w:hAnsi="Times New Roman" w:cs="Times New Roman"/>
          <w:b/>
          <w:sz w:val="28"/>
        </w:rPr>
        <w:t>–</w:t>
      </w:r>
      <w:r w:rsidRPr="008203C8">
        <w:rPr>
          <w:rFonts w:ascii="Times New Roman" w:hAnsi="Times New Roman" w:cs="Times New Roman"/>
          <w:b/>
          <w:sz w:val="28"/>
        </w:rPr>
        <w:t xml:space="preserve"> </w:t>
      </w:r>
      <w:r>
        <w:rPr>
          <w:rFonts w:ascii="Times New Roman" w:hAnsi="Times New Roman" w:cs="Times New Roman"/>
          <w:b/>
          <w:sz w:val="28"/>
        </w:rPr>
        <w:t>Sulphate Content of Morvan</w:t>
      </w:r>
      <w:r w:rsidRPr="00211830">
        <w:rPr>
          <w:rFonts w:ascii="Times New Roman" w:hAnsi="Times New Roman" w:cs="Times New Roman"/>
          <w:b/>
          <w:sz w:val="28"/>
        </w:rPr>
        <w:t xml:space="preserve"> Dam</w:t>
      </w: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lastRenderedPageBreak/>
        <w:t xml:space="preserve">7. Inorganic Phosphate contents </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t xml:space="preserve">        The present study revealed a distinct seasonal, unimodal fluctuation of phosphate content in the lakes water. In September 2021 the phosphate content value was 0.6</w:t>
      </w:r>
      <w:r w:rsidR="00871F54">
        <w:rPr>
          <w:rFonts w:ascii="Times New Roman" w:hAnsi="Times New Roman" w:cs="Times New Roman"/>
          <w:sz w:val="24"/>
          <w:szCs w:val="24"/>
          <w:lang w:val="en-US"/>
        </w:rPr>
        <w:t>4</w:t>
      </w:r>
      <w:r w:rsidRPr="00391865">
        <w:rPr>
          <w:rFonts w:ascii="Times New Roman" w:hAnsi="Times New Roman" w:cs="Times New Roman"/>
          <w:sz w:val="24"/>
          <w:szCs w:val="24"/>
          <w:lang w:val="en-US"/>
        </w:rPr>
        <w:t>0</w:t>
      </w:r>
      <w:r w:rsidR="00871F54">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In the following month it </w:t>
      </w:r>
      <w:r w:rsidR="00C718C8" w:rsidRPr="00391865">
        <w:rPr>
          <w:rFonts w:ascii="Times New Roman" w:hAnsi="Times New Roman" w:cs="Times New Roman"/>
          <w:sz w:val="24"/>
          <w:szCs w:val="24"/>
          <w:lang w:val="en-US"/>
        </w:rPr>
        <w:t>decreased</w:t>
      </w:r>
      <w:r w:rsidRPr="00391865">
        <w:rPr>
          <w:rFonts w:ascii="Times New Roman" w:hAnsi="Times New Roman" w:cs="Times New Roman"/>
          <w:sz w:val="24"/>
          <w:szCs w:val="24"/>
          <w:lang w:val="en-US"/>
        </w:rPr>
        <w:t xml:space="preserve"> to 0.4</w:t>
      </w:r>
      <w:r w:rsidR="00871F54">
        <w:rPr>
          <w:rFonts w:ascii="Times New Roman" w:hAnsi="Times New Roman" w:cs="Times New Roman"/>
          <w:sz w:val="24"/>
          <w:szCs w:val="24"/>
          <w:lang w:val="en-US"/>
        </w:rPr>
        <w:t xml:space="preserve">86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xml:space="preserve">, in September 2021 which was </w:t>
      </w:r>
      <w:r w:rsidR="00871F54">
        <w:rPr>
          <w:rFonts w:ascii="Times New Roman" w:hAnsi="Times New Roman" w:cs="Times New Roman"/>
          <w:sz w:val="24"/>
          <w:szCs w:val="24"/>
          <w:lang w:val="en-US"/>
        </w:rPr>
        <w:t>subsequent</w:t>
      </w:r>
      <w:r w:rsidRPr="00391865">
        <w:rPr>
          <w:rFonts w:ascii="Times New Roman" w:hAnsi="Times New Roman" w:cs="Times New Roman"/>
          <w:sz w:val="24"/>
          <w:szCs w:val="24"/>
          <w:lang w:val="en-US"/>
        </w:rPr>
        <w:t>tly observed to be the peak for the phosphate values of the first year of investigation. From September onwards, a gradual decrease of phosphate value was observed till it reached the minimum during the month of August 2022 (0.10</w:t>
      </w:r>
      <w:r w:rsidR="00871F54">
        <w:rPr>
          <w:rFonts w:ascii="Times New Roman" w:hAnsi="Times New Roman" w:cs="Times New Roman"/>
          <w:sz w:val="24"/>
          <w:szCs w:val="24"/>
          <w:lang w:val="en-US"/>
        </w:rPr>
        <w:t>9</w:t>
      </w:r>
      <w:r w:rsidRPr="00391865">
        <w:rPr>
          <w:rFonts w:ascii="Times New Roman" w:hAnsi="Times New Roman" w:cs="Times New Roman"/>
          <w:sz w:val="24"/>
          <w:szCs w:val="24"/>
          <w:lang w:val="en-US"/>
        </w:rPr>
        <w:t xml:space="preserve"> </w:t>
      </w:r>
      <w:r w:rsidR="00871F54" w:rsidRPr="00391865">
        <w:rPr>
          <w:rFonts w:ascii="Times New Roman" w:hAnsi="Times New Roman" w:cs="Times New Roman"/>
          <w:sz w:val="24"/>
          <w:szCs w:val="24"/>
          <w:lang w:val="en-US"/>
        </w:rPr>
        <w:t>ppm</w:t>
      </w:r>
      <w:r w:rsidRPr="00391865">
        <w:rPr>
          <w:rFonts w:ascii="Times New Roman" w:hAnsi="Times New Roman" w:cs="Times New Roman"/>
          <w:sz w:val="24"/>
          <w:szCs w:val="24"/>
          <w:lang w:val="en-US"/>
        </w:rPr>
        <w:t>). In the succeeding year, the value fluctuated in the same way, but the peak was observed during the month of December, which was incidentally the highest value observed ever (0.52</w:t>
      </w:r>
      <w:r w:rsidR="00871F54">
        <w:rPr>
          <w:rFonts w:ascii="Times New Roman" w:hAnsi="Times New Roman" w:cs="Times New Roman"/>
          <w:sz w:val="24"/>
          <w:szCs w:val="24"/>
          <w:lang w:val="en-US"/>
        </w:rPr>
        <w:t>3 ppm</w:t>
      </w:r>
      <w:r w:rsidRPr="00391865">
        <w:rPr>
          <w:rFonts w:ascii="Times New Roman" w:hAnsi="Times New Roman" w:cs="Times New Roman"/>
          <w:sz w:val="24"/>
          <w:szCs w:val="24"/>
          <w:lang w:val="en-US"/>
        </w:rPr>
        <w:t>). The minimum value for the second year was observed to be during the month of August, 2023(0.1</w:t>
      </w:r>
      <w:r w:rsidR="00871F54">
        <w:rPr>
          <w:rFonts w:ascii="Times New Roman" w:hAnsi="Times New Roman" w:cs="Times New Roman"/>
          <w:sz w:val="24"/>
          <w:szCs w:val="24"/>
          <w:lang w:val="en-US"/>
        </w:rPr>
        <w:t>64 ppm</w:t>
      </w:r>
      <w:r w:rsidRPr="00391865">
        <w:rPr>
          <w:rFonts w:ascii="Times New Roman" w:hAnsi="Times New Roman" w:cs="Times New Roman"/>
          <w:sz w:val="24"/>
          <w:szCs w:val="24"/>
          <w:lang w:val="en-US"/>
        </w:rPr>
        <w:t xml:space="preserve">) which was again the lowest of all. </w:t>
      </w:r>
    </w:p>
    <w:p w:rsidR="00BE44CC" w:rsidRDefault="00BE44CC" w:rsidP="00BE44CC">
      <w:pPr>
        <w:tabs>
          <w:tab w:val="left" w:pos="3852"/>
        </w:tabs>
        <w:jc w:val="both"/>
        <w:rPr>
          <w:rFonts w:ascii="Times New Roman" w:hAnsi="Times New Roman" w:cs="Times New Roman"/>
          <w:sz w:val="24"/>
          <w:szCs w:val="24"/>
          <w:lang w:val="en-US"/>
        </w:rPr>
      </w:pPr>
    </w:p>
    <w:p w:rsidR="0056500E" w:rsidRDefault="0056500E" w:rsidP="00BE44CC">
      <w:pPr>
        <w:tabs>
          <w:tab w:val="left" w:pos="3852"/>
        </w:tabs>
        <w:jc w:val="both"/>
        <w:rPr>
          <w:rFonts w:ascii="Times New Roman" w:hAnsi="Times New Roman" w:cs="Times New Roman"/>
          <w:sz w:val="24"/>
          <w:szCs w:val="24"/>
          <w:lang w:val="en-US"/>
        </w:rPr>
      </w:pPr>
    </w:p>
    <w:p w:rsidR="0056500E" w:rsidRDefault="0056500E" w:rsidP="00BE44CC">
      <w:pPr>
        <w:tabs>
          <w:tab w:val="left" w:pos="3852"/>
        </w:tabs>
        <w:jc w:val="both"/>
        <w:rPr>
          <w:rFonts w:ascii="Times New Roman" w:hAnsi="Times New Roman" w:cs="Times New Roman"/>
          <w:sz w:val="24"/>
          <w:szCs w:val="24"/>
          <w:lang w:val="en-US"/>
        </w:rPr>
      </w:pPr>
    </w:p>
    <w:p w:rsidR="0056500E" w:rsidRDefault="0056500E" w:rsidP="00BE44CC">
      <w:pPr>
        <w:tabs>
          <w:tab w:val="left" w:pos="3852"/>
        </w:tabs>
        <w:jc w:val="both"/>
        <w:rPr>
          <w:rFonts w:ascii="Times New Roman" w:hAnsi="Times New Roman" w:cs="Times New Roman"/>
          <w:sz w:val="24"/>
          <w:szCs w:val="24"/>
          <w:lang w:val="en-US"/>
        </w:rPr>
      </w:pPr>
    </w:p>
    <w:p w:rsidR="0056500E" w:rsidRPr="00391865" w:rsidRDefault="0056500E" w:rsidP="00BE44CC">
      <w:pPr>
        <w:tabs>
          <w:tab w:val="left" w:pos="3852"/>
        </w:tabs>
        <w:jc w:val="both"/>
        <w:rPr>
          <w:rFonts w:ascii="Times New Roman" w:hAnsi="Times New Roman" w:cs="Times New Roman"/>
          <w:sz w:val="24"/>
          <w:szCs w:val="24"/>
          <w:lang w:val="en-US"/>
        </w:rPr>
      </w:pPr>
      <w:r>
        <w:rPr>
          <w:rFonts w:ascii="Times New Roman" w:hAnsi="Times New Roman" w:cs="Times New Roman"/>
          <w:noProof/>
          <w:sz w:val="24"/>
          <w:lang w:eastAsia="en-IN"/>
        </w:rPr>
        <w:drawing>
          <wp:inline distT="0" distB="0" distL="0" distR="0" wp14:anchorId="1E179C0B" wp14:editId="0ACA0A45">
            <wp:extent cx="5448300" cy="2377440"/>
            <wp:effectExtent l="0" t="0" r="19050" b="2286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500E" w:rsidRDefault="0056500E" w:rsidP="0056500E">
      <w:pPr>
        <w:pStyle w:val="ListParagraph"/>
        <w:ind w:left="1429"/>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(7)</w:t>
      </w:r>
      <w:r w:rsidRPr="00211830">
        <w:rPr>
          <w:rFonts w:ascii="Times New Roman" w:hAnsi="Times New Roman" w:cs="Times New Roman"/>
          <w:b/>
          <w:sz w:val="28"/>
        </w:rPr>
        <w:t>–</w:t>
      </w:r>
      <w:r w:rsidRPr="008203C8">
        <w:rPr>
          <w:rFonts w:ascii="Times New Roman" w:hAnsi="Times New Roman" w:cs="Times New Roman"/>
          <w:b/>
          <w:sz w:val="28"/>
        </w:rPr>
        <w:t xml:space="preserve"> </w:t>
      </w:r>
      <w:r>
        <w:rPr>
          <w:rFonts w:ascii="Times New Roman" w:hAnsi="Times New Roman" w:cs="Times New Roman"/>
          <w:b/>
          <w:sz w:val="28"/>
        </w:rPr>
        <w:t>Phosphate Content of Morvan</w:t>
      </w:r>
      <w:r w:rsidRPr="00211830">
        <w:rPr>
          <w:rFonts w:ascii="Times New Roman" w:hAnsi="Times New Roman" w:cs="Times New Roman"/>
          <w:b/>
          <w:sz w:val="28"/>
        </w:rPr>
        <w:t xml:space="preserve"> Dam</w:t>
      </w:r>
    </w:p>
    <w:p w:rsidR="00BE44CC" w:rsidRPr="00391865" w:rsidRDefault="00BE44CC" w:rsidP="00BE44CC">
      <w:pPr>
        <w:tabs>
          <w:tab w:val="left" w:pos="3852"/>
        </w:tabs>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8. Organic matter content </w:t>
      </w:r>
    </w:p>
    <w:p w:rsidR="00BE44CC" w:rsidRPr="00391865" w:rsidRDefault="00BE44CC" w:rsidP="00BE44CC">
      <w:pPr>
        <w:tabs>
          <w:tab w:val="left" w:pos="3852"/>
        </w:tabs>
        <w:spacing w:line="360" w:lineRule="auto"/>
        <w:jc w:val="both"/>
        <w:rPr>
          <w:rFonts w:ascii="Times New Roman" w:hAnsi="Times New Roman" w:cs="Times New Roman"/>
          <w:noProof/>
          <w:sz w:val="24"/>
          <w:szCs w:val="24"/>
          <w:lang w:eastAsia="en-IN"/>
        </w:rPr>
      </w:pPr>
      <w:r w:rsidRPr="00391865">
        <w:rPr>
          <w:rFonts w:ascii="Times New Roman" w:hAnsi="Times New Roman" w:cs="Times New Roman"/>
          <w:sz w:val="24"/>
          <w:szCs w:val="24"/>
          <w:lang w:val="en-US"/>
        </w:rPr>
        <w:t xml:space="preserve">        The organic matter content of the lake was found to be 0.6</w:t>
      </w:r>
      <w:r w:rsidR="002139D9">
        <w:rPr>
          <w:rFonts w:ascii="Times New Roman" w:hAnsi="Times New Roman" w:cs="Times New Roman"/>
          <w:sz w:val="24"/>
          <w:szCs w:val="24"/>
          <w:lang w:val="en-US"/>
        </w:rPr>
        <w:t>4</w:t>
      </w:r>
      <w:r w:rsidRPr="00391865">
        <w:rPr>
          <w:rFonts w:ascii="Times New Roman" w:hAnsi="Times New Roman" w:cs="Times New Roman"/>
          <w:sz w:val="24"/>
          <w:szCs w:val="24"/>
          <w:lang w:val="en-US"/>
        </w:rPr>
        <w:t>0</w:t>
      </w:r>
      <w:r w:rsidR="002139D9">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xml:space="preserve"> in the month of September, 2021 which gradually decreased then onwards and the minimum value of 0.1</w:t>
      </w:r>
      <w:r w:rsidR="002139D9">
        <w:rPr>
          <w:rFonts w:ascii="Times New Roman" w:hAnsi="Times New Roman" w:cs="Times New Roman"/>
          <w:sz w:val="24"/>
          <w:szCs w:val="24"/>
          <w:lang w:val="en-US"/>
        </w:rPr>
        <w:t xml:space="preserve">49 ppm </w:t>
      </w:r>
      <w:r w:rsidRPr="00391865">
        <w:rPr>
          <w:rFonts w:ascii="Times New Roman" w:hAnsi="Times New Roman" w:cs="Times New Roman"/>
          <w:sz w:val="24"/>
          <w:szCs w:val="24"/>
          <w:lang w:val="en-US"/>
        </w:rPr>
        <w:t>was reached in December 2021. This abiotic component gradually increased as the monsoon approached and the highest value of 0.6</w:t>
      </w:r>
      <w:r w:rsidR="002139D9">
        <w:rPr>
          <w:rFonts w:ascii="Times New Roman" w:hAnsi="Times New Roman" w:cs="Times New Roman"/>
          <w:sz w:val="24"/>
          <w:szCs w:val="24"/>
          <w:lang w:val="en-US"/>
        </w:rPr>
        <w:t>3</w:t>
      </w:r>
      <w:r w:rsidRPr="00391865">
        <w:rPr>
          <w:rFonts w:ascii="Times New Roman" w:hAnsi="Times New Roman" w:cs="Times New Roman"/>
          <w:sz w:val="24"/>
          <w:szCs w:val="24"/>
          <w:lang w:val="en-US"/>
        </w:rPr>
        <w:t>0</w:t>
      </w:r>
      <w:r w:rsidR="002139D9">
        <w:rPr>
          <w:rFonts w:ascii="Times New Roman" w:hAnsi="Times New Roman" w:cs="Times New Roman"/>
          <w:sz w:val="24"/>
          <w:szCs w:val="24"/>
          <w:lang w:val="en-US"/>
        </w:rPr>
        <w:t xml:space="preserve"> ppm </w:t>
      </w:r>
      <w:r w:rsidRPr="00391865">
        <w:rPr>
          <w:rFonts w:ascii="Times New Roman" w:hAnsi="Times New Roman" w:cs="Times New Roman"/>
          <w:sz w:val="24"/>
          <w:szCs w:val="24"/>
          <w:lang w:val="en-US"/>
        </w:rPr>
        <w:t>was obtained during the month of heavy shower (June 2022). The post monsoon period also showed the increased value. The amount of organic matter content decreased in the lake water in early winter months. The second year of study also revealed the same pattern, where the highest value was in the month of June 2023</w:t>
      </w:r>
      <w:r w:rsidR="002139D9">
        <w:rPr>
          <w:rFonts w:ascii="Times New Roman" w:hAnsi="Times New Roman" w:cs="Times New Roman"/>
          <w:sz w:val="24"/>
          <w:szCs w:val="24"/>
          <w:lang w:val="en-US"/>
        </w:rPr>
        <w:t xml:space="preserve">, </w:t>
      </w:r>
      <w:r w:rsidRPr="00391865">
        <w:rPr>
          <w:rFonts w:ascii="Times New Roman" w:hAnsi="Times New Roman" w:cs="Times New Roman"/>
          <w:sz w:val="24"/>
          <w:szCs w:val="24"/>
          <w:lang w:val="en-US"/>
        </w:rPr>
        <w:t>0.61</w:t>
      </w:r>
      <w:r w:rsidR="002139D9">
        <w:rPr>
          <w:rFonts w:ascii="Times New Roman" w:hAnsi="Times New Roman" w:cs="Times New Roman"/>
          <w:sz w:val="24"/>
          <w:szCs w:val="24"/>
          <w:lang w:val="en-US"/>
        </w:rPr>
        <w:t>5</w:t>
      </w:r>
      <w:r w:rsidRPr="00391865">
        <w:rPr>
          <w:rFonts w:ascii="Times New Roman" w:hAnsi="Times New Roman" w:cs="Times New Roman"/>
          <w:sz w:val="24"/>
          <w:szCs w:val="24"/>
          <w:lang w:val="en-US"/>
        </w:rPr>
        <w:t xml:space="preserve"> </w:t>
      </w:r>
      <w:r w:rsidR="002139D9">
        <w:rPr>
          <w:rFonts w:ascii="Times New Roman" w:hAnsi="Times New Roman" w:cs="Times New Roman"/>
          <w:sz w:val="24"/>
          <w:szCs w:val="24"/>
          <w:lang w:val="en-US"/>
        </w:rPr>
        <w:t xml:space="preserve">ppm </w:t>
      </w:r>
      <w:r w:rsidRPr="00391865">
        <w:rPr>
          <w:rFonts w:ascii="Times New Roman" w:hAnsi="Times New Roman" w:cs="Times New Roman"/>
          <w:sz w:val="24"/>
          <w:szCs w:val="24"/>
          <w:lang w:val="en-US"/>
        </w:rPr>
        <w:t>and lowest value was du</w:t>
      </w:r>
      <w:r w:rsidR="002139D9">
        <w:rPr>
          <w:rFonts w:ascii="Times New Roman" w:hAnsi="Times New Roman" w:cs="Times New Roman"/>
          <w:sz w:val="24"/>
          <w:szCs w:val="24"/>
          <w:lang w:val="en-US"/>
        </w:rPr>
        <w:t xml:space="preserve">ring the month of January 2022, </w:t>
      </w:r>
      <w:r w:rsidRPr="00391865">
        <w:rPr>
          <w:rFonts w:ascii="Times New Roman" w:hAnsi="Times New Roman" w:cs="Times New Roman"/>
          <w:sz w:val="24"/>
          <w:szCs w:val="24"/>
          <w:lang w:val="en-US"/>
        </w:rPr>
        <w:lastRenderedPageBreak/>
        <w:t>0.18</w:t>
      </w:r>
      <w:r w:rsidR="002139D9">
        <w:rPr>
          <w:rFonts w:ascii="Times New Roman" w:hAnsi="Times New Roman" w:cs="Times New Roman"/>
          <w:sz w:val="24"/>
          <w:szCs w:val="24"/>
          <w:lang w:val="en-US"/>
        </w:rPr>
        <w:t>2 ppm.</w:t>
      </w:r>
      <w:r w:rsidRPr="00391865">
        <w:rPr>
          <w:rFonts w:ascii="Times New Roman" w:hAnsi="Times New Roman" w:cs="Times New Roman"/>
          <w:sz w:val="24"/>
          <w:szCs w:val="24"/>
          <w:lang w:val="en-US"/>
        </w:rPr>
        <w:t xml:space="preserve">  A pronounced increase in the organic matter content of the lake water was observed in the rainy months. This may be due to the influx of organic matter from the surrounding catchment area along with rain waters into the lake. The decay of diatoms and phytoplankton also contribute to the increase of organic matter content in water.</w:t>
      </w:r>
      <w:r w:rsidRPr="00391865">
        <w:rPr>
          <w:rFonts w:ascii="Times New Roman" w:hAnsi="Times New Roman" w:cs="Times New Roman"/>
          <w:noProof/>
          <w:sz w:val="24"/>
          <w:szCs w:val="24"/>
          <w:lang w:eastAsia="en-IN"/>
        </w:rPr>
        <w:t xml:space="preserve"> </w:t>
      </w:r>
    </w:p>
    <w:p w:rsidR="00BE44CC" w:rsidRPr="00391865" w:rsidRDefault="00C13B21" w:rsidP="00BE44CC">
      <w:pPr>
        <w:pStyle w:val="ListParagraph"/>
        <w:ind w:left="1429"/>
        <w:jc w:val="center"/>
        <w:rPr>
          <w:rFonts w:ascii="Times New Roman" w:hAnsi="Times New Roman" w:cs="Times New Roman"/>
          <w:b/>
          <w:sz w:val="24"/>
          <w:szCs w:val="24"/>
        </w:rPr>
      </w:pPr>
      <w:r>
        <w:rPr>
          <w:rFonts w:ascii="Times New Roman" w:hAnsi="Times New Roman" w:cs="Times New Roman"/>
          <w:noProof/>
          <w:sz w:val="24"/>
          <w:lang w:val="en-IN" w:eastAsia="en-IN"/>
        </w:rPr>
        <w:drawing>
          <wp:inline distT="0" distB="0" distL="0" distR="0" wp14:anchorId="796058AA" wp14:editId="00365FFB">
            <wp:extent cx="5684520" cy="2263140"/>
            <wp:effectExtent l="0" t="0" r="11430" b="22860"/>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13B21"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(8)</w:t>
      </w:r>
      <w:r w:rsidRPr="00211830">
        <w:rPr>
          <w:rFonts w:ascii="Times New Roman" w:hAnsi="Times New Roman" w:cs="Times New Roman"/>
          <w:b/>
          <w:sz w:val="28"/>
        </w:rPr>
        <w:t>–</w:t>
      </w:r>
      <w:r w:rsidRPr="008203C8">
        <w:rPr>
          <w:rFonts w:ascii="Times New Roman" w:hAnsi="Times New Roman" w:cs="Times New Roman"/>
          <w:b/>
          <w:sz w:val="28"/>
        </w:rPr>
        <w:t xml:space="preserve"> </w:t>
      </w:r>
      <w:r>
        <w:rPr>
          <w:rFonts w:ascii="Times New Roman" w:hAnsi="Times New Roman" w:cs="Times New Roman"/>
          <w:b/>
          <w:sz w:val="28"/>
        </w:rPr>
        <w:t>Organic Matter Content of Morvan</w:t>
      </w:r>
      <w:r w:rsidRPr="00211830">
        <w:rPr>
          <w:rFonts w:ascii="Times New Roman" w:hAnsi="Times New Roman" w:cs="Times New Roman"/>
          <w:b/>
          <w:sz w:val="28"/>
        </w:rPr>
        <w:t xml:space="preserve"> Dam</w:t>
      </w:r>
    </w:p>
    <w:p w:rsidR="00BE44CC" w:rsidRPr="00391865" w:rsidRDefault="00BE44CC" w:rsidP="00BE44CC">
      <w:pPr>
        <w:pStyle w:val="ListParagraph"/>
        <w:ind w:left="1429"/>
        <w:jc w:val="center"/>
        <w:rPr>
          <w:rFonts w:ascii="Times New Roman" w:hAnsi="Times New Roman" w:cs="Times New Roman"/>
          <w:b/>
          <w:sz w:val="24"/>
          <w:szCs w:val="24"/>
        </w:rPr>
      </w:pP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 xml:space="preserve">9. Nitrate contents </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r w:rsidRPr="00391865">
        <w:rPr>
          <w:rFonts w:ascii="Times New Roman" w:hAnsi="Times New Roman" w:cs="Times New Roman"/>
          <w:sz w:val="24"/>
          <w:szCs w:val="24"/>
          <w:lang w:val="en-US"/>
        </w:rPr>
        <w:t>The chemical analysis of water samples of the lake revealed the presence of both Nitrate Nitrogen (NO</w:t>
      </w:r>
      <w:r w:rsidRPr="00391865">
        <w:rPr>
          <w:rFonts w:ascii="Times New Roman" w:hAnsi="Times New Roman" w:cs="Times New Roman"/>
          <w:sz w:val="24"/>
          <w:szCs w:val="24"/>
          <w:vertAlign w:val="subscript"/>
          <w:lang w:val="en-US"/>
        </w:rPr>
        <w:t>3</w:t>
      </w:r>
      <w:r w:rsidRPr="00391865">
        <w:rPr>
          <w:rFonts w:ascii="Times New Roman" w:hAnsi="Times New Roman" w:cs="Times New Roman"/>
          <w:sz w:val="24"/>
          <w:szCs w:val="24"/>
          <w:lang w:val="en-US"/>
        </w:rPr>
        <w:t>-N) and Ammonia Nitrogen (NH</w:t>
      </w:r>
      <w:r w:rsidRPr="00391865">
        <w:rPr>
          <w:rFonts w:ascii="Times New Roman" w:hAnsi="Times New Roman" w:cs="Times New Roman"/>
          <w:sz w:val="24"/>
          <w:szCs w:val="24"/>
          <w:vertAlign w:val="subscript"/>
          <w:lang w:val="en-US"/>
        </w:rPr>
        <w:t>3</w:t>
      </w:r>
      <w:r w:rsidRPr="00391865">
        <w:rPr>
          <w:rFonts w:ascii="Times New Roman" w:hAnsi="Times New Roman" w:cs="Times New Roman"/>
          <w:sz w:val="24"/>
          <w:szCs w:val="24"/>
          <w:lang w:val="en-US"/>
        </w:rPr>
        <w:t>-N); though the latter was found only in traces.</w:t>
      </w:r>
    </w:p>
    <w:p w:rsidR="00BE44CC" w:rsidRPr="00391865" w:rsidRDefault="00BE44CC" w:rsidP="00BE44CC">
      <w:pPr>
        <w:pStyle w:val="ListParagraph"/>
        <w:numPr>
          <w:ilvl w:val="0"/>
          <w:numId w:val="6"/>
        </w:numPr>
        <w:tabs>
          <w:tab w:val="left" w:pos="3852"/>
        </w:tabs>
        <w:jc w:val="both"/>
        <w:rPr>
          <w:rFonts w:ascii="Times New Roman" w:hAnsi="Times New Roman" w:cs="Times New Roman"/>
          <w:b/>
          <w:sz w:val="24"/>
          <w:szCs w:val="24"/>
        </w:rPr>
      </w:pPr>
      <w:r w:rsidRPr="00391865">
        <w:rPr>
          <w:rFonts w:ascii="Times New Roman" w:hAnsi="Times New Roman" w:cs="Times New Roman"/>
          <w:b/>
          <w:sz w:val="24"/>
          <w:szCs w:val="24"/>
        </w:rPr>
        <w:t>Nitrate Nitrogen (NO</w:t>
      </w:r>
      <w:r w:rsidRPr="00391865">
        <w:rPr>
          <w:rFonts w:ascii="Times New Roman" w:hAnsi="Times New Roman" w:cs="Times New Roman"/>
          <w:b/>
          <w:sz w:val="24"/>
          <w:szCs w:val="24"/>
          <w:vertAlign w:val="subscript"/>
        </w:rPr>
        <w:t>3</w:t>
      </w:r>
      <w:r w:rsidRPr="00391865">
        <w:rPr>
          <w:rFonts w:ascii="Times New Roman" w:hAnsi="Times New Roman" w:cs="Times New Roman"/>
          <w:b/>
          <w:sz w:val="24"/>
          <w:szCs w:val="24"/>
        </w:rPr>
        <w:t xml:space="preserve">-N) </w:t>
      </w:r>
    </w:p>
    <w:p w:rsidR="00BE44CC" w:rsidRPr="00391865" w:rsidRDefault="00BE44CC" w:rsidP="00BE44CC">
      <w:pPr>
        <w:pStyle w:val="ListParagraph"/>
        <w:tabs>
          <w:tab w:val="left" w:pos="3852"/>
        </w:tabs>
        <w:jc w:val="both"/>
        <w:rPr>
          <w:rFonts w:ascii="Times New Roman" w:hAnsi="Times New Roman" w:cs="Times New Roman"/>
          <w:sz w:val="24"/>
          <w:szCs w:val="24"/>
        </w:rPr>
      </w:pP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A distinct seasonal fluctuation of Nitrate Nitrogen content of the lakes. During the first year of investigation the minimum value was recorded to be 0.11</w:t>
      </w:r>
      <w:r w:rsidR="00CF1FDC">
        <w:rPr>
          <w:rFonts w:ascii="Times New Roman" w:hAnsi="Times New Roman" w:cs="Times New Roman"/>
          <w:sz w:val="24"/>
          <w:szCs w:val="24"/>
        </w:rPr>
        <w:t>0 ppm</w:t>
      </w:r>
      <w:r w:rsidRPr="00391865">
        <w:rPr>
          <w:rFonts w:ascii="Times New Roman" w:hAnsi="Times New Roman" w:cs="Times New Roman"/>
          <w:sz w:val="24"/>
          <w:szCs w:val="24"/>
        </w:rPr>
        <w:t xml:space="preserve"> in the month of April 2022 and the maximum value was observed to be 0.36</w:t>
      </w:r>
      <w:r w:rsidR="00CF1FDC">
        <w:rPr>
          <w:rFonts w:ascii="Times New Roman" w:hAnsi="Times New Roman" w:cs="Times New Roman"/>
          <w:sz w:val="24"/>
          <w:szCs w:val="24"/>
        </w:rPr>
        <w:t>4 ppm</w:t>
      </w:r>
      <w:r w:rsidRPr="00391865">
        <w:rPr>
          <w:rFonts w:ascii="Times New Roman" w:hAnsi="Times New Roman" w:cs="Times New Roman"/>
          <w:sz w:val="24"/>
          <w:szCs w:val="24"/>
        </w:rPr>
        <w:t xml:space="preserve"> in the month of August 202</w:t>
      </w:r>
      <w:r w:rsidR="00CF1FDC">
        <w:rPr>
          <w:rFonts w:ascii="Times New Roman" w:hAnsi="Times New Roman" w:cs="Times New Roman"/>
          <w:sz w:val="24"/>
          <w:szCs w:val="24"/>
        </w:rPr>
        <w:t>2</w:t>
      </w:r>
      <w:r w:rsidRPr="00391865">
        <w:rPr>
          <w:rFonts w:ascii="Times New Roman" w:hAnsi="Times New Roman" w:cs="Times New Roman"/>
          <w:sz w:val="24"/>
          <w:szCs w:val="24"/>
        </w:rPr>
        <w:t xml:space="preserve">. A steady decrease in the Nitrate  Nitrogen content of water was observed during the month of summer, followed by a steady increase of the values in the monsoon i.e., June, July, August and September and post –monsoon periods i.e., October, November and December. .       </w:t>
      </w: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In the succeeding year (2021-2022) the minimum value was observed to be nil in the month of April 2023 and maximum value was recorded in the month of September 2021 (0.4</w:t>
      </w:r>
      <w:r w:rsidR="00CF1FDC">
        <w:rPr>
          <w:rFonts w:ascii="Times New Roman" w:hAnsi="Times New Roman" w:cs="Times New Roman"/>
          <w:sz w:val="24"/>
          <w:szCs w:val="24"/>
        </w:rPr>
        <w:t>47</w:t>
      </w:r>
      <w:r w:rsidRPr="00391865">
        <w:rPr>
          <w:rFonts w:ascii="Times New Roman" w:hAnsi="Times New Roman" w:cs="Times New Roman"/>
          <w:sz w:val="24"/>
          <w:szCs w:val="24"/>
        </w:rPr>
        <w:t xml:space="preserve"> </w:t>
      </w:r>
      <w:r w:rsidR="00CF1FDC">
        <w:rPr>
          <w:rFonts w:ascii="Times New Roman" w:hAnsi="Times New Roman" w:cs="Times New Roman"/>
          <w:sz w:val="24"/>
          <w:szCs w:val="24"/>
        </w:rPr>
        <w:t>ppm</w:t>
      </w:r>
      <w:r w:rsidRPr="00391865">
        <w:rPr>
          <w:rFonts w:ascii="Times New Roman" w:hAnsi="Times New Roman" w:cs="Times New Roman"/>
          <w:sz w:val="24"/>
          <w:szCs w:val="24"/>
        </w:rPr>
        <w:t xml:space="preserve">). The supply of the Nitrate to the lakes appeared to be regulated by the drainage and surface run-off of water during the monsoon months. </w:t>
      </w: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w:t>
      </w:r>
    </w:p>
    <w:p w:rsidR="00BE44CC" w:rsidRPr="00391865" w:rsidRDefault="00C13B21" w:rsidP="00BE44CC">
      <w:pPr>
        <w:pStyle w:val="ListParagraph"/>
        <w:tabs>
          <w:tab w:val="left" w:pos="3852"/>
        </w:tabs>
        <w:ind w:left="0"/>
        <w:jc w:val="both"/>
        <w:rPr>
          <w:rFonts w:ascii="Times New Roman" w:hAnsi="Times New Roman" w:cs="Times New Roman"/>
          <w:sz w:val="24"/>
          <w:szCs w:val="24"/>
        </w:rPr>
      </w:pPr>
      <w:r>
        <w:rPr>
          <w:rFonts w:ascii="Times New Roman" w:hAnsi="Times New Roman" w:cs="Times New Roman"/>
          <w:noProof/>
          <w:sz w:val="24"/>
          <w:lang w:val="en-IN" w:eastAsia="en-IN"/>
        </w:rPr>
        <w:lastRenderedPageBreak/>
        <w:drawing>
          <wp:inline distT="0" distB="0" distL="0" distR="0" wp14:anchorId="4D8A71CB" wp14:editId="533C6731">
            <wp:extent cx="5554980" cy="1485900"/>
            <wp:effectExtent l="0" t="0" r="7620" b="0"/>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13B21"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(9)</w:t>
      </w:r>
      <w:r w:rsidRPr="00211830">
        <w:rPr>
          <w:rFonts w:ascii="Times New Roman" w:hAnsi="Times New Roman" w:cs="Times New Roman"/>
          <w:b/>
          <w:sz w:val="28"/>
        </w:rPr>
        <w:t>–</w:t>
      </w:r>
      <w:r w:rsidRPr="008203C8">
        <w:rPr>
          <w:rFonts w:ascii="Times New Roman" w:hAnsi="Times New Roman" w:cs="Times New Roman"/>
          <w:b/>
          <w:sz w:val="28"/>
        </w:rPr>
        <w:t xml:space="preserve"> </w:t>
      </w:r>
      <w:r>
        <w:rPr>
          <w:rFonts w:ascii="Times New Roman" w:hAnsi="Times New Roman" w:cs="Times New Roman"/>
          <w:b/>
          <w:sz w:val="28"/>
        </w:rPr>
        <w:t>Nitrate Nitrogen Content of Morvan</w:t>
      </w:r>
      <w:r w:rsidRPr="00211830">
        <w:rPr>
          <w:rFonts w:ascii="Times New Roman" w:hAnsi="Times New Roman" w:cs="Times New Roman"/>
          <w:b/>
          <w:sz w:val="28"/>
        </w:rPr>
        <w:t xml:space="preserve"> Dam</w:t>
      </w:r>
    </w:p>
    <w:p w:rsidR="00BE44CC" w:rsidRPr="00391865" w:rsidRDefault="00BE44CC" w:rsidP="00BE44CC">
      <w:pPr>
        <w:pStyle w:val="ListParagraph"/>
        <w:numPr>
          <w:ilvl w:val="0"/>
          <w:numId w:val="6"/>
        </w:numPr>
        <w:tabs>
          <w:tab w:val="left" w:pos="3852"/>
        </w:tabs>
        <w:jc w:val="both"/>
        <w:rPr>
          <w:rFonts w:ascii="Times New Roman" w:hAnsi="Times New Roman" w:cs="Times New Roman"/>
          <w:b/>
          <w:sz w:val="24"/>
          <w:szCs w:val="24"/>
        </w:rPr>
      </w:pPr>
      <w:r w:rsidRPr="00391865">
        <w:rPr>
          <w:rFonts w:ascii="Times New Roman" w:hAnsi="Times New Roman" w:cs="Times New Roman"/>
          <w:b/>
          <w:sz w:val="24"/>
          <w:szCs w:val="24"/>
        </w:rPr>
        <w:t>Ammonia Nitrogen (NH</w:t>
      </w:r>
      <w:r w:rsidRPr="00391865">
        <w:rPr>
          <w:rFonts w:ascii="Times New Roman" w:hAnsi="Times New Roman" w:cs="Times New Roman"/>
          <w:b/>
          <w:sz w:val="24"/>
          <w:szCs w:val="24"/>
          <w:vertAlign w:val="subscript"/>
        </w:rPr>
        <w:t>3</w:t>
      </w:r>
      <w:r w:rsidRPr="00391865">
        <w:rPr>
          <w:rFonts w:ascii="Times New Roman" w:hAnsi="Times New Roman" w:cs="Times New Roman"/>
          <w:b/>
          <w:sz w:val="24"/>
          <w:szCs w:val="24"/>
        </w:rPr>
        <w:t xml:space="preserve">-N) </w:t>
      </w:r>
    </w:p>
    <w:p w:rsidR="00BE44CC" w:rsidRPr="00391865" w:rsidRDefault="00BE44CC" w:rsidP="00BE44CC">
      <w:pPr>
        <w:pStyle w:val="ListParagraph"/>
        <w:tabs>
          <w:tab w:val="left" w:pos="3852"/>
        </w:tabs>
        <w:jc w:val="both"/>
        <w:rPr>
          <w:rFonts w:ascii="Times New Roman" w:hAnsi="Times New Roman" w:cs="Times New Roman"/>
          <w:b/>
          <w:sz w:val="24"/>
          <w:szCs w:val="24"/>
        </w:rPr>
      </w:pPr>
    </w:p>
    <w:p w:rsidR="00BE44CC" w:rsidRPr="00391865"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During the present investigation, the minimum value recorded for the Ammonia Nitrogen of the lakes was 0.01</w:t>
      </w:r>
      <w:r w:rsidR="00CF1FDC">
        <w:rPr>
          <w:rFonts w:ascii="Times New Roman" w:hAnsi="Times New Roman" w:cs="Times New Roman"/>
          <w:sz w:val="24"/>
          <w:szCs w:val="24"/>
        </w:rPr>
        <w:t>2</w:t>
      </w:r>
      <w:r w:rsidRPr="00391865">
        <w:rPr>
          <w:rFonts w:ascii="Times New Roman" w:hAnsi="Times New Roman" w:cs="Times New Roman"/>
          <w:sz w:val="24"/>
          <w:szCs w:val="24"/>
        </w:rPr>
        <w:t xml:space="preserve"> </w:t>
      </w:r>
      <w:r w:rsidR="00CF1FDC">
        <w:rPr>
          <w:rFonts w:ascii="Times New Roman" w:hAnsi="Times New Roman" w:cs="Times New Roman"/>
          <w:sz w:val="24"/>
          <w:szCs w:val="24"/>
        </w:rPr>
        <w:t xml:space="preserve">ppm </w:t>
      </w:r>
      <w:r w:rsidRPr="00391865">
        <w:rPr>
          <w:rFonts w:ascii="Times New Roman" w:hAnsi="Times New Roman" w:cs="Times New Roman"/>
          <w:sz w:val="24"/>
          <w:szCs w:val="24"/>
        </w:rPr>
        <w:t xml:space="preserve">dam. Throughout the period of observation the seasonal fluctuation followed more or less the same pattern, which was evidenced by lower value </w:t>
      </w:r>
      <w:r w:rsidR="00CF1FDC">
        <w:rPr>
          <w:rFonts w:ascii="Times New Roman" w:hAnsi="Times New Roman" w:cs="Times New Roman"/>
          <w:sz w:val="24"/>
          <w:szCs w:val="24"/>
        </w:rPr>
        <w:t>in the colder and warmer months</w:t>
      </w:r>
      <w:r w:rsidRPr="00391865">
        <w:rPr>
          <w:rFonts w:ascii="Times New Roman" w:hAnsi="Times New Roman" w:cs="Times New Roman"/>
          <w:sz w:val="24"/>
          <w:szCs w:val="24"/>
        </w:rPr>
        <w:t>. During the first year of investigation, higher value was obtained in the post monsoon months, whereas in the second year of investigation, the higher values were obtained during the monsoon months. The results of the first year’s observation may well be caused by the abundance of decaying organic matter in the lakes.</w:t>
      </w:r>
    </w:p>
    <w:p w:rsidR="00C13B21" w:rsidRDefault="00BE44CC" w:rsidP="00BE44CC">
      <w:pPr>
        <w:pStyle w:val="ListParagraph"/>
        <w:tabs>
          <w:tab w:val="left" w:pos="3852"/>
        </w:tabs>
        <w:ind w:left="0"/>
        <w:jc w:val="both"/>
        <w:rPr>
          <w:rFonts w:ascii="Times New Roman" w:hAnsi="Times New Roman" w:cs="Times New Roman"/>
          <w:sz w:val="24"/>
          <w:szCs w:val="24"/>
        </w:rPr>
      </w:pPr>
      <w:r w:rsidRPr="00391865">
        <w:rPr>
          <w:rFonts w:ascii="Times New Roman" w:hAnsi="Times New Roman" w:cs="Times New Roman"/>
          <w:sz w:val="24"/>
          <w:szCs w:val="24"/>
        </w:rPr>
        <w:t xml:space="preserve">        The inflow of organic matter through the drainage and surface run-off of water was also observed to influence the Ammonical Nitrogen concentration.   </w:t>
      </w:r>
    </w:p>
    <w:p w:rsidR="00C13B21" w:rsidRDefault="00C13B21" w:rsidP="00BE44CC">
      <w:pPr>
        <w:pStyle w:val="ListParagraph"/>
        <w:tabs>
          <w:tab w:val="left" w:pos="3852"/>
        </w:tabs>
        <w:ind w:left="0"/>
        <w:jc w:val="both"/>
        <w:rPr>
          <w:rFonts w:ascii="Times New Roman" w:hAnsi="Times New Roman" w:cs="Times New Roman"/>
          <w:sz w:val="24"/>
          <w:szCs w:val="24"/>
        </w:rPr>
      </w:pPr>
    </w:p>
    <w:p w:rsidR="00BE44CC" w:rsidRPr="00391865" w:rsidRDefault="00C13B21" w:rsidP="00BE44CC">
      <w:pPr>
        <w:pStyle w:val="ListParagraph"/>
        <w:tabs>
          <w:tab w:val="left" w:pos="3852"/>
        </w:tabs>
        <w:ind w:left="0"/>
        <w:jc w:val="both"/>
        <w:rPr>
          <w:rFonts w:ascii="Times New Roman" w:hAnsi="Times New Roman" w:cs="Times New Roman"/>
          <w:sz w:val="24"/>
          <w:szCs w:val="24"/>
        </w:rPr>
      </w:pPr>
      <w:r>
        <w:rPr>
          <w:rFonts w:ascii="Times New Roman" w:hAnsi="Times New Roman" w:cs="Times New Roman"/>
          <w:noProof/>
          <w:sz w:val="24"/>
          <w:lang w:val="en-IN" w:eastAsia="en-IN"/>
        </w:rPr>
        <w:drawing>
          <wp:inline distT="0" distB="0" distL="0" distR="0" wp14:anchorId="627A8911" wp14:editId="11E94A0A">
            <wp:extent cx="5402580" cy="1920240"/>
            <wp:effectExtent l="0" t="0" r="7620" b="381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BE44CC" w:rsidRPr="00391865">
        <w:rPr>
          <w:rFonts w:ascii="Times New Roman" w:hAnsi="Times New Roman" w:cs="Times New Roman"/>
          <w:sz w:val="24"/>
          <w:szCs w:val="24"/>
        </w:rPr>
        <w:t xml:space="preserve"> </w:t>
      </w:r>
    </w:p>
    <w:p w:rsidR="00C13B21"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(10)</w:t>
      </w:r>
      <w:r w:rsidRPr="00211830">
        <w:rPr>
          <w:rFonts w:ascii="Times New Roman" w:hAnsi="Times New Roman" w:cs="Times New Roman"/>
          <w:b/>
          <w:sz w:val="28"/>
        </w:rPr>
        <w:t>–</w:t>
      </w:r>
      <w:r w:rsidRPr="008203C8">
        <w:rPr>
          <w:rFonts w:ascii="Times New Roman" w:hAnsi="Times New Roman" w:cs="Times New Roman"/>
          <w:b/>
          <w:sz w:val="28"/>
        </w:rPr>
        <w:t xml:space="preserve"> </w:t>
      </w:r>
      <w:r>
        <w:rPr>
          <w:rFonts w:ascii="Times New Roman" w:hAnsi="Times New Roman" w:cs="Times New Roman"/>
          <w:b/>
          <w:sz w:val="28"/>
        </w:rPr>
        <w:t>Ammonical Nitrogen Content of Morvan</w:t>
      </w:r>
      <w:r w:rsidRPr="00211830">
        <w:rPr>
          <w:rFonts w:ascii="Times New Roman" w:hAnsi="Times New Roman" w:cs="Times New Roman"/>
          <w:b/>
          <w:sz w:val="28"/>
        </w:rPr>
        <w:t xml:space="preserve"> Dam</w:t>
      </w:r>
    </w:p>
    <w:p w:rsidR="00C13B21" w:rsidRDefault="00C13B21" w:rsidP="00C13B21">
      <w:pPr>
        <w:pStyle w:val="ListParagraph"/>
        <w:ind w:left="1429"/>
        <w:jc w:val="center"/>
        <w:rPr>
          <w:rFonts w:ascii="Times New Roman" w:hAnsi="Times New Roman" w:cs="Times New Roman"/>
          <w:b/>
          <w:sz w:val="28"/>
        </w:rPr>
      </w:pPr>
    </w:p>
    <w:p w:rsidR="00BE44CC" w:rsidRPr="00391865" w:rsidRDefault="00BE44CC" w:rsidP="00BE44CC">
      <w:pPr>
        <w:tabs>
          <w:tab w:val="left" w:pos="3852"/>
        </w:tabs>
        <w:jc w:val="both"/>
        <w:rPr>
          <w:rFonts w:ascii="Times New Roman" w:hAnsi="Times New Roman" w:cs="Times New Roman"/>
          <w:b/>
          <w:sz w:val="24"/>
          <w:szCs w:val="24"/>
          <w:lang w:val="en-US"/>
        </w:rPr>
      </w:pPr>
      <w:r w:rsidRPr="00391865">
        <w:rPr>
          <w:rFonts w:ascii="Times New Roman" w:hAnsi="Times New Roman" w:cs="Times New Roman"/>
          <w:b/>
          <w:sz w:val="24"/>
          <w:szCs w:val="24"/>
          <w:lang w:val="en-US"/>
        </w:rPr>
        <w:t>10. Silicate contents</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b/>
          <w:sz w:val="24"/>
          <w:szCs w:val="24"/>
          <w:lang w:val="en-US"/>
        </w:rPr>
        <w:t xml:space="preserve">        </w:t>
      </w:r>
      <w:r w:rsidRPr="00391865">
        <w:rPr>
          <w:rFonts w:ascii="Times New Roman" w:hAnsi="Times New Roman" w:cs="Times New Roman"/>
          <w:sz w:val="24"/>
          <w:szCs w:val="24"/>
          <w:lang w:val="en-US"/>
        </w:rPr>
        <w:t>During the first year of study, the silicate value of 0.</w:t>
      </w:r>
      <w:r w:rsidR="00CF1FDC">
        <w:rPr>
          <w:rFonts w:ascii="Times New Roman" w:hAnsi="Times New Roman" w:cs="Times New Roman"/>
          <w:sz w:val="24"/>
          <w:szCs w:val="24"/>
          <w:lang w:val="en-US"/>
        </w:rPr>
        <w:t>13 ppm</w:t>
      </w:r>
      <w:r w:rsidRPr="00391865">
        <w:rPr>
          <w:rFonts w:ascii="Times New Roman" w:hAnsi="Times New Roman" w:cs="Times New Roman"/>
          <w:sz w:val="24"/>
          <w:szCs w:val="24"/>
          <w:lang w:val="en-US"/>
        </w:rPr>
        <w:t xml:space="preserve"> was found to be the minimum whereas the maximum value was 0.9</w:t>
      </w:r>
      <w:r w:rsidR="00CF1FDC">
        <w:rPr>
          <w:rFonts w:ascii="Times New Roman" w:hAnsi="Times New Roman" w:cs="Times New Roman"/>
          <w:sz w:val="24"/>
          <w:szCs w:val="24"/>
          <w:lang w:val="en-US"/>
        </w:rPr>
        <w:t>9</w:t>
      </w:r>
      <w:r w:rsidR="00C10A6C">
        <w:rPr>
          <w:rFonts w:ascii="Times New Roman" w:hAnsi="Times New Roman" w:cs="Times New Roman"/>
          <w:sz w:val="24"/>
          <w:szCs w:val="24"/>
          <w:lang w:val="en-US"/>
        </w:rPr>
        <w:t xml:space="preserve"> ppm</w:t>
      </w:r>
      <w:r w:rsidRPr="00391865">
        <w:rPr>
          <w:rFonts w:ascii="Times New Roman" w:hAnsi="Times New Roman" w:cs="Times New Roman"/>
          <w:sz w:val="24"/>
          <w:szCs w:val="24"/>
          <w:lang w:val="en-US"/>
        </w:rPr>
        <w:t>. The silicate value showed distinct seasonal fluctuation. It was evident, that silicate value of lake water was minimal in cold weather and post monsoon seasons, whereas it increased during the hot weather and pre-monsoons. During the second year of study, more or less a similar trend was found, whereas the minimum value was obtained to be 0.1</w:t>
      </w:r>
      <w:r w:rsidR="00C10A6C">
        <w:rPr>
          <w:rFonts w:ascii="Times New Roman" w:hAnsi="Times New Roman" w:cs="Times New Roman"/>
          <w:sz w:val="24"/>
          <w:szCs w:val="24"/>
          <w:lang w:val="en-US"/>
        </w:rPr>
        <w:t>3 ppm</w:t>
      </w:r>
      <w:r w:rsidRPr="00391865">
        <w:rPr>
          <w:rFonts w:ascii="Times New Roman" w:hAnsi="Times New Roman" w:cs="Times New Roman"/>
          <w:sz w:val="24"/>
          <w:szCs w:val="24"/>
          <w:lang w:val="en-US"/>
        </w:rPr>
        <w:t xml:space="preserve"> (January 2023) and the maximum value was found in the month of April 2023 (0.9</w:t>
      </w:r>
      <w:r w:rsidR="00C10A6C">
        <w:rPr>
          <w:rFonts w:ascii="Times New Roman" w:hAnsi="Times New Roman" w:cs="Times New Roman"/>
          <w:sz w:val="24"/>
          <w:szCs w:val="24"/>
          <w:lang w:val="en-US"/>
        </w:rPr>
        <w:t>8</w:t>
      </w:r>
      <w:r w:rsidRPr="00391865">
        <w:rPr>
          <w:rFonts w:ascii="Times New Roman" w:hAnsi="Times New Roman" w:cs="Times New Roman"/>
          <w:sz w:val="24"/>
          <w:szCs w:val="24"/>
          <w:lang w:val="en-US"/>
        </w:rPr>
        <w:t xml:space="preserve"> </w:t>
      </w:r>
      <w:r w:rsidR="00C10A6C">
        <w:rPr>
          <w:rFonts w:ascii="Times New Roman" w:hAnsi="Times New Roman" w:cs="Times New Roman"/>
          <w:sz w:val="24"/>
          <w:szCs w:val="24"/>
          <w:lang w:val="en-US"/>
        </w:rPr>
        <w:t>ppm</w:t>
      </w:r>
      <w:r w:rsidRPr="00391865">
        <w:rPr>
          <w:rFonts w:ascii="Times New Roman" w:hAnsi="Times New Roman" w:cs="Times New Roman"/>
          <w:sz w:val="24"/>
          <w:szCs w:val="24"/>
          <w:lang w:val="en-US"/>
        </w:rPr>
        <w:t>).</w:t>
      </w:r>
    </w:p>
    <w:p w:rsidR="00BE44CC" w:rsidRPr="00391865" w:rsidRDefault="00BE44CC" w:rsidP="00BE44CC">
      <w:pPr>
        <w:tabs>
          <w:tab w:val="left" w:pos="3852"/>
        </w:tabs>
        <w:jc w:val="both"/>
        <w:rPr>
          <w:rFonts w:ascii="Times New Roman" w:hAnsi="Times New Roman" w:cs="Times New Roman"/>
          <w:sz w:val="24"/>
          <w:szCs w:val="24"/>
          <w:lang w:val="en-US"/>
        </w:rPr>
      </w:pPr>
      <w:r w:rsidRPr="00391865">
        <w:rPr>
          <w:rFonts w:ascii="Times New Roman" w:hAnsi="Times New Roman" w:cs="Times New Roman"/>
          <w:sz w:val="24"/>
          <w:szCs w:val="24"/>
          <w:lang w:val="en-US"/>
        </w:rPr>
        <w:lastRenderedPageBreak/>
        <w:t xml:space="preserve">        A positive significant correlation between the pH value and the silicate value was observed as when pH tended to be alkaline, the silicate value also increased and vice-versa   (r = 0.84, p &gt; 0.001).</w:t>
      </w:r>
    </w:p>
    <w:p w:rsidR="00BE44CC" w:rsidRDefault="00BE44CC" w:rsidP="00BE44CC">
      <w:pPr>
        <w:pStyle w:val="ListParagraph"/>
        <w:tabs>
          <w:tab w:val="left" w:pos="3852"/>
        </w:tabs>
        <w:ind w:left="1701"/>
        <w:jc w:val="center"/>
        <w:rPr>
          <w:rFonts w:ascii="Times New Roman" w:hAnsi="Times New Roman" w:cs="Times New Roman"/>
          <w:sz w:val="24"/>
          <w:szCs w:val="24"/>
        </w:rPr>
      </w:pPr>
    </w:p>
    <w:p w:rsidR="00C13B21" w:rsidRDefault="00C13B21" w:rsidP="00BE44CC">
      <w:pPr>
        <w:pStyle w:val="ListParagraph"/>
        <w:tabs>
          <w:tab w:val="left" w:pos="3852"/>
        </w:tabs>
        <w:ind w:left="1701"/>
        <w:jc w:val="center"/>
        <w:rPr>
          <w:rFonts w:ascii="Times New Roman" w:hAnsi="Times New Roman" w:cs="Times New Roman"/>
          <w:sz w:val="24"/>
          <w:szCs w:val="24"/>
        </w:rPr>
      </w:pPr>
    </w:p>
    <w:p w:rsidR="00C13B21" w:rsidRDefault="00C13B21" w:rsidP="00BE44CC">
      <w:pPr>
        <w:pStyle w:val="ListParagraph"/>
        <w:tabs>
          <w:tab w:val="left" w:pos="3852"/>
        </w:tabs>
        <w:ind w:left="1701"/>
        <w:jc w:val="center"/>
        <w:rPr>
          <w:rFonts w:ascii="Times New Roman" w:hAnsi="Times New Roman" w:cs="Times New Roman"/>
          <w:sz w:val="24"/>
          <w:szCs w:val="24"/>
        </w:rPr>
      </w:pPr>
    </w:p>
    <w:p w:rsidR="00C13B21" w:rsidRDefault="00C13B21" w:rsidP="00BE44CC">
      <w:pPr>
        <w:pStyle w:val="ListParagraph"/>
        <w:tabs>
          <w:tab w:val="left" w:pos="3852"/>
        </w:tabs>
        <w:ind w:left="1701"/>
        <w:jc w:val="center"/>
        <w:rPr>
          <w:rFonts w:ascii="Times New Roman" w:hAnsi="Times New Roman" w:cs="Times New Roman"/>
          <w:sz w:val="24"/>
          <w:szCs w:val="24"/>
        </w:rPr>
      </w:pPr>
      <w:r>
        <w:rPr>
          <w:rFonts w:ascii="Times New Roman" w:hAnsi="Times New Roman" w:cs="Times New Roman"/>
          <w:noProof/>
          <w:sz w:val="24"/>
          <w:lang w:val="en-IN" w:eastAsia="en-IN"/>
        </w:rPr>
        <w:drawing>
          <wp:inline distT="0" distB="0" distL="0" distR="0" wp14:anchorId="7A119E1A" wp14:editId="10EB4309">
            <wp:extent cx="5067300" cy="2148840"/>
            <wp:effectExtent l="0" t="0" r="19050" b="22860"/>
            <wp:docPr id="99" name="Chart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13B21" w:rsidRPr="00211830" w:rsidRDefault="00C13B21" w:rsidP="00C13B21">
      <w:pPr>
        <w:pStyle w:val="ListParagraph"/>
        <w:ind w:left="1429"/>
        <w:jc w:val="center"/>
        <w:rPr>
          <w:rFonts w:ascii="Times New Roman" w:hAnsi="Times New Roman" w:cs="Times New Roman"/>
          <w:b/>
          <w:sz w:val="28"/>
        </w:rPr>
      </w:pPr>
      <w:r w:rsidRPr="00211830">
        <w:rPr>
          <w:rFonts w:ascii="Times New Roman" w:hAnsi="Times New Roman" w:cs="Times New Roman"/>
          <w:b/>
          <w:sz w:val="28"/>
        </w:rPr>
        <w:t xml:space="preserve">Fig </w:t>
      </w:r>
      <w:r>
        <w:rPr>
          <w:rFonts w:ascii="Times New Roman" w:hAnsi="Times New Roman" w:cs="Times New Roman"/>
          <w:b/>
          <w:sz w:val="28"/>
        </w:rPr>
        <w:t>(11)</w:t>
      </w:r>
      <w:r w:rsidRPr="00211830">
        <w:rPr>
          <w:rFonts w:ascii="Times New Roman" w:hAnsi="Times New Roman" w:cs="Times New Roman"/>
          <w:b/>
          <w:sz w:val="28"/>
        </w:rPr>
        <w:t>–</w:t>
      </w:r>
      <w:r w:rsidRPr="008203C8">
        <w:rPr>
          <w:rFonts w:ascii="Times New Roman" w:hAnsi="Times New Roman" w:cs="Times New Roman"/>
          <w:b/>
          <w:sz w:val="28"/>
        </w:rPr>
        <w:t xml:space="preserve"> </w:t>
      </w:r>
      <w:r>
        <w:rPr>
          <w:rFonts w:ascii="Times New Roman" w:hAnsi="Times New Roman" w:cs="Times New Roman"/>
          <w:b/>
          <w:sz w:val="28"/>
        </w:rPr>
        <w:t>Silicate Content of Morvan</w:t>
      </w:r>
      <w:r w:rsidRPr="00211830">
        <w:rPr>
          <w:rFonts w:ascii="Times New Roman" w:hAnsi="Times New Roman" w:cs="Times New Roman"/>
          <w:b/>
          <w:sz w:val="28"/>
        </w:rPr>
        <w:t xml:space="preserve"> Dam</w:t>
      </w:r>
    </w:p>
    <w:p w:rsidR="00C13B21" w:rsidRPr="00391865" w:rsidRDefault="00C13B21" w:rsidP="00BE44CC">
      <w:pPr>
        <w:pStyle w:val="ListParagraph"/>
        <w:tabs>
          <w:tab w:val="left" w:pos="3852"/>
        </w:tabs>
        <w:ind w:left="1701"/>
        <w:jc w:val="center"/>
        <w:rPr>
          <w:rFonts w:ascii="Times New Roman" w:hAnsi="Times New Roman" w:cs="Times New Roman"/>
          <w:sz w:val="24"/>
          <w:szCs w:val="24"/>
        </w:rPr>
      </w:pPr>
    </w:p>
    <w:p w:rsidR="00BE44CC" w:rsidRPr="00391865" w:rsidRDefault="00BE44CC" w:rsidP="00BE44CC">
      <w:pPr>
        <w:jc w:val="both"/>
        <w:rPr>
          <w:rFonts w:ascii="Times New Roman" w:hAnsi="Times New Roman" w:cs="Times New Roman"/>
          <w:b/>
          <w:sz w:val="24"/>
          <w:szCs w:val="24"/>
        </w:rPr>
      </w:pPr>
      <w:r w:rsidRPr="00391865">
        <w:rPr>
          <w:rFonts w:ascii="Times New Roman" w:hAnsi="Times New Roman" w:cs="Times New Roman"/>
          <w:b/>
          <w:sz w:val="24"/>
          <w:szCs w:val="24"/>
        </w:rPr>
        <w:t>SUMMARY</w:t>
      </w:r>
    </w:p>
    <w:p w:rsidR="00BE44CC" w:rsidRDefault="00BE44CC" w:rsidP="00BE44CC">
      <w:pPr>
        <w:jc w:val="both"/>
        <w:rPr>
          <w:rFonts w:ascii="Times New Roman" w:hAnsi="Times New Roman" w:cs="Times New Roman"/>
          <w:sz w:val="24"/>
          <w:szCs w:val="24"/>
        </w:rPr>
      </w:pPr>
      <w:r w:rsidRPr="00391865">
        <w:rPr>
          <w:rFonts w:ascii="Times New Roman" w:hAnsi="Times New Roman" w:cs="Times New Roman"/>
          <w:sz w:val="24"/>
          <w:szCs w:val="24"/>
        </w:rPr>
        <w:tab/>
        <w:t>The study suggests that the water bod</w:t>
      </w:r>
      <w:r w:rsidR="00C10A6C">
        <w:rPr>
          <w:rFonts w:ascii="Times New Roman" w:hAnsi="Times New Roman" w:cs="Times New Roman"/>
          <w:sz w:val="24"/>
          <w:szCs w:val="24"/>
        </w:rPr>
        <w:t>y</w:t>
      </w:r>
      <w:r w:rsidRPr="00391865">
        <w:rPr>
          <w:rFonts w:ascii="Times New Roman" w:hAnsi="Times New Roman" w:cs="Times New Roman"/>
          <w:sz w:val="24"/>
          <w:szCs w:val="24"/>
        </w:rPr>
        <w:t xml:space="preserve"> is in good condition and </w:t>
      </w:r>
      <w:r w:rsidR="00C12D25">
        <w:rPr>
          <w:rFonts w:ascii="Times New Roman" w:hAnsi="Times New Roman" w:cs="Times New Roman"/>
          <w:sz w:val="24"/>
          <w:szCs w:val="24"/>
        </w:rPr>
        <w:t xml:space="preserve"> good for drinking and Irrigation and also </w:t>
      </w:r>
      <w:r w:rsidRPr="00391865">
        <w:rPr>
          <w:rFonts w:ascii="Times New Roman" w:hAnsi="Times New Roman" w:cs="Times New Roman"/>
          <w:sz w:val="24"/>
          <w:szCs w:val="24"/>
        </w:rPr>
        <w:t>has a positive trend during several months and seasons as far as the parameters studied in the research work is considered with significance correlation between the water level and monsoon rainfall..  The outer skirt of the dam is shunk considerably due to the aggressive and rapid urbanization process and uncontrolled encroachment, we need to spread awareness among people in order to maintain pollution. Hence the finding are crucial for water resource management and planning in th</w:t>
      </w:r>
      <w:r w:rsidR="00C10A6C">
        <w:rPr>
          <w:rFonts w:ascii="Times New Roman" w:hAnsi="Times New Roman" w:cs="Times New Roman"/>
          <w:sz w:val="24"/>
          <w:szCs w:val="24"/>
        </w:rPr>
        <w:t xml:space="preserve">is </w:t>
      </w:r>
      <w:r w:rsidRPr="00391865">
        <w:rPr>
          <w:rFonts w:ascii="Times New Roman" w:hAnsi="Times New Roman" w:cs="Times New Roman"/>
          <w:sz w:val="24"/>
          <w:szCs w:val="24"/>
        </w:rPr>
        <w:t>region.</w:t>
      </w:r>
    </w:p>
    <w:p w:rsidR="00F91FC2" w:rsidRDefault="00F91FC2" w:rsidP="00BE44CC">
      <w:pPr>
        <w:jc w:val="both"/>
        <w:rPr>
          <w:rFonts w:ascii="Times New Roman" w:hAnsi="Times New Roman" w:cs="Times New Roman"/>
          <w:sz w:val="24"/>
          <w:szCs w:val="24"/>
        </w:rPr>
      </w:pPr>
    </w:p>
    <w:p w:rsidR="00F91FC2" w:rsidRPr="00391865" w:rsidRDefault="00F91FC2" w:rsidP="00BE44CC">
      <w:pPr>
        <w:jc w:val="both"/>
        <w:rPr>
          <w:rFonts w:ascii="Times New Roman" w:hAnsi="Times New Roman" w:cs="Times New Roman"/>
          <w:sz w:val="24"/>
          <w:szCs w:val="24"/>
        </w:rPr>
      </w:pPr>
    </w:p>
    <w:p w:rsidR="00BE44CC" w:rsidRPr="00F91FC2" w:rsidRDefault="00BE44CC" w:rsidP="00BE44CC">
      <w:pPr>
        <w:jc w:val="both"/>
        <w:rPr>
          <w:rFonts w:ascii="Times New Roman" w:hAnsi="Times New Roman" w:cs="Times New Roman"/>
          <w:b/>
          <w:sz w:val="24"/>
          <w:szCs w:val="24"/>
        </w:rPr>
      </w:pPr>
      <w:r w:rsidRPr="00F91FC2">
        <w:rPr>
          <w:rFonts w:ascii="Times New Roman" w:hAnsi="Times New Roman" w:cs="Times New Roman"/>
          <w:b/>
          <w:sz w:val="24"/>
          <w:szCs w:val="24"/>
        </w:rPr>
        <w:t>REFRENCES</w:t>
      </w:r>
    </w:p>
    <w:p w:rsidR="00C12D25" w:rsidRPr="006501B6" w:rsidRDefault="000043DD" w:rsidP="00BE44CC">
      <w:pPr>
        <w:jc w:val="both"/>
        <w:rPr>
          <w:rFonts w:ascii="Times New Roman" w:hAnsi="Times New Roman" w:cs="Times New Roman"/>
          <w:sz w:val="24"/>
        </w:rPr>
      </w:pPr>
      <w:r w:rsidRPr="00F91FC2">
        <w:rPr>
          <w:rFonts w:ascii="Times New Roman" w:hAnsi="Times New Roman" w:cs="Times New Roman"/>
          <w:sz w:val="24"/>
        </w:rPr>
        <w:t xml:space="preserve"> </w:t>
      </w:r>
      <w:r w:rsidR="00BE44CC" w:rsidRPr="00F91FC2">
        <w:rPr>
          <w:rFonts w:ascii="Times New Roman" w:hAnsi="Times New Roman" w:cs="Times New Roman"/>
          <w:sz w:val="24"/>
        </w:rPr>
        <w:t xml:space="preserve">[1] </w:t>
      </w:r>
      <w:r w:rsidR="006501B6">
        <w:rPr>
          <w:rFonts w:ascii="Times New Roman" w:hAnsi="Times New Roman" w:cs="Times New Roman"/>
          <w:sz w:val="24"/>
        </w:rPr>
        <w:t xml:space="preserve"> Abdullah.,H.,C &amp; Abdullah,m A.,M. (2006). Physico-chemical conditions and plankton population of two fishpond in Khulna. </w:t>
      </w:r>
      <w:r w:rsidR="006501B6">
        <w:rPr>
          <w:rFonts w:ascii="Times New Roman" w:hAnsi="Times New Roman" w:cs="Times New Roman"/>
          <w:i/>
          <w:sz w:val="24"/>
        </w:rPr>
        <w:t xml:space="preserve">Univ.J.Zool.Rajshahi Univ. </w:t>
      </w:r>
      <w:r w:rsidR="006501B6">
        <w:rPr>
          <w:rFonts w:ascii="Times New Roman" w:hAnsi="Times New Roman" w:cs="Times New Roman"/>
          <w:sz w:val="24"/>
        </w:rPr>
        <w:t>Vol.</w:t>
      </w:r>
      <w:r w:rsidR="006501B6">
        <w:rPr>
          <w:rFonts w:ascii="Times New Roman" w:hAnsi="Times New Roman" w:cs="Times New Roman"/>
          <w:b/>
          <w:sz w:val="24"/>
        </w:rPr>
        <w:t xml:space="preserve">25, </w:t>
      </w:r>
      <w:r w:rsidR="006501B6">
        <w:rPr>
          <w:rFonts w:ascii="Times New Roman" w:hAnsi="Times New Roman" w:cs="Times New Roman"/>
          <w:sz w:val="24"/>
        </w:rPr>
        <w:t>pp.41-44.</w:t>
      </w:r>
    </w:p>
    <w:p w:rsidR="00BE44CC" w:rsidRPr="00F91FC2" w:rsidRDefault="00C12D25" w:rsidP="00BE44CC">
      <w:pPr>
        <w:jc w:val="both"/>
        <w:rPr>
          <w:rFonts w:ascii="Times New Roman" w:hAnsi="Times New Roman" w:cs="Times New Roman"/>
          <w:sz w:val="24"/>
        </w:rPr>
      </w:pPr>
      <w:r>
        <w:rPr>
          <w:rFonts w:ascii="Times New Roman" w:hAnsi="Times New Roman" w:cs="Times New Roman"/>
          <w:sz w:val="24"/>
        </w:rPr>
        <w:t xml:space="preserve">[2]   </w:t>
      </w:r>
      <w:r w:rsidR="00BE44CC" w:rsidRPr="00F91FC2">
        <w:rPr>
          <w:rFonts w:ascii="Times New Roman" w:hAnsi="Times New Roman" w:cs="Times New Roman"/>
          <w:sz w:val="24"/>
        </w:rPr>
        <w:t xml:space="preserve">Akin.M., Akin.G., Suyun Omemi., Turkiye de Su Potansiyeli., Su Havzslari ve Su Kirliligi. (2007). </w:t>
      </w:r>
      <w:r w:rsidR="00BE44CC" w:rsidRPr="00F91FC2">
        <w:rPr>
          <w:rFonts w:ascii="Times New Roman" w:hAnsi="Times New Roman" w:cs="Times New Roman"/>
          <w:i/>
          <w:sz w:val="24"/>
        </w:rPr>
        <w:t>Ankara Universitesi Dil ve Tarih – Cografya Fakultesi Dergisi.</w:t>
      </w:r>
      <w:r w:rsidR="00BE44CC" w:rsidRPr="00F91FC2">
        <w:rPr>
          <w:rFonts w:ascii="Times New Roman" w:hAnsi="Times New Roman" w:cs="Times New Roman"/>
          <w:sz w:val="24"/>
        </w:rPr>
        <w:t xml:space="preserve">, </w:t>
      </w:r>
      <w:r w:rsidR="00BE44CC" w:rsidRPr="00F91FC2">
        <w:rPr>
          <w:rFonts w:ascii="Times New Roman" w:hAnsi="Times New Roman" w:cs="Times New Roman"/>
          <w:b/>
          <w:sz w:val="24"/>
        </w:rPr>
        <w:t>47(2)</w:t>
      </w:r>
      <w:r w:rsidR="00BE44CC" w:rsidRPr="00F91FC2">
        <w:rPr>
          <w:rFonts w:ascii="Times New Roman" w:hAnsi="Times New Roman" w:cs="Times New Roman"/>
          <w:sz w:val="24"/>
        </w:rPr>
        <w:t>:105 – 118.</w:t>
      </w:r>
    </w:p>
    <w:p w:rsidR="00BE44CC" w:rsidRPr="00F91FC2" w:rsidRDefault="00BE44CC" w:rsidP="00BE44CC">
      <w:pPr>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3</w:t>
      </w:r>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Pr="00F91FC2">
        <w:rPr>
          <w:rFonts w:ascii="Times New Roman" w:hAnsi="Times New Roman" w:cs="Times New Roman"/>
          <w:sz w:val="24"/>
        </w:rPr>
        <w:t xml:space="preserve">Bisht.A.S., Ali,G., Rawat.D.S and Pandey.N.N (2013) Physico chemical behaviour of three different water bodies of subtropical Himalayan regionof India. </w:t>
      </w:r>
      <w:r w:rsidRPr="00F91FC2">
        <w:rPr>
          <w:rFonts w:ascii="Times New Roman" w:hAnsi="Times New Roman" w:cs="Times New Roman"/>
          <w:i/>
          <w:sz w:val="24"/>
        </w:rPr>
        <w:t xml:space="preserve">Journal of Ecology and Natural Environment. </w:t>
      </w:r>
      <w:r w:rsidRPr="00F91FC2">
        <w:rPr>
          <w:rFonts w:ascii="Times New Roman" w:hAnsi="Times New Roman" w:cs="Times New Roman"/>
          <w:b/>
          <w:sz w:val="24"/>
        </w:rPr>
        <w:t xml:space="preserve">5(12) </w:t>
      </w:r>
      <w:r w:rsidRPr="00F91FC2">
        <w:rPr>
          <w:rFonts w:ascii="Times New Roman" w:hAnsi="Times New Roman" w:cs="Times New Roman"/>
          <w:sz w:val="24"/>
        </w:rPr>
        <w:t>:387 -395</w:t>
      </w:r>
    </w:p>
    <w:p w:rsidR="00BE44CC" w:rsidRPr="00F91FC2" w:rsidRDefault="00BE44CC" w:rsidP="00BE44CC">
      <w:pPr>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4</w:t>
      </w:r>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Pr="00F91FC2">
        <w:rPr>
          <w:rFonts w:ascii="Times New Roman" w:hAnsi="Times New Roman" w:cs="Times New Roman"/>
          <w:sz w:val="24"/>
        </w:rPr>
        <w:t>Cepel.N., Ergun.C., (2003)</w:t>
      </w:r>
      <w:r w:rsidRPr="00F91FC2">
        <w:rPr>
          <w:rFonts w:ascii="Times New Roman" w:hAnsi="Times New Roman" w:cs="Times New Roman"/>
          <w:i/>
          <w:sz w:val="24"/>
        </w:rPr>
        <w:t>The Importance of water and its Ecological Problems.</w:t>
      </w:r>
      <w:r w:rsidRPr="00F91FC2">
        <w:rPr>
          <w:rFonts w:ascii="Times New Roman" w:hAnsi="Times New Roman" w:cs="Times New Roman"/>
          <w:sz w:val="24"/>
        </w:rPr>
        <w:t>.</w:t>
      </w:r>
    </w:p>
    <w:p w:rsidR="00BE44CC" w:rsidRPr="00F91FC2"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lastRenderedPageBreak/>
        <w:t>[</w:t>
      </w:r>
      <w:r w:rsidR="00C12D25">
        <w:rPr>
          <w:rFonts w:ascii="Times New Roman" w:hAnsi="Times New Roman" w:cs="Times New Roman"/>
          <w:sz w:val="24"/>
        </w:rPr>
        <w:t>5</w:t>
      </w:r>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Pr="00F91FC2">
        <w:rPr>
          <w:rFonts w:ascii="Times New Roman" w:hAnsi="Times New Roman" w:cs="Times New Roman"/>
          <w:sz w:val="24"/>
        </w:rPr>
        <w:t xml:space="preserve">Choudhary.R., Rawtani.P,,Viswakarma.M. (2011) Comparative study of drinking water quality parameters of three Manmade Reservoirs i.e., Kolar, Kaliasote and Kerwa Dam. </w:t>
      </w:r>
      <w:r w:rsidRPr="00F91FC2">
        <w:rPr>
          <w:rFonts w:ascii="Times New Roman" w:hAnsi="Times New Roman" w:cs="Times New Roman"/>
          <w:i/>
          <w:sz w:val="24"/>
        </w:rPr>
        <w:t xml:space="preserve">Curr World Environ. </w:t>
      </w:r>
      <w:r w:rsidRPr="00F91FC2">
        <w:rPr>
          <w:rFonts w:ascii="Times New Roman" w:hAnsi="Times New Roman" w:cs="Times New Roman"/>
          <w:b/>
          <w:sz w:val="24"/>
        </w:rPr>
        <w:t>6(1)</w:t>
      </w:r>
      <w:r w:rsidRPr="00F91FC2">
        <w:rPr>
          <w:rFonts w:ascii="Times New Roman" w:hAnsi="Times New Roman" w:cs="Times New Roman"/>
          <w:sz w:val="24"/>
        </w:rPr>
        <w:t>:</w:t>
      </w:r>
      <w:r w:rsidRPr="00F91FC2">
        <w:rPr>
          <w:rFonts w:ascii="Times New Roman" w:hAnsi="Times New Roman" w:cs="Times New Roman"/>
          <w:sz w:val="24"/>
          <w:u w:val="single"/>
        </w:rPr>
        <w:t xml:space="preserve"> </w:t>
      </w:r>
      <w:r w:rsidRPr="00F91FC2">
        <w:rPr>
          <w:rFonts w:ascii="Times New Roman" w:hAnsi="Times New Roman" w:cs="Times New Roman"/>
          <w:sz w:val="24"/>
        </w:rPr>
        <w:t>145 – 149.</w:t>
      </w:r>
    </w:p>
    <w:p w:rsidR="00BE44CC" w:rsidRPr="00F91FC2"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6</w:t>
      </w:r>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Pr="00F91FC2">
        <w:rPr>
          <w:rFonts w:ascii="Times New Roman" w:hAnsi="Times New Roman" w:cs="Times New Roman"/>
          <w:sz w:val="24"/>
        </w:rPr>
        <w:t xml:space="preserve">Das.P., Chatterjee.A.,( 2025) A Comparative Study of Water Assessment of Distinct Dam in Ranchi, India. </w:t>
      </w:r>
      <w:r w:rsidRPr="00F91FC2">
        <w:rPr>
          <w:rFonts w:ascii="Times New Roman" w:hAnsi="Times New Roman" w:cs="Times New Roman"/>
          <w:i/>
          <w:sz w:val="24"/>
        </w:rPr>
        <w:t>Water Environ Res</w:t>
      </w:r>
      <w:r w:rsidRPr="00F91FC2">
        <w:rPr>
          <w:rFonts w:ascii="Times New Roman" w:hAnsi="Times New Roman" w:cs="Times New Roman"/>
          <w:sz w:val="24"/>
        </w:rPr>
        <w:t>.Jul,</w:t>
      </w:r>
      <w:r w:rsidRPr="00F91FC2">
        <w:rPr>
          <w:rFonts w:ascii="Times New Roman" w:hAnsi="Times New Roman" w:cs="Times New Roman"/>
          <w:b/>
          <w:sz w:val="24"/>
        </w:rPr>
        <w:t>97(7)</w:t>
      </w:r>
      <w:r w:rsidRPr="00F91FC2">
        <w:rPr>
          <w:rFonts w:ascii="Times New Roman" w:hAnsi="Times New Roman" w:cs="Times New Roman"/>
          <w:sz w:val="24"/>
        </w:rPr>
        <w:t>. E70138. Doi: 10.1002/wer.70138. PMID:40673405.</w:t>
      </w:r>
    </w:p>
    <w:p w:rsidR="006501B6" w:rsidRPr="00C84DBF"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w:t>
      </w:r>
      <w:r w:rsidR="00C12D25">
        <w:rPr>
          <w:rFonts w:ascii="Times New Roman" w:hAnsi="Times New Roman" w:cs="Times New Roman"/>
          <w:sz w:val="24"/>
        </w:rPr>
        <w:t>7</w:t>
      </w:r>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00C84DBF">
        <w:rPr>
          <w:rFonts w:ascii="Times New Roman" w:hAnsi="Times New Roman" w:cs="Times New Roman"/>
          <w:sz w:val="24"/>
        </w:rPr>
        <w:t xml:space="preserve">Dhaswadikar.,U.,S. (2022). Study of the physio-chemical parameters for testing water: A review. </w:t>
      </w:r>
      <w:r w:rsidR="00C84DBF">
        <w:rPr>
          <w:rFonts w:ascii="Times New Roman" w:hAnsi="Times New Roman" w:cs="Times New Roman"/>
          <w:b/>
          <w:sz w:val="24"/>
        </w:rPr>
        <w:t>14(3)</w:t>
      </w:r>
      <w:r w:rsidR="00C84DBF">
        <w:rPr>
          <w:rFonts w:ascii="Times New Roman" w:hAnsi="Times New Roman" w:cs="Times New Roman"/>
          <w:sz w:val="24"/>
        </w:rPr>
        <w:t>: 570-575.</w:t>
      </w:r>
    </w:p>
    <w:p w:rsidR="00BE44CC" w:rsidRPr="00F91FC2" w:rsidRDefault="00C84DBF" w:rsidP="00BE44CC">
      <w:pPr>
        <w:spacing w:line="240" w:lineRule="auto"/>
        <w:jc w:val="both"/>
        <w:rPr>
          <w:rFonts w:ascii="Times New Roman" w:hAnsi="Times New Roman" w:cs="Times New Roman"/>
          <w:sz w:val="24"/>
        </w:rPr>
      </w:pPr>
      <w:r>
        <w:rPr>
          <w:rFonts w:ascii="Times New Roman" w:hAnsi="Times New Roman" w:cs="Times New Roman"/>
          <w:sz w:val="24"/>
        </w:rPr>
        <w:t xml:space="preserve">[8]  </w:t>
      </w:r>
      <w:r w:rsidR="00BE44CC" w:rsidRPr="00F91FC2">
        <w:rPr>
          <w:rFonts w:ascii="Times New Roman" w:hAnsi="Times New Roman" w:cs="Times New Roman"/>
          <w:sz w:val="24"/>
        </w:rPr>
        <w:t>EFS (Environmental Fact Sheet) (2010) Sodium and Chloride in drinking water.</w:t>
      </w:r>
    </w:p>
    <w:p w:rsidR="00BE44CC" w:rsidRPr="00F91FC2"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w:t>
      </w:r>
      <w:r w:rsidR="00C84DBF">
        <w:rPr>
          <w:rFonts w:ascii="Times New Roman" w:hAnsi="Times New Roman" w:cs="Times New Roman"/>
          <w:sz w:val="24"/>
        </w:rPr>
        <w:t>9</w:t>
      </w:r>
      <w:r w:rsidRPr="00F91FC2">
        <w:rPr>
          <w:rFonts w:ascii="Times New Roman" w:hAnsi="Times New Roman" w:cs="Times New Roman"/>
          <w:sz w:val="24"/>
        </w:rPr>
        <w:t xml:space="preserve">] Krishnan.R.R., K. Dharmaraj and B.D.R. Kumari.(2007) Comparative study on the Physocochemical and Bacterial Analysis of Drinking, Borewell and Sewage Water in the three different places of Sivakasi. </w:t>
      </w:r>
      <w:r w:rsidRPr="00F91FC2">
        <w:rPr>
          <w:rFonts w:ascii="Times New Roman" w:hAnsi="Times New Roman" w:cs="Times New Roman"/>
          <w:i/>
          <w:sz w:val="24"/>
        </w:rPr>
        <w:t xml:space="preserve">Journal of Environmental Bio;ogy. </w:t>
      </w:r>
      <w:r w:rsidRPr="00F91FC2">
        <w:rPr>
          <w:rFonts w:ascii="Times New Roman" w:hAnsi="Times New Roman" w:cs="Times New Roman"/>
          <w:b/>
          <w:sz w:val="24"/>
        </w:rPr>
        <w:t>28(1)</w:t>
      </w:r>
      <w:r w:rsidRPr="00F91FC2">
        <w:rPr>
          <w:rFonts w:ascii="Times New Roman" w:hAnsi="Times New Roman" w:cs="Times New Roman"/>
          <w:sz w:val="24"/>
        </w:rPr>
        <w:t>: 105 – 108.</w:t>
      </w:r>
    </w:p>
    <w:p w:rsidR="00BE44CC" w:rsidRPr="00F91FC2" w:rsidRDefault="00BE44CC" w:rsidP="00BE44CC">
      <w:pPr>
        <w:spacing w:before="100" w:beforeAutospacing="1" w:after="100" w:afterAutospacing="1" w:line="240" w:lineRule="auto"/>
        <w:ind w:right="-330"/>
        <w:rPr>
          <w:rFonts w:ascii="Times New Roman" w:eastAsia="Times New Roman" w:hAnsi="Times New Roman" w:cs="Times New Roman"/>
          <w:sz w:val="24"/>
          <w:lang w:eastAsia="en-IN"/>
        </w:rPr>
      </w:pPr>
      <w:r w:rsidRPr="00F91FC2">
        <w:rPr>
          <w:rFonts w:ascii="Times New Roman" w:hAnsi="Times New Roman" w:cs="Times New Roman"/>
          <w:sz w:val="24"/>
        </w:rPr>
        <w:t>[</w:t>
      </w:r>
      <w:r w:rsidR="00C84DBF">
        <w:rPr>
          <w:rFonts w:ascii="Times New Roman" w:hAnsi="Times New Roman" w:cs="Times New Roman"/>
          <w:sz w:val="24"/>
        </w:rPr>
        <w:t>10</w:t>
      </w:r>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Pr="00F91FC2">
        <w:rPr>
          <w:rFonts w:ascii="Times New Roman" w:eastAsia="Times New Roman" w:hAnsi="Times New Roman" w:cs="Times New Roman"/>
          <w:sz w:val="24"/>
          <w:lang w:eastAsia="en-IN"/>
        </w:rPr>
        <w:t xml:space="preserve">Michael.C.M (1984). </w:t>
      </w:r>
      <w:r w:rsidRPr="00F91FC2">
        <w:rPr>
          <w:rFonts w:ascii="Times New Roman" w:eastAsia="Times New Roman" w:hAnsi="Times New Roman" w:cs="Times New Roman"/>
          <w:i/>
          <w:sz w:val="24"/>
          <w:lang w:eastAsia="en-IN"/>
        </w:rPr>
        <w:t xml:space="preserve">Professional opportunities for home economists in the home equipment and related product industries </w:t>
      </w:r>
      <w:r w:rsidRPr="00F91FC2">
        <w:rPr>
          <w:rFonts w:ascii="Times New Roman" w:eastAsia="Times New Roman" w:hAnsi="Times New Roman" w:cs="Times New Roman"/>
          <w:sz w:val="24"/>
          <w:lang w:eastAsia="en-IN"/>
        </w:rPr>
        <w:t xml:space="preserve">[Doctoral dissertation, Ohio State University]. OhioLINK Electronic Theses and Dissertation Center. </w:t>
      </w:r>
      <w:hyperlink r:id="rId19" w:history="1">
        <w:r w:rsidRPr="00F91FC2">
          <w:rPr>
            <w:rStyle w:val="Hyperlink"/>
            <w:rFonts w:ascii="Times New Roman" w:eastAsia="Times New Roman" w:hAnsi="Times New Roman" w:cs="Times New Roman"/>
            <w:sz w:val="24"/>
            <w:lang w:eastAsia="en-IN"/>
          </w:rPr>
          <w:t>http://rave.ohiolink.edu/etdc/view</w:t>
        </w:r>
      </w:hyperlink>
      <w:r w:rsidRPr="00F91FC2">
        <w:rPr>
          <w:rFonts w:ascii="Times New Roman" w:eastAsia="Times New Roman" w:hAnsi="Times New Roman" w:cs="Times New Roman"/>
          <w:sz w:val="24"/>
          <w:lang w:eastAsia="en-IN"/>
        </w:rPr>
        <w:t>? Acc_num = osu1487254797380759.</w:t>
      </w:r>
    </w:p>
    <w:p w:rsidR="00BE44CC" w:rsidRPr="00F91FC2" w:rsidRDefault="00BE44CC" w:rsidP="00BE44CC">
      <w:pPr>
        <w:spacing w:before="100" w:beforeAutospacing="1" w:after="100" w:afterAutospacing="1" w:line="240" w:lineRule="auto"/>
        <w:ind w:right="-330"/>
        <w:rPr>
          <w:rFonts w:ascii="Times New Roman" w:eastAsia="Times New Roman" w:hAnsi="Times New Roman" w:cs="Times New Roman"/>
          <w:b/>
          <w:i/>
          <w:sz w:val="24"/>
          <w:lang w:eastAsia="en-IN"/>
        </w:rPr>
      </w:pPr>
      <w:r w:rsidRPr="00F91FC2">
        <w:rPr>
          <w:rFonts w:ascii="Times New Roman" w:eastAsia="Times New Roman" w:hAnsi="Times New Roman" w:cs="Times New Roman"/>
          <w:sz w:val="24"/>
          <w:lang w:eastAsia="en-IN"/>
        </w:rPr>
        <w:t>[</w:t>
      </w:r>
      <w:r w:rsidR="00C12D25">
        <w:rPr>
          <w:rFonts w:ascii="Times New Roman" w:eastAsia="Times New Roman" w:hAnsi="Times New Roman" w:cs="Times New Roman"/>
          <w:sz w:val="24"/>
          <w:lang w:eastAsia="en-IN"/>
        </w:rPr>
        <w:t>1</w:t>
      </w:r>
      <w:r w:rsidR="00C84DBF">
        <w:rPr>
          <w:rFonts w:ascii="Times New Roman" w:eastAsia="Times New Roman" w:hAnsi="Times New Roman" w:cs="Times New Roman"/>
          <w:sz w:val="24"/>
          <w:lang w:eastAsia="en-IN"/>
        </w:rPr>
        <w:t>1</w:t>
      </w:r>
      <w:r w:rsidRPr="00F91FC2">
        <w:rPr>
          <w:rFonts w:ascii="Times New Roman" w:eastAsia="Times New Roman" w:hAnsi="Times New Roman" w:cs="Times New Roman"/>
          <w:sz w:val="24"/>
          <w:lang w:eastAsia="en-IN"/>
        </w:rPr>
        <w:t xml:space="preserve">] </w:t>
      </w:r>
      <w:r w:rsidR="006501B6">
        <w:rPr>
          <w:rFonts w:ascii="Times New Roman" w:eastAsia="Times New Roman" w:hAnsi="Times New Roman" w:cs="Times New Roman"/>
          <w:sz w:val="24"/>
          <w:lang w:eastAsia="en-IN"/>
        </w:rPr>
        <w:t xml:space="preserve"> </w:t>
      </w:r>
      <w:r w:rsidRPr="00F91FC2">
        <w:rPr>
          <w:rFonts w:ascii="Times New Roman" w:eastAsia="Times New Roman" w:hAnsi="Times New Roman" w:cs="Times New Roman"/>
          <w:sz w:val="24"/>
          <w:lang w:eastAsia="en-IN"/>
        </w:rPr>
        <w:t xml:space="preserve">Minnesota Pollution Control Agency. (2008) Nutrients: phosphorus, nitrogen sources, impact ON WATER QUALITY. </w:t>
      </w:r>
      <w:r w:rsidRPr="00F91FC2">
        <w:rPr>
          <w:rFonts w:ascii="Times New Roman" w:eastAsia="Times New Roman" w:hAnsi="Times New Roman" w:cs="Times New Roman"/>
          <w:i/>
          <w:sz w:val="24"/>
          <w:lang w:eastAsia="en-IN"/>
        </w:rPr>
        <w:t xml:space="preserve">Waterquality/impared waters </w:t>
      </w:r>
      <w:r w:rsidRPr="00F91FC2">
        <w:rPr>
          <w:rFonts w:ascii="Times New Roman" w:eastAsia="Times New Roman" w:hAnsi="Times New Roman" w:cs="Times New Roman"/>
          <w:sz w:val="24"/>
          <w:lang w:eastAsia="en-IN"/>
        </w:rPr>
        <w:t xml:space="preserve">no. </w:t>
      </w:r>
      <w:r w:rsidRPr="00F91FC2">
        <w:rPr>
          <w:rFonts w:ascii="Times New Roman" w:eastAsia="Times New Roman" w:hAnsi="Times New Roman" w:cs="Times New Roman"/>
          <w:b/>
          <w:sz w:val="24"/>
          <w:lang w:eastAsia="en-IN"/>
        </w:rPr>
        <w:t>3.22.</w:t>
      </w:r>
    </w:p>
    <w:p w:rsidR="00BE44CC" w:rsidRDefault="00BE44CC" w:rsidP="00BE44CC">
      <w:pPr>
        <w:spacing w:line="240" w:lineRule="auto"/>
        <w:jc w:val="both"/>
        <w:rPr>
          <w:rFonts w:ascii="Times New Roman" w:hAnsi="Times New Roman" w:cs="Times New Roman"/>
          <w:sz w:val="24"/>
        </w:rPr>
      </w:pPr>
      <w:r w:rsidRPr="00F91FC2">
        <w:rPr>
          <w:rFonts w:ascii="Times New Roman" w:hAnsi="Times New Roman" w:cs="Times New Roman"/>
          <w:sz w:val="24"/>
        </w:rPr>
        <w:t>[1</w:t>
      </w:r>
      <w:r w:rsidR="00C84DBF">
        <w:rPr>
          <w:rFonts w:ascii="Times New Roman" w:hAnsi="Times New Roman" w:cs="Times New Roman"/>
          <w:sz w:val="24"/>
        </w:rPr>
        <w:t>2</w:t>
      </w:r>
      <w:r w:rsidRPr="00F91FC2">
        <w:rPr>
          <w:rFonts w:ascii="Times New Roman" w:hAnsi="Times New Roman" w:cs="Times New Roman"/>
          <w:sz w:val="24"/>
        </w:rPr>
        <w:t xml:space="preserve">] </w:t>
      </w:r>
      <w:r w:rsidR="006501B6">
        <w:rPr>
          <w:rFonts w:ascii="Times New Roman" w:hAnsi="Times New Roman" w:cs="Times New Roman"/>
          <w:sz w:val="24"/>
        </w:rPr>
        <w:t xml:space="preserve"> </w:t>
      </w:r>
      <w:r w:rsidRPr="00F91FC2">
        <w:rPr>
          <w:rFonts w:ascii="Times New Roman" w:hAnsi="Times New Roman" w:cs="Times New Roman"/>
          <w:sz w:val="24"/>
        </w:rPr>
        <w:t xml:space="preserve">Rim-Rukeh, A., Physico-Chemical and biological characteristics of stagnant water bodies (ponds and lakes) used for drinking and domestic purpose in Niger Delta, Nigeria. </w:t>
      </w:r>
      <w:r w:rsidRPr="00F91FC2">
        <w:rPr>
          <w:rFonts w:ascii="Times New Roman" w:hAnsi="Times New Roman" w:cs="Times New Roman"/>
          <w:i/>
          <w:sz w:val="24"/>
        </w:rPr>
        <w:t xml:space="preserve">Journal of Environmental Protection, </w:t>
      </w:r>
      <w:r w:rsidRPr="00F91FC2">
        <w:rPr>
          <w:rFonts w:ascii="Times New Roman" w:hAnsi="Times New Roman" w:cs="Times New Roman"/>
          <w:b/>
          <w:sz w:val="24"/>
        </w:rPr>
        <w:t>4:</w:t>
      </w:r>
      <w:r w:rsidRPr="00F91FC2">
        <w:rPr>
          <w:rFonts w:ascii="Times New Roman" w:hAnsi="Times New Roman" w:cs="Times New Roman"/>
          <w:sz w:val="24"/>
        </w:rPr>
        <w:t>920 – 828 (2013).</w:t>
      </w:r>
    </w:p>
    <w:p w:rsidR="006501B6" w:rsidRDefault="006501B6" w:rsidP="00BE44CC">
      <w:pPr>
        <w:spacing w:line="240" w:lineRule="auto"/>
        <w:jc w:val="both"/>
        <w:rPr>
          <w:rFonts w:ascii="Times New Roman" w:hAnsi="Times New Roman" w:cs="Times New Roman"/>
          <w:sz w:val="24"/>
        </w:rPr>
      </w:pPr>
    </w:p>
    <w:p w:rsidR="001056CF" w:rsidRDefault="001056CF">
      <w:pPr>
        <w:rPr>
          <w:sz w:val="24"/>
        </w:rPr>
      </w:pPr>
    </w:p>
    <w:sectPr w:rsidR="001056CF">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168" w:rsidRDefault="00AC4168">
      <w:pPr>
        <w:spacing w:after="0" w:line="240" w:lineRule="auto"/>
      </w:pPr>
      <w:r>
        <w:separator/>
      </w:r>
    </w:p>
  </w:endnote>
  <w:endnote w:type="continuationSeparator" w:id="0">
    <w:p w:rsidR="00AC4168" w:rsidRDefault="00A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341612"/>
      <w:docPartObj>
        <w:docPartGallery w:val="Page Numbers (Bottom of Page)"/>
        <w:docPartUnique/>
      </w:docPartObj>
    </w:sdtPr>
    <w:sdtEndPr>
      <w:rPr>
        <w:noProof/>
      </w:rPr>
    </w:sdtEndPr>
    <w:sdtContent>
      <w:p w:rsidR="006501B6" w:rsidRDefault="006501B6">
        <w:pPr>
          <w:pStyle w:val="Footer"/>
          <w:jc w:val="center"/>
        </w:pPr>
        <w:r>
          <w:fldChar w:fldCharType="begin"/>
        </w:r>
        <w:r>
          <w:instrText xml:space="preserve"> PAGE   \* MERGEFORMAT </w:instrText>
        </w:r>
        <w:r>
          <w:fldChar w:fldCharType="separate"/>
        </w:r>
        <w:r w:rsidR="00300DAA">
          <w:rPr>
            <w:noProof/>
          </w:rPr>
          <w:t>1</w:t>
        </w:r>
        <w:r>
          <w:rPr>
            <w:noProof/>
          </w:rPr>
          <w:fldChar w:fldCharType="end"/>
        </w:r>
      </w:p>
    </w:sdtContent>
  </w:sdt>
  <w:p w:rsidR="006501B6" w:rsidRDefault="00650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168" w:rsidRDefault="00AC4168">
      <w:pPr>
        <w:spacing w:after="0" w:line="240" w:lineRule="auto"/>
      </w:pPr>
      <w:r>
        <w:separator/>
      </w:r>
    </w:p>
  </w:footnote>
  <w:footnote w:type="continuationSeparator" w:id="0">
    <w:p w:rsidR="00AC4168" w:rsidRDefault="00AC41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1B6" w:rsidRDefault="006501B6">
    <w:pPr>
      <w:pStyle w:val="Header"/>
    </w:pPr>
  </w:p>
  <w:p w:rsidR="006501B6" w:rsidRDefault="006501B6">
    <w:pPr>
      <w:pStyle w:val="Header"/>
    </w:pPr>
  </w:p>
  <w:p w:rsidR="006501B6" w:rsidRDefault="006501B6">
    <w:pPr>
      <w:pStyle w:val="Header"/>
    </w:pPr>
  </w:p>
  <w:p w:rsidR="006501B6" w:rsidRDefault="00650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7C4E"/>
    <w:multiLevelType w:val="hybridMultilevel"/>
    <w:tmpl w:val="72EAEFAE"/>
    <w:lvl w:ilvl="0" w:tplc="61627F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522ADA"/>
    <w:multiLevelType w:val="hybridMultilevel"/>
    <w:tmpl w:val="5EDC8C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834020"/>
    <w:multiLevelType w:val="hybridMultilevel"/>
    <w:tmpl w:val="F34667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9274886"/>
    <w:multiLevelType w:val="hybridMultilevel"/>
    <w:tmpl w:val="1D9C3D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979209C"/>
    <w:multiLevelType w:val="hybridMultilevel"/>
    <w:tmpl w:val="C07E5336"/>
    <w:lvl w:ilvl="0" w:tplc="92487868">
      <w:start w:val="1"/>
      <w:numFmt w:val="decimal"/>
      <w:lvlText w:val="%1)"/>
      <w:lvlJc w:val="left"/>
      <w:pPr>
        <w:ind w:left="1429" w:hanging="360"/>
      </w:pPr>
    </w:lvl>
    <w:lvl w:ilvl="1" w:tplc="40090019">
      <w:start w:val="1"/>
      <w:numFmt w:val="lowerLetter"/>
      <w:lvlText w:val="%2."/>
      <w:lvlJc w:val="left"/>
      <w:pPr>
        <w:ind w:left="2149" w:hanging="360"/>
      </w:pPr>
    </w:lvl>
    <w:lvl w:ilvl="2" w:tplc="4009001B">
      <w:start w:val="1"/>
      <w:numFmt w:val="lowerRoman"/>
      <w:lvlText w:val="%3."/>
      <w:lvlJc w:val="right"/>
      <w:pPr>
        <w:ind w:left="2869" w:hanging="180"/>
      </w:pPr>
    </w:lvl>
    <w:lvl w:ilvl="3" w:tplc="4009000F">
      <w:start w:val="1"/>
      <w:numFmt w:val="decimal"/>
      <w:lvlText w:val="%4."/>
      <w:lvlJc w:val="left"/>
      <w:pPr>
        <w:ind w:left="3589" w:hanging="360"/>
      </w:pPr>
    </w:lvl>
    <w:lvl w:ilvl="4" w:tplc="40090019">
      <w:start w:val="1"/>
      <w:numFmt w:val="lowerLetter"/>
      <w:lvlText w:val="%5."/>
      <w:lvlJc w:val="left"/>
      <w:pPr>
        <w:ind w:left="4309" w:hanging="360"/>
      </w:pPr>
    </w:lvl>
    <w:lvl w:ilvl="5" w:tplc="4009001B">
      <w:start w:val="1"/>
      <w:numFmt w:val="lowerRoman"/>
      <w:lvlText w:val="%6."/>
      <w:lvlJc w:val="right"/>
      <w:pPr>
        <w:ind w:left="5029" w:hanging="180"/>
      </w:pPr>
    </w:lvl>
    <w:lvl w:ilvl="6" w:tplc="4009000F">
      <w:start w:val="1"/>
      <w:numFmt w:val="decimal"/>
      <w:lvlText w:val="%7."/>
      <w:lvlJc w:val="left"/>
      <w:pPr>
        <w:ind w:left="5749" w:hanging="360"/>
      </w:pPr>
    </w:lvl>
    <w:lvl w:ilvl="7" w:tplc="40090019">
      <w:start w:val="1"/>
      <w:numFmt w:val="lowerLetter"/>
      <w:lvlText w:val="%8."/>
      <w:lvlJc w:val="left"/>
      <w:pPr>
        <w:ind w:left="6469" w:hanging="360"/>
      </w:pPr>
    </w:lvl>
    <w:lvl w:ilvl="8" w:tplc="4009001B">
      <w:start w:val="1"/>
      <w:numFmt w:val="lowerRoman"/>
      <w:lvlText w:val="%9."/>
      <w:lvlJc w:val="right"/>
      <w:pPr>
        <w:ind w:left="7189" w:hanging="180"/>
      </w:pPr>
    </w:lvl>
  </w:abstractNum>
  <w:abstractNum w:abstractNumId="5">
    <w:nsid w:val="6992631E"/>
    <w:multiLevelType w:val="hybridMultilevel"/>
    <w:tmpl w:val="FB70B4C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E6"/>
    <w:rsid w:val="000043DD"/>
    <w:rsid w:val="001056CF"/>
    <w:rsid w:val="00190203"/>
    <w:rsid w:val="001D0579"/>
    <w:rsid w:val="001E1A3D"/>
    <w:rsid w:val="00206AE6"/>
    <w:rsid w:val="002139D9"/>
    <w:rsid w:val="00221A19"/>
    <w:rsid w:val="00235698"/>
    <w:rsid w:val="0024274D"/>
    <w:rsid w:val="00297495"/>
    <w:rsid w:val="00300DAA"/>
    <w:rsid w:val="00391865"/>
    <w:rsid w:val="00465A85"/>
    <w:rsid w:val="00475CB4"/>
    <w:rsid w:val="00511B83"/>
    <w:rsid w:val="0056500E"/>
    <w:rsid w:val="005B2C5A"/>
    <w:rsid w:val="006501B6"/>
    <w:rsid w:val="0068253C"/>
    <w:rsid w:val="006A17C0"/>
    <w:rsid w:val="006A5C4D"/>
    <w:rsid w:val="007527BA"/>
    <w:rsid w:val="00787C12"/>
    <w:rsid w:val="007B03B5"/>
    <w:rsid w:val="00871F54"/>
    <w:rsid w:val="008B161C"/>
    <w:rsid w:val="00942B36"/>
    <w:rsid w:val="00A032B9"/>
    <w:rsid w:val="00A14CCF"/>
    <w:rsid w:val="00AB7ECE"/>
    <w:rsid w:val="00AC4168"/>
    <w:rsid w:val="00BB233B"/>
    <w:rsid w:val="00BE44CC"/>
    <w:rsid w:val="00C10A6C"/>
    <w:rsid w:val="00C12D25"/>
    <w:rsid w:val="00C13B21"/>
    <w:rsid w:val="00C718C8"/>
    <w:rsid w:val="00C84DBF"/>
    <w:rsid w:val="00CC1742"/>
    <w:rsid w:val="00CF1FDC"/>
    <w:rsid w:val="00D400BF"/>
    <w:rsid w:val="00D40815"/>
    <w:rsid w:val="00D70E5B"/>
    <w:rsid w:val="00DE7FAA"/>
    <w:rsid w:val="00E06A06"/>
    <w:rsid w:val="00F2716C"/>
    <w:rsid w:val="00F3594F"/>
    <w:rsid w:val="00F73508"/>
    <w:rsid w:val="00F91FC2"/>
    <w:rsid w:val="00F9707B"/>
    <w:rsid w:val="00FF16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4CC"/>
    <w:rPr>
      <w:color w:val="0563C1" w:themeColor="hyperlink"/>
      <w:u w:val="single"/>
    </w:rPr>
  </w:style>
  <w:style w:type="paragraph" w:styleId="ListParagraph">
    <w:name w:val="List Paragraph"/>
    <w:basedOn w:val="Normal"/>
    <w:uiPriority w:val="34"/>
    <w:qFormat/>
    <w:rsid w:val="00BE44CC"/>
    <w:pPr>
      <w:spacing w:after="200" w:line="276" w:lineRule="auto"/>
      <w:ind w:left="720"/>
      <w:contextualSpacing/>
    </w:pPr>
    <w:rPr>
      <w:lang w:val="en-US"/>
    </w:rPr>
  </w:style>
  <w:style w:type="table" w:styleId="TableGrid">
    <w:name w:val="Table Grid"/>
    <w:basedOn w:val="TableNormal"/>
    <w:uiPriority w:val="59"/>
    <w:rsid w:val="00BE4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4CC"/>
  </w:style>
  <w:style w:type="paragraph" w:styleId="Footer">
    <w:name w:val="footer"/>
    <w:basedOn w:val="Normal"/>
    <w:link w:val="FooterChar"/>
    <w:uiPriority w:val="99"/>
    <w:unhideWhenUsed/>
    <w:rsid w:val="00BE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4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4CC"/>
    <w:rPr>
      <w:color w:val="0563C1" w:themeColor="hyperlink"/>
      <w:u w:val="single"/>
    </w:rPr>
  </w:style>
  <w:style w:type="paragraph" w:styleId="ListParagraph">
    <w:name w:val="List Paragraph"/>
    <w:basedOn w:val="Normal"/>
    <w:uiPriority w:val="34"/>
    <w:qFormat/>
    <w:rsid w:val="00BE44CC"/>
    <w:pPr>
      <w:spacing w:after="200" w:line="276" w:lineRule="auto"/>
      <w:ind w:left="720"/>
      <w:contextualSpacing/>
    </w:pPr>
    <w:rPr>
      <w:lang w:val="en-US"/>
    </w:rPr>
  </w:style>
  <w:style w:type="table" w:styleId="TableGrid">
    <w:name w:val="Table Grid"/>
    <w:basedOn w:val="TableNormal"/>
    <w:uiPriority w:val="59"/>
    <w:rsid w:val="00BE44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4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4CC"/>
  </w:style>
  <w:style w:type="paragraph" w:styleId="Footer">
    <w:name w:val="footer"/>
    <w:basedOn w:val="Normal"/>
    <w:link w:val="FooterChar"/>
    <w:uiPriority w:val="99"/>
    <w:unhideWhenUsed/>
    <w:rsid w:val="00BE4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rave.ohiolink.edu/etdc/view"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769174686497515E-2"/>
          <c:y val="0.16697444069491313"/>
          <c:w val="0.70812937445319335"/>
          <c:h val="0.62193694538182731"/>
        </c:manualLayout>
      </c:layout>
      <c:lineChart>
        <c:grouping val="standard"/>
        <c:varyColors val="0"/>
        <c:ser>
          <c:idx val="0"/>
          <c:order val="0"/>
          <c:tx>
            <c:strRef>
              <c:f>Sheet1!$B$1</c:f>
              <c:strCache>
                <c:ptCount val="1"/>
                <c:pt idx="0">
                  <c:v>Hydrogen ion concentration (pH)</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7.25</c:v>
                </c:pt>
                <c:pt idx="1">
                  <c:v>7.15</c:v>
                </c:pt>
                <c:pt idx="2">
                  <c:v>7.1</c:v>
                </c:pt>
                <c:pt idx="3">
                  <c:v>6.85</c:v>
                </c:pt>
                <c:pt idx="4">
                  <c:v>6.7</c:v>
                </c:pt>
                <c:pt idx="5">
                  <c:v>6.8</c:v>
                </c:pt>
                <c:pt idx="6">
                  <c:v>6.7</c:v>
                </c:pt>
                <c:pt idx="7">
                  <c:v>6.8</c:v>
                </c:pt>
                <c:pt idx="8">
                  <c:v>6.6</c:v>
                </c:pt>
                <c:pt idx="9">
                  <c:v>6.7</c:v>
                </c:pt>
                <c:pt idx="10">
                  <c:v>6.3</c:v>
                </c:pt>
                <c:pt idx="11">
                  <c:v>6.8</c:v>
                </c:pt>
                <c:pt idx="12">
                  <c:v>6.5</c:v>
                </c:pt>
                <c:pt idx="13">
                  <c:v>6.6</c:v>
                </c:pt>
                <c:pt idx="14">
                  <c:v>6.7</c:v>
                </c:pt>
                <c:pt idx="15">
                  <c:v>6.8</c:v>
                </c:pt>
                <c:pt idx="16">
                  <c:v>6.6</c:v>
                </c:pt>
                <c:pt idx="17">
                  <c:v>6.4</c:v>
                </c:pt>
                <c:pt idx="18">
                  <c:v>6.5</c:v>
                </c:pt>
                <c:pt idx="19">
                  <c:v>6.6</c:v>
                </c:pt>
                <c:pt idx="20">
                  <c:v>6.8</c:v>
                </c:pt>
                <c:pt idx="21">
                  <c:v>6.4</c:v>
                </c:pt>
                <c:pt idx="22">
                  <c:v>6.3</c:v>
                </c:pt>
                <c:pt idx="23">
                  <c:v>6.5</c:v>
                </c:pt>
              </c:numCache>
            </c:numRef>
          </c:val>
          <c:smooth val="0"/>
        </c:ser>
        <c:dLbls>
          <c:showLegendKey val="0"/>
          <c:showVal val="0"/>
          <c:showCatName val="0"/>
          <c:showSerName val="0"/>
          <c:showPercent val="0"/>
          <c:showBubbleSize val="0"/>
        </c:dLbls>
        <c:marker val="1"/>
        <c:smooth val="0"/>
        <c:axId val="171599872"/>
        <c:axId val="173336832"/>
      </c:lineChart>
      <c:catAx>
        <c:axId val="1715998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73336832"/>
        <c:crosses val="autoZero"/>
        <c:auto val="1"/>
        <c:lblAlgn val="ctr"/>
        <c:lblOffset val="100"/>
        <c:noMultiLvlLbl val="0"/>
      </c:catAx>
      <c:valAx>
        <c:axId val="17333683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71599872"/>
        <c:crosses val="autoZero"/>
        <c:crossBetween val="between"/>
      </c:valAx>
    </c:plotArea>
    <c:legend>
      <c:legendPos val="r"/>
      <c:layout>
        <c:manualLayout>
          <c:xMode val="edge"/>
          <c:yMode val="edge"/>
          <c:x val="0.78687335958005244"/>
          <c:y val="0.37081771028621413"/>
          <c:w val="0.1992377515310586"/>
          <c:h val="0.27810679915010622"/>
        </c:manualLayout>
      </c:layout>
      <c:overlay val="0"/>
      <c:txPr>
        <a:bodyPr/>
        <a:lstStyle/>
        <a:p>
          <a:pPr>
            <a:defRPr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4.631361184018664E-2"/>
          <c:y val="0.23151308304891924"/>
          <c:w val="0.75296879556722063"/>
          <c:h val="0.4354948805460751"/>
        </c:manualLayout>
      </c:layout>
      <c:lineChart>
        <c:grouping val="stacked"/>
        <c:varyColors val="0"/>
        <c:ser>
          <c:idx val="0"/>
          <c:order val="0"/>
          <c:tx>
            <c:strRef>
              <c:f>Sheet1!$B$1</c:f>
              <c:strCache>
                <c:ptCount val="1"/>
                <c:pt idx="0">
                  <c:v>Ammonical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0.13500000000000001</c:v>
                </c:pt>
                <c:pt idx="1">
                  <c:v>0.14499999999999999</c:v>
                </c:pt>
                <c:pt idx="2">
                  <c:v>9.8000000000000004E-2</c:v>
                </c:pt>
                <c:pt idx="3">
                  <c:v>6.7000000000000004E-2</c:v>
                </c:pt>
                <c:pt idx="4">
                  <c:v>0.03</c:v>
                </c:pt>
                <c:pt idx="5">
                  <c:v>3.5999999999999997E-2</c:v>
                </c:pt>
                <c:pt idx="6">
                  <c:v>3.7999999999999999E-2</c:v>
                </c:pt>
                <c:pt idx="7">
                  <c:v>8.5000000000000006E-2</c:v>
                </c:pt>
                <c:pt idx="8">
                  <c:v>0.14000000000000001</c:v>
                </c:pt>
                <c:pt idx="9">
                  <c:v>8.4000000000000005E-2</c:v>
                </c:pt>
                <c:pt idx="10">
                  <c:v>9.5000000000000001E-2</c:v>
                </c:pt>
                <c:pt idx="11">
                  <c:v>0.08</c:v>
                </c:pt>
                <c:pt idx="12">
                  <c:v>0.189</c:v>
                </c:pt>
                <c:pt idx="13">
                  <c:v>0.11799999999999999</c:v>
                </c:pt>
                <c:pt idx="14">
                  <c:v>0.11700000000000001</c:v>
                </c:pt>
                <c:pt idx="15">
                  <c:v>0.06</c:v>
                </c:pt>
                <c:pt idx="16">
                  <c:v>6.0999999999999999E-2</c:v>
                </c:pt>
                <c:pt idx="17">
                  <c:v>5.1999999999999998E-2</c:v>
                </c:pt>
                <c:pt idx="18">
                  <c:v>1.2E-2</c:v>
                </c:pt>
                <c:pt idx="19">
                  <c:v>0.155</c:v>
                </c:pt>
                <c:pt idx="20">
                  <c:v>0.11799999999999999</c:v>
                </c:pt>
                <c:pt idx="21">
                  <c:v>8.5000000000000006E-2</c:v>
                </c:pt>
                <c:pt idx="22">
                  <c:v>9.5000000000000001E-2</c:v>
                </c:pt>
                <c:pt idx="23">
                  <c:v>3.4000000000000002E-2</c:v>
                </c:pt>
              </c:numCache>
            </c:numRef>
          </c:val>
          <c:smooth val="0"/>
        </c:ser>
        <c:dLbls>
          <c:showLegendKey val="0"/>
          <c:showVal val="0"/>
          <c:showCatName val="0"/>
          <c:showSerName val="0"/>
          <c:showPercent val="0"/>
          <c:showBubbleSize val="0"/>
        </c:dLbls>
        <c:marker val="1"/>
        <c:smooth val="0"/>
        <c:axId val="171600896"/>
        <c:axId val="237307584"/>
      </c:lineChart>
      <c:catAx>
        <c:axId val="171600896"/>
        <c:scaling>
          <c:orientation val="minMax"/>
        </c:scaling>
        <c:delete val="0"/>
        <c:axPos val="b"/>
        <c:numFmt formatCode="General" sourceLinked="0"/>
        <c:majorTickMark val="out"/>
        <c:minorTickMark val="none"/>
        <c:tickLblPos val="nextTo"/>
        <c:crossAx val="237307584"/>
        <c:crosses val="autoZero"/>
        <c:auto val="1"/>
        <c:lblAlgn val="ctr"/>
        <c:lblOffset val="100"/>
        <c:noMultiLvlLbl val="0"/>
      </c:catAx>
      <c:valAx>
        <c:axId val="237307584"/>
        <c:scaling>
          <c:orientation val="minMax"/>
        </c:scaling>
        <c:delete val="0"/>
        <c:axPos val="l"/>
        <c:majorGridlines/>
        <c:numFmt formatCode="General" sourceLinked="1"/>
        <c:majorTickMark val="out"/>
        <c:minorTickMark val="none"/>
        <c:tickLblPos val="nextTo"/>
        <c:crossAx val="171600896"/>
        <c:crosses val="autoZero"/>
        <c:crossBetween val="between"/>
      </c:valAx>
    </c:plotArea>
    <c:legend>
      <c:legendPos val="r"/>
      <c:layout>
        <c:manualLayout>
          <c:xMode val="edge"/>
          <c:yMode val="edge"/>
          <c:x val="0.8102766841644794"/>
          <c:y val="0.41128877661623353"/>
          <c:w val="0.17583442694663168"/>
          <c:h val="0.34792847992976988"/>
        </c:manualLayout>
      </c:layout>
      <c:overlay val="0"/>
    </c:legend>
    <c:plotVisOnly val="1"/>
    <c:dispBlanksAs val="zero"/>
    <c:showDLblsOverMax val="0"/>
  </c:chart>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9.3365303021332863E-2"/>
          <c:y val="0.24868533720518979"/>
          <c:w val="0.7390632092041125"/>
          <c:h val="0.43692736546229594"/>
        </c:manualLayout>
      </c:layout>
      <c:lineChart>
        <c:grouping val="stacked"/>
        <c:varyColors val="0"/>
        <c:ser>
          <c:idx val="0"/>
          <c:order val="0"/>
          <c:tx>
            <c:strRef>
              <c:f>Sheet1!$B$1</c:f>
              <c:strCache>
                <c:ptCount val="1"/>
                <c:pt idx="0">
                  <c:v>Silicate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0.57999999999999996</c:v>
                </c:pt>
                <c:pt idx="1">
                  <c:v>0.39</c:v>
                </c:pt>
                <c:pt idx="2">
                  <c:v>0.48</c:v>
                </c:pt>
                <c:pt idx="3">
                  <c:v>0.22</c:v>
                </c:pt>
                <c:pt idx="4">
                  <c:v>0.28999999999999998</c:v>
                </c:pt>
                <c:pt idx="5">
                  <c:v>0.27</c:v>
                </c:pt>
                <c:pt idx="6">
                  <c:v>0.99</c:v>
                </c:pt>
                <c:pt idx="7">
                  <c:v>0.9</c:v>
                </c:pt>
                <c:pt idx="8">
                  <c:v>0.65</c:v>
                </c:pt>
                <c:pt idx="9">
                  <c:v>0.63</c:v>
                </c:pt>
                <c:pt idx="10">
                  <c:v>0.52</c:v>
                </c:pt>
                <c:pt idx="11">
                  <c:v>0.57999999999999996</c:v>
                </c:pt>
                <c:pt idx="12">
                  <c:v>0.56999999999999995</c:v>
                </c:pt>
                <c:pt idx="13">
                  <c:v>0.39</c:v>
                </c:pt>
                <c:pt idx="14">
                  <c:v>0.48</c:v>
                </c:pt>
                <c:pt idx="15">
                  <c:v>0.55000000000000004</c:v>
                </c:pt>
                <c:pt idx="16">
                  <c:v>0.3</c:v>
                </c:pt>
                <c:pt idx="17">
                  <c:v>0.26</c:v>
                </c:pt>
                <c:pt idx="18">
                  <c:v>0.38</c:v>
                </c:pt>
                <c:pt idx="19">
                  <c:v>0.98</c:v>
                </c:pt>
                <c:pt idx="20">
                  <c:v>0.99</c:v>
                </c:pt>
                <c:pt idx="21">
                  <c:v>0.74</c:v>
                </c:pt>
                <c:pt idx="22">
                  <c:v>0.54</c:v>
                </c:pt>
                <c:pt idx="23">
                  <c:v>0.78</c:v>
                </c:pt>
              </c:numCache>
            </c:numRef>
          </c:val>
          <c:smooth val="0"/>
        </c:ser>
        <c:dLbls>
          <c:showLegendKey val="0"/>
          <c:showVal val="0"/>
          <c:showCatName val="0"/>
          <c:showSerName val="0"/>
          <c:showPercent val="0"/>
          <c:showBubbleSize val="0"/>
        </c:dLbls>
        <c:marker val="1"/>
        <c:smooth val="0"/>
        <c:axId val="178860032"/>
        <c:axId val="237309312"/>
      </c:lineChart>
      <c:catAx>
        <c:axId val="1788600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37309312"/>
        <c:crosses val="autoZero"/>
        <c:auto val="1"/>
        <c:lblAlgn val="ctr"/>
        <c:lblOffset val="100"/>
        <c:noMultiLvlLbl val="0"/>
      </c:catAx>
      <c:valAx>
        <c:axId val="23730931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78860032"/>
        <c:crosses val="autoZero"/>
        <c:crossBetween val="between"/>
      </c:valAx>
    </c:plotArea>
    <c:legend>
      <c:legendPos val="r"/>
      <c:layout>
        <c:manualLayout>
          <c:xMode val="edge"/>
          <c:yMode val="edge"/>
          <c:x val="0.83534979180234048"/>
          <c:y val="0.3962533273766311"/>
          <c:w val="0.14961261421269709"/>
          <c:h val="0.38465078833230953"/>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aseline="0"/>
            </a:pPr>
            <a:r>
              <a:rPr lang="en-US" sz="1600" baseline="0"/>
              <a:t>Dissolved Oxygen in ppm</a:t>
            </a:r>
          </a:p>
        </c:rich>
      </c:tx>
      <c:overlay val="0"/>
    </c:title>
    <c:autoTitleDeleted val="0"/>
    <c:plotArea>
      <c:layout>
        <c:manualLayout>
          <c:layoutTarget val="inner"/>
          <c:xMode val="edge"/>
          <c:yMode val="edge"/>
          <c:x val="0.10130468066491688"/>
          <c:y val="0.14366079240094989"/>
          <c:w val="0.76621318168562258"/>
          <c:h val="0.60974690663667042"/>
        </c:manualLayout>
      </c:layout>
      <c:lineChart>
        <c:grouping val="standard"/>
        <c:varyColors val="0"/>
        <c:ser>
          <c:idx val="0"/>
          <c:order val="0"/>
          <c:tx>
            <c:strRef>
              <c:f>Sheet1!$B$1</c:f>
              <c:strCache>
                <c:ptCount val="1"/>
                <c:pt idx="0">
                  <c:v>Dissolved Oxygen  in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7.1</c:v>
                </c:pt>
                <c:pt idx="1">
                  <c:v>9.6</c:v>
                </c:pt>
                <c:pt idx="2">
                  <c:v>9</c:v>
                </c:pt>
                <c:pt idx="3">
                  <c:v>10.199999999999999</c:v>
                </c:pt>
                <c:pt idx="4">
                  <c:v>10.5</c:v>
                </c:pt>
                <c:pt idx="5">
                  <c:v>9.1</c:v>
                </c:pt>
                <c:pt idx="6">
                  <c:v>7.6</c:v>
                </c:pt>
                <c:pt idx="7">
                  <c:v>5.0999999999999996</c:v>
                </c:pt>
                <c:pt idx="8">
                  <c:v>5.38</c:v>
                </c:pt>
                <c:pt idx="9">
                  <c:v>8</c:v>
                </c:pt>
                <c:pt idx="10">
                  <c:v>4.9000000000000004</c:v>
                </c:pt>
                <c:pt idx="11">
                  <c:v>9.1</c:v>
                </c:pt>
                <c:pt idx="12">
                  <c:v>10.1</c:v>
                </c:pt>
                <c:pt idx="13">
                  <c:v>10.9</c:v>
                </c:pt>
                <c:pt idx="14">
                  <c:v>11.6</c:v>
                </c:pt>
                <c:pt idx="15">
                  <c:v>7.9</c:v>
                </c:pt>
                <c:pt idx="16">
                  <c:v>9.3000000000000007</c:v>
                </c:pt>
                <c:pt idx="17">
                  <c:v>8.6</c:v>
                </c:pt>
                <c:pt idx="18">
                  <c:v>5.8</c:v>
                </c:pt>
                <c:pt idx="19">
                  <c:v>6.2</c:v>
                </c:pt>
                <c:pt idx="20">
                  <c:v>4.2</c:v>
                </c:pt>
                <c:pt idx="21">
                  <c:v>5.8</c:v>
                </c:pt>
                <c:pt idx="22">
                  <c:v>9.5</c:v>
                </c:pt>
                <c:pt idx="23">
                  <c:v>10.9</c:v>
                </c:pt>
              </c:numCache>
            </c:numRef>
          </c:val>
          <c:smooth val="0"/>
        </c:ser>
        <c:dLbls>
          <c:showLegendKey val="0"/>
          <c:showVal val="0"/>
          <c:showCatName val="0"/>
          <c:showSerName val="0"/>
          <c:showPercent val="0"/>
          <c:showBubbleSize val="0"/>
        </c:dLbls>
        <c:marker val="1"/>
        <c:smooth val="0"/>
        <c:axId val="155847168"/>
        <c:axId val="173338560"/>
      </c:lineChart>
      <c:catAx>
        <c:axId val="155847168"/>
        <c:scaling>
          <c:orientation val="minMax"/>
        </c:scaling>
        <c:delete val="0"/>
        <c:axPos val="b"/>
        <c:numFmt formatCode="General" sourceLinked="0"/>
        <c:majorTickMark val="out"/>
        <c:minorTickMark val="none"/>
        <c:tickLblPos val="nextTo"/>
        <c:txPr>
          <a:bodyPr/>
          <a:lstStyle/>
          <a:p>
            <a:pPr>
              <a:defRPr baseline="0"/>
            </a:pPr>
            <a:endParaRPr lang="en-US"/>
          </a:p>
        </c:txPr>
        <c:crossAx val="173338560"/>
        <c:crosses val="autoZero"/>
        <c:auto val="1"/>
        <c:lblAlgn val="ctr"/>
        <c:lblOffset val="100"/>
        <c:noMultiLvlLbl val="0"/>
      </c:catAx>
      <c:valAx>
        <c:axId val="173338560"/>
        <c:scaling>
          <c:orientation val="minMax"/>
        </c:scaling>
        <c:delete val="0"/>
        <c:axPos val="l"/>
        <c:majorGridlines/>
        <c:numFmt formatCode="General" sourceLinked="1"/>
        <c:majorTickMark val="out"/>
        <c:minorTickMark val="none"/>
        <c:tickLblPos val="nextTo"/>
        <c:txPr>
          <a:bodyPr/>
          <a:lstStyle/>
          <a:p>
            <a:pPr>
              <a:defRPr baseline="0"/>
            </a:pPr>
            <a:endParaRPr lang="en-US"/>
          </a:p>
        </c:txPr>
        <c:crossAx val="155847168"/>
        <c:crosses val="autoZero"/>
        <c:crossBetween val="between"/>
      </c:valAx>
    </c:plotArea>
    <c:legend>
      <c:legendPos val="r"/>
      <c:layout>
        <c:manualLayout>
          <c:xMode val="edge"/>
          <c:yMode val="edge"/>
          <c:x val="0.87688648293963256"/>
          <c:y val="0.24011311086114237"/>
          <c:w val="0.10922462817147857"/>
          <c:h val="0.45270997375328081"/>
        </c:manualLayout>
      </c:layout>
      <c:overlay val="0"/>
      <c:txPr>
        <a:bodyPr/>
        <a:lstStyle/>
        <a:p>
          <a:pPr>
            <a:defRPr baseline="0"/>
          </a:pPr>
          <a:endParaRPr lang="en-US"/>
        </a:p>
      </c:txPr>
    </c:legend>
    <c:plotVisOnly val="1"/>
    <c:dispBlanksAs val="gap"/>
    <c:showDLblsOverMax val="0"/>
  </c:chart>
  <c:txPr>
    <a:bodyPr/>
    <a:lstStyle/>
    <a:p>
      <a:pPr>
        <a:defRPr sz="1100" b="1" baseline="-25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728419364246133E-2"/>
          <c:y val="0.16697444069491313"/>
          <c:w val="0.68146252551764364"/>
          <c:h val="0.62193694538182731"/>
        </c:manualLayout>
      </c:layout>
      <c:lineChart>
        <c:grouping val="stacked"/>
        <c:varyColors val="0"/>
        <c:ser>
          <c:idx val="0"/>
          <c:order val="0"/>
          <c:tx>
            <c:strRef>
              <c:f>Sheet1!$B$1</c:f>
              <c:strCache>
                <c:ptCount val="1"/>
                <c:pt idx="0">
                  <c:v>Free Carbon-di-oxide</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0.7</c:v>
                </c:pt>
                <c:pt idx="2">
                  <c:v>0.65</c:v>
                </c:pt>
                <c:pt idx="3">
                  <c:v>1.75</c:v>
                </c:pt>
                <c:pt idx="4">
                  <c:v>2.5</c:v>
                </c:pt>
                <c:pt idx="5">
                  <c:v>2.2000000000000002</c:v>
                </c:pt>
                <c:pt idx="6">
                  <c:v>3.5</c:v>
                </c:pt>
                <c:pt idx="8">
                  <c:v>1.2</c:v>
                </c:pt>
                <c:pt idx="10">
                  <c:v>4.2</c:v>
                </c:pt>
                <c:pt idx="11">
                  <c:v>5.95</c:v>
                </c:pt>
                <c:pt idx="12">
                  <c:v>3.4</c:v>
                </c:pt>
                <c:pt idx="13">
                  <c:v>3.05</c:v>
                </c:pt>
                <c:pt idx="14">
                  <c:v>3.95</c:v>
                </c:pt>
                <c:pt idx="15">
                  <c:v>4.5999999999999996</c:v>
                </c:pt>
                <c:pt idx="16">
                  <c:v>7.35</c:v>
                </c:pt>
                <c:pt idx="17">
                  <c:v>4.5999999999999996</c:v>
                </c:pt>
                <c:pt idx="18">
                  <c:v>5.85</c:v>
                </c:pt>
                <c:pt idx="19">
                  <c:v>2.4</c:v>
                </c:pt>
                <c:pt idx="20">
                  <c:v>2.66</c:v>
                </c:pt>
                <c:pt idx="22">
                  <c:v>2.5</c:v>
                </c:pt>
                <c:pt idx="23">
                  <c:v>1.05</c:v>
                </c:pt>
              </c:numCache>
            </c:numRef>
          </c:val>
          <c:smooth val="0"/>
        </c:ser>
        <c:dLbls>
          <c:showLegendKey val="0"/>
          <c:showVal val="0"/>
          <c:showCatName val="0"/>
          <c:showSerName val="0"/>
          <c:showPercent val="0"/>
          <c:showBubbleSize val="0"/>
        </c:dLbls>
        <c:marker val="1"/>
        <c:smooth val="0"/>
        <c:axId val="171597824"/>
        <c:axId val="173340288"/>
      </c:lineChart>
      <c:catAx>
        <c:axId val="17159782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173340288"/>
        <c:crosses val="autoZero"/>
        <c:auto val="1"/>
        <c:lblAlgn val="ctr"/>
        <c:lblOffset val="100"/>
        <c:noMultiLvlLbl val="0"/>
      </c:catAx>
      <c:valAx>
        <c:axId val="17334028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71597824"/>
        <c:crosses val="autoZero"/>
        <c:crossBetween val="between"/>
      </c:valAx>
    </c:plotArea>
    <c:legend>
      <c:legendPos val="r"/>
      <c:layout>
        <c:manualLayout>
          <c:xMode val="edge"/>
          <c:yMode val="edge"/>
          <c:x val="0.8275913167104112"/>
          <c:y val="0.34700818647669041"/>
          <c:w val="0.15851979440069988"/>
          <c:h val="0.31382108486439197"/>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207618092059816E-2"/>
          <c:y val="4.3848813921956435E-2"/>
          <c:w val="0.76795477488390873"/>
          <c:h val="0.74606299212598426"/>
        </c:manualLayout>
      </c:layout>
      <c:lineChart>
        <c:grouping val="stacked"/>
        <c:varyColors val="0"/>
        <c:ser>
          <c:idx val="0"/>
          <c:order val="0"/>
          <c:tx>
            <c:strRef>
              <c:f>Sheet1!$B$1</c:f>
              <c:strCache>
                <c:ptCount val="1"/>
                <c:pt idx="0">
                  <c:v>Total Alkalinity</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30</c:v>
                </c:pt>
                <c:pt idx="1">
                  <c:v>98.9</c:v>
                </c:pt>
                <c:pt idx="2">
                  <c:v>46.6</c:v>
                </c:pt>
                <c:pt idx="3">
                  <c:v>45.2</c:v>
                </c:pt>
                <c:pt idx="4">
                  <c:v>35.299999999999997</c:v>
                </c:pt>
                <c:pt idx="5">
                  <c:v>30.4</c:v>
                </c:pt>
                <c:pt idx="6">
                  <c:v>57.1</c:v>
                </c:pt>
                <c:pt idx="7">
                  <c:v>90</c:v>
                </c:pt>
                <c:pt idx="8">
                  <c:v>70.7</c:v>
                </c:pt>
                <c:pt idx="9">
                  <c:v>48.8</c:v>
                </c:pt>
                <c:pt idx="10">
                  <c:v>35.700000000000003</c:v>
                </c:pt>
                <c:pt idx="11">
                  <c:v>29.2</c:v>
                </c:pt>
                <c:pt idx="12">
                  <c:v>33.6</c:v>
                </c:pt>
                <c:pt idx="13">
                  <c:v>27.5</c:v>
                </c:pt>
                <c:pt idx="14">
                  <c:v>25</c:v>
                </c:pt>
                <c:pt idx="15">
                  <c:v>52.2</c:v>
                </c:pt>
                <c:pt idx="16">
                  <c:v>50.6</c:v>
                </c:pt>
                <c:pt idx="17">
                  <c:v>62.5</c:v>
                </c:pt>
                <c:pt idx="18">
                  <c:v>48.3</c:v>
                </c:pt>
                <c:pt idx="19">
                  <c:v>87.6</c:v>
                </c:pt>
                <c:pt idx="20">
                  <c:v>47.7</c:v>
                </c:pt>
                <c:pt idx="21">
                  <c:v>58.6</c:v>
                </c:pt>
                <c:pt idx="22">
                  <c:v>82.9</c:v>
                </c:pt>
                <c:pt idx="23">
                  <c:v>65</c:v>
                </c:pt>
              </c:numCache>
            </c:numRef>
          </c:val>
          <c:smooth val="0"/>
        </c:ser>
        <c:dLbls>
          <c:showLegendKey val="0"/>
          <c:showVal val="0"/>
          <c:showCatName val="0"/>
          <c:showSerName val="0"/>
          <c:showPercent val="0"/>
          <c:showBubbleSize val="0"/>
        </c:dLbls>
        <c:marker val="1"/>
        <c:smooth val="0"/>
        <c:axId val="155845120"/>
        <c:axId val="229261312"/>
      </c:lineChart>
      <c:catAx>
        <c:axId val="155845120"/>
        <c:scaling>
          <c:orientation val="minMax"/>
        </c:scaling>
        <c:delete val="0"/>
        <c:axPos val="b"/>
        <c:numFmt formatCode="General" sourceLinked="0"/>
        <c:majorTickMark val="out"/>
        <c:minorTickMark val="none"/>
        <c:tickLblPos val="nextTo"/>
        <c:txPr>
          <a:bodyPr/>
          <a:lstStyle/>
          <a:p>
            <a:pPr>
              <a:defRPr b="1"/>
            </a:pPr>
            <a:endParaRPr lang="en-US"/>
          </a:p>
        </c:txPr>
        <c:crossAx val="229261312"/>
        <c:crosses val="autoZero"/>
        <c:auto val="1"/>
        <c:lblAlgn val="ctr"/>
        <c:lblOffset val="100"/>
        <c:noMultiLvlLbl val="0"/>
      </c:catAx>
      <c:valAx>
        <c:axId val="229261312"/>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55845120"/>
        <c:crosses val="autoZero"/>
        <c:crossBetween val="between"/>
      </c:valAx>
    </c:plotArea>
    <c:legend>
      <c:legendPos val="r"/>
      <c:layout>
        <c:manualLayout>
          <c:xMode val="edge"/>
          <c:yMode val="edge"/>
          <c:x val="0.86524546168063399"/>
          <c:y val="0.15544949569982996"/>
          <c:w val="0.12090411930020002"/>
          <c:h val="0.79332648277455886"/>
        </c:manualLayout>
      </c:layout>
      <c:overlay val="0"/>
      <c:txPr>
        <a:bodyPr/>
        <a:lstStyle/>
        <a:p>
          <a:pPr>
            <a:defRPr b="1"/>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674522198809656E-2"/>
          <c:y val="0.21380873503616926"/>
          <c:w val="0.69917895826401977"/>
          <c:h val="0.51589486908648619"/>
        </c:manualLayout>
      </c:layout>
      <c:lineChart>
        <c:grouping val="stacked"/>
        <c:varyColors val="0"/>
        <c:ser>
          <c:idx val="0"/>
          <c:order val="0"/>
          <c:tx>
            <c:strRef>
              <c:f>Sheet1!$B$1</c:f>
              <c:strCache>
                <c:ptCount val="1"/>
                <c:pt idx="0">
                  <c:v>Chloride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9.8000000000000007</c:v>
                </c:pt>
                <c:pt idx="1">
                  <c:v>10.7</c:v>
                </c:pt>
                <c:pt idx="2">
                  <c:v>19.8</c:v>
                </c:pt>
                <c:pt idx="3">
                  <c:v>20.7</c:v>
                </c:pt>
                <c:pt idx="4">
                  <c:v>24</c:v>
                </c:pt>
                <c:pt idx="5">
                  <c:v>25.5</c:v>
                </c:pt>
                <c:pt idx="6">
                  <c:v>25</c:v>
                </c:pt>
                <c:pt idx="7">
                  <c:v>38</c:v>
                </c:pt>
                <c:pt idx="8">
                  <c:v>48</c:v>
                </c:pt>
                <c:pt idx="9">
                  <c:v>68.5</c:v>
                </c:pt>
                <c:pt idx="10">
                  <c:v>69.3</c:v>
                </c:pt>
                <c:pt idx="11">
                  <c:v>29.7</c:v>
                </c:pt>
                <c:pt idx="12">
                  <c:v>12.7</c:v>
                </c:pt>
                <c:pt idx="13">
                  <c:v>19.899999999999999</c:v>
                </c:pt>
                <c:pt idx="14">
                  <c:v>27.7</c:v>
                </c:pt>
                <c:pt idx="15">
                  <c:v>21.5</c:v>
                </c:pt>
                <c:pt idx="16">
                  <c:v>29.8</c:v>
                </c:pt>
                <c:pt idx="17">
                  <c:v>25.8</c:v>
                </c:pt>
                <c:pt idx="18">
                  <c:v>31.4</c:v>
                </c:pt>
                <c:pt idx="19">
                  <c:v>33.700000000000003</c:v>
                </c:pt>
                <c:pt idx="20">
                  <c:v>39.799999999999997</c:v>
                </c:pt>
                <c:pt idx="21">
                  <c:v>58.5</c:v>
                </c:pt>
                <c:pt idx="22">
                  <c:v>72.8</c:v>
                </c:pt>
                <c:pt idx="23">
                  <c:v>49.8</c:v>
                </c:pt>
              </c:numCache>
            </c:numRef>
          </c:val>
          <c:smooth val="0"/>
        </c:ser>
        <c:dLbls>
          <c:showLegendKey val="0"/>
          <c:showVal val="0"/>
          <c:showCatName val="0"/>
          <c:showSerName val="0"/>
          <c:showPercent val="0"/>
          <c:showBubbleSize val="0"/>
        </c:dLbls>
        <c:marker val="1"/>
        <c:smooth val="0"/>
        <c:axId val="155848192"/>
        <c:axId val="229262464"/>
      </c:lineChart>
      <c:catAx>
        <c:axId val="1558481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29262464"/>
        <c:crosses val="autoZero"/>
        <c:auto val="1"/>
        <c:lblAlgn val="ctr"/>
        <c:lblOffset val="100"/>
        <c:noMultiLvlLbl val="0"/>
      </c:catAx>
      <c:valAx>
        <c:axId val="229262464"/>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55848192"/>
        <c:crosses val="autoZero"/>
        <c:crossBetween val="between"/>
      </c:valAx>
    </c:plotArea>
    <c:legend>
      <c:legendPos val="r"/>
      <c:layout>
        <c:manualLayout>
          <c:xMode val="edge"/>
          <c:yMode val="edge"/>
          <c:x val="0.80273354034970978"/>
          <c:y val="0.42604706804942066"/>
          <c:w val="0.19726643212151673"/>
          <c:h val="0.23306106736657914"/>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7123067949839608E-2"/>
          <c:y val="0.16150793650793652"/>
          <c:w val="0.71433234908136478"/>
          <c:h val="0.62869516310461193"/>
        </c:manualLayout>
      </c:layout>
      <c:lineChart>
        <c:grouping val="stacked"/>
        <c:varyColors val="0"/>
        <c:ser>
          <c:idx val="0"/>
          <c:order val="0"/>
          <c:tx>
            <c:strRef>
              <c:f>Sheet1!$B$1</c:f>
              <c:strCache>
                <c:ptCount val="1"/>
                <c:pt idx="0">
                  <c:v>Sulphate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20.25</c:v>
                </c:pt>
                <c:pt idx="1">
                  <c:v>21.75</c:v>
                </c:pt>
                <c:pt idx="2">
                  <c:v>22.6</c:v>
                </c:pt>
                <c:pt idx="3">
                  <c:v>22.75</c:v>
                </c:pt>
                <c:pt idx="4">
                  <c:v>24.33</c:v>
                </c:pt>
                <c:pt idx="5">
                  <c:v>28.75</c:v>
                </c:pt>
                <c:pt idx="6">
                  <c:v>20.6</c:v>
                </c:pt>
                <c:pt idx="7">
                  <c:v>20.65</c:v>
                </c:pt>
                <c:pt idx="8">
                  <c:v>19.28</c:v>
                </c:pt>
                <c:pt idx="9">
                  <c:v>29.3</c:v>
                </c:pt>
                <c:pt idx="10">
                  <c:v>29.6</c:v>
                </c:pt>
                <c:pt idx="11">
                  <c:v>32.799999999999997</c:v>
                </c:pt>
                <c:pt idx="12">
                  <c:v>34.85</c:v>
                </c:pt>
                <c:pt idx="13">
                  <c:v>21.6</c:v>
                </c:pt>
                <c:pt idx="14">
                  <c:v>22.85</c:v>
                </c:pt>
                <c:pt idx="15">
                  <c:v>26.7</c:v>
                </c:pt>
                <c:pt idx="16">
                  <c:v>24.35</c:v>
                </c:pt>
                <c:pt idx="17">
                  <c:v>32.299999999999997</c:v>
                </c:pt>
                <c:pt idx="18">
                  <c:v>20.350000000000001</c:v>
                </c:pt>
                <c:pt idx="19">
                  <c:v>18.600000000000001</c:v>
                </c:pt>
                <c:pt idx="20">
                  <c:v>17.5</c:v>
                </c:pt>
                <c:pt idx="21">
                  <c:v>22.4</c:v>
                </c:pt>
                <c:pt idx="22">
                  <c:v>33.6</c:v>
                </c:pt>
                <c:pt idx="23">
                  <c:v>36.35</c:v>
                </c:pt>
              </c:numCache>
            </c:numRef>
          </c:val>
          <c:smooth val="0"/>
        </c:ser>
        <c:dLbls>
          <c:showLegendKey val="0"/>
          <c:showVal val="0"/>
          <c:showCatName val="0"/>
          <c:showSerName val="0"/>
          <c:showPercent val="0"/>
          <c:showBubbleSize val="0"/>
        </c:dLbls>
        <c:marker val="1"/>
        <c:smooth val="0"/>
        <c:axId val="171598336"/>
        <c:axId val="229264192"/>
      </c:lineChart>
      <c:catAx>
        <c:axId val="17159833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29264192"/>
        <c:crosses val="autoZero"/>
        <c:auto val="1"/>
        <c:lblAlgn val="ctr"/>
        <c:lblOffset val="100"/>
        <c:noMultiLvlLbl val="0"/>
      </c:catAx>
      <c:valAx>
        <c:axId val="229264192"/>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71598336"/>
        <c:crosses val="autoZero"/>
        <c:crossBetween val="between"/>
      </c:valAx>
    </c:plotArea>
    <c:legend>
      <c:legendPos val="r"/>
      <c:layout>
        <c:manualLayout>
          <c:xMode val="edge"/>
          <c:yMode val="edge"/>
          <c:x val="0.80578594342373866"/>
          <c:y val="0.40400199975003126"/>
          <c:w val="0.18032516768737242"/>
          <c:h val="0.2443766404199475"/>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9.8852204644632194E-2"/>
          <c:y val="0.16926775084486989"/>
          <c:w val="0.74948144779774872"/>
          <c:h val="0.50287641740860822"/>
        </c:manualLayout>
      </c:layout>
      <c:lineChart>
        <c:grouping val="stacked"/>
        <c:varyColors val="0"/>
        <c:ser>
          <c:idx val="0"/>
          <c:order val="0"/>
          <c:tx>
            <c:strRef>
              <c:f>Sheet1!$B$1</c:f>
              <c:strCache>
                <c:ptCount val="1"/>
                <c:pt idx="0">
                  <c:v>Phosphate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0.64</c:v>
                </c:pt>
                <c:pt idx="1">
                  <c:v>0.48599999999999999</c:v>
                </c:pt>
                <c:pt idx="2">
                  <c:v>0.46</c:v>
                </c:pt>
                <c:pt idx="3">
                  <c:v>0.37</c:v>
                </c:pt>
                <c:pt idx="4">
                  <c:v>0.32</c:v>
                </c:pt>
                <c:pt idx="5">
                  <c:v>0.30599999999999999</c:v>
                </c:pt>
                <c:pt idx="6">
                  <c:v>0.28799999999999998</c:v>
                </c:pt>
                <c:pt idx="7">
                  <c:v>0.24</c:v>
                </c:pt>
                <c:pt idx="8">
                  <c:v>0.19</c:v>
                </c:pt>
                <c:pt idx="9">
                  <c:v>0.17799999999999999</c:v>
                </c:pt>
                <c:pt idx="10">
                  <c:v>0.13600000000000001</c:v>
                </c:pt>
                <c:pt idx="11">
                  <c:v>0.109</c:v>
                </c:pt>
                <c:pt idx="12">
                  <c:v>9.8000000000000004E-2</c:v>
                </c:pt>
                <c:pt idx="13">
                  <c:v>0.184</c:v>
                </c:pt>
                <c:pt idx="14">
                  <c:v>0.28399999999999997</c:v>
                </c:pt>
                <c:pt idx="15">
                  <c:v>0.52300000000000002</c:v>
                </c:pt>
                <c:pt idx="16">
                  <c:v>0.41799999999999998</c:v>
                </c:pt>
                <c:pt idx="17">
                  <c:v>0.25</c:v>
                </c:pt>
                <c:pt idx="18">
                  <c:v>0.219</c:v>
                </c:pt>
                <c:pt idx="19">
                  <c:v>0.185</c:v>
                </c:pt>
                <c:pt idx="20">
                  <c:v>0.14000000000000001</c:v>
                </c:pt>
                <c:pt idx="21">
                  <c:v>0.109</c:v>
                </c:pt>
                <c:pt idx="22">
                  <c:v>0.185</c:v>
                </c:pt>
                <c:pt idx="23">
                  <c:v>0.16400000000000001</c:v>
                </c:pt>
              </c:numCache>
            </c:numRef>
          </c:val>
          <c:smooth val="0"/>
        </c:ser>
        <c:dLbls>
          <c:showLegendKey val="0"/>
          <c:showVal val="0"/>
          <c:showCatName val="0"/>
          <c:showSerName val="0"/>
          <c:showPercent val="0"/>
          <c:showBubbleSize val="0"/>
        </c:dLbls>
        <c:marker val="1"/>
        <c:smooth val="0"/>
        <c:axId val="171600384"/>
        <c:axId val="229265920"/>
      </c:lineChart>
      <c:catAx>
        <c:axId val="17160038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29265920"/>
        <c:crosses val="autoZero"/>
        <c:auto val="1"/>
        <c:lblAlgn val="ctr"/>
        <c:lblOffset val="100"/>
        <c:noMultiLvlLbl val="0"/>
      </c:catAx>
      <c:valAx>
        <c:axId val="229265920"/>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71600384"/>
        <c:crosses val="autoZero"/>
        <c:crossBetween val="between"/>
      </c:valAx>
    </c:plotArea>
    <c:legend>
      <c:legendPos val="r"/>
      <c:layout>
        <c:manualLayout>
          <c:xMode val="edge"/>
          <c:yMode val="edge"/>
          <c:x val="0.82865399803747941"/>
          <c:y val="0.32246496148765719"/>
          <c:w val="0.15526888926118279"/>
          <c:h val="0.3440404508259997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plotArea>
      <c:layout>
        <c:manualLayout>
          <c:layoutTarget val="inner"/>
          <c:xMode val="edge"/>
          <c:yMode val="edge"/>
          <c:x val="8.1604603379001217E-2"/>
          <c:y val="0.22839506172839505"/>
          <c:w val="0.72434031369403218"/>
          <c:h val="0.47309578726901563"/>
        </c:manualLayout>
      </c:layout>
      <c:lineChart>
        <c:grouping val="stacked"/>
        <c:varyColors val="0"/>
        <c:ser>
          <c:idx val="0"/>
          <c:order val="0"/>
          <c:tx>
            <c:strRef>
              <c:f>Sheet1!$B$1</c:f>
              <c:strCache>
                <c:ptCount val="1"/>
                <c:pt idx="0">
                  <c:v>Organic Matter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0.64</c:v>
                </c:pt>
                <c:pt idx="1">
                  <c:v>0.51700000000000002</c:v>
                </c:pt>
                <c:pt idx="2">
                  <c:v>0.16900000000000001</c:v>
                </c:pt>
                <c:pt idx="3">
                  <c:v>0.14899999999999999</c:v>
                </c:pt>
                <c:pt idx="4">
                  <c:v>0.182</c:v>
                </c:pt>
                <c:pt idx="5">
                  <c:v>0.20499999999999999</c:v>
                </c:pt>
                <c:pt idx="6">
                  <c:v>0.218</c:v>
                </c:pt>
                <c:pt idx="7">
                  <c:v>0.28999999999999998</c:v>
                </c:pt>
                <c:pt idx="8">
                  <c:v>0.64</c:v>
                </c:pt>
                <c:pt idx="9">
                  <c:v>0.63</c:v>
                </c:pt>
                <c:pt idx="10">
                  <c:v>0.59799999999999998</c:v>
                </c:pt>
                <c:pt idx="11">
                  <c:v>0.5</c:v>
                </c:pt>
                <c:pt idx="12">
                  <c:v>0.52</c:v>
                </c:pt>
                <c:pt idx="13">
                  <c:v>0.51900000000000002</c:v>
                </c:pt>
                <c:pt idx="14">
                  <c:v>0.19</c:v>
                </c:pt>
                <c:pt idx="15">
                  <c:v>0.188</c:v>
                </c:pt>
                <c:pt idx="16">
                  <c:v>0.24</c:v>
                </c:pt>
                <c:pt idx="17">
                  <c:v>0.28399999999999997</c:v>
                </c:pt>
                <c:pt idx="18">
                  <c:v>0.30499999999999999</c:v>
                </c:pt>
                <c:pt idx="19">
                  <c:v>0.35599999999999998</c:v>
                </c:pt>
                <c:pt idx="20">
                  <c:v>0.59</c:v>
                </c:pt>
                <c:pt idx="21">
                  <c:v>0.61499999999999999</c:v>
                </c:pt>
                <c:pt idx="22">
                  <c:v>0.48799999999999999</c:v>
                </c:pt>
                <c:pt idx="23">
                  <c:v>0.38</c:v>
                </c:pt>
              </c:numCache>
            </c:numRef>
          </c:val>
          <c:smooth val="0"/>
        </c:ser>
        <c:dLbls>
          <c:showLegendKey val="0"/>
          <c:showVal val="0"/>
          <c:showCatName val="0"/>
          <c:showSerName val="0"/>
          <c:showPercent val="0"/>
          <c:showBubbleSize val="0"/>
        </c:dLbls>
        <c:marker val="1"/>
        <c:smooth val="0"/>
        <c:axId val="155845632"/>
        <c:axId val="229268224"/>
      </c:lineChart>
      <c:catAx>
        <c:axId val="15584563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29268224"/>
        <c:crosses val="autoZero"/>
        <c:auto val="1"/>
        <c:lblAlgn val="ctr"/>
        <c:lblOffset val="100"/>
        <c:noMultiLvlLbl val="0"/>
      </c:catAx>
      <c:valAx>
        <c:axId val="229268224"/>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55845632"/>
        <c:crosses val="autoZero"/>
        <c:crossBetween val="between"/>
      </c:valAx>
    </c:plotArea>
    <c:legend>
      <c:legendPos val="r"/>
      <c:layout>
        <c:manualLayout>
          <c:xMode val="edge"/>
          <c:yMode val="edge"/>
          <c:x val="0.79850224821093074"/>
          <c:y val="0.37320183461915746"/>
          <c:w val="0.18809292605180383"/>
          <c:h val="0.29834919624945871"/>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4440786029669257E-2"/>
          <c:y val="0.26167636228307284"/>
          <c:w val="0.74248286020643572"/>
          <c:h val="0.40751312335958007"/>
        </c:manualLayout>
      </c:layout>
      <c:lineChart>
        <c:grouping val="stacked"/>
        <c:varyColors val="0"/>
        <c:ser>
          <c:idx val="0"/>
          <c:order val="0"/>
          <c:tx>
            <c:strRef>
              <c:f>Sheet1!$B$1</c:f>
              <c:strCache>
                <c:ptCount val="1"/>
                <c:pt idx="0">
                  <c:v>Nitrate Nitrogen Content (ppm)</c:v>
                </c:pt>
              </c:strCache>
            </c:strRef>
          </c:tx>
          <c:cat>
            <c:strRef>
              <c:f>Sheet1!$A$2:$A$25</c:f>
              <c:strCache>
                <c:ptCount val="24"/>
                <c:pt idx="0">
                  <c:v>September</c:v>
                </c:pt>
                <c:pt idx="1">
                  <c:v>October</c:v>
                </c:pt>
                <c:pt idx="2">
                  <c:v>November</c:v>
                </c:pt>
                <c:pt idx="3">
                  <c:v>December</c:v>
                </c:pt>
                <c:pt idx="4">
                  <c:v>January</c:v>
                </c:pt>
                <c:pt idx="5">
                  <c:v>February</c:v>
                </c:pt>
                <c:pt idx="6">
                  <c:v>March</c:v>
                </c:pt>
                <c:pt idx="7">
                  <c:v>April</c:v>
                </c:pt>
                <c:pt idx="8">
                  <c:v>May</c:v>
                </c:pt>
                <c:pt idx="9">
                  <c:v>June</c:v>
                </c:pt>
                <c:pt idx="10">
                  <c:v>July</c:v>
                </c:pt>
                <c:pt idx="11">
                  <c:v>August</c:v>
                </c:pt>
                <c:pt idx="12">
                  <c:v>September</c:v>
                </c:pt>
                <c:pt idx="13">
                  <c:v>October</c:v>
                </c:pt>
                <c:pt idx="14">
                  <c:v>November</c:v>
                </c:pt>
                <c:pt idx="15">
                  <c:v>December</c:v>
                </c:pt>
                <c:pt idx="16">
                  <c:v>January</c:v>
                </c:pt>
                <c:pt idx="17">
                  <c:v>February</c:v>
                </c:pt>
                <c:pt idx="18">
                  <c:v>March</c:v>
                </c:pt>
                <c:pt idx="19">
                  <c:v>April</c:v>
                </c:pt>
                <c:pt idx="20">
                  <c:v>May</c:v>
                </c:pt>
                <c:pt idx="21">
                  <c:v>June</c:v>
                </c:pt>
                <c:pt idx="22">
                  <c:v>July</c:v>
                </c:pt>
                <c:pt idx="23">
                  <c:v>August</c:v>
                </c:pt>
              </c:strCache>
            </c:strRef>
          </c:cat>
          <c:val>
            <c:numRef>
              <c:f>Sheet1!$B$2:$B$25</c:f>
              <c:numCache>
                <c:formatCode>General</c:formatCode>
                <c:ptCount val="24"/>
                <c:pt idx="0">
                  <c:v>0.44700000000000001</c:v>
                </c:pt>
                <c:pt idx="1">
                  <c:v>0.29199999999999998</c:v>
                </c:pt>
                <c:pt idx="2">
                  <c:v>0.28599999999999998</c:v>
                </c:pt>
                <c:pt idx="3">
                  <c:v>0.215</c:v>
                </c:pt>
                <c:pt idx="4">
                  <c:v>0.184</c:v>
                </c:pt>
                <c:pt idx="5">
                  <c:v>0.19800000000000001</c:v>
                </c:pt>
                <c:pt idx="6">
                  <c:v>0.16600000000000001</c:v>
                </c:pt>
                <c:pt idx="7">
                  <c:v>0.11</c:v>
                </c:pt>
                <c:pt idx="8">
                  <c:v>0.19400000000000001</c:v>
                </c:pt>
                <c:pt idx="9">
                  <c:v>0.27800000000000002</c:v>
                </c:pt>
                <c:pt idx="10">
                  <c:v>0.28399999999999997</c:v>
                </c:pt>
                <c:pt idx="11">
                  <c:v>0.36399999999999999</c:v>
                </c:pt>
                <c:pt idx="12">
                  <c:v>0.35599999999999998</c:v>
                </c:pt>
                <c:pt idx="13">
                  <c:v>0.32800000000000001</c:v>
                </c:pt>
                <c:pt idx="14">
                  <c:v>0.29799999999999999</c:v>
                </c:pt>
                <c:pt idx="15">
                  <c:v>9.5000000000000001E-2</c:v>
                </c:pt>
                <c:pt idx="16">
                  <c:v>0.105</c:v>
                </c:pt>
                <c:pt idx="17">
                  <c:v>0.13400000000000001</c:v>
                </c:pt>
                <c:pt idx="18">
                  <c:v>8.6999999999999994E-2</c:v>
                </c:pt>
                <c:pt idx="20">
                  <c:v>0.17199999999999999</c:v>
                </c:pt>
                <c:pt idx="21">
                  <c:v>0.28999999999999998</c:v>
                </c:pt>
                <c:pt idx="22">
                  <c:v>0.35199999999999998</c:v>
                </c:pt>
                <c:pt idx="23">
                  <c:v>0.35</c:v>
                </c:pt>
              </c:numCache>
            </c:numRef>
          </c:val>
          <c:smooth val="0"/>
        </c:ser>
        <c:dLbls>
          <c:showLegendKey val="0"/>
          <c:showVal val="0"/>
          <c:showCatName val="0"/>
          <c:showSerName val="0"/>
          <c:showPercent val="0"/>
          <c:showBubbleSize val="0"/>
        </c:dLbls>
        <c:marker val="1"/>
        <c:smooth val="0"/>
        <c:axId val="171599360"/>
        <c:axId val="237305856"/>
      </c:lineChart>
      <c:catAx>
        <c:axId val="1715993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en-US"/>
          </a:p>
        </c:txPr>
        <c:crossAx val="237305856"/>
        <c:crosses val="autoZero"/>
        <c:auto val="1"/>
        <c:lblAlgn val="ctr"/>
        <c:lblOffset val="100"/>
        <c:noMultiLvlLbl val="0"/>
      </c:catAx>
      <c:valAx>
        <c:axId val="237305856"/>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en-US"/>
          </a:p>
        </c:txPr>
        <c:crossAx val="171599360"/>
        <c:crosses val="autoZero"/>
        <c:crossBetween val="between"/>
      </c:valAx>
    </c:plotArea>
    <c:legend>
      <c:legendPos val="r"/>
      <c:layout>
        <c:manualLayout>
          <c:xMode val="edge"/>
          <c:yMode val="edge"/>
          <c:x val="0.79182578965799844"/>
          <c:y val="0.35326223214635483"/>
          <c:w val="0.19441905215768249"/>
          <c:h val="0.33685215654013395"/>
        </c:manualLayout>
      </c:layout>
      <c:overlay val="0"/>
      <c:txPr>
        <a:bodyPr/>
        <a:lstStyle/>
        <a:p>
          <a:pPr>
            <a:defRPr b="1">
              <a:latin typeface="Times New Roman" pitchFamily="18" charset="0"/>
              <a:cs typeface="Times New Roman" pitchFamily="18" charset="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13</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19</cp:revision>
  <cp:lastPrinted>2026-02-10T18:55:00Z</cp:lastPrinted>
  <dcterms:created xsi:type="dcterms:W3CDTF">2026-02-10T11:13:00Z</dcterms:created>
  <dcterms:modified xsi:type="dcterms:W3CDTF">2026-03-21T11:25:00Z</dcterms:modified>
</cp:coreProperties>
</file>