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46" w:rsidRDefault="005E3564" w:rsidP="007A5CFA">
      <w:pPr>
        <w:jc w:val="center"/>
        <w:rPr>
          <w:b/>
        </w:rPr>
      </w:pPr>
      <w:r w:rsidRPr="005E3564">
        <w:rPr>
          <w:b/>
        </w:rPr>
        <w:t>Sustainable Landscape Management in Higher Education Institutions (HEIs): A Systematic Literature Review on SDG Dimensions, Practices, and Research Gap</w:t>
      </w:r>
      <w:r>
        <w:rPr>
          <w:b/>
        </w:rPr>
        <w:t>s</w:t>
      </w:r>
    </w:p>
    <w:p w:rsidR="006E5746" w:rsidRDefault="00667E50" w:rsidP="006E5746">
      <w:pPr>
        <w:rPr>
          <w:b/>
        </w:rPr>
      </w:pPr>
      <w:bookmarkStart w:id="0" w:name="_GoBack"/>
      <w:bookmarkEnd w:id="0"/>
      <w:r w:rsidRPr="00667E50">
        <w:rPr>
          <w:b/>
        </w:rPr>
        <w:t xml:space="preserve">Abstract </w:t>
      </w:r>
    </w:p>
    <w:p w:rsidR="00760E85" w:rsidRDefault="00667E50" w:rsidP="00667E50">
      <w:pPr>
        <w:jc w:val="both"/>
      </w:pPr>
      <w:r w:rsidRPr="00667E50">
        <w:t>The landscape management of Higher E</w:t>
      </w:r>
      <w:r>
        <w:t>ducation Institutions (HEIs) is</w:t>
      </w:r>
      <w:r w:rsidRPr="00667E50">
        <w:t xml:space="preserve"> one of the most significant aspects in relation to the social, educational, and environmental impacts of their operations, and their integration within the United Nations Sustainable Development Goals (SDGs). This systematic literature review offers a global perspective on research about sustainable landscape management and the SDGs within HEIs. This review also examines the operational, teaching, and governance frameworks that HEIs use to improve sustainability on their campuses.</w:t>
      </w:r>
      <w:r w:rsidR="00FB527E">
        <w:t xml:space="preserve"> </w:t>
      </w:r>
      <w:r w:rsidRPr="00667E50">
        <w:t>Using the keywords “sustainable campus landscape,” “HEI gardens,” “</w:t>
      </w:r>
      <w:r w:rsidR="00A34849">
        <w:t>SDG,” and “green infrastructure,</w:t>
      </w:r>
      <w:r w:rsidR="00400580" w:rsidRPr="00667E50">
        <w:t>”</w:t>
      </w:r>
      <w:r w:rsidR="00400580">
        <w:t xml:space="preserve"> </w:t>
      </w:r>
      <w:r w:rsidR="00A34849">
        <w:t>a</w:t>
      </w:r>
      <w:r w:rsidR="00400580" w:rsidRPr="00400580">
        <w:t xml:space="preserve"> systematic search was conducted across Scopus, Web of Science, MDPI, Taylor &amp; Francis Online, and</w:t>
      </w:r>
      <w:r w:rsidR="008C4C94">
        <w:t xml:space="preserve"> selected open-access sources. </w:t>
      </w:r>
      <w:r w:rsidR="00E92411" w:rsidRPr="00E92411">
        <w:t>A total of 127 records were identified through database searches, with an additional 15 records retrieved from reference lists and institutional repositories. After screening and applying inclusion criteria, 48 peer-reviewed studies were included in the final analysis following PRISMA 2020 guidelines.</w:t>
      </w:r>
      <w:r w:rsidR="00E92411">
        <w:t xml:space="preserve"> </w:t>
      </w:r>
      <w:r w:rsidR="00134D05" w:rsidRPr="00134D05">
        <w:t>The selected studies were analyzed using thematic analysis supported by NVivo 14. Three key themes emerged:</w:t>
      </w:r>
      <w:r w:rsidR="00134D05">
        <w:t xml:space="preserve"> </w:t>
      </w:r>
      <w:r w:rsidRPr="00667E50">
        <w:t xml:space="preserve">(i) campus landscape and SDGs, (ii) operational governance and management of resources, and (iii) education and engagement of </w:t>
      </w:r>
      <w:r w:rsidR="00FB527E">
        <w:t xml:space="preserve">the community. </w:t>
      </w:r>
      <w:r w:rsidR="00400580" w:rsidRPr="00400580">
        <w:t>HEIs implement practices such as inclusive green spaces, water-efficient landscaping, and biodiversity enhancement, often through experiential “learning-by-doing” approaches.</w:t>
      </w:r>
      <w:r w:rsidR="00400580">
        <w:t xml:space="preserve"> </w:t>
      </w:r>
      <w:r w:rsidR="008C4C94" w:rsidRPr="008C4C94">
        <w:t>However, there is a significant gap in the literature regarding operational-level evaluation</w:t>
      </w:r>
      <w:r w:rsidR="008C4C94">
        <w:t>,</w:t>
      </w:r>
      <w:r w:rsidRPr="00667E50">
        <w:t xml:space="preserve"> longitudinal studies and inter-institutional studies. While campus landscapes are frequently cited as a laboratory for sustainability education, practical frameworks </w:t>
      </w:r>
      <w:r w:rsidR="00FB527E">
        <w:t xml:space="preserve">for SDG evaluation are lacking. </w:t>
      </w:r>
      <w:r w:rsidRPr="00667E50">
        <w:t xml:space="preserve">This review highlights opportunities for policymakers, landscape designers, and university leaders to improve landscape management sustainability. </w:t>
      </w:r>
      <w:r w:rsidR="00400580" w:rsidRPr="00400580">
        <w:t>Addressing these gaps can strengthen the role of campus landscapes in achieving SDGs, enhancing environmental stewardship, and improving student wellbeing.</w:t>
      </w:r>
    </w:p>
    <w:p w:rsidR="00667E50" w:rsidRPr="00667E50" w:rsidRDefault="00667E50" w:rsidP="00667E50">
      <w:pPr>
        <w:jc w:val="both"/>
      </w:pPr>
      <w:r w:rsidRPr="00FB527E">
        <w:rPr>
          <w:b/>
        </w:rPr>
        <w:t>Keywords:</w:t>
      </w:r>
      <w:r w:rsidRPr="00667E50">
        <w:t xml:space="preserve"> sustainable landscapes; higher education institutions; SDGs; campus gardens; thematic analysis; systematic review</w:t>
      </w:r>
    </w:p>
    <w:p w:rsidR="00760E85" w:rsidRDefault="00760E85" w:rsidP="00FB527E">
      <w:pPr>
        <w:rPr>
          <w:b/>
        </w:rPr>
      </w:pPr>
    </w:p>
    <w:p w:rsidR="00760E85" w:rsidRDefault="00760E85" w:rsidP="00FB527E">
      <w:pPr>
        <w:rPr>
          <w:b/>
        </w:rPr>
      </w:pPr>
    </w:p>
    <w:p w:rsidR="00760E85" w:rsidRDefault="00760E85" w:rsidP="00FB527E">
      <w:pPr>
        <w:rPr>
          <w:b/>
        </w:rPr>
      </w:pPr>
    </w:p>
    <w:p w:rsidR="00760E85" w:rsidRDefault="00760E85" w:rsidP="00FB527E">
      <w:pPr>
        <w:rPr>
          <w:b/>
        </w:rPr>
      </w:pPr>
    </w:p>
    <w:p w:rsidR="00760E85" w:rsidRDefault="00760E85" w:rsidP="00FB527E">
      <w:pPr>
        <w:rPr>
          <w:b/>
        </w:rPr>
      </w:pPr>
    </w:p>
    <w:p w:rsidR="00760E85" w:rsidRDefault="00760E85" w:rsidP="00FB527E">
      <w:pPr>
        <w:rPr>
          <w:b/>
        </w:rPr>
      </w:pPr>
    </w:p>
    <w:p w:rsidR="00760E85" w:rsidRDefault="00760E85" w:rsidP="00FB527E">
      <w:pPr>
        <w:rPr>
          <w:b/>
        </w:rPr>
      </w:pPr>
    </w:p>
    <w:p w:rsidR="00760E85" w:rsidRDefault="00760E85" w:rsidP="00FB527E">
      <w:pPr>
        <w:rPr>
          <w:b/>
        </w:rPr>
      </w:pPr>
    </w:p>
    <w:p w:rsidR="00760E85" w:rsidRDefault="00760E85" w:rsidP="00FB527E">
      <w:pPr>
        <w:rPr>
          <w:b/>
        </w:rPr>
      </w:pPr>
    </w:p>
    <w:p w:rsidR="00FB527E" w:rsidRPr="00FB527E" w:rsidRDefault="00FB527E" w:rsidP="00FB527E">
      <w:pPr>
        <w:rPr>
          <w:b/>
        </w:rPr>
      </w:pPr>
      <w:r w:rsidRPr="00FB527E">
        <w:rPr>
          <w:b/>
        </w:rPr>
        <w:t>1. Introduction</w:t>
      </w:r>
    </w:p>
    <w:p w:rsidR="00760E85" w:rsidRPr="00FB527E" w:rsidRDefault="00400580" w:rsidP="00FB527E">
      <w:pPr>
        <w:jc w:val="both"/>
      </w:pPr>
      <w:r w:rsidRPr="00400580">
        <w:lastRenderedPageBreak/>
        <w:t>Universities possess a unique capacity to integrate environmental, social, and educational dimensions within sustainability initiatives.</w:t>
      </w:r>
      <w:r w:rsidR="00FB527E" w:rsidRPr="00FB527E">
        <w:t xml:space="preserve"> Landscapes of campuses, including gardens, green spaces, and open spaces,</w:t>
      </w:r>
      <w:r w:rsidR="008C4C94" w:rsidRPr="008C4C94">
        <w:t xml:space="preserve"> function as living laboratories for sustainability</w:t>
      </w:r>
      <w:r w:rsidR="008C4C94">
        <w:t xml:space="preserve"> </w:t>
      </w:r>
      <w:r w:rsidR="00FB527E" w:rsidRPr="00FB527E">
        <w:t>and foster ecological and social engagement, and student learning (Gomez &amp; Derr, 2021). These landscapes are instrumental in the achievement of the United Nations Sustainable Development Goals (SDGs) including SDG 6 (Clean Water and Sanitation), SDG 11 (Sustainable Cities and Communities), SDG 13 (Climate Action), and SDG 15 (Life on Land) (Oliveira &amp; Proença, 2025; UMS, n.d.). Although the significance of this research</w:t>
      </w:r>
      <w:r w:rsidR="00134D05">
        <w:t xml:space="preserve"> area</w:t>
      </w:r>
      <w:r w:rsidR="00FB527E" w:rsidRPr="00FB527E">
        <w:t xml:space="preserve"> has been recognized, the research integrating SDG-focused landscape management in higher educa</w:t>
      </w:r>
      <w:r w:rsidR="00760E85">
        <w:t xml:space="preserve">tion institutions (HEIs) remains </w:t>
      </w:r>
      <w:r w:rsidR="00FB527E" w:rsidRPr="00FB527E">
        <w:t>limited.</w:t>
      </w:r>
      <w:r w:rsidR="00134D05" w:rsidRPr="00134D05">
        <w:t xml:space="preserve"> Existing reviews primarily focus on general sustainability practices in HEIs, with limited attention to landscape-specific interventions, governance mechanisms, and measurable SDG outcomes. This highlights a critical gap in understanding how campus landscapes function as operational and pedagogical tools for sustainability transitions.</w:t>
      </w:r>
      <w:r w:rsidR="00FB527E" w:rsidRPr="00FB527E">
        <w:t xml:space="preserve"> </w:t>
      </w:r>
      <w:r w:rsidRPr="00400580">
        <w:t>Existing studies, such as Sadeq et al. (2025), primarily focus on ecological and pedagogical dimensions, with limited attention to governance integration, policy frameworks, and long-term sustainability.</w:t>
      </w:r>
      <w:r w:rsidR="00ED0192">
        <w:t xml:space="preserve"> </w:t>
      </w:r>
      <w:r w:rsidR="00FB527E" w:rsidRPr="00FB527E">
        <w:t>This study attempts to systematically review global studies pertaining to sustainable campus landscapes to determine best management practices for research gaps, policy and governance frameworks, and teaching methodologies regarding the Sustainable Development Goals (SDGs). The study attempts to answer the following research questions:</w:t>
      </w:r>
    </w:p>
    <w:p w:rsidR="00FB527E" w:rsidRPr="00FB527E" w:rsidRDefault="00FB527E" w:rsidP="00FB527E">
      <w:pPr>
        <w:jc w:val="both"/>
      </w:pPr>
      <w:r w:rsidRPr="00FB527E">
        <w:t>RQ1: What thematic areas are covered in the literature pertaining to SDG-aligned landscape management practices in HEIs?</w:t>
      </w:r>
    </w:p>
    <w:p w:rsidR="00FB527E" w:rsidRPr="00FB527E" w:rsidRDefault="00E92411" w:rsidP="00FB527E">
      <w:pPr>
        <w:jc w:val="both"/>
      </w:pPr>
      <w:r>
        <w:t>RQ2:</w:t>
      </w:r>
      <w:r w:rsidR="00ED0192" w:rsidRPr="00ED0192">
        <w:t>How are SDG-aligned landscape management frameworks and practices implemented across international HEIs?</w:t>
      </w:r>
    </w:p>
    <w:p w:rsidR="00FB527E" w:rsidRPr="00FB527E" w:rsidRDefault="00FB527E" w:rsidP="00FB527E">
      <w:pPr>
        <w:jc w:val="both"/>
      </w:pPr>
      <w:r w:rsidRPr="00FB527E">
        <w:t xml:space="preserve">RQ3: </w:t>
      </w:r>
      <w:r w:rsidR="00ED0192" w:rsidRPr="00ED0192">
        <w:t>What gaps and challenges exist in the literature on sustainable campus landscapes, and how can future research address them?</w:t>
      </w:r>
    </w:p>
    <w:p w:rsidR="00FB527E" w:rsidRPr="00FB527E" w:rsidRDefault="00FB527E" w:rsidP="00FB527E">
      <w:pPr>
        <w:jc w:val="both"/>
      </w:pPr>
      <w:r w:rsidRPr="00FB527E">
        <w:t>This review aims to add to the current body of knowledge to assist policy makers and university administrators to utilize their campuses as sustainable landscapes to promote sustainability.</w:t>
      </w:r>
    </w:p>
    <w:p w:rsidR="00760E85" w:rsidRDefault="00FB527E" w:rsidP="00760E85">
      <w:pPr>
        <w:rPr>
          <w:b/>
        </w:rPr>
      </w:pPr>
      <w:r w:rsidRPr="00FB527E">
        <w:rPr>
          <w:b/>
        </w:rPr>
        <w:t>2. Methodology</w:t>
      </w:r>
    </w:p>
    <w:p w:rsidR="006A7FB0" w:rsidRPr="00760E85" w:rsidRDefault="0053602C" w:rsidP="00760E85">
      <w:pPr>
        <w:rPr>
          <w:b/>
        </w:rPr>
      </w:pPr>
      <w:r>
        <w:t>In order to assess the sustainable landscape management practices in higher education institutions (HEIs) in relation to the United Nations Sustainable Development Goals (SDGs), the current research used a Systematic Literature Review (SLR) method. A systematic review was chosen to ensure a comprehensive, transparent, and replicable synthesis of research worldwide to reveal operational, pedagogical, and policy practices related to HEI landscapes (Oliveira &amp; Proença, 2025; Gomez &amp; Derr, 2021).</w:t>
      </w:r>
      <w:r w:rsidR="00E44192" w:rsidRPr="00E44192">
        <w:t xml:space="preserve"> </w:t>
      </w:r>
      <w:r>
        <w:t>To ensure methodological transparency and rigor, the review followed the PRISMA 2020 guidelines (Page et al., 2021).</w:t>
      </w:r>
      <w:r w:rsidR="00E44192" w:rsidRPr="00E44192">
        <w:t xml:space="preserve"> </w:t>
      </w:r>
    </w:p>
    <w:p w:rsidR="0053602C" w:rsidRDefault="00E44192" w:rsidP="0053602C">
      <w:pPr>
        <w:jc w:val="both"/>
      </w:pPr>
      <w:r w:rsidRPr="00E44192">
        <w:t>Figure 1 illustrates the stages and phases that were carried out during the systematic literature review.</w:t>
      </w:r>
    </w:p>
    <w:p w:rsidR="006A7FB0" w:rsidRDefault="006A7FB0" w:rsidP="006A7FB0">
      <w:pPr>
        <w:jc w:val="center"/>
      </w:pPr>
      <w:r>
        <w:rPr>
          <w:noProof/>
          <w:lang w:val="en-IN" w:eastAsia="en-IN"/>
        </w:rPr>
        <w:lastRenderedPageBreak/>
        <w:drawing>
          <wp:inline distT="0" distB="0" distL="0" distR="0" wp14:anchorId="48411794">
            <wp:extent cx="4962525" cy="547945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19" t="-288" r="1215" b="19822"/>
                    <a:stretch/>
                  </pic:blipFill>
                  <pic:spPr bwMode="auto">
                    <a:xfrm>
                      <a:off x="0" y="0"/>
                      <a:ext cx="5187894" cy="5728302"/>
                    </a:xfrm>
                    <a:prstGeom prst="rect">
                      <a:avLst/>
                    </a:prstGeom>
                    <a:noFill/>
                    <a:ln>
                      <a:noFill/>
                    </a:ln>
                    <a:extLst>
                      <a:ext uri="{53640926-AAD7-44D8-BBD7-CCE9431645EC}">
                        <a14:shadowObscured xmlns:a14="http://schemas.microsoft.com/office/drawing/2010/main"/>
                      </a:ext>
                    </a:extLst>
                  </pic:spPr>
                </pic:pic>
              </a:graphicData>
            </a:graphic>
          </wp:inline>
        </w:drawing>
      </w:r>
    </w:p>
    <w:p w:rsidR="006A7FB0" w:rsidRDefault="006A7FB0" w:rsidP="006A7FB0">
      <w:pPr>
        <w:jc w:val="both"/>
      </w:pPr>
      <w:r w:rsidRPr="006A7FB0">
        <w:t>Figure 1 illustrates the systematic literature review (SLR) stages adopted in this study. The process consists of six key phases: identification, literature search, screening, eligibility assessment, inclusion and synthesis, and reporting. The review began with defining the research objectives and developing search strategies, followed by a comprehensive database search using predefined keywords. Duplicate records were removed, and relevant studies were screened based on titles and abstracts. Full-text articles were then assessed using inclusion and exclusion criteria to ensure relevance and methodological quality. Finally, selected studies were analyzed using thematic analysis, and findings were reported in accordance with the PRISMA 2020 Guidelines to ensure transparency and rigor.</w:t>
      </w:r>
    </w:p>
    <w:p w:rsidR="00760E85" w:rsidRDefault="0053602C" w:rsidP="00134D05">
      <w:pPr>
        <w:jc w:val="both"/>
      </w:pPr>
      <w:r>
        <w:t>The author conducted an extensive sear</w:t>
      </w:r>
      <w:r w:rsidR="00760E85">
        <w:t>ch across</w:t>
      </w:r>
      <w:r>
        <w:t xml:space="preserve"> five electronic databases—Scopus, Web of Science, MDPI, Taylor &amp; Francis Online, and the Semara</w:t>
      </w:r>
      <w:r w:rsidR="00760E85">
        <w:t xml:space="preserve">kilmu Open Access Journal—covering the period from </w:t>
      </w:r>
      <w:r>
        <w:t xml:space="preserve"> 2005 to 2026 timeframe. The search terms included “sustainable campus landscape,” “higher education institutions,” “university gardens,” “green infrastructure,” “SDG,” “sustainable development goals,” “landscape management,” “biodiversity,” “water-efficient landscaping,” and “living laboratories.” To </w:t>
      </w:r>
      <w:r>
        <w:lastRenderedPageBreak/>
        <w:t>retrieve documents with specified terms, the author used Boolean operators, e.g. “sustainable” AND “campus landscape” AND “SDG.” Only the English language, peer-reviewed journals, conference proceedings, or institutional reports were considered.</w:t>
      </w:r>
      <w:r w:rsidR="00134D05" w:rsidRPr="00134D05">
        <w:t xml:space="preserve"> </w:t>
      </w:r>
      <w:r w:rsidR="00134D05">
        <w:t>A sample search string used in Scopus was: ("sustainable campus" OR "green campus") AND ("landscape" OR "green infrastructure") AND ("SDG" OR "sustainable development goals")</w:t>
      </w:r>
    </w:p>
    <w:p w:rsidR="00760E85" w:rsidRDefault="00B57032" w:rsidP="00134D05">
      <w:pPr>
        <w:jc w:val="both"/>
      </w:pPr>
      <w:r w:rsidRPr="00B57032">
        <w:t>The PRISMA flow diagram illustrates the study selection process, resulting in 48 studies included in the final analysis</w:t>
      </w:r>
      <w:r>
        <w:t xml:space="preserve">. </w:t>
      </w:r>
      <w:r w:rsidR="00E92411" w:rsidRPr="00E92411">
        <w:t>Finally, 48 studies met all inclusion criteria and were included in the thematic analysis, ensuring transparency, replicability, and methodological rigor</w:t>
      </w:r>
      <w:r w:rsidR="00E92411">
        <w:t>.</w:t>
      </w:r>
      <w:r>
        <w:t xml:space="preserve"> </w:t>
      </w:r>
      <w:r w:rsidRPr="00B57032">
        <w:t>Figure 2 presents the PRISMA flow diagram illustrating the literature selection process</w:t>
      </w:r>
      <w:r>
        <w:t>.</w:t>
      </w:r>
    </w:p>
    <w:p w:rsidR="00E44192" w:rsidRDefault="00E44192" w:rsidP="00134D05">
      <w:pPr>
        <w:jc w:val="both"/>
      </w:pPr>
      <w:r w:rsidRPr="00E44192">
        <w:t>Figure 2 the PRISMA flow diagram</w:t>
      </w:r>
    </w:p>
    <w:p w:rsidR="007A5CFA" w:rsidRDefault="00A34849" w:rsidP="007A5CFA">
      <w:pPr>
        <w:jc w:val="center"/>
      </w:pPr>
      <w:r>
        <w:rPr>
          <w:noProof/>
          <w:lang w:val="en-IN" w:eastAsia="en-IN"/>
        </w:rPr>
        <w:drawing>
          <wp:inline distT="0" distB="0" distL="0" distR="0" wp14:anchorId="4B62D49B">
            <wp:extent cx="4290227" cy="586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225" b="10854"/>
                    <a:stretch/>
                  </pic:blipFill>
                  <pic:spPr bwMode="auto">
                    <a:xfrm>
                      <a:off x="0" y="0"/>
                      <a:ext cx="4422469" cy="6048257"/>
                    </a:xfrm>
                    <a:prstGeom prst="rect">
                      <a:avLst/>
                    </a:prstGeom>
                    <a:noFill/>
                    <a:ln>
                      <a:noFill/>
                    </a:ln>
                    <a:extLst>
                      <a:ext uri="{53640926-AAD7-44D8-BBD7-CCE9431645EC}">
                        <a14:shadowObscured xmlns:a14="http://schemas.microsoft.com/office/drawing/2010/main"/>
                      </a:ext>
                    </a:extLst>
                  </pic:spPr>
                </pic:pic>
              </a:graphicData>
            </a:graphic>
          </wp:inline>
        </w:drawing>
      </w:r>
    </w:p>
    <w:p w:rsidR="0053602C" w:rsidRDefault="00E92411" w:rsidP="007A5CFA">
      <w:pPr>
        <w:jc w:val="both"/>
      </w:pPr>
      <w:r>
        <w:lastRenderedPageBreak/>
        <w:t>F</w:t>
      </w:r>
      <w:r w:rsidR="0053602C">
        <w:t xml:space="preserve">rom each record, data were captured from authorship, year, country, HEI type, landscape type, sustainability practices, SDG alignment (focusing on SDGs 6, 11, 13, and 15),  governance frameworks,  and  outcomes of educational or community  involvement. These data were inputted into NVivo 14 and analyzed using a combined deductive-inductive approach. Deductive coding was used </w:t>
      </w:r>
      <w:r>
        <w:t>to place</w:t>
      </w:r>
      <w:r w:rsidR="0053602C">
        <w:t xml:space="preserve"> governance, operational management and pedagogy/community engagement to the selected four SDGs, and inductive coding was used to determine the practices related to operational management, integrated policy, and educational outcomes. The final analysis identified three major themes: (i) the integration of campus landscapes and the SDGs, (ii) operational governance and management of resources, and (iii) education and community engagement.</w:t>
      </w:r>
    </w:p>
    <w:p w:rsidR="0053602C" w:rsidRDefault="0053602C" w:rsidP="0053602C">
      <w:pPr>
        <w:jc w:val="both"/>
      </w:pPr>
      <w:r>
        <w:t>Additional data mapping involved several other metrics such as geographical scope, type of higher education institution (HEI), landscape scale, sustainability practices, sustainability outcomes, to uncover patterns and research gaps. Thematic synthesis elucidated global landscape management practices of HEI, and identified gaps in the integration of policies and sustainability as well as alignment to the SDGs (Gomez &amp; Derr, 2021; Sadeq et al., 2025). The last PRISMA flow diagram illustrated the steps taken to select literature: from 312 records, 48 articles were included in the thematic analysis, ensuring transparency, replicability, and methodological robustness for the results and discussions.</w:t>
      </w:r>
    </w:p>
    <w:p w:rsidR="0053602C" w:rsidRDefault="0053602C" w:rsidP="0053602C">
      <w:pPr>
        <w:jc w:val="both"/>
        <w:rPr>
          <w:b/>
        </w:rPr>
      </w:pPr>
      <w:r w:rsidRPr="0053602C">
        <w:rPr>
          <w:b/>
        </w:rPr>
        <w:t>3. Results</w:t>
      </w:r>
    </w:p>
    <w:p w:rsidR="005E3564" w:rsidRDefault="005749EA" w:rsidP="005749EA">
      <w:pPr>
        <w:jc w:val="both"/>
        <w:rPr>
          <w:b/>
        </w:rPr>
      </w:pPr>
      <w:r w:rsidRPr="005749EA">
        <w:rPr>
          <w:b/>
        </w:rPr>
        <w:t>3.1 Overview of Included Studies</w:t>
      </w:r>
    </w:p>
    <w:p w:rsidR="00467EDF" w:rsidRDefault="005749EA" w:rsidP="005749EA">
      <w:pPr>
        <w:jc w:val="both"/>
      </w:pPr>
      <w:r w:rsidRPr="005749EA">
        <w:t xml:space="preserve">A total of 48 studies were found considering the years 2005 to </w:t>
      </w:r>
      <w:r w:rsidR="002A52CB" w:rsidRPr="005749EA">
        <w:t>2026, which</w:t>
      </w:r>
      <w:r w:rsidRPr="005749EA">
        <w:t xml:space="preserve"> are systematically reviewing sustainable landscape management in higher education institutions, associated with the United Nations Sustainable Development Goals (SDGs). These articles are reviewed from five databases (Scopus, Web of Science, MDPI, Taylor and Francis Online, and Semarakilmu</w:t>
      </w:r>
      <w:r w:rsidR="002A52CB">
        <w:t xml:space="preserve"> Open Access Journal), and represent</w:t>
      </w:r>
      <w:r w:rsidRPr="005749EA">
        <w:t xml:space="preserve"> the geographical regions of North America, Europe, Asia, Africa and Latin America. </w:t>
      </w:r>
    </w:p>
    <w:p w:rsidR="00467EDF" w:rsidRDefault="00467EDF" w:rsidP="005749EA">
      <w:pPr>
        <w:jc w:val="both"/>
      </w:pPr>
      <w:r>
        <w:t xml:space="preserve">Table 01: </w:t>
      </w:r>
      <w:r w:rsidRPr="00467EDF">
        <w:t>Overview of included studies by region, HEI type, study methodology, and SDG alignment (n = 48)</w:t>
      </w:r>
    </w:p>
    <w:tbl>
      <w:tblPr>
        <w:tblStyle w:val="TableGrid"/>
        <w:tblW w:w="0" w:type="auto"/>
        <w:tblLook w:val="04A0" w:firstRow="1" w:lastRow="0" w:firstColumn="1" w:lastColumn="0" w:noHBand="0" w:noVBand="1"/>
      </w:tblPr>
      <w:tblGrid>
        <w:gridCol w:w="1239"/>
        <w:gridCol w:w="1187"/>
        <w:gridCol w:w="1757"/>
        <w:gridCol w:w="3377"/>
        <w:gridCol w:w="2016"/>
      </w:tblGrid>
      <w:tr w:rsidR="00467EDF" w:rsidRPr="00467EDF" w:rsidTr="00467EDF">
        <w:tc>
          <w:tcPr>
            <w:tcW w:w="0" w:type="auto"/>
            <w:hideMark/>
          </w:tcPr>
          <w:p w:rsidR="00467EDF" w:rsidRPr="00467EDF" w:rsidRDefault="00467EDF" w:rsidP="00467EDF">
            <w:pPr>
              <w:spacing w:after="160" w:line="259" w:lineRule="auto"/>
              <w:jc w:val="both"/>
              <w:rPr>
                <w:b/>
                <w:bCs/>
              </w:rPr>
            </w:pPr>
            <w:r w:rsidRPr="00467EDF">
              <w:rPr>
                <w:b/>
                <w:bCs/>
              </w:rPr>
              <w:t>Region</w:t>
            </w:r>
          </w:p>
        </w:tc>
        <w:tc>
          <w:tcPr>
            <w:tcW w:w="0" w:type="auto"/>
            <w:hideMark/>
          </w:tcPr>
          <w:p w:rsidR="00467EDF" w:rsidRPr="00467EDF" w:rsidRDefault="00467EDF" w:rsidP="00467EDF">
            <w:pPr>
              <w:spacing w:after="160" w:line="259" w:lineRule="auto"/>
              <w:jc w:val="both"/>
              <w:rPr>
                <w:b/>
                <w:bCs/>
              </w:rPr>
            </w:pPr>
            <w:r w:rsidRPr="00467EDF">
              <w:rPr>
                <w:b/>
                <w:bCs/>
              </w:rPr>
              <w:t>No. of Studies</w:t>
            </w:r>
          </w:p>
        </w:tc>
        <w:tc>
          <w:tcPr>
            <w:tcW w:w="0" w:type="auto"/>
            <w:hideMark/>
          </w:tcPr>
          <w:p w:rsidR="00467EDF" w:rsidRPr="00467EDF" w:rsidRDefault="00467EDF" w:rsidP="00467EDF">
            <w:pPr>
              <w:spacing w:after="160" w:line="259" w:lineRule="auto"/>
              <w:jc w:val="both"/>
              <w:rPr>
                <w:b/>
                <w:bCs/>
              </w:rPr>
            </w:pPr>
            <w:r w:rsidRPr="00467EDF">
              <w:rPr>
                <w:b/>
                <w:bCs/>
              </w:rPr>
              <w:t>HEI Type (Public / Private)</w:t>
            </w:r>
          </w:p>
        </w:tc>
        <w:tc>
          <w:tcPr>
            <w:tcW w:w="0" w:type="auto"/>
            <w:hideMark/>
          </w:tcPr>
          <w:p w:rsidR="00467EDF" w:rsidRPr="00467EDF" w:rsidRDefault="00467EDF" w:rsidP="00467EDF">
            <w:pPr>
              <w:spacing w:after="160" w:line="259" w:lineRule="auto"/>
              <w:jc w:val="both"/>
              <w:rPr>
                <w:b/>
                <w:bCs/>
              </w:rPr>
            </w:pPr>
            <w:r w:rsidRPr="00467EDF">
              <w:rPr>
                <w:b/>
                <w:bCs/>
              </w:rPr>
              <w:t>Study Methodology (Qualitative / Mixed / Quantitative)</w:t>
            </w:r>
          </w:p>
        </w:tc>
        <w:tc>
          <w:tcPr>
            <w:tcW w:w="0" w:type="auto"/>
            <w:hideMark/>
          </w:tcPr>
          <w:p w:rsidR="00467EDF" w:rsidRPr="00467EDF" w:rsidRDefault="00467EDF" w:rsidP="00467EDF">
            <w:pPr>
              <w:spacing w:after="160" w:line="259" w:lineRule="auto"/>
              <w:jc w:val="both"/>
              <w:rPr>
                <w:b/>
                <w:bCs/>
              </w:rPr>
            </w:pPr>
            <w:r w:rsidRPr="00467EDF">
              <w:rPr>
                <w:b/>
                <w:bCs/>
              </w:rPr>
              <w:t>SDG Alignment (6, 11, 13, 15)</w:t>
            </w:r>
          </w:p>
        </w:tc>
      </w:tr>
      <w:tr w:rsidR="00467EDF" w:rsidRPr="00467EDF" w:rsidTr="00467EDF">
        <w:tc>
          <w:tcPr>
            <w:tcW w:w="0" w:type="auto"/>
            <w:hideMark/>
          </w:tcPr>
          <w:p w:rsidR="00467EDF" w:rsidRPr="00467EDF" w:rsidRDefault="00467EDF" w:rsidP="00467EDF">
            <w:pPr>
              <w:spacing w:after="160" w:line="259" w:lineRule="auto"/>
              <w:jc w:val="both"/>
            </w:pPr>
            <w:r w:rsidRPr="00467EDF">
              <w:t>Europe</w:t>
            </w:r>
          </w:p>
        </w:tc>
        <w:tc>
          <w:tcPr>
            <w:tcW w:w="0" w:type="auto"/>
            <w:hideMark/>
          </w:tcPr>
          <w:p w:rsidR="00467EDF" w:rsidRPr="00467EDF" w:rsidRDefault="00467EDF" w:rsidP="00467EDF">
            <w:pPr>
              <w:spacing w:after="160" w:line="259" w:lineRule="auto"/>
              <w:jc w:val="both"/>
            </w:pPr>
            <w:r w:rsidRPr="00467EDF">
              <w:t>20</w:t>
            </w:r>
          </w:p>
        </w:tc>
        <w:tc>
          <w:tcPr>
            <w:tcW w:w="0" w:type="auto"/>
            <w:hideMark/>
          </w:tcPr>
          <w:p w:rsidR="00467EDF" w:rsidRPr="00467EDF" w:rsidRDefault="00467EDF" w:rsidP="00467EDF">
            <w:pPr>
              <w:spacing w:after="160" w:line="259" w:lineRule="auto"/>
              <w:jc w:val="both"/>
            </w:pPr>
            <w:r w:rsidRPr="00467EDF">
              <w:t>12 / 8</w:t>
            </w:r>
          </w:p>
        </w:tc>
        <w:tc>
          <w:tcPr>
            <w:tcW w:w="0" w:type="auto"/>
            <w:hideMark/>
          </w:tcPr>
          <w:p w:rsidR="00467EDF" w:rsidRPr="00467EDF" w:rsidRDefault="00467EDF" w:rsidP="00467EDF">
            <w:pPr>
              <w:spacing w:after="160" w:line="259" w:lineRule="auto"/>
              <w:jc w:val="both"/>
            </w:pPr>
            <w:r w:rsidRPr="00467EDF">
              <w:t>10 / 6 / 4</w:t>
            </w:r>
          </w:p>
        </w:tc>
        <w:tc>
          <w:tcPr>
            <w:tcW w:w="0" w:type="auto"/>
            <w:hideMark/>
          </w:tcPr>
          <w:p w:rsidR="00467EDF" w:rsidRPr="00467EDF" w:rsidRDefault="00467EDF" w:rsidP="00467EDF">
            <w:pPr>
              <w:spacing w:after="160" w:line="259" w:lineRule="auto"/>
              <w:jc w:val="both"/>
            </w:pPr>
            <w:r w:rsidRPr="00467EDF">
              <w:t>All</w:t>
            </w:r>
          </w:p>
        </w:tc>
      </w:tr>
      <w:tr w:rsidR="00467EDF" w:rsidRPr="00467EDF" w:rsidTr="00467EDF">
        <w:tc>
          <w:tcPr>
            <w:tcW w:w="0" w:type="auto"/>
            <w:hideMark/>
          </w:tcPr>
          <w:p w:rsidR="00467EDF" w:rsidRPr="00467EDF" w:rsidRDefault="00467EDF" w:rsidP="00467EDF">
            <w:pPr>
              <w:spacing w:after="160" w:line="259" w:lineRule="auto"/>
              <w:jc w:val="both"/>
            </w:pPr>
            <w:r w:rsidRPr="00467EDF">
              <w:t>North America</w:t>
            </w:r>
          </w:p>
        </w:tc>
        <w:tc>
          <w:tcPr>
            <w:tcW w:w="0" w:type="auto"/>
            <w:hideMark/>
          </w:tcPr>
          <w:p w:rsidR="00467EDF" w:rsidRPr="00467EDF" w:rsidRDefault="00467EDF" w:rsidP="00467EDF">
            <w:pPr>
              <w:spacing w:after="160" w:line="259" w:lineRule="auto"/>
              <w:jc w:val="both"/>
            </w:pPr>
            <w:r w:rsidRPr="00467EDF">
              <w:t>13</w:t>
            </w:r>
          </w:p>
        </w:tc>
        <w:tc>
          <w:tcPr>
            <w:tcW w:w="0" w:type="auto"/>
            <w:hideMark/>
          </w:tcPr>
          <w:p w:rsidR="00467EDF" w:rsidRPr="00467EDF" w:rsidRDefault="00467EDF" w:rsidP="00467EDF">
            <w:pPr>
              <w:spacing w:after="160" w:line="259" w:lineRule="auto"/>
              <w:jc w:val="both"/>
            </w:pPr>
            <w:r w:rsidRPr="00467EDF">
              <w:t>8 / 5</w:t>
            </w:r>
          </w:p>
        </w:tc>
        <w:tc>
          <w:tcPr>
            <w:tcW w:w="0" w:type="auto"/>
            <w:hideMark/>
          </w:tcPr>
          <w:p w:rsidR="00467EDF" w:rsidRPr="00467EDF" w:rsidRDefault="00467EDF" w:rsidP="00467EDF">
            <w:pPr>
              <w:spacing w:after="160" w:line="259" w:lineRule="auto"/>
              <w:jc w:val="both"/>
            </w:pPr>
            <w:r w:rsidRPr="00467EDF">
              <w:t>6 / 4 / 3</w:t>
            </w:r>
          </w:p>
        </w:tc>
        <w:tc>
          <w:tcPr>
            <w:tcW w:w="0" w:type="auto"/>
            <w:hideMark/>
          </w:tcPr>
          <w:p w:rsidR="00467EDF" w:rsidRPr="00467EDF" w:rsidRDefault="00467EDF" w:rsidP="00467EDF">
            <w:pPr>
              <w:spacing w:after="160" w:line="259" w:lineRule="auto"/>
              <w:jc w:val="both"/>
            </w:pPr>
            <w:r w:rsidRPr="00467EDF">
              <w:t>All</w:t>
            </w:r>
          </w:p>
        </w:tc>
      </w:tr>
      <w:tr w:rsidR="00467EDF" w:rsidRPr="00467EDF" w:rsidTr="00467EDF">
        <w:tc>
          <w:tcPr>
            <w:tcW w:w="0" w:type="auto"/>
            <w:hideMark/>
          </w:tcPr>
          <w:p w:rsidR="00467EDF" w:rsidRPr="00467EDF" w:rsidRDefault="00467EDF" w:rsidP="00467EDF">
            <w:pPr>
              <w:spacing w:after="160" w:line="259" w:lineRule="auto"/>
              <w:jc w:val="both"/>
            </w:pPr>
            <w:r w:rsidRPr="00467EDF">
              <w:t>Asia</w:t>
            </w:r>
          </w:p>
        </w:tc>
        <w:tc>
          <w:tcPr>
            <w:tcW w:w="0" w:type="auto"/>
            <w:hideMark/>
          </w:tcPr>
          <w:p w:rsidR="00467EDF" w:rsidRPr="00467EDF" w:rsidRDefault="00467EDF" w:rsidP="00467EDF">
            <w:pPr>
              <w:spacing w:after="160" w:line="259" w:lineRule="auto"/>
              <w:jc w:val="both"/>
            </w:pPr>
            <w:r w:rsidRPr="00467EDF">
              <w:t>9</w:t>
            </w:r>
          </w:p>
        </w:tc>
        <w:tc>
          <w:tcPr>
            <w:tcW w:w="0" w:type="auto"/>
            <w:hideMark/>
          </w:tcPr>
          <w:p w:rsidR="00467EDF" w:rsidRPr="00467EDF" w:rsidRDefault="00467EDF" w:rsidP="00467EDF">
            <w:pPr>
              <w:spacing w:after="160" w:line="259" w:lineRule="auto"/>
              <w:jc w:val="both"/>
            </w:pPr>
            <w:r w:rsidRPr="00467EDF">
              <w:t>5 / 4</w:t>
            </w:r>
          </w:p>
        </w:tc>
        <w:tc>
          <w:tcPr>
            <w:tcW w:w="0" w:type="auto"/>
            <w:hideMark/>
          </w:tcPr>
          <w:p w:rsidR="00467EDF" w:rsidRPr="00467EDF" w:rsidRDefault="00467EDF" w:rsidP="00467EDF">
            <w:pPr>
              <w:spacing w:after="160" w:line="259" w:lineRule="auto"/>
              <w:jc w:val="both"/>
            </w:pPr>
            <w:r w:rsidRPr="00467EDF">
              <w:t>4 / 3 / 2</w:t>
            </w:r>
          </w:p>
        </w:tc>
        <w:tc>
          <w:tcPr>
            <w:tcW w:w="0" w:type="auto"/>
            <w:hideMark/>
          </w:tcPr>
          <w:p w:rsidR="00467EDF" w:rsidRPr="00467EDF" w:rsidRDefault="00467EDF" w:rsidP="00467EDF">
            <w:pPr>
              <w:spacing w:after="160" w:line="259" w:lineRule="auto"/>
              <w:jc w:val="both"/>
            </w:pPr>
            <w:r w:rsidRPr="00467EDF">
              <w:t>All</w:t>
            </w:r>
          </w:p>
        </w:tc>
      </w:tr>
      <w:tr w:rsidR="00467EDF" w:rsidRPr="00467EDF" w:rsidTr="00467EDF">
        <w:tc>
          <w:tcPr>
            <w:tcW w:w="0" w:type="auto"/>
            <w:hideMark/>
          </w:tcPr>
          <w:p w:rsidR="00467EDF" w:rsidRPr="00467EDF" w:rsidRDefault="00467EDF" w:rsidP="00467EDF">
            <w:pPr>
              <w:spacing w:after="160" w:line="259" w:lineRule="auto"/>
              <w:jc w:val="both"/>
            </w:pPr>
            <w:r w:rsidRPr="00467EDF">
              <w:t>Africa</w:t>
            </w:r>
          </w:p>
        </w:tc>
        <w:tc>
          <w:tcPr>
            <w:tcW w:w="0" w:type="auto"/>
            <w:hideMark/>
          </w:tcPr>
          <w:p w:rsidR="00467EDF" w:rsidRPr="00467EDF" w:rsidRDefault="00467EDF" w:rsidP="00467EDF">
            <w:pPr>
              <w:spacing w:after="160" w:line="259" w:lineRule="auto"/>
              <w:jc w:val="both"/>
            </w:pPr>
            <w:r w:rsidRPr="00467EDF">
              <w:t>3</w:t>
            </w:r>
          </w:p>
        </w:tc>
        <w:tc>
          <w:tcPr>
            <w:tcW w:w="0" w:type="auto"/>
            <w:hideMark/>
          </w:tcPr>
          <w:p w:rsidR="00467EDF" w:rsidRPr="00467EDF" w:rsidRDefault="00467EDF" w:rsidP="00467EDF">
            <w:pPr>
              <w:spacing w:after="160" w:line="259" w:lineRule="auto"/>
              <w:jc w:val="both"/>
            </w:pPr>
            <w:r w:rsidRPr="00467EDF">
              <w:t>3 / 0</w:t>
            </w:r>
          </w:p>
        </w:tc>
        <w:tc>
          <w:tcPr>
            <w:tcW w:w="0" w:type="auto"/>
            <w:hideMark/>
          </w:tcPr>
          <w:p w:rsidR="00467EDF" w:rsidRPr="00467EDF" w:rsidRDefault="00467EDF" w:rsidP="00467EDF">
            <w:pPr>
              <w:spacing w:after="160" w:line="259" w:lineRule="auto"/>
              <w:jc w:val="both"/>
            </w:pPr>
            <w:r w:rsidRPr="00467EDF">
              <w:t>1 / 1 / 1</w:t>
            </w:r>
          </w:p>
        </w:tc>
        <w:tc>
          <w:tcPr>
            <w:tcW w:w="0" w:type="auto"/>
            <w:hideMark/>
          </w:tcPr>
          <w:p w:rsidR="00467EDF" w:rsidRPr="00467EDF" w:rsidRDefault="00467EDF" w:rsidP="00467EDF">
            <w:pPr>
              <w:spacing w:after="160" w:line="259" w:lineRule="auto"/>
              <w:jc w:val="both"/>
            </w:pPr>
            <w:r w:rsidRPr="00467EDF">
              <w:t>Partial (6, 11, 13)</w:t>
            </w:r>
          </w:p>
        </w:tc>
      </w:tr>
      <w:tr w:rsidR="00467EDF" w:rsidRPr="00467EDF" w:rsidTr="00467EDF">
        <w:tc>
          <w:tcPr>
            <w:tcW w:w="0" w:type="auto"/>
            <w:hideMark/>
          </w:tcPr>
          <w:p w:rsidR="00467EDF" w:rsidRPr="00467EDF" w:rsidRDefault="00467EDF" w:rsidP="00467EDF">
            <w:pPr>
              <w:spacing w:after="160" w:line="259" w:lineRule="auto"/>
              <w:jc w:val="both"/>
            </w:pPr>
            <w:r w:rsidRPr="00467EDF">
              <w:t>Latin America</w:t>
            </w:r>
          </w:p>
        </w:tc>
        <w:tc>
          <w:tcPr>
            <w:tcW w:w="0" w:type="auto"/>
            <w:hideMark/>
          </w:tcPr>
          <w:p w:rsidR="00467EDF" w:rsidRPr="00467EDF" w:rsidRDefault="00467EDF" w:rsidP="00467EDF">
            <w:pPr>
              <w:spacing w:after="160" w:line="259" w:lineRule="auto"/>
              <w:jc w:val="both"/>
            </w:pPr>
            <w:r w:rsidRPr="00467EDF">
              <w:t>3</w:t>
            </w:r>
          </w:p>
        </w:tc>
        <w:tc>
          <w:tcPr>
            <w:tcW w:w="0" w:type="auto"/>
            <w:hideMark/>
          </w:tcPr>
          <w:p w:rsidR="00467EDF" w:rsidRPr="00467EDF" w:rsidRDefault="00467EDF" w:rsidP="00467EDF">
            <w:pPr>
              <w:spacing w:after="160" w:line="259" w:lineRule="auto"/>
              <w:jc w:val="both"/>
            </w:pPr>
            <w:r w:rsidRPr="00467EDF">
              <w:t>2 / 1</w:t>
            </w:r>
          </w:p>
        </w:tc>
        <w:tc>
          <w:tcPr>
            <w:tcW w:w="0" w:type="auto"/>
            <w:hideMark/>
          </w:tcPr>
          <w:p w:rsidR="00467EDF" w:rsidRPr="00467EDF" w:rsidRDefault="00467EDF" w:rsidP="00467EDF">
            <w:pPr>
              <w:spacing w:after="160" w:line="259" w:lineRule="auto"/>
              <w:jc w:val="both"/>
            </w:pPr>
            <w:r w:rsidRPr="00467EDF">
              <w:t>1 / 1 / 1</w:t>
            </w:r>
          </w:p>
        </w:tc>
        <w:tc>
          <w:tcPr>
            <w:tcW w:w="0" w:type="auto"/>
            <w:hideMark/>
          </w:tcPr>
          <w:p w:rsidR="00467EDF" w:rsidRPr="00467EDF" w:rsidRDefault="00467EDF" w:rsidP="00467EDF">
            <w:pPr>
              <w:spacing w:after="160" w:line="259" w:lineRule="auto"/>
              <w:jc w:val="both"/>
            </w:pPr>
            <w:r w:rsidRPr="00467EDF">
              <w:t>Partial (6, 11, 13)</w:t>
            </w:r>
          </w:p>
        </w:tc>
      </w:tr>
      <w:tr w:rsidR="00467EDF" w:rsidRPr="00467EDF" w:rsidTr="00467EDF">
        <w:tc>
          <w:tcPr>
            <w:tcW w:w="0" w:type="auto"/>
            <w:hideMark/>
          </w:tcPr>
          <w:p w:rsidR="00467EDF" w:rsidRPr="00467EDF" w:rsidRDefault="00467EDF" w:rsidP="00467EDF">
            <w:pPr>
              <w:spacing w:after="160" w:line="259" w:lineRule="auto"/>
              <w:jc w:val="both"/>
            </w:pPr>
            <w:r w:rsidRPr="00467EDF">
              <w:rPr>
                <w:b/>
                <w:bCs/>
              </w:rPr>
              <w:t>Total</w:t>
            </w:r>
          </w:p>
        </w:tc>
        <w:tc>
          <w:tcPr>
            <w:tcW w:w="0" w:type="auto"/>
            <w:hideMark/>
          </w:tcPr>
          <w:p w:rsidR="00467EDF" w:rsidRPr="00467EDF" w:rsidRDefault="00467EDF" w:rsidP="00467EDF">
            <w:pPr>
              <w:spacing w:after="160" w:line="259" w:lineRule="auto"/>
              <w:jc w:val="both"/>
            </w:pPr>
            <w:r w:rsidRPr="00467EDF">
              <w:rPr>
                <w:b/>
                <w:bCs/>
              </w:rPr>
              <w:t>48</w:t>
            </w:r>
          </w:p>
        </w:tc>
        <w:tc>
          <w:tcPr>
            <w:tcW w:w="0" w:type="auto"/>
            <w:hideMark/>
          </w:tcPr>
          <w:p w:rsidR="00467EDF" w:rsidRPr="00467EDF" w:rsidRDefault="00467EDF" w:rsidP="00467EDF">
            <w:pPr>
              <w:spacing w:after="160" w:line="259" w:lineRule="auto"/>
              <w:jc w:val="both"/>
            </w:pPr>
            <w:r w:rsidRPr="00467EDF">
              <w:t>30 / 18</w:t>
            </w:r>
          </w:p>
        </w:tc>
        <w:tc>
          <w:tcPr>
            <w:tcW w:w="0" w:type="auto"/>
            <w:hideMark/>
          </w:tcPr>
          <w:p w:rsidR="00467EDF" w:rsidRPr="00467EDF" w:rsidRDefault="00467EDF" w:rsidP="00467EDF">
            <w:pPr>
              <w:spacing w:after="160" w:line="259" w:lineRule="auto"/>
              <w:jc w:val="both"/>
            </w:pPr>
            <w:r w:rsidRPr="00467EDF">
              <w:t>22 / 15 / 11</w:t>
            </w:r>
          </w:p>
        </w:tc>
        <w:tc>
          <w:tcPr>
            <w:tcW w:w="0" w:type="auto"/>
            <w:hideMark/>
          </w:tcPr>
          <w:p w:rsidR="00467EDF" w:rsidRPr="00467EDF" w:rsidRDefault="00467EDF" w:rsidP="00467EDF">
            <w:pPr>
              <w:spacing w:after="160" w:line="259" w:lineRule="auto"/>
              <w:jc w:val="both"/>
            </w:pPr>
            <w:r w:rsidRPr="00467EDF">
              <w:t>All / Partial</w:t>
            </w:r>
          </w:p>
        </w:tc>
      </w:tr>
    </w:tbl>
    <w:p w:rsidR="00467EDF" w:rsidRPr="00467EDF" w:rsidRDefault="00467EDF" w:rsidP="00467EDF">
      <w:pPr>
        <w:pStyle w:val="NoSpacing"/>
      </w:pPr>
      <w:r w:rsidRPr="00467EDF">
        <w:t>Notes:</w:t>
      </w:r>
    </w:p>
    <w:p w:rsidR="00467EDF" w:rsidRPr="00467EDF" w:rsidRDefault="00467EDF" w:rsidP="00467EDF">
      <w:pPr>
        <w:pStyle w:val="NoSpacing"/>
        <w:numPr>
          <w:ilvl w:val="0"/>
          <w:numId w:val="4"/>
        </w:numPr>
      </w:pPr>
      <w:r w:rsidRPr="00467EDF">
        <w:t>HEI = Higher Education Institution.</w:t>
      </w:r>
    </w:p>
    <w:p w:rsidR="00467EDF" w:rsidRPr="00467EDF" w:rsidRDefault="00467EDF" w:rsidP="00467EDF">
      <w:pPr>
        <w:pStyle w:val="NoSpacing"/>
        <w:numPr>
          <w:ilvl w:val="0"/>
          <w:numId w:val="4"/>
        </w:numPr>
      </w:pPr>
      <w:r w:rsidRPr="00467EDF">
        <w:lastRenderedPageBreak/>
        <w:t>Study methodology refers to the primary approach reported in each study.</w:t>
      </w:r>
    </w:p>
    <w:p w:rsidR="00467EDF" w:rsidRPr="00467EDF" w:rsidRDefault="00467EDF" w:rsidP="00467EDF">
      <w:pPr>
        <w:pStyle w:val="NoSpacing"/>
        <w:numPr>
          <w:ilvl w:val="0"/>
          <w:numId w:val="4"/>
        </w:numPr>
      </w:pPr>
      <w:r w:rsidRPr="00467EDF">
        <w:t>SDG alignment indicates which Sustainable Development Goals the study addressed.</w:t>
      </w:r>
    </w:p>
    <w:p w:rsidR="006A7FB0" w:rsidRDefault="006A7FB0" w:rsidP="005749EA">
      <w:pPr>
        <w:jc w:val="both"/>
      </w:pPr>
    </w:p>
    <w:p w:rsidR="005749EA" w:rsidRPr="005E3564" w:rsidRDefault="00467EDF" w:rsidP="005749EA">
      <w:pPr>
        <w:jc w:val="both"/>
        <w:rPr>
          <w:b/>
        </w:rPr>
      </w:pPr>
      <w:r w:rsidRPr="00467EDF">
        <w:t>Table 1 summarizes the included studies by region, HEI type,</w:t>
      </w:r>
      <w:r>
        <w:t xml:space="preserve"> methodology, and SDG alignment</w:t>
      </w:r>
      <w:r w:rsidR="005749EA" w:rsidRPr="005749EA">
        <w:t>. Studies across different contexts had all emphasized the importance of sustainability in the landscape, operations, and engagement of the community, and the use of green spaces and gardens as “living laboratories” for the education of biodiversity an</w:t>
      </w:r>
      <w:r w:rsidR="005749EA">
        <w:t>d sustainable water management.</w:t>
      </w:r>
    </w:p>
    <w:p w:rsidR="00AC759E" w:rsidRPr="00AC759E" w:rsidRDefault="00AC759E" w:rsidP="00AC759E">
      <w:pPr>
        <w:jc w:val="both"/>
        <w:rPr>
          <w:b/>
          <w:bCs/>
        </w:rPr>
      </w:pPr>
      <w:r w:rsidRPr="00AC759E">
        <w:rPr>
          <w:b/>
          <w:bCs/>
        </w:rPr>
        <w:t>3.2 Thematic Analysis</w:t>
      </w:r>
    </w:p>
    <w:p w:rsidR="00AC759E" w:rsidRPr="00AC759E" w:rsidRDefault="00AC759E" w:rsidP="00AC759E">
      <w:pPr>
        <w:jc w:val="both"/>
      </w:pPr>
      <w:r w:rsidRPr="00AC759E">
        <w:t xml:space="preserve">The screening process was conducted by the author, and studies were reviewed based on relevance to the research objectives. To minimize bias, inclusion decisions were consistently applied using predefined criteria </w:t>
      </w:r>
      <w:r w:rsidRPr="00AC759E">
        <w:rPr>
          <w:bCs/>
        </w:rPr>
        <w:t>(Tranfield et al., 2003; Lim et al., 2022)</w:t>
      </w:r>
      <w:r w:rsidRPr="00AC759E">
        <w:t xml:space="preserve">. The selected studies were evaluated based on methodological clarity, relevance to SDG-related landscape practices, and robustness of findings </w:t>
      </w:r>
      <w:r w:rsidRPr="00AC759E">
        <w:rPr>
          <w:bCs/>
        </w:rPr>
        <w:t>(Hassana &amp; Ahmada, 2025; Oliveira &amp; Proença, 2025)</w:t>
      </w:r>
      <w:r w:rsidRPr="00AC759E">
        <w:t>. Studies lacking sufficient methodological transparency or empirical evidence were excluded during full-text review.</w:t>
      </w:r>
    </w:p>
    <w:p w:rsidR="00AC759E" w:rsidRPr="00AC759E" w:rsidRDefault="00BA62E6" w:rsidP="00AC759E">
      <w:pPr>
        <w:jc w:val="both"/>
      </w:pPr>
      <w:r>
        <w:t>Three</w:t>
      </w:r>
      <w:r w:rsidR="00AC759E" w:rsidRPr="00AC759E">
        <w:t xml:space="preserve"> overarching themes emerged from NVivo-based thematic analysis:</w:t>
      </w:r>
    </w:p>
    <w:p w:rsidR="00AC759E" w:rsidRPr="00AC759E" w:rsidRDefault="00AC759E" w:rsidP="00AC759E">
      <w:pPr>
        <w:jc w:val="both"/>
      </w:pPr>
      <w:r w:rsidRPr="00AC759E">
        <w:rPr>
          <w:bCs/>
        </w:rPr>
        <w:t>Embedding Campus Landscapes with the SDGs:</w:t>
      </w:r>
      <w:r w:rsidRPr="00AC759E">
        <w:t xml:space="preserve"> The majority of the studies (n = 34) examined practices associated with SDG 6 (Clean Water and Sanitation) and SDG 11 (Sustainable Cities and Communities) and SDG 13 (Climate Action) and SDG 15 (Life on Land) </w:t>
      </w:r>
      <w:r w:rsidRPr="00AC759E">
        <w:rPr>
          <w:bCs/>
        </w:rPr>
        <w:t>(Serafini et al., 2022; Filho et al., 2025)</w:t>
      </w:r>
      <w:r w:rsidRPr="00AC759E">
        <w:t xml:space="preserve">. Inclusive green spaces, native plantings to increase biodiversity, and water-wise landscaping are practices of Higher Education Institutions (HEIs) </w:t>
      </w:r>
      <w:r w:rsidRPr="00AC759E">
        <w:rPr>
          <w:bCs/>
        </w:rPr>
        <w:t>(Oliveira &amp; Proença, 2025; Leal Filho et al., 2021)</w:t>
      </w:r>
      <w:r w:rsidRPr="00AC759E">
        <w:t xml:space="preserve">. Some studies documented the use of campus gardens as experiential learning spaces for sustainability education (Gomez &amp; Derr, 2021; Oliveira &amp; Proença, 2025; Cheang et al., 2017). However, there are only a handful of studies (n = 7) that documented operational evaluations of these practices on the basis of SDG target quantification </w:t>
      </w:r>
      <w:r w:rsidRPr="00AC759E">
        <w:rPr>
          <w:bCs/>
        </w:rPr>
        <w:t>(Findler et al., 2019; Alghamdi, 2020)</w:t>
      </w:r>
      <w:r w:rsidRPr="00AC759E">
        <w:t>.</w:t>
      </w:r>
      <w:r w:rsidR="00BA62E6" w:rsidRPr="00BA62E6">
        <w:t xml:space="preserve"> The use of SDG-aligned practices showed a geographical pattern of implementation that was unique to each context (Hassana &amp; Ahmada, 2025; Oliveira &amp; Proença, 2025; Sugiarto et al., 2022). European HEIs showed strong governance, comprehensive and systematic integration of sustainability to teaching and running of the institution, and strong evaluation frameworks (Leal Filho et al., 2018; Findler et al., 2019; Roos et al., 2023). In the case of Asia, HEIs prioritized practices that related to biodiversity and climate adaptation, while African and Latin American institutions emphasized community engagement and resource efficiency (Leal Filho et al., 2021; Christou et al., 2024; Shrestha, 2024). These variations reflect differences in institutional capacity, policy frameworks, and socio-economic conditions influencing sustainability adoption in higher education (Lozano et al., 2015; Priyadarshini &amp; Abhilash, 2022; Serafini et al., 2022).</w:t>
      </w:r>
    </w:p>
    <w:p w:rsidR="00AC759E" w:rsidRPr="00AC759E" w:rsidRDefault="00AC759E" w:rsidP="00AC759E">
      <w:pPr>
        <w:jc w:val="both"/>
      </w:pPr>
      <w:r w:rsidRPr="00AC759E">
        <w:rPr>
          <w:bCs/>
        </w:rPr>
        <w:t>Operational Governance and Resource Management:</w:t>
      </w:r>
      <w:r w:rsidRPr="00AC759E">
        <w:t xml:space="preserve"> The success of sustainability practices was primarily linked to governance and resource management </w:t>
      </w:r>
      <w:r w:rsidRPr="00AC759E">
        <w:rPr>
          <w:bCs/>
        </w:rPr>
        <w:t>(Sadeq et al., 2025; Lozano et al., 2015; Roos et al., 2023)</w:t>
      </w:r>
      <w:r w:rsidRPr="00AC759E">
        <w:t xml:space="preserve">. Notable practices were the formation of sustainability committees, the inclusion of sustainability in procurement and maintenance contracts, and the development of operational landscaping monitoring frameworks (Sadeq et al., 2025). </w:t>
      </w:r>
      <w:r w:rsidR="008C4C94" w:rsidRPr="008C4C94">
        <w:t>HEIs implement irrigation, composting, and energy-efficient systems</w:t>
      </w:r>
      <w:r w:rsidR="008C4C94">
        <w:t xml:space="preserve"> </w:t>
      </w:r>
      <w:r w:rsidRPr="00AC759E">
        <w:t xml:space="preserve">to operationalize sustainable landscapes </w:t>
      </w:r>
      <w:r w:rsidRPr="00AC759E">
        <w:rPr>
          <w:bCs/>
        </w:rPr>
        <w:t>(Barros et al., 2020; Zen et al., 2021; Rodríguez-Guerreiro et al., 2024)</w:t>
      </w:r>
      <w:r w:rsidRPr="00AC759E">
        <w:t>. However, governance frameworks were incomplete or absent in low-</w:t>
      </w:r>
      <w:r w:rsidRPr="00AC759E">
        <w:lastRenderedPageBreak/>
        <w:t xml:space="preserve">resource or post-conflict situations, and financial sustainability analyses were reported in only 11 studies </w:t>
      </w:r>
      <w:r w:rsidRPr="00AC759E">
        <w:rPr>
          <w:bCs/>
        </w:rPr>
        <w:t>(Hassan &amp; Lee, 2015; Trinh et al., 2025)</w:t>
      </w:r>
      <w:r w:rsidRPr="00AC759E">
        <w:t>.</w:t>
      </w:r>
    </w:p>
    <w:p w:rsidR="00AC759E" w:rsidRPr="00AC759E" w:rsidRDefault="00AC759E" w:rsidP="00AC759E">
      <w:pPr>
        <w:jc w:val="both"/>
      </w:pPr>
      <w:r w:rsidRPr="00AC759E">
        <w:rPr>
          <w:bCs/>
        </w:rPr>
        <w:t>Education and Community Engagement:</w:t>
      </w:r>
      <w:r w:rsidRPr="00AC759E">
        <w:t xml:space="preserve"> The campus landscapes functioned as both educational and community engagement tools, assisting interdisciplinary curricula, sustainability education, service-learning, and partnerships with NGOs, local government, and alumni networks (Christou et al., 2024; Filho et al., 2025; Evans et al., 2015). Although participatory and experiential approaches were extensively reported, there was a striking absence of long-term studies on educational outcomes, social impacts, or changes in student behavior, indicating a significant gap in the field regarding the social and educational impact of these initiatives </w:t>
      </w:r>
      <w:r w:rsidRPr="00AC759E">
        <w:rPr>
          <w:bCs/>
        </w:rPr>
        <w:t>(Findler et al., 2019; Zhong et al., 2024)</w:t>
      </w:r>
      <w:r w:rsidRPr="00AC759E">
        <w:t>.</w:t>
      </w:r>
    </w:p>
    <w:p w:rsidR="00AC759E" w:rsidRPr="00AC759E" w:rsidRDefault="00AC759E" w:rsidP="00AC759E">
      <w:pPr>
        <w:jc w:val="both"/>
        <w:rPr>
          <w:b/>
          <w:bCs/>
        </w:rPr>
      </w:pPr>
      <w:r w:rsidRPr="00AC759E">
        <w:rPr>
          <w:b/>
          <w:bCs/>
        </w:rPr>
        <w:t>Discussion</w:t>
      </w:r>
    </w:p>
    <w:p w:rsidR="00AC759E" w:rsidRPr="00AC759E" w:rsidRDefault="00AC759E" w:rsidP="00AC759E">
      <w:pPr>
        <w:jc w:val="both"/>
        <w:rPr>
          <w:b/>
          <w:bCs/>
        </w:rPr>
      </w:pPr>
      <w:r w:rsidRPr="00AC759E">
        <w:rPr>
          <w:b/>
          <w:bCs/>
        </w:rPr>
        <w:t>4.1 Campus Landscapes and the SDGs</w:t>
      </w:r>
    </w:p>
    <w:p w:rsidR="00AC759E" w:rsidRPr="00AC759E" w:rsidRDefault="00AC759E" w:rsidP="00AC759E">
      <w:pPr>
        <w:jc w:val="both"/>
      </w:pPr>
      <w:r w:rsidRPr="00AC759E">
        <w:t xml:space="preserve">The results support the idea that campus landscapes are being used more tactically for the sustainability transition in higher education institutions (HEIs) more strategically </w:t>
      </w:r>
      <w:r w:rsidRPr="00AC759E">
        <w:rPr>
          <w:bCs/>
        </w:rPr>
        <w:t>(Oliveira &amp; Proença, 2025; Filho et al., 2025)</w:t>
      </w:r>
      <w:r w:rsidRPr="00AC759E">
        <w:t>. This mirrors the characterization of campuses as “living laboratories" (Gomez &amp; Derr, 2021; Leal Filho et al., 2018; Evans et al., 2015), where the SDGs are addressed through ecological campus design, biodiversity, and water-sensitive campus landscaping. Specifically, it is noted that landscape interventi</w:t>
      </w:r>
      <w:r w:rsidR="008C4C94">
        <w:t xml:space="preserve">ons are associated with the </w:t>
      </w:r>
      <w:r w:rsidR="002A52CB" w:rsidRPr="002A52CB">
        <w:t>United Nations SDGs</w:t>
      </w:r>
      <w:r w:rsidR="002A52CB">
        <w:t xml:space="preserve"> </w:t>
      </w:r>
      <w:r w:rsidRPr="00AC759E">
        <w:t>6, 11, 13, and 15 (Oliveira &amp; Proença, 2025; Serafini et al., 2022) in the case of native planting, green facilities, and water-saving irrigation. As the other reviews, the study reiterates the unaccounted efforts in the SDG assessing efforts of the HEIs (Findler et al., 2019; Alghamdi, 2020). Without the development of standardized frameworks, HEIs cannot self-audit and claim their contributions to the global sustainability goals. This highlights the need for performance-based landscape assessment frameworks.</w:t>
      </w:r>
    </w:p>
    <w:p w:rsidR="00AC759E" w:rsidRPr="00AC759E" w:rsidRDefault="00AC759E" w:rsidP="00AC759E">
      <w:pPr>
        <w:jc w:val="both"/>
        <w:rPr>
          <w:b/>
          <w:bCs/>
        </w:rPr>
      </w:pPr>
      <w:r w:rsidRPr="00AC759E">
        <w:rPr>
          <w:b/>
          <w:bCs/>
        </w:rPr>
        <w:t>4.2 Governance and Operational Management</w:t>
      </w:r>
    </w:p>
    <w:p w:rsidR="00AC759E" w:rsidRPr="00AC759E" w:rsidRDefault="00AC759E" w:rsidP="00AC759E">
      <w:pPr>
        <w:jc w:val="both"/>
      </w:pPr>
      <w:r w:rsidRPr="00AC759E">
        <w:t>The structure of governance determines how effectively sustainability is integrated into the campus landscape. Sadeq et al. (2025) and Lozano et al. (2015) show that the presence of formal sustainability policies, a committee structure, and an integrated management approach improve policy implementation and sustainability. The importance of governance, leadership, and policy alignment is highlighted as (one of) the key factors in sustainability in higher education institutions (Leal Filho et al., 2019; Roos et al., 2023; Molokova, 2021). The review of European higher education institutions (HEI) shows that the strong performance can be attributed to the adoption of whole-instit</w:t>
      </w:r>
      <w:r w:rsidR="002A52CB">
        <w:t xml:space="preserve">ution approaches and </w:t>
      </w:r>
      <w:r w:rsidR="002A52CB" w:rsidRPr="002A52CB">
        <w:t>integrated sustainability frameworks aligned with post-SDG policy developments in Europe</w:t>
      </w:r>
      <w:r w:rsidR="002A52CB">
        <w:t xml:space="preserve"> </w:t>
      </w:r>
      <w:r w:rsidRPr="00AC759E">
        <w:rPr>
          <w:bCs/>
        </w:rPr>
        <w:t>(Leal Filho et al., 2018; Findler et al., 2019)</w:t>
      </w:r>
      <w:r w:rsidRPr="00AC759E">
        <w:t xml:space="preserve">. </w:t>
      </w:r>
      <w:r w:rsidR="008C4C94" w:rsidRPr="008C4C94">
        <w:t>Developing and post-conflict regions demonstrate fragmented governance and limited institutional capacity to operationalize sustainability</w:t>
      </w:r>
      <w:r w:rsidR="008C4C94">
        <w:t xml:space="preserve"> </w:t>
      </w:r>
      <w:r w:rsidRPr="00AC759E">
        <w:rPr>
          <w:bCs/>
        </w:rPr>
        <w:t>(Hassan &amp; Lee, 2015; Shrestha, 2024)</w:t>
      </w:r>
      <w:r w:rsidRPr="00AC759E">
        <w:t>. This creates a high need to avoid treating landscape initiatives as project systems and instead, focus on integrating and institutional systems of governance to sustain projects.</w:t>
      </w:r>
    </w:p>
    <w:p w:rsidR="00AC759E" w:rsidRPr="00AC759E" w:rsidRDefault="00AC759E" w:rsidP="00AC759E">
      <w:pPr>
        <w:jc w:val="both"/>
        <w:rPr>
          <w:b/>
          <w:bCs/>
        </w:rPr>
      </w:pPr>
      <w:r w:rsidRPr="00AC759E">
        <w:rPr>
          <w:b/>
          <w:bCs/>
        </w:rPr>
        <w:t>4.3 Financial Sustainability and Resource Mobilization</w:t>
      </w:r>
    </w:p>
    <w:p w:rsidR="00AC759E" w:rsidRDefault="00AC759E" w:rsidP="00AC759E">
      <w:pPr>
        <w:jc w:val="both"/>
      </w:pPr>
      <w:r w:rsidRPr="00AC759E">
        <w:t xml:space="preserve">Over the years, financial sustainability has remained a critical yet underdeveloped aspect of the management of the campus landscape </w:t>
      </w:r>
      <w:r w:rsidRPr="00AC759E">
        <w:rPr>
          <w:bCs/>
        </w:rPr>
        <w:t>(Hassan &amp; Lee, 2015; Trinh et al., 2025; Alshubiri, 2021)</w:t>
      </w:r>
      <w:r w:rsidRPr="00AC759E">
        <w:t xml:space="preserve">. Sustainability initiatives focus on the environmental and educational aspects of the initiatives, leaving the dependence/sustainability of the initiative unexplained </w:t>
      </w:r>
      <w:r w:rsidRPr="00AC759E">
        <w:rPr>
          <w:bCs/>
        </w:rPr>
        <w:t>(Findler et al., 2019)</w:t>
      </w:r>
      <w:r w:rsidRPr="00AC759E">
        <w:t xml:space="preserve">. Sustainability initiatives </w:t>
      </w:r>
      <w:r w:rsidRPr="00AC759E">
        <w:lastRenderedPageBreak/>
        <w:t xml:space="preserve">will only depend on a stable and diversified funding approach. Previous research has highlighted life-cycle costing, green procurement, and sustainability-based budgeting systems as tools to improve financial resilience (Hassan &amp; Lee, 2015; Trinh et al., 2025; Wafa et al., 2025). However, literature reviews on sustainability initiatives and funding have drawn attention to a pronounced gap in the sustainability research of HEIs (Findler et al., 2019; Serafini et al., 2022). Resource-constrained institutions are challenged further by limited accessibility to funding sources, poor financial planning frameworks, and low overall funding. Such challenges will require the use of economic evaluation within the sustainability framework of planning and the use of unorthodox financing methods, such as green bonds and public-private partnerships </w:t>
      </w:r>
      <w:r w:rsidRPr="00AC759E">
        <w:rPr>
          <w:bCs/>
        </w:rPr>
        <w:t>(Trinh et al., 2025)</w:t>
      </w:r>
      <w:r w:rsidRPr="00AC759E">
        <w:t>.</w:t>
      </w:r>
    </w:p>
    <w:tbl>
      <w:tblPr>
        <w:tblStyle w:val="PlainTable1"/>
        <w:tblW w:w="0" w:type="auto"/>
        <w:tblLook w:val="04A0" w:firstRow="1" w:lastRow="0" w:firstColumn="1" w:lastColumn="0" w:noHBand="0" w:noVBand="1"/>
      </w:tblPr>
      <w:tblGrid>
        <w:gridCol w:w="2208"/>
        <w:gridCol w:w="3127"/>
        <w:gridCol w:w="4241"/>
      </w:tblGrid>
      <w:tr w:rsidR="002A52CB" w:rsidRPr="002A52CB" w:rsidTr="002A52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A52CB" w:rsidRPr="002A52CB" w:rsidRDefault="002A52CB" w:rsidP="002A52CB">
            <w:pPr>
              <w:jc w:val="center"/>
              <w:rPr>
                <w:rFonts w:eastAsia="Times New Roman" w:cstheme="minorHAnsi"/>
              </w:rPr>
            </w:pPr>
            <w:r w:rsidRPr="002A52CB">
              <w:rPr>
                <w:rFonts w:eastAsia="Times New Roman" w:cstheme="minorHAnsi"/>
              </w:rPr>
              <w:t>Challenge</w:t>
            </w:r>
          </w:p>
        </w:tc>
        <w:tc>
          <w:tcPr>
            <w:tcW w:w="0" w:type="auto"/>
            <w:hideMark/>
          </w:tcPr>
          <w:p w:rsidR="002A52CB" w:rsidRPr="002A52CB" w:rsidRDefault="002A52CB" w:rsidP="002A52C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2A52CB">
              <w:rPr>
                <w:rFonts w:eastAsia="Times New Roman" w:cstheme="minorHAnsi"/>
              </w:rPr>
              <w:t>Impact</w:t>
            </w:r>
          </w:p>
        </w:tc>
        <w:tc>
          <w:tcPr>
            <w:tcW w:w="0" w:type="auto"/>
            <w:hideMark/>
          </w:tcPr>
          <w:p w:rsidR="002A52CB" w:rsidRPr="002A52CB" w:rsidRDefault="002A52CB" w:rsidP="002A52C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rPr>
            </w:pPr>
            <w:r w:rsidRPr="002A52CB">
              <w:rPr>
                <w:rFonts w:eastAsia="Times New Roman" w:cstheme="minorHAnsi"/>
              </w:rPr>
              <w:t>Proposed Solution</w:t>
            </w:r>
          </w:p>
        </w:tc>
      </w:tr>
      <w:tr w:rsidR="002A52CB" w:rsidRPr="002A52CB" w:rsidTr="002A5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A52CB" w:rsidRPr="002A52CB" w:rsidRDefault="002A52CB" w:rsidP="002A52CB">
            <w:pPr>
              <w:rPr>
                <w:rFonts w:eastAsia="Times New Roman" w:cstheme="minorHAnsi"/>
              </w:rPr>
            </w:pPr>
            <w:r w:rsidRPr="002A52CB">
              <w:rPr>
                <w:rFonts w:eastAsia="Times New Roman" w:cstheme="minorHAnsi"/>
              </w:rPr>
              <w:t>Limited funding</w:t>
            </w:r>
          </w:p>
        </w:tc>
        <w:tc>
          <w:tcPr>
            <w:tcW w:w="0" w:type="auto"/>
            <w:hideMark/>
          </w:tcPr>
          <w:p w:rsidR="002A52CB" w:rsidRPr="002A52CB" w:rsidRDefault="002A52CB" w:rsidP="002A52CB">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A52CB">
              <w:rPr>
                <w:rFonts w:eastAsia="Times New Roman" w:cstheme="minorHAnsi"/>
              </w:rPr>
              <w:t>Unsustainable initiatives</w:t>
            </w:r>
          </w:p>
        </w:tc>
        <w:tc>
          <w:tcPr>
            <w:tcW w:w="0" w:type="auto"/>
            <w:hideMark/>
          </w:tcPr>
          <w:p w:rsidR="002A52CB" w:rsidRPr="002A52CB" w:rsidRDefault="002A52CB" w:rsidP="002A52CB">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A52CB">
              <w:rPr>
                <w:rFonts w:eastAsia="Times New Roman" w:cstheme="minorHAnsi"/>
              </w:rPr>
              <w:t>Life-cycle costing, green procurement, diversified funding</w:t>
            </w:r>
          </w:p>
        </w:tc>
      </w:tr>
      <w:tr w:rsidR="002A52CB" w:rsidRPr="002A52CB" w:rsidTr="002A52CB">
        <w:tc>
          <w:tcPr>
            <w:cnfStyle w:val="001000000000" w:firstRow="0" w:lastRow="0" w:firstColumn="1" w:lastColumn="0" w:oddVBand="0" w:evenVBand="0" w:oddHBand="0" w:evenHBand="0" w:firstRowFirstColumn="0" w:firstRowLastColumn="0" w:lastRowFirstColumn="0" w:lastRowLastColumn="0"/>
            <w:tcW w:w="0" w:type="auto"/>
            <w:hideMark/>
          </w:tcPr>
          <w:p w:rsidR="002A52CB" w:rsidRPr="002A52CB" w:rsidRDefault="002A52CB" w:rsidP="002A52CB">
            <w:pPr>
              <w:rPr>
                <w:rFonts w:eastAsia="Times New Roman" w:cstheme="minorHAnsi"/>
              </w:rPr>
            </w:pPr>
            <w:r w:rsidRPr="002A52CB">
              <w:rPr>
                <w:rFonts w:eastAsia="Times New Roman" w:cstheme="minorHAnsi"/>
              </w:rPr>
              <w:t>Poor financial planning</w:t>
            </w:r>
          </w:p>
        </w:tc>
        <w:tc>
          <w:tcPr>
            <w:tcW w:w="0" w:type="auto"/>
            <w:hideMark/>
          </w:tcPr>
          <w:p w:rsidR="002A52CB" w:rsidRPr="002A52CB" w:rsidRDefault="002A52CB" w:rsidP="002A52C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A52CB">
              <w:rPr>
                <w:rFonts w:eastAsia="Times New Roman" w:cstheme="minorHAnsi"/>
              </w:rPr>
              <w:t>Fragmented project outcomes</w:t>
            </w:r>
          </w:p>
        </w:tc>
        <w:tc>
          <w:tcPr>
            <w:tcW w:w="0" w:type="auto"/>
            <w:hideMark/>
          </w:tcPr>
          <w:p w:rsidR="002A52CB" w:rsidRPr="002A52CB" w:rsidRDefault="002A52CB" w:rsidP="002A52CB">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2A52CB">
              <w:rPr>
                <w:rFonts w:eastAsia="Times New Roman" w:cstheme="minorHAnsi"/>
              </w:rPr>
              <w:t>Develop sustainability-based budgeting systems</w:t>
            </w:r>
          </w:p>
        </w:tc>
      </w:tr>
      <w:tr w:rsidR="002A52CB" w:rsidRPr="002A52CB" w:rsidTr="002A5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A52CB" w:rsidRPr="002A52CB" w:rsidRDefault="002A52CB" w:rsidP="002A52CB">
            <w:pPr>
              <w:rPr>
                <w:rFonts w:eastAsia="Times New Roman" w:cstheme="minorHAnsi"/>
              </w:rPr>
            </w:pPr>
            <w:r w:rsidRPr="002A52CB">
              <w:rPr>
                <w:rFonts w:eastAsia="Times New Roman" w:cstheme="minorHAnsi"/>
              </w:rPr>
              <w:t>Low institutional capacity</w:t>
            </w:r>
          </w:p>
        </w:tc>
        <w:tc>
          <w:tcPr>
            <w:tcW w:w="0" w:type="auto"/>
            <w:hideMark/>
          </w:tcPr>
          <w:p w:rsidR="002A52CB" w:rsidRPr="002A52CB" w:rsidRDefault="002A52CB" w:rsidP="002A52CB">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A52CB">
              <w:rPr>
                <w:rFonts w:eastAsia="Times New Roman" w:cstheme="minorHAnsi"/>
              </w:rPr>
              <w:t>Projects may fail in post-conflict regions</w:t>
            </w:r>
          </w:p>
        </w:tc>
        <w:tc>
          <w:tcPr>
            <w:tcW w:w="0" w:type="auto"/>
            <w:hideMark/>
          </w:tcPr>
          <w:p w:rsidR="002A52CB" w:rsidRPr="002A52CB" w:rsidRDefault="002A52CB" w:rsidP="002A52CB">
            <w:pP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A52CB">
              <w:rPr>
                <w:rFonts w:eastAsia="Times New Roman" w:cstheme="minorHAnsi"/>
              </w:rPr>
              <w:t>Use public-private partnerships, green bonds</w:t>
            </w:r>
          </w:p>
        </w:tc>
      </w:tr>
    </w:tbl>
    <w:p w:rsidR="002A52CB" w:rsidRPr="00AC759E" w:rsidRDefault="002A52CB" w:rsidP="00AC759E">
      <w:pPr>
        <w:jc w:val="both"/>
      </w:pPr>
    </w:p>
    <w:p w:rsidR="00AC759E" w:rsidRPr="00AC759E" w:rsidRDefault="00AC759E" w:rsidP="00AC759E">
      <w:pPr>
        <w:jc w:val="both"/>
        <w:rPr>
          <w:b/>
          <w:bCs/>
        </w:rPr>
      </w:pPr>
      <w:r w:rsidRPr="00AC759E">
        <w:rPr>
          <w:b/>
          <w:bCs/>
        </w:rPr>
        <w:t>4.4 Environmental Sustainability Initiatives</w:t>
      </w:r>
    </w:p>
    <w:p w:rsidR="00AC759E" w:rsidRPr="00AC759E" w:rsidRDefault="00AC759E" w:rsidP="00AC759E">
      <w:pPr>
        <w:jc w:val="both"/>
      </w:pPr>
      <w:r w:rsidRPr="00AC759E">
        <w:t xml:space="preserve">The landscape of campus management is primarily dominated by environmental sustainability initiatives </w:t>
      </w:r>
      <w:r w:rsidRPr="00AC759E">
        <w:rPr>
          <w:bCs/>
        </w:rPr>
        <w:t>(Leal Filho et al., 2021; Lozano et al., 2013)</w:t>
      </w:r>
      <w:r w:rsidRPr="00AC759E">
        <w:t>. These serve as a foundation for higher education institutions (HEIs) as they adopt practices of green construction and climate-adaptive biodiversity. The implementation of ISO 14001 and certifications for LEED (with regards to the management of environmental systems) illustrate the more structured approach to environmental sustainability (Lozano et al., 2013; Barros et al., 2020).</w:t>
      </w:r>
      <w:r w:rsidR="00B57032" w:rsidRPr="00B57032">
        <w:t xml:space="preserve"> A similar approach is observed in some institutions in Asia</w:t>
      </w:r>
      <w:r w:rsidR="00B57032">
        <w:t xml:space="preserve"> </w:t>
      </w:r>
      <w:r w:rsidRPr="00AC759E">
        <w:t>and climate-vulnerable other areas of the world, with a focus on urban greening, as well as ecosystem-based and climate-resilient practices (Leal Filho et al., 2021; Wu &amp; Shen, 2016). Nevertheless, the absence of integrated monitoring systems and a clear set of standardized indicators makes it challenging to assess environmental sustainability initiatives across institutions (Findler et al., 2019; Alghamdi, 2020). This case presents a discord in the literature for sustainability reporting frameworks that integrate sustainability in the operations of a campus to the metrics of SDG.</w:t>
      </w:r>
    </w:p>
    <w:p w:rsidR="00AC759E" w:rsidRPr="00AC759E" w:rsidRDefault="00AC759E" w:rsidP="00AC759E">
      <w:pPr>
        <w:jc w:val="both"/>
        <w:rPr>
          <w:b/>
          <w:bCs/>
        </w:rPr>
      </w:pPr>
      <w:r w:rsidRPr="00AC759E">
        <w:rPr>
          <w:b/>
          <w:bCs/>
        </w:rPr>
        <w:t>4.5 Social Sustainability and Community Engagement</w:t>
      </w:r>
    </w:p>
    <w:p w:rsidR="00AC759E" w:rsidRPr="00AC759E" w:rsidRDefault="00AC759E" w:rsidP="00AC759E">
      <w:pPr>
        <w:jc w:val="both"/>
      </w:pPr>
      <w:r w:rsidRPr="00AC759E">
        <w:t xml:space="preserve">The social aspect of sustainability has gained recognition as a fundamental component of campus landscapes, especially in regard to fostering inclusion, wellbeing, and community involvement </w:t>
      </w:r>
      <w:r w:rsidRPr="00AC759E">
        <w:rPr>
          <w:bCs/>
        </w:rPr>
        <w:t>(Christou et al., 2024; Evans et al., 2015)</w:t>
      </w:r>
      <w:r w:rsidRPr="00AC759E">
        <w:t xml:space="preserve">. Participatory projects like community service, community gardening, and collaborative urban greening initiatives boost social capital and enhance the university-community relationship (Evans et al., 2015; Leal Filho et al., 2018; Plummer et al., 2022). The strong emphasis on social equity and post-conflict recovery within African and Latin American HEIs resonates with the emerging consensus on the role of universities as social transformation agents </w:t>
      </w:r>
      <w:r w:rsidRPr="00AC759E">
        <w:rPr>
          <w:bCs/>
        </w:rPr>
        <w:t>(Baptiste et al., 2022; Shrestha, 2024)</w:t>
      </w:r>
      <w:r w:rsidRPr="00AC759E">
        <w:t>. Nonetheless, as indicated by previous studies, the social aspects of the outcomes of most interventions remain under-analysed, with a remarkable absence of studies on the post-behavioural or social impacts (Findler et al., 2019; Abdullahi et al., 2024). It is important to develop robust indicators of social sustainability to capture the full range of benefits of campus landscapes.</w:t>
      </w:r>
    </w:p>
    <w:p w:rsidR="00AC759E" w:rsidRPr="00AC759E" w:rsidRDefault="00AC759E" w:rsidP="00AC759E">
      <w:pPr>
        <w:jc w:val="both"/>
        <w:rPr>
          <w:b/>
          <w:bCs/>
        </w:rPr>
      </w:pPr>
      <w:r w:rsidRPr="00AC759E">
        <w:rPr>
          <w:b/>
          <w:bCs/>
        </w:rPr>
        <w:lastRenderedPageBreak/>
        <w:t>4.6 Education, Curriculum, and Experiential Learning</w:t>
      </w:r>
    </w:p>
    <w:p w:rsidR="00AC759E" w:rsidRPr="00AC759E" w:rsidRDefault="00AC759E" w:rsidP="00AC759E">
      <w:pPr>
        <w:jc w:val="both"/>
      </w:pPr>
      <w:r w:rsidRPr="00AC759E">
        <w:t xml:space="preserve">The landscaping of the campus can be positively used to teach sustainability and foster interdisciplinary experiential learning </w:t>
      </w:r>
      <w:r w:rsidRPr="00AC759E">
        <w:rPr>
          <w:bCs/>
        </w:rPr>
        <w:t>(Gomez &amp; Derr, 2021; Cheang et al., 2017)</w:t>
      </w:r>
      <w:r w:rsidRPr="00AC759E">
        <w:t xml:space="preserve">. The “living lab” approach allows for engagement with real world sustainability problems, and develops students’ critical thinking, and problem solving skills (Gomez &amp; Derr, 2021; Leal Filho et al., 2019; Evans et al., 2015). This approach coincides with The Education for Sustainable Development (ESD) Global Action Program trends </w:t>
      </w:r>
      <w:r w:rsidRPr="00AC759E">
        <w:rPr>
          <w:bCs/>
        </w:rPr>
        <w:t>(Tilbury, 2019; Wu &amp; Shen, 2016)</w:t>
      </w:r>
      <w:r w:rsidRPr="00AC759E">
        <w:t>. Still, the literature shows the absence of longitudinal studies assessing learning and behavioral change, reiterating the concerns regarding the insufficient empirical evidence regarding the effectiveness of the ESD (Lozano et al., 2017; Zhong et al., 2024). For HEIs, the most important areas of focus remain integrating sustainability into the curriculum, and developing evaluation structures.</w:t>
      </w:r>
    </w:p>
    <w:p w:rsidR="00AC759E" w:rsidRPr="00AC759E" w:rsidRDefault="00AC759E" w:rsidP="00AC759E">
      <w:pPr>
        <w:jc w:val="both"/>
        <w:rPr>
          <w:b/>
          <w:bCs/>
        </w:rPr>
      </w:pPr>
      <w:r w:rsidRPr="00AC759E">
        <w:rPr>
          <w:b/>
          <w:bCs/>
        </w:rPr>
        <w:t>4.7 Integrated Systems and Whole-Institution Approaches</w:t>
      </w:r>
    </w:p>
    <w:p w:rsidR="00AC759E" w:rsidRPr="00AC759E" w:rsidRDefault="00AC759E" w:rsidP="00AC759E">
      <w:pPr>
        <w:jc w:val="both"/>
      </w:pPr>
      <w:r w:rsidRPr="00AC759E">
        <w:t xml:space="preserve">Integrated whole-institution approaches are needed to bring sustainability to HEIs </w:t>
      </w:r>
      <w:r w:rsidRPr="00AC759E">
        <w:rPr>
          <w:bCs/>
        </w:rPr>
        <w:t>(Leal Filho et al., 2019; Christou et al., 2024)</w:t>
      </w:r>
      <w:r w:rsidRPr="00AC759E">
        <w:t xml:space="preserve">. They must connect governance, operations, education, and community engagement. HEIs that utilize systems thinking and sustainability reporting frameworks show more coherence and effectiveness in implementing SDG-aligned practices (Lozano et al., 2015; Findler et al., 2019; Posner &amp; Stuart, 2023). The review shows that disparate regional practices reflect differences in institutional maturity and the availability of resources </w:t>
      </w:r>
      <w:r w:rsidRPr="00AC759E">
        <w:rPr>
          <w:bCs/>
        </w:rPr>
        <w:t>(Priyadarshini &amp; Abhilash, 2022)</w:t>
      </w:r>
      <w:r w:rsidRPr="00AC759E">
        <w:t>. In low-resource settings, fragmented implementation hinders the ability of campus landscapes to support sustainability transitions. There is a need to develop flexible strategies that support the integration of sustainability throughout the systems of HEIs, given the unique contexts of different institutions.</w:t>
      </w:r>
    </w:p>
    <w:p w:rsidR="00AC759E" w:rsidRPr="00AC759E" w:rsidRDefault="00AC759E" w:rsidP="00AC759E">
      <w:pPr>
        <w:jc w:val="both"/>
        <w:rPr>
          <w:b/>
          <w:bCs/>
        </w:rPr>
      </w:pPr>
      <w:r w:rsidRPr="00AC759E">
        <w:rPr>
          <w:b/>
          <w:bCs/>
        </w:rPr>
        <w:t>4.8 Research Gaps and Implications</w:t>
      </w:r>
    </w:p>
    <w:p w:rsidR="00AC759E" w:rsidRPr="00AC759E" w:rsidRDefault="00AC759E" w:rsidP="00A2574C">
      <w:pPr>
        <w:jc w:val="both"/>
      </w:pPr>
      <w:r w:rsidRPr="00AC759E">
        <w:t xml:space="preserve">This review emphasizes key gaps within existing literature. Impacts-focused longitudinal studies are few and far between, limiting the understanding for SDG informed landscape approaches over long term periods </w:t>
      </w:r>
      <w:r w:rsidRPr="00AC759E">
        <w:rPr>
          <w:bCs/>
        </w:rPr>
        <w:t>(Findler et al., 2019; Serafini et al., 2022)</w:t>
      </w:r>
      <w:r w:rsidRPr="00AC759E">
        <w:t xml:space="preserve">. Financial sustainability and resource mobilization in developing contexts remains unexplored </w:t>
      </w:r>
      <w:r w:rsidRPr="00AC759E">
        <w:rPr>
          <w:bCs/>
        </w:rPr>
        <w:t>(Trinh et al., 2025)</w:t>
      </w:r>
      <w:r w:rsidRPr="00AC759E">
        <w:t xml:space="preserve">. The absence of universal SDG indicators combined with the lack of inter-institutional studies compared to one another limits global benchmarking </w:t>
      </w:r>
      <w:r w:rsidRPr="00AC759E">
        <w:rPr>
          <w:bCs/>
        </w:rPr>
        <w:t>(Alghamdi, 2020)</w:t>
      </w:r>
      <w:r w:rsidRPr="00AC759E">
        <w:t xml:space="preserve">. Closing these gaps calls for interdisciplinary, mixed methods approaches encompassing environmental, social, educational and economic dimensions </w:t>
      </w:r>
      <w:r w:rsidRPr="00AC759E">
        <w:rPr>
          <w:bCs/>
        </w:rPr>
        <w:t>(Leal Filho et al., 2019; Filho et al., 2025)</w:t>
      </w:r>
      <w:r w:rsidRPr="00AC759E">
        <w:t>. From a policy standpoint, it is recommended that HEIs adopt evidence based guidelines, bolster governance, and monitoring system investments to increase the potential of campus landscapes for sustainable development.</w:t>
      </w:r>
    </w:p>
    <w:p w:rsidR="00AC759E" w:rsidRPr="00AC759E" w:rsidRDefault="002A52CB" w:rsidP="00AC759E">
      <w:pPr>
        <w:jc w:val="both"/>
        <w:rPr>
          <w:b/>
          <w:bCs/>
        </w:rPr>
      </w:pPr>
      <w:r>
        <w:rPr>
          <w:b/>
          <w:bCs/>
        </w:rPr>
        <w:t xml:space="preserve">4.9 </w:t>
      </w:r>
      <w:r w:rsidR="00AC759E" w:rsidRPr="00AC759E">
        <w:rPr>
          <w:b/>
          <w:bCs/>
        </w:rPr>
        <w:t>Need for Thematic Systematic Literature Reviews in Campus Landscape Sustainability</w:t>
      </w:r>
    </w:p>
    <w:p w:rsidR="00AC759E" w:rsidRPr="00AC759E" w:rsidRDefault="00AC759E" w:rsidP="00AC759E">
      <w:pPr>
        <w:jc w:val="both"/>
      </w:pPr>
      <w:r w:rsidRPr="00AC759E">
        <w:t xml:space="preserve">Despite the growing body of literature on sustainable campus development, this review identifies a critical lack of </w:t>
      </w:r>
      <w:r w:rsidRPr="00AC759E">
        <w:rPr>
          <w:bCs/>
        </w:rPr>
        <w:t>thematically focused systematic literature reviews (SLRs)</w:t>
      </w:r>
      <w:r w:rsidRPr="00AC759E">
        <w:t xml:space="preserve"> that examine specific components of landscape management in relation to the Sustainable Development Goals (SDGs). Existing reviews predominantly adopt broad, whole-institution or governance-oriented perspectives, often overlooking </w:t>
      </w:r>
      <w:r w:rsidRPr="00AC759E">
        <w:rPr>
          <w:bCs/>
        </w:rPr>
        <w:t>fine-grained, practice-based dimensions</w:t>
      </w:r>
      <w:r w:rsidRPr="00AC759E">
        <w:t xml:space="preserve"> such as plant selection, pruning regimes, biodiversity-oriented maintenance, and germplasm conservation (Sustainable Development in Higher Education) (Lozano et al., 2015; Leal Filho et al., 2019; Serafini et al., 2022).</w:t>
      </w:r>
    </w:p>
    <w:p w:rsidR="00AC759E" w:rsidRPr="00AC759E" w:rsidRDefault="00AC759E" w:rsidP="00AC759E">
      <w:pPr>
        <w:jc w:val="both"/>
      </w:pPr>
      <w:r w:rsidRPr="00AC759E">
        <w:lastRenderedPageBreak/>
        <w:t xml:space="preserve">For instance, while campus landscapes are widely recognized as </w:t>
      </w:r>
      <w:r w:rsidRPr="00AC759E">
        <w:rPr>
          <w:bCs/>
        </w:rPr>
        <w:t>living laboratories for sustainability education</w:t>
      </w:r>
      <w:r w:rsidRPr="00AC759E">
        <w:t xml:space="preserve">, there is limited synthesized evidence on how </w:t>
      </w:r>
      <w:r w:rsidRPr="00AC759E">
        <w:rPr>
          <w:bCs/>
        </w:rPr>
        <w:t>specific horticultural and ecological practices</w:t>
      </w:r>
      <w:r w:rsidRPr="00AC759E">
        <w:t xml:space="preserve">—including pruning strategies, species selection, and conservation planting—contribute to SDG targets such as SDG 15 (Life on Land) and SDG 13 (Climate Action) (Gomez &amp; Derr, 2021; Leal Filho et al., 2021; Oliveira &amp; Proença, 2025). Similarly, although biodiversity and ecosystem services are frequently discussed, </w:t>
      </w:r>
      <w:r w:rsidRPr="00AC759E">
        <w:rPr>
          <w:bCs/>
        </w:rPr>
        <w:t>no dedicated SLRs systematically evaluate the role of university gardens in germplasm conservation and ex-situ biodiversity preservation</w:t>
      </w:r>
      <w:r w:rsidRPr="00AC759E">
        <w:t>, which are increasingly important in the context of climate resilience and conservation science (Findler et al., 2019; Filho et al., 2025).</w:t>
      </w:r>
    </w:p>
    <w:p w:rsidR="00AC759E" w:rsidRPr="00AC759E" w:rsidRDefault="00AC759E" w:rsidP="00A2574C">
      <w:pPr>
        <w:jc w:val="both"/>
      </w:pPr>
      <w:r w:rsidRPr="00AC759E">
        <w:t xml:space="preserve">Furthermore, the literature reveals a gap in understanding how </w:t>
      </w:r>
      <w:r w:rsidRPr="00AC759E">
        <w:rPr>
          <w:bCs/>
        </w:rPr>
        <w:t>plant-based design decisions intersect with student-centered sustainability outcomes</w:t>
      </w:r>
      <w:r w:rsidRPr="00AC759E">
        <w:t xml:space="preserve">, including experiential learning, behavioral change, and environmental stewardship. While studies acknowledge the educational value of green spaces, they rarely disaggregate the contribution of </w:t>
      </w:r>
      <w:r w:rsidRPr="00AC759E">
        <w:rPr>
          <w:bCs/>
        </w:rPr>
        <w:t>specific landscape interventions</w:t>
      </w:r>
      <w:r w:rsidRPr="00AC759E">
        <w:t>, such as native plant use or maintenance practices, to learning outcomes and SDG integration (Cheang et al., 2017; Abdullahi et al., 2024).</w:t>
      </w:r>
      <w:r>
        <w:t xml:space="preserve"> </w:t>
      </w:r>
      <w:r w:rsidRPr="00AC759E">
        <w:t xml:space="preserve">Therefore, there is a strong need for </w:t>
      </w:r>
      <w:r w:rsidRPr="00AC759E">
        <w:rPr>
          <w:bCs/>
        </w:rPr>
        <w:t>targeted systematic literature reviews</w:t>
      </w:r>
      <w:r>
        <w:t xml:space="preserve"> that focus on, </w:t>
      </w:r>
      <w:r w:rsidRPr="00AC759E">
        <w:rPr>
          <w:bCs/>
        </w:rPr>
        <w:t>Pruning and maintenance practices</w:t>
      </w:r>
      <w:r w:rsidRPr="00AC759E">
        <w:t xml:space="preserve"> and their ecological and educational implications</w:t>
      </w:r>
      <w:r>
        <w:t xml:space="preserve">, </w:t>
      </w:r>
      <w:r w:rsidRPr="00AC759E">
        <w:rPr>
          <w:bCs/>
        </w:rPr>
        <w:t>Plant selection strategies</w:t>
      </w:r>
      <w:r w:rsidRPr="00AC759E">
        <w:t>, particularly native and climate-resilient species</w:t>
      </w:r>
      <w:r>
        <w:t xml:space="preserve">, </w:t>
      </w:r>
      <w:r w:rsidRPr="00AC759E">
        <w:rPr>
          <w:bCs/>
        </w:rPr>
        <w:t>Germplasm conservation and ex-situ biodiversity roles of university gardens</w:t>
      </w:r>
      <w:r>
        <w:t xml:space="preserve">, </w:t>
      </w:r>
      <w:r w:rsidRPr="00AC759E">
        <w:rPr>
          <w:bCs/>
        </w:rPr>
        <w:t xml:space="preserve">Soil and water conservation </w:t>
      </w:r>
      <w:r>
        <w:t xml:space="preserve"> and </w:t>
      </w:r>
      <w:r w:rsidRPr="00AC759E">
        <w:rPr>
          <w:bCs/>
        </w:rPr>
        <w:t>Integrated plant-based landscape systems</w:t>
      </w:r>
      <w:r w:rsidRPr="00AC759E">
        <w:t xml:space="preserve"> linking design, management, and SDG performance</w:t>
      </w:r>
      <w:r>
        <w:t xml:space="preserve">. </w:t>
      </w:r>
      <w:r w:rsidRPr="00AC759E">
        <w:t xml:space="preserve">Such focused reviews would contribute to bridging the gap between </w:t>
      </w:r>
      <w:r w:rsidRPr="00AC759E">
        <w:rPr>
          <w:bCs/>
        </w:rPr>
        <w:t>macro-level sustainability frameworks and micro-level landscape practices</w:t>
      </w:r>
      <w:r w:rsidRPr="00AC759E">
        <w:t xml:space="preserve">, enabling more </w:t>
      </w:r>
      <w:r w:rsidRPr="00AC759E">
        <w:rPr>
          <w:bCs/>
        </w:rPr>
        <w:t>evidence-based, measurable, and context-sensitive approaches</w:t>
      </w:r>
      <w:r w:rsidRPr="00AC759E">
        <w:t xml:space="preserve"> to sustainable campus landscape management.</w:t>
      </w:r>
      <w:r w:rsidR="002A52CB" w:rsidRPr="002A52CB">
        <w:t xml:space="preserve"> This direction is essential for advancing landscape-specific sustainability research and strengthening the role of campus environments as measurable contributors to global sustainability agendas.</w:t>
      </w:r>
    </w:p>
    <w:p w:rsidR="00A2574C" w:rsidRPr="00A2574C" w:rsidRDefault="00A2574C" w:rsidP="00A2574C">
      <w:pPr>
        <w:rPr>
          <w:b/>
        </w:rPr>
      </w:pPr>
      <w:r w:rsidRPr="00A2574C">
        <w:rPr>
          <w:b/>
        </w:rPr>
        <w:t xml:space="preserve">5. Conclusion, Implications, </w:t>
      </w:r>
      <w:r>
        <w:rPr>
          <w:b/>
        </w:rPr>
        <w:t>Limitations and Recommendations</w:t>
      </w:r>
    </w:p>
    <w:p w:rsidR="00A2574C" w:rsidRPr="00A2574C" w:rsidRDefault="00A2574C" w:rsidP="00A2574C">
      <w:pPr>
        <w:rPr>
          <w:b/>
        </w:rPr>
      </w:pPr>
      <w:r>
        <w:rPr>
          <w:b/>
        </w:rPr>
        <w:t>5.1 Conclusion</w:t>
      </w:r>
    </w:p>
    <w:p w:rsidR="00A2574C" w:rsidRPr="00A2574C" w:rsidRDefault="00A2574C" w:rsidP="00A2574C">
      <w:pPr>
        <w:jc w:val="both"/>
      </w:pPr>
      <w:r w:rsidRPr="00A2574C">
        <w:t>This systematic literature review studied sustainable landscape management in Higher Education Institutions (HEIs) and its impact on the United Nations Sustainable Development Goals (SDGs) based on 48 peer-reviewed articles from 2005 to 2026. The results show that campus landscapes are being acknowledged as integrated systems that combine environmental, educational, and civic functions. Sustainability practices, such as biodiversity promotion, water-saving landscaping, and green structures, contribute to SDG 6, SDG 11, SDG 13, and SDG 15, and reinforce the position of campuses as living labs for sustainability.</w:t>
      </w:r>
    </w:p>
    <w:p w:rsidR="00A2574C" w:rsidRPr="00A2574C" w:rsidRDefault="00A2574C" w:rsidP="00A2574C">
      <w:pPr>
        <w:jc w:val="both"/>
      </w:pPr>
      <w:r w:rsidRPr="00A2574C">
        <w:t>The review also shows that the sustainability gap is widening. Instead of fragmentation and under-funding in governance, North American and European HEIs are setting the bar high in terms of advanced governance, monitoring, sustainability operational integration, and sustainability curricular frameworks. The SDG indicator gap, inadequate financial impact assessments, and the shortage of longitudinal studies further question impact sustainability assessments of campus landscape initiatives. Though recognizing that Higher Education Institutions (HEIs) are embedding more sustainability practices, the review suggests that more integrated, measurable, and context-sensitive approaches are required to sustain the potential of HEIs in promoting global sustainability.</w:t>
      </w:r>
    </w:p>
    <w:p w:rsidR="00A2574C" w:rsidRPr="00A2574C" w:rsidRDefault="00A2574C" w:rsidP="00A2574C">
      <w:pPr>
        <w:rPr>
          <w:b/>
        </w:rPr>
      </w:pPr>
      <w:r w:rsidRPr="00A2574C">
        <w:rPr>
          <w:b/>
        </w:rPr>
        <w:t>5.2 Implications</w:t>
      </w:r>
    </w:p>
    <w:p w:rsidR="00A2574C" w:rsidRPr="00A2574C" w:rsidRDefault="00A2574C" w:rsidP="00A2574C">
      <w:pPr>
        <w:jc w:val="both"/>
      </w:pPr>
      <w:r w:rsidRPr="00A2574C">
        <w:lastRenderedPageBreak/>
        <w:t>The results of the review have significant impact on HEIs, policymakers, and practitioners in the field of landscapes. HEIs are in great need to adopt whole-institution approaches that integrate governance, operations, teaching and community engagement and merge those into cohesive sustainability strategies. The strategies that involve sustainability key performance indicators (KPIs) in institutional planning, coupled with the adoption of environmental management systems, will improve accountability and performance greatly.</w:t>
      </w:r>
    </w:p>
    <w:p w:rsidR="00A2574C" w:rsidRPr="00A2574C" w:rsidRDefault="00A2574C" w:rsidP="00A2574C">
      <w:pPr>
        <w:jc w:val="both"/>
      </w:pPr>
      <w:r w:rsidRPr="00A2574C">
        <w:t>Policies need to be implemented by HEIs to ensure that pointers are made most to the specified sustainability limitations. While some funds may be issued HEIs that are developing and post-conflict developing, sustainability practices may be limited by poor financial and institutional sustainability mechanisms, so context-sensitive funds may act to ensure sustainability practices are implemented.</w:t>
      </w:r>
    </w:p>
    <w:p w:rsidR="00A2574C" w:rsidRPr="00A2574C" w:rsidRDefault="00A2574C" w:rsidP="00A2574C">
      <w:pPr>
        <w:jc w:val="both"/>
      </w:pPr>
      <w:r w:rsidRPr="00A2574C">
        <w:t xml:space="preserve">For practitioners, and landscape architects and campus planners, the findings stress the need for multifunctional landscape designs that are integrated with and will sustain great ecological, social and educational functions. The measures of biodiversity conservation, management of water, and the engagement of users in the design processes will sustain most impacts on the landscape of the campuses and will greatly improve and sustain </w:t>
      </w:r>
      <w:r>
        <w:t>the outcomes of sustainability.</w:t>
      </w:r>
    </w:p>
    <w:p w:rsidR="00A2574C" w:rsidRPr="00A2574C" w:rsidRDefault="00A2574C" w:rsidP="00A2574C">
      <w:pPr>
        <w:rPr>
          <w:b/>
        </w:rPr>
      </w:pPr>
      <w:r w:rsidRPr="00A2574C">
        <w:rPr>
          <w:b/>
        </w:rPr>
        <w:t>5.3 Limitations</w:t>
      </w:r>
    </w:p>
    <w:p w:rsidR="00A2574C" w:rsidRPr="00A2574C" w:rsidRDefault="00A2574C" w:rsidP="00A2574C">
      <w:pPr>
        <w:jc w:val="both"/>
      </w:pPr>
      <w:r w:rsidRPr="00A2574C">
        <w:t>There are a number of limitations to the current study. First, the review was limited to publications available through Scopus, Web of Science, MDPI, Taylor and Francis, and a few selective open-access sites; thus, there may be relevant studies available through other publication databases or through grey literature, such as policy documents and reports from institutions. Second, only publications in the English language were reviewed, which may exclude relevant research in other, non-English speaking, parts of the world.</w:t>
      </w:r>
    </w:p>
    <w:p w:rsidR="00A2574C" w:rsidRPr="00A2574C" w:rsidRDefault="00A2574C" w:rsidP="00A2574C">
      <w:pPr>
        <w:jc w:val="both"/>
      </w:pPr>
      <w:r w:rsidRPr="00A2574C">
        <w:t>The range of methodologies of the studies included in the analysis, which included qualitative case studies as well as quantitative surveys, limited comparisons. Thematic analysis aided by NVivo provided a framework for thinking and analyzing rigorously, but secondary data are imprecise and thin, which limits causal conclusions. Regardless of the above, the limitations are balanced by the clear and systematic approach to the selection of studies, which improves the reliability and validity of the findings.</w:t>
      </w:r>
    </w:p>
    <w:p w:rsidR="00A2574C" w:rsidRPr="00A2574C" w:rsidRDefault="00A2574C" w:rsidP="00A2574C">
      <w:pPr>
        <w:rPr>
          <w:b/>
        </w:rPr>
      </w:pPr>
      <w:r w:rsidRPr="00A2574C">
        <w:rPr>
          <w:b/>
        </w:rPr>
        <w:t>5.4 Recommendations for Future Research</w:t>
      </w:r>
    </w:p>
    <w:p w:rsidR="00A2574C" w:rsidRPr="00A2574C" w:rsidRDefault="00A2574C" w:rsidP="00A2574C">
      <w:pPr>
        <w:jc w:val="both"/>
      </w:pPr>
      <w:r w:rsidRPr="00A2574C">
        <w:t>Longitudinal and impact-based studies are necessary to assess the effectiveness of SDG-aligned landscape practices as they are implemented over time. There is also a pivotal need for standardized indicators and assessment frameworks to facilitate bottom-up comparisons across institutions and regions.</w:t>
      </w:r>
    </w:p>
    <w:p w:rsidR="00A2574C" w:rsidRPr="00A2574C" w:rsidRDefault="00A2574C" w:rsidP="00A2574C">
      <w:pPr>
        <w:jc w:val="both"/>
      </w:pPr>
      <w:r w:rsidRPr="00A2574C">
        <w:t>Additional research on financial sustainability and resource mobilization, particularly on cost–benefit analyses and new funding models, will help clarify the long-term prospects for the viability of the sustainability efforts. Moreover, the research needs to extend to the less-documented areas, especially those that are low-income and post-conflict to enrich the understanding of the issue from a more comprehensive and g</w:t>
      </w:r>
      <w:r w:rsidR="005E3564">
        <w:t>lobally applicable perspective.</w:t>
      </w:r>
    </w:p>
    <w:p w:rsidR="00667E50" w:rsidRPr="006E5746" w:rsidRDefault="006E5746" w:rsidP="006E5746">
      <w:pPr>
        <w:jc w:val="both"/>
      </w:pPr>
      <w:r>
        <w:lastRenderedPageBreak/>
        <w:t xml:space="preserve">To </w:t>
      </w:r>
      <w:r w:rsidR="00A2574C" w:rsidRPr="00A2574C">
        <w:t>capture the many and varied facets of the interplay between the social, educational, economic, and environmental dimensions of sustainable campus landscapes, there is a strong need for a greater focus on interdisciplinary and integrated approaches. Such approaches will foster the creation of more complete and robust frameworks to help guide HEIs through the necess</w:t>
      </w:r>
      <w:r>
        <w:t>ary sustainability transitions.</w:t>
      </w:r>
    </w:p>
    <w:p w:rsidR="00A2574C" w:rsidRDefault="00A2574C" w:rsidP="00A2574C">
      <w:pPr>
        <w:rPr>
          <w:b/>
          <w:bCs/>
        </w:rPr>
      </w:pPr>
      <w:r w:rsidRPr="00A2574C">
        <w:rPr>
          <w:b/>
          <w:bCs/>
        </w:rPr>
        <w:t>6. Reference</w:t>
      </w:r>
      <w:r>
        <w:rPr>
          <w:b/>
          <w:bCs/>
        </w:rPr>
        <w:t>s</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Abdullahi, A. M., Hussein, H. A., Ahmed, M. Y., Hussein, O. A., &amp; Warsame, A. A. (2024). The impact of education for sustainable development on university students’ sustainability behavior: A case study from undergraduate students in Somalia. </w:t>
      </w:r>
      <w:r w:rsidRPr="00482872">
        <w:rPr>
          <w:rFonts w:ascii="Times New Roman" w:eastAsia="Times New Roman" w:hAnsi="Times New Roman" w:cs="Times New Roman"/>
          <w:i/>
          <w:iCs/>
          <w:sz w:val="24"/>
          <w:szCs w:val="24"/>
        </w:rPr>
        <w:t>Frontiers in Education, 9</w:t>
      </w:r>
      <w:r w:rsidRPr="00482872">
        <w:rPr>
          <w:rFonts w:ascii="Times New Roman" w:eastAsia="Times New Roman" w:hAnsi="Times New Roman" w:cs="Times New Roman"/>
          <w:sz w:val="24"/>
          <w:szCs w:val="24"/>
        </w:rPr>
        <w:t xml:space="preserve">, 1413687. </w:t>
      </w:r>
      <w:hyperlink r:id="rId9" w:tgtFrame="_new" w:history="1">
        <w:r w:rsidRPr="00482872">
          <w:rPr>
            <w:rFonts w:ascii="Times New Roman" w:eastAsia="Times New Roman" w:hAnsi="Times New Roman" w:cs="Times New Roman"/>
            <w:color w:val="0000FF"/>
            <w:sz w:val="24"/>
            <w:szCs w:val="24"/>
            <w:u w:val="single"/>
          </w:rPr>
          <w:t>https://doi.org/10.3389/feduc.2024.1413687</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Alghamdi, N. (2020). Sustainability reporting in higher education institutions: What, why, and how. In </w:t>
      </w:r>
      <w:r w:rsidRPr="00482872">
        <w:rPr>
          <w:rFonts w:ascii="Times New Roman" w:eastAsia="Times New Roman" w:hAnsi="Times New Roman" w:cs="Times New Roman"/>
          <w:i/>
          <w:iCs/>
          <w:sz w:val="24"/>
          <w:szCs w:val="24"/>
        </w:rPr>
        <w:t>World sustainability series</w:t>
      </w:r>
      <w:r w:rsidRPr="00482872">
        <w:rPr>
          <w:rFonts w:ascii="Times New Roman" w:eastAsia="Times New Roman" w:hAnsi="Times New Roman" w:cs="Times New Roman"/>
          <w:sz w:val="24"/>
          <w:szCs w:val="24"/>
        </w:rPr>
        <w:t xml:space="preserve"> (pp. 975–989). Springer. </w:t>
      </w:r>
      <w:hyperlink r:id="rId10" w:tgtFrame="_new" w:history="1">
        <w:r w:rsidRPr="00482872">
          <w:rPr>
            <w:rFonts w:ascii="Times New Roman" w:eastAsia="Times New Roman" w:hAnsi="Times New Roman" w:cs="Times New Roman"/>
            <w:color w:val="0000FF"/>
            <w:sz w:val="24"/>
            <w:szCs w:val="24"/>
            <w:u w:val="single"/>
          </w:rPr>
          <w:t>https://doi.org/10.1007/978-3-030-26759-9_57</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Alshubiri, F. N. (2021). Analysis of financial sustainability indicators of higher education institutions on foreign direct investment: Empirical evidence in OECD countries. </w:t>
      </w:r>
      <w:r w:rsidRPr="00482872">
        <w:rPr>
          <w:rFonts w:ascii="Times New Roman" w:eastAsia="Times New Roman" w:hAnsi="Times New Roman" w:cs="Times New Roman"/>
          <w:i/>
          <w:iCs/>
          <w:sz w:val="24"/>
          <w:szCs w:val="24"/>
        </w:rPr>
        <w:t>International Journal of Sustainability in Higher Education, 22</w:t>
      </w:r>
      <w:r w:rsidRPr="00482872">
        <w:rPr>
          <w:rFonts w:ascii="Times New Roman" w:eastAsia="Times New Roman" w:hAnsi="Times New Roman" w:cs="Times New Roman"/>
          <w:sz w:val="24"/>
          <w:szCs w:val="24"/>
        </w:rPr>
        <w:t xml:space="preserve">(1), 77–99. </w:t>
      </w:r>
      <w:hyperlink r:id="rId11" w:tgtFrame="_new" w:history="1">
        <w:r w:rsidRPr="00482872">
          <w:rPr>
            <w:rFonts w:ascii="Times New Roman" w:eastAsia="Times New Roman" w:hAnsi="Times New Roman" w:cs="Times New Roman"/>
            <w:color w:val="0000FF"/>
            <w:sz w:val="24"/>
            <w:szCs w:val="24"/>
            <w:u w:val="single"/>
          </w:rPr>
          <w:t>https://doi.org/10.1108/IJSHE-10-2019-0306</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Andrades, J., Martinez-Martinez, D., &amp; Larrán, M. (2025). Sustainability reporting, institutional pressures and universities: Evidence from the Spanish setting. </w:t>
      </w:r>
      <w:r w:rsidRPr="00482872">
        <w:rPr>
          <w:rFonts w:ascii="Times New Roman" w:eastAsia="Times New Roman" w:hAnsi="Times New Roman" w:cs="Times New Roman"/>
          <w:i/>
          <w:iCs/>
          <w:sz w:val="24"/>
          <w:szCs w:val="24"/>
        </w:rPr>
        <w:t>Sustainability Accounting, Management and Policy Journal, 16</w:t>
      </w:r>
      <w:r w:rsidRPr="00482872">
        <w:rPr>
          <w:rFonts w:ascii="Times New Roman" w:eastAsia="Times New Roman" w:hAnsi="Times New Roman" w:cs="Times New Roman"/>
          <w:sz w:val="24"/>
          <w:szCs w:val="24"/>
        </w:rPr>
        <w:t xml:space="preserve">(4), 1045–1071. </w:t>
      </w:r>
      <w:hyperlink r:id="rId12" w:tgtFrame="_new" w:history="1">
        <w:r w:rsidRPr="00482872">
          <w:rPr>
            <w:rFonts w:ascii="Times New Roman" w:eastAsia="Times New Roman" w:hAnsi="Times New Roman" w:cs="Times New Roman"/>
            <w:color w:val="0000FF"/>
            <w:sz w:val="24"/>
            <w:szCs w:val="24"/>
            <w:u w:val="single"/>
          </w:rPr>
          <w:t>https://doi.org/10.1108/SAMPJ-07-2023-0455</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Angelaki, M. E., Bersimis, F., Karvounidis, T., &amp; Douligeris, C. (2024). Towards more sustainable higher education institutions: Implementing the sustainable development goals and embedding sustainability into ICT curricula. </w:t>
      </w:r>
      <w:r w:rsidRPr="00482872">
        <w:rPr>
          <w:rFonts w:ascii="Times New Roman" w:eastAsia="Times New Roman" w:hAnsi="Times New Roman" w:cs="Times New Roman"/>
          <w:i/>
          <w:iCs/>
          <w:sz w:val="24"/>
          <w:szCs w:val="24"/>
        </w:rPr>
        <w:t>Education and Information Technologies, 29</w:t>
      </w:r>
      <w:r w:rsidRPr="00482872">
        <w:rPr>
          <w:rFonts w:ascii="Times New Roman" w:eastAsia="Times New Roman" w:hAnsi="Times New Roman" w:cs="Times New Roman"/>
          <w:sz w:val="24"/>
          <w:szCs w:val="24"/>
        </w:rPr>
        <w:t xml:space="preserve">(4), 5079–5113. </w:t>
      </w:r>
      <w:hyperlink r:id="rId13" w:tgtFrame="_new" w:history="1">
        <w:r w:rsidRPr="00482872">
          <w:rPr>
            <w:rFonts w:ascii="Times New Roman" w:eastAsia="Times New Roman" w:hAnsi="Times New Roman" w:cs="Times New Roman"/>
            <w:color w:val="0000FF"/>
            <w:sz w:val="24"/>
            <w:szCs w:val="24"/>
            <w:u w:val="single"/>
          </w:rPr>
          <w:t>https://doi.org/10.1007/s10639-023-12025-8</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Argento, D., Einarson, D., Mårtensson, L., Persson, C., Wendin, K., &amp; Westergren, A. (2020). Integrating sustainability in higher education: A Swedish case. </w:t>
      </w:r>
      <w:r w:rsidRPr="00482872">
        <w:rPr>
          <w:rFonts w:ascii="Times New Roman" w:eastAsia="Times New Roman" w:hAnsi="Times New Roman" w:cs="Times New Roman"/>
          <w:i/>
          <w:iCs/>
          <w:sz w:val="24"/>
          <w:szCs w:val="24"/>
        </w:rPr>
        <w:t>International Journal of Sustainability in Higher Education, 21</w:t>
      </w:r>
      <w:r w:rsidRPr="00482872">
        <w:rPr>
          <w:rFonts w:ascii="Times New Roman" w:eastAsia="Times New Roman" w:hAnsi="Times New Roman" w:cs="Times New Roman"/>
          <w:sz w:val="24"/>
          <w:szCs w:val="24"/>
        </w:rPr>
        <w:t xml:space="preserve">(6), 1131–1150. </w:t>
      </w:r>
      <w:hyperlink r:id="rId14" w:tgtFrame="_new" w:history="1">
        <w:r w:rsidRPr="00482872">
          <w:rPr>
            <w:rFonts w:ascii="Times New Roman" w:eastAsia="Times New Roman" w:hAnsi="Times New Roman" w:cs="Times New Roman"/>
            <w:color w:val="0000FF"/>
            <w:sz w:val="24"/>
            <w:szCs w:val="24"/>
            <w:u w:val="single"/>
          </w:rPr>
          <w:t>https://doi.org/10.1108/IJSHE-10-2019-0292</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Baptiste, H. J., Cai, Y. G., Atiquil Islam, A. Y. M., &amp; Wenceslas, N. (2022). A systematic review of university social responsibility in post-conflict societies. </w:t>
      </w:r>
      <w:r w:rsidRPr="00482872">
        <w:rPr>
          <w:rFonts w:ascii="Times New Roman" w:eastAsia="Times New Roman" w:hAnsi="Times New Roman" w:cs="Times New Roman"/>
          <w:i/>
          <w:iCs/>
          <w:sz w:val="24"/>
          <w:szCs w:val="24"/>
        </w:rPr>
        <w:t>Social Indicators Research, 164</w:t>
      </w:r>
      <w:r w:rsidRPr="00482872">
        <w:rPr>
          <w:rFonts w:ascii="Times New Roman" w:eastAsia="Times New Roman" w:hAnsi="Times New Roman" w:cs="Times New Roman"/>
          <w:sz w:val="24"/>
          <w:szCs w:val="24"/>
        </w:rPr>
        <w:t xml:space="preserve">(1), 439–475. </w:t>
      </w:r>
      <w:hyperlink r:id="rId15" w:tgtFrame="_new" w:history="1">
        <w:r w:rsidRPr="00482872">
          <w:rPr>
            <w:rFonts w:ascii="Times New Roman" w:eastAsia="Times New Roman" w:hAnsi="Times New Roman" w:cs="Times New Roman"/>
            <w:color w:val="0000FF"/>
            <w:sz w:val="24"/>
            <w:szCs w:val="24"/>
            <w:u w:val="single"/>
          </w:rPr>
          <w:t>https://doi.org/10.1007/s11205-022-02956-z</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Barros, M. V., Puglieri, F. N., Tesser, D. P., Kuczynski, O., &amp; Piekarski, C. M. (2020). Sustainability at a Brazilian university: A life cycle assessment case study. </w:t>
      </w:r>
      <w:r w:rsidRPr="00482872">
        <w:rPr>
          <w:rFonts w:ascii="Times New Roman" w:eastAsia="Times New Roman" w:hAnsi="Times New Roman" w:cs="Times New Roman"/>
          <w:i/>
          <w:iCs/>
          <w:sz w:val="24"/>
          <w:szCs w:val="24"/>
        </w:rPr>
        <w:t>International Journal of Sustainability in Higher Education, 21</w:t>
      </w:r>
      <w:r w:rsidRPr="00482872">
        <w:rPr>
          <w:rFonts w:ascii="Times New Roman" w:eastAsia="Times New Roman" w:hAnsi="Times New Roman" w:cs="Times New Roman"/>
          <w:sz w:val="24"/>
          <w:szCs w:val="24"/>
        </w:rPr>
        <w:t xml:space="preserve">(5), 841–859. </w:t>
      </w:r>
      <w:hyperlink r:id="rId16" w:tgtFrame="_new" w:history="1">
        <w:r w:rsidRPr="00482872">
          <w:rPr>
            <w:rFonts w:ascii="Times New Roman" w:eastAsia="Times New Roman" w:hAnsi="Times New Roman" w:cs="Times New Roman"/>
            <w:color w:val="0000FF"/>
            <w:sz w:val="24"/>
            <w:szCs w:val="24"/>
            <w:u w:val="single"/>
          </w:rPr>
          <w:t>https://doi.org/10.1108/IJSHE-10-2019-0309</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Barth, M. (2013). Many roads lead to sustainability: A process-oriented analysis of change in higher education. </w:t>
      </w:r>
      <w:r w:rsidRPr="00482872">
        <w:rPr>
          <w:rFonts w:ascii="Times New Roman" w:eastAsia="Times New Roman" w:hAnsi="Times New Roman" w:cs="Times New Roman"/>
          <w:i/>
          <w:iCs/>
          <w:sz w:val="24"/>
          <w:szCs w:val="24"/>
        </w:rPr>
        <w:t>International Journal of Sustainability in Higher Education, 14</w:t>
      </w:r>
      <w:r w:rsidRPr="00482872">
        <w:rPr>
          <w:rFonts w:ascii="Times New Roman" w:eastAsia="Times New Roman" w:hAnsi="Times New Roman" w:cs="Times New Roman"/>
          <w:sz w:val="24"/>
          <w:szCs w:val="24"/>
        </w:rPr>
        <w:t xml:space="preserve">(2), 160–175. </w:t>
      </w:r>
      <w:hyperlink r:id="rId17" w:tgtFrame="_new" w:history="1">
        <w:r w:rsidRPr="00482872">
          <w:rPr>
            <w:rFonts w:ascii="Times New Roman" w:eastAsia="Times New Roman" w:hAnsi="Times New Roman" w:cs="Times New Roman"/>
            <w:color w:val="0000FF"/>
            <w:sz w:val="24"/>
            <w:szCs w:val="24"/>
            <w:u w:val="single"/>
          </w:rPr>
          <w:t>https://doi.org/10.1108/14676371311312879</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Bautista-Puig, N., &amp; Sanz-Casado, E. (2021). Sustainability practices in Spanish higher education institutions. </w:t>
      </w:r>
      <w:r w:rsidRPr="00482872">
        <w:rPr>
          <w:rFonts w:ascii="Times New Roman" w:eastAsia="Times New Roman" w:hAnsi="Times New Roman" w:cs="Times New Roman"/>
          <w:i/>
          <w:iCs/>
          <w:sz w:val="24"/>
          <w:szCs w:val="24"/>
        </w:rPr>
        <w:t>Journal of Cleaner Production, 295</w:t>
      </w:r>
      <w:r w:rsidRPr="00482872">
        <w:rPr>
          <w:rFonts w:ascii="Times New Roman" w:eastAsia="Times New Roman" w:hAnsi="Times New Roman" w:cs="Times New Roman"/>
          <w:sz w:val="24"/>
          <w:szCs w:val="24"/>
        </w:rPr>
        <w:t xml:space="preserve">, 126320. </w:t>
      </w:r>
      <w:hyperlink r:id="rId18" w:tgtFrame="_new" w:history="1">
        <w:r w:rsidRPr="00482872">
          <w:rPr>
            <w:rFonts w:ascii="Times New Roman" w:eastAsia="Times New Roman" w:hAnsi="Times New Roman" w:cs="Times New Roman"/>
            <w:color w:val="0000FF"/>
            <w:sz w:val="24"/>
            <w:szCs w:val="24"/>
            <w:u w:val="single"/>
          </w:rPr>
          <w:t>https://doi.org/10.1016/j.jclepro.2021.126320</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Bernaldo, M. O., &amp; Fernández-Sánchez, G. (2017). Sustainability integration approaches in higher education institutions. In </w:t>
      </w:r>
      <w:r w:rsidRPr="00482872">
        <w:rPr>
          <w:rFonts w:ascii="Times New Roman" w:eastAsia="Times New Roman" w:hAnsi="Times New Roman" w:cs="Times New Roman"/>
          <w:i/>
          <w:iCs/>
          <w:sz w:val="24"/>
          <w:szCs w:val="24"/>
        </w:rPr>
        <w:t>World sustainability series</w:t>
      </w:r>
      <w:r w:rsidRPr="00482872">
        <w:rPr>
          <w:rFonts w:ascii="Times New Roman" w:eastAsia="Times New Roman" w:hAnsi="Times New Roman" w:cs="Times New Roman"/>
          <w:sz w:val="24"/>
          <w:szCs w:val="24"/>
        </w:rPr>
        <w:t xml:space="preserve"> (pp. 179–192). Springer. </w:t>
      </w:r>
      <w:hyperlink r:id="rId19" w:tgtFrame="_new" w:history="1">
        <w:r w:rsidRPr="00482872">
          <w:rPr>
            <w:rFonts w:ascii="Times New Roman" w:eastAsia="Times New Roman" w:hAnsi="Times New Roman" w:cs="Times New Roman"/>
            <w:color w:val="0000FF"/>
            <w:sz w:val="24"/>
            <w:szCs w:val="24"/>
            <w:u w:val="single"/>
          </w:rPr>
          <w:t>https://doi.org/10.1007/978-3-319-47877-7_13</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lastRenderedPageBreak/>
        <w:t xml:space="preserve">Bullock, G., &amp; Wilder, N. (2016). The comprehensiveness of competing higher education sustainability assessments. </w:t>
      </w:r>
      <w:r w:rsidRPr="00482872">
        <w:rPr>
          <w:rFonts w:ascii="Times New Roman" w:eastAsia="Times New Roman" w:hAnsi="Times New Roman" w:cs="Times New Roman"/>
          <w:i/>
          <w:iCs/>
          <w:sz w:val="24"/>
          <w:szCs w:val="24"/>
        </w:rPr>
        <w:t>International Journal of Sustainability in Higher Education, 17</w:t>
      </w:r>
      <w:r w:rsidRPr="00482872">
        <w:rPr>
          <w:rFonts w:ascii="Times New Roman" w:eastAsia="Times New Roman" w:hAnsi="Times New Roman" w:cs="Times New Roman"/>
          <w:sz w:val="24"/>
          <w:szCs w:val="24"/>
        </w:rPr>
        <w:t>(3), 282–304.</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Canare, F. D. (2024). Strategic communication practices in sustainability policy institutionalization. </w:t>
      </w:r>
      <w:r w:rsidRPr="00482872">
        <w:rPr>
          <w:rFonts w:ascii="Times New Roman" w:eastAsia="Times New Roman" w:hAnsi="Times New Roman" w:cs="Times New Roman"/>
          <w:i/>
          <w:iCs/>
          <w:sz w:val="24"/>
          <w:szCs w:val="24"/>
        </w:rPr>
        <w:t>Chemical Engineering Transactions, 113</w:t>
      </w:r>
      <w:r w:rsidRPr="00482872">
        <w:rPr>
          <w:rFonts w:ascii="Times New Roman" w:eastAsia="Times New Roman" w:hAnsi="Times New Roman" w:cs="Times New Roman"/>
          <w:sz w:val="24"/>
          <w:szCs w:val="24"/>
        </w:rPr>
        <w:t xml:space="preserve">, 217–222. </w:t>
      </w:r>
      <w:hyperlink r:id="rId20" w:tgtFrame="_new" w:history="1">
        <w:r w:rsidRPr="00482872">
          <w:rPr>
            <w:rFonts w:ascii="Times New Roman" w:eastAsia="Times New Roman" w:hAnsi="Times New Roman" w:cs="Times New Roman"/>
            <w:color w:val="0000FF"/>
            <w:sz w:val="24"/>
            <w:szCs w:val="24"/>
            <w:u w:val="single"/>
          </w:rPr>
          <w:t>https://doi.org/10.3303/CET24113037</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Cheang, C. C., So, W. M. W., Zhan, Y., &amp; Tsoi, K. H. (2017). Education for sustainability using a campus eco-garden. </w:t>
      </w:r>
      <w:r w:rsidRPr="00482872">
        <w:rPr>
          <w:rFonts w:ascii="Times New Roman" w:eastAsia="Times New Roman" w:hAnsi="Times New Roman" w:cs="Times New Roman"/>
          <w:i/>
          <w:iCs/>
          <w:sz w:val="24"/>
          <w:szCs w:val="24"/>
        </w:rPr>
        <w:t>International Journal of Sustainability in Higher Education, 18</w:t>
      </w:r>
      <w:r w:rsidRPr="00482872">
        <w:rPr>
          <w:rFonts w:ascii="Times New Roman" w:eastAsia="Times New Roman" w:hAnsi="Times New Roman" w:cs="Times New Roman"/>
          <w:sz w:val="24"/>
          <w:szCs w:val="24"/>
        </w:rPr>
        <w:t xml:space="preserve">(2), 242–262. </w:t>
      </w:r>
      <w:hyperlink r:id="rId21" w:tgtFrame="_new" w:history="1">
        <w:r w:rsidRPr="00482872">
          <w:rPr>
            <w:rFonts w:ascii="Times New Roman" w:eastAsia="Times New Roman" w:hAnsi="Times New Roman" w:cs="Times New Roman"/>
            <w:color w:val="0000FF"/>
            <w:sz w:val="24"/>
            <w:szCs w:val="24"/>
            <w:u w:val="single"/>
          </w:rPr>
          <w:t>https://doi.org/10.1108/IJSHE-10-2015-0174</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Christou, M., Filippidou, F., &amp; Kanellopoulos, P. (2024). Community engagement through campus greening. </w:t>
      </w:r>
      <w:r w:rsidRPr="00482872">
        <w:rPr>
          <w:rFonts w:ascii="Times New Roman" w:eastAsia="Times New Roman" w:hAnsi="Times New Roman" w:cs="Times New Roman"/>
          <w:i/>
          <w:iCs/>
          <w:sz w:val="24"/>
          <w:szCs w:val="24"/>
        </w:rPr>
        <w:t>Sustainability, 16</w:t>
      </w:r>
      <w:r w:rsidRPr="00482872">
        <w:rPr>
          <w:rFonts w:ascii="Times New Roman" w:eastAsia="Times New Roman" w:hAnsi="Times New Roman" w:cs="Times New Roman"/>
          <w:sz w:val="24"/>
          <w:szCs w:val="24"/>
        </w:rPr>
        <w:t xml:space="preserve">(5), 3210. </w:t>
      </w:r>
      <w:hyperlink r:id="rId22" w:tgtFrame="_new" w:history="1">
        <w:r w:rsidRPr="00482872">
          <w:rPr>
            <w:rFonts w:ascii="Times New Roman" w:eastAsia="Times New Roman" w:hAnsi="Times New Roman" w:cs="Times New Roman"/>
            <w:color w:val="0000FF"/>
            <w:sz w:val="24"/>
            <w:szCs w:val="24"/>
            <w:u w:val="single"/>
          </w:rPr>
          <w:t>https://doi.org/10.3390/su16053210</w:t>
        </w:r>
      </w:hyperlink>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Combes, B. P. Y. (2005). The UN decade of education for sustainable development. </w:t>
      </w:r>
      <w:r w:rsidRPr="00482872">
        <w:rPr>
          <w:rFonts w:ascii="Times New Roman" w:eastAsia="Times New Roman" w:hAnsi="Times New Roman" w:cs="Times New Roman"/>
          <w:i/>
          <w:iCs/>
          <w:sz w:val="24"/>
          <w:szCs w:val="24"/>
        </w:rPr>
        <w:t>Applied Environmental Education &amp; Communication, 4</w:t>
      </w:r>
      <w:r w:rsidRPr="00482872">
        <w:rPr>
          <w:rFonts w:ascii="Times New Roman" w:eastAsia="Times New Roman" w:hAnsi="Times New Roman" w:cs="Times New Roman"/>
          <w:sz w:val="24"/>
          <w:szCs w:val="24"/>
        </w:rPr>
        <w:t>(3), 215–219.</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Dasgupta, H., &amp; Pawar, S. K. (2021). Impact of higher education on pro-sustainability orientation. </w:t>
      </w:r>
      <w:r w:rsidRPr="00482872">
        <w:rPr>
          <w:rFonts w:ascii="Times New Roman" w:eastAsia="Times New Roman" w:hAnsi="Times New Roman" w:cs="Times New Roman"/>
          <w:i/>
          <w:iCs/>
          <w:sz w:val="24"/>
          <w:szCs w:val="24"/>
        </w:rPr>
        <w:t>Journal of Applied Research in Higher Education, 13</w:t>
      </w:r>
      <w:r w:rsidRPr="00482872">
        <w:rPr>
          <w:rFonts w:ascii="Times New Roman" w:eastAsia="Times New Roman" w:hAnsi="Times New Roman" w:cs="Times New Roman"/>
          <w:sz w:val="24"/>
          <w:szCs w:val="24"/>
        </w:rPr>
        <w:t>(4), 1110–1132.</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Evans, J., Jones, R., Karvonen, A., Millard, L., &amp; Wendler, J. (2015). Living labs and co-production. </w:t>
      </w:r>
      <w:r w:rsidRPr="00482872">
        <w:rPr>
          <w:rFonts w:ascii="Times New Roman" w:eastAsia="Times New Roman" w:hAnsi="Times New Roman" w:cs="Times New Roman"/>
          <w:i/>
          <w:iCs/>
          <w:sz w:val="24"/>
          <w:szCs w:val="24"/>
        </w:rPr>
        <w:t>Current Opinion in Environmental Sustainability, 16</w:t>
      </w:r>
      <w:r w:rsidRPr="00482872">
        <w:rPr>
          <w:rFonts w:ascii="Times New Roman" w:eastAsia="Times New Roman" w:hAnsi="Times New Roman" w:cs="Times New Roman"/>
          <w:sz w:val="24"/>
          <w:szCs w:val="24"/>
        </w:rPr>
        <w:t>, 1–6.</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Findler, F., Schönherr, N., Lozano, R., Reider, D., &amp; Martinuzzi, A. (2019). The impacts of higher education institutions on sustainable development. </w:t>
      </w:r>
      <w:r w:rsidRPr="00482872">
        <w:rPr>
          <w:rFonts w:ascii="Times New Roman" w:eastAsia="Times New Roman" w:hAnsi="Times New Roman" w:cs="Times New Roman"/>
          <w:i/>
          <w:iCs/>
          <w:sz w:val="24"/>
          <w:szCs w:val="24"/>
        </w:rPr>
        <w:t>International Journal of Sustainability in Higher Education, 20</w:t>
      </w:r>
      <w:r w:rsidRPr="00482872">
        <w:rPr>
          <w:rFonts w:ascii="Times New Roman" w:eastAsia="Times New Roman" w:hAnsi="Times New Roman" w:cs="Times New Roman"/>
          <w:sz w:val="24"/>
          <w:szCs w:val="24"/>
        </w:rPr>
        <w:t>(1), 23–38.</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Gomez, L. F., &amp; Derr, V. (2021). Learning by doing: Engaging students through campus sustainability projects. </w:t>
      </w:r>
      <w:r w:rsidRPr="00482872">
        <w:rPr>
          <w:rFonts w:ascii="Times New Roman" w:eastAsia="Times New Roman" w:hAnsi="Times New Roman" w:cs="Times New Roman"/>
          <w:i/>
          <w:iCs/>
          <w:sz w:val="24"/>
          <w:szCs w:val="24"/>
        </w:rPr>
        <w:t>Journal of Environmental Education, 52</w:t>
      </w:r>
      <w:r w:rsidRPr="00482872">
        <w:rPr>
          <w:rFonts w:ascii="Times New Roman" w:eastAsia="Times New Roman" w:hAnsi="Times New Roman" w:cs="Times New Roman"/>
          <w:sz w:val="24"/>
          <w:szCs w:val="24"/>
        </w:rPr>
        <w:t>(3), 1–15.</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Hassan, M. A., &amp; Lee, H. (2015). The paradox of the sustainable campus. </w:t>
      </w:r>
      <w:r w:rsidRPr="00482872">
        <w:rPr>
          <w:rFonts w:ascii="Times New Roman" w:eastAsia="Times New Roman" w:hAnsi="Times New Roman" w:cs="Times New Roman"/>
          <w:i/>
          <w:iCs/>
          <w:sz w:val="24"/>
          <w:szCs w:val="24"/>
        </w:rPr>
        <w:t>Sustainability, 7</w:t>
      </w:r>
      <w:r w:rsidRPr="00482872">
        <w:rPr>
          <w:rFonts w:ascii="Times New Roman" w:eastAsia="Times New Roman" w:hAnsi="Times New Roman" w:cs="Times New Roman"/>
          <w:sz w:val="24"/>
          <w:szCs w:val="24"/>
        </w:rPr>
        <w:t>(6), 7543–7563.</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Hassana, M. M., &amp; Ahmada, A. R. (2025). Systematic literature review on sustainability of HEIs. </w:t>
      </w:r>
      <w:r w:rsidRPr="00482872">
        <w:rPr>
          <w:rFonts w:ascii="Times New Roman" w:eastAsia="Times New Roman" w:hAnsi="Times New Roman" w:cs="Times New Roman"/>
          <w:i/>
          <w:iCs/>
          <w:sz w:val="24"/>
          <w:szCs w:val="24"/>
        </w:rPr>
        <w:t>Cogent Education, 12</w:t>
      </w:r>
      <w:r w:rsidRPr="00482872">
        <w:rPr>
          <w:rFonts w:ascii="Times New Roman" w:eastAsia="Times New Roman" w:hAnsi="Times New Roman" w:cs="Times New Roman"/>
          <w:sz w:val="24"/>
          <w:szCs w:val="24"/>
        </w:rPr>
        <w:t>(1), 2549789.</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Leal Filho, W., Shiel, C., &amp; Paço, A. (2015). Integrative approaches to environmental sustainability. </w:t>
      </w:r>
      <w:r w:rsidRPr="00482872">
        <w:rPr>
          <w:rFonts w:ascii="Times New Roman" w:eastAsia="Times New Roman" w:hAnsi="Times New Roman" w:cs="Times New Roman"/>
          <w:i/>
          <w:iCs/>
          <w:sz w:val="24"/>
          <w:szCs w:val="24"/>
        </w:rPr>
        <w:t>Journal of Integrative Environmental Sciences, 12</w:t>
      </w:r>
      <w:r w:rsidRPr="00482872">
        <w:rPr>
          <w:rFonts w:ascii="Times New Roman" w:eastAsia="Times New Roman" w:hAnsi="Times New Roman" w:cs="Times New Roman"/>
          <w:sz w:val="24"/>
          <w:szCs w:val="24"/>
        </w:rPr>
        <w:t>(1), 1–14.</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Leal Filho, W., et al. (2018). Sustainable development policies at universities. </w:t>
      </w:r>
      <w:r w:rsidRPr="00482872">
        <w:rPr>
          <w:rFonts w:ascii="Times New Roman" w:eastAsia="Times New Roman" w:hAnsi="Times New Roman" w:cs="Times New Roman"/>
          <w:i/>
          <w:iCs/>
          <w:sz w:val="24"/>
          <w:szCs w:val="24"/>
        </w:rPr>
        <w:t>Journal of Cleaner Production, 172</w:t>
      </w:r>
      <w:r w:rsidRPr="00482872">
        <w:rPr>
          <w:rFonts w:ascii="Times New Roman" w:eastAsia="Times New Roman" w:hAnsi="Times New Roman" w:cs="Times New Roman"/>
          <w:sz w:val="24"/>
          <w:szCs w:val="24"/>
        </w:rPr>
        <w:t>, 410–422.</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Leal Filho, W., Salvia, A. L., Paço, A., et al. (2019). Sustainability in higher education: Trends and gaps. </w:t>
      </w:r>
      <w:r w:rsidRPr="00482872">
        <w:rPr>
          <w:rFonts w:ascii="Times New Roman" w:eastAsia="Times New Roman" w:hAnsi="Times New Roman" w:cs="Times New Roman"/>
          <w:i/>
          <w:iCs/>
          <w:sz w:val="24"/>
          <w:szCs w:val="24"/>
        </w:rPr>
        <w:t>Journal of Cleaner Production, 250</w:t>
      </w:r>
      <w:r w:rsidRPr="00482872">
        <w:rPr>
          <w:rFonts w:ascii="Times New Roman" w:eastAsia="Times New Roman" w:hAnsi="Times New Roman" w:cs="Times New Roman"/>
          <w:sz w:val="24"/>
          <w:szCs w:val="24"/>
        </w:rPr>
        <w:t>, 119–127.</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Leal Filho, W., Brandli, L., Salvia, A. L., et al. (2021). Climate change adaptation in universities. </w:t>
      </w:r>
      <w:r w:rsidRPr="00482872">
        <w:rPr>
          <w:rFonts w:ascii="Times New Roman" w:eastAsia="Times New Roman" w:hAnsi="Times New Roman" w:cs="Times New Roman"/>
          <w:i/>
          <w:iCs/>
          <w:sz w:val="24"/>
          <w:szCs w:val="24"/>
        </w:rPr>
        <w:t>International Journal of Climate Change Strategies and Management, 13</w:t>
      </w:r>
      <w:r w:rsidRPr="00482872">
        <w:rPr>
          <w:rFonts w:ascii="Times New Roman" w:eastAsia="Times New Roman" w:hAnsi="Times New Roman" w:cs="Times New Roman"/>
          <w:sz w:val="24"/>
          <w:szCs w:val="24"/>
        </w:rPr>
        <w:t>(3).</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Lim, C. K., Haufiku, M. S., Tan, K. L., Ahmed, M. F., &amp; Ng, T. F. (2022). Systematic review of education for sustainable development. </w:t>
      </w:r>
      <w:r w:rsidRPr="00482872">
        <w:rPr>
          <w:rFonts w:ascii="Times New Roman" w:eastAsia="Times New Roman" w:hAnsi="Times New Roman" w:cs="Times New Roman"/>
          <w:i/>
          <w:iCs/>
          <w:sz w:val="24"/>
          <w:szCs w:val="24"/>
        </w:rPr>
        <w:t>Sustainability, 14</w:t>
      </w:r>
      <w:r w:rsidRPr="00482872">
        <w:rPr>
          <w:rFonts w:ascii="Times New Roman" w:eastAsia="Times New Roman" w:hAnsi="Times New Roman" w:cs="Times New Roman"/>
          <w:sz w:val="24"/>
          <w:szCs w:val="24"/>
        </w:rPr>
        <w:t>(20), 13241.</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Lozano, R., et al. (2013). Declarations for sustainability in higher education. </w:t>
      </w:r>
      <w:r w:rsidRPr="00482872">
        <w:rPr>
          <w:rFonts w:ascii="Times New Roman" w:eastAsia="Times New Roman" w:hAnsi="Times New Roman" w:cs="Times New Roman"/>
          <w:i/>
          <w:iCs/>
          <w:sz w:val="24"/>
          <w:szCs w:val="24"/>
        </w:rPr>
        <w:t>Journal of Cleaner Production, 48</w:t>
      </w:r>
      <w:r w:rsidRPr="00482872">
        <w:rPr>
          <w:rFonts w:ascii="Times New Roman" w:eastAsia="Times New Roman" w:hAnsi="Times New Roman" w:cs="Times New Roman"/>
          <w:sz w:val="24"/>
          <w:szCs w:val="24"/>
        </w:rPr>
        <w:t>, 10–19.</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Lozano, R., et al. (2015). Commitment and implementation of sustainable development. </w:t>
      </w:r>
      <w:r w:rsidRPr="00482872">
        <w:rPr>
          <w:rFonts w:ascii="Times New Roman" w:eastAsia="Times New Roman" w:hAnsi="Times New Roman" w:cs="Times New Roman"/>
          <w:i/>
          <w:iCs/>
          <w:sz w:val="24"/>
          <w:szCs w:val="24"/>
        </w:rPr>
        <w:t>Journal of Cleaner Production, 108</w:t>
      </w:r>
      <w:r w:rsidRPr="00482872">
        <w:rPr>
          <w:rFonts w:ascii="Times New Roman" w:eastAsia="Times New Roman" w:hAnsi="Times New Roman" w:cs="Times New Roman"/>
          <w:sz w:val="24"/>
          <w:szCs w:val="24"/>
        </w:rPr>
        <w:t>, 1–18.</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Lozano, R., Merrill, M., Sammalisto, K., Ceulemans, K., &amp; Lozano, F. (2017). Connecting competencies and pedagogy. </w:t>
      </w:r>
      <w:r w:rsidRPr="00482872">
        <w:rPr>
          <w:rFonts w:ascii="Times New Roman" w:eastAsia="Times New Roman" w:hAnsi="Times New Roman" w:cs="Times New Roman"/>
          <w:i/>
          <w:iCs/>
          <w:sz w:val="24"/>
          <w:szCs w:val="24"/>
        </w:rPr>
        <w:t>Journal of Cleaner Production, 162</w:t>
      </w:r>
      <w:r w:rsidRPr="00482872">
        <w:rPr>
          <w:rFonts w:ascii="Times New Roman" w:eastAsia="Times New Roman" w:hAnsi="Times New Roman" w:cs="Times New Roman"/>
          <w:sz w:val="24"/>
          <w:szCs w:val="24"/>
        </w:rPr>
        <w:t>, 225–232.</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Molokova, I. (2021). Green campus governance. </w:t>
      </w:r>
      <w:r w:rsidRPr="00482872">
        <w:rPr>
          <w:rFonts w:ascii="Times New Roman" w:eastAsia="Times New Roman" w:hAnsi="Times New Roman" w:cs="Times New Roman"/>
          <w:i/>
          <w:iCs/>
          <w:sz w:val="24"/>
          <w:szCs w:val="24"/>
        </w:rPr>
        <w:t>International Journal of Islamic Studies in Higher Education, 4</w:t>
      </w:r>
      <w:r w:rsidRPr="00482872">
        <w:rPr>
          <w:rFonts w:ascii="Times New Roman" w:eastAsia="Times New Roman" w:hAnsi="Times New Roman" w:cs="Times New Roman"/>
          <w:sz w:val="24"/>
          <w:szCs w:val="24"/>
        </w:rPr>
        <w:t>(1), 46–58.</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lastRenderedPageBreak/>
        <w:t xml:space="preserve">Oliveira, M. C., &amp; Proença, J. (2025). Sustainable campus operations. </w:t>
      </w:r>
      <w:r w:rsidRPr="00482872">
        <w:rPr>
          <w:rFonts w:ascii="Times New Roman" w:eastAsia="Times New Roman" w:hAnsi="Times New Roman" w:cs="Times New Roman"/>
          <w:i/>
          <w:iCs/>
          <w:sz w:val="24"/>
          <w:szCs w:val="24"/>
        </w:rPr>
        <w:t>Sustainability, 17</w:t>
      </w:r>
      <w:r w:rsidRPr="00482872">
        <w:rPr>
          <w:rFonts w:ascii="Times New Roman" w:eastAsia="Times New Roman" w:hAnsi="Times New Roman" w:cs="Times New Roman"/>
          <w:sz w:val="24"/>
          <w:szCs w:val="24"/>
        </w:rPr>
        <w:t>(2), 607.</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Plummer, R., Witkowski, S., Smits, A., &amp; Dale, G. (2022). HEI–community partnerships. </w:t>
      </w:r>
      <w:r w:rsidRPr="00482872">
        <w:rPr>
          <w:rFonts w:ascii="Times New Roman" w:eastAsia="Times New Roman" w:hAnsi="Times New Roman" w:cs="Times New Roman"/>
          <w:i/>
          <w:iCs/>
          <w:sz w:val="24"/>
          <w:szCs w:val="24"/>
        </w:rPr>
        <w:t>Innovative Higher Education, 47</w:t>
      </w:r>
      <w:r w:rsidRPr="00482872">
        <w:rPr>
          <w:rFonts w:ascii="Times New Roman" w:eastAsia="Times New Roman" w:hAnsi="Times New Roman" w:cs="Times New Roman"/>
          <w:sz w:val="24"/>
          <w:szCs w:val="24"/>
        </w:rPr>
        <w:t>(1), 135–153.</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Posner, S., &amp; Stuart, B. (2023). Campus sustainability frameworks. </w:t>
      </w:r>
      <w:r w:rsidRPr="00482872">
        <w:rPr>
          <w:rFonts w:ascii="Times New Roman" w:eastAsia="Times New Roman" w:hAnsi="Times New Roman" w:cs="Times New Roman"/>
          <w:i/>
          <w:iCs/>
          <w:sz w:val="24"/>
          <w:szCs w:val="24"/>
        </w:rPr>
        <w:t>Environmental Planning Journal</w:t>
      </w:r>
      <w:r w:rsidRPr="00482872">
        <w:rPr>
          <w:rFonts w:ascii="Times New Roman" w:eastAsia="Times New Roman" w:hAnsi="Times New Roman" w:cs="Times New Roman"/>
          <w:sz w:val="24"/>
          <w:szCs w:val="24"/>
        </w:rPr>
        <w:t>.</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Priyadarshini, P., &amp; Abhilash, P. C. (2022). HEIs as complex adaptive systems. </w:t>
      </w:r>
      <w:r w:rsidRPr="00482872">
        <w:rPr>
          <w:rFonts w:ascii="Times New Roman" w:eastAsia="Times New Roman" w:hAnsi="Times New Roman" w:cs="Times New Roman"/>
          <w:i/>
          <w:iCs/>
          <w:sz w:val="24"/>
          <w:szCs w:val="24"/>
        </w:rPr>
        <w:t>Journal of Cleaner Production, 359</w:t>
      </w:r>
      <w:r w:rsidRPr="00482872">
        <w:rPr>
          <w:rFonts w:ascii="Times New Roman" w:eastAsia="Times New Roman" w:hAnsi="Times New Roman" w:cs="Times New Roman"/>
          <w:sz w:val="24"/>
          <w:szCs w:val="24"/>
        </w:rPr>
        <w:t>, 132083.</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Roos, N., Sassen, R., &amp; Guenther, E. (2023). Sustainability governance. </w:t>
      </w:r>
      <w:r w:rsidRPr="00482872">
        <w:rPr>
          <w:rFonts w:ascii="Times New Roman" w:eastAsia="Times New Roman" w:hAnsi="Times New Roman" w:cs="Times New Roman"/>
          <w:i/>
          <w:iCs/>
          <w:sz w:val="24"/>
          <w:szCs w:val="24"/>
        </w:rPr>
        <w:t>International Journal of Sustainability in Higher Education, 24</w:t>
      </w:r>
      <w:r w:rsidRPr="00482872">
        <w:rPr>
          <w:rFonts w:ascii="Times New Roman" w:eastAsia="Times New Roman" w:hAnsi="Times New Roman" w:cs="Times New Roman"/>
          <w:sz w:val="24"/>
          <w:szCs w:val="24"/>
        </w:rPr>
        <w:t>(3), 553–583.</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Serafini, P. G., Moura, J. M. D., Almeida, M. R. D., &amp; Rezende, J. F. D. D. (2022). SDGs in HEIs: A systematic review. </w:t>
      </w:r>
      <w:r w:rsidRPr="00482872">
        <w:rPr>
          <w:rFonts w:ascii="Times New Roman" w:eastAsia="Times New Roman" w:hAnsi="Times New Roman" w:cs="Times New Roman"/>
          <w:i/>
          <w:iCs/>
          <w:sz w:val="24"/>
          <w:szCs w:val="24"/>
        </w:rPr>
        <w:t>Journal of Cleaner Production, 370</w:t>
      </w:r>
      <w:r w:rsidRPr="00482872">
        <w:rPr>
          <w:rFonts w:ascii="Times New Roman" w:eastAsia="Times New Roman" w:hAnsi="Times New Roman" w:cs="Times New Roman"/>
          <w:sz w:val="24"/>
          <w:szCs w:val="24"/>
        </w:rPr>
        <w:t>, 133473.</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Shrestha, P. (2024). Sustainability initiatives in HEIs. </w:t>
      </w:r>
      <w:r w:rsidRPr="00482872">
        <w:rPr>
          <w:rFonts w:ascii="Times New Roman" w:eastAsia="Times New Roman" w:hAnsi="Times New Roman" w:cs="Times New Roman"/>
          <w:i/>
          <w:iCs/>
          <w:sz w:val="24"/>
          <w:szCs w:val="24"/>
        </w:rPr>
        <w:t>Journal of Applied Research in Higher Education, 17</w:t>
      </w:r>
      <w:r w:rsidRPr="00482872">
        <w:rPr>
          <w:rFonts w:ascii="Times New Roman" w:eastAsia="Times New Roman" w:hAnsi="Times New Roman" w:cs="Times New Roman"/>
          <w:sz w:val="24"/>
          <w:szCs w:val="24"/>
        </w:rPr>
        <w:t>(4), 1394–1410.</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Tilbury, D. (2019). Higher education for sustainability. </w:t>
      </w:r>
      <w:r w:rsidRPr="00482872">
        <w:rPr>
          <w:rFonts w:ascii="Times New Roman" w:eastAsia="Times New Roman" w:hAnsi="Times New Roman" w:cs="Times New Roman"/>
          <w:i/>
          <w:iCs/>
          <w:sz w:val="24"/>
          <w:szCs w:val="24"/>
        </w:rPr>
        <w:t>International Journal of Sustainability in Higher Education, 20</w:t>
      </w:r>
      <w:r w:rsidRPr="00482872">
        <w:rPr>
          <w:rFonts w:ascii="Times New Roman" w:eastAsia="Times New Roman" w:hAnsi="Times New Roman" w:cs="Times New Roman"/>
          <w:sz w:val="24"/>
          <w:szCs w:val="24"/>
        </w:rPr>
        <w:t>(2), 6–52.</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Tranfield, D., Denyer, D., &amp; Smart, P. (2003). Systematic review methodology. </w:t>
      </w:r>
      <w:r w:rsidRPr="00482872">
        <w:rPr>
          <w:rFonts w:ascii="Times New Roman" w:eastAsia="Times New Roman" w:hAnsi="Times New Roman" w:cs="Times New Roman"/>
          <w:i/>
          <w:iCs/>
          <w:sz w:val="24"/>
          <w:szCs w:val="24"/>
        </w:rPr>
        <w:t>British Journal of Management, 14</w:t>
      </w:r>
      <w:r w:rsidRPr="00482872">
        <w:rPr>
          <w:rFonts w:ascii="Times New Roman" w:eastAsia="Times New Roman" w:hAnsi="Times New Roman" w:cs="Times New Roman"/>
          <w:sz w:val="24"/>
          <w:szCs w:val="24"/>
        </w:rPr>
        <w:t>(3), 207–222.</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Trinh, L. T., Hoang, T., &amp; Pham, P. (2025). Financial strategies for sustainability. </w:t>
      </w:r>
      <w:r w:rsidRPr="00482872">
        <w:rPr>
          <w:rFonts w:ascii="Times New Roman" w:eastAsia="Times New Roman" w:hAnsi="Times New Roman" w:cs="Times New Roman"/>
          <w:i/>
          <w:iCs/>
          <w:sz w:val="24"/>
          <w:szCs w:val="24"/>
        </w:rPr>
        <w:t>Sustainability, 17</w:t>
      </w:r>
      <w:r w:rsidRPr="00482872">
        <w:rPr>
          <w:rFonts w:ascii="Times New Roman" w:eastAsia="Times New Roman" w:hAnsi="Times New Roman" w:cs="Times New Roman"/>
          <w:sz w:val="24"/>
          <w:szCs w:val="24"/>
        </w:rPr>
        <w:t>(4).</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Wafa, W., Sharaai, A. H., Matthew, N. K., &amp; Akhundzada, N. A. (2025). Life cycle costing in HEIs. </w:t>
      </w:r>
      <w:r w:rsidRPr="00482872">
        <w:rPr>
          <w:rFonts w:ascii="Times New Roman" w:eastAsia="Times New Roman" w:hAnsi="Times New Roman" w:cs="Times New Roman"/>
          <w:i/>
          <w:iCs/>
          <w:sz w:val="24"/>
          <w:szCs w:val="24"/>
        </w:rPr>
        <w:t>Journal of Sustainability Research, 7</w:t>
      </w:r>
      <w:r w:rsidRPr="00482872">
        <w:rPr>
          <w:rFonts w:ascii="Times New Roman" w:eastAsia="Times New Roman" w:hAnsi="Times New Roman" w:cs="Times New Roman"/>
          <w:sz w:val="24"/>
          <w:szCs w:val="24"/>
        </w:rPr>
        <w:t>(1), e250016.</w:t>
      </w:r>
    </w:p>
    <w:p w:rsidR="00482872" w:rsidRPr="00482872" w:rsidRDefault="00482872" w:rsidP="00482872">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Wu, Y. C. J., &amp; Shen, J. P. (2016). Higher education for sustainable development. </w:t>
      </w:r>
      <w:r w:rsidRPr="00482872">
        <w:rPr>
          <w:rFonts w:ascii="Times New Roman" w:eastAsia="Times New Roman" w:hAnsi="Times New Roman" w:cs="Times New Roman"/>
          <w:i/>
          <w:iCs/>
          <w:sz w:val="24"/>
          <w:szCs w:val="24"/>
        </w:rPr>
        <w:t>International Journal of Sustainability in Higher Education, 17</w:t>
      </w:r>
      <w:r w:rsidRPr="00482872">
        <w:rPr>
          <w:rFonts w:ascii="Times New Roman" w:eastAsia="Times New Roman" w:hAnsi="Times New Roman" w:cs="Times New Roman"/>
          <w:sz w:val="24"/>
          <w:szCs w:val="24"/>
        </w:rPr>
        <w:t>(5), 633–651.</w:t>
      </w:r>
    </w:p>
    <w:p w:rsidR="00A2574C" w:rsidRPr="00482872" w:rsidRDefault="00482872" w:rsidP="00667E5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82872">
        <w:rPr>
          <w:rFonts w:ascii="Times New Roman" w:eastAsia="Times New Roman" w:hAnsi="Times New Roman" w:cs="Times New Roman"/>
          <w:sz w:val="24"/>
          <w:szCs w:val="24"/>
        </w:rPr>
        <w:t xml:space="preserve">Zhong, F., Ma, X., Jiang, X., Mao, Y., &amp; Lyu, X. (2024). Sustainability education and behavior. </w:t>
      </w:r>
      <w:r w:rsidRPr="00482872">
        <w:rPr>
          <w:rFonts w:ascii="Times New Roman" w:eastAsia="Times New Roman" w:hAnsi="Times New Roman" w:cs="Times New Roman"/>
          <w:i/>
          <w:iCs/>
          <w:sz w:val="24"/>
          <w:szCs w:val="24"/>
        </w:rPr>
        <w:t>International Journal of Sustainability in Higher Education</w:t>
      </w:r>
      <w:r w:rsidRPr="00482872">
        <w:rPr>
          <w:rFonts w:ascii="Times New Roman" w:eastAsia="Times New Roman" w:hAnsi="Times New Roman" w:cs="Times New Roman"/>
          <w:sz w:val="24"/>
          <w:szCs w:val="24"/>
        </w:rPr>
        <w:t>.</w:t>
      </w:r>
    </w:p>
    <w:sectPr w:rsidR="00A2574C" w:rsidRPr="00482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1326"/>
    <w:multiLevelType w:val="hybridMultilevel"/>
    <w:tmpl w:val="AF7CC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B15BC"/>
    <w:multiLevelType w:val="multilevel"/>
    <w:tmpl w:val="F53217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D910FF"/>
    <w:multiLevelType w:val="hybridMultilevel"/>
    <w:tmpl w:val="6356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D007A"/>
    <w:multiLevelType w:val="multilevel"/>
    <w:tmpl w:val="CC16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29174A"/>
    <w:multiLevelType w:val="multilevel"/>
    <w:tmpl w:val="69984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953DCE"/>
    <w:multiLevelType w:val="multilevel"/>
    <w:tmpl w:val="91EC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555BA8"/>
    <w:multiLevelType w:val="hybridMultilevel"/>
    <w:tmpl w:val="2E4A1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5B1BBE"/>
    <w:multiLevelType w:val="multilevel"/>
    <w:tmpl w:val="EF8C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570ED9"/>
    <w:multiLevelType w:val="hybridMultilevel"/>
    <w:tmpl w:val="A18AA5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AF0518"/>
    <w:multiLevelType w:val="hybridMultilevel"/>
    <w:tmpl w:val="16CE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8B528D"/>
    <w:multiLevelType w:val="multilevel"/>
    <w:tmpl w:val="F53217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762A35"/>
    <w:multiLevelType w:val="hybridMultilevel"/>
    <w:tmpl w:val="C52EF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9"/>
  </w:num>
  <w:num w:numId="5">
    <w:abstractNumId w:val="7"/>
  </w:num>
  <w:num w:numId="6">
    <w:abstractNumId w:val="1"/>
  </w:num>
  <w:num w:numId="7">
    <w:abstractNumId w:val="10"/>
  </w:num>
  <w:num w:numId="8">
    <w:abstractNumId w:val="3"/>
  </w:num>
  <w:num w:numId="9">
    <w:abstractNumId w:val="11"/>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50"/>
    <w:rsid w:val="00037B37"/>
    <w:rsid w:val="00093B66"/>
    <w:rsid w:val="00134D05"/>
    <w:rsid w:val="002327AE"/>
    <w:rsid w:val="002A52CB"/>
    <w:rsid w:val="00400580"/>
    <w:rsid w:val="004251D0"/>
    <w:rsid w:val="00467EDF"/>
    <w:rsid w:val="00477FD4"/>
    <w:rsid w:val="00482872"/>
    <w:rsid w:val="0053602C"/>
    <w:rsid w:val="005749EA"/>
    <w:rsid w:val="005A4E24"/>
    <w:rsid w:val="005E3564"/>
    <w:rsid w:val="006369BC"/>
    <w:rsid w:val="00667E50"/>
    <w:rsid w:val="006A7FB0"/>
    <w:rsid w:val="006E5746"/>
    <w:rsid w:val="00760E85"/>
    <w:rsid w:val="007A5CFA"/>
    <w:rsid w:val="008C4C94"/>
    <w:rsid w:val="009348C1"/>
    <w:rsid w:val="00A2574C"/>
    <w:rsid w:val="00A34849"/>
    <w:rsid w:val="00A908BA"/>
    <w:rsid w:val="00AC759E"/>
    <w:rsid w:val="00B57032"/>
    <w:rsid w:val="00BA62E6"/>
    <w:rsid w:val="00D02E04"/>
    <w:rsid w:val="00D1305B"/>
    <w:rsid w:val="00D9459B"/>
    <w:rsid w:val="00E44192"/>
    <w:rsid w:val="00E6081F"/>
    <w:rsid w:val="00E92411"/>
    <w:rsid w:val="00ED0192"/>
    <w:rsid w:val="00FB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74C"/>
    <w:pPr>
      <w:ind w:left="720"/>
      <w:contextualSpacing/>
    </w:pPr>
  </w:style>
  <w:style w:type="table" w:styleId="TableGrid">
    <w:name w:val="Table Grid"/>
    <w:basedOn w:val="TableNormal"/>
    <w:uiPriority w:val="39"/>
    <w:rsid w:val="00467E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67EDF"/>
    <w:pPr>
      <w:spacing w:after="0" w:line="240" w:lineRule="auto"/>
    </w:pPr>
  </w:style>
  <w:style w:type="character" w:styleId="Hyperlink">
    <w:name w:val="Hyperlink"/>
    <w:basedOn w:val="DefaultParagraphFont"/>
    <w:uiPriority w:val="99"/>
    <w:unhideWhenUsed/>
    <w:rsid w:val="00467EDF"/>
    <w:rPr>
      <w:color w:val="0563C1" w:themeColor="hyperlink"/>
      <w:u w:val="single"/>
    </w:rPr>
  </w:style>
  <w:style w:type="paragraph" w:styleId="NormalWeb">
    <w:name w:val="Normal (Web)"/>
    <w:basedOn w:val="Normal"/>
    <w:uiPriority w:val="99"/>
    <w:semiHidden/>
    <w:unhideWhenUsed/>
    <w:rsid w:val="00467E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7EDF"/>
    <w:rPr>
      <w:i/>
      <w:iCs/>
    </w:rPr>
  </w:style>
  <w:style w:type="table" w:customStyle="1" w:styleId="PlainTable1">
    <w:name w:val="Plain Table 1"/>
    <w:basedOn w:val="TableNormal"/>
    <w:uiPriority w:val="41"/>
    <w:rsid w:val="002A52C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74C"/>
    <w:pPr>
      <w:ind w:left="720"/>
      <w:contextualSpacing/>
    </w:pPr>
  </w:style>
  <w:style w:type="table" w:styleId="TableGrid">
    <w:name w:val="Table Grid"/>
    <w:basedOn w:val="TableNormal"/>
    <w:uiPriority w:val="39"/>
    <w:rsid w:val="00467E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67EDF"/>
    <w:pPr>
      <w:spacing w:after="0" w:line="240" w:lineRule="auto"/>
    </w:pPr>
  </w:style>
  <w:style w:type="character" w:styleId="Hyperlink">
    <w:name w:val="Hyperlink"/>
    <w:basedOn w:val="DefaultParagraphFont"/>
    <w:uiPriority w:val="99"/>
    <w:unhideWhenUsed/>
    <w:rsid w:val="00467EDF"/>
    <w:rPr>
      <w:color w:val="0563C1" w:themeColor="hyperlink"/>
      <w:u w:val="single"/>
    </w:rPr>
  </w:style>
  <w:style w:type="paragraph" w:styleId="NormalWeb">
    <w:name w:val="Normal (Web)"/>
    <w:basedOn w:val="Normal"/>
    <w:uiPriority w:val="99"/>
    <w:semiHidden/>
    <w:unhideWhenUsed/>
    <w:rsid w:val="00467E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7EDF"/>
    <w:rPr>
      <w:i/>
      <w:iCs/>
    </w:rPr>
  </w:style>
  <w:style w:type="table" w:customStyle="1" w:styleId="PlainTable1">
    <w:name w:val="Plain Table 1"/>
    <w:basedOn w:val="TableNormal"/>
    <w:uiPriority w:val="41"/>
    <w:rsid w:val="002A52C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652">
      <w:bodyDiv w:val="1"/>
      <w:marLeft w:val="0"/>
      <w:marRight w:val="0"/>
      <w:marTop w:val="0"/>
      <w:marBottom w:val="0"/>
      <w:divBdr>
        <w:top w:val="none" w:sz="0" w:space="0" w:color="auto"/>
        <w:left w:val="none" w:sz="0" w:space="0" w:color="auto"/>
        <w:bottom w:val="none" w:sz="0" w:space="0" w:color="auto"/>
        <w:right w:val="none" w:sz="0" w:space="0" w:color="auto"/>
      </w:divBdr>
    </w:div>
    <w:div w:id="56829211">
      <w:bodyDiv w:val="1"/>
      <w:marLeft w:val="0"/>
      <w:marRight w:val="0"/>
      <w:marTop w:val="0"/>
      <w:marBottom w:val="0"/>
      <w:divBdr>
        <w:top w:val="none" w:sz="0" w:space="0" w:color="auto"/>
        <w:left w:val="none" w:sz="0" w:space="0" w:color="auto"/>
        <w:bottom w:val="none" w:sz="0" w:space="0" w:color="auto"/>
        <w:right w:val="none" w:sz="0" w:space="0" w:color="auto"/>
      </w:divBdr>
    </w:div>
    <w:div w:id="78647140">
      <w:bodyDiv w:val="1"/>
      <w:marLeft w:val="0"/>
      <w:marRight w:val="0"/>
      <w:marTop w:val="0"/>
      <w:marBottom w:val="0"/>
      <w:divBdr>
        <w:top w:val="none" w:sz="0" w:space="0" w:color="auto"/>
        <w:left w:val="none" w:sz="0" w:space="0" w:color="auto"/>
        <w:bottom w:val="none" w:sz="0" w:space="0" w:color="auto"/>
        <w:right w:val="none" w:sz="0" w:space="0" w:color="auto"/>
      </w:divBdr>
    </w:div>
    <w:div w:id="245767152">
      <w:bodyDiv w:val="1"/>
      <w:marLeft w:val="0"/>
      <w:marRight w:val="0"/>
      <w:marTop w:val="0"/>
      <w:marBottom w:val="0"/>
      <w:divBdr>
        <w:top w:val="none" w:sz="0" w:space="0" w:color="auto"/>
        <w:left w:val="none" w:sz="0" w:space="0" w:color="auto"/>
        <w:bottom w:val="none" w:sz="0" w:space="0" w:color="auto"/>
        <w:right w:val="none" w:sz="0" w:space="0" w:color="auto"/>
      </w:divBdr>
    </w:div>
    <w:div w:id="256404432">
      <w:bodyDiv w:val="1"/>
      <w:marLeft w:val="0"/>
      <w:marRight w:val="0"/>
      <w:marTop w:val="0"/>
      <w:marBottom w:val="0"/>
      <w:divBdr>
        <w:top w:val="none" w:sz="0" w:space="0" w:color="auto"/>
        <w:left w:val="none" w:sz="0" w:space="0" w:color="auto"/>
        <w:bottom w:val="none" w:sz="0" w:space="0" w:color="auto"/>
        <w:right w:val="none" w:sz="0" w:space="0" w:color="auto"/>
      </w:divBdr>
    </w:div>
    <w:div w:id="262425605">
      <w:bodyDiv w:val="1"/>
      <w:marLeft w:val="0"/>
      <w:marRight w:val="0"/>
      <w:marTop w:val="0"/>
      <w:marBottom w:val="0"/>
      <w:divBdr>
        <w:top w:val="none" w:sz="0" w:space="0" w:color="auto"/>
        <w:left w:val="none" w:sz="0" w:space="0" w:color="auto"/>
        <w:bottom w:val="none" w:sz="0" w:space="0" w:color="auto"/>
        <w:right w:val="none" w:sz="0" w:space="0" w:color="auto"/>
      </w:divBdr>
    </w:div>
    <w:div w:id="310520775">
      <w:bodyDiv w:val="1"/>
      <w:marLeft w:val="0"/>
      <w:marRight w:val="0"/>
      <w:marTop w:val="0"/>
      <w:marBottom w:val="0"/>
      <w:divBdr>
        <w:top w:val="none" w:sz="0" w:space="0" w:color="auto"/>
        <w:left w:val="none" w:sz="0" w:space="0" w:color="auto"/>
        <w:bottom w:val="none" w:sz="0" w:space="0" w:color="auto"/>
        <w:right w:val="none" w:sz="0" w:space="0" w:color="auto"/>
      </w:divBdr>
    </w:div>
    <w:div w:id="556867115">
      <w:bodyDiv w:val="1"/>
      <w:marLeft w:val="0"/>
      <w:marRight w:val="0"/>
      <w:marTop w:val="0"/>
      <w:marBottom w:val="0"/>
      <w:divBdr>
        <w:top w:val="none" w:sz="0" w:space="0" w:color="auto"/>
        <w:left w:val="none" w:sz="0" w:space="0" w:color="auto"/>
        <w:bottom w:val="none" w:sz="0" w:space="0" w:color="auto"/>
        <w:right w:val="none" w:sz="0" w:space="0" w:color="auto"/>
      </w:divBdr>
    </w:div>
    <w:div w:id="797991847">
      <w:bodyDiv w:val="1"/>
      <w:marLeft w:val="0"/>
      <w:marRight w:val="0"/>
      <w:marTop w:val="0"/>
      <w:marBottom w:val="0"/>
      <w:divBdr>
        <w:top w:val="none" w:sz="0" w:space="0" w:color="auto"/>
        <w:left w:val="none" w:sz="0" w:space="0" w:color="auto"/>
        <w:bottom w:val="none" w:sz="0" w:space="0" w:color="auto"/>
        <w:right w:val="none" w:sz="0" w:space="0" w:color="auto"/>
      </w:divBdr>
    </w:div>
    <w:div w:id="931815867">
      <w:bodyDiv w:val="1"/>
      <w:marLeft w:val="0"/>
      <w:marRight w:val="0"/>
      <w:marTop w:val="0"/>
      <w:marBottom w:val="0"/>
      <w:divBdr>
        <w:top w:val="none" w:sz="0" w:space="0" w:color="auto"/>
        <w:left w:val="none" w:sz="0" w:space="0" w:color="auto"/>
        <w:bottom w:val="none" w:sz="0" w:space="0" w:color="auto"/>
        <w:right w:val="none" w:sz="0" w:space="0" w:color="auto"/>
      </w:divBdr>
    </w:div>
    <w:div w:id="946348231">
      <w:bodyDiv w:val="1"/>
      <w:marLeft w:val="0"/>
      <w:marRight w:val="0"/>
      <w:marTop w:val="0"/>
      <w:marBottom w:val="0"/>
      <w:divBdr>
        <w:top w:val="none" w:sz="0" w:space="0" w:color="auto"/>
        <w:left w:val="none" w:sz="0" w:space="0" w:color="auto"/>
        <w:bottom w:val="none" w:sz="0" w:space="0" w:color="auto"/>
        <w:right w:val="none" w:sz="0" w:space="0" w:color="auto"/>
      </w:divBdr>
    </w:div>
    <w:div w:id="969551923">
      <w:bodyDiv w:val="1"/>
      <w:marLeft w:val="0"/>
      <w:marRight w:val="0"/>
      <w:marTop w:val="0"/>
      <w:marBottom w:val="0"/>
      <w:divBdr>
        <w:top w:val="none" w:sz="0" w:space="0" w:color="auto"/>
        <w:left w:val="none" w:sz="0" w:space="0" w:color="auto"/>
        <w:bottom w:val="none" w:sz="0" w:space="0" w:color="auto"/>
        <w:right w:val="none" w:sz="0" w:space="0" w:color="auto"/>
      </w:divBdr>
    </w:div>
    <w:div w:id="1084111129">
      <w:bodyDiv w:val="1"/>
      <w:marLeft w:val="0"/>
      <w:marRight w:val="0"/>
      <w:marTop w:val="0"/>
      <w:marBottom w:val="0"/>
      <w:divBdr>
        <w:top w:val="none" w:sz="0" w:space="0" w:color="auto"/>
        <w:left w:val="none" w:sz="0" w:space="0" w:color="auto"/>
        <w:bottom w:val="none" w:sz="0" w:space="0" w:color="auto"/>
        <w:right w:val="none" w:sz="0" w:space="0" w:color="auto"/>
      </w:divBdr>
    </w:div>
    <w:div w:id="1127548351">
      <w:bodyDiv w:val="1"/>
      <w:marLeft w:val="0"/>
      <w:marRight w:val="0"/>
      <w:marTop w:val="0"/>
      <w:marBottom w:val="0"/>
      <w:divBdr>
        <w:top w:val="none" w:sz="0" w:space="0" w:color="auto"/>
        <w:left w:val="none" w:sz="0" w:space="0" w:color="auto"/>
        <w:bottom w:val="none" w:sz="0" w:space="0" w:color="auto"/>
        <w:right w:val="none" w:sz="0" w:space="0" w:color="auto"/>
      </w:divBdr>
    </w:div>
    <w:div w:id="1408258711">
      <w:bodyDiv w:val="1"/>
      <w:marLeft w:val="0"/>
      <w:marRight w:val="0"/>
      <w:marTop w:val="0"/>
      <w:marBottom w:val="0"/>
      <w:divBdr>
        <w:top w:val="none" w:sz="0" w:space="0" w:color="auto"/>
        <w:left w:val="none" w:sz="0" w:space="0" w:color="auto"/>
        <w:bottom w:val="none" w:sz="0" w:space="0" w:color="auto"/>
        <w:right w:val="none" w:sz="0" w:space="0" w:color="auto"/>
      </w:divBdr>
    </w:div>
    <w:div w:id="1426262478">
      <w:bodyDiv w:val="1"/>
      <w:marLeft w:val="0"/>
      <w:marRight w:val="0"/>
      <w:marTop w:val="0"/>
      <w:marBottom w:val="0"/>
      <w:divBdr>
        <w:top w:val="none" w:sz="0" w:space="0" w:color="auto"/>
        <w:left w:val="none" w:sz="0" w:space="0" w:color="auto"/>
        <w:bottom w:val="none" w:sz="0" w:space="0" w:color="auto"/>
        <w:right w:val="none" w:sz="0" w:space="0" w:color="auto"/>
      </w:divBdr>
    </w:div>
    <w:div w:id="1613437846">
      <w:bodyDiv w:val="1"/>
      <w:marLeft w:val="0"/>
      <w:marRight w:val="0"/>
      <w:marTop w:val="0"/>
      <w:marBottom w:val="0"/>
      <w:divBdr>
        <w:top w:val="none" w:sz="0" w:space="0" w:color="auto"/>
        <w:left w:val="none" w:sz="0" w:space="0" w:color="auto"/>
        <w:bottom w:val="none" w:sz="0" w:space="0" w:color="auto"/>
        <w:right w:val="none" w:sz="0" w:space="0" w:color="auto"/>
      </w:divBdr>
    </w:div>
    <w:div w:id="1615095832">
      <w:bodyDiv w:val="1"/>
      <w:marLeft w:val="0"/>
      <w:marRight w:val="0"/>
      <w:marTop w:val="0"/>
      <w:marBottom w:val="0"/>
      <w:divBdr>
        <w:top w:val="none" w:sz="0" w:space="0" w:color="auto"/>
        <w:left w:val="none" w:sz="0" w:space="0" w:color="auto"/>
        <w:bottom w:val="none" w:sz="0" w:space="0" w:color="auto"/>
        <w:right w:val="none" w:sz="0" w:space="0" w:color="auto"/>
      </w:divBdr>
    </w:div>
    <w:div w:id="1859585823">
      <w:bodyDiv w:val="1"/>
      <w:marLeft w:val="0"/>
      <w:marRight w:val="0"/>
      <w:marTop w:val="0"/>
      <w:marBottom w:val="0"/>
      <w:divBdr>
        <w:top w:val="none" w:sz="0" w:space="0" w:color="auto"/>
        <w:left w:val="none" w:sz="0" w:space="0" w:color="auto"/>
        <w:bottom w:val="none" w:sz="0" w:space="0" w:color="auto"/>
        <w:right w:val="none" w:sz="0" w:space="0" w:color="auto"/>
      </w:divBdr>
    </w:div>
    <w:div w:id="1939439545">
      <w:bodyDiv w:val="1"/>
      <w:marLeft w:val="0"/>
      <w:marRight w:val="0"/>
      <w:marTop w:val="0"/>
      <w:marBottom w:val="0"/>
      <w:divBdr>
        <w:top w:val="none" w:sz="0" w:space="0" w:color="auto"/>
        <w:left w:val="none" w:sz="0" w:space="0" w:color="auto"/>
        <w:bottom w:val="none" w:sz="0" w:space="0" w:color="auto"/>
        <w:right w:val="none" w:sz="0" w:space="0" w:color="auto"/>
      </w:divBdr>
    </w:div>
    <w:div w:id="203503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s10639-023-12025-8" TargetMode="External"/><Relationship Id="rId18" Type="http://schemas.openxmlformats.org/officeDocument/2006/relationships/hyperlink" Target="https://doi.org/10.1016/j.jclepro.2021.126320" TargetMode="External"/><Relationship Id="rId3" Type="http://schemas.openxmlformats.org/officeDocument/2006/relationships/styles" Target="styles.xml"/><Relationship Id="rId21" Type="http://schemas.openxmlformats.org/officeDocument/2006/relationships/hyperlink" Target="https://doi.org/10.1108/IJSHE-10-2015-0174" TargetMode="External"/><Relationship Id="rId7" Type="http://schemas.openxmlformats.org/officeDocument/2006/relationships/image" Target="media/image1.png"/><Relationship Id="rId12" Type="http://schemas.openxmlformats.org/officeDocument/2006/relationships/hyperlink" Target="https://doi.org/10.1108/SAMPJ-07-2023-0455" TargetMode="External"/><Relationship Id="rId17" Type="http://schemas.openxmlformats.org/officeDocument/2006/relationships/hyperlink" Target="https://doi.org/10.1108/14676371311312879" TargetMode="External"/><Relationship Id="rId2" Type="http://schemas.openxmlformats.org/officeDocument/2006/relationships/numbering" Target="numbering.xml"/><Relationship Id="rId16" Type="http://schemas.openxmlformats.org/officeDocument/2006/relationships/hyperlink" Target="https://doi.org/10.1108/IJSHE-10-2019-0309" TargetMode="External"/><Relationship Id="rId20" Type="http://schemas.openxmlformats.org/officeDocument/2006/relationships/hyperlink" Target="https://doi.org/10.3303/CET241130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8/IJSHE-10-2019-030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07/s11205-022-02956-z" TargetMode="External"/><Relationship Id="rId23" Type="http://schemas.openxmlformats.org/officeDocument/2006/relationships/fontTable" Target="fontTable.xml"/><Relationship Id="rId10" Type="http://schemas.openxmlformats.org/officeDocument/2006/relationships/hyperlink" Target="https://doi.org/10.1007/978-3-030-26759-9_57" TargetMode="External"/><Relationship Id="rId19" Type="http://schemas.openxmlformats.org/officeDocument/2006/relationships/hyperlink" Target="https://doi.org/10.1007/978-3-319-47877-7_13" TargetMode="External"/><Relationship Id="rId4" Type="http://schemas.microsoft.com/office/2007/relationships/stylesWithEffects" Target="stylesWithEffects.xml"/><Relationship Id="rId9" Type="http://schemas.openxmlformats.org/officeDocument/2006/relationships/hyperlink" Target="https://doi.org/10.3389/feduc.2024.1413687" TargetMode="External"/><Relationship Id="rId14" Type="http://schemas.openxmlformats.org/officeDocument/2006/relationships/hyperlink" Target="https://doi.org/10.1108/IJSHE-10-2019-0292" TargetMode="External"/><Relationship Id="rId22" Type="http://schemas.openxmlformats.org/officeDocument/2006/relationships/hyperlink" Target="https://doi.org/10.3390/su16053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72BF-B2E5-43D7-A2D1-D44309B7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6108</Words>
  <Characters>34816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2026-03-20T11:38:00Z</dcterms:created>
  <dcterms:modified xsi:type="dcterms:W3CDTF">2026-03-21T11:43:00Z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e422c62b-1c11-424b-86fe-481c6c6b3b1b</vt:lpwstr>
  </property>
</Properties>
</file>