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9B" w:rsidRPr="00A807F2" w:rsidRDefault="006F599B">
      <w:pPr>
        <w:pStyle w:val="Heading1"/>
        <w:spacing w:before="287"/>
        <w:ind w:left="0" w:right="363" w:firstLine="0"/>
        <w:jc w:val="center"/>
      </w:pPr>
      <w:bookmarkStart w:id="0" w:name="Abstract"/>
      <w:bookmarkEnd w:id="0"/>
      <w:r w:rsidRPr="00A807F2">
        <w:t>A study on Financial Technology and Its Impact on Advancing Financial Inclusion in Banking Services</w:t>
      </w:r>
    </w:p>
    <w:p w:rsidR="00F21BF6" w:rsidRPr="00A807F2" w:rsidRDefault="00F21BF6">
      <w:pPr>
        <w:pStyle w:val="Heading1"/>
        <w:spacing w:before="287"/>
        <w:ind w:left="0" w:right="363" w:firstLine="0"/>
        <w:contextualSpacing/>
        <w:jc w:val="center"/>
      </w:pPr>
    </w:p>
    <w:p w:rsidR="003C3944" w:rsidRDefault="0056298B">
      <w:pPr>
        <w:pStyle w:val="Heading1"/>
        <w:spacing w:before="287"/>
        <w:ind w:left="0" w:right="363" w:firstLine="0"/>
        <w:jc w:val="center"/>
      </w:pPr>
      <w:bookmarkStart w:id="1" w:name="_GoBack"/>
      <w:bookmarkEnd w:id="1"/>
      <w:r>
        <w:rPr>
          <w:spacing w:val="-2"/>
        </w:rPr>
        <w:t>Abstract</w:t>
      </w:r>
    </w:p>
    <w:p w:rsidR="00A807F2" w:rsidRPr="00A807F2" w:rsidRDefault="00A807F2" w:rsidP="00A807F2">
      <w:pPr>
        <w:pStyle w:val="NormalWeb"/>
        <w:spacing w:line="360" w:lineRule="auto"/>
        <w:jc w:val="both"/>
      </w:pPr>
      <w:r w:rsidRPr="00A807F2">
        <w:t>This study explores how financial technology (</w:t>
      </w:r>
      <w:proofErr w:type="spellStart"/>
      <w:r w:rsidRPr="00A807F2">
        <w:t>FinTech</w:t>
      </w:r>
      <w:proofErr w:type="spellEnd"/>
      <w:r w:rsidRPr="00A807F2">
        <w:t xml:space="preserve">) influences financial inclusion in banking services, with particular emphasis on emerging economies. An analysis of global panel data from 2012 to 2024 indicates that </w:t>
      </w:r>
      <w:proofErr w:type="spellStart"/>
      <w:r w:rsidRPr="00A807F2">
        <w:t>FinTech</w:t>
      </w:r>
      <w:proofErr w:type="spellEnd"/>
      <w:r w:rsidRPr="00A807F2">
        <w:t xml:space="preserve"> does not have a statistically significant effect on financial inclusion in developed economies. However, in developing regions such as India and parts of Africa, it demonstrates a strong positive impact, especially by increasing digital account ownership and the use of mobile-based financial services. A review of existing literature supports these findings, showing that innovations such as mobile payments, peer-to-peer (P2P) lending, and digital wallets improve access to financial services in rural and underserved areas. However, their effectiveness depends on factors like digital infrastructure, user literacy, and trust in technology. Case studies from India and Africa further highlight regional differences. In Africa, </w:t>
      </w:r>
      <w:proofErr w:type="spellStart"/>
      <w:r w:rsidRPr="00A807F2">
        <w:t>FinTech</w:t>
      </w:r>
      <w:proofErr w:type="spellEnd"/>
      <w:r w:rsidRPr="00A807F2">
        <w:t xml:space="preserve"> has contributed to greater financial awareness and increased mobile transaction usage, though its overall impact is limited by low levels of financial literacy and restricted internet access. In India, platforms such as UPI, P2P </w:t>
      </w:r>
      <w:proofErr w:type="gramStart"/>
      <w:r w:rsidRPr="00A807F2">
        <w:t>lending</w:t>
      </w:r>
      <w:proofErr w:type="gramEnd"/>
      <w:r w:rsidRPr="00A807F2">
        <w:t xml:space="preserve"> systems, and rural banking networks have expanded financial access, but adoption continues to face challenges related to technology gaps and regulatory issues. Despite its advantages, </w:t>
      </w:r>
      <w:proofErr w:type="spellStart"/>
      <w:r w:rsidRPr="00A807F2">
        <w:t>FinTech</w:t>
      </w:r>
      <w:proofErr w:type="spellEnd"/>
      <w:r w:rsidRPr="00A807F2">
        <w:t xml:space="preserve"> also presents risks, including algorithmic bias, </w:t>
      </w:r>
      <w:proofErr w:type="spellStart"/>
      <w:r w:rsidRPr="00A807F2">
        <w:t>cybersecurity</w:t>
      </w:r>
      <w:proofErr w:type="spellEnd"/>
      <w:r w:rsidRPr="00A807F2">
        <w:t xml:space="preserve"> threats, regulatory limitations, and the possibility of increased household debt. Moreover, while it helps reduce disparities between rural and urban populations and improves wealth distribution to some extent, it has not significantly addressed gender-based financial inclusion without targeted interventions. </w:t>
      </w:r>
    </w:p>
    <w:p w:rsidR="00A807F2" w:rsidRPr="00A807F2" w:rsidRDefault="00A807F2" w:rsidP="00A807F2">
      <w:pPr>
        <w:pStyle w:val="NormalWeb"/>
        <w:spacing w:line="360" w:lineRule="auto"/>
        <w:jc w:val="both"/>
      </w:pPr>
      <w:r w:rsidRPr="00A807F2">
        <w:t xml:space="preserve">In conclusion, </w:t>
      </w:r>
      <w:proofErr w:type="spellStart"/>
      <w:r w:rsidRPr="00A807F2">
        <w:t>FinTech</w:t>
      </w:r>
      <w:proofErr w:type="spellEnd"/>
      <w:r w:rsidRPr="00A807F2">
        <w:t xml:space="preserve"> holds considerable promise for enhancing financial inclusion in underserved markets. Nevertheless, achieving its full potential requires a comprehensive strategy that includes improving digital and financial literacy, strengthening technological infrastructure, ensuring transparency in automated systems, and developing regulatory frameworks that balance innovation with consumer protection.</w:t>
      </w:r>
    </w:p>
    <w:p w:rsidR="003C3944" w:rsidRPr="00D8564B" w:rsidRDefault="0056298B">
      <w:pPr>
        <w:spacing w:line="242" w:lineRule="auto"/>
        <w:rPr>
          <w:sz w:val="24"/>
        </w:rPr>
      </w:pPr>
      <w:proofErr w:type="spellStart"/>
      <w:r w:rsidRPr="00D8564B">
        <w:rPr>
          <w:sz w:val="24"/>
        </w:rPr>
        <w:t>KeyWords</w:t>
      </w:r>
      <w:proofErr w:type="spellEnd"/>
      <w:r w:rsidRPr="00D8564B">
        <w:rPr>
          <w:sz w:val="24"/>
        </w:rPr>
        <w:t>:</w:t>
      </w:r>
      <w:r w:rsidR="00D8564B">
        <w:rPr>
          <w:sz w:val="24"/>
        </w:rPr>
        <w:t xml:space="preserve"> </w:t>
      </w:r>
      <w:proofErr w:type="spellStart"/>
      <w:r w:rsidRPr="00D8564B">
        <w:rPr>
          <w:sz w:val="24"/>
        </w:rPr>
        <w:t>Fintech</w:t>
      </w:r>
      <w:proofErr w:type="spellEnd"/>
      <w:r w:rsidRPr="00D8564B">
        <w:rPr>
          <w:sz w:val="24"/>
        </w:rPr>
        <w:t>,</w:t>
      </w:r>
      <w:r w:rsidR="00D8564B">
        <w:rPr>
          <w:sz w:val="24"/>
        </w:rPr>
        <w:t xml:space="preserve"> </w:t>
      </w:r>
      <w:proofErr w:type="spellStart"/>
      <w:r w:rsidRPr="00D8564B">
        <w:rPr>
          <w:sz w:val="24"/>
        </w:rPr>
        <w:t>MobilePayments</w:t>
      </w:r>
      <w:proofErr w:type="spellEnd"/>
      <w:r w:rsidRPr="00D8564B">
        <w:rPr>
          <w:sz w:val="24"/>
        </w:rPr>
        <w:t>, Mobile</w:t>
      </w:r>
      <w:r w:rsidR="00D8564B">
        <w:rPr>
          <w:sz w:val="24"/>
        </w:rPr>
        <w:t xml:space="preserve"> </w:t>
      </w:r>
      <w:r w:rsidRPr="00D8564B">
        <w:rPr>
          <w:sz w:val="24"/>
        </w:rPr>
        <w:t>Banking,</w:t>
      </w:r>
      <w:r w:rsidR="00D8564B">
        <w:rPr>
          <w:sz w:val="24"/>
        </w:rPr>
        <w:t xml:space="preserve"> </w:t>
      </w:r>
      <w:r w:rsidRPr="00D8564B">
        <w:rPr>
          <w:sz w:val="24"/>
        </w:rPr>
        <w:t>Peer</w:t>
      </w:r>
      <w:r w:rsidR="00D8564B">
        <w:rPr>
          <w:sz w:val="24"/>
        </w:rPr>
        <w:t xml:space="preserve"> </w:t>
      </w:r>
      <w:r w:rsidRPr="00D8564B">
        <w:rPr>
          <w:sz w:val="24"/>
        </w:rPr>
        <w:t>to</w:t>
      </w:r>
      <w:r w:rsidR="00D8564B">
        <w:rPr>
          <w:sz w:val="24"/>
        </w:rPr>
        <w:t xml:space="preserve"> </w:t>
      </w:r>
      <w:r w:rsidRPr="00D8564B">
        <w:rPr>
          <w:sz w:val="24"/>
        </w:rPr>
        <w:t>Peer</w:t>
      </w:r>
      <w:r w:rsidR="00D8564B">
        <w:rPr>
          <w:sz w:val="24"/>
        </w:rPr>
        <w:t xml:space="preserve"> </w:t>
      </w:r>
      <w:proofErr w:type="gramStart"/>
      <w:r w:rsidRPr="00D8564B">
        <w:rPr>
          <w:sz w:val="24"/>
        </w:rPr>
        <w:t>lending(</w:t>
      </w:r>
      <w:proofErr w:type="gramEnd"/>
      <w:r w:rsidRPr="00D8564B">
        <w:rPr>
          <w:sz w:val="24"/>
        </w:rPr>
        <w:t>P2P),</w:t>
      </w:r>
      <w:r w:rsidR="00D8564B">
        <w:rPr>
          <w:sz w:val="24"/>
        </w:rPr>
        <w:t xml:space="preserve"> </w:t>
      </w:r>
      <w:r w:rsidRPr="00D8564B">
        <w:rPr>
          <w:sz w:val="24"/>
        </w:rPr>
        <w:t>Digital Wallets, Rural Baking, Financial inclusion,</w:t>
      </w:r>
    </w:p>
    <w:p w:rsidR="003C3944" w:rsidRDefault="003C3944">
      <w:pPr>
        <w:spacing w:line="242" w:lineRule="auto"/>
        <w:rPr>
          <w:b/>
          <w:sz w:val="24"/>
        </w:rPr>
        <w:sectPr w:rsidR="003C3944" w:rsidSect="006F599B">
          <w:type w:val="continuous"/>
          <w:pgSz w:w="12240" w:h="15840"/>
          <w:pgMar w:top="709" w:right="1080" w:bottom="280" w:left="1440" w:header="720" w:footer="720" w:gutter="0"/>
          <w:cols w:space="720"/>
        </w:sectPr>
      </w:pPr>
    </w:p>
    <w:p w:rsidR="003C3944" w:rsidRDefault="0056298B">
      <w:pPr>
        <w:pStyle w:val="Heading1"/>
        <w:numPr>
          <w:ilvl w:val="0"/>
          <w:numId w:val="4"/>
        </w:numPr>
        <w:tabs>
          <w:tab w:val="left" w:pos="282"/>
        </w:tabs>
        <w:spacing w:before="208"/>
        <w:ind w:left="282" w:hanging="282"/>
      </w:pPr>
      <w:bookmarkStart w:id="2" w:name="1._Introduction"/>
      <w:bookmarkEnd w:id="2"/>
      <w:r>
        <w:rPr>
          <w:spacing w:val="-2"/>
        </w:rPr>
        <w:lastRenderedPageBreak/>
        <w:t>Introduction</w:t>
      </w:r>
    </w:p>
    <w:p w:rsidR="00D8564B" w:rsidRDefault="00D8564B" w:rsidP="00D8564B">
      <w:pPr>
        <w:pStyle w:val="BodyText"/>
        <w:spacing w:before="15" w:line="360" w:lineRule="auto"/>
        <w:jc w:val="both"/>
      </w:pPr>
    </w:p>
    <w:p w:rsidR="003C3944" w:rsidRDefault="00D8564B" w:rsidP="00D8564B">
      <w:pPr>
        <w:pStyle w:val="BodyText"/>
        <w:spacing w:before="15" w:line="360" w:lineRule="auto"/>
        <w:jc w:val="both"/>
      </w:pPr>
      <w:r>
        <w:t>Financial inclusion refers to the provision of accessible and affordable financial services to all individuals, particularly those from economically weaker sections of society. Conventional banking systems have historically faced challenges in reaching people in remote areas and low-income groups. The rise of financial technology (</w:t>
      </w:r>
      <w:proofErr w:type="spellStart"/>
      <w:r>
        <w:t>FinTech</w:t>
      </w:r>
      <w:proofErr w:type="spellEnd"/>
      <w:r>
        <w:t>), driven by digital innovation, has introduced new opportunities to bridge this gap and expand the reach of financial services.</w:t>
      </w:r>
    </w:p>
    <w:p w:rsidR="00D8564B" w:rsidRDefault="00D8564B">
      <w:pPr>
        <w:rPr>
          <w:b/>
          <w:sz w:val="24"/>
        </w:rPr>
      </w:pPr>
    </w:p>
    <w:p w:rsidR="003C3944" w:rsidRPr="00FC5C27" w:rsidRDefault="0056298B" w:rsidP="00FC5C27">
      <w:pPr>
        <w:pStyle w:val="ListParagraph"/>
        <w:numPr>
          <w:ilvl w:val="0"/>
          <w:numId w:val="4"/>
        </w:numPr>
        <w:rPr>
          <w:b/>
          <w:sz w:val="24"/>
        </w:rPr>
      </w:pPr>
      <w:r w:rsidRPr="00FC5C27">
        <w:rPr>
          <w:b/>
          <w:sz w:val="24"/>
        </w:rPr>
        <w:t>Research</w:t>
      </w:r>
      <w:r w:rsidR="00FC5C27" w:rsidRPr="00FC5C27">
        <w:rPr>
          <w:b/>
          <w:sz w:val="24"/>
        </w:rPr>
        <w:t xml:space="preserve"> </w:t>
      </w:r>
      <w:r w:rsidRPr="00FC5C27">
        <w:rPr>
          <w:b/>
          <w:spacing w:val="-2"/>
          <w:sz w:val="24"/>
        </w:rPr>
        <w:t>Objectives:</w:t>
      </w:r>
    </w:p>
    <w:p w:rsidR="00FC5C27" w:rsidRDefault="00776102" w:rsidP="00FC5C27">
      <w:pPr>
        <w:pStyle w:val="NormalWeb"/>
        <w:spacing w:line="360" w:lineRule="auto"/>
        <w:contextualSpacing/>
      </w:pPr>
      <w:r>
        <w:rPr>
          <w:rFonts w:hAnsi="Symbol"/>
        </w:rPr>
        <w:t></w:t>
      </w:r>
      <w:r>
        <w:t xml:space="preserve"> </w:t>
      </w:r>
      <w:proofErr w:type="gramStart"/>
      <w:r>
        <w:t>To</w:t>
      </w:r>
      <w:proofErr w:type="gramEnd"/>
      <w:r w:rsidR="00FC5C27">
        <w:t xml:space="preserve"> analyze the impact of financial technology (</w:t>
      </w:r>
      <w:proofErr w:type="spellStart"/>
      <w:r w:rsidR="00FC5C27">
        <w:t>FinTech</w:t>
      </w:r>
      <w:proofErr w:type="spellEnd"/>
      <w:r w:rsidR="00FC5C27">
        <w:t>) on financial inclusion.</w:t>
      </w:r>
    </w:p>
    <w:p w:rsidR="00FC5C27" w:rsidRDefault="00776102" w:rsidP="00FC5C27">
      <w:pPr>
        <w:pStyle w:val="NormalWeb"/>
        <w:spacing w:line="360" w:lineRule="auto"/>
        <w:contextualSpacing/>
      </w:pPr>
      <w:r>
        <w:rPr>
          <w:rFonts w:hAnsi="Symbol"/>
        </w:rPr>
        <w:t></w:t>
      </w:r>
      <w:r>
        <w:t xml:space="preserve"> </w:t>
      </w:r>
      <w:proofErr w:type="gramStart"/>
      <w:r>
        <w:t>To</w:t>
      </w:r>
      <w:proofErr w:type="gramEnd"/>
      <w:r w:rsidR="00FC5C27">
        <w:t xml:space="preserve"> examine how </w:t>
      </w:r>
      <w:proofErr w:type="spellStart"/>
      <w:r w:rsidR="00FC5C27">
        <w:t>FinTech</w:t>
      </w:r>
      <w:proofErr w:type="spellEnd"/>
      <w:r w:rsidR="00FC5C27">
        <w:t xml:space="preserve"> platforms enhance the delivery of banking services.</w:t>
      </w:r>
    </w:p>
    <w:p w:rsidR="00FC5C27" w:rsidRDefault="00776102" w:rsidP="00FC5C27">
      <w:pPr>
        <w:pStyle w:val="NormalWeb"/>
        <w:spacing w:line="360" w:lineRule="auto"/>
        <w:contextualSpacing/>
      </w:pPr>
      <w:r>
        <w:rPr>
          <w:rFonts w:hAnsi="Symbol"/>
        </w:rPr>
        <w:t></w:t>
      </w:r>
      <w:r>
        <w:t xml:space="preserve"> </w:t>
      </w:r>
      <w:proofErr w:type="gramStart"/>
      <w:r>
        <w:t>To</w:t>
      </w:r>
      <w:proofErr w:type="gramEnd"/>
      <w:r w:rsidR="00FC5C27">
        <w:t xml:space="preserve"> identify the challenges associated with using </w:t>
      </w:r>
      <w:proofErr w:type="spellStart"/>
      <w:r w:rsidR="00FC5C27">
        <w:t>FinTech</w:t>
      </w:r>
      <w:proofErr w:type="spellEnd"/>
      <w:r w:rsidR="00FC5C27">
        <w:t xml:space="preserve"> for inclusive banking.</w:t>
      </w:r>
    </w:p>
    <w:p w:rsidR="007F13AF" w:rsidRDefault="007F13AF" w:rsidP="007F13AF">
      <w:pPr>
        <w:pStyle w:val="Heading1"/>
        <w:numPr>
          <w:ilvl w:val="0"/>
          <w:numId w:val="4"/>
        </w:numPr>
        <w:tabs>
          <w:tab w:val="left" w:pos="277"/>
        </w:tabs>
        <w:ind w:left="277" w:hanging="277"/>
      </w:pPr>
      <w:r>
        <w:rPr>
          <w:spacing w:val="-2"/>
        </w:rPr>
        <w:t>Methodology</w:t>
      </w:r>
    </w:p>
    <w:p w:rsidR="007F13AF" w:rsidRPr="007F13AF" w:rsidRDefault="007F13AF" w:rsidP="007F13AF">
      <w:pPr>
        <w:pStyle w:val="Heading1"/>
        <w:tabs>
          <w:tab w:val="left" w:pos="278"/>
        </w:tabs>
        <w:spacing w:before="263" w:line="360" w:lineRule="auto"/>
        <w:ind w:left="278" w:firstLine="0"/>
        <w:jc w:val="both"/>
        <w:rPr>
          <w:b w:val="0"/>
          <w:sz w:val="24"/>
          <w:szCs w:val="24"/>
        </w:rPr>
      </w:pPr>
      <w:bookmarkStart w:id="3" w:name="4._Findings_and_Discussion"/>
      <w:bookmarkEnd w:id="3"/>
      <w:r w:rsidRPr="007F13AF">
        <w:rPr>
          <w:b w:val="0"/>
          <w:sz w:val="24"/>
          <w:szCs w:val="24"/>
        </w:rPr>
        <w:t>This study adopts a descriptive research design and is based on secondary data sources, including academic journals, government reports, and online materials related to financial technology and financial inclusion in India. To achieve the objectives of the study, relevant tables and figures have been utilized for the analysis and presentation of data.</w:t>
      </w:r>
    </w:p>
    <w:p w:rsidR="003C3944" w:rsidRDefault="003C3944">
      <w:pPr>
        <w:pStyle w:val="BodyText"/>
        <w:spacing w:before="7"/>
      </w:pPr>
    </w:p>
    <w:p w:rsidR="003C3944" w:rsidRDefault="0056298B">
      <w:pPr>
        <w:pStyle w:val="Heading1"/>
        <w:numPr>
          <w:ilvl w:val="0"/>
          <w:numId w:val="4"/>
        </w:numPr>
        <w:tabs>
          <w:tab w:val="left" w:pos="282"/>
        </w:tabs>
        <w:ind w:left="282" w:hanging="282"/>
      </w:pPr>
      <w:bookmarkStart w:id="4" w:name="2._Literature_Review"/>
      <w:bookmarkEnd w:id="4"/>
      <w:r>
        <w:t>Literature</w:t>
      </w:r>
      <w:r w:rsidR="005F2714">
        <w:t xml:space="preserve"> </w:t>
      </w:r>
      <w:r>
        <w:rPr>
          <w:spacing w:val="-2"/>
        </w:rPr>
        <w:t>Review</w:t>
      </w:r>
    </w:p>
    <w:p w:rsidR="005F2714" w:rsidRDefault="0056298B" w:rsidP="005F2714">
      <w:pPr>
        <w:pStyle w:val="BodyText"/>
        <w:spacing w:before="272" w:line="360" w:lineRule="auto"/>
        <w:ind w:left="62" w:right="363"/>
        <w:jc w:val="both"/>
      </w:pPr>
      <w:r>
        <w:rPr>
          <w:b/>
        </w:rPr>
        <w:t xml:space="preserve">World Bank (2021) </w:t>
      </w:r>
      <w:r w:rsidR="005F2714">
        <w:t xml:space="preserve">Studies by the </w:t>
      </w:r>
      <w:r w:rsidR="005F2714">
        <w:rPr>
          <w:rStyle w:val="whitespace-normal"/>
        </w:rPr>
        <w:t>World Bank</w:t>
      </w:r>
      <w:r w:rsidR="005F2714">
        <w:t xml:space="preserve"> (2021) highlight a strong connection between the adoption of financial technology and improvements in financial inclusion. The report emphasizes that mobile money services have enabled millions of individuals to enter the formal financial system. Additionally, </w:t>
      </w:r>
      <w:proofErr w:type="spellStart"/>
      <w:r w:rsidR="005F2714">
        <w:t>FinTech</w:t>
      </w:r>
      <w:proofErr w:type="spellEnd"/>
      <w:r w:rsidR="005F2714">
        <w:t xml:space="preserve"> firms and digital banking platforms have made it easier to open accounts, lowered transaction costs, and increased access to credit.</w:t>
      </w:r>
    </w:p>
    <w:p w:rsidR="003C3944" w:rsidRDefault="0056298B" w:rsidP="000D7068">
      <w:pPr>
        <w:pStyle w:val="BodyText"/>
        <w:spacing w:before="272" w:line="360" w:lineRule="auto"/>
        <w:ind w:left="62" w:right="363"/>
        <w:jc w:val="both"/>
      </w:pPr>
      <w:proofErr w:type="spellStart"/>
      <w:proofErr w:type="gramStart"/>
      <w:r>
        <w:rPr>
          <w:b/>
        </w:rPr>
        <w:t>Ms.DivyaniDatta</w:t>
      </w:r>
      <w:proofErr w:type="spellEnd"/>
      <w:r>
        <w:rPr>
          <w:b/>
        </w:rPr>
        <w:t>(</w:t>
      </w:r>
      <w:proofErr w:type="gramEnd"/>
      <w:r>
        <w:rPr>
          <w:b/>
        </w:rPr>
        <w:t xml:space="preserve">2023) </w:t>
      </w:r>
      <w:r w:rsidR="000D7068">
        <w:t xml:space="preserve">focused on providing a conceptual understanding of how </w:t>
      </w:r>
      <w:proofErr w:type="spellStart"/>
      <w:r w:rsidR="000D7068">
        <w:t>FinTech</w:t>
      </w:r>
      <w:proofErr w:type="spellEnd"/>
      <w:r w:rsidR="000D7068">
        <w:t xml:space="preserve"> contributed to financial inclusion in India during the post-pandemic period. Using a descriptive approach, the study offered insights into how digital financial solutions can support economic recovery by addressing the broader needs of the population.</w:t>
      </w:r>
    </w:p>
    <w:p w:rsidR="007F13AF" w:rsidRDefault="007F13AF" w:rsidP="000D7068">
      <w:pPr>
        <w:pStyle w:val="BodyText"/>
        <w:spacing w:before="272" w:line="360" w:lineRule="auto"/>
        <w:ind w:left="62" w:right="363"/>
        <w:jc w:val="both"/>
      </w:pPr>
    </w:p>
    <w:p w:rsidR="007F13AF" w:rsidRDefault="007F13AF" w:rsidP="000D7068">
      <w:pPr>
        <w:pStyle w:val="BodyText"/>
        <w:spacing w:before="272" w:line="360" w:lineRule="auto"/>
        <w:ind w:left="62" w:right="363"/>
        <w:jc w:val="both"/>
      </w:pPr>
    </w:p>
    <w:p w:rsidR="000D7068" w:rsidRDefault="0056298B" w:rsidP="007F13AF">
      <w:pPr>
        <w:pStyle w:val="BodyText"/>
        <w:spacing w:before="273" w:line="360" w:lineRule="auto"/>
        <w:ind w:left="62" w:right="397"/>
        <w:jc w:val="both"/>
      </w:pPr>
      <w:proofErr w:type="spellStart"/>
      <w:proofErr w:type="gramStart"/>
      <w:r>
        <w:rPr>
          <w:b/>
        </w:rPr>
        <w:lastRenderedPageBreak/>
        <w:t>Md.Qamruzzaman</w:t>
      </w:r>
      <w:proofErr w:type="spellEnd"/>
      <w:r>
        <w:rPr>
          <w:b/>
        </w:rPr>
        <w:t>(</w:t>
      </w:r>
      <w:proofErr w:type="gramEnd"/>
      <w:r>
        <w:rPr>
          <w:b/>
        </w:rPr>
        <w:t>2023):</w:t>
      </w:r>
      <w:r w:rsidR="000D7068" w:rsidRPr="000D7068">
        <w:t xml:space="preserve"> </w:t>
      </w:r>
      <w:r w:rsidR="000D7068">
        <w:t>examined the role of financial innovation in promoting financial inclusion across 22 Arab countries between 2004 and 2020. In this study, financial inclusion was treated as the dependent variable, while indicators such as ATM availability and the number of depositors in commercial banks were used as proxies for financial development. The findings revealed a significant positive relationship, suggesting that financial innovation plays a crucial role in driving the expansion and adoption of inclusive financial services.</w:t>
      </w:r>
    </w:p>
    <w:p w:rsidR="007F13AF" w:rsidRPr="007F13AF" w:rsidRDefault="0056298B" w:rsidP="007F13AF">
      <w:pPr>
        <w:pStyle w:val="NormalWeb"/>
        <w:spacing w:line="360" w:lineRule="auto"/>
        <w:jc w:val="both"/>
      </w:pPr>
      <w:r>
        <w:rPr>
          <w:b/>
        </w:rPr>
        <w:t>CRISIL (2013</w:t>
      </w:r>
      <w:r w:rsidR="000D7068">
        <w:rPr>
          <w:b/>
        </w:rPr>
        <w:t>)</w:t>
      </w:r>
      <w:r w:rsidR="000D7068" w:rsidRPr="000D7068">
        <w:t xml:space="preserve"> </w:t>
      </w:r>
      <w:r w:rsidR="000D7068">
        <w:t xml:space="preserve">A study conducted by </w:t>
      </w:r>
      <w:r w:rsidR="000D7068">
        <w:rPr>
          <w:rStyle w:val="whitespace-normal"/>
        </w:rPr>
        <w:t>CRISIL</w:t>
      </w:r>
      <w:r w:rsidR="000D7068">
        <w:t xml:space="preserve"> (2013) evaluated the extent of financial inclusion in India through the development of an index called </w:t>
      </w:r>
      <w:r w:rsidR="000D7068">
        <w:rPr>
          <w:rStyle w:val="whitespace-normal"/>
        </w:rPr>
        <w:t xml:space="preserve">CRISIL </w:t>
      </w:r>
      <w:proofErr w:type="spellStart"/>
      <w:r w:rsidR="000D7068">
        <w:rPr>
          <w:rStyle w:val="whitespace-normal"/>
        </w:rPr>
        <w:t>Inclusix</w:t>
      </w:r>
      <w:proofErr w:type="spellEnd"/>
      <w:r w:rsidR="000D7068">
        <w:t xml:space="preserve">. This index focused on non-monetary indicators to measure inclusion, prioritizing access to financial services over the monetary value of transactions. Instead of assessing the size of loans, it emphasized the number of individuals who could access various banking services. The index was constructed using three key dimensions: branch penetration, deposit penetration, and credit penetration. These indicators were updated annually, and depending on data availability, additional aspects such as insurance and microfinance were also incorporated. The findings highlighted significant gaps in financial inclusion. Only about half of the Indian population had access to a savings account, while a much smaller proportion—approximately one in seven individuals—could access formal credit services. In 2011, the overall CRISIL </w:t>
      </w:r>
      <w:proofErr w:type="spellStart"/>
      <w:r w:rsidR="000D7068">
        <w:t>Inclusix</w:t>
      </w:r>
      <w:proofErr w:type="spellEnd"/>
      <w:r w:rsidR="000D7068">
        <w:t xml:space="preserve"> score for India stood at 40.1 out of 100, indicating a relatively low level of inclusion. The study provided a comprehensive overview of disparities in access to financial services across both rural and urban regions of the country.</w:t>
      </w:r>
    </w:p>
    <w:p w:rsidR="007F13AF" w:rsidRDefault="007F13AF" w:rsidP="007F13AF">
      <w:pPr>
        <w:pStyle w:val="Heading1"/>
        <w:spacing w:before="58"/>
        <w:ind w:left="0" w:firstLine="0"/>
      </w:pPr>
      <w:r>
        <w:t xml:space="preserve">Research </w:t>
      </w:r>
      <w:r>
        <w:rPr>
          <w:spacing w:val="-4"/>
        </w:rPr>
        <w:t>Gap:</w:t>
      </w:r>
    </w:p>
    <w:p w:rsidR="00CE17DE" w:rsidRDefault="007F13AF" w:rsidP="007F13AF">
      <w:pPr>
        <w:pStyle w:val="NormalWeb"/>
        <w:spacing w:line="360" w:lineRule="auto"/>
        <w:jc w:val="both"/>
      </w:pPr>
      <w:r>
        <w:t xml:space="preserve">The review of existing literature highlights several important research gaps concerning financial inclusion and </w:t>
      </w:r>
      <w:proofErr w:type="spellStart"/>
      <w:r>
        <w:t>FinTech</w:t>
      </w:r>
      <w:proofErr w:type="spellEnd"/>
      <w:r>
        <w:t xml:space="preserve"> awareness in rural India. As noted by </w:t>
      </w:r>
      <w:proofErr w:type="spellStart"/>
      <w:r>
        <w:rPr>
          <w:rStyle w:val="whitespace-normal"/>
        </w:rPr>
        <w:t>Divyani</w:t>
      </w:r>
      <w:proofErr w:type="spellEnd"/>
      <w:r>
        <w:rPr>
          <w:rStyle w:val="whitespace-normal"/>
        </w:rPr>
        <w:t xml:space="preserve"> </w:t>
      </w:r>
      <w:proofErr w:type="spellStart"/>
      <w:r>
        <w:rPr>
          <w:rStyle w:val="whitespace-normal"/>
        </w:rPr>
        <w:t>Datta</w:t>
      </w:r>
      <w:proofErr w:type="spellEnd"/>
      <w:r>
        <w:t xml:space="preserve"> (2023), there is limited understanding of how rural populations perceive and engage with specific </w:t>
      </w:r>
      <w:proofErr w:type="spellStart"/>
      <w:r>
        <w:t>FinTech</w:t>
      </w:r>
      <w:proofErr w:type="spellEnd"/>
      <w:r>
        <w:t xml:space="preserve"> products and services. In particular, the influence of digital literacy on the adoption and effective use of these technologies remains insufficiently explored, indicating the need for more focused research in this area. Moreover, cultural attitudes and social norms significantly shape the acceptance of </w:t>
      </w:r>
      <w:proofErr w:type="spellStart"/>
      <w:r>
        <w:t>FinTech</w:t>
      </w:r>
      <w:proofErr w:type="spellEnd"/>
      <w:r>
        <w:t xml:space="preserve"> solutions, yet these factors have not been adequately examined. Gender disparities in financial inclusion also persist, with rural women facing unique barriers that require deeper academic investigation. Additionally, the impact of local economic conditions and infrastructural limitations on both awareness and access to financial services remains underexplored. </w:t>
      </w:r>
    </w:p>
    <w:p w:rsidR="00CE17DE" w:rsidRDefault="007F13AF" w:rsidP="00CE17DE">
      <w:pPr>
        <w:pStyle w:val="NormalWeb"/>
        <w:spacing w:line="360" w:lineRule="auto"/>
      </w:pPr>
      <w:r>
        <w:lastRenderedPageBreak/>
        <w:t xml:space="preserve">Finally, there is a pressing need for longitudinal studies that assess the long-term effects of </w:t>
      </w:r>
      <w:proofErr w:type="spellStart"/>
      <w:r>
        <w:t>FinTech</w:t>
      </w:r>
      <w:proofErr w:type="spellEnd"/>
      <w:r>
        <w:t xml:space="preserve"> on financial behavior and economic outcomes in rural India. Such research would provide valuable insights for designing effective and sustainable financial inclusion policies</w:t>
      </w:r>
    </w:p>
    <w:p w:rsidR="00CE17DE" w:rsidRPr="00CE17DE" w:rsidRDefault="00CE17DE" w:rsidP="00CE17DE">
      <w:pPr>
        <w:pStyle w:val="Heading1"/>
        <w:numPr>
          <w:ilvl w:val="0"/>
          <w:numId w:val="4"/>
        </w:numPr>
        <w:tabs>
          <w:tab w:val="left" w:pos="278"/>
        </w:tabs>
        <w:spacing w:before="263" w:line="360" w:lineRule="auto"/>
        <w:jc w:val="both"/>
      </w:pPr>
      <w:r w:rsidRPr="00CE17DE">
        <w:t xml:space="preserve">Findings and </w:t>
      </w:r>
      <w:r w:rsidR="00845EE5">
        <w:rPr>
          <w:spacing w:val="-2"/>
        </w:rPr>
        <w:t xml:space="preserve">Recommendation </w:t>
      </w:r>
    </w:p>
    <w:p w:rsidR="00CE17DE" w:rsidRPr="00CE17DE" w:rsidRDefault="00CE17DE" w:rsidP="00CE17DE">
      <w:pPr>
        <w:tabs>
          <w:tab w:val="left" w:pos="422"/>
        </w:tabs>
        <w:spacing w:before="277"/>
        <w:rPr>
          <w:sz w:val="24"/>
        </w:rPr>
      </w:pPr>
      <w:bookmarkStart w:id="5" w:name="4.1._Improved_Access_to_Banking"/>
      <w:bookmarkEnd w:id="5"/>
      <w:r w:rsidRPr="00CE17DE">
        <w:rPr>
          <w:b/>
          <w:sz w:val="24"/>
        </w:rPr>
        <w:t xml:space="preserve">Improved Access to </w:t>
      </w:r>
      <w:r w:rsidRPr="00CE17DE">
        <w:rPr>
          <w:b/>
          <w:spacing w:val="-2"/>
          <w:sz w:val="24"/>
        </w:rPr>
        <w:t>Banking</w:t>
      </w:r>
    </w:p>
    <w:p w:rsidR="00CE17DE" w:rsidRDefault="00CE17DE" w:rsidP="00CE17DE">
      <w:pPr>
        <w:pStyle w:val="NormalWeb"/>
        <w:spacing w:line="360" w:lineRule="auto"/>
        <w:jc w:val="both"/>
      </w:pPr>
      <w:proofErr w:type="spellStart"/>
      <w:r>
        <w:t>FinTech</w:t>
      </w:r>
      <w:proofErr w:type="spellEnd"/>
      <w:r>
        <w:t xml:space="preserve"> platforms have facilitated the opening of digital bank accounts through smart</w:t>
      </w:r>
      <w:r w:rsidR="0009585D">
        <w:t xml:space="preserve"> </w:t>
      </w:r>
      <w:r>
        <w:t xml:space="preserve">phones, often employing biometric authentication and e-KYC verification. In India, more than 400 million bank accounts were opened under the </w:t>
      </w:r>
      <w:proofErr w:type="spellStart"/>
      <w:r>
        <w:t>Pradhan</w:t>
      </w:r>
      <w:proofErr w:type="spellEnd"/>
      <w:r>
        <w:t xml:space="preserve"> </w:t>
      </w:r>
      <w:proofErr w:type="spellStart"/>
      <w:r>
        <w:t>Mantri</w:t>
      </w:r>
      <w:proofErr w:type="spellEnd"/>
      <w:r>
        <w:t xml:space="preserve"> Jan </w:t>
      </w:r>
      <w:proofErr w:type="spellStart"/>
      <w:r>
        <w:t>Dhan</w:t>
      </w:r>
      <w:proofErr w:type="spellEnd"/>
      <w:r>
        <w:t xml:space="preserve"> </w:t>
      </w:r>
      <w:proofErr w:type="spellStart"/>
      <w:r>
        <w:t>Yojana</w:t>
      </w:r>
      <w:proofErr w:type="spellEnd"/>
      <w:r>
        <w:t xml:space="preserve"> (PMJDY) with support from </w:t>
      </w:r>
      <w:proofErr w:type="spellStart"/>
      <w:r>
        <w:t>FinTech</w:t>
      </w:r>
      <w:proofErr w:type="spellEnd"/>
      <w:r>
        <w:t xml:space="preserve"> solutions.</w:t>
      </w:r>
    </w:p>
    <w:p w:rsidR="00CE17DE" w:rsidRPr="00344592" w:rsidRDefault="00CE17DE" w:rsidP="00344592">
      <w:pPr>
        <w:tabs>
          <w:tab w:val="left" w:pos="422"/>
        </w:tabs>
        <w:rPr>
          <w:b/>
          <w:sz w:val="24"/>
        </w:rPr>
      </w:pPr>
      <w:bookmarkStart w:id="6" w:name="4.2._Alternative_Credit_and_Lending_Mode"/>
      <w:bookmarkEnd w:id="6"/>
      <w:r w:rsidRPr="00344592">
        <w:rPr>
          <w:b/>
          <w:sz w:val="24"/>
        </w:rPr>
        <w:t>Alternative</w:t>
      </w:r>
      <w:r w:rsidR="00344592" w:rsidRPr="00344592">
        <w:rPr>
          <w:b/>
          <w:sz w:val="24"/>
        </w:rPr>
        <w:t xml:space="preserve"> </w:t>
      </w:r>
      <w:r w:rsidRPr="00344592">
        <w:rPr>
          <w:b/>
          <w:sz w:val="24"/>
        </w:rPr>
        <w:t>Credit</w:t>
      </w:r>
      <w:r w:rsidR="00344592" w:rsidRPr="00344592">
        <w:rPr>
          <w:b/>
          <w:sz w:val="24"/>
        </w:rPr>
        <w:t xml:space="preserve"> </w:t>
      </w:r>
      <w:r w:rsidRPr="00344592">
        <w:rPr>
          <w:b/>
          <w:sz w:val="24"/>
        </w:rPr>
        <w:t>and</w:t>
      </w:r>
      <w:r w:rsidR="00344592" w:rsidRPr="00344592">
        <w:rPr>
          <w:b/>
          <w:sz w:val="24"/>
        </w:rPr>
        <w:t xml:space="preserve"> </w:t>
      </w:r>
      <w:r w:rsidRPr="00344592">
        <w:rPr>
          <w:b/>
          <w:sz w:val="24"/>
        </w:rPr>
        <w:t>Lending</w:t>
      </w:r>
      <w:r w:rsidRPr="00344592">
        <w:rPr>
          <w:b/>
          <w:spacing w:val="-2"/>
          <w:sz w:val="24"/>
        </w:rPr>
        <w:t xml:space="preserve"> Models</w:t>
      </w:r>
    </w:p>
    <w:p w:rsidR="00344592" w:rsidRPr="00344592" w:rsidRDefault="00344592" w:rsidP="00344592">
      <w:pPr>
        <w:tabs>
          <w:tab w:val="left" w:pos="422"/>
        </w:tabs>
        <w:spacing w:before="274" w:line="360" w:lineRule="auto"/>
        <w:jc w:val="both"/>
        <w:rPr>
          <w:b/>
          <w:i/>
          <w:sz w:val="24"/>
        </w:rPr>
      </w:pPr>
      <w:bookmarkStart w:id="7" w:name="4.3._Digital_Payments_and_Transfers"/>
      <w:bookmarkEnd w:id="7"/>
      <w:r>
        <w:t>Peer-to-peer (P2P) lending platforms and AI-based credit scoring systems enable lenders to evaluate borrowers who lack conventional credit histories, thereby enhancing access to credit for small and medium-sized enterprises (SMEs) and individual borrowers.</w:t>
      </w:r>
    </w:p>
    <w:p w:rsidR="00CE17DE" w:rsidRPr="00344592" w:rsidRDefault="00CE17DE" w:rsidP="00344592">
      <w:pPr>
        <w:tabs>
          <w:tab w:val="left" w:pos="422"/>
        </w:tabs>
        <w:spacing w:before="274"/>
        <w:rPr>
          <w:b/>
          <w:sz w:val="24"/>
        </w:rPr>
      </w:pPr>
      <w:r w:rsidRPr="00344592">
        <w:rPr>
          <w:b/>
          <w:sz w:val="24"/>
        </w:rPr>
        <w:t>Digital</w:t>
      </w:r>
      <w:r w:rsidR="00344592" w:rsidRPr="00344592">
        <w:rPr>
          <w:b/>
          <w:sz w:val="24"/>
        </w:rPr>
        <w:t xml:space="preserve"> </w:t>
      </w:r>
      <w:r w:rsidRPr="00344592">
        <w:rPr>
          <w:b/>
          <w:sz w:val="24"/>
        </w:rPr>
        <w:t>Payments and</w:t>
      </w:r>
      <w:r w:rsidR="00344592" w:rsidRPr="00344592">
        <w:rPr>
          <w:b/>
          <w:sz w:val="24"/>
        </w:rPr>
        <w:t xml:space="preserve"> </w:t>
      </w:r>
      <w:r w:rsidRPr="00344592">
        <w:rPr>
          <w:b/>
          <w:spacing w:val="-2"/>
          <w:sz w:val="24"/>
        </w:rPr>
        <w:t>Transfers</w:t>
      </w:r>
    </w:p>
    <w:p w:rsidR="00344592" w:rsidRDefault="00344592" w:rsidP="00344592">
      <w:pPr>
        <w:pStyle w:val="NormalWeb"/>
        <w:spacing w:line="360" w:lineRule="auto"/>
        <w:jc w:val="both"/>
      </w:pPr>
      <w:bookmarkStart w:id="8" w:name="4.4._Challenges"/>
      <w:bookmarkEnd w:id="8"/>
      <w:r>
        <w:t>Mobile money services and digital wallets, such as M-</w:t>
      </w:r>
      <w:proofErr w:type="spellStart"/>
      <w:r>
        <w:t>Pesa</w:t>
      </w:r>
      <w:proofErr w:type="spellEnd"/>
      <w:r>
        <w:t xml:space="preserve"> and </w:t>
      </w:r>
      <w:proofErr w:type="spellStart"/>
      <w:r>
        <w:t>Paytm</w:t>
      </w:r>
      <w:proofErr w:type="spellEnd"/>
      <w:r>
        <w:t>, have enabled low-cost payments and remittances, particularly benefiting users in rural areas.</w:t>
      </w:r>
    </w:p>
    <w:p w:rsidR="00344592" w:rsidRDefault="00CE17DE" w:rsidP="00344592">
      <w:pPr>
        <w:tabs>
          <w:tab w:val="left" w:pos="422"/>
        </w:tabs>
        <w:spacing w:before="273"/>
        <w:rPr>
          <w:b/>
          <w:i/>
          <w:spacing w:val="-2"/>
          <w:sz w:val="24"/>
        </w:rPr>
      </w:pPr>
      <w:r w:rsidRPr="00344592">
        <w:rPr>
          <w:b/>
          <w:i/>
          <w:spacing w:val="-2"/>
          <w:sz w:val="24"/>
        </w:rPr>
        <w:t>Challenges</w:t>
      </w:r>
    </w:p>
    <w:p w:rsidR="00344592" w:rsidRPr="00344592" w:rsidRDefault="00344592" w:rsidP="00344592">
      <w:pPr>
        <w:pStyle w:val="ListParagraph"/>
        <w:numPr>
          <w:ilvl w:val="0"/>
          <w:numId w:val="5"/>
        </w:numPr>
        <w:tabs>
          <w:tab w:val="left" w:pos="422"/>
        </w:tabs>
        <w:spacing w:before="273"/>
        <w:ind w:left="0" w:firstLine="0"/>
        <w:rPr>
          <w:b/>
          <w:i/>
          <w:sz w:val="24"/>
        </w:rPr>
      </w:pPr>
      <w:r>
        <w:rPr>
          <w:rStyle w:val="Strong"/>
        </w:rPr>
        <w:t>Digital Literacy:</w:t>
      </w:r>
      <w:r>
        <w:t xml:space="preserve"> Limited awareness in rural areas restricts the adoption of </w:t>
      </w:r>
      <w:proofErr w:type="spellStart"/>
      <w:r>
        <w:t>FinTech</w:t>
      </w:r>
      <w:proofErr w:type="spellEnd"/>
      <w:r>
        <w:t xml:space="preserve"> services.</w:t>
      </w:r>
    </w:p>
    <w:p w:rsidR="00344592" w:rsidRDefault="00344592" w:rsidP="00344592">
      <w:pPr>
        <w:pStyle w:val="NormalWeb"/>
      </w:pPr>
      <w:proofErr w:type="gramStart"/>
      <w:r>
        <w:rPr>
          <w:rFonts w:hAnsi="Symbol"/>
        </w:rPr>
        <w:t></w:t>
      </w:r>
      <w:r>
        <w:t xml:space="preserve">  </w:t>
      </w:r>
      <w:r>
        <w:rPr>
          <w:rStyle w:val="Strong"/>
        </w:rPr>
        <w:t>Cyber</w:t>
      </w:r>
      <w:proofErr w:type="gramEnd"/>
      <w:r>
        <w:rPr>
          <w:rStyle w:val="Strong"/>
        </w:rPr>
        <w:t xml:space="preserve"> security:</w:t>
      </w:r>
      <w:r>
        <w:t xml:space="preserve"> The rise of digital threats necessitates strong security measures to protect users and data.</w:t>
      </w:r>
    </w:p>
    <w:p w:rsidR="00344592" w:rsidRDefault="00344592" w:rsidP="00344592">
      <w:pPr>
        <w:pStyle w:val="NormalWeb"/>
      </w:pPr>
      <w:proofErr w:type="gramStart"/>
      <w:r>
        <w:rPr>
          <w:rFonts w:hAnsi="Symbol"/>
        </w:rPr>
        <w:t></w:t>
      </w:r>
      <w:r>
        <w:t xml:space="preserve">  </w:t>
      </w:r>
      <w:r>
        <w:rPr>
          <w:rStyle w:val="Strong"/>
        </w:rPr>
        <w:t>Regulatory</w:t>
      </w:r>
      <w:proofErr w:type="gramEnd"/>
      <w:r>
        <w:rPr>
          <w:rStyle w:val="Strong"/>
        </w:rPr>
        <w:t xml:space="preserve"> Gaps:</w:t>
      </w:r>
      <w:r>
        <w:t xml:space="preserve"> The absence of consistent global regulatory frameworks can hinder the growth and scalability of </w:t>
      </w:r>
      <w:proofErr w:type="spellStart"/>
      <w:r>
        <w:t>FinTech</w:t>
      </w:r>
      <w:proofErr w:type="spellEnd"/>
      <w:r>
        <w:t xml:space="preserve"> innovations.</w:t>
      </w:r>
    </w:p>
    <w:p w:rsidR="0060273D" w:rsidRDefault="0060273D" w:rsidP="0060273D">
      <w:pPr>
        <w:pStyle w:val="Heading1"/>
        <w:tabs>
          <w:tab w:val="left" w:pos="282"/>
        </w:tabs>
        <w:spacing w:before="274"/>
      </w:pPr>
      <w:r>
        <w:rPr>
          <w:spacing w:val="-2"/>
        </w:rPr>
        <w:t xml:space="preserve">Recommendations: </w:t>
      </w:r>
    </w:p>
    <w:p w:rsidR="000B392F" w:rsidRDefault="000B392F" w:rsidP="000B392F">
      <w:pPr>
        <w:pStyle w:val="NormalWeb"/>
      </w:pPr>
      <w:proofErr w:type="gramStart"/>
      <w:r>
        <w:rPr>
          <w:rFonts w:hAnsi="Symbol"/>
        </w:rPr>
        <w:t></w:t>
      </w:r>
      <w:r>
        <w:t xml:space="preserve">  </w:t>
      </w:r>
      <w:r>
        <w:rPr>
          <w:rStyle w:val="Strong"/>
        </w:rPr>
        <w:t>Policy</w:t>
      </w:r>
      <w:proofErr w:type="gramEnd"/>
      <w:r>
        <w:rPr>
          <w:rStyle w:val="Strong"/>
        </w:rPr>
        <w:t xml:space="preserve"> Support:</w:t>
      </w:r>
      <w:r>
        <w:t xml:space="preserve"> Governments should provide incentives for </w:t>
      </w:r>
      <w:proofErr w:type="spellStart"/>
      <w:r>
        <w:t>FinTech</w:t>
      </w:r>
      <w:proofErr w:type="spellEnd"/>
      <w:r>
        <w:t xml:space="preserve"> innovations that promote financial inclusion.</w:t>
      </w:r>
    </w:p>
    <w:p w:rsidR="007176DC" w:rsidRDefault="007176DC" w:rsidP="000B392F">
      <w:pPr>
        <w:pStyle w:val="NormalWeb"/>
      </w:pPr>
    </w:p>
    <w:p w:rsidR="007176DC" w:rsidRDefault="007176DC" w:rsidP="000B392F">
      <w:pPr>
        <w:pStyle w:val="NormalWeb"/>
      </w:pPr>
    </w:p>
    <w:p w:rsidR="007176DC" w:rsidRDefault="007176DC" w:rsidP="000B392F">
      <w:pPr>
        <w:pStyle w:val="NormalWeb"/>
      </w:pPr>
    </w:p>
    <w:p w:rsidR="000B392F" w:rsidRDefault="000B392F" w:rsidP="000B392F">
      <w:pPr>
        <w:pStyle w:val="NormalWeb"/>
      </w:pPr>
      <w:proofErr w:type="gramStart"/>
      <w:r>
        <w:rPr>
          <w:rFonts w:hAnsi="Symbol"/>
        </w:rPr>
        <w:lastRenderedPageBreak/>
        <w:t></w:t>
      </w:r>
      <w:r>
        <w:t xml:space="preserve">  </w:t>
      </w:r>
      <w:r>
        <w:rPr>
          <w:rStyle w:val="Strong"/>
        </w:rPr>
        <w:t>Public</w:t>
      </w:r>
      <w:proofErr w:type="gramEnd"/>
      <w:r>
        <w:rPr>
          <w:rStyle w:val="Strong"/>
        </w:rPr>
        <w:t>-Private Partnerships:</w:t>
      </w:r>
      <w:r>
        <w:t xml:space="preserve"> Collaboration between </w:t>
      </w:r>
      <w:proofErr w:type="spellStart"/>
      <w:r>
        <w:t>FinTech</w:t>
      </w:r>
      <w:proofErr w:type="spellEnd"/>
      <w:r>
        <w:t xml:space="preserve"> companies and banks can help address infrastructural gaps.</w:t>
      </w:r>
    </w:p>
    <w:p w:rsidR="007176DC" w:rsidRDefault="000B392F" w:rsidP="007176DC">
      <w:pPr>
        <w:pStyle w:val="NormalWeb"/>
      </w:pPr>
      <w:proofErr w:type="gramStart"/>
      <w:r>
        <w:rPr>
          <w:rFonts w:hAnsi="Symbol"/>
        </w:rPr>
        <w:t></w:t>
      </w:r>
      <w:r>
        <w:t xml:space="preserve">  </w:t>
      </w:r>
      <w:r>
        <w:rPr>
          <w:rStyle w:val="Strong"/>
        </w:rPr>
        <w:t>Education</w:t>
      </w:r>
      <w:proofErr w:type="gramEnd"/>
      <w:r>
        <w:rPr>
          <w:rStyle w:val="Strong"/>
        </w:rPr>
        <w:t xml:space="preserve"> Campaigns:</w:t>
      </w:r>
      <w:r>
        <w:t xml:space="preserve"> Initiatives that promote financial and digital literacy can increase adoption and build user trust</w:t>
      </w:r>
    </w:p>
    <w:p w:rsidR="007176DC" w:rsidRPr="007176DC" w:rsidRDefault="007176DC" w:rsidP="007176DC"/>
    <w:p w:rsidR="007176DC" w:rsidRDefault="007176DC" w:rsidP="007176DC"/>
    <w:p w:rsidR="007176DC" w:rsidRDefault="007176DC" w:rsidP="007176DC">
      <w:pPr>
        <w:pStyle w:val="Heading1"/>
        <w:tabs>
          <w:tab w:val="left" w:pos="282"/>
        </w:tabs>
        <w:spacing w:before="58"/>
        <w:ind w:left="0" w:firstLine="0"/>
      </w:pPr>
      <w:r>
        <w:rPr>
          <w:spacing w:val="-2"/>
        </w:rPr>
        <w:t>Conclusion</w:t>
      </w:r>
    </w:p>
    <w:p w:rsidR="007176DC" w:rsidRDefault="007176DC" w:rsidP="007176DC">
      <w:pPr>
        <w:tabs>
          <w:tab w:val="left" w:pos="720"/>
        </w:tabs>
        <w:spacing w:before="282" w:line="360" w:lineRule="auto"/>
        <w:jc w:val="both"/>
        <w:rPr>
          <w:sz w:val="24"/>
          <w:szCs w:val="24"/>
        </w:rPr>
      </w:pPr>
      <w:bookmarkStart w:id="9" w:name="6._Recommendations"/>
      <w:bookmarkEnd w:id="9"/>
      <w:proofErr w:type="spellStart"/>
      <w:r w:rsidRPr="007176DC">
        <w:rPr>
          <w:sz w:val="24"/>
          <w:szCs w:val="24"/>
        </w:rPr>
        <w:t>FinTech</w:t>
      </w:r>
      <w:proofErr w:type="spellEnd"/>
      <w:r w:rsidRPr="007176DC">
        <w:rPr>
          <w:sz w:val="24"/>
          <w:szCs w:val="24"/>
        </w:rPr>
        <w:t xml:space="preserve"> has transformed financial services by enhancing accessibility and promoting greater inclusion. Although it cannot completely replace traditional banking, it acts as a crucial complement, particularly in serving underserved populations. Moving forward, efforts should prioritize improving digital literacy, designing inclusive financial products, and implementing adaptive regulatory frameworks to fully realize the potential of </w:t>
      </w:r>
      <w:proofErr w:type="spellStart"/>
      <w:r w:rsidRPr="007176DC">
        <w:rPr>
          <w:sz w:val="24"/>
          <w:szCs w:val="24"/>
        </w:rPr>
        <w:t>FinTech</w:t>
      </w:r>
      <w:proofErr w:type="spellEnd"/>
      <w:r w:rsidRPr="007176DC">
        <w:rPr>
          <w:sz w:val="24"/>
          <w:szCs w:val="24"/>
        </w:rPr>
        <w:t>.</w:t>
      </w:r>
    </w:p>
    <w:p w:rsidR="007176DC" w:rsidRPr="007176DC" w:rsidRDefault="007176DC" w:rsidP="007176DC">
      <w:pPr>
        <w:tabs>
          <w:tab w:val="left" w:pos="720"/>
        </w:tabs>
        <w:spacing w:before="282" w:line="360" w:lineRule="auto"/>
        <w:jc w:val="both"/>
        <w:rPr>
          <w:b/>
          <w:sz w:val="24"/>
          <w:szCs w:val="24"/>
        </w:rPr>
      </w:pPr>
      <w:r w:rsidRPr="007176DC">
        <w:rPr>
          <w:b/>
          <w:sz w:val="24"/>
          <w:szCs w:val="24"/>
        </w:rPr>
        <w:t>References:</w:t>
      </w:r>
    </w:p>
    <w:p w:rsidR="007176DC" w:rsidRDefault="007176DC" w:rsidP="00B4283F">
      <w:pPr>
        <w:pStyle w:val="NormalWeb"/>
        <w:numPr>
          <w:ilvl w:val="0"/>
          <w:numId w:val="6"/>
        </w:numPr>
        <w:spacing w:line="360" w:lineRule="auto"/>
        <w:ind w:left="714" w:hanging="357"/>
        <w:jc w:val="both"/>
      </w:pPr>
      <w:r>
        <w:t xml:space="preserve">World Bank. (2021). </w:t>
      </w:r>
      <w:r>
        <w:rPr>
          <w:rStyle w:val="Emphasis"/>
        </w:rPr>
        <w:t xml:space="preserve">Global </w:t>
      </w:r>
      <w:proofErr w:type="spellStart"/>
      <w:r>
        <w:rPr>
          <w:rStyle w:val="Emphasis"/>
        </w:rPr>
        <w:t>Findex</w:t>
      </w:r>
      <w:proofErr w:type="spellEnd"/>
      <w:r>
        <w:rPr>
          <w:rStyle w:val="Emphasis"/>
        </w:rPr>
        <w:t xml:space="preserve"> Database 2021</w:t>
      </w:r>
      <w:r>
        <w:t xml:space="preserve">. World Bank. </w:t>
      </w:r>
      <w:hyperlink r:id="rId8" w:tgtFrame="_new" w:history="1">
        <w:r>
          <w:rPr>
            <w:rStyle w:val="Hyperlink"/>
          </w:rPr>
          <w:t>https://www.worldbank.org/en/publication/globalfindex</w:t>
        </w:r>
      </w:hyperlink>
    </w:p>
    <w:p w:rsidR="007176DC" w:rsidRDefault="007176DC" w:rsidP="00B4283F">
      <w:pPr>
        <w:pStyle w:val="NormalWeb"/>
        <w:numPr>
          <w:ilvl w:val="0"/>
          <w:numId w:val="6"/>
        </w:numPr>
        <w:spacing w:line="360" w:lineRule="auto"/>
        <w:ind w:left="714" w:hanging="357"/>
        <w:jc w:val="both"/>
      </w:pPr>
      <w:proofErr w:type="spellStart"/>
      <w:r>
        <w:t>Gomber</w:t>
      </w:r>
      <w:proofErr w:type="spellEnd"/>
      <w:r>
        <w:t xml:space="preserve">, P., Koch, J. A., &amp; </w:t>
      </w:r>
      <w:proofErr w:type="spellStart"/>
      <w:r>
        <w:t>Siering</w:t>
      </w:r>
      <w:proofErr w:type="spellEnd"/>
      <w:r>
        <w:t xml:space="preserve">, M. (2017). Digital finance and </w:t>
      </w:r>
      <w:proofErr w:type="spellStart"/>
      <w:r>
        <w:t>FinTech</w:t>
      </w:r>
      <w:proofErr w:type="spellEnd"/>
      <w:r>
        <w:t xml:space="preserve">: Current research and future research directions. </w:t>
      </w:r>
      <w:r>
        <w:rPr>
          <w:rStyle w:val="Emphasis"/>
        </w:rPr>
        <w:t>Journal of Business Economics, 87</w:t>
      </w:r>
      <w:r>
        <w:t>(5), 537–580. https://doi.org/10.1007/s11573-017-0858-0</w:t>
      </w:r>
    </w:p>
    <w:p w:rsidR="007176DC" w:rsidRDefault="007176DC" w:rsidP="00B4283F">
      <w:pPr>
        <w:pStyle w:val="NormalWeb"/>
        <w:numPr>
          <w:ilvl w:val="0"/>
          <w:numId w:val="6"/>
        </w:numPr>
        <w:spacing w:line="360" w:lineRule="auto"/>
        <w:ind w:left="714" w:hanging="357"/>
        <w:jc w:val="both"/>
      </w:pPr>
      <w:proofErr w:type="spellStart"/>
      <w:r>
        <w:t>Demirgüç-Kunt</w:t>
      </w:r>
      <w:proofErr w:type="spellEnd"/>
      <w:r>
        <w:t xml:space="preserve">, A., </w:t>
      </w:r>
      <w:proofErr w:type="spellStart"/>
      <w:r>
        <w:t>Klapper</w:t>
      </w:r>
      <w:proofErr w:type="spellEnd"/>
      <w:r>
        <w:t xml:space="preserve">, L., Singer, D., &amp; Van </w:t>
      </w:r>
      <w:proofErr w:type="spellStart"/>
      <w:r>
        <w:t>Oudheusden</w:t>
      </w:r>
      <w:proofErr w:type="spellEnd"/>
      <w:r>
        <w:t xml:space="preserve">, P. (2015). </w:t>
      </w:r>
      <w:r>
        <w:rPr>
          <w:rStyle w:val="Emphasis"/>
        </w:rPr>
        <w:t xml:space="preserve">The Global </w:t>
      </w:r>
      <w:proofErr w:type="spellStart"/>
      <w:r>
        <w:rPr>
          <w:rStyle w:val="Emphasis"/>
        </w:rPr>
        <w:t>Findex</w:t>
      </w:r>
      <w:proofErr w:type="spellEnd"/>
      <w:r>
        <w:rPr>
          <w:rStyle w:val="Emphasis"/>
        </w:rPr>
        <w:t xml:space="preserve"> Database 2014: Measuring financial inclusion around the world</w:t>
      </w:r>
      <w:r>
        <w:t xml:space="preserve">. World Bank. </w:t>
      </w:r>
      <w:hyperlink r:id="rId9" w:tgtFrame="_new" w:history="1">
        <w:r>
          <w:rPr>
            <w:rStyle w:val="Hyperlink"/>
          </w:rPr>
          <w:t>https://www.worldbank.org/en/publication/globalfindex</w:t>
        </w:r>
      </w:hyperlink>
    </w:p>
    <w:p w:rsidR="007176DC" w:rsidRDefault="007176DC" w:rsidP="00B4283F">
      <w:pPr>
        <w:pStyle w:val="NormalWeb"/>
        <w:numPr>
          <w:ilvl w:val="0"/>
          <w:numId w:val="6"/>
        </w:numPr>
        <w:spacing w:line="360" w:lineRule="auto"/>
        <w:ind w:left="714" w:hanging="357"/>
        <w:jc w:val="both"/>
      </w:pPr>
      <w:r>
        <w:t xml:space="preserve">McKinsey &amp; Company. (2016). </w:t>
      </w:r>
      <w:r>
        <w:rPr>
          <w:rStyle w:val="Emphasis"/>
        </w:rPr>
        <w:t>Digital finance for all: Powering inclusive growth in emerging economies</w:t>
      </w:r>
      <w:r>
        <w:t>. McKinsey &amp; Company. https://www.mckinsey.com/business-functions/financial-services/our-insights/digital-finance-for-all</w:t>
      </w:r>
    </w:p>
    <w:p w:rsidR="007176DC" w:rsidRDefault="007176DC" w:rsidP="00B4283F">
      <w:pPr>
        <w:pStyle w:val="NormalWeb"/>
        <w:numPr>
          <w:ilvl w:val="0"/>
          <w:numId w:val="6"/>
        </w:numPr>
        <w:spacing w:line="360" w:lineRule="auto"/>
        <w:ind w:left="714" w:hanging="357"/>
        <w:jc w:val="both"/>
      </w:pPr>
      <w:proofErr w:type="spellStart"/>
      <w:r>
        <w:t>Arner</w:t>
      </w:r>
      <w:proofErr w:type="spellEnd"/>
      <w:r>
        <w:t xml:space="preserve">, D. W., </w:t>
      </w:r>
      <w:proofErr w:type="spellStart"/>
      <w:r>
        <w:t>Barberis</w:t>
      </w:r>
      <w:proofErr w:type="spellEnd"/>
      <w:r>
        <w:t xml:space="preserve">, J., &amp; Buckley, R. P. (2016). The evolution of </w:t>
      </w:r>
      <w:proofErr w:type="spellStart"/>
      <w:r>
        <w:t>FinTech</w:t>
      </w:r>
      <w:proofErr w:type="spellEnd"/>
      <w:r>
        <w:t xml:space="preserve">: A new post-crisis paradigm. </w:t>
      </w:r>
      <w:r>
        <w:rPr>
          <w:rStyle w:val="Emphasis"/>
        </w:rPr>
        <w:t>Georgetown Journal of International Law, 47</w:t>
      </w:r>
      <w:r>
        <w:t xml:space="preserve">(4), 1271–1319. </w:t>
      </w:r>
      <w:hyperlink r:id="rId10" w:tgtFrame="_new" w:history="1">
        <w:r>
          <w:rPr>
            <w:rStyle w:val="Hyperlink"/>
          </w:rPr>
          <w:t>https://www.law.georgetown.edu/international-law-journal/</w:t>
        </w:r>
      </w:hyperlink>
    </w:p>
    <w:p w:rsidR="007176DC" w:rsidRDefault="007176DC" w:rsidP="007176DC"/>
    <w:p w:rsidR="003C3944" w:rsidRPr="007176DC" w:rsidRDefault="003C3944" w:rsidP="007176DC">
      <w:pPr>
        <w:sectPr w:rsidR="003C3944" w:rsidRPr="007176DC" w:rsidSect="00D8564B">
          <w:pgSz w:w="12240" w:h="15840"/>
          <w:pgMar w:top="1135" w:right="1080" w:bottom="280" w:left="1440" w:header="720" w:footer="720" w:gutter="0"/>
          <w:cols w:space="720"/>
        </w:sectPr>
      </w:pPr>
    </w:p>
    <w:p w:rsidR="003C3944" w:rsidRPr="007176DC" w:rsidRDefault="003C3944" w:rsidP="007176DC">
      <w:pPr>
        <w:rPr>
          <w:b/>
          <w:sz w:val="24"/>
        </w:rPr>
        <w:sectPr w:rsidR="003C3944" w:rsidRPr="007176DC">
          <w:pgSz w:w="12240" w:h="15840"/>
          <w:pgMar w:top="1380" w:right="1080" w:bottom="280" w:left="1440" w:header="720" w:footer="720" w:gutter="0"/>
          <w:cols w:space="720"/>
        </w:sectPr>
      </w:pPr>
      <w:bookmarkStart w:id="10" w:name="3._Methodology"/>
      <w:bookmarkEnd w:id="10"/>
    </w:p>
    <w:p w:rsidR="003C3944" w:rsidRDefault="003C3944" w:rsidP="007176DC">
      <w:pPr>
        <w:pStyle w:val="Heading1"/>
        <w:tabs>
          <w:tab w:val="left" w:pos="282"/>
        </w:tabs>
        <w:spacing w:before="58"/>
        <w:ind w:left="0" w:firstLine="0"/>
        <w:rPr>
          <w:b w:val="0"/>
          <w:sz w:val="24"/>
        </w:rPr>
      </w:pPr>
      <w:bookmarkStart w:id="11" w:name="5._Conclusion"/>
      <w:bookmarkEnd w:id="11"/>
    </w:p>
    <w:sectPr w:rsidR="003C3944" w:rsidSect="003C3944">
      <w:pgSz w:w="12240" w:h="15840"/>
      <w:pgMar w:top="1380" w:right="108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F3" w:rsidRDefault="001C53F3" w:rsidP="00D8564B">
      <w:r>
        <w:separator/>
      </w:r>
    </w:p>
  </w:endnote>
  <w:endnote w:type="continuationSeparator" w:id="0">
    <w:p w:rsidR="001C53F3" w:rsidRDefault="001C53F3" w:rsidP="00D8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F3" w:rsidRDefault="001C53F3" w:rsidP="00D8564B">
      <w:r>
        <w:separator/>
      </w:r>
    </w:p>
  </w:footnote>
  <w:footnote w:type="continuationSeparator" w:id="0">
    <w:p w:rsidR="001C53F3" w:rsidRDefault="001C53F3" w:rsidP="00D85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A2E"/>
    <w:multiLevelType w:val="hybridMultilevel"/>
    <w:tmpl w:val="63982222"/>
    <w:lvl w:ilvl="0" w:tplc="E8965364">
      <w:start w:val="1"/>
      <w:numFmt w:val="decimal"/>
      <w:lvlText w:val="%1."/>
      <w:lvlJc w:val="left"/>
      <w:pPr>
        <w:ind w:left="283" w:hanging="284"/>
      </w:pPr>
      <w:rPr>
        <w:rFonts w:hint="default"/>
        <w:spacing w:val="0"/>
        <w:w w:val="99"/>
        <w:lang w:val="en-US" w:eastAsia="en-US" w:bidi="ar-SA"/>
      </w:rPr>
    </w:lvl>
    <w:lvl w:ilvl="1" w:tplc="92F2C184">
      <w:numFmt w:val="none"/>
      <w:lvlText w:val=""/>
      <w:lvlJc w:val="left"/>
      <w:pPr>
        <w:tabs>
          <w:tab w:val="num" w:pos="360"/>
        </w:tabs>
      </w:pPr>
    </w:lvl>
    <w:lvl w:ilvl="2" w:tplc="64128DF8">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3" w:tplc="DCC882CC">
      <w:numFmt w:val="bullet"/>
      <w:lvlText w:val="•"/>
      <w:lvlJc w:val="left"/>
      <w:pPr>
        <w:ind w:left="1845" w:hanging="361"/>
      </w:pPr>
      <w:rPr>
        <w:rFonts w:hint="default"/>
        <w:lang w:val="en-US" w:eastAsia="en-US" w:bidi="ar-SA"/>
      </w:rPr>
    </w:lvl>
    <w:lvl w:ilvl="4" w:tplc="36E8E30C">
      <w:numFmt w:val="bullet"/>
      <w:lvlText w:val="•"/>
      <w:lvlJc w:val="left"/>
      <w:pPr>
        <w:ind w:left="2970" w:hanging="361"/>
      </w:pPr>
      <w:rPr>
        <w:rFonts w:hint="default"/>
        <w:lang w:val="en-US" w:eastAsia="en-US" w:bidi="ar-SA"/>
      </w:rPr>
    </w:lvl>
    <w:lvl w:ilvl="5" w:tplc="F3CC8DAE">
      <w:numFmt w:val="bullet"/>
      <w:lvlText w:val="•"/>
      <w:lvlJc w:val="left"/>
      <w:pPr>
        <w:ind w:left="4095" w:hanging="361"/>
      </w:pPr>
      <w:rPr>
        <w:rFonts w:hint="default"/>
        <w:lang w:val="en-US" w:eastAsia="en-US" w:bidi="ar-SA"/>
      </w:rPr>
    </w:lvl>
    <w:lvl w:ilvl="6" w:tplc="B4C09E78">
      <w:numFmt w:val="bullet"/>
      <w:lvlText w:val="•"/>
      <w:lvlJc w:val="left"/>
      <w:pPr>
        <w:ind w:left="5220" w:hanging="361"/>
      </w:pPr>
      <w:rPr>
        <w:rFonts w:hint="default"/>
        <w:lang w:val="en-US" w:eastAsia="en-US" w:bidi="ar-SA"/>
      </w:rPr>
    </w:lvl>
    <w:lvl w:ilvl="7" w:tplc="0548DE4E">
      <w:numFmt w:val="bullet"/>
      <w:lvlText w:val="•"/>
      <w:lvlJc w:val="left"/>
      <w:pPr>
        <w:ind w:left="6345" w:hanging="361"/>
      </w:pPr>
      <w:rPr>
        <w:rFonts w:hint="default"/>
        <w:lang w:val="en-US" w:eastAsia="en-US" w:bidi="ar-SA"/>
      </w:rPr>
    </w:lvl>
    <w:lvl w:ilvl="8" w:tplc="153874E0">
      <w:numFmt w:val="bullet"/>
      <w:lvlText w:val="•"/>
      <w:lvlJc w:val="left"/>
      <w:pPr>
        <w:ind w:left="7470" w:hanging="361"/>
      </w:pPr>
      <w:rPr>
        <w:rFonts w:hint="default"/>
        <w:lang w:val="en-US" w:eastAsia="en-US" w:bidi="ar-SA"/>
      </w:rPr>
    </w:lvl>
  </w:abstractNum>
  <w:abstractNum w:abstractNumId="1">
    <w:nsid w:val="0F0E5090"/>
    <w:multiLevelType w:val="hybridMultilevel"/>
    <w:tmpl w:val="EC4259E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259F0899"/>
    <w:multiLevelType w:val="hybridMultilevel"/>
    <w:tmpl w:val="2E68D8FA"/>
    <w:lvl w:ilvl="0" w:tplc="A57ADEAA">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AAD656DC">
      <w:numFmt w:val="bullet"/>
      <w:lvlText w:val="•"/>
      <w:lvlJc w:val="left"/>
      <w:pPr>
        <w:ind w:left="1620" w:hanging="361"/>
      </w:pPr>
      <w:rPr>
        <w:rFonts w:hint="default"/>
        <w:lang w:val="en-US" w:eastAsia="en-US" w:bidi="ar-SA"/>
      </w:rPr>
    </w:lvl>
    <w:lvl w:ilvl="2" w:tplc="9A60E7AA">
      <w:numFmt w:val="bullet"/>
      <w:lvlText w:val="•"/>
      <w:lvlJc w:val="left"/>
      <w:pPr>
        <w:ind w:left="2520" w:hanging="361"/>
      </w:pPr>
      <w:rPr>
        <w:rFonts w:hint="default"/>
        <w:lang w:val="en-US" w:eastAsia="en-US" w:bidi="ar-SA"/>
      </w:rPr>
    </w:lvl>
    <w:lvl w:ilvl="3" w:tplc="00529C6C">
      <w:numFmt w:val="bullet"/>
      <w:lvlText w:val="•"/>
      <w:lvlJc w:val="left"/>
      <w:pPr>
        <w:ind w:left="3420" w:hanging="361"/>
      </w:pPr>
      <w:rPr>
        <w:rFonts w:hint="default"/>
        <w:lang w:val="en-US" w:eastAsia="en-US" w:bidi="ar-SA"/>
      </w:rPr>
    </w:lvl>
    <w:lvl w:ilvl="4" w:tplc="78804608">
      <w:numFmt w:val="bullet"/>
      <w:lvlText w:val="•"/>
      <w:lvlJc w:val="left"/>
      <w:pPr>
        <w:ind w:left="4320" w:hanging="361"/>
      </w:pPr>
      <w:rPr>
        <w:rFonts w:hint="default"/>
        <w:lang w:val="en-US" w:eastAsia="en-US" w:bidi="ar-SA"/>
      </w:rPr>
    </w:lvl>
    <w:lvl w:ilvl="5" w:tplc="1A101F22">
      <w:numFmt w:val="bullet"/>
      <w:lvlText w:val="•"/>
      <w:lvlJc w:val="left"/>
      <w:pPr>
        <w:ind w:left="5220" w:hanging="361"/>
      </w:pPr>
      <w:rPr>
        <w:rFonts w:hint="default"/>
        <w:lang w:val="en-US" w:eastAsia="en-US" w:bidi="ar-SA"/>
      </w:rPr>
    </w:lvl>
    <w:lvl w:ilvl="6" w:tplc="AECEB32E">
      <w:numFmt w:val="bullet"/>
      <w:lvlText w:val="•"/>
      <w:lvlJc w:val="left"/>
      <w:pPr>
        <w:ind w:left="6120" w:hanging="361"/>
      </w:pPr>
      <w:rPr>
        <w:rFonts w:hint="default"/>
        <w:lang w:val="en-US" w:eastAsia="en-US" w:bidi="ar-SA"/>
      </w:rPr>
    </w:lvl>
    <w:lvl w:ilvl="7" w:tplc="615EADE4">
      <w:numFmt w:val="bullet"/>
      <w:lvlText w:val="•"/>
      <w:lvlJc w:val="left"/>
      <w:pPr>
        <w:ind w:left="7020" w:hanging="361"/>
      </w:pPr>
      <w:rPr>
        <w:rFonts w:hint="default"/>
        <w:lang w:val="en-US" w:eastAsia="en-US" w:bidi="ar-SA"/>
      </w:rPr>
    </w:lvl>
    <w:lvl w:ilvl="8" w:tplc="6EFE62D2">
      <w:numFmt w:val="bullet"/>
      <w:lvlText w:val="•"/>
      <w:lvlJc w:val="left"/>
      <w:pPr>
        <w:ind w:left="7920" w:hanging="361"/>
      </w:pPr>
      <w:rPr>
        <w:rFonts w:hint="default"/>
        <w:lang w:val="en-US" w:eastAsia="en-US" w:bidi="ar-SA"/>
      </w:rPr>
    </w:lvl>
  </w:abstractNum>
  <w:abstractNum w:abstractNumId="3">
    <w:nsid w:val="337C55D5"/>
    <w:multiLevelType w:val="hybridMultilevel"/>
    <w:tmpl w:val="87EE3168"/>
    <w:lvl w:ilvl="0" w:tplc="B442F8BA">
      <w:start w:val="1"/>
      <w:numFmt w:val="decimal"/>
      <w:lvlText w:val="%1."/>
      <w:lvlJc w:val="left"/>
      <w:pPr>
        <w:ind w:left="721" w:hanging="361"/>
      </w:pPr>
      <w:rPr>
        <w:rFonts w:ascii="Times New Roman" w:eastAsia="Times New Roman" w:hAnsi="Times New Roman" w:cs="Times New Roman" w:hint="default"/>
        <w:b/>
        <w:bCs/>
        <w:i w:val="0"/>
        <w:iCs w:val="0"/>
        <w:spacing w:val="0"/>
        <w:w w:val="100"/>
        <w:sz w:val="24"/>
        <w:szCs w:val="24"/>
        <w:lang w:val="en-US" w:eastAsia="en-US" w:bidi="ar-SA"/>
      </w:rPr>
    </w:lvl>
    <w:lvl w:ilvl="1" w:tplc="A7BC6AB8">
      <w:numFmt w:val="bullet"/>
      <w:lvlText w:val="•"/>
      <w:lvlJc w:val="left"/>
      <w:pPr>
        <w:ind w:left="1620" w:hanging="361"/>
      </w:pPr>
      <w:rPr>
        <w:rFonts w:hint="default"/>
        <w:lang w:val="en-US" w:eastAsia="en-US" w:bidi="ar-SA"/>
      </w:rPr>
    </w:lvl>
    <w:lvl w:ilvl="2" w:tplc="92E04310">
      <w:numFmt w:val="bullet"/>
      <w:lvlText w:val="•"/>
      <w:lvlJc w:val="left"/>
      <w:pPr>
        <w:ind w:left="2520" w:hanging="361"/>
      </w:pPr>
      <w:rPr>
        <w:rFonts w:hint="default"/>
        <w:lang w:val="en-US" w:eastAsia="en-US" w:bidi="ar-SA"/>
      </w:rPr>
    </w:lvl>
    <w:lvl w:ilvl="3" w:tplc="3B50EDFA">
      <w:numFmt w:val="bullet"/>
      <w:lvlText w:val="•"/>
      <w:lvlJc w:val="left"/>
      <w:pPr>
        <w:ind w:left="3420" w:hanging="361"/>
      </w:pPr>
      <w:rPr>
        <w:rFonts w:hint="default"/>
        <w:lang w:val="en-US" w:eastAsia="en-US" w:bidi="ar-SA"/>
      </w:rPr>
    </w:lvl>
    <w:lvl w:ilvl="4" w:tplc="1164A124">
      <w:numFmt w:val="bullet"/>
      <w:lvlText w:val="•"/>
      <w:lvlJc w:val="left"/>
      <w:pPr>
        <w:ind w:left="4320" w:hanging="361"/>
      </w:pPr>
      <w:rPr>
        <w:rFonts w:hint="default"/>
        <w:lang w:val="en-US" w:eastAsia="en-US" w:bidi="ar-SA"/>
      </w:rPr>
    </w:lvl>
    <w:lvl w:ilvl="5" w:tplc="49B299CE">
      <w:numFmt w:val="bullet"/>
      <w:lvlText w:val="•"/>
      <w:lvlJc w:val="left"/>
      <w:pPr>
        <w:ind w:left="5220" w:hanging="361"/>
      </w:pPr>
      <w:rPr>
        <w:rFonts w:hint="default"/>
        <w:lang w:val="en-US" w:eastAsia="en-US" w:bidi="ar-SA"/>
      </w:rPr>
    </w:lvl>
    <w:lvl w:ilvl="6" w:tplc="0A20D958">
      <w:numFmt w:val="bullet"/>
      <w:lvlText w:val="•"/>
      <w:lvlJc w:val="left"/>
      <w:pPr>
        <w:ind w:left="6120" w:hanging="361"/>
      </w:pPr>
      <w:rPr>
        <w:rFonts w:hint="default"/>
        <w:lang w:val="en-US" w:eastAsia="en-US" w:bidi="ar-SA"/>
      </w:rPr>
    </w:lvl>
    <w:lvl w:ilvl="7" w:tplc="C7406180">
      <w:numFmt w:val="bullet"/>
      <w:lvlText w:val="•"/>
      <w:lvlJc w:val="left"/>
      <w:pPr>
        <w:ind w:left="7020" w:hanging="361"/>
      </w:pPr>
      <w:rPr>
        <w:rFonts w:hint="default"/>
        <w:lang w:val="en-US" w:eastAsia="en-US" w:bidi="ar-SA"/>
      </w:rPr>
    </w:lvl>
    <w:lvl w:ilvl="8" w:tplc="F2D46E8C">
      <w:numFmt w:val="bullet"/>
      <w:lvlText w:val="•"/>
      <w:lvlJc w:val="left"/>
      <w:pPr>
        <w:ind w:left="7920" w:hanging="361"/>
      </w:pPr>
      <w:rPr>
        <w:rFonts w:hint="default"/>
        <w:lang w:val="en-US" w:eastAsia="en-US" w:bidi="ar-SA"/>
      </w:rPr>
    </w:lvl>
  </w:abstractNum>
  <w:abstractNum w:abstractNumId="4">
    <w:nsid w:val="34073302"/>
    <w:multiLevelType w:val="hybridMultilevel"/>
    <w:tmpl w:val="178480A8"/>
    <w:lvl w:ilvl="0" w:tplc="17E4EA64">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BE3A3B56">
      <w:numFmt w:val="bullet"/>
      <w:lvlText w:val="•"/>
      <w:lvlJc w:val="left"/>
      <w:pPr>
        <w:ind w:left="1620" w:hanging="361"/>
      </w:pPr>
      <w:rPr>
        <w:rFonts w:hint="default"/>
        <w:lang w:val="en-US" w:eastAsia="en-US" w:bidi="ar-SA"/>
      </w:rPr>
    </w:lvl>
    <w:lvl w:ilvl="2" w:tplc="A516B6D6">
      <w:numFmt w:val="bullet"/>
      <w:lvlText w:val="•"/>
      <w:lvlJc w:val="left"/>
      <w:pPr>
        <w:ind w:left="2520" w:hanging="361"/>
      </w:pPr>
      <w:rPr>
        <w:rFonts w:hint="default"/>
        <w:lang w:val="en-US" w:eastAsia="en-US" w:bidi="ar-SA"/>
      </w:rPr>
    </w:lvl>
    <w:lvl w:ilvl="3" w:tplc="C7D023D8">
      <w:numFmt w:val="bullet"/>
      <w:lvlText w:val="•"/>
      <w:lvlJc w:val="left"/>
      <w:pPr>
        <w:ind w:left="3420" w:hanging="361"/>
      </w:pPr>
      <w:rPr>
        <w:rFonts w:hint="default"/>
        <w:lang w:val="en-US" w:eastAsia="en-US" w:bidi="ar-SA"/>
      </w:rPr>
    </w:lvl>
    <w:lvl w:ilvl="4" w:tplc="8AE62652">
      <w:numFmt w:val="bullet"/>
      <w:lvlText w:val="•"/>
      <w:lvlJc w:val="left"/>
      <w:pPr>
        <w:ind w:left="4320" w:hanging="361"/>
      </w:pPr>
      <w:rPr>
        <w:rFonts w:hint="default"/>
        <w:lang w:val="en-US" w:eastAsia="en-US" w:bidi="ar-SA"/>
      </w:rPr>
    </w:lvl>
    <w:lvl w:ilvl="5" w:tplc="6A4A2F7C">
      <w:numFmt w:val="bullet"/>
      <w:lvlText w:val="•"/>
      <w:lvlJc w:val="left"/>
      <w:pPr>
        <w:ind w:left="5220" w:hanging="361"/>
      </w:pPr>
      <w:rPr>
        <w:rFonts w:hint="default"/>
        <w:lang w:val="en-US" w:eastAsia="en-US" w:bidi="ar-SA"/>
      </w:rPr>
    </w:lvl>
    <w:lvl w:ilvl="6" w:tplc="1D5EE452">
      <w:numFmt w:val="bullet"/>
      <w:lvlText w:val="•"/>
      <w:lvlJc w:val="left"/>
      <w:pPr>
        <w:ind w:left="6120" w:hanging="361"/>
      </w:pPr>
      <w:rPr>
        <w:rFonts w:hint="default"/>
        <w:lang w:val="en-US" w:eastAsia="en-US" w:bidi="ar-SA"/>
      </w:rPr>
    </w:lvl>
    <w:lvl w:ilvl="7" w:tplc="D20E1260">
      <w:numFmt w:val="bullet"/>
      <w:lvlText w:val="•"/>
      <w:lvlJc w:val="left"/>
      <w:pPr>
        <w:ind w:left="7020" w:hanging="361"/>
      </w:pPr>
      <w:rPr>
        <w:rFonts w:hint="default"/>
        <w:lang w:val="en-US" w:eastAsia="en-US" w:bidi="ar-SA"/>
      </w:rPr>
    </w:lvl>
    <w:lvl w:ilvl="8" w:tplc="55DC4E9C">
      <w:numFmt w:val="bullet"/>
      <w:lvlText w:val="•"/>
      <w:lvlJc w:val="left"/>
      <w:pPr>
        <w:ind w:left="7920" w:hanging="361"/>
      </w:pPr>
      <w:rPr>
        <w:rFonts w:hint="default"/>
        <w:lang w:val="en-US" w:eastAsia="en-US" w:bidi="ar-SA"/>
      </w:rPr>
    </w:lvl>
  </w:abstractNum>
  <w:abstractNum w:abstractNumId="5">
    <w:nsid w:val="73792CC3"/>
    <w:multiLevelType w:val="multilevel"/>
    <w:tmpl w:val="E8B2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3C3944"/>
    <w:rsid w:val="0009585D"/>
    <w:rsid w:val="000B392F"/>
    <w:rsid w:val="000D7068"/>
    <w:rsid w:val="001C53F3"/>
    <w:rsid w:val="00344592"/>
    <w:rsid w:val="003C3944"/>
    <w:rsid w:val="0056298B"/>
    <w:rsid w:val="005D6920"/>
    <w:rsid w:val="005F2714"/>
    <w:rsid w:val="0060273D"/>
    <w:rsid w:val="006A4F64"/>
    <w:rsid w:val="006F599B"/>
    <w:rsid w:val="007176DC"/>
    <w:rsid w:val="00776102"/>
    <w:rsid w:val="007F13AF"/>
    <w:rsid w:val="00845EE5"/>
    <w:rsid w:val="00A807F2"/>
    <w:rsid w:val="00B4283F"/>
    <w:rsid w:val="00B50CEA"/>
    <w:rsid w:val="00C10713"/>
    <w:rsid w:val="00C55038"/>
    <w:rsid w:val="00CE17DE"/>
    <w:rsid w:val="00D8564B"/>
    <w:rsid w:val="00E46B86"/>
    <w:rsid w:val="00E52E38"/>
    <w:rsid w:val="00F21BF6"/>
    <w:rsid w:val="00FC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3944"/>
    <w:rPr>
      <w:rFonts w:ascii="Times New Roman" w:eastAsia="Times New Roman" w:hAnsi="Times New Roman" w:cs="Times New Roman"/>
    </w:rPr>
  </w:style>
  <w:style w:type="paragraph" w:styleId="Heading1">
    <w:name w:val="heading 1"/>
    <w:basedOn w:val="Normal"/>
    <w:uiPriority w:val="1"/>
    <w:qFormat/>
    <w:rsid w:val="003C3944"/>
    <w:pPr>
      <w:ind w:left="282"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C3944"/>
    <w:rPr>
      <w:sz w:val="24"/>
      <w:szCs w:val="24"/>
    </w:rPr>
  </w:style>
  <w:style w:type="paragraph" w:styleId="Title">
    <w:name w:val="Title"/>
    <w:basedOn w:val="Normal"/>
    <w:uiPriority w:val="1"/>
    <w:qFormat/>
    <w:rsid w:val="003C3944"/>
    <w:pPr>
      <w:spacing w:before="59"/>
      <w:ind w:left="43"/>
    </w:pPr>
    <w:rPr>
      <w:b/>
      <w:bCs/>
      <w:sz w:val="32"/>
      <w:szCs w:val="32"/>
    </w:rPr>
  </w:style>
  <w:style w:type="paragraph" w:styleId="ListParagraph">
    <w:name w:val="List Paragraph"/>
    <w:basedOn w:val="Normal"/>
    <w:uiPriority w:val="1"/>
    <w:qFormat/>
    <w:rsid w:val="003C3944"/>
    <w:pPr>
      <w:ind w:left="720" w:hanging="361"/>
    </w:pPr>
  </w:style>
  <w:style w:type="paragraph" w:customStyle="1" w:styleId="TableParagraph">
    <w:name w:val="Table Paragraph"/>
    <w:basedOn w:val="Normal"/>
    <w:uiPriority w:val="1"/>
    <w:qFormat/>
    <w:rsid w:val="003C3944"/>
  </w:style>
  <w:style w:type="paragraph" w:styleId="NormalWeb">
    <w:name w:val="Normal (Web)"/>
    <w:basedOn w:val="Normal"/>
    <w:uiPriority w:val="99"/>
    <w:unhideWhenUsed/>
    <w:rsid w:val="00A807F2"/>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D8564B"/>
    <w:pPr>
      <w:tabs>
        <w:tab w:val="center" w:pos="4680"/>
        <w:tab w:val="right" w:pos="9360"/>
      </w:tabs>
    </w:pPr>
  </w:style>
  <w:style w:type="character" w:customStyle="1" w:styleId="HeaderChar">
    <w:name w:val="Header Char"/>
    <w:basedOn w:val="DefaultParagraphFont"/>
    <w:link w:val="Header"/>
    <w:uiPriority w:val="99"/>
    <w:semiHidden/>
    <w:rsid w:val="00D8564B"/>
    <w:rPr>
      <w:rFonts w:ascii="Times New Roman" w:eastAsia="Times New Roman" w:hAnsi="Times New Roman" w:cs="Times New Roman"/>
    </w:rPr>
  </w:style>
  <w:style w:type="paragraph" w:styleId="Footer">
    <w:name w:val="footer"/>
    <w:basedOn w:val="Normal"/>
    <w:link w:val="FooterChar"/>
    <w:uiPriority w:val="99"/>
    <w:semiHidden/>
    <w:unhideWhenUsed/>
    <w:rsid w:val="00D8564B"/>
    <w:pPr>
      <w:tabs>
        <w:tab w:val="center" w:pos="4680"/>
        <w:tab w:val="right" w:pos="9360"/>
      </w:tabs>
    </w:pPr>
  </w:style>
  <w:style w:type="character" w:customStyle="1" w:styleId="FooterChar">
    <w:name w:val="Footer Char"/>
    <w:basedOn w:val="DefaultParagraphFont"/>
    <w:link w:val="Footer"/>
    <w:uiPriority w:val="99"/>
    <w:semiHidden/>
    <w:rsid w:val="00D8564B"/>
    <w:rPr>
      <w:rFonts w:ascii="Times New Roman" w:eastAsia="Times New Roman" w:hAnsi="Times New Roman" w:cs="Times New Roman"/>
    </w:rPr>
  </w:style>
  <w:style w:type="character" w:customStyle="1" w:styleId="whitespace-normal">
    <w:name w:val="whitespace-normal"/>
    <w:basedOn w:val="DefaultParagraphFont"/>
    <w:rsid w:val="005F2714"/>
  </w:style>
  <w:style w:type="character" w:styleId="Strong">
    <w:name w:val="Strong"/>
    <w:basedOn w:val="DefaultParagraphFont"/>
    <w:uiPriority w:val="22"/>
    <w:qFormat/>
    <w:rsid w:val="00344592"/>
    <w:rPr>
      <w:b/>
      <w:bCs/>
    </w:rPr>
  </w:style>
  <w:style w:type="character" w:styleId="Emphasis">
    <w:name w:val="Emphasis"/>
    <w:basedOn w:val="DefaultParagraphFont"/>
    <w:uiPriority w:val="20"/>
    <w:qFormat/>
    <w:rsid w:val="007176DC"/>
    <w:rPr>
      <w:i/>
      <w:iCs/>
    </w:rPr>
  </w:style>
  <w:style w:type="character" w:styleId="Hyperlink">
    <w:name w:val="Hyperlink"/>
    <w:basedOn w:val="DefaultParagraphFont"/>
    <w:uiPriority w:val="99"/>
    <w:unhideWhenUsed/>
    <w:rsid w:val="007176DC"/>
    <w:rPr>
      <w:color w:val="0000FF"/>
      <w:u w:val="single"/>
    </w:rPr>
  </w:style>
  <w:style w:type="paragraph" w:customStyle="1" w:styleId="Default">
    <w:name w:val="Default"/>
    <w:rsid w:val="00C10713"/>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03631">
      <w:bodyDiv w:val="1"/>
      <w:marLeft w:val="0"/>
      <w:marRight w:val="0"/>
      <w:marTop w:val="0"/>
      <w:marBottom w:val="0"/>
      <w:divBdr>
        <w:top w:val="none" w:sz="0" w:space="0" w:color="auto"/>
        <w:left w:val="none" w:sz="0" w:space="0" w:color="auto"/>
        <w:bottom w:val="none" w:sz="0" w:space="0" w:color="auto"/>
        <w:right w:val="none" w:sz="0" w:space="0" w:color="auto"/>
      </w:divBdr>
    </w:div>
    <w:div w:id="436995814">
      <w:bodyDiv w:val="1"/>
      <w:marLeft w:val="0"/>
      <w:marRight w:val="0"/>
      <w:marTop w:val="0"/>
      <w:marBottom w:val="0"/>
      <w:divBdr>
        <w:top w:val="none" w:sz="0" w:space="0" w:color="auto"/>
        <w:left w:val="none" w:sz="0" w:space="0" w:color="auto"/>
        <w:bottom w:val="none" w:sz="0" w:space="0" w:color="auto"/>
        <w:right w:val="none" w:sz="0" w:space="0" w:color="auto"/>
      </w:divBdr>
    </w:div>
    <w:div w:id="959605424">
      <w:bodyDiv w:val="1"/>
      <w:marLeft w:val="0"/>
      <w:marRight w:val="0"/>
      <w:marTop w:val="0"/>
      <w:marBottom w:val="0"/>
      <w:divBdr>
        <w:top w:val="none" w:sz="0" w:space="0" w:color="auto"/>
        <w:left w:val="none" w:sz="0" w:space="0" w:color="auto"/>
        <w:bottom w:val="none" w:sz="0" w:space="0" w:color="auto"/>
        <w:right w:val="none" w:sz="0" w:space="0" w:color="auto"/>
      </w:divBdr>
    </w:div>
    <w:div w:id="1474106296">
      <w:bodyDiv w:val="1"/>
      <w:marLeft w:val="0"/>
      <w:marRight w:val="0"/>
      <w:marTop w:val="0"/>
      <w:marBottom w:val="0"/>
      <w:divBdr>
        <w:top w:val="none" w:sz="0" w:space="0" w:color="auto"/>
        <w:left w:val="none" w:sz="0" w:space="0" w:color="auto"/>
        <w:bottom w:val="none" w:sz="0" w:space="0" w:color="auto"/>
        <w:right w:val="none" w:sz="0" w:space="0" w:color="auto"/>
      </w:divBdr>
    </w:div>
    <w:div w:id="1570848100">
      <w:bodyDiv w:val="1"/>
      <w:marLeft w:val="0"/>
      <w:marRight w:val="0"/>
      <w:marTop w:val="0"/>
      <w:marBottom w:val="0"/>
      <w:divBdr>
        <w:top w:val="none" w:sz="0" w:space="0" w:color="auto"/>
        <w:left w:val="none" w:sz="0" w:space="0" w:color="auto"/>
        <w:bottom w:val="none" w:sz="0" w:space="0" w:color="auto"/>
        <w:right w:val="none" w:sz="0" w:space="0" w:color="auto"/>
      </w:divBdr>
    </w:div>
    <w:div w:id="1868829688">
      <w:bodyDiv w:val="1"/>
      <w:marLeft w:val="0"/>
      <w:marRight w:val="0"/>
      <w:marTop w:val="0"/>
      <w:marBottom w:val="0"/>
      <w:divBdr>
        <w:top w:val="none" w:sz="0" w:space="0" w:color="auto"/>
        <w:left w:val="none" w:sz="0" w:space="0" w:color="auto"/>
        <w:bottom w:val="none" w:sz="0" w:space="0" w:color="auto"/>
        <w:right w:val="none" w:sz="0" w:space="0" w:color="auto"/>
      </w:divBdr>
    </w:div>
    <w:div w:id="1872264149">
      <w:bodyDiv w:val="1"/>
      <w:marLeft w:val="0"/>
      <w:marRight w:val="0"/>
      <w:marTop w:val="0"/>
      <w:marBottom w:val="0"/>
      <w:divBdr>
        <w:top w:val="none" w:sz="0" w:space="0" w:color="auto"/>
        <w:left w:val="none" w:sz="0" w:space="0" w:color="auto"/>
        <w:bottom w:val="none" w:sz="0" w:space="0" w:color="auto"/>
        <w:right w:val="none" w:sz="0" w:space="0" w:color="auto"/>
      </w:divBdr>
    </w:div>
    <w:div w:id="1996688490">
      <w:bodyDiv w:val="1"/>
      <w:marLeft w:val="0"/>
      <w:marRight w:val="0"/>
      <w:marTop w:val="0"/>
      <w:marBottom w:val="0"/>
      <w:divBdr>
        <w:top w:val="none" w:sz="0" w:space="0" w:color="auto"/>
        <w:left w:val="none" w:sz="0" w:space="0" w:color="auto"/>
        <w:bottom w:val="none" w:sz="0" w:space="0" w:color="auto"/>
        <w:right w:val="none" w:sz="0" w:space="0" w:color="auto"/>
      </w:divBdr>
    </w:div>
    <w:div w:id="2051611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ublication/globalfinde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w.georgetown.edu/international-law-journal/" TargetMode="External"/><Relationship Id="rId4" Type="http://schemas.openxmlformats.org/officeDocument/2006/relationships/settings" Target="settings.xml"/><Relationship Id="rId9" Type="http://schemas.openxmlformats.org/officeDocument/2006/relationships/hyperlink" Target="https://www.worldbank.org/en/publication/globalf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Sinchana S</dc:creator>
  <cp:lastModifiedBy>qwert</cp:lastModifiedBy>
  <cp:revision>20</cp:revision>
  <dcterms:created xsi:type="dcterms:W3CDTF">2026-03-20T13:57:00Z</dcterms:created>
  <dcterms:modified xsi:type="dcterms:W3CDTF">2026-03-21T11:54:00Z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2016</vt:lpwstr>
  </property>
  <property fmtid="{D5CDD505-2E9C-101B-9397-08002B2CF9AE}" pid="4" name="LastSaved">
    <vt:filetime>2026-03-20T00:00:00Z</vt:filetime>
  </property>
  <property fmtid="{D5CDD505-2E9C-101B-9397-08002B2CF9AE}" pid="5" name="Producer">
    <vt:lpwstr>www.ilovepdf.com</vt:lpwstr>
  </property>
</Properties>
</file>