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1AB357" w14:textId="591C9F6F" w:rsidR="001E2BEB" w:rsidRPr="00031715" w:rsidRDefault="001E2BEB" w:rsidP="001520DC">
      <w:pPr>
        <w:pStyle w:val="NormalWeb"/>
        <w:jc w:val="center"/>
        <w:rPr>
          <w:sz w:val="36"/>
          <w:szCs w:val="36"/>
        </w:rPr>
      </w:pPr>
      <w:r w:rsidRPr="00031715">
        <w:rPr>
          <w:b/>
          <w:bCs/>
          <w:sz w:val="36"/>
          <w:szCs w:val="36"/>
        </w:rPr>
        <w:t>Towards universal health coverage in Mali: the pivotal role and lim</w:t>
      </w:r>
      <w:r w:rsidRPr="00031715">
        <w:rPr>
          <w:b/>
          <w:bCs/>
          <w:sz w:val="36"/>
          <w:szCs w:val="36"/>
        </w:rPr>
        <w:t>i</w:t>
      </w:r>
      <w:r w:rsidRPr="00031715">
        <w:rPr>
          <w:b/>
          <w:bCs/>
          <w:sz w:val="36"/>
          <w:szCs w:val="36"/>
        </w:rPr>
        <w:t>tations of community health workers in the fight against malnutr</w:t>
      </w:r>
      <w:r w:rsidRPr="00031715">
        <w:rPr>
          <w:b/>
          <w:bCs/>
          <w:sz w:val="36"/>
          <w:szCs w:val="36"/>
        </w:rPr>
        <w:t>i</w:t>
      </w:r>
      <w:r w:rsidRPr="00031715">
        <w:rPr>
          <w:b/>
          <w:bCs/>
          <w:sz w:val="36"/>
          <w:szCs w:val="36"/>
        </w:rPr>
        <w:t>tion</w:t>
      </w:r>
      <w:r w:rsidR="003E5FCA" w:rsidRPr="00031715">
        <w:rPr>
          <w:sz w:val="36"/>
          <w:szCs w:val="36"/>
        </w:rPr>
        <w:t xml:space="preserve"> </w:t>
      </w:r>
      <w:r w:rsidR="003E5FCA" w:rsidRPr="00BD1533">
        <w:rPr>
          <w:b/>
          <w:bCs/>
          <w:sz w:val="36"/>
          <w:szCs w:val="36"/>
        </w:rPr>
        <w:t>2015-2024</w:t>
      </w:r>
    </w:p>
    <w:p w14:paraId="6417A7D2" w14:textId="19564E6C" w:rsidR="0001452D" w:rsidRPr="00212D93" w:rsidRDefault="0001452D" w:rsidP="008556F9">
      <w:pPr>
        <w:spacing w:before="240" w:after="240" w:line="240" w:lineRule="auto"/>
        <w:jc w:val="both"/>
        <w:rPr>
          <w:rFonts w:ascii="Times New Roman" w:hAnsi="Times New Roman"/>
          <w:b/>
          <w:bCs/>
          <w:sz w:val="28"/>
          <w:szCs w:val="28"/>
          <w:lang w:eastAsia="fr-FR"/>
        </w:rPr>
      </w:pPr>
      <w:bookmarkStart w:id="0" w:name="_GoBack"/>
      <w:bookmarkEnd w:id="0"/>
      <w:r w:rsidRPr="00212D93">
        <w:rPr>
          <w:rFonts w:ascii="Times New Roman" w:hAnsi="Times New Roman"/>
          <w:b/>
          <w:bCs/>
          <w:sz w:val="28"/>
          <w:szCs w:val="28"/>
          <w:lang w:eastAsia="fr-FR"/>
        </w:rPr>
        <w:t xml:space="preserve">Summary </w:t>
      </w:r>
      <w:r w:rsidR="0018347E" w:rsidRPr="00212D93">
        <w:rPr>
          <w:rFonts w:ascii="Times New Roman" w:eastAsia="Google Sans Text" w:hAnsi="Times New Roman"/>
          <w:b/>
          <w:color w:val="1B1C1D"/>
          <w:sz w:val="28"/>
          <w:szCs w:val="28"/>
        </w:rPr>
        <w:t>and Keywords</w:t>
      </w:r>
    </w:p>
    <w:p w14:paraId="7B7A8640" w14:textId="6595744E" w:rsidR="00DD1075" w:rsidRPr="00BE5E11" w:rsidRDefault="00DD1075" w:rsidP="008556F9">
      <w:pPr>
        <w:pStyle w:val="NormalWeb"/>
        <w:jc w:val="both"/>
      </w:pPr>
      <w:r w:rsidRPr="00BE5E11">
        <w:rPr>
          <w:b/>
          <w:bCs/>
        </w:rPr>
        <w:t xml:space="preserve">Context: </w:t>
      </w:r>
      <w:r w:rsidRPr="00BE5E11">
        <w:t>Faced with barriers to accessing healthcare, Mali undertook a reform of its community health system in 2010. This study evaluated the contribution of Community Health Workers (CHWs) in the fight against malnutrition in five regions (</w:t>
      </w:r>
      <w:proofErr w:type="spellStart"/>
      <w:r w:rsidRPr="00BE5E11">
        <w:t>Kayes</w:t>
      </w:r>
      <w:proofErr w:type="spellEnd"/>
      <w:r w:rsidRPr="00BE5E11">
        <w:t xml:space="preserve">, </w:t>
      </w:r>
      <w:proofErr w:type="spellStart"/>
      <w:r w:rsidRPr="00BE5E11">
        <w:t>Koulikoro</w:t>
      </w:r>
      <w:proofErr w:type="spellEnd"/>
      <w:r w:rsidRPr="00BE5E11">
        <w:t xml:space="preserve">, </w:t>
      </w:r>
      <w:proofErr w:type="spellStart"/>
      <w:r w:rsidRPr="00BE5E11">
        <w:t>Sikasso</w:t>
      </w:r>
      <w:proofErr w:type="spellEnd"/>
      <w:r w:rsidRPr="00BE5E11">
        <w:t xml:space="preserve">, </w:t>
      </w:r>
      <w:proofErr w:type="spellStart"/>
      <w:r w:rsidRPr="00BE5E11">
        <w:t>Ségou</w:t>
      </w:r>
      <w:proofErr w:type="spellEnd"/>
      <w:r w:rsidRPr="00BE5E11">
        <w:t xml:space="preserve">, </w:t>
      </w:r>
      <w:proofErr w:type="spellStart"/>
      <w:proofErr w:type="gramStart"/>
      <w:r w:rsidRPr="00BE5E11">
        <w:t>Mopti</w:t>
      </w:r>
      <w:proofErr w:type="spellEnd"/>
      <w:proofErr w:type="gramEnd"/>
      <w:r w:rsidRPr="00BE5E11">
        <w:t>) in Mali.</w:t>
      </w:r>
    </w:p>
    <w:p w14:paraId="267D46F4" w14:textId="539A98A8" w:rsidR="00DD1075" w:rsidRPr="00BE5E11" w:rsidRDefault="00DD1075" w:rsidP="008556F9">
      <w:pPr>
        <w:pStyle w:val="NormalWeb"/>
        <w:jc w:val="both"/>
      </w:pPr>
      <w:r w:rsidRPr="00BE5E11">
        <w:rPr>
          <w:b/>
          <w:bCs/>
        </w:rPr>
        <w:t xml:space="preserve">Methodology: </w:t>
      </w:r>
      <w:r w:rsidRPr="00BE5E11">
        <w:t>A cross-sectional analytical study was conducted. It combined a retrospective review (2015-2024) of DHIS2 data and a perception survey (2024-2025) of stakeholders and beneficiaries. The data were processed using Excel software.</w:t>
      </w:r>
    </w:p>
    <w:p w14:paraId="2F17C24D" w14:textId="704594CC" w:rsidR="00DD1075" w:rsidRPr="00BE5E11" w:rsidRDefault="00DD1075" w:rsidP="008556F9">
      <w:pPr>
        <w:pStyle w:val="NormalWeb"/>
        <w:jc w:val="both"/>
      </w:pPr>
      <w:r w:rsidRPr="00BE5E11">
        <w:rPr>
          <w:b/>
          <w:bCs/>
        </w:rPr>
        <w:t xml:space="preserve">Results: </w:t>
      </w:r>
      <w:r w:rsidRPr="00BE5E11">
        <w:t>Our study found that the profile of community health workers (CHWs) reveals a high proportion of women (68.24%) and a high level of professional experience (57.85% aged 28 to 38). Clinically, CHWs ma</w:t>
      </w:r>
      <w:r w:rsidRPr="00BE5E11">
        <w:t>n</w:t>
      </w:r>
      <w:r w:rsidRPr="00BE5E11">
        <w:t xml:space="preserve">aged a cumulative total of 142,327 cases of moderate acute malnutrition (MAM) and 520,439 cases of severe acute malnutrition (SAM). While user satisfaction is high (97.92%), accessibility is compromised by a critical lack of transportation (4.6%) and frequent </w:t>
      </w:r>
      <w:proofErr w:type="spellStart"/>
      <w:r w:rsidRPr="00BE5E11">
        <w:t>stockouts</w:t>
      </w:r>
      <w:proofErr w:type="spellEnd"/>
      <w:r w:rsidRPr="00BE5E11">
        <w:t xml:space="preserve"> of essential supplies (62.86% availability). Average co</w:t>
      </w:r>
      <w:r w:rsidRPr="00BE5E11">
        <w:t>v</w:t>
      </w:r>
      <w:r w:rsidRPr="00BE5E11">
        <w:t>erage of target populations remains limited to 14.42% for MAM and 27.89% for SAM.</w:t>
      </w:r>
    </w:p>
    <w:p w14:paraId="31DC9719" w14:textId="1E3A420F" w:rsidR="00891255" w:rsidRPr="00891255" w:rsidRDefault="00DD1075" w:rsidP="008556F9">
      <w:pPr>
        <w:pStyle w:val="NormalWeb"/>
        <w:jc w:val="both"/>
      </w:pPr>
      <w:r w:rsidRPr="00BE5E11">
        <w:rPr>
          <w:b/>
          <w:bCs/>
        </w:rPr>
        <w:t xml:space="preserve">Conclusion: </w:t>
      </w:r>
      <w:r w:rsidRPr="00BE5E11">
        <w:t>The Essential Community Care strategy in Mali has proven its ability to manage simple cases of malnutrition, treating over half a million cases in ten years. Despite the expertise and community engagement of community health workers, coverage remains limited by critical mobility (4.6%) and logistical disruptions. Sustaining these gains requires increased professionalization and a more secure supply chain.</w:t>
      </w:r>
    </w:p>
    <w:p w14:paraId="53BAE4D0" w14:textId="77777777" w:rsidR="00DD1075" w:rsidRPr="00BE5E11" w:rsidRDefault="00DD1075" w:rsidP="008556F9">
      <w:pPr>
        <w:pStyle w:val="NormalWeb"/>
        <w:jc w:val="both"/>
      </w:pPr>
      <w:r w:rsidRPr="00BE5E11">
        <w:rPr>
          <w:b/>
          <w:bCs/>
        </w:rPr>
        <w:t xml:space="preserve">Keywords: </w:t>
      </w:r>
      <w:r w:rsidRPr="00BE5E11">
        <w:t>ASC, Malnutrition, Mali, DHIS2, Community Health, Resilience.</w:t>
      </w:r>
    </w:p>
    <w:p w14:paraId="326B3650" w14:textId="77777777" w:rsidR="00B4510C" w:rsidRPr="00BE5E11" w:rsidRDefault="00B4510C" w:rsidP="008556F9">
      <w:pPr>
        <w:pStyle w:val="NormalWeb"/>
        <w:jc w:val="both"/>
      </w:pPr>
      <w:r w:rsidRPr="00BE5E11">
        <w:br w:type="page"/>
      </w:r>
    </w:p>
    <w:p w14:paraId="2AC24C83" w14:textId="3FEA5F33" w:rsidR="00DB1342" w:rsidRPr="003F36CD" w:rsidRDefault="00AC2979" w:rsidP="008556F9">
      <w:pPr>
        <w:pageBreakBefore/>
        <w:spacing w:before="240" w:after="240" w:line="240" w:lineRule="auto"/>
        <w:jc w:val="both"/>
        <w:rPr>
          <w:rFonts w:ascii="Times New Roman" w:hAnsi="Times New Roman"/>
          <w:caps/>
          <w:sz w:val="28"/>
          <w:szCs w:val="24"/>
        </w:rPr>
      </w:pPr>
      <w:r w:rsidRPr="003F36CD">
        <w:rPr>
          <w:rFonts w:ascii="Times New Roman" w:eastAsia="Times New Roman" w:hAnsi="Times New Roman"/>
          <w:b/>
          <w:bCs/>
          <w:caps/>
          <w:sz w:val="28"/>
          <w:szCs w:val="24"/>
          <w:lang w:eastAsia="fr-FR"/>
        </w:rPr>
        <w:lastRenderedPageBreak/>
        <w:t>Introduction</w:t>
      </w:r>
    </w:p>
    <w:p w14:paraId="04526A72" w14:textId="78439C7D" w:rsidR="00021321" w:rsidRPr="00BE5E11" w:rsidRDefault="005B764A" w:rsidP="008556F9">
      <w:pPr>
        <w:spacing w:before="240" w:after="240" w:line="240" w:lineRule="auto"/>
        <w:jc w:val="both"/>
        <w:rPr>
          <w:rFonts w:ascii="Times New Roman" w:hAnsi="Times New Roman"/>
          <w:sz w:val="24"/>
          <w:szCs w:val="24"/>
        </w:rPr>
      </w:pPr>
      <w:r w:rsidRPr="00BE5E11">
        <w:rPr>
          <w:rFonts w:ascii="Times New Roman" w:hAnsi="Times New Roman"/>
          <w:sz w:val="24"/>
          <w:szCs w:val="24"/>
        </w:rPr>
        <w:t>Malnutrition persists as a major international public health challenge. In 2025, the Joint Estimates of Child Malnutrition (JME) highlight an alarming trajectory: current progress is insufficient to meet the World Health Assembly (WHA) nutrition targets initially set for 2025. This finding jeopardizes the achievement of Sustai</w:t>
      </w:r>
      <w:r w:rsidRPr="00BE5E11">
        <w:rPr>
          <w:rFonts w:ascii="Times New Roman" w:hAnsi="Times New Roman"/>
          <w:sz w:val="24"/>
          <w:szCs w:val="24"/>
        </w:rPr>
        <w:t>n</w:t>
      </w:r>
      <w:r w:rsidRPr="00BE5E11">
        <w:rPr>
          <w:rFonts w:ascii="Times New Roman" w:hAnsi="Times New Roman"/>
          <w:sz w:val="24"/>
          <w:szCs w:val="24"/>
        </w:rPr>
        <w:t xml:space="preserve">able Development Goal (SDG) 2 targets by 2030, underscoring the urgent need to strengthen </w:t>
      </w:r>
      <w:proofErr w:type="spellStart"/>
      <w:r w:rsidRPr="00BE5E11">
        <w:rPr>
          <w:rFonts w:ascii="Times New Roman" w:hAnsi="Times New Roman"/>
          <w:sz w:val="24"/>
          <w:szCs w:val="24"/>
        </w:rPr>
        <w:t>multisectoral</w:t>
      </w:r>
      <w:proofErr w:type="spellEnd"/>
      <w:r w:rsidRPr="00BE5E11">
        <w:rPr>
          <w:rFonts w:ascii="Times New Roman" w:hAnsi="Times New Roman"/>
          <w:sz w:val="24"/>
          <w:szCs w:val="24"/>
        </w:rPr>
        <w:t xml:space="preserve"> interventions to reverse the trends in the prevalence of </w:t>
      </w:r>
      <w:proofErr w:type="spellStart"/>
      <w:r w:rsidRPr="00BE5E11">
        <w:rPr>
          <w:rFonts w:ascii="Times New Roman" w:hAnsi="Times New Roman"/>
          <w:sz w:val="24"/>
          <w:szCs w:val="24"/>
        </w:rPr>
        <w:t>undernutrition</w:t>
      </w:r>
      <w:proofErr w:type="spellEnd"/>
      <w:r w:rsidRPr="00BE5E11">
        <w:rPr>
          <w:rFonts w:ascii="Times New Roman" w:hAnsi="Times New Roman"/>
          <w:sz w:val="24"/>
          <w:szCs w:val="24"/>
        </w:rPr>
        <w:t xml:space="preserve"> </w:t>
      </w:r>
      <w:r w:rsidR="00021321" w:rsidRPr="00BE5E11">
        <w:rPr>
          <w:rFonts w:ascii="Times New Roman" w:hAnsi="Times New Roman"/>
          <w:sz w:val="24"/>
          <w:szCs w:val="24"/>
        </w:rPr>
        <w:fldChar w:fldCharType="begin"/>
      </w:r>
      <w:r w:rsidR="00021321" w:rsidRPr="00BE5E11">
        <w:rPr>
          <w:rFonts w:ascii="Times New Roman" w:hAnsi="Times New Roman"/>
          <w:sz w:val="24"/>
          <w:szCs w:val="24"/>
        </w:rPr>
        <w:instrText xml:space="preserve"> ADDIN ZOTERO_ITEM CSL_CITATION {"citationID":"gtoSjpBl","properties":{"formattedCitation":"(1)","plainCitation":"(1)","noteIndex":0},"citationItems":[{"id":1071,"uris":["http://zotero.org/users/14913392/items/FNVNQ5MV"],"itemData":{"id":1071,"type":"webpage","container-title":"Nutrition et sécurité alimentaire","genre":"OMS","language":"fr","publisher-place":"Genève","title":"Dernières estimations de la malnutrition infantile","URL":"https://www.who.int/teams/nutrition-and-food-safety/monitoring-nutritional-status-and-food-safety-and-events/joint-child-malnutrition-estimates/latest-estimates","author":[{"literal":"UNICEF"},{"literal":"OMS"},{"literal":"Banque Mondiale"}],"accessed":{"date-parts":[["2026",3,15]]},"issued":{"date-parts":[["2025"]]}}}],"schema":"https://github.com/citation-style-language/schema/raw/master/csl-citation.json"} </w:instrText>
      </w:r>
      <w:r w:rsidR="00021321" w:rsidRPr="00BE5E11">
        <w:rPr>
          <w:rFonts w:ascii="Times New Roman" w:hAnsi="Times New Roman"/>
          <w:sz w:val="24"/>
          <w:szCs w:val="24"/>
        </w:rPr>
        <w:fldChar w:fldCharType="separate"/>
      </w:r>
      <w:r w:rsidR="00021321" w:rsidRPr="00BE5E11">
        <w:rPr>
          <w:rFonts w:ascii="Times New Roman" w:hAnsi="Times New Roman"/>
          <w:sz w:val="24"/>
          <w:szCs w:val="24"/>
        </w:rPr>
        <w:t xml:space="preserve">(1) </w:t>
      </w:r>
      <w:r w:rsidR="00021321" w:rsidRPr="00BE5E11">
        <w:rPr>
          <w:rFonts w:ascii="Times New Roman" w:hAnsi="Times New Roman"/>
          <w:sz w:val="24"/>
          <w:szCs w:val="24"/>
        </w:rPr>
        <w:fldChar w:fldCharType="end"/>
      </w:r>
      <w:r w:rsidR="00021321" w:rsidRPr="00BE5E11">
        <w:rPr>
          <w:rFonts w:ascii="Times New Roman" w:hAnsi="Times New Roman"/>
          <w:sz w:val="24"/>
          <w:szCs w:val="24"/>
        </w:rPr>
        <w:t xml:space="preserve">. Only about a quarter of countries are on track to halve the number of children under 5 suffering from stunting by 2030. More intensive efforts are needed for the world to meet the global target of reducing the number of children suffering from stunting to 90 million by 2030. At the current rate, this target will not be met for 46 million children </w:t>
      </w:r>
      <w:r w:rsidR="00021321" w:rsidRPr="00BE5E11">
        <w:rPr>
          <w:rFonts w:ascii="Times New Roman" w:hAnsi="Times New Roman"/>
          <w:sz w:val="24"/>
          <w:szCs w:val="24"/>
        </w:rPr>
        <w:fldChar w:fldCharType="begin"/>
      </w:r>
      <w:r w:rsidR="00021321" w:rsidRPr="00BE5E11">
        <w:rPr>
          <w:rFonts w:ascii="Times New Roman" w:hAnsi="Times New Roman"/>
          <w:sz w:val="24"/>
          <w:szCs w:val="24"/>
        </w:rPr>
        <w:instrText xml:space="preserve"> ADDIN ZOTERO_ITEM CSL_CITATION {"citationID":"rmmvQTCI","properties":{"formattedCitation":"(1)","plainCitation":"(1)","noteIndex":0},"citationItems":[{"id":1071,"uris":["http://zotero.org/users/14913392/items/FNVNQ5MV"],"itemData":{"id":1071,"type":"webpage","container-title":"Nutrition et sécurité alimentaire","genre":"OMS","language":"fr","publisher-place":"Genève","title":"Dernières estimations de la malnutrition infantile","URL":"https://www.who.int/teams/nutrition-and-food-safety/monitoring-nutritional-status-and-food-safety-and-events/joint-child-malnutrition-estimates/latest-estimates","author":[{"literal":"UNICEF"},{"literal":"OMS"},{"literal":"Banque Mondiale"}],"accessed":{"date-parts":[["2026",3,15]]},"issued":{"date-parts":[["2025"]]}}}],"schema":"https://github.com/citation-style-language/schema/raw/master/csl-citation.json"} </w:instrText>
      </w:r>
      <w:r w:rsidR="00021321" w:rsidRPr="00BE5E11">
        <w:rPr>
          <w:rFonts w:ascii="Times New Roman" w:hAnsi="Times New Roman"/>
          <w:sz w:val="24"/>
          <w:szCs w:val="24"/>
        </w:rPr>
        <w:fldChar w:fldCharType="separate"/>
      </w:r>
      <w:r w:rsidR="00021321" w:rsidRPr="00BE5E11">
        <w:rPr>
          <w:rFonts w:ascii="Times New Roman" w:hAnsi="Times New Roman"/>
          <w:sz w:val="24"/>
          <w:szCs w:val="24"/>
        </w:rPr>
        <w:t xml:space="preserve">(1) </w:t>
      </w:r>
      <w:r w:rsidR="00021321" w:rsidRPr="00BE5E11">
        <w:rPr>
          <w:rFonts w:ascii="Times New Roman" w:hAnsi="Times New Roman"/>
          <w:sz w:val="24"/>
          <w:szCs w:val="24"/>
        </w:rPr>
        <w:fldChar w:fldCharType="end"/>
      </w:r>
      <w:r w:rsidR="00021321" w:rsidRPr="00BE5E11">
        <w:rPr>
          <w:rFonts w:ascii="Times New Roman" w:hAnsi="Times New Roman"/>
          <w:sz w:val="24"/>
          <w:szCs w:val="24"/>
        </w:rPr>
        <w:t>.</w:t>
      </w:r>
    </w:p>
    <w:p w14:paraId="08365575" w14:textId="6A8AC3B5" w:rsidR="00A60DEA" w:rsidRPr="00BE5E11" w:rsidRDefault="00AC2979" w:rsidP="008556F9">
      <w:pPr>
        <w:spacing w:before="240" w:after="240" w:line="240" w:lineRule="auto"/>
        <w:jc w:val="both"/>
        <w:rPr>
          <w:rFonts w:ascii="Times New Roman" w:hAnsi="Times New Roman"/>
          <w:sz w:val="24"/>
          <w:szCs w:val="24"/>
        </w:rPr>
      </w:pPr>
      <w:r w:rsidRPr="00BE5E11">
        <w:rPr>
          <w:rFonts w:ascii="Times New Roman" w:hAnsi="Times New Roman"/>
          <w:sz w:val="24"/>
          <w:szCs w:val="24"/>
        </w:rPr>
        <w:t>Malnutrition, in all its forms, constitutes one of the most complex global public health challenges of the 21st century. According to the World Health Organization (WHO, 2024), the world is facing a paradoxical nutr</w:t>
      </w:r>
      <w:r w:rsidRPr="00BE5E11">
        <w:rPr>
          <w:rFonts w:ascii="Times New Roman" w:hAnsi="Times New Roman"/>
          <w:sz w:val="24"/>
          <w:szCs w:val="24"/>
        </w:rPr>
        <w:t>i</w:t>
      </w:r>
      <w:r w:rsidRPr="00BE5E11">
        <w:rPr>
          <w:rFonts w:ascii="Times New Roman" w:hAnsi="Times New Roman"/>
          <w:sz w:val="24"/>
          <w:szCs w:val="24"/>
        </w:rPr>
        <w:t xml:space="preserve">tional transition where </w:t>
      </w:r>
      <w:proofErr w:type="spellStart"/>
      <w:r w:rsidRPr="00BE5E11">
        <w:rPr>
          <w:rFonts w:ascii="Times New Roman" w:hAnsi="Times New Roman"/>
          <w:sz w:val="24"/>
          <w:szCs w:val="24"/>
        </w:rPr>
        <w:t>undernutrition</w:t>
      </w:r>
      <w:proofErr w:type="spellEnd"/>
      <w:r w:rsidRPr="00BE5E11">
        <w:rPr>
          <w:rFonts w:ascii="Times New Roman" w:hAnsi="Times New Roman"/>
          <w:sz w:val="24"/>
          <w:szCs w:val="24"/>
        </w:rPr>
        <w:t xml:space="preserve"> coexists with an alarming increase in overweight and obesity </w:t>
      </w:r>
      <w:r w:rsidR="00920DB8" w:rsidRPr="00BE5E11">
        <w:rPr>
          <w:rFonts w:ascii="Times New Roman" w:hAnsi="Times New Roman"/>
          <w:sz w:val="24"/>
          <w:szCs w:val="24"/>
        </w:rPr>
        <w:fldChar w:fldCharType="begin"/>
      </w:r>
      <w:r w:rsidR="00021321" w:rsidRPr="00BE5E11">
        <w:rPr>
          <w:rFonts w:ascii="Times New Roman" w:hAnsi="Times New Roman"/>
          <w:sz w:val="24"/>
          <w:szCs w:val="24"/>
        </w:rPr>
        <w:instrText xml:space="preserve"> ADDIN ZOTERO_ITEM CSL_CITATION {"citationID":"QyPbbEY4","properties":{"formattedCitation":"(2)","plainCitation":"(2)","noteIndex":0},"citationItems":[{"id":1066,"uris":["http://zotero.org/users/14913392/items/XQPVK953"],"itemData":{"id":1066,"type":"webpage","container-title":"Faits clés","genre":"OMS","publisher":"Organisation mondiale de la Santé","publisher-place":"Genève","title":"Malnutrition: Faits clés","URL":"https://www.who.int/news-room/fact-sheets/detail/malnutrition","author":[{"literal":"Organisation Mondiale de la Santé"}],"issued":{"date-parts":[["2024",6]]}}}],"schema":"https://github.com/citation-style-language/schema/raw/master/csl-citation.json"} </w:instrText>
      </w:r>
      <w:r w:rsidR="00920DB8" w:rsidRPr="00BE5E11">
        <w:rPr>
          <w:rFonts w:ascii="Times New Roman" w:hAnsi="Times New Roman"/>
          <w:sz w:val="24"/>
          <w:szCs w:val="24"/>
        </w:rPr>
        <w:fldChar w:fldCharType="separate"/>
      </w:r>
      <w:r w:rsidR="00021321" w:rsidRPr="00BE5E11">
        <w:rPr>
          <w:rFonts w:ascii="Times New Roman" w:hAnsi="Times New Roman"/>
          <w:sz w:val="24"/>
          <w:szCs w:val="24"/>
        </w:rPr>
        <w:t xml:space="preserve">(2) </w:t>
      </w:r>
      <w:r w:rsidR="00920DB8" w:rsidRPr="00BE5E11">
        <w:rPr>
          <w:rFonts w:ascii="Times New Roman" w:hAnsi="Times New Roman"/>
          <w:sz w:val="24"/>
          <w:szCs w:val="24"/>
        </w:rPr>
        <w:fldChar w:fldCharType="end"/>
      </w:r>
      <w:r w:rsidRPr="00BE5E11">
        <w:rPr>
          <w:rFonts w:ascii="Times New Roman" w:hAnsi="Times New Roman"/>
          <w:sz w:val="24"/>
          <w:szCs w:val="24"/>
        </w:rPr>
        <w:t xml:space="preserve">. In 2022, the number of overweight adults was estimated at 2.5 billion, of </w:t>
      </w:r>
      <w:proofErr w:type="gramStart"/>
      <w:r w:rsidRPr="00BE5E11">
        <w:rPr>
          <w:rFonts w:ascii="Times New Roman" w:hAnsi="Times New Roman"/>
          <w:sz w:val="24"/>
          <w:szCs w:val="24"/>
        </w:rPr>
        <w:t>whom</w:t>
      </w:r>
      <w:proofErr w:type="gramEnd"/>
      <w:r w:rsidRPr="00BE5E11">
        <w:rPr>
          <w:rFonts w:ascii="Times New Roman" w:hAnsi="Times New Roman"/>
          <w:sz w:val="24"/>
          <w:szCs w:val="24"/>
        </w:rPr>
        <w:t xml:space="preserve"> 890 million were clinically obese, while 390 million were underweight. This imbalance is just as pronounced among children and adole</w:t>
      </w:r>
      <w:r w:rsidRPr="00BE5E11">
        <w:rPr>
          <w:rFonts w:ascii="Times New Roman" w:hAnsi="Times New Roman"/>
          <w:sz w:val="24"/>
          <w:szCs w:val="24"/>
        </w:rPr>
        <w:t>s</w:t>
      </w:r>
      <w:r w:rsidRPr="00BE5E11">
        <w:rPr>
          <w:rFonts w:ascii="Times New Roman" w:hAnsi="Times New Roman"/>
          <w:sz w:val="24"/>
          <w:szCs w:val="24"/>
        </w:rPr>
        <w:t xml:space="preserve">cents aged 5-19, with 390 million overweight compared to 190 million underweight </w:t>
      </w:r>
      <w:r w:rsidR="0000370F" w:rsidRPr="00BE5E11">
        <w:rPr>
          <w:rFonts w:ascii="Times New Roman" w:hAnsi="Times New Roman"/>
          <w:sz w:val="24"/>
          <w:szCs w:val="24"/>
        </w:rPr>
        <w:fldChar w:fldCharType="begin"/>
      </w:r>
      <w:r w:rsidR="0000370F" w:rsidRPr="00BE5E11">
        <w:rPr>
          <w:rFonts w:ascii="Times New Roman" w:hAnsi="Times New Roman"/>
          <w:sz w:val="24"/>
          <w:szCs w:val="24"/>
        </w:rPr>
        <w:instrText xml:space="preserve"> ADDIN ZOTERO_ITEM CSL_CITATION {"citationID":"iIEg7lSt","properties":{"formattedCitation":"(2,3)","plainCitation":"(2,3)","noteIndex":0},"citationItems":[{"id":1066,"uris":["http://zotero.org/users/14913392/items/XQPVK953"],"itemData":{"id":1066,"type":"webpage","container-title":"Faits clés","genre":"OMS","publisher":"Organisation mondiale de la Santé","publisher-place":"Genève","title":"Malnutrition: Faits clés","URL":"https://www.who.int/news-room/fact-sheets/detail/malnutrition","author":[{"literal":"Organisation Mondiale de la Santé"}],"issued":{"date-parts":[["2024",6]]}},"label":"page"},{"id":1006,"uris":["http://zotero.org/users/14913392/items/FRPYFDWE"],"itemData":{"id":1006,"type":"webpage","abstract":"Par « malnutrition », on entend les carences, les excès ou les déséquilibres dans l’apport énergétique et/ou nutritionnel d’une personne. Ce terme couvre trois grands groupes d’affections (...).","container-title":"Principaux faits","genre":"OMS","language":"fr","publisher-place":"Genève","title":"Malnutrition: Principaux faits","URL":"https://www.who.int/fr/news-room/fact-sheets/detail/malnutrition","author":[{"literal":"Organisation Mondiale de la Santé"}],"accessed":{"date-parts":[["2026",3,8]]},"issued":{"date-parts":[["2022"]]}},"label":"page"}],"schema":"https://github.com/citation-style-language/schema/raw/master/csl-citation.json"} </w:instrText>
      </w:r>
      <w:r w:rsidR="0000370F" w:rsidRPr="00BE5E11">
        <w:rPr>
          <w:rFonts w:ascii="Times New Roman" w:hAnsi="Times New Roman"/>
          <w:sz w:val="24"/>
          <w:szCs w:val="24"/>
        </w:rPr>
        <w:fldChar w:fldCharType="separate"/>
      </w:r>
      <w:r w:rsidR="0000370F" w:rsidRPr="00BE5E11">
        <w:rPr>
          <w:rFonts w:ascii="Times New Roman" w:hAnsi="Times New Roman"/>
          <w:sz w:val="24"/>
          <w:szCs w:val="24"/>
        </w:rPr>
        <w:t xml:space="preserve">(2,3) </w:t>
      </w:r>
      <w:r w:rsidR="0000370F" w:rsidRPr="00BE5E11">
        <w:rPr>
          <w:rFonts w:ascii="Times New Roman" w:hAnsi="Times New Roman"/>
          <w:sz w:val="24"/>
          <w:szCs w:val="24"/>
        </w:rPr>
        <w:fldChar w:fldCharType="end"/>
      </w:r>
      <w:r w:rsidRPr="00BE5E11">
        <w:rPr>
          <w:rFonts w:ascii="Times New Roman" w:hAnsi="Times New Roman"/>
          <w:sz w:val="24"/>
          <w:szCs w:val="24"/>
        </w:rPr>
        <w:t xml:space="preserve">. The 2024 WHO/UNICEF report on child malnutrition reveals that in 2024, 23.2% of children under five (150.2 million) suffer from stunting and 6.6% from wasting (35.5 million overweight). Malnutrition is linked to nearly half of all deaths of children under five </w:t>
      </w:r>
      <w:r w:rsidR="0000370F" w:rsidRPr="00BE5E11">
        <w:rPr>
          <w:rFonts w:ascii="Times New Roman" w:hAnsi="Times New Roman"/>
          <w:sz w:val="24"/>
          <w:szCs w:val="24"/>
        </w:rPr>
        <w:fldChar w:fldCharType="begin"/>
      </w:r>
      <w:r w:rsidR="0000370F" w:rsidRPr="00BE5E11">
        <w:rPr>
          <w:rFonts w:ascii="Times New Roman" w:hAnsi="Times New Roman"/>
          <w:sz w:val="24"/>
          <w:szCs w:val="24"/>
        </w:rPr>
        <w:instrText xml:space="preserve"> ADDIN ZOTERO_ITEM CSL_CITATION {"citationID":"lXqjpKb0","properties":{"formattedCitation":"(2)","plainCitation":"(2)","noteIndex":0},"citationItems":[{"id":1066,"uris":["http://zotero.org/users/14913392/items/XQPVK953"],"itemData":{"id":1066,"type":"webpage","container-title":"Faits clés","genre":"OMS","publisher":"Organisation mondiale de la Santé","publisher-place":"Genève","title":"Malnutrition: Faits clés","URL":"https://www.who.int/news-room/fact-sheets/detail/malnutrition","author":[{"literal":"Organisation Mondiale de la Santé"}],"issued":{"date-parts":[["2024",6]]}}}],"schema":"https://github.com/citation-style-language/schema/raw/master/csl-citation.json"} </w:instrText>
      </w:r>
      <w:r w:rsidR="0000370F" w:rsidRPr="00BE5E11">
        <w:rPr>
          <w:rFonts w:ascii="Times New Roman" w:hAnsi="Times New Roman"/>
          <w:sz w:val="24"/>
          <w:szCs w:val="24"/>
        </w:rPr>
        <w:fldChar w:fldCharType="separate"/>
      </w:r>
      <w:r w:rsidR="0000370F" w:rsidRPr="00BE5E11">
        <w:rPr>
          <w:rFonts w:ascii="Times New Roman" w:hAnsi="Times New Roman"/>
          <w:sz w:val="24"/>
          <w:szCs w:val="24"/>
        </w:rPr>
        <w:t xml:space="preserve">(2) </w:t>
      </w:r>
      <w:r w:rsidR="0000370F" w:rsidRPr="00BE5E11">
        <w:rPr>
          <w:rFonts w:ascii="Times New Roman" w:hAnsi="Times New Roman"/>
          <w:sz w:val="24"/>
          <w:szCs w:val="24"/>
        </w:rPr>
        <w:fldChar w:fldCharType="end"/>
      </w:r>
      <w:r w:rsidR="0000370F" w:rsidRPr="00BE5E11">
        <w:rPr>
          <w:rFonts w:ascii="Times New Roman" w:hAnsi="Times New Roman"/>
          <w:sz w:val="24"/>
          <w:szCs w:val="24"/>
        </w:rPr>
        <w:t>. The health situation remains concerning, characterized by persistent morbidity and mortality rates among children under five and women of reproductive age. This situation is e</w:t>
      </w:r>
      <w:r w:rsidR="0000370F" w:rsidRPr="00BE5E11">
        <w:rPr>
          <w:rFonts w:ascii="Times New Roman" w:hAnsi="Times New Roman"/>
          <w:sz w:val="24"/>
          <w:szCs w:val="24"/>
        </w:rPr>
        <w:t>x</w:t>
      </w:r>
      <w:r w:rsidR="0000370F" w:rsidRPr="00BE5E11">
        <w:rPr>
          <w:rFonts w:ascii="Times New Roman" w:hAnsi="Times New Roman"/>
          <w:sz w:val="24"/>
          <w:szCs w:val="24"/>
        </w:rPr>
        <w:t>acerbated by major structural deficits, including inadequate health infrastructure, fragile financial resources, and limited availability of essential healthcare services. Adding to this supply crisis is a global shortage of human capital. According to projections by the World Health Organization (WHO), the global health wor</w:t>
      </w:r>
      <w:r w:rsidR="0000370F" w:rsidRPr="00BE5E11">
        <w:rPr>
          <w:rFonts w:ascii="Times New Roman" w:hAnsi="Times New Roman"/>
          <w:sz w:val="24"/>
          <w:szCs w:val="24"/>
        </w:rPr>
        <w:t>k</w:t>
      </w:r>
      <w:r w:rsidR="0000370F" w:rsidRPr="00BE5E11">
        <w:rPr>
          <w:rFonts w:ascii="Times New Roman" w:hAnsi="Times New Roman"/>
          <w:sz w:val="24"/>
          <w:szCs w:val="24"/>
        </w:rPr>
        <w:t xml:space="preserve">force shortage will reach 10 million workers by 2030. </w:t>
      </w:r>
      <w:r w:rsidR="002F0D83" w:rsidRPr="00BE5E11">
        <w:rPr>
          <w:rFonts w:ascii="Times New Roman" w:hAnsi="Times New Roman"/>
          <w:sz w:val="24"/>
          <w:szCs w:val="24"/>
        </w:rPr>
        <w:fldChar w:fldCharType="begin"/>
      </w:r>
      <w:r w:rsidR="002F0D83" w:rsidRPr="00BE5E11">
        <w:rPr>
          <w:rFonts w:ascii="Times New Roman" w:hAnsi="Times New Roman"/>
          <w:sz w:val="24"/>
          <w:szCs w:val="24"/>
        </w:rPr>
        <w:instrText xml:space="preserve"> ADDIN ZOTERO_ITEM CSL_CITATION {"citationID":"mbHdf8at","properties":{"formattedCitation":"(4)","plainCitation":"(4)","noteIndex":0},"citationItems":[{"id":1085,"uris":["http://zotero.org/users/14913392/items/UAHMNA37"],"itemData":{"id":1085,"type":"report","publisher":"Organisation mondiale de la Santé","publisher-place":"Genève","title":"Stratégie mondiale pour les ressources humaines en santé : Vision 2030","URL":"https://iris.who.int/bitstream/handle/10665/250368/9789241511131-eng.pdf?sequence=1","author":[{"literal":"OMS"}],"issued":{"date-parts":[["2016"]]}}}],"schema":"https://github.com/citation-style-language/schema/raw/master/csl-citation.json"} </w:instrText>
      </w:r>
      <w:r w:rsidR="002F0D83" w:rsidRPr="00BE5E11">
        <w:rPr>
          <w:rFonts w:ascii="Times New Roman" w:hAnsi="Times New Roman"/>
          <w:sz w:val="24"/>
          <w:szCs w:val="24"/>
        </w:rPr>
        <w:fldChar w:fldCharType="separate"/>
      </w:r>
      <w:r w:rsidR="002F0D83" w:rsidRPr="00BE5E11">
        <w:rPr>
          <w:rFonts w:ascii="Times New Roman" w:hAnsi="Times New Roman"/>
          <w:sz w:val="24"/>
          <w:szCs w:val="24"/>
        </w:rPr>
        <w:t xml:space="preserve">(4) </w:t>
      </w:r>
      <w:r w:rsidR="002F0D83" w:rsidRPr="00BE5E11">
        <w:rPr>
          <w:rFonts w:ascii="Times New Roman" w:hAnsi="Times New Roman"/>
          <w:sz w:val="24"/>
          <w:szCs w:val="24"/>
        </w:rPr>
        <w:fldChar w:fldCharType="end"/>
      </w:r>
      <w:r w:rsidR="00196148" w:rsidRPr="00BE5E11">
        <w:rPr>
          <w:rFonts w:ascii="Times New Roman" w:hAnsi="Times New Roman"/>
          <w:sz w:val="24"/>
          <w:szCs w:val="24"/>
        </w:rPr>
        <w:t>This systemic shortage reinforces the need to invest in alternative and resilient care models centered on community actors. To address these challenges, the WHO and several other organizations have encouraged countries to adopt a diversified approach to healthcare deli</w:t>
      </w:r>
      <w:r w:rsidR="00196148" w:rsidRPr="00BE5E11">
        <w:rPr>
          <w:rFonts w:ascii="Times New Roman" w:hAnsi="Times New Roman"/>
          <w:sz w:val="24"/>
          <w:szCs w:val="24"/>
        </w:rPr>
        <w:t>v</w:t>
      </w:r>
      <w:r w:rsidR="00196148" w:rsidRPr="00BE5E11">
        <w:rPr>
          <w:rFonts w:ascii="Times New Roman" w:hAnsi="Times New Roman"/>
          <w:sz w:val="24"/>
          <w:szCs w:val="24"/>
        </w:rPr>
        <w:t xml:space="preserve">ery, particularly by leveraging the potential of community health workers (CHWs) </w:t>
      </w:r>
      <w:r w:rsidR="002F0D83" w:rsidRPr="00BE5E11">
        <w:rPr>
          <w:rFonts w:ascii="Times New Roman" w:hAnsi="Times New Roman"/>
          <w:sz w:val="24"/>
          <w:szCs w:val="24"/>
        </w:rPr>
        <w:fldChar w:fldCharType="begin"/>
      </w:r>
      <w:r w:rsidR="00C77D65" w:rsidRPr="00BE5E11">
        <w:rPr>
          <w:rFonts w:ascii="Times New Roman" w:hAnsi="Times New Roman"/>
          <w:sz w:val="24"/>
          <w:szCs w:val="24"/>
        </w:rPr>
        <w:instrText xml:space="preserve"> ADDIN ZOTERO_ITEM CSL_CITATION {"citationID":"1BweG5oH","properties":{"formattedCitation":"(4,5)","plainCitation":"(4,5)","noteIndex":0},"citationItems":[{"id":1085,"uris":["http://zotero.org/users/14913392/items/UAHMNA37"],"itemData":{"id":1085,"type":"report","publisher":"Organisation mondiale de la Santé","publisher-place":"Genève","title":"Stratégie mondiale pour les ressources humaines en santé : Vision 2030","URL":"https://iris.who.int/bitstream/handle/10665/250368/9789241511131-eng.pdf?sequence=1","author":[{"literal":"OMS"}],"issued":{"date-parts":[["2016"]]}},"label":"page"},{"id":1087,"uris":["http://zotero.org/users/14913392/items/FEUFBMVP"],"itemData":{"id":1087,"type":"webpage","abstract":"The Case for CHWs: Champions of the health system","publisher":"Community Health Impact Coalition","title":"Plaidoyer pour les agents de santé communautaires : champions des systèmes de santé","URL":"https://joinchic.org/resources/the-case-for-chws-champions-of-the-health-system/","author":[{"literal":"CHIC"}],"issued":{"date-parts":[["2024"]]}},"label":"page"}],"schema":"https://github.com/citation-style-language/schema/raw/master/csl-citation.json"} </w:instrText>
      </w:r>
      <w:r w:rsidR="002F0D83" w:rsidRPr="00BE5E11">
        <w:rPr>
          <w:rFonts w:ascii="Times New Roman" w:hAnsi="Times New Roman"/>
          <w:sz w:val="24"/>
          <w:szCs w:val="24"/>
        </w:rPr>
        <w:fldChar w:fldCharType="separate"/>
      </w:r>
      <w:r w:rsidR="00A60DEA" w:rsidRPr="00BE5E11">
        <w:rPr>
          <w:rFonts w:ascii="Times New Roman" w:hAnsi="Times New Roman"/>
          <w:sz w:val="24"/>
          <w:szCs w:val="24"/>
        </w:rPr>
        <w:t xml:space="preserve">(4,5) </w:t>
      </w:r>
      <w:r w:rsidR="002F0D83" w:rsidRPr="00BE5E11">
        <w:rPr>
          <w:rFonts w:ascii="Times New Roman" w:hAnsi="Times New Roman"/>
          <w:sz w:val="24"/>
          <w:szCs w:val="24"/>
        </w:rPr>
        <w:fldChar w:fldCharType="end"/>
      </w:r>
      <w:r w:rsidR="00196148" w:rsidRPr="00BE5E11">
        <w:rPr>
          <w:rFonts w:ascii="Times New Roman" w:hAnsi="Times New Roman"/>
          <w:sz w:val="24"/>
          <w:szCs w:val="24"/>
        </w:rPr>
        <w:t>. It is in this context of limited access and critical urgency that the Community Essential Care (CEC) strategy emerged, first globa</w:t>
      </w:r>
      <w:r w:rsidR="00196148" w:rsidRPr="00BE5E11">
        <w:rPr>
          <w:rFonts w:ascii="Times New Roman" w:hAnsi="Times New Roman"/>
          <w:sz w:val="24"/>
          <w:szCs w:val="24"/>
        </w:rPr>
        <w:t>l</w:t>
      </w:r>
      <w:r w:rsidR="00196148" w:rsidRPr="00BE5E11">
        <w:rPr>
          <w:rFonts w:ascii="Times New Roman" w:hAnsi="Times New Roman"/>
          <w:sz w:val="24"/>
          <w:szCs w:val="24"/>
        </w:rPr>
        <w:t>ly and then continentally. Recommended by the Alma-Ata conferences and reaffirmed in Astana, this a</w:t>
      </w:r>
      <w:r w:rsidR="00196148" w:rsidRPr="00BE5E11">
        <w:rPr>
          <w:rFonts w:ascii="Times New Roman" w:hAnsi="Times New Roman"/>
          <w:sz w:val="24"/>
          <w:szCs w:val="24"/>
        </w:rPr>
        <w:t>p</w:t>
      </w:r>
      <w:r w:rsidR="00196148" w:rsidRPr="00BE5E11">
        <w:rPr>
          <w:rFonts w:ascii="Times New Roman" w:hAnsi="Times New Roman"/>
          <w:sz w:val="24"/>
          <w:szCs w:val="24"/>
        </w:rPr>
        <w:t xml:space="preserve">proach aims to delegate simplified medical tasks to Community Health Workers (CHWs) </w:t>
      </w:r>
      <w:r w:rsidR="00196148" w:rsidRPr="00BE5E11">
        <w:rPr>
          <w:rFonts w:ascii="Times New Roman" w:hAnsi="Times New Roman"/>
          <w:sz w:val="24"/>
          <w:szCs w:val="24"/>
        </w:rPr>
        <w:fldChar w:fldCharType="begin"/>
      </w:r>
      <w:r w:rsidR="00A60DEA" w:rsidRPr="00BE5E11">
        <w:rPr>
          <w:rFonts w:ascii="Times New Roman" w:hAnsi="Times New Roman"/>
          <w:sz w:val="24"/>
          <w:szCs w:val="24"/>
        </w:rPr>
        <w:instrText xml:space="preserve"> ADDIN ZOTERO_ITEM CSL_CITATION {"citationID":"urPmcXWF","properties":{"formattedCitation":"(6)","plainCitation":"(6)","noteIndex":0},"citationItems":[{"id":1080,"uris":["http://zotero.org/users/14913392/items/QGGV59N8"],"itemData":{"id":1080,"type":"article-journal","container-title":"Annual Review of Public Health","page":"399–421","title":"Community Health Workers in Low-, Middle-, and High-Income Countries: An Overview","volume":"35","author":[{"family":"Perry","given":"H. B."},{"family":"Zulliger","given":"R."},{"family":"Rogers","given":"M. M."}],"issued":{"date-parts":[["2014"]]}}}],"schema":"https://github.com/citation-style-language/schema/raw/master/csl-citation.json"} </w:instrText>
      </w:r>
      <w:r w:rsidR="00196148" w:rsidRPr="00BE5E11">
        <w:rPr>
          <w:rFonts w:ascii="Times New Roman" w:hAnsi="Times New Roman"/>
          <w:sz w:val="24"/>
          <w:szCs w:val="24"/>
        </w:rPr>
        <w:fldChar w:fldCharType="separate"/>
      </w:r>
      <w:r w:rsidR="00A60DEA" w:rsidRPr="00BE5E11">
        <w:rPr>
          <w:rFonts w:ascii="Times New Roman" w:hAnsi="Times New Roman"/>
          <w:sz w:val="24"/>
          <w:szCs w:val="24"/>
        </w:rPr>
        <w:t xml:space="preserve">(6) </w:t>
      </w:r>
      <w:r w:rsidR="00196148" w:rsidRPr="00BE5E11">
        <w:rPr>
          <w:rFonts w:ascii="Times New Roman" w:hAnsi="Times New Roman"/>
          <w:sz w:val="24"/>
          <w:szCs w:val="24"/>
        </w:rPr>
        <w:fldChar w:fldCharType="end"/>
      </w:r>
      <w:r w:rsidR="00196148" w:rsidRPr="00BE5E11">
        <w:rPr>
          <w:rFonts w:ascii="Times New Roman" w:hAnsi="Times New Roman"/>
          <w:sz w:val="24"/>
          <w:szCs w:val="24"/>
        </w:rPr>
        <w:t>.</w:t>
      </w:r>
    </w:p>
    <w:p w14:paraId="4A083C6B" w14:textId="6D7B1195" w:rsidR="00A60DEA" w:rsidRPr="00BE5E11" w:rsidRDefault="00AC2979" w:rsidP="008556F9">
      <w:pPr>
        <w:spacing w:before="240" w:after="240" w:line="240" w:lineRule="auto"/>
        <w:jc w:val="both"/>
        <w:rPr>
          <w:rFonts w:ascii="Times New Roman" w:hAnsi="Times New Roman"/>
          <w:sz w:val="24"/>
          <w:szCs w:val="24"/>
        </w:rPr>
      </w:pPr>
      <w:r w:rsidRPr="00BE5E11">
        <w:rPr>
          <w:rFonts w:ascii="Times New Roman" w:hAnsi="Times New Roman"/>
          <w:sz w:val="24"/>
          <w:szCs w:val="24"/>
        </w:rPr>
        <w:t xml:space="preserve">Africa, and particularly sub-Saharan Africa, remains the region most severely affected by persistent </w:t>
      </w:r>
      <w:proofErr w:type="spellStart"/>
      <w:r w:rsidRPr="00BE5E11">
        <w:rPr>
          <w:rFonts w:ascii="Times New Roman" w:hAnsi="Times New Roman"/>
          <w:sz w:val="24"/>
          <w:szCs w:val="24"/>
        </w:rPr>
        <w:t>undern</w:t>
      </w:r>
      <w:r w:rsidRPr="00BE5E11">
        <w:rPr>
          <w:rFonts w:ascii="Times New Roman" w:hAnsi="Times New Roman"/>
          <w:sz w:val="24"/>
          <w:szCs w:val="24"/>
        </w:rPr>
        <w:t>u</w:t>
      </w:r>
      <w:r w:rsidRPr="00BE5E11">
        <w:rPr>
          <w:rFonts w:ascii="Times New Roman" w:hAnsi="Times New Roman"/>
          <w:sz w:val="24"/>
          <w:szCs w:val="24"/>
        </w:rPr>
        <w:t>trition</w:t>
      </w:r>
      <w:proofErr w:type="spellEnd"/>
      <w:r w:rsidRPr="00BE5E11">
        <w:rPr>
          <w:rFonts w:ascii="Times New Roman" w:hAnsi="Times New Roman"/>
          <w:sz w:val="24"/>
          <w:szCs w:val="24"/>
        </w:rPr>
        <w:t xml:space="preserve"> </w:t>
      </w:r>
      <w:r w:rsidR="00D24354" w:rsidRPr="00BE5E11">
        <w:rPr>
          <w:rFonts w:ascii="Times New Roman" w:hAnsi="Times New Roman"/>
          <w:sz w:val="24"/>
          <w:szCs w:val="24"/>
        </w:rPr>
        <w:fldChar w:fldCharType="begin"/>
      </w:r>
      <w:r w:rsidR="00A60DEA" w:rsidRPr="00BE5E11">
        <w:rPr>
          <w:rFonts w:ascii="Times New Roman" w:hAnsi="Times New Roman"/>
          <w:sz w:val="24"/>
          <w:szCs w:val="24"/>
        </w:rPr>
        <w:instrText xml:space="preserve"> ADDIN ZOTERO_ITEM CSL_CITATION {"citationID":"m0vgr88f","properties":{"formattedCitation":"(7)","plainCitation":"(7)","noteIndex":0},"citationItems":[{"id":1074,"uris":["http://zotero.org/users/14913392/items/NTHFK76Y"],"itemData":{"id":1074,"type":"report","publisher":"United Nations Children's Fund","publisher-place":"New York, NY","title":"Levels and trends in child malnutrition: UNICEF/WHO/World Bank Group Joint Child Malnutrition Estimates. Key findings of the 2023 edition","author":[{"literal":"UNICEF"},{"literal":"WHO"},{"literal":"World Bank"}],"issued":{"date-parts":[["2023"]]}}}],"schema":"https://github.com/citation-style-language/schema/raw/master/csl-citation.json"} </w:instrText>
      </w:r>
      <w:r w:rsidR="00D24354" w:rsidRPr="00BE5E11">
        <w:rPr>
          <w:rFonts w:ascii="Times New Roman" w:hAnsi="Times New Roman"/>
          <w:sz w:val="24"/>
          <w:szCs w:val="24"/>
        </w:rPr>
        <w:fldChar w:fldCharType="separate"/>
      </w:r>
      <w:r w:rsidR="00A60DEA" w:rsidRPr="00BE5E11">
        <w:rPr>
          <w:rFonts w:ascii="Times New Roman" w:hAnsi="Times New Roman"/>
          <w:sz w:val="24"/>
          <w:szCs w:val="24"/>
        </w:rPr>
        <w:t xml:space="preserve">(7) </w:t>
      </w:r>
      <w:r w:rsidR="00D24354" w:rsidRPr="00BE5E11">
        <w:rPr>
          <w:rFonts w:ascii="Times New Roman" w:hAnsi="Times New Roman"/>
          <w:sz w:val="24"/>
          <w:szCs w:val="24"/>
        </w:rPr>
        <w:fldChar w:fldCharType="end"/>
      </w:r>
      <w:r w:rsidRPr="00BE5E11">
        <w:rPr>
          <w:rFonts w:ascii="Times New Roman" w:hAnsi="Times New Roman"/>
          <w:sz w:val="24"/>
          <w:szCs w:val="24"/>
        </w:rPr>
        <w:t xml:space="preserve">. Contrary to the global trend of transitioning to overweight, the African continent is bearing the brunt of the "triple burden" of malnutrition in a context of economic and climatic fragility </w:t>
      </w:r>
      <w:r w:rsidR="00D24354" w:rsidRPr="00BE5E11">
        <w:rPr>
          <w:rFonts w:ascii="Times New Roman" w:hAnsi="Times New Roman"/>
          <w:sz w:val="24"/>
          <w:szCs w:val="24"/>
        </w:rPr>
        <w:fldChar w:fldCharType="begin"/>
      </w:r>
      <w:r w:rsidR="00A60DEA" w:rsidRPr="00BE5E11">
        <w:rPr>
          <w:rFonts w:ascii="Times New Roman" w:hAnsi="Times New Roman"/>
          <w:sz w:val="24"/>
          <w:szCs w:val="24"/>
        </w:rPr>
        <w:instrText xml:space="preserve"> ADDIN ZOTERO_ITEM CSL_CITATION {"citationID":"Xngvnmhg","properties":{"formattedCitation":"(8)","plainCitation":"(8)","noteIndex":0},"citationItems":[{"id":1075,"uris":["http://zotero.org/users/14913392/items/EQ3XMK9H"],"itemData":{"id":1075,"type":"report","publisher":"Food and Agriculture Organization of the United Nations","publisher-place":"Rome","title":"The State of Food Security and Nutrition in the World 2024","author":[{"literal":"FAO"},{"literal":"IFAD"},{"literal":"UNICEF"},{"literal":"WFP"},{"literal":"WHO"}],"issued":{"date-parts":[["2024"]]}}}],"schema":"https://github.com/citation-style-language/schema/raw/master/csl-citation.json"} </w:instrText>
      </w:r>
      <w:r w:rsidR="00D24354" w:rsidRPr="00BE5E11">
        <w:rPr>
          <w:rFonts w:ascii="Times New Roman" w:hAnsi="Times New Roman"/>
          <w:sz w:val="24"/>
          <w:szCs w:val="24"/>
        </w:rPr>
        <w:fldChar w:fldCharType="separate"/>
      </w:r>
      <w:r w:rsidR="00A60DEA" w:rsidRPr="00BE5E11">
        <w:rPr>
          <w:rFonts w:ascii="Times New Roman" w:hAnsi="Times New Roman"/>
          <w:sz w:val="24"/>
          <w:szCs w:val="24"/>
        </w:rPr>
        <w:t xml:space="preserve">(8) </w:t>
      </w:r>
      <w:r w:rsidR="00D24354" w:rsidRPr="00BE5E11">
        <w:rPr>
          <w:rFonts w:ascii="Times New Roman" w:hAnsi="Times New Roman"/>
          <w:sz w:val="24"/>
          <w:szCs w:val="24"/>
        </w:rPr>
        <w:fldChar w:fldCharType="end"/>
      </w:r>
      <w:r w:rsidRPr="00BE5E11">
        <w:rPr>
          <w:rFonts w:ascii="Times New Roman" w:hAnsi="Times New Roman"/>
          <w:sz w:val="24"/>
          <w:szCs w:val="24"/>
        </w:rPr>
        <w:t xml:space="preserve">. In West Africa and the Sahel, structural food insecurity, exacerbated by conflict and market instability, keeps acute and chronic malnutrition indicators at critical levels </w:t>
      </w:r>
      <w:r w:rsidR="00D24354" w:rsidRPr="00BE5E11">
        <w:rPr>
          <w:rFonts w:ascii="Times New Roman" w:hAnsi="Times New Roman"/>
          <w:sz w:val="24"/>
          <w:szCs w:val="24"/>
        </w:rPr>
        <w:fldChar w:fldCharType="begin"/>
      </w:r>
      <w:r w:rsidR="00A60DEA" w:rsidRPr="00BE5E11">
        <w:rPr>
          <w:rFonts w:ascii="Times New Roman" w:hAnsi="Times New Roman"/>
          <w:sz w:val="24"/>
          <w:szCs w:val="24"/>
        </w:rPr>
        <w:instrText xml:space="preserve"> ADDIN ZOTERO_ITEM CSL_CITATION {"citationID":"IUqe1u7v","properties":{"formattedCitation":"(9)","plainCitation":"(9)","noteIndex":0},"citationItems":[{"id":1076,"uris":["http://zotero.org/users/14913392/items/9QGCPVU9"],"itemData":{"id":1076,"type":"report","publisher":"Comité Permanent Inter-états de Lutte contre la Sécheresse dans le Sahel","publisher-place":"Dakar, Sénégal","title":"Cadre Harmonisé d'identification des zones à risque et des populations en insécurité alimentaire et nutritionnelle au Sahel et en Afrique de l'Ouest","author":[{"literal":"CILSS"}],"issued":{"date-parts":[["2024"]]}}}],"schema":"https://github.com/citation-style-language/schema/raw/master/csl-citation.json"} </w:instrText>
      </w:r>
      <w:r w:rsidR="00D24354" w:rsidRPr="00BE5E11">
        <w:rPr>
          <w:rFonts w:ascii="Times New Roman" w:hAnsi="Times New Roman"/>
          <w:sz w:val="24"/>
          <w:szCs w:val="24"/>
        </w:rPr>
        <w:fldChar w:fldCharType="separate"/>
      </w:r>
      <w:r w:rsidR="00A60DEA" w:rsidRPr="00BE5E11">
        <w:rPr>
          <w:rFonts w:ascii="Times New Roman" w:hAnsi="Times New Roman"/>
          <w:sz w:val="24"/>
          <w:szCs w:val="24"/>
        </w:rPr>
        <w:t xml:space="preserve">(9) </w:t>
      </w:r>
      <w:r w:rsidR="00D24354" w:rsidRPr="00BE5E11">
        <w:rPr>
          <w:rFonts w:ascii="Times New Roman" w:hAnsi="Times New Roman"/>
          <w:sz w:val="24"/>
          <w:szCs w:val="24"/>
        </w:rPr>
        <w:fldChar w:fldCharType="end"/>
      </w:r>
      <w:r w:rsidRPr="00BE5E11">
        <w:rPr>
          <w:rFonts w:ascii="Times New Roman" w:hAnsi="Times New Roman"/>
          <w:sz w:val="24"/>
          <w:szCs w:val="24"/>
        </w:rPr>
        <w:t xml:space="preserve">. UNICEF and WFP reports (2024) highlight that the Sahel remains a permanent emergency zone where global acute malnutrition (GAM) rates regularly exceed the alert threshold of 10%, and even the emergency threshold of 15% in some </w:t>
      </w:r>
      <w:proofErr w:type="spellStart"/>
      <w:r w:rsidRPr="00BE5E11">
        <w:rPr>
          <w:rFonts w:ascii="Times New Roman" w:hAnsi="Times New Roman"/>
          <w:sz w:val="24"/>
          <w:szCs w:val="24"/>
        </w:rPr>
        <w:t>transboundary</w:t>
      </w:r>
      <w:proofErr w:type="spellEnd"/>
      <w:r w:rsidRPr="00BE5E11">
        <w:rPr>
          <w:rFonts w:ascii="Times New Roman" w:hAnsi="Times New Roman"/>
          <w:sz w:val="24"/>
          <w:szCs w:val="24"/>
        </w:rPr>
        <w:t xml:space="preserve"> areas </w:t>
      </w:r>
      <w:r w:rsidR="00D24354" w:rsidRPr="00BE5E11">
        <w:rPr>
          <w:rFonts w:ascii="Times New Roman" w:hAnsi="Times New Roman"/>
          <w:sz w:val="24"/>
          <w:szCs w:val="24"/>
        </w:rPr>
        <w:fldChar w:fldCharType="begin"/>
      </w:r>
      <w:r w:rsidR="00A60DEA" w:rsidRPr="00BE5E11">
        <w:rPr>
          <w:rFonts w:ascii="Times New Roman" w:hAnsi="Times New Roman"/>
          <w:sz w:val="24"/>
          <w:szCs w:val="24"/>
        </w:rPr>
        <w:instrText xml:space="preserve"> ADDIN ZOTERO_ITEM CSL_CITATION {"citationID":"4GMQ0Oim","properties":{"formattedCitation":"(10,11)","plainCitation":"(10,11)","noteIndex":0},"citationItems":[{"id":1077,"uris":["http://zotero.org/users/14913392/items/TY28SEGQ"],"itemData":{"id":1077,"type":"report","publisher":"United Nations Children's Fund","publisher-place":"New York","title":"Child Food Poverty: Nutrition deprivation in early childhood","author":[{"literal":"UNICEF"}],"issued":{"date-parts":[["2024"]]}},"label":"page"},{"id":1078,"uris":["http://zotero.org/users/14913392/items/CHVTZHZP"],"itemData":{"id":1078,"type":"report","publisher":"UNICEF West and Central Africa Regional Office","title":"Severe wasting: An overlooked child survival emergency in the Sahel","author":[{"literal":"UNICEF"}],"issued":{"date-parts":[["2023"]]}},"label":"page"}],"schema":"https://github.com/citation-style-language/schema/raw/master/csl-citation.json"} </w:instrText>
      </w:r>
      <w:r w:rsidR="00D24354" w:rsidRPr="00BE5E11">
        <w:rPr>
          <w:rFonts w:ascii="Times New Roman" w:hAnsi="Times New Roman"/>
          <w:sz w:val="24"/>
          <w:szCs w:val="24"/>
        </w:rPr>
        <w:fldChar w:fldCharType="separate"/>
      </w:r>
      <w:r w:rsidR="00A60DEA" w:rsidRPr="00BE5E11">
        <w:rPr>
          <w:rFonts w:ascii="Times New Roman" w:hAnsi="Times New Roman"/>
          <w:sz w:val="24"/>
          <w:szCs w:val="24"/>
        </w:rPr>
        <w:t xml:space="preserve">(10, 11) </w:t>
      </w:r>
      <w:r w:rsidR="00D24354" w:rsidRPr="00BE5E11">
        <w:rPr>
          <w:rFonts w:ascii="Times New Roman" w:hAnsi="Times New Roman"/>
          <w:sz w:val="24"/>
          <w:szCs w:val="24"/>
        </w:rPr>
        <w:fldChar w:fldCharType="end"/>
      </w:r>
      <w:r w:rsidRPr="00BE5E11">
        <w:rPr>
          <w:rFonts w:ascii="Times New Roman" w:hAnsi="Times New Roman"/>
          <w:sz w:val="24"/>
          <w:szCs w:val="24"/>
        </w:rPr>
        <w:t>. Despite bearing a disproportionate burden of global health crises, Africa has developed endogenous resilience models, foremost among them the Essential Community Care (ECC) strategy. A legacy of the 1978 Alma-Ata Confe</w:t>
      </w:r>
      <w:r w:rsidRPr="00BE5E11">
        <w:rPr>
          <w:rFonts w:ascii="Times New Roman" w:hAnsi="Times New Roman"/>
          <w:sz w:val="24"/>
          <w:szCs w:val="24"/>
        </w:rPr>
        <w:t>r</w:t>
      </w:r>
      <w:r w:rsidRPr="00BE5E11">
        <w:rPr>
          <w:rFonts w:ascii="Times New Roman" w:hAnsi="Times New Roman"/>
          <w:sz w:val="24"/>
          <w:szCs w:val="24"/>
        </w:rPr>
        <w:t>ence, the deployment of Community Health Workers (CHWs) at the heart of villages has become the corne</w:t>
      </w:r>
      <w:r w:rsidRPr="00BE5E11">
        <w:rPr>
          <w:rFonts w:ascii="Times New Roman" w:hAnsi="Times New Roman"/>
          <w:sz w:val="24"/>
          <w:szCs w:val="24"/>
        </w:rPr>
        <w:t>r</w:t>
      </w:r>
      <w:r w:rsidRPr="00BE5E11">
        <w:rPr>
          <w:rFonts w:ascii="Times New Roman" w:hAnsi="Times New Roman"/>
          <w:sz w:val="24"/>
          <w:szCs w:val="24"/>
        </w:rPr>
        <w:t>stone of the continent's primary health care systems. This institutional recognition reached a decisive mil</w:t>
      </w:r>
      <w:r w:rsidRPr="00BE5E11">
        <w:rPr>
          <w:rFonts w:ascii="Times New Roman" w:hAnsi="Times New Roman"/>
          <w:sz w:val="24"/>
          <w:szCs w:val="24"/>
        </w:rPr>
        <w:t>e</w:t>
      </w:r>
      <w:r w:rsidRPr="00BE5E11">
        <w:rPr>
          <w:rFonts w:ascii="Times New Roman" w:hAnsi="Times New Roman"/>
          <w:sz w:val="24"/>
          <w:szCs w:val="24"/>
        </w:rPr>
        <w:t>stone in 2017 at the African Union Assembly, where Heads of State pledged to support the training and int</w:t>
      </w:r>
      <w:r w:rsidRPr="00BE5E11">
        <w:rPr>
          <w:rFonts w:ascii="Times New Roman" w:hAnsi="Times New Roman"/>
          <w:sz w:val="24"/>
          <w:szCs w:val="24"/>
        </w:rPr>
        <w:t>e</w:t>
      </w:r>
      <w:r w:rsidRPr="00BE5E11">
        <w:rPr>
          <w:rFonts w:ascii="Times New Roman" w:hAnsi="Times New Roman"/>
          <w:sz w:val="24"/>
          <w:szCs w:val="24"/>
        </w:rPr>
        <w:t>gration of an additional two million CHWs continent-wide, thus enshrining their pivotal role in achieving Universal Health Coverage (UHC). Trusted members of their communities, CHWs facilitate community e</w:t>
      </w:r>
      <w:r w:rsidRPr="00BE5E11">
        <w:rPr>
          <w:rFonts w:ascii="Times New Roman" w:hAnsi="Times New Roman"/>
          <w:sz w:val="24"/>
          <w:szCs w:val="24"/>
        </w:rPr>
        <w:t>n</w:t>
      </w:r>
      <w:r w:rsidRPr="00BE5E11">
        <w:rPr>
          <w:rFonts w:ascii="Times New Roman" w:hAnsi="Times New Roman"/>
          <w:sz w:val="24"/>
          <w:szCs w:val="24"/>
        </w:rPr>
        <w:t xml:space="preserve">gagement, build trust, and ensure that health and nutrition interventions are culturally appropriate and well-received </w:t>
      </w:r>
      <w:r w:rsidR="00612D3F" w:rsidRPr="00BE5E11">
        <w:rPr>
          <w:rFonts w:ascii="Times New Roman" w:hAnsi="Times New Roman"/>
          <w:sz w:val="24"/>
          <w:szCs w:val="24"/>
        </w:rPr>
        <w:fldChar w:fldCharType="begin"/>
      </w:r>
      <w:r w:rsidR="001C080F" w:rsidRPr="00BE5E11">
        <w:rPr>
          <w:rFonts w:ascii="Times New Roman" w:hAnsi="Times New Roman"/>
          <w:sz w:val="24"/>
          <w:szCs w:val="24"/>
        </w:rPr>
        <w:instrText xml:space="preserve"> ADDIN ZOTERO_ITEM CSL_CITATION {"citationID":"jdALwpuU","properties":{"formattedCitation":"(12)","plainCitation":"(12)","noteIndex":0},"citationItems":[{"id":"6Svhu6ye/8LwqX822","uris":["http://zotero.org/users/14913392/items/G75ZXXW8"],"itemData":{"id":1089,"type":"article-journal","container-title":"Health Research Policy and Systems","DOI":"10.1186/s12961-021-00756-4","ISSN":"1478-4505","issue":"Suppl 3","language":"en","page":"116","title":"Community health workers at the dawn of a new era: 9. CHW relationships with the health system and communities","URL":"https://health-policy-systems.biomedcentral.com/articles/10.1186/s12961-021-00756-4","volume":"19","author":[{"family":"LeBan","given":"K."},{"family":"Kok","given":"M."},{"family":"Perry","given":"H. B."}],"issued":{"date-parts":[["2021"]]}}}],"schema":"https://github.com/citation-style-language/schema/raw/master/csl-citation.json"} </w:instrText>
      </w:r>
      <w:r w:rsidR="00612D3F" w:rsidRPr="00BE5E11">
        <w:rPr>
          <w:rFonts w:ascii="Times New Roman" w:hAnsi="Times New Roman"/>
          <w:sz w:val="24"/>
          <w:szCs w:val="24"/>
        </w:rPr>
        <w:fldChar w:fldCharType="separate"/>
      </w:r>
      <w:r w:rsidR="00612D3F" w:rsidRPr="00BE5E11">
        <w:rPr>
          <w:rFonts w:ascii="Times New Roman" w:hAnsi="Times New Roman"/>
          <w:sz w:val="24"/>
          <w:szCs w:val="24"/>
        </w:rPr>
        <w:t xml:space="preserve">(12) </w:t>
      </w:r>
      <w:r w:rsidR="00612D3F" w:rsidRPr="00BE5E11">
        <w:rPr>
          <w:rFonts w:ascii="Times New Roman" w:hAnsi="Times New Roman"/>
          <w:sz w:val="24"/>
          <w:szCs w:val="24"/>
        </w:rPr>
        <w:fldChar w:fldCharType="end"/>
      </w:r>
      <w:r w:rsidR="00A60DEA" w:rsidRPr="00BE5E11">
        <w:rPr>
          <w:rFonts w:ascii="Times New Roman" w:hAnsi="Times New Roman"/>
          <w:sz w:val="24"/>
          <w:szCs w:val="24"/>
        </w:rPr>
        <w:t>. Community health workers (CHWs) provide essential primary healthcare services, such as i</w:t>
      </w:r>
      <w:r w:rsidR="00A60DEA" w:rsidRPr="00BE5E11">
        <w:rPr>
          <w:rFonts w:ascii="Times New Roman" w:hAnsi="Times New Roman"/>
          <w:sz w:val="24"/>
          <w:szCs w:val="24"/>
        </w:rPr>
        <w:t>m</w:t>
      </w:r>
      <w:r w:rsidR="00A60DEA" w:rsidRPr="00BE5E11">
        <w:rPr>
          <w:rFonts w:ascii="Times New Roman" w:hAnsi="Times New Roman"/>
          <w:sz w:val="24"/>
          <w:szCs w:val="24"/>
        </w:rPr>
        <w:t>munization, nutritional supplementation, and maternal and child health care.</w:t>
      </w:r>
      <w:r w:rsidR="00612D3F" w:rsidRPr="00BE5E11">
        <w:rPr>
          <w:rFonts w:ascii="Times New Roman" w:hAnsi="Times New Roman"/>
          <w:sz w:val="24"/>
          <w:szCs w:val="24"/>
        </w:rPr>
        <w:t xml:space="preserve"> </w:t>
      </w:r>
      <w:r w:rsidR="00612D3F" w:rsidRPr="00BE5E11">
        <w:rPr>
          <w:rFonts w:ascii="Times New Roman" w:hAnsi="Times New Roman"/>
          <w:sz w:val="24"/>
          <w:szCs w:val="24"/>
        </w:rPr>
        <w:fldChar w:fldCharType="begin"/>
      </w:r>
      <w:r w:rsidR="001C080F" w:rsidRPr="00BE5E11">
        <w:rPr>
          <w:rFonts w:ascii="Times New Roman" w:hAnsi="Times New Roman"/>
          <w:sz w:val="24"/>
          <w:szCs w:val="24"/>
        </w:rPr>
        <w:instrText xml:space="preserve"> ADDIN ZOTERO_ITEM CSL_CITATION {"citationID":"MLISVP9u","properties":{"formattedCitation":"(13)","plainCitation":"(13)","noteIndex":0},"citationItems":[{"id":"6Svhu6ye/2GcCrVKc","uris":["http://zotero.org/users/14913392/items/A2PA8LTV"],"itemData":{"id":1090,"type":"article-journal","container-title":"Health Research Policy and Systems","DOI":"10.1186/s12961-021-00768-0","ISSN":"1478-4505","issue":"Suppl 3","language":"en","page":"128","title":"Community health workers at the dawn of a new era: 5. Roles and tasks","URL":"https://health-policy-systems.biomedcentral.com/articles/10.1186/s12961-021-00768-0","volume":"19","author":[{"family":"Glenton","given":"C."},{"family":"Javadi","given":"D."},{"family":"Perry","given":"H. B."}],"issued":{"date-parts":[["2021"]]}}}],"schema":"https://github.com/citation-style-language/schema/raw/master/csl-citation.json"} </w:instrText>
      </w:r>
      <w:r w:rsidR="00612D3F" w:rsidRPr="00BE5E11">
        <w:rPr>
          <w:rFonts w:ascii="Times New Roman" w:hAnsi="Times New Roman"/>
          <w:sz w:val="24"/>
          <w:szCs w:val="24"/>
        </w:rPr>
        <w:fldChar w:fldCharType="separate"/>
      </w:r>
      <w:r w:rsidR="00612D3F" w:rsidRPr="00BE5E11">
        <w:rPr>
          <w:rFonts w:ascii="Times New Roman" w:hAnsi="Times New Roman"/>
          <w:sz w:val="24"/>
          <w:szCs w:val="24"/>
        </w:rPr>
        <w:t xml:space="preserve">(13) </w:t>
      </w:r>
      <w:r w:rsidR="00612D3F" w:rsidRPr="00BE5E11">
        <w:rPr>
          <w:rFonts w:ascii="Times New Roman" w:hAnsi="Times New Roman"/>
          <w:sz w:val="24"/>
          <w:szCs w:val="24"/>
        </w:rPr>
        <w:fldChar w:fldCharType="end"/>
      </w:r>
      <w:r w:rsidR="00A60DEA" w:rsidRPr="00BE5E11">
        <w:rPr>
          <w:rFonts w:ascii="Times New Roman" w:hAnsi="Times New Roman"/>
          <w:sz w:val="24"/>
          <w:szCs w:val="24"/>
        </w:rPr>
        <w:t>They often play a crucial role in ensuring access to these services, particularly in rural areas where distances to health facilities are si</w:t>
      </w:r>
      <w:r w:rsidR="00A60DEA" w:rsidRPr="00BE5E11">
        <w:rPr>
          <w:rFonts w:ascii="Times New Roman" w:hAnsi="Times New Roman"/>
          <w:sz w:val="24"/>
          <w:szCs w:val="24"/>
        </w:rPr>
        <w:t>g</w:t>
      </w:r>
      <w:r w:rsidR="00A60DEA" w:rsidRPr="00BE5E11">
        <w:rPr>
          <w:rFonts w:ascii="Times New Roman" w:hAnsi="Times New Roman"/>
          <w:sz w:val="24"/>
          <w:szCs w:val="24"/>
        </w:rPr>
        <w:t xml:space="preserve">nificant </w:t>
      </w:r>
      <w:r w:rsidR="00612D3F" w:rsidRPr="00BE5E11">
        <w:rPr>
          <w:rFonts w:ascii="Times New Roman" w:hAnsi="Times New Roman"/>
          <w:sz w:val="24"/>
          <w:szCs w:val="24"/>
        </w:rPr>
        <w:fldChar w:fldCharType="begin"/>
      </w:r>
      <w:r w:rsidR="00612D3F" w:rsidRPr="00BE5E11">
        <w:rPr>
          <w:rFonts w:ascii="Times New Roman" w:hAnsi="Times New Roman"/>
          <w:sz w:val="24"/>
          <w:szCs w:val="24"/>
        </w:rPr>
        <w:instrText xml:space="preserve"> ADDIN ZOTERO_ITEM CSL_CITATION {"citationID":"sP8zcVEi","properties":{"formattedCitation":"(14)","plainCitation":"(14)","noteIndex":0},"citationItems":[{"id":1091,"uris":["http://zotero.org/users/14913392/items/DVGTIECQ"],"itemData":{"id":1091,"type":"article-journal","container-title":"Journal of Global Health","DOI":"10.7189/jogh.14.05023","ISSN":"2047-2978","language":"en","page":"05023","title":"Evidence of health system resilience in primary health care for the prevention of under-five mortality in Rwanda and Bangladesh: Lessons from an implementation study during the MDG era and early COVID-19 pandemic","URL":"https://jogh.org/2024/jogh-14-05023","volume":"14","author":[{"family":"VanderZanden","given":"A."},{"family":"Amberbir","given":"A."},{"family":"Sayinzoga","given":"F."},{"family":"Huda","given":"F. A."},{"family":"Ntawukuriryayo","given":"J. T."},{"family":"Mathewos","given":"K."},{"family":"al","given":"et"}],"issued":{"date-parts":[["2024"]]}}}],"schema":"https://github.com/citation-style-language/schema/raw/master/csl-citation.json"} </w:instrText>
      </w:r>
      <w:r w:rsidR="00612D3F" w:rsidRPr="00BE5E11">
        <w:rPr>
          <w:rFonts w:ascii="Times New Roman" w:hAnsi="Times New Roman"/>
          <w:sz w:val="24"/>
          <w:szCs w:val="24"/>
        </w:rPr>
        <w:fldChar w:fldCharType="separate"/>
      </w:r>
      <w:r w:rsidR="00612D3F" w:rsidRPr="00BE5E11">
        <w:rPr>
          <w:rFonts w:ascii="Times New Roman" w:hAnsi="Times New Roman"/>
          <w:sz w:val="24"/>
          <w:szCs w:val="24"/>
        </w:rPr>
        <w:t xml:space="preserve">(14) </w:t>
      </w:r>
      <w:r w:rsidR="00612D3F" w:rsidRPr="00BE5E11">
        <w:rPr>
          <w:rFonts w:ascii="Times New Roman" w:hAnsi="Times New Roman"/>
          <w:sz w:val="24"/>
          <w:szCs w:val="24"/>
        </w:rPr>
        <w:fldChar w:fldCharType="end"/>
      </w:r>
      <w:r w:rsidR="00A60DEA" w:rsidRPr="00BE5E11">
        <w:rPr>
          <w:rFonts w:ascii="Times New Roman" w:hAnsi="Times New Roman"/>
          <w:sz w:val="24"/>
          <w:szCs w:val="24"/>
        </w:rPr>
        <w:t xml:space="preserve">. They also provide education on various health and nutrition-related topics, enabling community members to acquire the knowledge and skills needed to improve their health and well-being </w:t>
      </w:r>
      <w:r w:rsidR="00BA047B" w:rsidRPr="00BE5E11">
        <w:rPr>
          <w:rFonts w:ascii="Times New Roman" w:hAnsi="Times New Roman"/>
          <w:sz w:val="24"/>
          <w:szCs w:val="24"/>
        </w:rPr>
        <w:fldChar w:fldCharType="begin"/>
      </w:r>
      <w:r w:rsidR="001C080F" w:rsidRPr="00BE5E11">
        <w:rPr>
          <w:rFonts w:ascii="Times New Roman" w:hAnsi="Times New Roman"/>
          <w:sz w:val="24"/>
          <w:szCs w:val="24"/>
        </w:rPr>
        <w:instrText xml:space="preserve"> ADDIN ZOTERO_ITEM CSL_CITATION {"citationID":"lOF2lMns","properties":{"formattedCitation":"(13)","plainCitation":"(13)","noteIndex":0},"citationItems":[{"id":"6Svhu6ye/2GcCrVKc","uris":["http://zotero.org/users/14913392/items/A2PA8LTV"],"itemData":{"id":1090,"type":"article-journal","container-title":"Health Research Policy and Systems","DOI":"10.1186/s12961-021-00768-0","ISSN":"1478-4505","issue":"Suppl 3","language":"en","page":"128","title":"Community health workers at the dawn of a new era: 5. Roles and tasks","URL":"https://health-policy-systems.biomedcentral.com/articles/10.1186/s12961-021-00768-0","volume":"19","author":[{"family":"Glenton","given":"C."},{"family":"Javadi","given":"D."},{"family":"Perry","given":"H. B."}],"issued":{"date-parts":[["2021"]]}}}],"schema":"https://github.com/citation-style-language/schema/raw/master/csl-citation.json"} </w:instrText>
      </w:r>
      <w:r w:rsidR="00BA047B" w:rsidRPr="00BE5E11">
        <w:rPr>
          <w:rFonts w:ascii="Times New Roman" w:hAnsi="Times New Roman"/>
          <w:sz w:val="24"/>
          <w:szCs w:val="24"/>
        </w:rPr>
        <w:fldChar w:fldCharType="separate"/>
      </w:r>
      <w:r w:rsidR="00BA047B" w:rsidRPr="00BE5E11">
        <w:rPr>
          <w:rFonts w:ascii="Times New Roman" w:hAnsi="Times New Roman"/>
          <w:sz w:val="24"/>
          <w:szCs w:val="24"/>
        </w:rPr>
        <w:t xml:space="preserve">(13) </w:t>
      </w:r>
      <w:r w:rsidR="00BA047B" w:rsidRPr="00BE5E11">
        <w:rPr>
          <w:rFonts w:ascii="Times New Roman" w:hAnsi="Times New Roman"/>
          <w:sz w:val="24"/>
          <w:szCs w:val="24"/>
        </w:rPr>
        <w:fldChar w:fldCharType="end"/>
      </w:r>
      <w:r w:rsidR="00A60DEA" w:rsidRPr="00BE5E11">
        <w:rPr>
          <w:rFonts w:ascii="Times New Roman" w:hAnsi="Times New Roman"/>
          <w:sz w:val="24"/>
          <w:szCs w:val="24"/>
        </w:rPr>
        <w:t>.</w:t>
      </w:r>
    </w:p>
    <w:p w14:paraId="444B0195" w14:textId="77777777" w:rsidR="00734EA2" w:rsidRDefault="00AC2979" w:rsidP="00734EA2">
      <w:pPr>
        <w:spacing w:before="240" w:after="240" w:line="240" w:lineRule="auto"/>
        <w:jc w:val="both"/>
        <w:rPr>
          <w:rFonts w:ascii="Times New Roman" w:hAnsi="Times New Roman"/>
          <w:sz w:val="24"/>
          <w:szCs w:val="24"/>
        </w:rPr>
      </w:pPr>
      <w:r w:rsidRPr="00BE5E11">
        <w:rPr>
          <w:rFonts w:ascii="Times New Roman" w:hAnsi="Times New Roman"/>
          <w:sz w:val="24"/>
          <w:szCs w:val="24"/>
        </w:rPr>
        <w:lastRenderedPageBreak/>
        <w:t>In Mali, the nutritional situation remains a major national security concern. Data from the 7th Demographic and Health Survey (DHS) (2025) show that 25% of children are stunted (height-for-age &lt; -2 SD), of whom 7% are severely stunted (&lt; -3 SD), and 5% are wasted or suffer from acute malnutrition, of whom 1% are s</w:t>
      </w:r>
      <w:r w:rsidRPr="00BE5E11">
        <w:rPr>
          <w:rFonts w:ascii="Times New Roman" w:hAnsi="Times New Roman"/>
          <w:sz w:val="24"/>
          <w:szCs w:val="24"/>
        </w:rPr>
        <w:t>e</w:t>
      </w:r>
      <w:r w:rsidRPr="00BE5E11">
        <w:rPr>
          <w:rFonts w:ascii="Times New Roman" w:hAnsi="Times New Roman"/>
          <w:sz w:val="24"/>
          <w:szCs w:val="24"/>
        </w:rPr>
        <w:t xml:space="preserve">verely wasted and 15% are underweight (weight-for-age &lt; -2 SD) </w:t>
      </w:r>
      <w:r w:rsidR="00950C25" w:rsidRPr="00BE5E11">
        <w:rPr>
          <w:rFonts w:ascii="Times New Roman" w:hAnsi="Times New Roman"/>
          <w:sz w:val="24"/>
          <w:szCs w:val="24"/>
        </w:rPr>
        <w:fldChar w:fldCharType="begin"/>
      </w:r>
      <w:r w:rsidR="00612D3F" w:rsidRPr="00BE5E11">
        <w:rPr>
          <w:rFonts w:ascii="Times New Roman" w:hAnsi="Times New Roman"/>
          <w:sz w:val="24"/>
          <w:szCs w:val="24"/>
        </w:rPr>
        <w:instrText xml:space="preserve"> ADDIN ZOTERO_ITEM CSL_CITATION {"citationID":"uyPr66ak","properties":{"formattedCitation":"(15)","plainCitation":"(15)","noteIndex":0},"citationItems":[{"id":1064,"uris":["http://zotero.org/users/14913392/items/3DRUFMIV"],"itemData":{"id":1064,"type":"report","genre":"Rapport National","publisher":"Institut National de la Statistique (INSTAT)","publisher-place":"Bamako, Mali","title":"Enquête Démographique et de Santé au Mali (EDSTM-VII) 2024-2025 : Rapport préliminaire","author":[{"literal":"INSTAT"}],"issued":{"date-parts":[["2025"]]}}}],"schema":"https://github.com/citation-style-language/schema/raw/master/csl-citation.json"} </w:instrText>
      </w:r>
      <w:r w:rsidR="00950C25" w:rsidRPr="00BE5E11">
        <w:rPr>
          <w:rFonts w:ascii="Times New Roman" w:hAnsi="Times New Roman"/>
          <w:sz w:val="24"/>
          <w:szCs w:val="24"/>
        </w:rPr>
        <w:fldChar w:fldCharType="separate"/>
      </w:r>
      <w:r w:rsidR="00612D3F" w:rsidRPr="00BE5E11">
        <w:rPr>
          <w:rFonts w:ascii="Times New Roman" w:hAnsi="Times New Roman"/>
          <w:sz w:val="24"/>
          <w:szCs w:val="24"/>
        </w:rPr>
        <w:t xml:space="preserve">(15) </w:t>
      </w:r>
      <w:r w:rsidR="00950C25" w:rsidRPr="00BE5E11">
        <w:rPr>
          <w:rFonts w:ascii="Times New Roman" w:hAnsi="Times New Roman"/>
          <w:sz w:val="24"/>
          <w:szCs w:val="24"/>
        </w:rPr>
        <w:fldChar w:fldCharType="end"/>
      </w:r>
      <w:r w:rsidR="00950C25" w:rsidRPr="00BE5E11">
        <w:rPr>
          <w:rFonts w:ascii="Times New Roman" w:hAnsi="Times New Roman"/>
          <w:sz w:val="24"/>
          <w:szCs w:val="24"/>
        </w:rPr>
        <w:t xml:space="preserve">. The SMART 2024 national surveys confirm a high prevalence of stunting and wasting; the prevalence of acute malnutrition is 11.6%, of which 2.2% is severe; underweight has a prevalence of 21.1%, with 5.5% being severe; and stunting has a prevalence of 24.8%, with 7.5% being severe. As for overweight and obesity, the prevalence rates are 0.9% and 0.2%, respectively </w:t>
      </w:r>
      <w:r w:rsidR="00D24354" w:rsidRPr="00BE5E11">
        <w:rPr>
          <w:rFonts w:ascii="Times New Roman" w:hAnsi="Times New Roman"/>
          <w:sz w:val="24"/>
          <w:szCs w:val="24"/>
        </w:rPr>
        <w:fldChar w:fldCharType="begin"/>
      </w:r>
      <w:r w:rsidR="00612D3F" w:rsidRPr="00BE5E11">
        <w:rPr>
          <w:rFonts w:ascii="Times New Roman" w:hAnsi="Times New Roman"/>
          <w:sz w:val="24"/>
          <w:szCs w:val="24"/>
        </w:rPr>
        <w:instrText xml:space="preserve"> ADDIN ZOTERO_ITEM CSL_CITATION {"citationID":"AE9rUVtO","properties":{"unsorted":true,"formattedCitation":"(16)","plainCitation":"(16)","noteIndex":0},"citationItems":[{"id":1065,"uris":["http://zotero.org/users/14913392/items/9PK65W49"],"itemData":{"id":1065,"type":"report","genre":"Rapport technique","publisher":"Ministère de la Santé et du Développement Social","publisher-place":"Bamako, Mali","title":"Enquête Nutritionnelle Nationale Anthropométrique et de Mortalité Rétrospective (SMART 2025)","author":[{"literal":"MSDS"}],"issued":{"date-parts":[["2025"]]}}}],"schema":"https://github.com/citation-style-language/schema/raw/master/csl-citation.json"} </w:instrText>
      </w:r>
      <w:r w:rsidR="00D24354" w:rsidRPr="00BE5E11">
        <w:rPr>
          <w:rFonts w:ascii="Times New Roman" w:hAnsi="Times New Roman"/>
          <w:sz w:val="24"/>
          <w:szCs w:val="24"/>
        </w:rPr>
        <w:fldChar w:fldCharType="separate"/>
      </w:r>
      <w:r w:rsidR="00612D3F" w:rsidRPr="00BE5E11">
        <w:rPr>
          <w:rFonts w:ascii="Times New Roman" w:hAnsi="Times New Roman"/>
          <w:sz w:val="24"/>
          <w:szCs w:val="24"/>
        </w:rPr>
        <w:t xml:space="preserve">(16) </w:t>
      </w:r>
      <w:r w:rsidR="00D24354" w:rsidRPr="00BE5E11">
        <w:rPr>
          <w:rFonts w:ascii="Times New Roman" w:hAnsi="Times New Roman"/>
          <w:sz w:val="24"/>
          <w:szCs w:val="24"/>
        </w:rPr>
        <w:fldChar w:fldCharType="end"/>
      </w:r>
      <w:r w:rsidRPr="00BE5E11">
        <w:rPr>
          <w:rFonts w:ascii="Times New Roman" w:hAnsi="Times New Roman"/>
          <w:sz w:val="24"/>
          <w:szCs w:val="24"/>
        </w:rPr>
        <w:t>. Despite structural investments, the Malian health system continues to face chronic logistical constraints, a systemic shortage of human resources, and major disparities in geographical access. This situ</w:t>
      </w:r>
      <w:r w:rsidRPr="00BE5E11">
        <w:rPr>
          <w:rFonts w:ascii="Times New Roman" w:hAnsi="Times New Roman"/>
          <w:sz w:val="24"/>
          <w:szCs w:val="24"/>
        </w:rPr>
        <w:t>a</w:t>
      </w:r>
      <w:r w:rsidRPr="00BE5E11">
        <w:rPr>
          <w:rFonts w:ascii="Times New Roman" w:hAnsi="Times New Roman"/>
          <w:sz w:val="24"/>
          <w:szCs w:val="24"/>
        </w:rPr>
        <w:t>tion is further complicated by a climate of residual insecurity which, for more than a decade, has exacerbated the isolation of rural populations and hindered their effective use of Community Health Centers (</w:t>
      </w:r>
      <w:proofErr w:type="spellStart"/>
      <w:r w:rsidRPr="00BE5E11">
        <w:rPr>
          <w:rFonts w:ascii="Times New Roman" w:hAnsi="Times New Roman"/>
          <w:sz w:val="24"/>
          <w:szCs w:val="24"/>
        </w:rPr>
        <w:t>CSComs</w:t>
      </w:r>
      <w:proofErr w:type="spellEnd"/>
      <w:r w:rsidRPr="00BE5E11">
        <w:rPr>
          <w:rFonts w:ascii="Times New Roman" w:hAnsi="Times New Roman"/>
          <w:sz w:val="24"/>
          <w:szCs w:val="24"/>
        </w:rPr>
        <w:t xml:space="preserve">). Faced with the inherent limitations of universal health coverage, the Malian state initiated a paradigm shift in 2010 through a profound overhaul of its community health policy, aiming to reposition healthcare services closer to households </w:t>
      </w:r>
      <w:r w:rsidR="00A609A0" w:rsidRPr="00BE5E11">
        <w:rPr>
          <w:rFonts w:ascii="Times New Roman" w:hAnsi="Times New Roman"/>
          <w:sz w:val="24"/>
          <w:szCs w:val="24"/>
        </w:rPr>
        <w:fldChar w:fldCharType="begin"/>
      </w:r>
      <w:r w:rsidR="00612D3F" w:rsidRPr="00BE5E11">
        <w:rPr>
          <w:rFonts w:ascii="Times New Roman" w:hAnsi="Times New Roman"/>
          <w:sz w:val="24"/>
          <w:szCs w:val="24"/>
        </w:rPr>
        <w:instrText xml:space="preserve"> ADDIN ZOTERO_ITEM CSL_CITATION {"citationID":"RpAmpVcu","properties":{"formattedCitation":"(17)","plainCitation":"(17)","noteIndex":0},"citationItems":[{"id":1001,"uris":["http://zotero.org/users/14913392/items/6NSNXGJT"],"itemData":{"id":1001,"type":"document","genre":"Document stratégique","publisher":"Ministère de la Santé et du Développement Social","publisher-place":"Bamako, Mali","title":"Plan Stratégique National des Soins Essentiels dans la Communauté (SEC).","author":[{"literal":"Direction générale de la Santé et de l’Hygiène publique du Ministère de la Santé du Mali"}],"issued":{"date-parts":[["2021"]]}}}],"schema":"https://github.com/citation-style-language/schema/raw/master/csl-citation.json"} </w:instrText>
      </w:r>
      <w:r w:rsidR="00A609A0" w:rsidRPr="00BE5E11">
        <w:rPr>
          <w:rFonts w:ascii="Times New Roman" w:hAnsi="Times New Roman"/>
          <w:sz w:val="24"/>
          <w:szCs w:val="24"/>
        </w:rPr>
        <w:fldChar w:fldCharType="separate"/>
      </w:r>
      <w:r w:rsidR="00612D3F" w:rsidRPr="00BE5E11">
        <w:rPr>
          <w:rFonts w:ascii="Times New Roman" w:hAnsi="Times New Roman"/>
          <w:sz w:val="24"/>
          <w:szCs w:val="24"/>
        </w:rPr>
        <w:t xml:space="preserve">(17) </w:t>
      </w:r>
      <w:r w:rsidR="00A609A0" w:rsidRPr="00BE5E11">
        <w:rPr>
          <w:rFonts w:ascii="Times New Roman" w:hAnsi="Times New Roman"/>
          <w:sz w:val="24"/>
          <w:szCs w:val="24"/>
        </w:rPr>
        <w:fldChar w:fldCharType="end"/>
      </w:r>
      <w:r w:rsidRPr="00BE5E11">
        <w:rPr>
          <w:rFonts w:ascii="Times New Roman" w:hAnsi="Times New Roman"/>
          <w:sz w:val="24"/>
          <w:szCs w:val="24"/>
        </w:rPr>
        <w:t xml:space="preserve">. This reform dynamic has resulted in a substantial redefinition of the responsibilities assigned to frontline workers. Indeed, as </w:t>
      </w:r>
      <w:proofErr w:type="spellStart"/>
      <w:r w:rsidRPr="00BE5E11">
        <w:rPr>
          <w:rFonts w:ascii="Times New Roman" w:hAnsi="Times New Roman"/>
          <w:sz w:val="24"/>
          <w:szCs w:val="24"/>
        </w:rPr>
        <w:t>Glenton</w:t>
      </w:r>
      <w:proofErr w:type="spellEnd"/>
      <w:r w:rsidRPr="00BE5E11">
        <w:rPr>
          <w:rFonts w:ascii="Times New Roman" w:hAnsi="Times New Roman"/>
          <w:sz w:val="24"/>
          <w:szCs w:val="24"/>
        </w:rPr>
        <w:t xml:space="preserve"> et al. point out... (2021), community health workers are no longer confined to awareness-raising or information-sharing roles, but now assume simplified clinical roles and essential curative tasks </w:t>
      </w:r>
      <w:r w:rsidR="00A371B6" w:rsidRPr="00BE5E11">
        <w:rPr>
          <w:rFonts w:ascii="Times New Roman" w:hAnsi="Times New Roman"/>
          <w:sz w:val="24"/>
          <w:szCs w:val="24"/>
        </w:rPr>
        <w:fldChar w:fldCharType="begin"/>
      </w:r>
      <w:r w:rsidR="001C080F" w:rsidRPr="00BE5E11">
        <w:rPr>
          <w:rFonts w:ascii="Times New Roman" w:hAnsi="Times New Roman"/>
          <w:sz w:val="24"/>
          <w:szCs w:val="24"/>
        </w:rPr>
        <w:instrText xml:space="preserve"> ADDIN ZOTERO_ITEM CSL_CITATION {"citationID":"oIEeeTAm","properties":{"formattedCitation":"(13)","plainCitation":"(13)","noteIndex":0},"citationItems":[{"id":"6Svhu6ye/2GcCrVKc","uris":["http://zotero.org/users/14913392/items/A2PA8LTV"],"itemData":{"id":1090,"type":"article-journal","container-title":"Health Research Policy and Systems","DOI":"10.1186/s12961-021-00768-0","ISSN":"1478-4505","issue":"Suppl 3","language":"en","page":"128","title":"Community health workers at the dawn of a new era: 5. Roles and tasks","URL":"https://health-policy-systems.biomedcentral.com/articles/10.1186/s12961-021-00768-0","volume":"19","author":[{"family":"Glenton","given":"C."},{"family":"Javadi","given":"D."},{"family":"Perry","given":"H. B."}],"issued":{"date-parts":[["2021"]]}}}],"schema":"https://github.com/citation-style-language/schema/raw/master/csl-citation.json"} </w:instrText>
      </w:r>
      <w:r w:rsidR="00A371B6" w:rsidRPr="00BE5E11">
        <w:rPr>
          <w:rFonts w:ascii="Times New Roman" w:hAnsi="Times New Roman"/>
          <w:sz w:val="24"/>
          <w:szCs w:val="24"/>
        </w:rPr>
        <w:fldChar w:fldCharType="separate"/>
      </w:r>
      <w:r w:rsidR="00A371B6" w:rsidRPr="00BE5E11">
        <w:rPr>
          <w:rFonts w:ascii="Times New Roman" w:hAnsi="Times New Roman"/>
          <w:sz w:val="24"/>
          <w:szCs w:val="24"/>
        </w:rPr>
        <w:t xml:space="preserve">(13) </w:t>
      </w:r>
      <w:r w:rsidR="00A371B6" w:rsidRPr="00BE5E11">
        <w:rPr>
          <w:rFonts w:ascii="Times New Roman" w:hAnsi="Times New Roman"/>
          <w:sz w:val="24"/>
          <w:szCs w:val="24"/>
        </w:rPr>
        <w:fldChar w:fldCharType="end"/>
      </w:r>
      <w:r w:rsidR="00A371B6" w:rsidRPr="00BE5E11">
        <w:rPr>
          <w:rFonts w:ascii="Times New Roman" w:hAnsi="Times New Roman"/>
          <w:sz w:val="24"/>
          <w:szCs w:val="24"/>
        </w:rPr>
        <w:t xml:space="preserve">. In Mali, this transition to "active treatment" has made it possible to delegate the management of complex pathologies, such as severe acute malnutrition, to community actors capable of intervening where geographical and security barriers render the conventional healthcare system ineffective. This task-shifting constitutes the major strategic lever for ensuring continuity of care in the country's most vulnerable areas. This strategy relies on the deployment of Community Health Workers (CHWs), resident members of their localities, trained to provide an integrated package of preventive, promotional, and curative care directly within households </w:t>
      </w:r>
      <w:r w:rsidR="00A609A0" w:rsidRPr="00BE5E11">
        <w:rPr>
          <w:rFonts w:ascii="Times New Roman" w:hAnsi="Times New Roman"/>
          <w:sz w:val="24"/>
          <w:szCs w:val="24"/>
        </w:rPr>
        <w:fldChar w:fldCharType="begin"/>
      </w:r>
      <w:r w:rsidR="00612D3F" w:rsidRPr="00BE5E11">
        <w:rPr>
          <w:rFonts w:ascii="Times New Roman" w:hAnsi="Times New Roman"/>
          <w:sz w:val="24"/>
          <w:szCs w:val="24"/>
        </w:rPr>
        <w:instrText xml:space="preserve"> ADDIN ZOTERO_ITEM CSL_CITATION {"citationID":"7hA9Zw8B","properties":{"formattedCitation":"(17)","plainCitation":"(17)","noteIndex":0},"citationItems":[{"id":1001,"uris":["http://zotero.org/users/14913392/items/6NSNXGJT"],"itemData":{"id":1001,"type":"document","genre":"Document stratégique","publisher":"Ministère de la Santé et du Développement Social","publisher-place":"Bamako, Mali","title":"Plan Stratégique National des Soins Essentiels dans la Communauté (SEC).","author":[{"literal":"Direction générale de la Santé et de l’Hygiène publique du Ministère de la Santé du Mali"}],"issued":{"date-parts":[["2021"]]}}}],"schema":"https://github.com/citation-style-language/schema/raw/master/csl-citation.json"} </w:instrText>
      </w:r>
      <w:r w:rsidR="00A609A0" w:rsidRPr="00BE5E11">
        <w:rPr>
          <w:rFonts w:ascii="Times New Roman" w:hAnsi="Times New Roman"/>
          <w:sz w:val="24"/>
          <w:szCs w:val="24"/>
        </w:rPr>
        <w:fldChar w:fldCharType="separate"/>
      </w:r>
      <w:r w:rsidR="00612D3F" w:rsidRPr="00BE5E11">
        <w:rPr>
          <w:rFonts w:ascii="Times New Roman" w:hAnsi="Times New Roman"/>
          <w:sz w:val="24"/>
          <w:szCs w:val="24"/>
        </w:rPr>
        <w:t xml:space="preserve">(17) </w:t>
      </w:r>
      <w:r w:rsidR="00A609A0" w:rsidRPr="00BE5E11">
        <w:rPr>
          <w:rFonts w:ascii="Times New Roman" w:hAnsi="Times New Roman"/>
          <w:sz w:val="24"/>
          <w:szCs w:val="24"/>
        </w:rPr>
        <w:fldChar w:fldCharType="end"/>
      </w:r>
      <w:r w:rsidRPr="00BE5E11">
        <w:rPr>
          <w:rFonts w:ascii="Times New Roman" w:hAnsi="Times New Roman"/>
          <w:sz w:val="24"/>
          <w:szCs w:val="24"/>
        </w:rPr>
        <w:t>. The adoption of this strategy is not merely a technical choice, but a n</w:t>
      </w:r>
      <w:r w:rsidRPr="00BE5E11">
        <w:rPr>
          <w:rFonts w:ascii="Times New Roman" w:hAnsi="Times New Roman"/>
          <w:sz w:val="24"/>
          <w:szCs w:val="24"/>
        </w:rPr>
        <w:t>e</w:t>
      </w:r>
      <w:r w:rsidRPr="00BE5E11">
        <w:rPr>
          <w:rFonts w:ascii="Times New Roman" w:hAnsi="Times New Roman"/>
          <w:sz w:val="24"/>
          <w:szCs w:val="24"/>
        </w:rPr>
        <w:t xml:space="preserve">cessity for survival. By entrusting community health workers (CHWs) with the diagnosis and treatment of malnutrition, malaria, and respiratory infections, the health system is transitioning towards equity, reducing morbidity directly within households and bypassing financial and geographical barriers </w:t>
      </w:r>
      <w:r w:rsidR="00C70A1D" w:rsidRPr="00BE5E11">
        <w:rPr>
          <w:rFonts w:ascii="Times New Roman" w:hAnsi="Times New Roman"/>
          <w:sz w:val="24"/>
          <w:szCs w:val="24"/>
        </w:rPr>
        <w:fldChar w:fldCharType="begin"/>
      </w:r>
      <w:r w:rsidR="00612D3F" w:rsidRPr="00BE5E11">
        <w:rPr>
          <w:rFonts w:ascii="Times New Roman" w:hAnsi="Times New Roman"/>
          <w:sz w:val="24"/>
          <w:szCs w:val="24"/>
        </w:rPr>
        <w:instrText xml:space="preserve"> ADDIN ZOTERO_ITEM CSL_CITATION {"citationID":"CPkBdH0R","properties":{"formattedCitation":"(18)","plainCitation":"(18)","noteIndex":0},"citationItems":[{"id":1084,"uris":["http://zotero.org/users/14913392/items/DTXDGUHJ"],"itemData":{"id":1084,"type":"article-journal","container-title":"Revue Malienne de Science et de Technologie","ISSN":"1987-0876","issue":"29","language":"fr","page":"15–28","title":"Impact de la stratégie de soins essentiels dans la communauté sur la prise en charge de la malnutrition aiguë au Mali : une analyse de survie","volume":"2","author":[{"family":"Sacko","given":"M."},{"family":"Sangho","given":"O."},{"family":"al","given":"et"}],"issued":{"date-parts":[["2024"]]}}}],"schema":"https://github.com/citation-style-language/schema/raw/master/csl-citation.json"} </w:instrText>
      </w:r>
      <w:r w:rsidR="00C70A1D" w:rsidRPr="00BE5E11">
        <w:rPr>
          <w:rFonts w:ascii="Times New Roman" w:hAnsi="Times New Roman"/>
          <w:sz w:val="24"/>
          <w:szCs w:val="24"/>
        </w:rPr>
        <w:fldChar w:fldCharType="separate"/>
      </w:r>
      <w:r w:rsidR="00612D3F" w:rsidRPr="00BE5E11">
        <w:rPr>
          <w:rFonts w:ascii="Times New Roman" w:hAnsi="Times New Roman"/>
          <w:sz w:val="24"/>
          <w:szCs w:val="24"/>
        </w:rPr>
        <w:t xml:space="preserve">(18) </w:t>
      </w:r>
      <w:r w:rsidR="00C70A1D" w:rsidRPr="00BE5E11">
        <w:rPr>
          <w:rFonts w:ascii="Times New Roman" w:hAnsi="Times New Roman"/>
          <w:sz w:val="24"/>
          <w:szCs w:val="24"/>
        </w:rPr>
        <w:fldChar w:fldCharType="end"/>
      </w:r>
      <w:r w:rsidR="00C70A1D" w:rsidRPr="00BE5E11">
        <w:rPr>
          <w:rFonts w:ascii="Times New Roman" w:hAnsi="Times New Roman"/>
          <w:sz w:val="24"/>
          <w:szCs w:val="24"/>
        </w:rPr>
        <w:t>. The evolving role of CHWs in Mali, from a simple passive screening relay to an autonomous actor in Integrated Manag</w:t>
      </w:r>
      <w:r w:rsidR="00C70A1D" w:rsidRPr="00BE5E11">
        <w:rPr>
          <w:rFonts w:ascii="Times New Roman" w:hAnsi="Times New Roman"/>
          <w:sz w:val="24"/>
          <w:szCs w:val="24"/>
        </w:rPr>
        <w:t>e</w:t>
      </w:r>
      <w:r w:rsidR="00C70A1D" w:rsidRPr="00BE5E11">
        <w:rPr>
          <w:rFonts w:ascii="Times New Roman" w:hAnsi="Times New Roman"/>
          <w:sz w:val="24"/>
          <w:szCs w:val="24"/>
        </w:rPr>
        <w:t>ment of Acute Malnutrition (IMAM), represents a major innovation. This decentralization of care is all the more crucial given that geographical distance and insecurity are the main obstacles to child survival. However, few studies have examined the effectiveness of CHWs in managing widespread bitter malnutrition across mu</w:t>
      </w:r>
      <w:r w:rsidR="00C70A1D" w:rsidRPr="00BE5E11">
        <w:rPr>
          <w:rFonts w:ascii="Times New Roman" w:hAnsi="Times New Roman"/>
          <w:sz w:val="24"/>
          <w:szCs w:val="24"/>
        </w:rPr>
        <w:t>l</w:t>
      </w:r>
      <w:r w:rsidR="00C70A1D" w:rsidRPr="00BE5E11">
        <w:rPr>
          <w:rFonts w:ascii="Times New Roman" w:hAnsi="Times New Roman"/>
          <w:sz w:val="24"/>
          <w:szCs w:val="24"/>
        </w:rPr>
        <w:t xml:space="preserve">tiple regions. It was therefore imperative to assess the impact of this community contribution to guide future health policies. The overall objective of the study was to analyze the contribution of Community Health Workers in the management of malnutrition in Mali over the period 2010-2025. Specifically, it aims to assess the evolution of therapeutic coverage, identify the operational challenges related to the transition to active treatment and measure the effectiveness of this community strategy in reducing mortality rates among children </w:t>
      </w:r>
      <w:proofErr w:type="gramStart"/>
      <w:r w:rsidR="00C70A1D" w:rsidRPr="00BE5E11">
        <w:rPr>
          <w:rFonts w:ascii="Times New Roman" w:hAnsi="Times New Roman"/>
          <w:sz w:val="24"/>
          <w:szCs w:val="24"/>
        </w:rPr>
        <w:t>under</w:t>
      </w:r>
      <w:proofErr w:type="gramEnd"/>
      <w:r w:rsidR="00C70A1D" w:rsidRPr="00BE5E11">
        <w:rPr>
          <w:rFonts w:ascii="Times New Roman" w:hAnsi="Times New Roman"/>
          <w:sz w:val="24"/>
          <w:szCs w:val="24"/>
        </w:rPr>
        <w:t xml:space="preserve"> five years of age.</w:t>
      </w:r>
    </w:p>
    <w:p w14:paraId="14F4BB27" w14:textId="28C90ED6" w:rsidR="007E71E2" w:rsidRPr="00420E37" w:rsidRDefault="007E71E2" w:rsidP="00734EA2">
      <w:pPr>
        <w:spacing w:before="240" w:after="240" w:line="240" w:lineRule="auto"/>
        <w:jc w:val="both"/>
        <w:rPr>
          <w:rFonts w:ascii="Times New Roman" w:eastAsia="Times New Roman" w:hAnsi="Times New Roman"/>
          <w:b/>
          <w:bCs/>
          <w:caps/>
          <w:sz w:val="28"/>
          <w:szCs w:val="24"/>
          <w:lang w:eastAsia="fr-FR"/>
        </w:rPr>
      </w:pPr>
      <w:r w:rsidRPr="00420E37">
        <w:rPr>
          <w:rFonts w:ascii="Times New Roman" w:eastAsia="Times New Roman" w:hAnsi="Times New Roman"/>
          <w:b/>
          <w:bCs/>
          <w:caps/>
          <w:sz w:val="28"/>
          <w:szCs w:val="24"/>
          <w:lang w:eastAsia="fr-FR"/>
        </w:rPr>
        <w:t>Methodology</w:t>
      </w:r>
    </w:p>
    <w:p w14:paraId="7BF51DF6" w14:textId="77777777" w:rsidR="00B0244A" w:rsidRPr="00BE5E11" w:rsidRDefault="00B0244A" w:rsidP="008556F9">
      <w:pPr>
        <w:spacing w:before="240" w:after="240" w:line="240" w:lineRule="auto"/>
        <w:jc w:val="both"/>
        <w:rPr>
          <w:rFonts w:ascii="Times New Roman" w:hAnsi="Times New Roman"/>
          <w:b/>
          <w:bCs/>
          <w:sz w:val="24"/>
          <w:szCs w:val="24"/>
          <w:lang w:eastAsia="fr-FR"/>
        </w:rPr>
      </w:pPr>
      <w:r w:rsidRPr="00BE5E11">
        <w:rPr>
          <w:rFonts w:ascii="Times New Roman" w:hAnsi="Times New Roman"/>
          <w:b/>
          <w:bCs/>
          <w:sz w:val="24"/>
          <w:szCs w:val="24"/>
          <w:lang w:eastAsia="fr-FR"/>
        </w:rPr>
        <w:t>Type and framework of the study</w:t>
      </w:r>
    </w:p>
    <w:p w14:paraId="058B5C88" w14:textId="763CB743" w:rsidR="00B0244A" w:rsidRPr="00BE5E11" w:rsidRDefault="00FA7C4E" w:rsidP="008556F9">
      <w:pPr>
        <w:spacing w:before="240" w:after="240" w:line="240" w:lineRule="auto"/>
        <w:jc w:val="both"/>
        <w:rPr>
          <w:rFonts w:ascii="Times New Roman" w:hAnsi="Times New Roman"/>
          <w:sz w:val="24"/>
          <w:szCs w:val="24"/>
          <w:lang w:eastAsia="fr-FR"/>
        </w:rPr>
      </w:pPr>
      <w:r w:rsidRPr="00BE5E11">
        <w:rPr>
          <w:rFonts w:ascii="Times New Roman" w:hAnsi="Times New Roman"/>
          <w:sz w:val="24"/>
          <w:szCs w:val="24"/>
          <w:lang w:eastAsia="fr-FR"/>
        </w:rPr>
        <w:t>This was a cross-sectional study with an analytical aim. It used a mixed methodological approach combining, on the one hand, a retrospective literature review covering the period from 2016 to 2024 and, on the other hand, a cross-sectional analysis of routine data collected between 2024 and 2025.</w:t>
      </w:r>
    </w:p>
    <w:p w14:paraId="13F4B282" w14:textId="05C1DC07" w:rsidR="00B0244A" w:rsidRPr="00BE5E11" w:rsidRDefault="00B0244A" w:rsidP="008556F9">
      <w:pPr>
        <w:spacing w:before="240" w:after="240" w:line="240" w:lineRule="auto"/>
        <w:jc w:val="both"/>
        <w:rPr>
          <w:rFonts w:ascii="Times New Roman" w:hAnsi="Times New Roman"/>
          <w:sz w:val="24"/>
          <w:szCs w:val="24"/>
          <w:highlight w:val="yellow"/>
          <w:lang w:eastAsia="fr-FR"/>
        </w:rPr>
      </w:pPr>
      <w:r w:rsidRPr="00BE5E11">
        <w:rPr>
          <w:rFonts w:ascii="Times New Roman" w:hAnsi="Times New Roman"/>
          <w:sz w:val="24"/>
          <w:szCs w:val="24"/>
          <w:lang w:eastAsia="fr-FR"/>
        </w:rPr>
        <w:t xml:space="preserve">The geographical scope of the study </w:t>
      </w:r>
      <w:r w:rsidR="005829DB" w:rsidRPr="00BE5E11">
        <w:rPr>
          <w:rFonts w:ascii="Times New Roman" w:hAnsi="Times New Roman"/>
          <w:sz w:val="24"/>
          <w:szCs w:val="24"/>
          <w:lang w:eastAsia="fr-FR"/>
        </w:rPr>
        <w:t xml:space="preserve">encompassed the first five administrative regions of Mali, namely </w:t>
      </w:r>
      <w:proofErr w:type="spellStart"/>
      <w:r w:rsidR="005829DB" w:rsidRPr="00BE5E11">
        <w:rPr>
          <w:rFonts w:ascii="Times New Roman" w:hAnsi="Times New Roman"/>
          <w:sz w:val="24"/>
          <w:szCs w:val="24"/>
          <w:lang w:eastAsia="fr-FR"/>
        </w:rPr>
        <w:t>Kayes</w:t>
      </w:r>
      <w:proofErr w:type="spellEnd"/>
      <w:r w:rsidR="005829DB" w:rsidRPr="00BE5E11">
        <w:rPr>
          <w:rFonts w:ascii="Times New Roman" w:hAnsi="Times New Roman"/>
          <w:sz w:val="24"/>
          <w:szCs w:val="24"/>
          <w:lang w:eastAsia="fr-FR"/>
        </w:rPr>
        <w:t xml:space="preserve">, </w:t>
      </w:r>
      <w:proofErr w:type="spellStart"/>
      <w:r w:rsidR="005829DB" w:rsidRPr="00BE5E11">
        <w:rPr>
          <w:rFonts w:ascii="Times New Roman" w:hAnsi="Times New Roman"/>
          <w:sz w:val="24"/>
          <w:szCs w:val="24"/>
          <w:lang w:eastAsia="fr-FR"/>
        </w:rPr>
        <w:t>Koulikoro</w:t>
      </w:r>
      <w:proofErr w:type="spellEnd"/>
      <w:r w:rsidR="005829DB" w:rsidRPr="00BE5E11">
        <w:rPr>
          <w:rFonts w:ascii="Times New Roman" w:hAnsi="Times New Roman"/>
          <w:sz w:val="24"/>
          <w:szCs w:val="24"/>
          <w:lang w:eastAsia="fr-FR"/>
        </w:rPr>
        <w:t xml:space="preserve">, </w:t>
      </w:r>
      <w:proofErr w:type="spellStart"/>
      <w:r w:rsidR="005829DB" w:rsidRPr="00BE5E11">
        <w:rPr>
          <w:rFonts w:ascii="Times New Roman" w:hAnsi="Times New Roman"/>
          <w:sz w:val="24"/>
          <w:szCs w:val="24"/>
          <w:lang w:eastAsia="fr-FR"/>
        </w:rPr>
        <w:t>Sikasso</w:t>
      </w:r>
      <w:proofErr w:type="spellEnd"/>
      <w:r w:rsidR="005829DB" w:rsidRPr="00BE5E11">
        <w:rPr>
          <w:rFonts w:ascii="Times New Roman" w:hAnsi="Times New Roman"/>
          <w:sz w:val="24"/>
          <w:szCs w:val="24"/>
          <w:lang w:eastAsia="fr-FR"/>
        </w:rPr>
        <w:t xml:space="preserve">, </w:t>
      </w:r>
      <w:proofErr w:type="spellStart"/>
      <w:r w:rsidR="005829DB" w:rsidRPr="00BE5E11">
        <w:rPr>
          <w:rFonts w:ascii="Times New Roman" w:hAnsi="Times New Roman"/>
          <w:sz w:val="24"/>
          <w:szCs w:val="24"/>
          <w:lang w:eastAsia="fr-FR"/>
        </w:rPr>
        <w:t>Ségou</w:t>
      </w:r>
      <w:proofErr w:type="spellEnd"/>
      <w:r w:rsidR="005829DB" w:rsidRPr="00BE5E11">
        <w:rPr>
          <w:rFonts w:ascii="Times New Roman" w:hAnsi="Times New Roman"/>
          <w:sz w:val="24"/>
          <w:szCs w:val="24"/>
          <w:lang w:eastAsia="fr-FR"/>
        </w:rPr>
        <w:t xml:space="preserve">, and </w:t>
      </w:r>
      <w:proofErr w:type="spellStart"/>
      <w:r w:rsidR="005829DB" w:rsidRPr="00BE5E11">
        <w:rPr>
          <w:rFonts w:ascii="Times New Roman" w:hAnsi="Times New Roman"/>
          <w:sz w:val="24"/>
          <w:szCs w:val="24"/>
          <w:lang w:eastAsia="fr-FR"/>
        </w:rPr>
        <w:t>Mopti</w:t>
      </w:r>
      <w:proofErr w:type="spellEnd"/>
      <w:r w:rsidR="005829DB" w:rsidRPr="00BE5E11">
        <w:rPr>
          <w:rFonts w:ascii="Times New Roman" w:hAnsi="Times New Roman"/>
          <w:sz w:val="24"/>
          <w:szCs w:val="24"/>
          <w:lang w:eastAsia="fr-FR"/>
        </w:rPr>
        <w:t>. The analysis focused specifically on health areas engaged in the i</w:t>
      </w:r>
      <w:r w:rsidR="005829DB" w:rsidRPr="00BE5E11">
        <w:rPr>
          <w:rFonts w:ascii="Times New Roman" w:hAnsi="Times New Roman"/>
          <w:sz w:val="24"/>
          <w:szCs w:val="24"/>
          <w:lang w:eastAsia="fr-FR"/>
        </w:rPr>
        <w:t>m</w:t>
      </w:r>
      <w:r w:rsidR="005829DB" w:rsidRPr="00BE5E11">
        <w:rPr>
          <w:rFonts w:ascii="Times New Roman" w:hAnsi="Times New Roman"/>
          <w:sz w:val="24"/>
          <w:szCs w:val="24"/>
          <w:lang w:eastAsia="fr-FR"/>
        </w:rPr>
        <w:t>plementation of the Essential Community Care (ECC) strategy, in order to assess the direct impact of the d</w:t>
      </w:r>
      <w:r w:rsidR="005829DB" w:rsidRPr="00BE5E11">
        <w:rPr>
          <w:rFonts w:ascii="Times New Roman" w:hAnsi="Times New Roman"/>
          <w:sz w:val="24"/>
          <w:szCs w:val="24"/>
          <w:lang w:eastAsia="fr-FR"/>
        </w:rPr>
        <w:t>e</w:t>
      </w:r>
      <w:r w:rsidR="005829DB" w:rsidRPr="00BE5E11">
        <w:rPr>
          <w:rFonts w:ascii="Times New Roman" w:hAnsi="Times New Roman"/>
          <w:sz w:val="24"/>
          <w:szCs w:val="24"/>
          <w:lang w:eastAsia="fr-FR"/>
        </w:rPr>
        <w:t>ployment of Community Health Workers (CHWs) on health indicators.</w:t>
      </w:r>
    </w:p>
    <w:p w14:paraId="2CBDB190" w14:textId="58824AA9" w:rsidR="004055EA" w:rsidRPr="00BE5E11" w:rsidRDefault="004055EA" w:rsidP="008556F9">
      <w:pPr>
        <w:spacing w:before="240" w:after="240" w:line="240" w:lineRule="auto"/>
        <w:jc w:val="both"/>
        <w:rPr>
          <w:rFonts w:ascii="Times New Roman" w:hAnsi="Times New Roman"/>
          <w:b/>
          <w:bCs/>
          <w:sz w:val="24"/>
          <w:szCs w:val="24"/>
          <w:lang w:eastAsia="fr-FR"/>
        </w:rPr>
      </w:pPr>
      <w:r w:rsidRPr="00BE5E11">
        <w:rPr>
          <w:rFonts w:ascii="Times New Roman" w:hAnsi="Times New Roman"/>
          <w:b/>
          <w:bCs/>
          <w:sz w:val="24"/>
          <w:szCs w:val="24"/>
          <w:lang w:eastAsia="fr-FR"/>
        </w:rPr>
        <w:t>Study period</w:t>
      </w:r>
    </w:p>
    <w:p w14:paraId="5C0590C5" w14:textId="27BA765E" w:rsidR="00B0244A" w:rsidRPr="00BE5E11" w:rsidRDefault="004055EA" w:rsidP="008556F9">
      <w:pPr>
        <w:spacing w:before="240" w:after="240" w:line="240" w:lineRule="auto"/>
        <w:jc w:val="both"/>
        <w:rPr>
          <w:rFonts w:ascii="Times New Roman" w:hAnsi="Times New Roman"/>
          <w:sz w:val="24"/>
          <w:szCs w:val="24"/>
          <w:highlight w:val="yellow"/>
          <w:lang w:eastAsia="fr-FR"/>
        </w:rPr>
      </w:pPr>
      <w:r w:rsidRPr="00BE5E11">
        <w:rPr>
          <w:rFonts w:ascii="Times New Roman" w:hAnsi="Times New Roman"/>
          <w:sz w:val="24"/>
          <w:szCs w:val="24"/>
          <w:lang w:eastAsia="fr-FR"/>
        </w:rPr>
        <w:t>The research was conducted over a 36-month period, from September 2022 to August 2025. Quantitative data were acquired by extracting programmatic indicators archived in the national district health information sof</w:t>
      </w:r>
      <w:r w:rsidRPr="00BE5E11">
        <w:rPr>
          <w:rFonts w:ascii="Times New Roman" w:hAnsi="Times New Roman"/>
          <w:sz w:val="24"/>
          <w:szCs w:val="24"/>
          <w:lang w:eastAsia="fr-FR"/>
        </w:rPr>
        <w:t>t</w:t>
      </w:r>
      <w:r w:rsidRPr="00BE5E11">
        <w:rPr>
          <w:rFonts w:ascii="Times New Roman" w:hAnsi="Times New Roman"/>
          <w:sz w:val="24"/>
          <w:szCs w:val="24"/>
          <w:lang w:eastAsia="fr-FR"/>
        </w:rPr>
        <w:t xml:space="preserve">ware (DHIS2). This database allowed for the creation of a time series from 2016 to 2024, supplemented by the </w:t>
      </w:r>
      <w:r w:rsidRPr="00BE5E11">
        <w:rPr>
          <w:rFonts w:ascii="Times New Roman" w:hAnsi="Times New Roman"/>
          <w:sz w:val="24"/>
          <w:szCs w:val="24"/>
          <w:lang w:eastAsia="fr-FR"/>
        </w:rPr>
        <w:lastRenderedPageBreak/>
        <w:t>results of large-scale national surveys conducted over the 2024-2025 biennium to ensure triangulation of the findings.</w:t>
      </w:r>
    </w:p>
    <w:p w14:paraId="1202BF26" w14:textId="1CD3F754" w:rsidR="007E71E2" w:rsidRPr="00BE5E11" w:rsidRDefault="007E71E2" w:rsidP="008556F9">
      <w:pPr>
        <w:spacing w:before="240" w:after="240" w:line="240" w:lineRule="auto"/>
        <w:jc w:val="both"/>
        <w:rPr>
          <w:rFonts w:ascii="Times New Roman" w:hAnsi="Times New Roman"/>
          <w:b/>
          <w:bCs/>
          <w:sz w:val="24"/>
          <w:szCs w:val="24"/>
          <w:lang w:eastAsia="fr-FR"/>
        </w:rPr>
      </w:pPr>
      <w:r w:rsidRPr="00BE5E11">
        <w:rPr>
          <w:rFonts w:ascii="Times New Roman" w:hAnsi="Times New Roman"/>
          <w:b/>
          <w:bCs/>
          <w:sz w:val="24"/>
          <w:szCs w:val="24"/>
          <w:lang w:eastAsia="fr-FR"/>
        </w:rPr>
        <w:t>Study population and sampling</w:t>
      </w:r>
    </w:p>
    <w:p w14:paraId="556C8CE7" w14:textId="0EE9384D" w:rsidR="004B26C3" w:rsidRPr="00BE5E11" w:rsidRDefault="007E71E2" w:rsidP="008556F9">
      <w:pPr>
        <w:spacing w:before="240" w:after="240" w:line="240" w:lineRule="auto"/>
        <w:jc w:val="both"/>
        <w:rPr>
          <w:rFonts w:ascii="Times New Roman" w:hAnsi="Times New Roman"/>
          <w:sz w:val="24"/>
          <w:szCs w:val="24"/>
        </w:rPr>
      </w:pPr>
      <w:r w:rsidRPr="00BE5E11">
        <w:rPr>
          <w:rFonts w:ascii="Times New Roman" w:hAnsi="Times New Roman"/>
          <w:sz w:val="24"/>
          <w:szCs w:val="24"/>
          <w:lang w:eastAsia="fr-FR"/>
        </w:rPr>
        <w:t>The study population consisted of children aged 0 to 59 months residing in the areas served by the Community Health Workers (CHWs). Inclusion criteria were: children diagnosed with Moderate Malnutrition (MAM) and/or Severe Acute Malnutrition (SAM) without complications; and monthly activity reports from the CHWs validated by the Community Health Centers (</w:t>
      </w:r>
      <w:proofErr w:type="spellStart"/>
      <w:r w:rsidRPr="00BE5E11">
        <w:rPr>
          <w:rFonts w:ascii="Times New Roman" w:hAnsi="Times New Roman"/>
          <w:sz w:val="24"/>
          <w:szCs w:val="24"/>
          <w:lang w:eastAsia="fr-FR"/>
        </w:rPr>
        <w:t>CSComs</w:t>
      </w:r>
      <w:proofErr w:type="spellEnd"/>
      <w:r w:rsidRPr="00BE5E11">
        <w:rPr>
          <w:rFonts w:ascii="Times New Roman" w:hAnsi="Times New Roman"/>
          <w:sz w:val="24"/>
          <w:szCs w:val="24"/>
          <w:lang w:eastAsia="fr-FR"/>
        </w:rPr>
        <w:t>) and entered into the DHIS2 system.</w:t>
      </w:r>
      <w:r w:rsidR="004B26C3" w:rsidRPr="00BE5E11">
        <w:rPr>
          <w:rFonts w:ascii="Times New Roman" w:hAnsi="Times New Roman"/>
          <w:sz w:val="24"/>
          <w:szCs w:val="24"/>
        </w:rPr>
        <w:t xml:space="preserve"> </w:t>
      </w:r>
      <w:r w:rsidR="004B26C3" w:rsidRPr="00BE5E11">
        <w:rPr>
          <w:rFonts w:ascii="Times New Roman" w:hAnsi="Times New Roman"/>
          <w:sz w:val="24"/>
          <w:szCs w:val="24"/>
          <w:lang w:eastAsia="fr-FR"/>
        </w:rPr>
        <w:t>All key actors involved in the implementation of community health systems at their respective levels of intervention (natio</w:t>
      </w:r>
      <w:r w:rsidR="004B26C3" w:rsidRPr="00BE5E11">
        <w:rPr>
          <w:rFonts w:ascii="Times New Roman" w:hAnsi="Times New Roman"/>
          <w:sz w:val="24"/>
          <w:szCs w:val="24"/>
          <w:lang w:eastAsia="fr-FR"/>
        </w:rPr>
        <w:t>n</w:t>
      </w:r>
      <w:r w:rsidR="004B26C3" w:rsidRPr="00BE5E11">
        <w:rPr>
          <w:rFonts w:ascii="Times New Roman" w:hAnsi="Times New Roman"/>
          <w:sz w:val="24"/>
          <w:szCs w:val="24"/>
          <w:lang w:eastAsia="fr-FR"/>
        </w:rPr>
        <w:t xml:space="preserve">al, regional, district, health area). </w:t>
      </w:r>
      <w:r w:rsidR="004B26C3" w:rsidRPr="00BE5E11">
        <w:rPr>
          <w:rFonts w:ascii="Times New Roman" w:hAnsi="Times New Roman"/>
          <w:sz w:val="24"/>
          <w:szCs w:val="24"/>
        </w:rPr>
        <w:t>The study targeted three groups of actors involved in the community health system: Community health workers operating within essential care sites, beneficiaries, and strategic and oper</w:t>
      </w:r>
      <w:r w:rsidR="004B26C3" w:rsidRPr="00BE5E11">
        <w:rPr>
          <w:rFonts w:ascii="Times New Roman" w:hAnsi="Times New Roman"/>
          <w:sz w:val="24"/>
          <w:szCs w:val="24"/>
        </w:rPr>
        <w:t>a</w:t>
      </w:r>
      <w:r w:rsidR="004B26C3" w:rsidRPr="00BE5E11">
        <w:rPr>
          <w:rFonts w:ascii="Times New Roman" w:hAnsi="Times New Roman"/>
          <w:sz w:val="24"/>
          <w:szCs w:val="24"/>
        </w:rPr>
        <w:t>tional actors.</w:t>
      </w:r>
      <w:r w:rsidR="004B26C3" w:rsidRPr="00BE5E11">
        <w:rPr>
          <w:rFonts w:ascii="Times New Roman" w:hAnsi="Times New Roman"/>
          <w:b/>
          <w:bCs/>
          <w:sz w:val="24"/>
          <w:szCs w:val="24"/>
        </w:rPr>
        <w:t xml:space="preserve"> </w:t>
      </w:r>
      <w:r w:rsidR="004B26C3" w:rsidRPr="00BE5E11">
        <w:rPr>
          <w:rFonts w:ascii="Times New Roman" w:hAnsi="Times New Roman"/>
          <w:sz w:val="24"/>
          <w:szCs w:val="24"/>
        </w:rPr>
        <w:t>The study included key stakeholders in the implementation of community health services (CHS) at all levels of the health pyramid (health areas, districts, regions, and the national level), as well as represent</w:t>
      </w:r>
      <w:r w:rsidR="004B26C3" w:rsidRPr="00BE5E11">
        <w:rPr>
          <w:rFonts w:ascii="Times New Roman" w:hAnsi="Times New Roman"/>
          <w:sz w:val="24"/>
          <w:szCs w:val="24"/>
        </w:rPr>
        <w:t>a</w:t>
      </w:r>
      <w:r w:rsidR="004B26C3" w:rsidRPr="00BE5E11">
        <w:rPr>
          <w:rFonts w:ascii="Times New Roman" w:hAnsi="Times New Roman"/>
          <w:sz w:val="24"/>
          <w:szCs w:val="24"/>
        </w:rPr>
        <w:t xml:space="preserve">tives of technical and financial partners (TFPs). The data collected from 4,230 community health workers (CHWs), 119 key stakeholders </w:t>
      </w:r>
      <w:r w:rsidR="004B26C3" w:rsidRPr="00BE5E11">
        <w:rPr>
          <w:rFonts w:ascii="Times New Roman" w:hAnsi="Times New Roman"/>
          <w:sz w:val="24"/>
          <w:szCs w:val="24"/>
          <w:lang w:eastAsia="fr-FR"/>
        </w:rPr>
        <w:t xml:space="preserve">in the implementation of CHS at all levels of the health pyramid (health area, district, regional, national, and TFPs), and 266 community beneficiaries </w:t>
      </w:r>
      <w:r w:rsidR="004B26C3" w:rsidRPr="00BE5E11">
        <w:rPr>
          <w:rFonts w:ascii="Times New Roman" w:hAnsi="Times New Roman"/>
          <w:b/>
          <w:bCs/>
          <w:sz w:val="24"/>
          <w:szCs w:val="24"/>
        </w:rPr>
        <w:t xml:space="preserve">( </w:t>
      </w:r>
      <w:r w:rsidR="004B26C3" w:rsidRPr="00BE5E11">
        <w:rPr>
          <w:rFonts w:ascii="Times New Roman" w:hAnsi="Times New Roman"/>
          <w:sz w:val="24"/>
          <w:szCs w:val="24"/>
        </w:rPr>
        <w:t>users residing in the coverage areas of CHW sites).</w:t>
      </w:r>
    </w:p>
    <w:p w14:paraId="64E60D08" w14:textId="49E03F8C" w:rsidR="004B26C3" w:rsidRPr="00BE5E11" w:rsidRDefault="004B26C3" w:rsidP="008556F9">
      <w:pPr>
        <w:spacing w:before="240" w:after="240" w:line="240" w:lineRule="auto"/>
        <w:jc w:val="both"/>
        <w:rPr>
          <w:rFonts w:ascii="Times New Roman" w:hAnsi="Times New Roman"/>
          <w:sz w:val="24"/>
          <w:szCs w:val="24"/>
        </w:rPr>
      </w:pPr>
      <w:r w:rsidRPr="00BE5E11">
        <w:rPr>
          <w:rFonts w:ascii="Times New Roman" w:hAnsi="Times New Roman"/>
          <w:sz w:val="24"/>
          <w:szCs w:val="24"/>
        </w:rPr>
        <w:t>For sampling, an exhaustive approach was applied to community health worker (CHW) data in the DHIS2 database for cases of acute malnutrition (AMM) and severe acute malnutrition (SAM) managed by CHWs. This approach was also applied to the mapped list of CHWs. Simple random sampling was used to select CHWs for the surveys. The minimum CHW sample size was calculated based on the CHW population cove</w:t>
      </w:r>
      <w:r w:rsidRPr="00BE5E11">
        <w:rPr>
          <w:rFonts w:ascii="Times New Roman" w:hAnsi="Times New Roman"/>
          <w:sz w:val="24"/>
          <w:szCs w:val="24"/>
        </w:rPr>
        <w:t>r</w:t>
      </w:r>
      <w:r w:rsidRPr="00BE5E11">
        <w:rPr>
          <w:rFonts w:ascii="Times New Roman" w:hAnsi="Times New Roman"/>
          <w:sz w:val="24"/>
          <w:szCs w:val="24"/>
        </w:rPr>
        <w:t>age rate in 2023 (28.44%), resulting in n=313 plus 10% to reach n=344. Purposive (or targeted) sampling</w:t>
      </w:r>
      <w:r w:rsidRPr="00BE5E11">
        <w:rPr>
          <w:rFonts w:ascii="Times New Roman" w:hAnsi="Times New Roman"/>
          <w:b/>
          <w:bCs/>
          <w:sz w:val="24"/>
          <w:szCs w:val="24"/>
        </w:rPr>
        <w:t xml:space="preserve"> </w:t>
      </w:r>
      <w:r w:rsidRPr="00BE5E11">
        <w:rPr>
          <w:rFonts w:ascii="Times New Roman" w:hAnsi="Times New Roman"/>
          <w:sz w:val="24"/>
          <w:szCs w:val="24"/>
        </w:rPr>
        <w:t>was used for the selection of key actors participating in the in-depth interviews, taking into account their involv</w:t>
      </w:r>
      <w:r w:rsidRPr="00BE5E11">
        <w:rPr>
          <w:rFonts w:ascii="Times New Roman" w:hAnsi="Times New Roman"/>
          <w:sz w:val="24"/>
          <w:szCs w:val="24"/>
        </w:rPr>
        <w:t>e</w:t>
      </w:r>
      <w:r w:rsidRPr="00BE5E11">
        <w:rPr>
          <w:rFonts w:ascii="Times New Roman" w:hAnsi="Times New Roman"/>
          <w:sz w:val="24"/>
          <w:szCs w:val="24"/>
        </w:rPr>
        <w:t>ment in the SEC program.</w:t>
      </w:r>
    </w:p>
    <w:p w14:paraId="7B79A508" w14:textId="1C0E22E6" w:rsidR="007E71E2" w:rsidRPr="00BE5E11" w:rsidRDefault="007E71E2" w:rsidP="008556F9">
      <w:pPr>
        <w:spacing w:before="240" w:after="240" w:line="240" w:lineRule="auto"/>
        <w:jc w:val="both"/>
        <w:rPr>
          <w:rFonts w:ascii="Times New Roman" w:hAnsi="Times New Roman"/>
          <w:b/>
          <w:bCs/>
          <w:sz w:val="24"/>
          <w:szCs w:val="24"/>
          <w:lang w:eastAsia="fr-FR"/>
        </w:rPr>
      </w:pPr>
      <w:r w:rsidRPr="00BE5E11">
        <w:rPr>
          <w:rFonts w:ascii="Times New Roman" w:hAnsi="Times New Roman"/>
          <w:b/>
          <w:bCs/>
          <w:sz w:val="24"/>
          <w:szCs w:val="24"/>
          <w:lang w:eastAsia="fr-FR"/>
        </w:rPr>
        <w:t>Data collection</w:t>
      </w:r>
    </w:p>
    <w:p w14:paraId="6334BA4F" w14:textId="264EAF20" w:rsidR="007E71E2" w:rsidRPr="00BE5E11" w:rsidRDefault="007E71E2" w:rsidP="008556F9">
      <w:pPr>
        <w:spacing w:before="240" w:after="240" w:line="240" w:lineRule="auto"/>
        <w:jc w:val="both"/>
        <w:rPr>
          <w:rFonts w:ascii="Times New Roman" w:hAnsi="Times New Roman"/>
          <w:sz w:val="24"/>
          <w:szCs w:val="24"/>
          <w:lang w:eastAsia="fr-FR"/>
        </w:rPr>
      </w:pPr>
      <w:r w:rsidRPr="00BE5E11">
        <w:rPr>
          <w:rFonts w:ascii="Times New Roman" w:hAnsi="Times New Roman"/>
          <w:sz w:val="24"/>
          <w:szCs w:val="24"/>
          <w:lang w:eastAsia="fr-FR"/>
        </w:rPr>
        <w:t xml:space="preserve">The data were collected from three complementary sources: routine data extracted from DHIS2, </w:t>
      </w:r>
      <w:r w:rsidR="00803F61" w:rsidRPr="00BE5E11">
        <w:rPr>
          <w:rFonts w:ascii="Times New Roman" w:hAnsi="Times New Roman"/>
          <w:sz w:val="24"/>
          <w:szCs w:val="24"/>
        </w:rPr>
        <w:t xml:space="preserve">reports from the SEC annual </w:t>
      </w:r>
      <w:proofErr w:type="gramStart"/>
      <w:r w:rsidR="00803F61" w:rsidRPr="00BE5E11">
        <w:rPr>
          <w:rFonts w:ascii="Times New Roman" w:hAnsi="Times New Roman"/>
          <w:sz w:val="24"/>
          <w:szCs w:val="24"/>
        </w:rPr>
        <w:t xml:space="preserve">reviews </w:t>
      </w:r>
      <w:r w:rsidR="00803F61" w:rsidRPr="00BE5E11">
        <w:rPr>
          <w:rFonts w:ascii="Times New Roman" w:hAnsi="Times New Roman"/>
          <w:sz w:val="24"/>
          <w:szCs w:val="24"/>
          <w:lang w:eastAsia="fr-FR"/>
        </w:rPr>
        <w:t>,</w:t>
      </w:r>
      <w:proofErr w:type="gramEnd"/>
      <w:r w:rsidR="00803F61" w:rsidRPr="00BE5E11">
        <w:rPr>
          <w:rFonts w:ascii="Times New Roman" w:hAnsi="Times New Roman"/>
          <w:sz w:val="24"/>
          <w:szCs w:val="24"/>
          <w:lang w:eastAsia="fr-FR"/>
        </w:rPr>
        <w:t xml:space="preserve"> the mid-term evaluation report of the SEC National Strategic Plan 2020-2025, and structured interviews.</w:t>
      </w:r>
      <w:r w:rsidRPr="00BE5E11">
        <w:rPr>
          <w:rFonts w:ascii="Times New Roman" w:hAnsi="Times New Roman"/>
          <w:b/>
          <w:bCs/>
          <w:sz w:val="24"/>
          <w:szCs w:val="24"/>
          <w:lang w:eastAsia="fr-FR"/>
        </w:rPr>
        <w:t xml:space="preserve"> </w:t>
      </w:r>
      <w:proofErr w:type="gramStart"/>
      <w:r w:rsidR="00803F61" w:rsidRPr="00BE5E11">
        <w:rPr>
          <w:rFonts w:ascii="Times New Roman" w:hAnsi="Times New Roman"/>
          <w:sz w:val="24"/>
          <w:szCs w:val="24"/>
          <w:lang w:eastAsia="fr-FR"/>
        </w:rPr>
        <w:t>for</w:t>
      </w:r>
      <w:proofErr w:type="gramEnd"/>
      <w:r w:rsidR="00803F61" w:rsidRPr="00BE5E11">
        <w:rPr>
          <w:rFonts w:ascii="Times New Roman" w:hAnsi="Times New Roman"/>
          <w:sz w:val="24"/>
          <w:szCs w:val="24"/>
          <w:lang w:eastAsia="fr-FR"/>
        </w:rPr>
        <w:t xml:space="preserve"> the</w:t>
      </w:r>
      <w:r w:rsidR="00803F61" w:rsidRPr="00BE5E11">
        <w:rPr>
          <w:rFonts w:ascii="Times New Roman" w:hAnsi="Times New Roman"/>
          <w:b/>
          <w:bCs/>
          <w:sz w:val="24"/>
          <w:szCs w:val="24"/>
          <w:lang w:eastAsia="fr-FR"/>
        </w:rPr>
        <w:t xml:space="preserve"> </w:t>
      </w:r>
      <w:r w:rsidRPr="00BE5E11">
        <w:rPr>
          <w:rFonts w:ascii="Times New Roman" w:hAnsi="Times New Roman"/>
          <w:sz w:val="24"/>
          <w:szCs w:val="24"/>
          <w:lang w:eastAsia="fr-FR"/>
        </w:rPr>
        <w:t xml:space="preserve">A qualitative component was conducted with a sample of community health workers and other stakeholders to identify operational challenges in insecure areas. </w:t>
      </w:r>
      <w:r w:rsidR="00C732F9" w:rsidRPr="00BE5E11">
        <w:rPr>
          <w:rFonts w:ascii="Times New Roman" w:hAnsi="Times New Roman"/>
          <w:sz w:val="24"/>
          <w:szCs w:val="24"/>
        </w:rPr>
        <w:t xml:space="preserve">Survey data collected via </w:t>
      </w:r>
      <w:proofErr w:type="spellStart"/>
      <w:r w:rsidR="00C732F9" w:rsidRPr="00BE5E11">
        <w:rPr>
          <w:rFonts w:ascii="Times New Roman" w:hAnsi="Times New Roman"/>
          <w:sz w:val="24"/>
          <w:szCs w:val="24"/>
        </w:rPr>
        <w:t>KoboCollect</w:t>
      </w:r>
      <w:proofErr w:type="spellEnd"/>
      <w:r w:rsidR="00C732F9" w:rsidRPr="00BE5E11">
        <w:rPr>
          <w:rFonts w:ascii="Times New Roman" w:hAnsi="Times New Roman"/>
          <w:sz w:val="24"/>
          <w:szCs w:val="24"/>
        </w:rPr>
        <w:t xml:space="preserve"> was exported to Excel for verification, cleaning, and preparation.</w:t>
      </w:r>
    </w:p>
    <w:p w14:paraId="78DC533E" w14:textId="1195F29F" w:rsidR="007E71E2" w:rsidRPr="00BE5E11" w:rsidRDefault="007E71E2" w:rsidP="008556F9">
      <w:pPr>
        <w:spacing w:before="240" w:after="240" w:line="240" w:lineRule="auto"/>
        <w:jc w:val="both"/>
        <w:rPr>
          <w:rFonts w:ascii="Times New Roman" w:hAnsi="Times New Roman"/>
          <w:b/>
          <w:bCs/>
          <w:sz w:val="24"/>
          <w:szCs w:val="24"/>
          <w:lang w:eastAsia="fr-FR"/>
        </w:rPr>
      </w:pPr>
      <w:r w:rsidRPr="00BE5E11">
        <w:rPr>
          <w:rFonts w:ascii="Times New Roman" w:hAnsi="Times New Roman"/>
          <w:b/>
          <w:bCs/>
          <w:sz w:val="24"/>
          <w:szCs w:val="24"/>
          <w:lang w:eastAsia="fr-FR"/>
        </w:rPr>
        <w:t>Variables of interest</w:t>
      </w:r>
    </w:p>
    <w:p w14:paraId="57FC4A7C" w14:textId="5BCDC24E" w:rsidR="007E71E2" w:rsidRPr="00BE5E11" w:rsidRDefault="007E71E2" w:rsidP="008556F9">
      <w:pPr>
        <w:spacing w:before="240" w:after="240" w:line="240" w:lineRule="auto"/>
        <w:jc w:val="both"/>
        <w:rPr>
          <w:rFonts w:ascii="Times New Roman" w:hAnsi="Times New Roman"/>
          <w:sz w:val="24"/>
          <w:szCs w:val="24"/>
          <w:lang w:eastAsia="fr-FR"/>
        </w:rPr>
      </w:pPr>
      <w:r w:rsidRPr="00BE5E11">
        <w:rPr>
          <w:rFonts w:ascii="Times New Roman" w:hAnsi="Times New Roman"/>
          <w:sz w:val="24"/>
          <w:szCs w:val="24"/>
          <w:lang w:eastAsia="fr-FR"/>
        </w:rPr>
        <w:t>The main variables analyzed were related to clinical performance</w:t>
      </w:r>
      <w:r w:rsidRPr="00BE5E11">
        <w:rPr>
          <w:rFonts w:ascii="Times New Roman" w:hAnsi="Times New Roman"/>
          <w:b/>
          <w:bCs/>
          <w:sz w:val="24"/>
          <w:szCs w:val="24"/>
          <w:lang w:eastAsia="fr-FR"/>
        </w:rPr>
        <w:t xml:space="preserve"> </w:t>
      </w:r>
      <w:r w:rsidR="00CD01D7" w:rsidRPr="00BE5E11">
        <w:rPr>
          <w:rFonts w:ascii="Times New Roman" w:hAnsi="Times New Roman"/>
          <w:sz w:val="24"/>
          <w:szCs w:val="24"/>
          <w:lang w:eastAsia="fr-FR"/>
        </w:rPr>
        <w:t>name the cure rate, case fatality rate, dro</w:t>
      </w:r>
      <w:r w:rsidR="00CD01D7" w:rsidRPr="00BE5E11">
        <w:rPr>
          <w:rFonts w:ascii="Times New Roman" w:hAnsi="Times New Roman"/>
          <w:sz w:val="24"/>
          <w:szCs w:val="24"/>
          <w:lang w:eastAsia="fr-FR"/>
        </w:rPr>
        <w:t>p</w:t>
      </w:r>
      <w:r w:rsidR="00CD01D7" w:rsidRPr="00BE5E11">
        <w:rPr>
          <w:rFonts w:ascii="Times New Roman" w:hAnsi="Times New Roman"/>
          <w:sz w:val="24"/>
          <w:szCs w:val="24"/>
          <w:lang w:eastAsia="fr-FR"/>
        </w:rPr>
        <w:t>out rate, coverage such as the number of children screened compared to the expected target, availability of inputs (ATPE) and time evolution (Comparison of indicators between the passive screening phase (2010-2015) and the active treatment phase (2016-2025).</w:t>
      </w:r>
    </w:p>
    <w:p w14:paraId="04C2645F" w14:textId="0057AEDF" w:rsidR="007E71E2" w:rsidRPr="00BE5E11" w:rsidRDefault="003352DA" w:rsidP="008556F9">
      <w:pPr>
        <w:spacing w:before="240" w:after="240" w:line="240" w:lineRule="auto"/>
        <w:jc w:val="both"/>
        <w:rPr>
          <w:rFonts w:ascii="Times New Roman" w:hAnsi="Times New Roman"/>
          <w:b/>
          <w:bCs/>
          <w:sz w:val="24"/>
          <w:szCs w:val="24"/>
          <w:lang w:eastAsia="fr-FR"/>
        </w:rPr>
      </w:pPr>
      <w:r w:rsidRPr="00BE5E11">
        <w:rPr>
          <w:rFonts w:ascii="Times New Roman" w:hAnsi="Times New Roman"/>
          <w:b/>
          <w:bCs/>
          <w:sz w:val="24"/>
          <w:szCs w:val="24"/>
          <w:lang w:eastAsia="fr-FR"/>
        </w:rPr>
        <w:t>Statistical processing and analysis</w:t>
      </w:r>
    </w:p>
    <w:p w14:paraId="3AC38E9F" w14:textId="2D2C9CC4" w:rsidR="007E71E2" w:rsidRPr="00BE5E11" w:rsidRDefault="007E71E2" w:rsidP="008556F9">
      <w:pPr>
        <w:spacing w:before="240" w:after="240" w:line="240" w:lineRule="auto"/>
        <w:jc w:val="both"/>
        <w:rPr>
          <w:rFonts w:ascii="Times New Roman" w:hAnsi="Times New Roman"/>
          <w:sz w:val="24"/>
          <w:szCs w:val="24"/>
        </w:rPr>
      </w:pPr>
      <w:r w:rsidRPr="00BE5E11">
        <w:rPr>
          <w:rFonts w:ascii="Times New Roman" w:hAnsi="Times New Roman"/>
          <w:sz w:val="24"/>
          <w:szCs w:val="24"/>
          <w:lang w:eastAsia="fr-FR"/>
        </w:rPr>
        <w:t>Data processing was performed using Excel software. Statistical analyses included descriptive analysis pr</w:t>
      </w:r>
      <w:r w:rsidRPr="00BE5E11">
        <w:rPr>
          <w:rFonts w:ascii="Times New Roman" w:hAnsi="Times New Roman"/>
          <w:sz w:val="24"/>
          <w:szCs w:val="24"/>
          <w:lang w:eastAsia="fr-FR"/>
        </w:rPr>
        <w:t>e</w:t>
      </w:r>
      <w:r w:rsidRPr="00BE5E11">
        <w:rPr>
          <w:rFonts w:ascii="Times New Roman" w:hAnsi="Times New Roman"/>
          <w:sz w:val="24"/>
          <w:szCs w:val="24"/>
          <w:lang w:eastAsia="fr-FR"/>
        </w:rPr>
        <w:t xml:space="preserve">senting sample characteristics as frequencies and means with their 95% confidence intervals (95% </w:t>
      </w:r>
      <w:proofErr w:type="gramStart"/>
      <w:r w:rsidRPr="00BE5E11">
        <w:rPr>
          <w:rFonts w:ascii="Times New Roman" w:hAnsi="Times New Roman"/>
          <w:sz w:val="24"/>
          <w:szCs w:val="24"/>
          <w:lang w:eastAsia="fr-FR"/>
        </w:rPr>
        <w:t xml:space="preserve">CI </w:t>
      </w:r>
      <w:r w:rsidR="003352DA" w:rsidRPr="00BE5E11">
        <w:rPr>
          <w:rFonts w:ascii="Times New Roman" w:hAnsi="Times New Roman"/>
          <w:sz w:val="24"/>
          <w:szCs w:val="24"/>
          <w:lang w:eastAsia="fr-FR"/>
        </w:rPr>
        <w:t>)</w:t>
      </w:r>
      <w:proofErr w:type="gramEnd"/>
      <w:r w:rsidR="003352DA" w:rsidRPr="00BE5E11">
        <w:rPr>
          <w:rFonts w:ascii="Times New Roman" w:hAnsi="Times New Roman"/>
          <w:sz w:val="24"/>
          <w:szCs w:val="24"/>
          <w:lang w:eastAsia="fr-FR"/>
        </w:rPr>
        <w:t>. Corr</w:t>
      </w:r>
      <w:r w:rsidR="003352DA" w:rsidRPr="00BE5E11">
        <w:rPr>
          <w:rFonts w:ascii="Times New Roman" w:hAnsi="Times New Roman"/>
          <w:sz w:val="24"/>
          <w:szCs w:val="24"/>
          <w:lang w:eastAsia="fr-FR"/>
        </w:rPr>
        <w:t>e</w:t>
      </w:r>
      <w:r w:rsidR="003352DA" w:rsidRPr="00BE5E11">
        <w:rPr>
          <w:rFonts w:ascii="Times New Roman" w:hAnsi="Times New Roman"/>
          <w:sz w:val="24"/>
          <w:szCs w:val="24"/>
          <w:lang w:eastAsia="fr-FR"/>
        </w:rPr>
        <w:t>lation analysis was also conducted between nutritional outcomes and working conditions (particularly the availability of locomotion).</w:t>
      </w:r>
    </w:p>
    <w:p w14:paraId="56417702" w14:textId="74D9D29C" w:rsidR="007E71E2" w:rsidRPr="00BE5E11" w:rsidRDefault="007E71E2" w:rsidP="008556F9">
      <w:pPr>
        <w:spacing w:before="240" w:after="240" w:line="240" w:lineRule="auto"/>
        <w:jc w:val="both"/>
        <w:rPr>
          <w:rFonts w:ascii="Times New Roman" w:hAnsi="Times New Roman"/>
          <w:b/>
          <w:bCs/>
          <w:sz w:val="24"/>
          <w:szCs w:val="24"/>
          <w:lang w:eastAsia="fr-FR"/>
        </w:rPr>
      </w:pPr>
      <w:r w:rsidRPr="00BE5E11">
        <w:rPr>
          <w:rFonts w:ascii="Times New Roman" w:hAnsi="Times New Roman"/>
          <w:b/>
          <w:bCs/>
          <w:sz w:val="24"/>
          <w:szCs w:val="24"/>
          <w:lang w:eastAsia="fr-FR"/>
        </w:rPr>
        <w:t>Ethical considerations</w:t>
      </w:r>
    </w:p>
    <w:p w14:paraId="3B053B62" w14:textId="5E9B9C4A" w:rsidR="007E71E2" w:rsidRPr="00BE5E11" w:rsidRDefault="007E71E2" w:rsidP="008556F9">
      <w:pPr>
        <w:spacing w:before="240" w:after="240" w:line="240" w:lineRule="auto"/>
        <w:jc w:val="both"/>
        <w:rPr>
          <w:rFonts w:ascii="Times New Roman" w:hAnsi="Times New Roman"/>
          <w:sz w:val="24"/>
          <w:szCs w:val="24"/>
          <w:lang w:eastAsia="fr-FR"/>
        </w:rPr>
      </w:pPr>
      <w:r w:rsidRPr="00BE5E11">
        <w:rPr>
          <w:rFonts w:ascii="Times New Roman" w:hAnsi="Times New Roman"/>
          <w:sz w:val="24"/>
          <w:szCs w:val="24"/>
          <w:lang w:eastAsia="fr-FR"/>
        </w:rPr>
        <w:t xml:space="preserve">The study received approval from the </w:t>
      </w:r>
      <w:r w:rsidR="00C732F9" w:rsidRPr="00BE5E11">
        <w:rPr>
          <w:rFonts w:ascii="Times New Roman" w:hAnsi="Times New Roman"/>
          <w:sz w:val="24"/>
          <w:szCs w:val="24"/>
        </w:rPr>
        <w:t>Biomedical Research Ethics Committee (CERB) of the Faculty of Me</w:t>
      </w:r>
      <w:r w:rsidR="00C732F9" w:rsidRPr="00BE5E11">
        <w:rPr>
          <w:rFonts w:ascii="Times New Roman" w:hAnsi="Times New Roman"/>
          <w:sz w:val="24"/>
          <w:szCs w:val="24"/>
        </w:rPr>
        <w:t>d</w:t>
      </w:r>
      <w:r w:rsidR="00C732F9" w:rsidRPr="00BE5E11">
        <w:rPr>
          <w:rFonts w:ascii="Times New Roman" w:hAnsi="Times New Roman"/>
          <w:sz w:val="24"/>
          <w:szCs w:val="24"/>
        </w:rPr>
        <w:t xml:space="preserve">icine and </w:t>
      </w:r>
      <w:proofErr w:type="spellStart"/>
      <w:r w:rsidR="00C732F9" w:rsidRPr="00BE5E11">
        <w:rPr>
          <w:rFonts w:ascii="Times New Roman" w:hAnsi="Times New Roman"/>
          <w:sz w:val="24"/>
          <w:szCs w:val="24"/>
        </w:rPr>
        <w:t>Odonto</w:t>
      </w:r>
      <w:proofErr w:type="spellEnd"/>
      <w:r w:rsidR="00C732F9" w:rsidRPr="00BE5E11">
        <w:rPr>
          <w:rFonts w:ascii="Times New Roman" w:hAnsi="Times New Roman"/>
          <w:sz w:val="24"/>
          <w:szCs w:val="24"/>
        </w:rPr>
        <w:t>-Stomatology (FMOS/USTTB</w:t>
      </w:r>
      <w:proofErr w:type="gramStart"/>
      <w:r w:rsidR="00C732F9" w:rsidRPr="00BE5E11">
        <w:rPr>
          <w:rFonts w:ascii="Times New Roman" w:hAnsi="Times New Roman"/>
          <w:sz w:val="24"/>
          <w:szCs w:val="24"/>
        </w:rPr>
        <w:t xml:space="preserve">) </w:t>
      </w:r>
      <w:r w:rsidRPr="00BE5E11">
        <w:rPr>
          <w:rFonts w:ascii="Times New Roman" w:hAnsi="Times New Roman"/>
          <w:sz w:val="24"/>
          <w:szCs w:val="24"/>
          <w:lang w:eastAsia="fr-FR"/>
        </w:rPr>
        <w:t>.</w:t>
      </w:r>
      <w:proofErr w:type="gramEnd"/>
      <w:r w:rsidRPr="00BE5E11">
        <w:rPr>
          <w:rFonts w:ascii="Times New Roman" w:hAnsi="Times New Roman"/>
          <w:sz w:val="24"/>
          <w:szCs w:val="24"/>
          <w:lang w:eastAsia="fr-FR"/>
        </w:rPr>
        <w:t xml:space="preserve"> Data anonymity was strictly maintained in accordance with current health data protection regulations. </w:t>
      </w:r>
      <w:r w:rsidR="00C732F9" w:rsidRPr="00BE5E11">
        <w:rPr>
          <w:rFonts w:ascii="Times New Roman" w:hAnsi="Times New Roman"/>
          <w:sz w:val="24"/>
          <w:szCs w:val="24"/>
        </w:rPr>
        <w:t>Access to routine DHIS2 data was subject to prior authorization from the National Health Directorate. For field surveys, informed consent was obtained from each participant (community health workers, healthcare professionals, and patients) before any interview. Respondent anony</w:t>
      </w:r>
      <w:r w:rsidR="00C732F9" w:rsidRPr="00BE5E11">
        <w:rPr>
          <w:rFonts w:ascii="Times New Roman" w:hAnsi="Times New Roman"/>
          <w:sz w:val="24"/>
          <w:szCs w:val="24"/>
        </w:rPr>
        <w:t>m</w:t>
      </w:r>
      <w:r w:rsidR="00C732F9" w:rsidRPr="00BE5E11">
        <w:rPr>
          <w:rFonts w:ascii="Times New Roman" w:hAnsi="Times New Roman"/>
          <w:sz w:val="24"/>
          <w:szCs w:val="24"/>
        </w:rPr>
        <w:lastRenderedPageBreak/>
        <w:t>ity and data confidentiality were strictly preserved in accordance with the principles of the Declaration of He</w:t>
      </w:r>
      <w:r w:rsidR="00C732F9" w:rsidRPr="00BE5E11">
        <w:rPr>
          <w:rFonts w:ascii="Times New Roman" w:hAnsi="Times New Roman"/>
          <w:sz w:val="24"/>
          <w:szCs w:val="24"/>
        </w:rPr>
        <w:t>l</w:t>
      </w:r>
      <w:r w:rsidR="00C732F9" w:rsidRPr="00BE5E11">
        <w:rPr>
          <w:rFonts w:ascii="Times New Roman" w:hAnsi="Times New Roman"/>
          <w:sz w:val="24"/>
          <w:szCs w:val="24"/>
        </w:rPr>
        <w:t>sinki.</w:t>
      </w:r>
    </w:p>
    <w:p w14:paraId="6FC24FDC" w14:textId="27089085" w:rsidR="00DB1342" w:rsidRPr="00321920" w:rsidRDefault="00FE35D5" w:rsidP="008556F9">
      <w:pPr>
        <w:spacing w:before="240" w:after="240" w:line="240" w:lineRule="auto"/>
        <w:jc w:val="both"/>
        <w:rPr>
          <w:rFonts w:ascii="Times New Roman" w:eastAsia="Times New Roman" w:hAnsi="Times New Roman"/>
          <w:b/>
          <w:bCs/>
          <w:caps/>
          <w:sz w:val="28"/>
          <w:szCs w:val="24"/>
          <w:lang w:eastAsia="fr-FR"/>
        </w:rPr>
      </w:pPr>
      <w:r w:rsidRPr="00321920">
        <w:rPr>
          <w:rFonts w:ascii="Times New Roman" w:eastAsia="Times New Roman" w:hAnsi="Times New Roman"/>
          <w:b/>
          <w:bCs/>
          <w:caps/>
          <w:sz w:val="28"/>
          <w:szCs w:val="24"/>
          <w:lang w:eastAsia="fr-FR"/>
        </w:rPr>
        <w:t>Results</w:t>
      </w:r>
    </w:p>
    <w:p w14:paraId="146A65EB" w14:textId="7E2898BB" w:rsidR="002422FD" w:rsidRPr="00BE5E11" w:rsidRDefault="002422FD" w:rsidP="008556F9">
      <w:pPr>
        <w:spacing w:before="240" w:after="240" w:line="240" w:lineRule="auto"/>
        <w:jc w:val="both"/>
        <w:rPr>
          <w:rFonts w:ascii="Times New Roman" w:hAnsi="Times New Roman"/>
          <w:b/>
          <w:bCs/>
          <w:sz w:val="24"/>
          <w:szCs w:val="24"/>
        </w:rPr>
      </w:pPr>
      <w:bookmarkStart w:id="1" w:name="_Toc220360920"/>
      <w:proofErr w:type="spellStart"/>
      <w:r w:rsidRPr="00BE5E11">
        <w:rPr>
          <w:rFonts w:ascii="Times New Roman" w:hAnsi="Times New Roman"/>
          <w:b/>
          <w:bCs/>
          <w:sz w:val="24"/>
          <w:szCs w:val="24"/>
        </w:rPr>
        <w:t>Sociodemographic</w:t>
      </w:r>
      <w:proofErr w:type="spellEnd"/>
      <w:r w:rsidRPr="00BE5E11">
        <w:rPr>
          <w:rFonts w:ascii="Times New Roman" w:hAnsi="Times New Roman"/>
          <w:b/>
          <w:bCs/>
          <w:sz w:val="24"/>
          <w:szCs w:val="24"/>
        </w:rPr>
        <w:t xml:space="preserve"> profile and community integration of ASCs (Table 1)</w:t>
      </w:r>
    </w:p>
    <w:p w14:paraId="070FA9A5" w14:textId="767844BA" w:rsidR="002422FD" w:rsidRPr="00BE5E11" w:rsidRDefault="002422FD" w:rsidP="008556F9">
      <w:pPr>
        <w:spacing w:before="240" w:line="240" w:lineRule="auto"/>
        <w:jc w:val="both"/>
        <w:rPr>
          <w:rFonts w:ascii="Times New Roman" w:hAnsi="Times New Roman"/>
          <w:sz w:val="24"/>
          <w:szCs w:val="24"/>
        </w:rPr>
      </w:pPr>
      <w:r w:rsidRPr="00BE5E11">
        <w:rPr>
          <w:rFonts w:ascii="Times New Roman" w:hAnsi="Times New Roman"/>
          <w:sz w:val="24"/>
          <w:szCs w:val="24"/>
        </w:rPr>
        <w:t>Analysis of the characteristics of community health workers (CHWs) highlights a high proportion of women in the role, with a prevalence of 68.24%. The workforce is mature, with the majority of workers (57.85%) in the 28-38 age bracket, and socially stable (80% married). In terms of prior skills, a significant proportion (67.89%) had prior experience within the healthcare system as midwives or nursing assistants.</w:t>
      </w:r>
    </w:p>
    <w:p w14:paraId="1C7DC34E" w14:textId="7EEBE2BF" w:rsidR="000B0E11" w:rsidRPr="00BE5E11" w:rsidRDefault="002422FD" w:rsidP="008556F9">
      <w:pPr>
        <w:spacing w:before="240" w:line="240" w:lineRule="auto"/>
        <w:jc w:val="both"/>
        <w:rPr>
          <w:rFonts w:ascii="Times New Roman" w:hAnsi="Times New Roman"/>
          <w:sz w:val="24"/>
          <w:szCs w:val="24"/>
        </w:rPr>
      </w:pPr>
      <w:r w:rsidRPr="00BE5E11">
        <w:rPr>
          <w:rFonts w:ascii="Times New Roman" w:hAnsi="Times New Roman"/>
          <w:sz w:val="24"/>
          <w:szCs w:val="24"/>
        </w:rPr>
        <w:t>However, two critical indicators raise concerns: firstly, a secondary education level is predominant (67.47%), which facilitates the adoption of digital tools (DHIS2); secondly, a weak geographical connection is observed, with only 10% of staff originating from their assigned villages. Finally, operational continuity of service is generally ensured, although 3.10% of sites were identified as non-functional during 2024.</w:t>
      </w:r>
    </w:p>
    <w:p w14:paraId="478B9832" w14:textId="1E7C2AAC" w:rsidR="00D71893" w:rsidRPr="00BE5E11" w:rsidRDefault="00D71893" w:rsidP="008556F9">
      <w:pPr>
        <w:pStyle w:val="Caption"/>
        <w:keepNext/>
        <w:jc w:val="both"/>
        <w:rPr>
          <w:i w:val="0"/>
          <w:iCs w:val="0"/>
          <w:sz w:val="24"/>
          <w:szCs w:val="24"/>
        </w:rPr>
      </w:pPr>
      <w:r w:rsidRPr="00BE5E11">
        <w:rPr>
          <w:b/>
          <w:bCs/>
          <w:i w:val="0"/>
          <w:iCs w:val="0"/>
          <w:sz w:val="24"/>
          <w:szCs w:val="24"/>
        </w:rPr>
        <w:t xml:space="preserve">Table 1: </w:t>
      </w:r>
      <w:r w:rsidRPr="00BE5E11">
        <w:rPr>
          <w:i w:val="0"/>
          <w:iCs w:val="0"/>
          <w:sz w:val="24"/>
          <w:szCs w:val="24"/>
        </w:rPr>
        <w:t>Distribution of ASCs according to socio-demographic and socio-economic characteristics</w:t>
      </w:r>
      <w:bookmarkEnd w:id="1"/>
      <w:r w:rsidRPr="00BE5E11">
        <w:rPr>
          <w:i w:val="0"/>
          <w:iCs w:val="0"/>
          <w:sz w:val="24"/>
          <w:szCs w:val="24"/>
        </w:rPr>
        <w:t xml:space="preserve"> </w:t>
      </w:r>
    </w:p>
    <w:tbl>
      <w:tblPr>
        <w:tblW w:w="5000" w:type="pct"/>
        <w:shd w:val="clear" w:color="auto" w:fill="FFFFFF" w:themeFill="background1"/>
        <w:tblCellMar>
          <w:left w:w="70" w:type="dxa"/>
          <w:right w:w="70" w:type="dxa"/>
        </w:tblCellMar>
        <w:tblLook w:val="04A0" w:firstRow="1" w:lastRow="0" w:firstColumn="1" w:lastColumn="0" w:noHBand="0" w:noVBand="1"/>
      </w:tblPr>
      <w:tblGrid>
        <w:gridCol w:w="6192"/>
        <w:gridCol w:w="2317"/>
        <w:gridCol w:w="2289"/>
      </w:tblGrid>
      <w:tr w:rsidR="00D71893" w:rsidRPr="00BE5E11" w14:paraId="09D54D2C" w14:textId="77777777" w:rsidTr="00093B13">
        <w:trPr>
          <w:trHeight w:val="20"/>
        </w:trPr>
        <w:tc>
          <w:tcPr>
            <w:tcW w:w="2867" w:type="pct"/>
            <w:tcBorders>
              <w:top w:val="thinThickSmallGap" w:sz="24" w:space="0" w:color="auto"/>
              <w:left w:val="nil"/>
              <w:bottom w:val="thickThinSmallGap" w:sz="24" w:space="0" w:color="auto"/>
              <w:right w:val="nil"/>
            </w:tcBorders>
            <w:shd w:val="clear" w:color="auto" w:fill="FFFFFF" w:themeFill="background1"/>
            <w:noWrap/>
            <w:vAlign w:val="center"/>
            <w:hideMark/>
          </w:tcPr>
          <w:p w14:paraId="515A9971" w14:textId="77777777" w:rsidR="00D71893" w:rsidRPr="00BE5E11" w:rsidRDefault="00D71893"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Variables</w:t>
            </w:r>
          </w:p>
        </w:tc>
        <w:tc>
          <w:tcPr>
            <w:tcW w:w="1073" w:type="pct"/>
            <w:tcBorders>
              <w:top w:val="thinThickSmallGap" w:sz="24" w:space="0" w:color="auto"/>
              <w:left w:val="nil"/>
              <w:bottom w:val="thickThinSmallGap" w:sz="24" w:space="0" w:color="auto"/>
              <w:right w:val="nil"/>
            </w:tcBorders>
            <w:shd w:val="clear" w:color="auto" w:fill="FFFFFF" w:themeFill="background1"/>
            <w:noWrap/>
            <w:vAlign w:val="center"/>
            <w:hideMark/>
          </w:tcPr>
          <w:p w14:paraId="1BBD77BE" w14:textId="77777777" w:rsidR="00D71893" w:rsidRPr="00BE5E11" w:rsidRDefault="00D71893"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Number (n)</w:t>
            </w:r>
          </w:p>
        </w:tc>
        <w:tc>
          <w:tcPr>
            <w:tcW w:w="1060" w:type="pct"/>
            <w:tcBorders>
              <w:top w:val="thinThickSmallGap" w:sz="24" w:space="0" w:color="auto"/>
              <w:left w:val="nil"/>
              <w:bottom w:val="thickThinSmallGap" w:sz="24" w:space="0" w:color="auto"/>
              <w:right w:val="nil"/>
            </w:tcBorders>
            <w:shd w:val="clear" w:color="auto" w:fill="FFFFFF" w:themeFill="background1"/>
            <w:noWrap/>
            <w:vAlign w:val="center"/>
            <w:hideMark/>
          </w:tcPr>
          <w:p w14:paraId="4EA778E2" w14:textId="77777777" w:rsidR="00D71893" w:rsidRPr="00BE5E11" w:rsidRDefault="00D71893"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Proportion (%)</w:t>
            </w:r>
          </w:p>
        </w:tc>
      </w:tr>
      <w:tr w:rsidR="00D71893" w:rsidRPr="00BE5E11" w14:paraId="73F6F024" w14:textId="77777777" w:rsidTr="00093B13">
        <w:trPr>
          <w:trHeight w:val="20"/>
        </w:trPr>
        <w:tc>
          <w:tcPr>
            <w:tcW w:w="5000" w:type="pct"/>
            <w:gridSpan w:val="3"/>
            <w:tcBorders>
              <w:top w:val="nil"/>
              <w:left w:val="nil"/>
              <w:bottom w:val="nil"/>
              <w:right w:val="single" w:sz="4" w:space="0" w:color="E0E0E0"/>
            </w:tcBorders>
            <w:shd w:val="clear" w:color="auto" w:fill="FFFFFF" w:themeFill="background1"/>
            <w:vAlign w:val="center"/>
            <w:hideMark/>
          </w:tcPr>
          <w:p w14:paraId="56FE4702" w14:textId="77777777" w:rsidR="00D71893" w:rsidRPr="00BE5E11" w:rsidRDefault="00D71893" w:rsidP="008556F9">
            <w:pPr>
              <w:spacing w:after="0" w:line="240" w:lineRule="auto"/>
              <w:jc w:val="both"/>
              <w:rPr>
                <w:rFonts w:ascii="Times New Roman" w:hAnsi="Times New Roman"/>
                <w:b/>
                <w:bCs/>
                <w:color w:val="010205"/>
                <w:sz w:val="24"/>
                <w:szCs w:val="24"/>
              </w:rPr>
            </w:pPr>
            <w:r w:rsidRPr="00BE5E11">
              <w:rPr>
                <w:rFonts w:ascii="Times New Roman" w:hAnsi="Times New Roman"/>
                <w:b/>
                <w:bCs/>
                <w:color w:val="010205"/>
                <w:sz w:val="24"/>
                <w:szCs w:val="24"/>
              </w:rPr>
              <w:t>Sex</w:t>
            </w:r>
          </w:p>
        </w:tc>
      </w:tr>
      <w:tr w:rsidR="00D71893" w:rsidRPr="00BE5E11" w14:paraId="2B174AF5" w14:textId="77777777" w:rsidTr="00093B13">
        <w:trPr>
          <w:trHeight w:val="20"/>
        </w:trPr>
        <w:tc>
          <w:tcPr>
            <w:tcW w:w="2867" w:type="pct"/>
            <w:tcBorders>
              <w:top w:val="nil"/>
              <w:left w:val="nil"/>
              <w:bottom w:val="nil"/>
              <w:right w:val="nil"/>
            </w:tcBorders>
            <w:shd w:val="clear" w:color="auto" w:fill="FFFFFF" w:themeFill="background1"/>
            <w:noWrap/>
            <w:vAlign w:val="center"/>
            <w:hideMark/>
          </w:tcPr>
          <w:p w14:paraId="63677BCE" w14:textId="77777777" w:rsidR="00D71893" w:rsidRPr="00BE5E11" w:rsidRDefault="00D71893"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Female</w:t>
            </w:r>
          </w:p>
        </w:tc>
        <w:tc>
          <w:tcPr>
            <w:tcW w:w="1073" w:type="pct"/>
            <w:tcBorders>
              <w:left w:val="nil"/>
            </w:tcBorders>
            <w:shd w:val="clear" w:color="auto" w:fill="FFFFFF" w:themeFill="background1"/>
            <w:noWrap/>
            <w:vAlign w:val="center"/>
            <w:hideMark/>
          </w:tcPr>
          <w:p w14:paraId="140568E0" w14:textId="77777777" w:rsidR="00D71893" w:rsidRPr="00BE5E11" w:rsidRDefault="00D71893"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2731</w:t>
            </w:r>
          </w:p>
        </w:tc>
        <w:tc>
          <w:tcPr>
            <w:tcW w:w="1060" w:type="pct"/>
            <w:shd w:val="clear" w:color="auto" w:fill="FFFFFF" w:themeFill="background1"/>
            <w:noWrap/>
            <w:vAlign w:val="center"/>
            <w:hideMark/>
          </w:tcPr>
          <w:p w14:paraId="2E952774" w14:textId="77777777" w:rsidR="00D71893" w:rsidRPr="00BE5E11" w:rsidRDefault="00D71893"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68.24</w:t>
            </w:r>
          </w:p>
        </w:tc>
      </w:tr>
      <w:tr w:rsidR="00D71893" w:rsidRPr="00BE5E11" w14:paraId="6EC3BA9C" w14:textId="77777777" w:rsidTr="00093B13">
        <w:trPr>
          <w:trHeight w:val="20"/>
        </w:trPr>
        <w:tc>
          <w:tcPr>
            <w:tcW w:w="2867" w:type="pct"/>
            <w:tcBorders>
              <w:top w:val="nil"/>
              <w:left w:val="nil"/>
              <w:bottom w:val="nil"/>
              <w:right w:val="nil"/>
            </w:tcBorders>
            <w:shd w:val="clear" w:color="auto" w:fill="FFFFFF" w:themeFill="background1"/>
            <w:noWrap/>
            <w:vAlign w:val="center"/>
            <w:hideMark/>
          </w:tcPr>
          <w:p w14:paraId="37A36D39" w14:textId="77777777" w:rsidR="00D71893" w:rsidRPr="00BE5E11" w:rsidRDefault="00D71893" w:rsidP="008556F9">
            <w:pPr>
              <w:spacing w:after="0" w:line="240" w:lineRule="auto"/>
              <w:jc w:val="both"/>
              <w:rPr>
                <w:rFonts w:ascii="Times New Roman" w:hAnsi="Times New Roman"/>
                <w:sz w:val="24"/>
                <w:szCs w:val="24"/>
              </w:rPr>
            </w:pPr>
            <w:r w:rsidRPr="00BE5E11">
              <w:rPr>
                <w:rFonts w:ascii="Times New Roman" w:hAnsi="Times New Roman"/>
                <w:sz w:val="24"/>
                <w:szCs w:val="24"/>
              </w:rPr>
              <w:t>Male</w:t>
            </w:r>
          </w:p>
        </w:tc>
        <w:tc>
          <w:tcPr>
            <w:tcW w:w="1073" w:type="pct"/>
            <w:tcBorders>
              <w:top w:val="nil"/>
              <w:left w:val="nil"/>
            </w:tcBorders>
            <w:shd w:val="clear" w:color="auto" w:fill="FFFFFF" w:themeFill="background1"/>
            <w:noWrap/>
            <w:vAlign w:val="center"/>
            <w:hideMark/>
          </w:tcPr>
          <w:p w14:paraId="13A203D8" w14:textId="77777777" w:rsidR="00D71893" w:rsidRPr="00BE5E11" w:rsidRDefault="00D71893" w:rsidP="008556F9">
            <w:pPr>
              <w:spacing w:after="0" w:line="240" w:lineRule="auto"/>
              <w:jc w:val="both"/>
              <w:rPr>
                <w:rFonts w:ascii="Times New Roman" w:hAnsi="Times New Roman"/>
                <w:sz w:val="24"/>
                <w:szCs w:val="24"/>
              </w:rPr>
            </w:pPr>
            <w:r w:rsidRPr="00BE5E11">
              <w:rPr>
                <w:rFonts w:ascii="Times New Roman" w:hAnsi="Times New Roman"/>
                <w:sz w:val="24"/>
                <w:szCs w:val="24"/>
              </w:rPr>
              <w:t>1271</w:t>
            </w:r>
          </w:p>
        </w:tc>
        <w:tc>
          <w:tcPr>
            <w:tcW w:w="1060" w:type="pct"/>
            <w:tcBorders>
              <w:top w:val="nil"/>
            </w:tcBorders>
            <w:shd w:val="clear" w:color="auto" w:fill="FFFFFF" w:themeFill="background1"/>
            <w:noWrap/>
            <w:vAlign w:val="center"/>
            <w:hideMark/>
          </w:tcPr>
          <w:p w14:paraId="497A2AAB" w14:textId="77777777" w:rsidR="00D71893" w:rsidRPr="00BE5E11" w:rsidRDefault="00D71893" w:rsidP="008556F9">
            <w:pPr>
              <w:spacing w:after="0" w:line="240" w:lineRule="auto"/>
              <w:jc w:val="both"/>
              <w:rPr>
                <w:rFonts w:ascii="Times New Roman" w:hAnsi="Times New Roman"/>
                <w:sz w:val="24"/>
                <w:szCs w:val="24"/>
              </w:rPr>
            </w:pPr>
            <w:r w:rsidRPr="00BE5E11">
              <w:rPr>
                <w:rFonts w:ascii="Times New Roman" w:hAnsi="Times New Roman"/>
                <w:sz w:val="24"/>
                <w:szCs w:val="24"/>
              </w:rPr>
              <w:t>31.76</w:t>
            </w:r>
          </w:p>
        </w:tc>
      </w:tr>
      <w:tr w:rsidR="00D71893" w:rsidRPr="00BE5E11" w14:paraId="18DE4CFE" w14:textId="77777777" w:rsidTr="00093B13">
        <w:trPr>
          <w:trHeight w:val="20"/>
        </w:trPr>
        <w:tc>
          <w:tcPr>
            <w:tcW w:w="5000" w:type="pct"/>
            <w:gridSpan w:val="3"/>
            <w:tcBorders>
              <w:top w:val="nil"/>
              <w:left w:val="nil"/>
              <w:bottom w:val="nil"/>
            </w:tcBorders>
            <w:shd w:val="clear" w:color="auto" w:fill="FFFFFF" w:themeFill="background1"/>
            <w:vAlign w:val="center"/>
            <w:hideMark/>
          </w:tcPr>
          <w:p w14:paraId="65DAE05D" w14:textId="77777777" w:rsidR="00D71893" w:rsidRPr="00BE5E11" w:rsidRDefault="00D71893"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Age</w:t>
            </w:r>
          </w:p>
        </w:tc>
      </w:tr>
      <w:tr w:rsidR="00D71893" w:rsidRPr="00BE5E11" w14:paraId="0D00C07E" w14:textId="77777777" w:rsidTr="00093B13">
        <w:trPr>
          <w:trHeight w:val="20"/>
        </w:trPr>
        <w:tc>
          <w:tcPr>
            <w:tcW w:w="2867" w:type="pct"/>
            <w:tcBorders>
              <w:top w:val="nil"/>
              <w:left w:val="nil"/>
              <w:bottom w:val="nil"/>
              <w:right w:val="nil"/>
            </w:tcBorders>
            <w:shd w:val="clear" w:color="auto" w:fill="FFFFFF" w:themeFill="background1"/>
            <w:noWrap/>
            <w:vAlign w:val="center"/>
            <w:hideMark/>
          </w:tcPr>
          <w:p w14:paraId="233C73C2" w14:textId="77777777" w:rsidR="00D71893" w:rsidRPr="00BE5E11" w:rsidRDefault="00D71893" w:rsidP="008556F9">
            <w:pPr>
              <w:spacing w:after="0" w:line="240" w:lineRule="auto"/>
              <w:jc w:val="both"/>
              <w:rPr>
                <w:rFonts w:ascii="Times New Roman" w:hAnsi="Times New Roman"/>
                <w:sz w:val="24"/>
                <w:szCs w:val="24"/>
              </w:rPr>
            </w:pPr>
            <w:r w:rsidRPr="00BE5E11">
              <w:rPr>
                <w:rFonts w:ascii="Times New Roman" w:hAnsi="Times New Roman"/>
                <w:sz w:val="24"/>
                <w:szCs w:val="24"/>
              </w:rPr>
              <w:t>≤ 18 years old</w:t>
            </w:r>
          </w:p>
        </w:tc>
        <w:tc>
          <w:tcPr>
            <w:tcW w:w="1073" w:type="pct"/>
            <w:tcBorders>
              <w:left w:val="nil"/>
            </w:tcBorders>
            <w:shd w:val="clear" w:color="auto" w:fill="FFFFFF" w:themeFill="background1"/>
            <w:noWrap/>
            <w:vAlign w:val="center"/>
            <w:hideMark/>
          </w:tcPr>
          <w:p w14:paraId="613197E4" w14:textId="77777777" w:rsidR="00D71893" w:rsidRPr="00BE5E11" w:rsidRDefault="00D71893" w:rsidP="008556F9">
            <w:pPr>
              <w:spacing w:after="0" w:line="240" w:lineRule="auto"/>
              <w:jc w:val="both"/>
              <w:rPr>
                <w:rFonts w:ascii="Times New Roman" w:hAnsi="Times New Roman"/>
                <w:sz w:val="24"/>
                <w:szCs w:val="24"/>
              </w:rPr>
            </w:pPr>
            <w:r w:rsidRPr="00BE5E11">
              <w:rPr>
                <w:rFonts w:ascii="Times New Roman" w:hAnsi="Times New Roman"/>
                <w:sz w:val="24"/>
                <w:szCs w:val="24"/>
              </w:rPr>
              <w:t>16</w:t>
            </w:r>
          </w:p>
        </w:tc>
        <w:tc>
          <w:tcPr>
            <w:tcW w:w="1060" w:type="pct"/>
            <w:shd w:val="clear" w:color="auto" w:fill="FFFFFF" w:themeFill="background1"/>
            <w:noWrap/>
            <w:vAlign w:val="center"/>
            <w:hideMark/>
          </w:tcPr>
          <w:p w14:paraId="469CEB6E" w14:textId="77777777" w:rsidR="00D71893" w:rsidRPr="00BE5E11" w:rsidRDefault="00D71893" w:rsidP="008556F9">
            <w:pPr>
              <w:spacing w:after="0" w:line="240" w:lineRule="auto"/>
              <w:jc w:val="both"/>
              <w:rPr>
                <w:rFonts w:ascii="Times New Roman" w:hAnsi="Times New Roman"/>
                <w:sz w:val="24"/>
                <w:szCs w:val="24"/>
              </w:rPr>
            </w:pPr>
            <w:r w:rsidRPr="00BE5E11">
              <w:rPr>
                <w:rFonts w:ascii="Times New Roman" w:hAnsi="Times New Roman"/>
                <w:sz w:val="24"/>
                <w:szCs w:val="24"/>
              </w:rPr>
              <w:t>0.4</w:t>
            </w:r>
          </w:p>
        </w:tc>
      </w:tr>
      <w:tr w:rsidR="00D71893" w:rsidRPr="00BE5E11" w14:paraId="48CC827F" w14:textId="77777777" w:rsidTr="00093B13">
        <w:trPr>
          <w:trHeight w:val="20"/>
        </w:trPr>
        <w:tc>
          <w:tcPr>
            <w:tcW w:w="2867" w:type="pct"/>
            <w:tcBorders>
              <w:top w:val="nil"/>
              <w:left w:val="nil"/>
              <w:bottom w:val="nil"/>
              <w:right w:val="nil"/>
            </w:tcBorders>
            <w:shd w:val="clear" w:color="auto" w:fill="FFFFFF" w:themeFill="background1"/>
            <w:noWrap/>
            <w:vAlign w:val="center"/>
            <w:hideMark/>
          </w:tcPr>
          <w:p w14:paraId="70E559F8" w14:textId="77777777" w:rsidR="00D71893" w:rsidRPr="00BE5E11" w:rsidRDefault="00D71893" w:rsidP="008556F9">
            <w:pPr>
              <w:spacing w:after="0" w:line="240" w:lineRule="auto"/>
              <w:jc w:val="both"/>
              <w:rPr>
                <w:rFonts w:ascii="Times New Roman" w:hAnsi="Times New Roman"/>
                <w:sz w:val="24"/>
                <w:szCs w:val="24"/>
              </w:rPr>
            </w:pPr>
            <w:r w:rsidRPr="00BE5E11">
              <w:rPr>
                <w:rFonts w:ascii="Times New Roman" w:hAnsi="Times New Roman"/>
                <w:sz w:val="24"/>
                <w:szCs w:val="24"/>
              </w:rPr>
              <w:t>18 to 28 years old</w:t>
            </w:r>
          </w:p>
        </w:tc>
        <w:tc>
          <w:tcPr>
            <w:tcW w:w="1073" w:type="pct"/>
            <w:tcBorders>
              <w:top w:val="nil"/>
              <w:left w:val="nil"/>
            </w:tcBorders>
            <w:shd w:val="clear" w:color="auto" w:fill="FFFFFF" w:themeFill="background1"/>
            <w:noWrap/>
            <w:vAlign w:val="center"/>
            <w:hideMark/>
          </w:tcPr>
          <w:p w14:paraId="29B961C7" w14:textId="77777777" w:rsidR="00D71893" w:rsidRPr="00BE5E11" w:rsidRDefault="00D71893" w:rsidP="008556F9">
            <w:pPr>
              <w:spacing w:after="0" w:line="240" w:lineRule="auto"/>
              <w:jc w:val="both"/>
              <w:rPr>
                <w:rFonts w:ascii="Times New Roman" w:hAnsi="Times New Roman"/>
                <w:sz w:val="24"/>
                <w:szCs w:val="24"/>
              </w:rPr>
            </w:pPr>
            <w:r w:rsidRPr="00BE5E11">
              <w:rPr>
                <w:rFonts w:ascii="Times New Roman" w:hAnsi="Times New Roman"/>
                <w:sz w:val="24"/>
                <w:szCs w:val="24"/>
              </w:rPr>
              <w:t>1039</w:t>
            </w:r>
          </w:p>
        </w:tc>
        <w:tc>
          <w:tcPr>
            <w:tcW w:w="1060" w:type="pct"/>
            <w:tcBorders>
              <w:top w:val="nil"/>
            </w:tcBorders>
            <w:shd w:val="clear" w:color="auto" w:fill="FFFFFF" w:themeFill="background1"/>
            <w:noWrap/>
            <w:vAlign w:val="center"/>
            <w:hideMark/>
          </w:tcPr>
          <w:p w14:paraId="47E8CB4F" w14:textId="77777777" w:rsidR="00D71893" w:rsidRPr="00BE5E11" w:rsidRDefault="00D71893" w:rsidP="008556F9">
            <w:pPr>
              <w:spacing w:after="0" w:line="240" w:lineRule="auto"/>
              <w:jc w:val="both"/>
              <w:rPr>
                <w:rFonts w:ascii="Times New Roman" w:hAnsi="Times New Roman"/>
                <w:sz w:val="24"/>
                <w:szCs w:val="24"/>
              </w:rPr>
            </w:pPr>
            <w:r w:rsidRPr="00BE5E11">
              <w:rPr>
                <w:rFonts w:ascii="Times New Roman" w:hAnsi="Times New Roman"/>
                <w:sz w:val="24"/>
                <w:szCs w:val="24"/>
              </w:rPr>
              <w:t>25.96</w:t>
            </w:r>
          </w:p>
        </w:tc>
      </w:tr>
      <w:tr w:rsidR="00D71893" w:rsidRPr="00BE5E11" w14:paraId="0350BCB9" w14:textId="77777777" w:rsidTr="00093B13">
        <w:trPr>
          <w:trHeight w:val="20"/>
        </w:trPr>
        <w:tc>
          <w:tcPr>
            <w:tcW w:w="2867" w:type="pct"/>
            <w:tcBorders>
              <w:top w:val="nil"/>
              <w:left w:val="nil"/>
              <w:bottom w:val="nil"/>
              <w:right w:val="nil"/>
            </w:tcBorders>
            <w:shd w:val="clear" w:color="auto" w:fill="FFFFFF" w:themeFill="background1"/>
            <w:noWrap/>
            <w:vAlign w:val="center"/>
            <w:hideMark/>
          </w:tcPr>
          <w:p w14:paraId="68B71215" w14:textId="77777777" w:rsidR="00D71893" w:rsidRPr="00BE5E11" w:rsidRDefault="00D71893"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28 to 38 years old</w:t>
            </w:r>
          </w:p>
        </w:tc>
        <w:tc>
          <w:tcPr>
            <w:tcW w:w="1073" w:type="pct"/>
            <w:tcBorders>
              <w:top w:val="nil"/>
              <w:left w:val="nil"/>
            </w:tcBorders>
            <w:shd w:val="clear" w:color="auto" w:fill="FFFFFF" w:themeFill="background1"/>
            <w:noWrap/>
            <w:vAlign w:val="center"/>
            <w:hideMark/>
          </w:tcPr>
          <w:p w14:paraId="523DA890" w14:textId="77777777" w:rsidR="00D71893" w:rsidRPr="00BE5E11" w:rsidRDefault="00D71893"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2315</w:t>
            </w:r>
          </w:p>
        </w:tc>
        <w:tc>
          <w:tcPr>
            <w:tcW w:w="1060" w:type="pct"/>
            <w:tcBorders>
              <w:top w:val="nil"/>
            </w:tcBorders>
            <w:shd w:val="clear" w:color="auto" w:fill="FFFFFF" w:themeFill="background1"/>
            <w:noWrap/>
            <w:vAlign w:val="center"/>
            <w:hideMark/>
          </w:tcPr>
          <w:p w14:paraId="22787C99" w14:textId="77777777" w:rsidR="00D71893" w:rsidRPr="00BE5E11" w:rsidRDefault="00D71893"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57.85</w:t>
            </w:r>
          </w:p>
        </w:tc>
      </w:tr>
      <w:tr w:rsidR="00D71893" w:rsidRPr="00BE5E11" w14:paraId="48F4ED5C" w14:textId="77777777" w:rsidTr="00093B13">
        <w:trPr>
          <w:trHeight w:val="20"/>
        </w:trPr>
        <w:tc>
          <w:tcPr>
            <w:tcW w:w="2867" w:type="pct"/>
            <w:tcBorders>
              <w:top w:val="nil"/>
              <w:left w:val="nil"/>
              <w:bottom w:val="nil"/>
              <w:right w:val="nil"/>
            </w:tcBorders>
            <w:shd w:val="clear" w:color="auto" w:fill="FFFFFF" w:themeFill="background1"/>
            <w:noWrap/>
            <w:vAlign w:val="center"/>
            <w:hideMark/>
          </w:tcPr>
          <w:p w14:paraId="4B64AF17" w14:textId="77777777" w:rsidR="00D71893" w:rsidRPr="00BE5E11" w:rsidRDefault="00D71893" w:rsidP="008556F9">
            <w:pPr>
              <w:spacing w:after="0" w:line="240" w:lineRule="auto"/>
              <w:jc w:val="both"/>
              <w:rPr>
                <w:rFonts w:ascii="Times New Roman" w:hAnsi="Times New Roman"/>
                <w:sz w:val="24"/>
                <w:szCs w:val="24"/>
              </w:rPr>
            </w:pPr>
            <w:r w:rsidRPr="00BE5E11">
              <w:rPr>
                <w:rFonts w:ascii="Times New Roman" w:hAnsi="Times New Roman"/>
                <w:sz w:val="24"/>
                <w:szCs w:val="24"/>
              </w:rPr>
              <w:t>38 to 48 years old</w:t>
            </w:r>
          </w:p>
        </w:tc>
        <w:tc>
          <w:tcPr>
            <w:tcW w:w="1073" w:type="pct"/>
            <w:tcBorders>
              <w:top w:val="nil"/>
              <w:left w:val="nil"/>
            </w:tcBorders>
            <w:shd w:val="clear" w:color="auto" w:fill="FFFFFF" w:themeFill="background1"/>
            <w:noWrap/>
            <w:vAlign w:val="center"/>
            <w:hideMark/>
          </w:tcPr>
          <w:p w14:paraId="709DF3CD" w14:textId="77777777" w:rsidR="00D71893" w:rsidRPr="00BE5E11" w:rsidRDefault="00D71893" w:rsidP="008556F9">
            <w:pPr>
              <w:spacing w:after="0" w:line="240" w:lineRule="auto"/>
              <w:jc w:val="both"/>
              <w:rPr>
                <w:rFonts w:ascii="Times New Roman" w:hAnsi="Times New Roman"/>
                <w:sz w:val="24"/>
                <w:szCs w:val="24"/>
              </w:rPr>
            </w:pPr>
            <w:r w:rsidRPr="00BE5E11">
              <w:rPr>
                <w:rFonts w:ascii="Times New Roman" w:hAnsi="Times New Roman"/>
                <w:sz w:val="24"/>
                <w:szCs w:val="24"/>
              </w:rPr>
              <w:t>494</w:t>
            </w:r>
          </w:p>
        </w:tc>
        <w:tc>
          <w:tcPr>
            <w:tcW w:w="1060" w:type="pct"/>
            <w:tcBorders>
              <w:top w:val="nil"/>
            </w:tcBorders>
            <w:shd w:val="clear" w:color="auto" w:fill="FFFFFF" w:themeFill="background1"/>
            <w:noWrap/>
            <w:vAlign w:val="center"/>
            <w:hideMark/>
          </w:tcPr>
          <w:p w14:paraId="769EE645" w14:textId="77777777" w:rsidR="00D71893" w:rsidRPr="00BE5E11" w:rsidRDefault="00D71893" w:rsidP="008556F9">
            <w:pPr>
              <w:spacing w:after="0" w:line="240" w:lineRule="auto"/>
              <w:jc w:val="both"/>
              <w:rPr>
                <w:rFonts w:ascii="Times New Roman" w:hAnsi="Times New Roman"/>
                <w:sz w:val="24"/>
                <w:szCs w:val="24"/>
              </w:rPr>
            </w:pPr>
            <w:r w:rsidRPr="00BE5E11">
              <w:rPr>
                <w:rFonts w:ascii="Times New Roman" w:hAnsi="Times New Roman"/>
                <w:sz w:val="24"/>
                <w:szCs w:val="24"/>
              </w:rPr>
              <w:t>12.34</w:t>
            </w:r>
          </w:p>
        </w:tc>
      </w:tr>
      <w:tr w:rsidR="00D71893" w:rsidRPr="00BE5E11" w14:paraId="4ACF2AD3" w14:textId="77777777" w:rsidTr="00093B13">
        <w:trPr>
          <w:trHeight w:val="20"/>
        </w:trPr>
        <w:tc>
          <w:tcPr>
            <w:tcW w:w="2867" w:type="pct"/>
            <w:tcBorders>
              <w:top w:val="nil"/>
              <w:left w:val="nil"/>
              <w:bottom w:val="nil"/>
              <w:right w:val="nil"/>
            </w:tcBorders>
            <w:shd w:val="clear" w:color="auto" w:fill="FFFFFF" w:themeFill="background1"/>
            <w:noWrap/>
            <w:vAlign w:val="center"/>
            <w:hideMark/>
          </w:tcPr>
          <w:p w14:paraId="7742CBD8" w14:textId="77777777" w:rsidR="00D71893" w:rsidRPr="00BE5E11" w:rsidRDefault="00D71893" w:rsidP="008556F9">
            <w:pPr>
              <w:spacing w:after="0" w:line="240" w:lineRule="auto"/>
              <w:jc w:val="both"/>
              <w:rPr>
                <w:rFonts w:ascii="Times New Roman" w:hAnsi="Times New Roman"/>
                <w:sz w:val="24"/>
                <w:szCs w:val="24"/>
              </w:rPr>
            </w:pPr>
            <w:r w:rsidRPr="00BE5E11">
              <w:rPr>
                <w:rFonts w:ascii="Times New Roman" w:hAnsi="Times New Roman"/>
                <w:sz w:val="24"/>
                <w:szCs w:val="24"/>
              </w:rPr>
              <w:t>48 to 58 years old</w:t>
            </w:r>
          </w:p>
        </w:tc>
        <w:tc>
          <w:tcPr>
            <w:tcW w:w="1073" w:type="pct"/>
            <w:tcBorders>
              <w:top w:val="nil"/>
              <w:left w:val="nil"/>
            </w:tcBorders>
            <w:shd w:val="clear" w:color="auto" w:fill="FFFFFF" w:themeFill="background1"/>
            <w:noWrap/>
            <w:vAlign w:val="center"/>
            <w:hideMark/>
          </w:tcPr>
          <w:p w14:paraId="58930D1C" w14:textId="77777777" w:rsidR="00D71893" w:rsidRPr="00BE5E11" w:rsidRDefault="00D71893" w:rsidP="008556F9">
            <w:pPr>
              <w:spacing w:after="0" w:line="240" w:lineRule="auto"/>
              <w:jc w:val="both"/>
              <w:rPr>
                <w:rFonts w:ascii="Times New Roman" w:hAnsi="Times New Roman"/>
                <w:sz w:val="24"/>
                <w:szCs w:val="24"/>
              </w:rPr>
            </w:pPr>
            <w:r w:rsidRPr="00BE5E11">
              <w:rPr>
                <w:rFonts w:ascii="Times New Roman" w:hAnsi="Times New Roman"/>
                <w:sz w:val="24"/>
                <w:szCs w:val="24"/>
              </w:rPr>
              <w:t>104</w:t>
            </w:r>
          </w:p>
        </w:tc>
        <w:tc>
          <w:tcPr>
            <w:tcW w:w="1060" w:type="pct"/>
            <w:tcBorders>
              <w:top w:val="nil"/>
            </w:tcBorders>
            <w:shd w:val="clear" w:color="auto" w:fill="FFFFFF" w:themeFill="background1"/>
            <w:noWrap/>
            <w:vAlign w:val="center"/>
            <w:hideMark/>
          </w:tcPr>
          <w:p w14:paraId="1C6ADDE4" w14:textId="77777777" w:rsidR="00D71893" w:rsidRPr="00BE5E11" w:rsidRDefault="00D71893" w:rsidP="008556F9">
            <w:pPr>
              <w:spacing w:after="0" w:line="240" w:lineRule="auto"/>
              <w:jc w:val="both"/>
              <w:rPr>
                <w:rFonts w:ascii="Times New Roman" w:hAnsi="Times New Roman"/>
                <w:sz w:val="24"/>
                <w:szCs w:val="24"/>
              </w:rPr>
            </w:pPr>
            <w:r w:rsidRPr="00BE5E11">
              <w:rPr>
                <w:rFonts w:ascii="Times New Roman" w:hAnsi="Times New Roman"/>
                <w:sz w:val="24"/>
                <w:szCs w:val="24"/>
              </w:rPr>
              <w:t>2.6</w:t>
            </w:r>
          </w:p>
        </w:tc>
      </w:tr>
      <w:tr w:rsidR="00D71893" w:rsidRPr="00BE5E11" w14:paraId="248B51B9" w14:textId="77777777" w:rsidTr="00093B13">
        <w:trPr>
          <w:trHeight w:val="20"/>
        </w:trPr>
        <w:tc>
          <w:tcPr>
            <w:tcW w:w="2867" w:type="pct"/>
            <w:tcBorders>
              <w:top w:val="nil"/>
              <w:left w:val="nil"/>
              <w:bottom w:val="nil"/>
              <w:right w:val="nil"/>
            </w:tcBorders>
            <w:shd w:val="clear" w:color="auto" w:fill="FFFFFF" w:themeFill="background1"/>
            <w:noWrap/>
            <w:vAlign w:val="center"/>
            <w:hideMark/>
          </w:tcPr>
          <w:p w14:paraId="08AAC6EF" w14:textId="77777777" w:rsidR="00D71893" w:rsidRPr="00BE5E11" w:rsidRDefault="00D71893" w:rsidP="008556F9">
            <w:pPr>
              <w:spacing w:after="0" w:line="240" w:lineRule="auto"/>
              <w:jc w:val="both"/>
              <w:rPr>
                <w:rFonts w:ascii="Times New Roman" w:hAnsi="Times New Roman"/>
                <w:sz w:val="24"/>
                <w:szCs w:val="24"/>
              </w:rPr>
            </w:pPr>
            <w:r w:rsidRPr="00BE5E11">
              <w:rPr>
                <w:rFonts w:ascii="Times New Roman" w:hAnsi="Times New Roman"/>
                <w:sz w:val="24"/>
                <w:szCs w:val="24"/>
              </w:rPr>
              <w:t>≥ 58</w:t>
            </w:r>
          </w:p>
        </w:tc>
        <w:tc>
          <w:tcPr>
            <w:tcW w:w="1073" w:type="pct"/>
            <w:tcBorders>
              <w:top w:val="nil"/>
              <w:left w:val="nil"/>
            </w:tcBorders>
            <w:shd w:val="clear" w:color="auto" w:fill="FFFFFF" w:themeFill="background1"/>
            <w:noWrap/>
            <w:vAlign w:val="center"/>
            <w:hideMark/>
          </w:tcPr>
          <w:p w14:paraId="1A9E6FFB" w14:textId="77777777" w:rsidR="00D71893" w:rsidRPr="00BE5E11" w:rsidRDefault="00D71893" w:rsidP="008556F9">
            <w:pPr>
              <w:spacing w:after="0" w:line="240" w:lineRule="auto"/>
              <w:jc w:val="both"/>
              <w:rPr>
                <w:rFonts w:ascii="Times New Roman" w:hAnsi="Times New Roman"/>
                <w:sz w:val="24"/>
                <w:szCs w:val="24"/>
              </w:rPr>
            </w:pPr>
            <w:r w:rsidRPr="00BE5E11">
              <w:rPr>
                <w:rFonts w:ascii="Times New Roman" w:hAnsi="Times New Roman"/>
                <w:sz w:val="24"/>
                <w:szCs w:val="24"/>
              </w:rPr>
              <w:t>34</w:t>
            </w:r>
          </w:p>
        </w:tc>
        <w:tc>
          <w:tcPr>
            <w:tcW w:w="1060" w:type="pct"/>
            <w:tcBorders>
              <w:top w:val="nil"/>
            </w:tcBorders>
            <w:shd w:val="clear" w:color="auto" w:fill="FFFFFF" w:themeFill="background1"/>
            <w:noWrap/>
            <w:vAlign w:val="center"/>
            <w:hideMark/>
          </w:tcPr>
          <w:p w14:paraId="4B3AA9A7" w14:textId="77777777" w:rsidR="00D71893" w:rsidRPr="00BE5E11" w:rsidRDefault="00D71893" w:rsidP="008556F9">
            <w:pPr>
              <w:spacing w:after="0" w:line="240" w:lineRule="auto"/>
              <w:jc w:val="both"/>
              <w:rPr>
                <w:rFonts w:ascii="Times New Roman" w:hAnsi="Times New Roman"/>
                <w:sz w:val="24"/>
                <w:szCs w:val="24"/>
              </w:rPr>
            </w:pPr>
            <w:r w:rsidRPr="00BE5E11">
              <w:rPr>
                <w:rFonts w:ascii="Times New Roman" w:hAnsi="Times New Roman"/>
                <w:sz w:val="24"/>
                <w:szCs w:val="24"/>
              </w:rPr>
              <w:t>0.85</w:t>
            </w:r>
          </w:p>
        </w:tc>
      </w:tr>
      <w:tr w:rsidR="00D71893" w:rsidRPr="00BE5E11" w14:paraId="7652861F" w14:textId="77777777" w:rsidTr="00093B13">
        <w:trPr>
          <w:trHeight w:val="20"/>
        </w:trPr>
        <w:tc>
          <w:tcPr>
            <w:tcW w:w="5000" w:type="pct"/>
            <w:gridSpan w:val="3"/>
            <w:tcBorders>
              <w:top w:val="nil"/>
              <w:left w:val="nil"/>
              <w:bottom w:val="nil"/>
            </w:tcBorders>
            <w:shd w:val="clear" w:color="auto" w:fill="FFFFFF" w:themeFill="background1"/>
            <w:vAlign w:val="center"/>
            <w:hideMark/>
          </w:tcPr>
          <w:p w14:paraId="0FCAE8D2" w14:textId="77777777" w:rsidR="00D71893" w:rsidRPr="00BE5E11" w:rsidRDefault="00D71893"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Profile at the time of recruitment</w:t>
            </w:r>
          </w:p>
        </w:tc>
      </w:tr>
      <w:tr w:rsidR="00D71893" w:rsidRPr="00BE5E11" w14:paraId="66ED3502" w14:textId="77777777" w:rsidTr="00093B13">
        <w:trPr>
          <w:trHeight w:val="20"/>
        </w:trPr>
        <w:tc>
          <w:tcPr>
            <w:tcW w:w="2867" w:type="pct"/>
            <w:tcBorders>
              <w:top w:val="nil"/>
              <w:left w:val="nil"/>
              <w:bottom w:val="nil"/>
              <w:right w:val="nil"/>
            </w:tcBorders>
            <w:shd w:val="clear" w:color="auto" w:fill="FFFFFF" w:themeFill="background1"/>
            <w:noWrap/>
            <w:vAlign w:val="center"/>
            <w:hideMark/>
          </w:tcPr>
          <w:p w14:paraId="56F03830" w14:textId="77777777" w:rsidR="00D71893" w:rsidRPr="00BE5E11" w:rsidRDefault="00D71893"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Midwife/Caregiver</w:t>
            </w:r>
          </w:p>
        </w:tc>
        <w:tc>
          <w:tcPr>
            <w:tcW w:w="1073" w:type="pct"/>
            <w:tcBorders>
              <w:left w:val="nil"/>
            </w:tcBorders>
            <w:shd w:val="clear" w:color="auto" w:fill="FFFFFF" w:themeFill="background1"/>
            <w:noWrap/>
            <w:vAlign w:val="center"/>
            <w:hideMark/>
          </w:tcPr>
          <w:p w14:paraId="58A87D0D" w14:textId="77777777" w:rsidR="00D71893" w:rsidRPr="00BE5E11" w:rsidRDefault="00D71893"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2717</w:t>
            </w:r>
          </w:p>
        </w:tc>
        <w:tc>
          <w:tcPr>
            <w:tcW w:w="1060" w:type="pct"/>
            <w:shd w:val="clear" w:color="auto" w:fill="FFFFFF" w:themeFill="background1"/>
            <w:noWrap/>
            <w:vAlign w:val="center"/>
            <w:hideMark/>
          </w:tcPr>
          <w:p w14:paraId="52D23FFA" w14:textId="77777777" w:rsidR="00D71893" w:rsidRPr="00BE5E11" w:rsidRDefault="00D71893"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67.89</w:t>
            </w:r>
          </w:p>
        </w:tc>
      </w:tr>
      <w:tr w:rsidR="00D71893" w:rsidRPr="00BE5E11" w14:paraId="30B39F50" w14:textId="77777777" w:rsidTr="00093B13">
        <w:trPr>
          <w:trHeight w:val="20"/>
        </w:trPr>
        <w:tc>
          <w:tcPr>
            <w:tcW w:w="2867" w:type="pct"/>
            <w:tcBorders>
              <w:top w:val="nil"/>
              <w:left w:val="nil"/>
              <w:bottom w:val="nil"/>
              <w:right w:val="nil"/>
            </w:tcBorders>
            <w:shd w:val="clear" w:color="auto" w:fill="FFFFFF" w:themeFill="background1"/>
            <w:noWrap/>
            <w:vAlign w:val="center"/>
            <w:hideMark/>
          </w:tcPr>
          <w:p w14:paraId="351769BD" w14:textId="77777777" w:rsidR="00D71893" w:rsidRPr="00BE5E11" w:rsidRDefault="00D71893" w:rsidP="008556F9">
            <w:pPr>
              <w:spacing w:after="0" w:line="240" w:lineRule="auto"/>
              <w:jc w:val="both"/>
              <w:rPr>
                <w:rFonts w:ascii="Times New Roman" w:hAnsi="Times New Roman"/>
                <w:sz w:val="24"/>
                <w:szCs w:val="24"/>
              </w:rPr>
            </w:pPr>
            <w:r w:rsidRPr="00BE5E11">
              <w:rPr>
                <w:rFonts w:ascii="Times New Roman" w:hAnsi="Times New Roman"/>
                <w:sz w:val="24"/>
                <w:szCs w:val="24"/>
              </w:rPr>
              <w:t>Health worker</w:t>
            </w:r>
          </w:p>
        </w:tc>
        <w:tc>
          <w:tcPr>
            <w:tcW w:w="1073" w:type="pct"/>
            <w:tcBorders>
              <w:top w:val="nil"/>
              <w:left w:val="nil"/>
            </w:tcBorders>
            <w:shd w:val="clear" w:color="auto" w:fill="FFFFFF" w:themeFill="background1"/>
            <w:noWrap/>
            <w:vAlign w:val="center"/>
            <w:hideMark/>
          </w:tcPr>
          <w:p w14:paraId="5E405398" w14:textId="77777777" w:rsidR="00D71893" w:rsidRPr="00BE5E11" w:rsidRDefault="00D71893" w:rsidP="008556F9">
            <w:pPr>
              <w:spacing w:after="0" w:line="240" w:lineRule="auto"/>
              <w:jc w:val="both"/>
              <w:rPr>
                <w:rFonts w:ascii="Times New Roman" w:hAnsi="Times New Roman"/>
                <w:sz w:val="24"/>
                <w:szCs w:val="24"/>
              </w:rPr>
            </w:pPr>
            <w:r w:rsidRPr="00BE5E11">
              <w:rPr>
                <w:rFonts w:ascii="Times New Roman" w:hAnsi="Times New Roman"/>
                <w:sz w:val="24"/>
                <w:szCs w:val="24"/>
              </w:rPr>
              <w:t>545</w:t>
            </w:r>
          </w:p>
        </w:tc>
        <w:tc>
          <w:tcPr>
            <w:tcW w:w="1060" w:type="pct"/>
            <w:tcBorders>
              <w:top w:val="nil"/>
            </w:tcBorders>
            <w:shd w:val="clear" w:color="auto" w:fill="FFFFFF" w:themeFill="background1"/>
            <w:noWrap/>
            <w:vAlign w:val="center"/>
            <w:hideMark/>
          </w:tcPr>
          <w:p w14:paraId="64D3E98C" w14:textId="77777777" w:rsidR="00D71893" w:rsidRPr="00BE5E11" w:rsidRDefault="00D71893" w:rsidP="008556F9">
            <w:pPr>
              <w:spacing w:after="0" w:line="240" w:lineRule="auto"/>
              <w:jc w:val="both"/>
              <w:rPr>
                <w:rFonts w:ascii="Times New Roman" w:hAnsi="Times New Roman"/>
                <w:sz w:val="24"/>
                <w:szCs w:val="24"/>
              </w:rPr>
            </w:pPr>
            <w:r w:rsidRPr="00BE5E11">
              <w:rPr>
                <w:rFonts w:ascii="Times New Roman" w:hAnsi="Times New Roman"/>
                <w:sz w:val="24"/>
                <w:szCs w:val="24"/>
              </w:rPr>
              <w:t>13.62</w:t>
            </w:r>
          </w:p>
        </w:tc>
      </w:tr>
      <w:tr w:rsidR="00D71893" w:rsidRPr="00BE5E11" w14:paraId="701AE1F0" w14:textId="77777777" w:rsidTr="00093B13">
        <w:trPr>
          <w:trHeight w:val="20"/>
        </w:trPr>
        <w:tc>
          <w:tcPr>
            <w:tcW w:w="2867" w:type="pct"/>
            <w:tcBorders>
              <w:top w:val="nil"/>
              <w:left w:val="nil"/>
              <w:bottom w:val="nil"/>
              <w:right w:val="nil"/>
            </w:tcBorders>
            <w:shd w:val="clear" w:color="auto" w:fill="FFFFFF" w:themeFill="background1"/>
            <w:noWrap/>
            <w:vAlign w:val="center"/>
            <w:hideMark/>
          </w:tcPr>
          <w:p w14:paraId="75F398C6" w14:textId="77777777" w:rsidR="00D71893" w:rsidRPr="00BE5E11" w:rsidRDefault="00D71893" w:rsidP="008556F9">
            <w:pPr>
              <w:spacing w:after="0" w:line="240" w:lineRule="auto"/>
              <w:jc w:val="both"/>
              <w:rPr>
                <w:rFonts w:ascii="Times New Roman" w:hAnsi="Times New Roman"/>
                <w:sz w:val="24"/>
                <w:szCs w:val="24"/>
              </w:rPr>
            </w:pPr>
            <w:r w:rsidRPr="00BE5E11">
              <w:rPr>
                <w:rFonts w:ascii="Times New Roman" w:hAnsi="Times New Roman"/>
                <w:sz w:val="24"/>
                <w:szCs w:val="24"/>
              </w:rPr>
              <w:t>Not a healthcare worker</w:t>
            </w:r>
          </w:p>
        </w:tc>
        <w:tc>
          <w:tcPr>
            <w:tcW w:w="1073" w:type="pct"/>
            <w:tcBorders>
              <w:top w:val="nil"/>
              <w:left w:val="nil"/>
            </w:tcBorders>
            <w:shd w:val="clear" w:color="auto" w:fill="FFFFFF" w:themeFill="background1"/>
            <w:noWrap/>
            <w:vAlign w:val="center"/>
            <w:hideMark/>
          </w:tcPr>
          <w:p w14:paraId="1D38E688" w14:textId="77777777" w:rsidR="00D71893" w:rsidRPr="00BE5E11" w:rsidRDefault="00D71893" w:rsidP="008556F9">
            <w:pPr>
              <w:spacing w:after="0" w:line="240" w:lineRule="auto"/>
              <w:jc w:val="both"/>
              <w:rPr>
                <w:rFonts w:ascii="Times New Roman" w:hAnsi="Times New Roman"/>
                <w:sz w:val="24"/>
                <w:szCs w:val="24"/>
              </w:rPr>
            </w:pPr>
            <w:r w:rsidRPr="00BE5E11">
              <w:rPr>
                <w:rFonts w:ascii="Times New Roman" w:hAnsi="Times New Roman"/>
                <w:sz w:val="24"/>
                <w:szCs w:val="24"/>
              </w:rPr>
              <w:t>740</w:t>
            </w:r>
          </w:p>
        </w:tc>
        <w:tc>
          <w:tcPr>
            <w:tcW w:w="1060" w:type="pct"/>
            <w:tcBorders>
              <w:top w:val="nil"/>
            </w:tcBorders>
            <w:shd w:val="clear" w:color="auto" w:fill="FFFFFF" w:themeFill="background1"/>
            <w:noWrap/>
            <w:vAlign w:val="center"/>
            <w:hideMark/>
          </w:tcPr>
          <w:p w14:paraId="2AF0B9F6" w14:textId="77777777" w:rsidR="00D71893" w:rsidRPr="00BE5E11" w:rsidRDefault="00D71893" w:rsidP="008556F9">
            <w:pPr>
              <w:spacing w:after="0" w:line="240" w:lineRule="auto"/>
              <w:jc w:val="both"/>
              <w:rPr>
                <w:rFonts w:ascii="Times New Roman" w:hAnsi="Times New Roman"/>
                <w:sz w:val="24"/>
                <w:szCs w:val="24"/>
              </w:rPr>
            </w:pPr>
            <w:r w:rsidRPr="00BE5E11">
              <w:rPr>
                <w:rFonts w:ascii="Times New Roman" w:hAnsi="Times New Roman"/>
                <w:sz w:val="24"/>
                <w:szCs w:val="24"/>
              </w:rPr>
              <w:t>18.49</w:t>
            </w:r>
          </w:p>
        </w:tc>
      </w:tr>
      <w:tr w:rsidR="00D71893" w:rsidRPr="00BE5E11" w14:paraId="7C37788A" w14:textId="77777777" w:rsidTr="00093B13">
        <w:trPr>
          <w:trHeight w:val="20"/>
        </w:trPr>
        <w:tc>
          <w:tcPr>
            <w:tcW w:w="5000" w:type="pct"/>
            <w:gridSpan w:val="3"/>
            <w:tcBorders>
              <w:top w:val="nil"/>
              <w:left w:val="nil"/>
              <w:bottom w:val="nil"/>
            </w:tcBorders>
            <w:shd w:val="clear" w:color="auto" w:fill="FFFFFF" w:themeFill="background1"/>
            <w:vAlign w:val="center"/>
            <w:hideMark/>
          </w:tcPr>
          <w:p w14:paraId="525AB0A5" w14:textId="77777777" w:rsidR="00D71893" w:rsidRPr="00BE5E11" w:rsidRDefault="00D71893"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Marital status</w:t>
            </w:r>
          </w:p>
        </w:tc>
      </w:tr>
      <w:tr w:rsidR="00D71893" w:rsidRPr="00BE5E11" w14:paraId="1A710B94" w14:textId="77777777" w:rsidTr="00093B13">
        <w:trPr>
          <w:trHeight w:val="20"/>
        </w:trPr>
        <w:tc>
          <w:tcPr>
            <w:tcW w:w="2867" w:type="pct"/>
            <w:tcBorders>
              <w:top w:val="nil"/>
              <w:left w:val="nil"/>
              <w:bottom w:val="nil"/>
              <w:right w:val="nil"/>
            </w:tcBorders>
            <w:shd w:val="clear" w:color="auto" w:fill="FFFFFF" w:themeFill="background1"/>
            <w:noWrap/>
            <w:vAlign w:val="center"/>
          </w:tcPr>
          <w:p w14:paraId="771834B9" w14:textId="77777777" w:rsidR="00D71893" w:rsidRPr="00BE5E11" w:rsidRDefault="00D71893"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Bride)</w:t>
            </w:r>
          </w:p>
        </w:tc>
        <w:tc>
          <w:tcPr>
            <w:tcW w:w="1073" w:type="pct"/>
            <w:tcBorders>
              <w:top w:val="nil"/>
              <w:left w:val="nil"/>
            </w:tcBorders>
            <w:shd w:val="clear" w:color="auto" w:fill="FFFFFF" w:themeFill="background1"/>
            <w:noWrap/>
            <w:vAlign w:val="center"/>
          </w:tcPr>
          <w:p w14:paraId="76ABA14D" w14:textId="77777777" w:rsidR="00D71893" w:rsidRPr="00BE5E11" w:rsidRDefault="00D71893"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3202</w:t>
            </w:r>
          </w:p>
        </w:tc>
        <w:tc>
          <w:tcPr>
            <w:tcW w:w="1060" w:type="pct"/>
            <w:tcBorders>
              <w:top w:val="nil"/>
            </w:tcBorders>
            <w:shd w:val="clear" w:color="auto" w:fill="FFFFFF" w:themeFill="background1"/>
            <w:noWrap/>
            <w:vAlign w:val="center"/>
          </w:tcPr>
          <w:p w14:paraId="3158102B" w14:textId="77777777" w:rsidR="00D71893" w:rsidRPr="00BE5E11" w:rsidRDefault="00D71893"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80.00</w:t>
            </w:r>
          </w:p>
        </w:tc>
      </w:tr>
      <w:tr w:rsidR="00D71893" w:rsidRPr="00BE5E11" w14:paraId="7548B9AD" w14:textId="77777777" w:rsidTr="00093B13">
        <w:trPr>
          <w:trHeight w:val="20"/>
        </w:trPr>
        <w:tc>
          <w:tcPr>
            <w:tcW w:w="2867" w:type="pct"/>
            <w:tcBorders>
              <w:top w:val="nil"/>
              <w:left w:val="nil"/>
              <w:bottom w:val="nil"/>
              <w:right w:val="nil"/>
            </w:tcBorders>
            <w:shd w:val="clear" w:color="auto" w:fill="FFFFFF" w:themeFill="background1"/>
            <w:noWrap/>
            <w:vAlign w:val="center"/>
          </w:tcPr>
          <w:p w14:paraId="7DD5EAF4" w14:textId="77777777" w:rsidR="00D71893" w:rsidRPr="00BE5E11" w:rsidRDefault="00D71893" w:rsidP="008556F9">
            <w:pPr>
              <w:spacing w:after="0" w:line="240" w:lineRule="auto"/>
              <w:jc w:val="both"/>
              <w:rPr>
                <w:rFonts w:ascii="Times New Roman" w:hAnsi="Times New Roman"/>
                <w:sz w:val="24"/>
                <w:szCs w:val="24"/>
              </w:rPr>
            </w:pPr>
            <w:r w:rsidRPr="00BE5E11">
              <w:rPr>
                <w:rFonts w:ascii="Times New Roman" w:hAnsi="Times New Roman"/>
                <w:sz w:val="24"/>
                <w:szCs w:val="24"/>
              </w:rPr>
              <w:t>Divorced</w:t>
            </w:r>
          </w:p>
        </w:tc>
        <w:tc>
          <w:tcPr>
            <w:tcW w:w="1073" w:type="pct"/>
            <w:tcBorders>
              <w:top w:val="nil"/>
              <w:left w:val="nil"/>
            </w:tcBorders>
            <w:shd w:val="clear" w:color="auto" w:fill="FFFFFF" w:themeFill="background1"/>
            <w:noWrap/>
            <w:vAlign w:val="center"/>
          </w:tcPr>
          <w:p w14:paraId="12A389B4" w14:textId="77777777" w:rsidR="00D71893" w:rsidRPr="00BE5E11" w:rsidRDefault="00D71893" w:rsidP="008556F9">
            <w:pPr>
              <w:spacing w:after="0" w:line="240" w:lineRule="auto"/>
              <w:jc w:val="both"/>
              <w:rPr>
                <w:rFonts w:ascii="Times New Roman" w:hAnsi="Times New Roman"/>
                <w:sz w:val="24"/>
                <w:szCs w:val="24"/>
              </w:rPr>
            </w:pPr>
            <w:r w:rsidRPr="00BE5E11">
              <w:rPr>
                <w:rFonts w:ascii="Times New Roman" w:hAnsi="Times New Roman"/>
                <w:sz w:val="24"/>
                <w:szCs w:val="24"/>
              </w:rPr>
              <w:t>120</w:t>
            </w:r>
          </w:p>
        </w:tc>
        <w:tc>
          <w:tcPr>
            <w:tcW w:w="1060" w:type="pct"/>
            <w:tcBorders>
              <w:top w:val="nil"/>
            </w:tcBorders>
            <w:shd w:val="clear" w:color="auto" w:fill="FFFFFF" w:themeFill="background1"/>
            <w:noWrap/>
            <w:vAlign w:val="center"/>
          </w:tcPr>
          <w:p w14:paraId="26E689FF" w14:textId="77777777" w:rsidR="00D71893" w:rsidRPr="00BE5E11" w:rsidRDefault="00D71893" w:rsidP="008556F9">
            <w:pPr>
              <w:spacing w:after="0" w:line="240" w:lineRule="auto"/>
              <w:jc w:val="both"/>
              <w:rPr>
                <w:rFonts w:ascii="Times New Roman" w:hAnsi="Times New Roman"/>
                <w:sz w:val="24"/>
                <w:szCs w:val="24"/>
              </w:rPr>
            </w:pPr>
            <w:r w:rsidRPr="00BE5E11">
              <w:rPr>
                <w:rFonts w:ascii="Times New Roman" w:hAnsi="Times New Roman"/>
                <w:sz w:val="24"/>
                <w:szCs w:val="24"/>
              </w:rPr>
              <w:t>3.00</w:t>
            </w:r>
          </w:p>
        </w:tc>
      </w:tr>
      <w:tr w:rsidR="00D71893" w:rsidRPr="00BE5E11" w14:paraId="5E1D1049" w14:textId="77777777" w:rsidTr="00093B13">
        <w:trPr>
          <w:trHeight w:val="20"/>
        </w:trPr>
        <w:tc>
          <w:tcPr>
            <w:tcW w:w="2867" w:type="pct"/>
            <w:tcBorders>
              <w:top w:val="nil"/>
              <w:left w:val="nil"/>
              <w:bottom w:val="nil"/>
              <w:right w:val="nil"/>
            </w:tcBorders>
            <w:shd w:val="clear" w:color="auto" w:fill="FFFFFF" w:themeFill="background1"/>
            <w:noWrap/>
            <w:vAlign w:val="center"/>
          </w:tcPr>
          <w:p w14:paraId="02080AFA" w14:textId="77777777" w:rsidR="00D71893" w:rsidRPr="00BE5E11" w:rsidRDefault="00D71893" w:rsidP="008556F9">
            <w:pPr>
              <w:spacing w:after="0" w:line="240" w:lineRule="auto"/>
              <w:jc w:val="both"/>
              <w:rPr>
                <w:rFonts w:ascii="Times New Roman" w:hAnsi="Times New Roman"/>
                <w:sz w:val="24"/>
                <w:szCs w:val="24"/>
              </w:rPr>
            </w:pPr>
            <w:r w:rsidRPr="00BE5E11">
              <w:rPr>
                <w:rFonts w:ascii="Times New Roman" w:hAnsi="Times New Roman"/>
                <w:sz w:val="24"/>
                <w:szCs w:val="24"/>
              </w:rPr>
              <w:t>Bachelor</w:t>
            </w:r>
          </w:p>
        </w:tc>
        <w:tc>
          <w:tcPr>
            <w:tcW w:w="1073" w:type="pct"/>
            <w:tcBorders>
              <w:top w:val="nil"/>
              <w:left w:val="nil"/>
            </w:tcBorders>
            <w:shd w:val="clear" w:color="auto" w:fill="FFFFFF" w:themeFill="background1"/>
            <w:noWrap/>
            <w:vAlign w:val="center"/>
          </w:tcPr>
          <w:p w14:paraId="0999C64E" w14:textId="77777777" w:rsidR="00D71893" w:rsidRPr="00BE5E11" w:rsidRDefault="00D71893" w:rsidP="008556F9">
            <w:pPr>
              <w:spacing w:after="0" w:line="240" w:lineRule="auto"/>
              <w:jc w:val="both"/>
              <w:rPr>
                <w:rFonts w:ascii="Times New Roman" w:hAnsi="Times New Roman"/>
                <w:sz w:val="24"/>
                <w:szCs w:val="24"/>
              </w:rPr>
            </w:pPr>
            <w:r w:rsidRPr="00BE5E11">
              <w:rPr>
                <w:rFonts w:ascii="Times New Roman" w:hAnsi="Times New Roman"/>
                <w:sz w:val="24"/>
                <w:szCs w:val="24"/>
              </w:rPr>
              <w:t>680</w:t>
            </w:r>
          </w:p>
        </w:tc>
        <w:tc>
          <w:tcPr>
            <w:tcW w:w="1060" w:type="pct"/>
            <w:tcBorders>
              <w:top w:val="nil"/>
            </w:tcBorders>
            <w:shd w:val="clear" w:color="auto" w:fill="FFFFFF" w:themeFill="background1"/>
            <w:noWrap/>
            <w:vAlign w:val="center"/>
          </w:tcPr>
          <w:p w14:paraId="6B595BA1" w14:textId="77777777" w:rsidR="00D71893" w:rsidRPr="00BE5E11" w:rsidRDefault="00D71893" w:rsidP="008556F9">
            <w:pPr>
              <w:spacing w:after="0" w:line="240" w:lineRule="auto"/>
              <w:jc w:val="both"/>
              <w:rPr>
                <w:rFonts w:ascii="Times New Roman" w:hAnsi="Times New Roman"/>
                <w:sz w:val="24"/>
                <w:szCs w:val="24"/>
              </w:rPr>
            </w:pPr>
            <w:r w:rsidRPr="00BE5E11">
              <w:rPr>
                <w:rFonts w:ascii="Times New Roman" w:hAnsi="Times New Roman"/>
                <w:sz w:val="24"/>
                <w:szCs w:val="24"/>
              </w:rPr>
              <w:t>17.00</w:t>
            </w:r>
          </w:p>
        </w:tc>
      </w:tr>
      <w:tr w:rsidR="00D71893" w:rsidRPr="00BE5E11" w14:paraId="46003A36" w14:textId="77777777" w:rsidTr="00093B13">
        <w:trPr>
          <w:trHeight w:val="20"/>
        </w:trPr>
        <w:tc>
          <w:tcPr>
            <w:tcW w:w="5000" w:type="pct"/>
            <w:gridSpan w:val="3"/>
            <w:tcBorders>
              <w:top w:val="nil"/>
              <w:left w:val="nil"/>
              <w:bottom w:val="nil"/>
            </w:tcBorders>
            <w:shd w:val="clear" w:color="auto" w:fill="FFFFFF" w:themeFill="background1"/>
            <w:vAlign w:val="center"/>
            <w:hideMark/>
          </w:tcPr>
          <w:p w14:paraId="1C06A54D" w14:textId="77777777" w:rsidR="00D71893" w:rsidRPr="00BE5E11" w:rsidRDefault="00D71893"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Education level</w:t>
            </w:r>
          </w:p>
        </w:tc>
      </w:tr>
      <w:tr w:rsidR="00D71893" w:rsidRPr="00BE5E11" w14:paraId="39AE9498" w14:textId="77777777" w:rsidTr="00093B13">
        <w:trPr>
          <w:trHeight w:val="20"/>
        </w:trPr>
        <w:tc>
          <w:tcPr>
            <w:tcW w:w="2867" w:type="pct"/>
            <w:tcBorders>
              <w:top w:val="nil"/>
              <w:left w:val="nil"/>
              <w:bottom w:val="nil"/>
              <w:right w:val="nil"/>
            </w:tcBorders>
            <w:shd w:val="clear" w:color="auto" w:fill="FFFFFF" w:themeFill="background1"/>
            <w:noWrap/>
            <w:vAlign w:val="center"/>
          </w:tcPr>
          <w:p w14:paraId="11C60F26" w14:textId="77777777" w:rsidR="00D71893" w:rsidRPr="00BE5E11" w:rsidRDefault="00D71893" w:rsidP="008556F9">
            <w:pPr>
              <w:spacing w:after="0" w:line="240" w:lineRule="auto"/>
              <w:jc w:val="both"/>
              <w:rPr>
                <w:rFonts w:ascii="Times New Roman" w:hAnsi="Times New Roman"/>
                <w:sz w:val="24"/>
                <w:szCs w:val="24"/>
              </w:rPr>
            </w:pPr>
            <w:r w:rsidRPr="00BE5E11">
              <w:rPr>
                <w:rFonts w:ascii="Times New Roman" w:hAnsi="Times New Roman"/>
                <w:sz w:val="24"/>
                <w:szCs w:val="24"/>
              </w:rPr>
              <w:t>First cycle</w:t>
            </w:r>
          </w:p>
        </w:tc>
        <w:tc>
          <w:tcPr>
            <w:tcW w:w="1073" w:type="pct"/>
            <w:tcBorders>
              <w:top w:val="nil"/>
              <w:left w:val="nil"/>
            </w:tcBorders>
            <w:shd w:val="clear" w:color="auto" w:fill="FFFFFF" w:themeFill="background1"/>
            <w:noWrap/>
            <w:vAlign w:val="center"/>
          </w:tcPr>
          <w:p w14:paraId="763FDCFF" w14:textId="77777777" w:rsidR="00D71893" w:rsidRPr="00BE5E11" w:rsidRDefault="00D71893" w:rsidP="008556F9">
            <w:pPr>
              <w:spacing w:after="0" w:line="240" w:lineRule="auto"/>
              <w:jc w:val="both"/>
              <w:rPr>
                <w:rFonts w:ascii="Times New Roman" w:hAnsi="Times New Roman"/>
                <w:sz w:val="24"/>
                <w:szCs w:val="24"/>
              </w:rPr>
            </w:pPr>
            <w:r w:rsidRPr="00BE5E11">
              <w:rPr>
                <w:rFonts w:ascii="Times New Roman" w:hAnsi="Times New Roman"/>
                <w:sz w:val="24"/>
                <w:szCs w:val="24"/>
              </w:rPr>
              <w:t>98</w:t>
            </w:r>
          </w:p>
        </w:tc>
        <w:tc>
          <w:tcPr>
            <w:tcW w:w="1060" w:type="pct"/>
            <w:tcBorders>
              <w:top w:val="nil"/>
            </w:tcBorders>
            <w:shd w:val="clear" w:color="auto" w:fill="FFFFFF" w:themeFill="background1"/>
            <w:noWrap/>
            <w:vAlign w:val="center"/>
          </w:tcPr>
          <w:p w14:paraId="0B0E2BAF" w14:textId="77777777" w:rsidR="00D71893" w:rsidRPr="00BE5E11" w:rsidRDefault="00D71893" w:rsidP="008556F9">
            <w:pPr>
              <w:spacing w:after="0" w:line="240" w:lineRule="auto"/>
              <w:jc w:val="both"/>
              <w:rPr>
                <w:rFonts w:ascii="Times New Roman" w:hAnsi="Times New Roman"/>
                <w:sz w:val="24"/>
                <w:szCs w:val="24"/>
              </w:rPr>
            </w:pPr>
            <w:r w:rsidRPr="00BE5E11">
              <w:rPr>
                <w:rFonts w:ascii="Times New Roman" w:hAnsi="Times New Roman"/>
                <w:sz w:val="24"/>
                <w:szCs w:val="24"/>
              </w:rPr>
              <w:t>2.45</w:t>
            </w:r>
          </w:p>
        </w:tc>
      </w:tr>
      <w:tr w:rsidR="00D71893" w:rsidRPr="00BE5E11" w14:paraId="25F0A840" w14:textId="77777777" w:rsidTr="00093B13">
        <w:trPr>
          <w:trHeight w:val="20"/>
        </w:trPr>
        <w:tc>
          <w:tcPr>
            <w:tcW w:w="2867" w:type="pct"/>
            <w:tcBorders>
              <w:top w:val="nil"/>
              <w:left w:val="nil"/>
              <w:bottom w:val="nil"/>
              <w:right w:val="nil"/>
            </w:tcBorders>
            <w:shd w:val="clear" w:color="auto" w:fill="FFFFFF" w:themeFill="background1"/>
            <w:noWrap/>
            <w:vAlign w:val="center"/>
          </w:tcPr>
          <w:p w14:paraId="798751A6" w14:textId="77777777" w:rsidR="00D71893" w:rsidRPr="00BE5E11" w:rsidRDefault="00D71893" w:rsidP="008556F9">
            <w:pPr>
              <w:spacing w:after="0" w:line="240" w:lineRule="auto"/>
              <w:jc w:val="both"/>
              <w:rPr>
                <w:rFonts w:ascii="Times New Roman" w:hAnsi="Times New Roman"/>
                <w:sz w:val="24"/>
                <w:szCs w:val="24"/>
              </w:rPr>
            </w:pPr>
            <w:r w:rsidRPr="00BE5E11">
              <w:rPr>
                <w:rFonts w:ascii="Times New Roman" w:hAnsi="Times New Roman"/>
                <w:sz w:val="24"/>
                <w:szCs w:val="24"/>
              </w:rPr>
              <w:t>Second cycle</w:t>
            </w:r>
          </w:p>
        </w:tc>
        <w:tc>
          <w:tcPr>
            <w:tcW w:w="1073" w:type="pct"/>
            <w:tcBorders>
              <w:top w:val="nil"/>
              <w:left w:val="nil"/>
            </w:tcBorders>
            <w:shd w:val="clear" w:color="auto" w:fill="FFFFFF" w:themeFill="background1"/>
            <w:noWrap/>
            <w:vAlign w:val="center"/>
          </w:tcPr>
          <w:p w14:paraId="5754439E" w14:textId="77777777" w:rsidR="00D71893" w:rsidRPr="00BE5E11" w:rsidRDefault="00D71893" w:rsidP="008556F9">
            <w:pPr>
              <w:spacing w:after="0" w:line="240" w:lineRule="auto"/>
              <w:jc w:val="both"/>
              <w:rPr>
                <w:rFonts w:ascii="Times New Roman" w:hAnsi="Times New Roman"/>
                <w:sz w:val="24"/>
                <w:szCs w:val="24"/>
              </w:rPr>
            </w:pPr>
            <w:r w:rsidRPr="00BE5E11">
              <w:rPr>
                <w:rFonts w:ascii="Times New Roman" w:hAnsi="Times New Roman"/>
                <w:sz w:val="24"/>
                <w:szCs w:val="24"/>
              </w:rPr>
              <w:t>1105</w:t>
            </w:r>
          </w:p>
        </w:tc>
        <w:tc>
          <w:tcPr>
            <w:tcW w:w="1060" w:type="pct"/>
            <w:tcBorders>
              <w:top w:val="nil"/>
            </w:tcBorders>
            <w:shd w:val="clear" w:color="auto" w:fill="FFFFFF" w:themeFill="background1"/>
            <w:noWrap/>
            <w:vAlign w:val="center"/>
          </w:tcPr>
          <w:p w14:paraId="56B2D70B" w14:textId="77777777" w:rsidR="00D71893" w:rsidRPr="00BE5E11" w:rsidRDefault="00D71893" w:rsidP="008556F9">
            <w:pPr>
              <w:spacing w:after="0" w:line="240" w:lineRule="auto"/>
              <w:jc w:val="both"/>
              <w:rPr>
                <w:rFonts w:ascii="Times New Roman" w:hAnsi="Times New Roman"/>
                <w:sz w:val="24"/>
                <w:szCs w:val="24"/>
              </w:rPr>
            </w:pPr>
            <w:r w:rsidRPr="00BE5E11">
              <w:rPr>
                <w:rFonts w:ascii="Times New Roman" w:hAnsi="Times New Roman"/>
                <w:sz w:val="24"/>
                <w:szCs w:val="24"/>
              </w:rPr>
              <w:t>27.61</w:t>
            </w:r>
          </w:p>
        </w:tc>
      </w:tr>
      <w:tr w:rsidR="00D71893" w:rsidRPr="00BE5E11" w14:paraId="60456875" w14:textId="77777777" w:rsidTr="00093B13">
        <w:trPr>
          <w:trHeight w:val="20"/>
        </w:trPr>
        <w:tc>
          <w:tcPr>
            <w:tcW w:w="2867" w:type="pct"/>
            <w:tcBorders>
              <w:top w:val="nil"/>
              <w:left w:val="nil"/>
              <w:bottom w:val="nil"/>
              <w:right w:val="nil"/>
            </w:tcBorders>
            <w:shd w:val="clear" w:color="auto" w:fill="FFFFFF" w:themeFill="background1"/>
            <w:noWrap/>
            <w:vAlign w:val="center"/>
          </w:tcPr>
          <w:p w14:paraId="1C735E44" w14:textId="77777777" w:rsidR="00D71893" w:rsidRPr="00BE5E11" w:rsidRDefault="00D71893"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Secondary</w:t>
            </w:r>
          </w:p>
        </w:tc>
        <w:tc>
          <w:tcPr>
            <w:tcW w:w="1073" w:type="pct"/>
            <w:tcBorders>
              <w:top w:val="nil"/>
              <w:left w:val="nil"/>
            </w:tcBorders>
            <w:shd w:val="clear" w:color="auto" w:fill="FFFFFF" w:themeFill="background1"/>
            <w:noWrap/>
            <w:vAlign w:val="center"/>
          </w:tcPr>
          <w:p w14:paraId="10F42754" w14:textId="77777777" w:rsidR="00D71893" w:rsidRPr="00BE5E11" w:rsidRDefault="00D71893"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2700</w:t>
            </w:r>
          </w:p>
        </w:tc>
        <w:tc>
          <w:tcPr>
            <w:tcW w:w="1060" w:type="pct"/>
            <w:tcBorders>
              <w:top w:val="nil"/>
            </w:tcBorders>
            <w:shd w:val="clear" w:color="auto" w:fill="FFFFFF" w:themeFill="background1"/>
            <w:noWrap/>
            <w:vAlign w:val="center"/>
          </w:tcPr>
          <w:p w14:paraId="01958614" w14:textId="77777777" w:rsidR="00D71893" w:rsidRPr="00BE5E11" w:rsidRDefault="00D71893"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67.47</w:t>
            </w:r>
          </w:p>
        </w:tc>
      </w:tr>
      <w:tr w:rsidR="00D71893" w:rsidRPr="00BE5E11" w14:paraId="7C70AC17" w14:textId="77777777" w:rsidTr="00093B13">
        <w:trPr>
          <w:trHeight w:val="20"/>
        </w:trPr>
        <w:tc>
          <w:tcPr>
            <w:tcW w:w="2867" w:type="pct"/>
            <w:tcBorders>
              <w:top w:val="nil"/>
              <w:left w:val="nil"/>
              <w:bottom w:val="nil"/>
              <w:right w:val="nil"/>
            </w:tcBorders>
            <w:shd w:val="clear" w:color="auto" w:fill="FFFFFF" w:themeFill="background1"/>
            <w:noWrap/>
            <w:vAlign w:val="center"/>
          </w:tcPr>
          <w:p w14:paraId="61C53D60" w14:textId="77777777" w:rsidR="00D71893" w:rsidRPr="00BE5E11" w:rsidRDefault="00D71893" w:rsidP="008556F9">
            <w:pPr>
              <w:spacing w:after="0" w:line="240" w:lineRule="auto"/>
              <w:jc w:val="both"/>
              <w:rPr>
                <w:rFonts w:ascii="Times New Roman" w:hAnsi="Times New Roman"/>
                <w:sz w:val="24"/>
                <w:szCs w:val="24"/>
              </w:rPr>
            </w:pPr>
            <w:r w:rsidRPr="00BE5E11">
              <w:rPr>
                <w:rFonts w:ascii="Times New Roman" w:hAnsi="Times New Roman"/>
                <w:sz w:val="24"/>
                <w:szCs w:val="24"/>
              </w:rPr>
              <w:t>Superior</w:t>
            </w:r>
          </w:p>
        </w:tc>
        <w:tc>
          <w:tcPr>
            <w:tcW w:w="1073" w:type="pct"/>
            <w:tcBorders>
              <w:top w:val="nil"/>
              <w:left w:val="nil"/>
            </w:tcBorders>
            <w:shd w:val="clear" w:color="auto" w:fill="FFFFFF" w:themeFill="background1"/>
            <w:noWrap/>
            <w:vAlign w:val="center"/>
          </w:tcPr>
          <w:p w14:paraId="66D06E41" w14:textId="77777777" w:rsidR="00D71893" w:rsidRPr="00BE5E11" w:rsidRDefault="00D71893" w:rsidP="008556F9">
            <w:pPr>
              <w:spacing w:after="0" w:line="240" w:lineRule="auto"/>
              <w:jc w:val="both"/>
              <w:rPr>
                <w:rFonts w:ascii="Times New Roman" w:hAnsi="Times New Roman"/>
                <w:sz w:val="24"/>
                <w:szCs w:val="24"/>
              </w:rPr>
            </w:pPr>
            <w:r w:rsidRPr="00BE5E11">
              <w:rPr>
                <w:rFonts w:ascii="Times New Roman" w:hAnsi="Times New Roman"/>
                <w:sz w:val="24"/>
                <w:szCs w:val="24"/>
              </w:rPr>
              <w:t>99</w:t>
            </w:r>
          </w:p>
        </w:tc>
        <w:tc>
          <w:tcPr>
            <w:tcW w:w="1060" w:type="pct"/>
            <w:tcBorders>
              <w:top w:val="nil"/>
            </w:tcBorders>
            <w:shd w:val="clear" w:color="auto" w:fill="FFFFFF" w:themeFill="background1"/>
            <w:noWrap/>
            <w:vAlign w:val="center"/>
          </w:tcPr>
          <w:p w14:paraId="6522A068" w14:textId="77777777" w:rsidR="00D71893" w:rsidRPr="00BE5E11" w:rsidRDefault="00D71893" w:rsidP="008556F9">
            <w:pPr>
              <w:spacing w:after="0" w:line="240" w:lineRule="auto"/>
              <w:jc w:val="both"/>
              <w:rPr>
                <w:rFonts w:ascii="Times New Roman" w:hAnsi="Times New Roman"/>
                <w:sz w:val="24"/>
                <w:szCs w:val="24"/>
              </w:rPr>
            </w:pPr>
            <w:r w:rsidRPr="00BE5E11">
              <w:rPr>
                <w:rFonts w:ascii="Times New Roman" w:hAnsi="Times New Roman"/>
                <w:sz w:val="24"/>
                <w:szCs w:val="24"/>
              </w:rPr>
              <w:t>2.47</w:t>
            </w:r>
          </w:p>
        </w:tc>
      </w:tr>
      <w:tr w:rsidR="00D71893" w:rsidRPr="00BE5E11" w14:paraId="1763E251" w14:textId="77777777" w:rsidTr="00093B13">
        <w:trPr>
          <w:trHeight w:val="20"/>
        </w:trPr>
        <w:tc>
          <w:tcPr>
            <w:tcW w:w="5000" w:type="pct"/>
            <w:gridSpan w:val="3"/>
            <w:tcBorders>
              <w:top w:val="nil"/>
              <w:left w:val="nil"/>
              <w:bottom w:val="nil"/>
              <w:right w:val="nil"/>
            </w:tcBorders>
            <w:shd w:val="clear" w:color="auto" w:fill="FFFFFF" w:themeFill="background1"/>
            <w:noWrap/>
            <w:vAlign w:val="center"/>
            <w:hideMark/>
          </w:tcPr>
          <w:p w14:paraId="0986E74B" w14:textId="77777777" w:rsidR="00D71893" w:rsidRPr="00BE5E11" w:rsidRDefault="00D71893"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Native of the village, ASC site</w:t>
            </w:r>
          </w:p>
        </w:tc>
      </w:tr>
      <w:tr w:rsidR="00D71893" w:rsidRPr="00BE5E11" w14:paraId="592F0813" w14:textId="77777777" w:rsidTr="00093B13">
        <w:trPr>
          <w:trHeight w:val="20"/>
        </w:trPr>
        <w:tc>
          <w:tcPr>
            <w:tcW w:w="2867" w:type="pct"/>
            <w:tcBorders>
              <w:top w:val="nil"/>
              <w:left w:val="nil"/>
              <w:bottom w:val="nil"/>
              <w:right w:val="nil"/>
            </w:tcBorders>
            <w:shd w:val="clear" w:color="auto" w:fill="FFFFFF" w:themeFill="background1"/>
            <w:noWrap/>
            <w:vAlign w:val="center"/>
            <w:hideMark/>
          </w:tcPr>
          <w:p w14:paraId="6DEE0E7F" w14:textId="77777777" w:rsidR="00D71893" w:rsidRPr="00BE5E11" w:rsidRDefault="00D71893"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Yes</w:t>
            </w:r>
          </w:p>
        </w:tc>
        <w:tc>
          <w:tcPr>
            <w:tcW w:w="1073" w:type="pct"/>
            <w:tcBorders>
              <w:left w:val="nil"/>
            </w:tcBorders>
            <w:shd w:val="clear" w:color="auto" w:fill="FFFFFF" w:themeFill="background1"/>
            <w:noWrap/>
            <w:vAlign w:val="center"/>
            <w:hideMark/>
          </w:tcPr>
          <w:p w14:paraId="60AF0C81" w14:textId="77777777" w:rsidR="00D71893" w:rsidRPr="00BE5E11" w:rsidRDefault="00D71893"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400</w:t>
            </w:r>
          </w:p>
        </w:tc>
        <w:tc>
          <w:tcPr>
            <w:tcW w:w="1060" w:type="pct"/>
            <w:shd w:val="clear" w:color="auto" w:fill="FFFFFF" w:themeFill="background1"/>
            <w:noWrap/>
            <w:vAlign w:val="center"/>
            <w:hideMark/>
          </w:tcPr>
          <w:p w14:paraId="367FA022" w14:textId="77777777" w:rsidR="00D71893" w:rsidRPr="00BE5E11" w:rsidRDefault="00D71893"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10.00</w:t>
            </w:r>
          </w:p>
        </w:tc>
      </w:tr>
      <w:tr w:rsidR="00D71893" w:rsidRPr="00BE5E11" w14:paraId="57E80CB4" w14:textId="77777777" w:rsidTr="00093B13">
        <w:trPr>
          <w:trHeight w:val="20"/>
        </w:trPr>
        <w:tc>
          <w:tcPr>
            <w:tcW w:w="2867" w:type="pct"/>
            <w:tcBorders>
              <w:top w:val="nil"/>
              <w:left w:val="nil"/>
              <w:bottom w:val="nil"/>
              <w:right w:val="nil"/>
            </w:tcBorders>
            <w:shd w:val="clear" w:color="auto" w:fill="FFFFFF" w:themeFill="background1"/>
            <w:noWrap/>
            <w:vAlign w:val="center"/>
            <w:hideMark/>
          </w:tcPr>
          <w:p w14:paraId="7C55A4EE" w14:textId="77777777" w:rsidR="00D71893" w:rsidRPr="00BE5E11" w:rsidRDefault="00D71893" w:rsidP="008556F9">
            <w:pPr>
              <w:spacing w:after="0" w:line="240" w:lineRule="auto"/>
              <w:jc w:val="both"/>
              <w:rPr>
                <w:rFonts w:ascii="Times New Roman" w:hAnsi="Times New Roman"/>
                <w:sz w:val="24"/>
                <w:szCs w:val="24"/>
              </w:rPr>
            </w:pPr>
            <w:r w:rsidRPr="00BE5E11">
              <w:rPr>
                <w:rFonts w:ascii="Times New Roman" w:hAnsi="Times New Roman"/>
                <w:sz w:val="24"/>
                <w:szCs w:val="24"/>
              </w:rPr>
              <w:t>No</w:t>
            </w:r>
          </w:p>
        </w:tc>
        <w:tc>
          <w:tcPr>
            <w:tcW w:w="1073" w:type="pct"/>
            <w:tcBorders>
              <w:top w:val="nil"/>
              <w:left w:val="nil"/>
            </w:tcBorders>
            <w:shd w:val="clear" w:color="auto" w:fill="FFFFFF" w:themeFill="background1"/>
            <w:noWrap/>
            <w:vAlign w:val="center"/>
            <w:hideMark/>
          </w:tcPr>
          <w:p w14:paraId="7CA52B1B" w14:textId="77777777" w:rsidR="00D71893" w:rsidRPr="00BE5E11" w:rsidRDefault="00D71893" w:rsidP="008556F9">
            <w:pPr>
              <w:spacing w:after="0" w:line="240" w:lineRule="auto"/>
              <w:jc w:val="both"/>
              <w:rPr>
                <w:rFonts w:ascii="Times New Roman" w:hAnsi="Times New Roman"/>
                <w:sz w:val="24"/>
                <w:szCs w:val="24"/>
              </w:rPr>
            </w:pPr>
            <w:r w:rsidRPr="00BE5E11">
              <w:rPr>
                <w:rFonts w:ascii="Times New Roman" w:hAnsi="Times New Roman"/>
                <w:sz w:val="24"/>
                <w:szCs w:val="24"/>
              </w:rPr>
              <w:t>3602</w:t>
            </w:r>
          </w:p>
        </w:tc>
        <w:tc>
          <w:tcPr>
            <w:tcW w:w="1060" w:type="pct"/>
            <w:tcBorders>
              <w:top w:val="nil"/>
            </w:tcBorders>
            <w:shd w:val="clear" w:color="auto" w:fill="FFFFFF" w:themeFill="background1"/>
            <w:noWrap/>
            <w:vAlign w:val="center"/>
            <w:hideMark/>
          </w:tcPr>
          <w:p w14:paraId="67739355" w14:textId="77777777" w:rsidR="00D71893" w:rsidRPr="00BE5E11" w:rsidRDefault="00D71893" w:rsidP="008556F9">
            <w:pPr>
              <w:spacing w:after="0" w:line="240" w:lineRule="auto"/>
              <w:jc w:val="both"/>
              <w:rPr>
                <w:rFonts w:ascii="Times New Roman" w:hAnsi="Times New Roman"/>
                <w:sz w:val="24"/>
                <w:szCs w:val="24"/>
              </w:rPr>
            </w:pPr>
            <w:r w:rsidRPr="00BE5E11">
              <w:rPr>
                <w:rFonts w:ascii="Times New Roman" w:hAnsi="Times New Roman"/>
                <w:sz w:val="24"/>
                <w:szCs w:val="24"/>
              </w:rPr>
              <w:t>90.00</w:t>
            </w:r>
          </w:p>
        </w:tc>
      </w:tr>
      <w:tr w:rsidR="00D71893" w:rsidRPr="00BE5E11" w14:paraId="2C96547A" w14:textId="77777777" w:rsidTr="00093B13">
        <w:trPr>
          <w:trHeight w:val="20"/>
        </w:trPr>
        <w:tc>
          <w:tcPr>
            <w:tcW w:w="5000" w:type="pct"/>
            <w:gridSpan w:val="3"/>
            <w:tcBorders>
              <w:top w:val="nil"/>
              <w:left w:val="nil"/>
              <w:bottom w:val="nil"/>
              <w:right w:val="nil"/>
            </w:tcBorders>
            <w:shd w:val="clear" w:color="auto" w:fill="FFFFFF" w:themeFill="background1"/>
            <w:noWrap/>
            <w:vAlign w:val="center"/>
            <w:hideMark/>
          </w:tcPr>
          <w:p w14:paraId="7C3C33A6" w14:textId="77777777" w:rsidR="00D71893" w:rsidRPr="00BE5E11" w:rsidRDefault="00D71893" w:rsidP="008556F9">
            <w:pPr>
              <w:spacing w:after="0" w:line="240" w:lineRule="auto"/>
              <w:jc w:val="both"/>
              <w:rPr>
                <w:rFonts w:ascii="Times New Roman" w:hAnsi="Times New Roman"/>
                <w:sz w:val="24"/>
                <w:szCs w:val="24"/>
              </w:rPr>
            </w:pPr>
            <w:r w:rsidRPr="00BE5E11">
              <w:rPr>
                <w:rFonts w:ascii="Times New Roman" w:hAnsi="Times New Roman"/>
                <w:sz w:val="24"/>
                <w:szCs w:val="24"/>
              </w:rPr>
              <w:t>ASC website functionality</w:t>
            </w:r>
          </w:p>
        </w:tc>
      </w:tr>
      <w:tr w:rsidR="00D71893" w:rsidRPr="00BE5E11" w14:paraId="5BBABE4F" w14:textId="77777777" w:rsidTr="00093B13">
        <w:trPr>
          <w:trHeight w:val="20"/>
        </w:trPr>
        <w:tc>
          <w:tcPr>
            <w:tcW w:w="2867" w:type="pct"/>
            <w:tcBorders>
              <w:top w:val="nil"/>
              <w:left w:val="nil"/>
              <w:right w:val="nil"/>
            </w:tcBorders>
            <w:shd w:val="clear" w:color="auto" w:fill="FFFFFF" w:themeFill="background1"/>
            <w:noWrap/>
            <w:vAlign w:val="center"/>
            <w:hideMark/>
          </w:tcPr>
          <w:p w14:paraId="1E3398D3" w14:textId="77777777" w:rsidR="00D71893" w:rsidRPr="00BE5E11" w:rsidRDefault="00D71893" w:rsidP="008556F9">
            <w:pPr>
              <w:spacing w:after="0" w:line="240" w:lineRule="auto"/>
              <w:jc w:val="both"/>
              <w:rPr>
                <w:rFonts w:ascii="Times New Roman" w:hAnsi="Times New Roman"/>
                <w:sz w:val="24"/>
                <w:szCs w:val="24"/>
              </w:rPr>
            </w:pPr>
            <w:r w:rsidRPr="00BE5E11">
              <w:rPr>
                <w:rFonts w:ascii="Times New Roman" w:hAnsi="Times New Roman"/>
                <w:sz w:val="24"/>
                <w:szCs w:val="24"/>
              </w:rPr>
              <w:t>Yes</w:t>
            </w:r>
          </w:p>
        </w:tc>
        <w:tc>
          <w:tcPr>
            <w:tcW w:w="1073" w:type="pct"/>
            <w:tcBorders>
              <w:top w:val="nil"/>
              <w:left w:val="nil"/>
              <w:right w:val="nil"/>
            </w:tcBorders>
            <w:shd w:val="clear" w:color="auto" w:fill="FFFFFF" w:themeFill="background1"/>
            <w:noWrap/>
            <w:vAlign w:val="center"/>
            <w:hideMark/>
          </w:tcPr>
          <w:p w14:paraId="3C7A9B96" w14:textId="77777777" w:rsidR="00D71893" w:rsidRPr="00BE5E11" w:rsidRDefault="00D71893" w:rsidP="008556F9">
            <w:pPr>
              <w:spacing w:after="0" w:line="240" w:lineRule="auto"/>
              <w:jc w:val="both"/>
              <w:rPr>
                <w:rFonts w:ascii="Times New Roman" w:hAnsi="Times New Roman"/>
                <w:sz w:val="24"/>
                <w:szCs w:val="24"/>
              </w:rPr>
            </w:pPr>
            <w:r w:rsidRPr="00BE5E11">
              <w:rPr>
                <w:rFonts w:ascii="Times New Roman" w:hAnsi="Times New Roman"/>
                <w:sz w:val="24"/>
                <w:szCs w:val="24"/>
              </w:rPr>
              <w:t>3878</w:t>
            </w:r>
          </w:p>
        </w:tc>
        <w:tc>
          <w:tcPr>
            <w:tcW w:w="1060" w:type="pct"/>
            <w:tcBorders>
              <w:top w:val="nil"/>
              <w:left w:val="nil"/>
              <w:right w:val="nil"/>
            </w:tcBorders>
            <w:shd w:val="clear" w:color="auto" w:fill="FFFFFF" w:themeFill="background1"/>
            <w:noWrap/>
            <w:vAlign w:val="center"/>
            <w:hideMark/>
          </w:tcPr>
          <w:p w14:paraId="46AFA787" w14:textId="77777777" w:rsidR="00D71893" w:rsidRPr="00BE5E11" w:rsidRDefault="00D71893" w:rsidP="008556F9">
            <w:pPr>
              <w:spacing w:after="0" w:line="240" w:lineRule="auto"/>
              <w:jc w:val="both"/>
              <w:rPr>
                <w:rFonts w:ascii="Times New Roman" w:hAnsi="Times New Roman"/>
                <w:sz w:val="24"/>
                <w:szCs w:val="24"/>
              </w:rPr>
            </w:pPr>
            <w:r w:rsidRPr="00BE5E11">
              <w:rPr>
                <w:rFonts w:ascii="Times New Roman" w:hAnsi="Times New Roman"/>
                <w:sz w:val="24"/>
                <w:szCs w:val="24"/>
              </w:rPr>
              <w:t>96.90</w:t>
            </w:r>
          </w:p>
        </w:tc>
      </w:tr>
      <w:tr w:rsidR="00D71893" w:rsidRPr="00BE5E11" w14:paraId="390D3975" w14:textId="77777777" w:rsidTr="00093B13">
        <w:trPr>
          <w:trHeight w:val="20"/>
        </w:trPr>
        <w:tc>
          <w:tcPr>
            <w:tcW w:w="2867" w:type="pct"/>
            <w:tcBorders>
              <w:top w:val="nil"/>
              <w:left w:val="nil"/>
              <w:bottom w:val="thickThinSmallGap" w:sz="24" w:space="0" w:color="auto"/>
              <w:right w:val="nil"/>
            </w:tcBorders>
            <w:shd w:val="clear" w:color="auto" w:fill="FFFFFF" w:themeFill="background1"/>
            <w:noWrap/>
            <w:vAlign w:val="center"/>
            <w:hideMark/>
          </w:tcPr>
          <w:p w14:paraId="2623B57E" w14:textId="77777777" w:rsidR="00D71893" w:rsidRPr="00BE5E11" w:rsidRDefault="00D71893"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No</w:t>
            </w:r>
          </w:p>
        </w:tc>
        <w:tc>
          <w:tcPr>
            <w:tcW w:w="1073" w:type="pct"/>
            <w:tcBorders>
              <w:top w:val="nil"/>
              <w:left w:val="nil"/>
              <w:bottom w:val="thickThinSmallGap" w:sz="24" w:space="0" w:color="auto"/>
              <w:right w:val="nil"/>
            </w:tcBorders>
            <w:shd w:val="clear" w:color="auto" w:fill="FFFFFF" w:themeFill="background1"/>
            <w:noWrap/>
            <w:vAlign w:val="center"/>
            <w:hideMark/>
          </w:tcPr>
          <w:p w14:paraId="42F65F9E" w14:textId="77777777" w:rsidR="00D71893" w:rsidRPr="00BE5E11" w:rsidRDefault="00D71893"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124</w:t>
            </w:r>
          </w:p>
        </w:tc>
        <w:tc>
          <w:tcPr>
            <w:tcW w:w="1060" w:type="pct"/>
            <w:tcBorders>
              <w:top w:val="nil"/>
              <w:left w:val="nil"/>
              <w:bottom w:val="thickThinSmallGap" w:sz="24" w:space="0" w:color="auto"/>
              <w:right w:val="nil"/>
            </w:tcBorders>
            <w:shd w:val="clear" w:color="auto" w:fill="FFFFFF" w:themeFill="background1"/>
            <w:noWrap/>
            <w:vAlign w:val="center"/>
            <w:hideMark/>
          </w:tcPr>
          <w:p w14:paraId="00BEF6C3" w14:textId="77777777" w:rsidR="00D71893" w:rsidRPr="00BE5E11" w:rsidRDefault="00D71893"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3.10</w:t>
            </w:r>
          </w:p>
        </w:tc>
      </w:tr>
    </w:tbl>
    <w:p w14:paraId="371C7693" w14:textId="77777777" w:rsidR="00F15C0B" w:rsidRPr="00BE5E11" w:rsidRDefault="00F15C0B" w:rsidP="008556F9">
      <w:pPr>
        <w:pStyle w:val="NormalWeb"/>
        <w:jc w:val="both"/>
        <w:rPr>
          <w:b/>
          <w:bCs/>
        </w:rPr>
      </w:pPr>
      <w:bookmarkStart w:id="2" w:name="_Toc220360942"/>
    </w:p>
    <w:p w14:paraId="7A5B3C98" w14:textId="3E8CB585" w:rsidR="00FA4AF1" w:rsidRPr="00BE5E11" w:rsidRDefault="005540BE" w:rsidP="008556F9">
      <w:pPr>
        <w:pStyle w:val="NormalWeb"/>
        <w:jc w:val="both"/>
        <w:rPr>
          <w:b/>
          <w:bCs/>
        </w:rPr>
      </w:pPr>
      <w:r w:rsidRPr="00BE5E11">
        <w:rPr>
          <w:b/>
          <w:bCs/>
        </w:rPr>
        <w:t>Accessibility, perceived quality and service performance (Table 2)</w:t>
      </w:r>
    </w:p>
    <w:p w14:paraId="6E54B894" w14:textId="6DBBA224" w:rsidR="005540BE" w:rsidRPr="00BE5E11" w:rsidRDefault="005540BE" w:rsidP="008556F9">
      <w:pPr>
        <w:pStyle w:val="NormalWeb"/>
        <w:jc w:val="both"/>
      </w:pPr>
      <w:r w:rsidRPr="00BE5E11">
        <w:lastRenderedPageBreak/>
        <w:t xml:space="preserve">The evaluation of the logistics component reveals that the availability of supplies remains a major challenge, with 62.86% of key stakeholders and beneficiaries reporting a consistent supply of medications at community health centers (CHCs). Conversely, affordability is </w:t>
      </w:r>
      <w:proofErr w:type="gramStart"/>
      <w:r w:rsidRPr="00BE5E11">
        <w:t>a strength</w:t>
      </w:r>
      <w:proofErr w:type="gramEnd"/>
      <w:r w:rsidRPr="00BE5E11">
        <w:t xml:space="preserve"> of the strategy; consultation fees and the cost of medications were deemed acceptable by 81.30% and 86.75% of users, respectively.</w:t>
      </w:r>
    </w:p>
    <w:p w14:paraId="2006E032" w14:textId="55909DCE" w:rsidR="005540BE" w:rsidRPr="00BE5E11" w:rsidRDefault="005540BE" w:rsidP="008556F9">
      <w:pPr>
        <w:pStyle w:val="NormalWeb"/>
        <w:jc w:val="both"/>
      </w:pPr>
      <w:r w:rsidRPr="00BE5E11">
        <w:t>In terms of overall satisfaction, the services offered by community health workers (CHWs) enjoy strong public support, with 97.92% positive opinions (66.75% "very satisfied" and 31.17% "satisfied"). Finally, adherence to the care protocol is considered satisfactory, with 67.23% of key stakeholders believing that the package of activities assigned to the workers is fully implemented in the field.</w:t>
      </w:r>
    </w:p>
    <w:p w14:paraId="1CC969E3" w14:textId="3360B4DA" w:rsidR="00A00376" w:rsidRPr="00BE5E11" w:rsidRDefault="00A00376" w:rsidP="008556F9">
      <w:pPr>
        <w:spacing w:before="240" w:after="240" w:line="240" w:lineRule="auto"/>
        <w:jc w:val="both"/>
        <w:rPr>
          <w:rFonts w:ascii="Times New Roman" w:hAnsi="Times New Roman"/>
          <w:sz w:val="24"/>
          <w:szCs w:val="24"/>
        </w:rPr>
      </w:pPr>
      <w:r w:rsidRPr="00BE5E11">
        <w:rPr>
          <w:rFonts w:ascii="Times New Roman" w:hAnsi="Times New Roman"/>
          <w:b/>
          <w:bCs/>
          <w:sz w:val="24"/>
          <w:szCs w:val="24"/>
        </w:rPr>
        <w:t xml:space="preserve">Table 2: </w:t>
      </w:r>
      <w:r w:rsidRPr="00BE5E11">
        <w:rPr>
          <w:rFonts w:ascii="Times New Roman" w:hAnsi="Times New Roman"/>
          <w:sz w:val="24"/>
          <w:szCs w:val="24"/>
        </w:rPr>
        <w:t>The opinion of stakeholders and users on the service provided by the ASCs</w:t>
      </w:r>
      <w:bookmarkEnd w:id="2"/>
    </w:p>
    <w:tbl>
      <w:tblPr>
        <w:tblW w:w="5000" w:type="pct"/>
        <w:shd w:val="clear" w:color="auto" w:fill="FFFFFF" w:themeFill="background1"/>
        <w:tblCellMar>
          <w:left w:w="70" w:type="dxa"/>
          <w:right w:w="70" w:type="dxa"/>
        </w:tblCellMar>
        <w:tblLook w:val="04A0" w:firstRow="1" w:lastRow="0" w:firstColumn="1" w:lastColumn="0" w:noHBand="0" w:noVBand="1"/>
      </w:tblPr>
      <w:tblGrid>
        <w:gridCol w:w="6192"/>
        <w:gridCol w:w="2317"/>
        <w:gridCol w:w="2289"/>
      </w:tblGrid>
      <w:tr w:rsidR="00A00376" w:rsidRPr="00BE5E11" w14:paraId="47D425DB" w14:textId="77777777" w:rsidTr="00FE5131">
        <w:trPr>
          <w:trHeight w:val="561"/>
        </w:trPr>
        <w:tc>
          <w:tcPr>
            <w:tcW w:w="2867" w:type="pct"/>
            <w:tcBorders>
              <w:top w:val="thinThickSmallGap" w:sz="24" w:space="0" w:color="auto"/>
              <w:left w:val="nil"/>
              <w:bottom w:val="thickThinSmallGap" w:sz="24" w:space="0" w:color="auto"/>
              <w:right w:val="nil"/>
            </w:tcBorders>
            <w:shd w:val="clear" w:color="auto" w:fill="FFFFFF" w:themeFill="background1"/>
            <w:noWrap/>
            <w:vAlign w:val="center"/>
            <w:hideMark/>
          </w:tcPr>
          <w:p w14:paraId="75EFF165" w14:textId="77777777" w:rsidR="00A00376" w:rsidRPr="00BE5E11" w:rsidRDefault="00A00376"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Variables</w:t>
            </w:r>
          </w:p>
        </w:tc>
        <w:tc>
          <w:tcPr>
            <w:tcW w:w="1073" w:type="pct"/>
            <w:tcBorders>
              <w:top w:val="thinThickSmallGap" w:sz="24" w:space="0" w:color="auto"/>
              <w:left w:val="nil"/>
              <w:bottom w:val="thickThinSmallGap" w:sz="24" w:space="0" w:color="auto"/>
              <w:right w:val="nil"/>
            </w:tcBorders>
            <w:shd w:val="clear" w:color="auto" w:fill="FFFFFF" w:themeFill="background1"/>
            <w:noWrap/>
            <w:vAlign w:val="center"/>
            <w:hideMark/>
          </w:tcPr>
          <w:p w14:paraId="110C97EB" w14:textId="77777777" w:rsidR="00A00376" w:rsidRPr="00BE5E11" w:rsidRDefault="00A00376"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Effective</w:t>
            </w:r>
          </w:p>
          <w:p w14:paraId="2B2CDF53" w14:textId="77777777" w:rsidR="00A00376" w:rsidRPr="00BE5E11" w:rsidRDefault="00A00376"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n</w:t>
            </w:r>
          </w:p>
        </w:tc>
        <w:tc>
          <w:tcPr>
            <w:tcW w:w="1060" w:type="pct"/>
            <w:tcBorders>
              <w:top w:val="thinThickSmallGap" w:sz="24" w:space="0" w:color="auto"/>
              <w:left w:val="nil"/>
              <w:bottom w:val="thickThinSmallGap" w:sz="24" w:space="0" w:color="auto"/>
              <w:right w:val="nil"/>
            </w:tcBorders>
            <w:shd w:val="clear" w:color="auto" w:fill="FFFFFF" w:themeFill="background1"/>
            <w:noWrap/>
            <w:vAlign w:val="center"/>
            <w:hideMark/>
          </w:tcPr>
          <w:p w14:paraId="73803B88" w14:textId="77777777" w:rsidR="00A00376" w:rsidRPr="00BE5E11" w:rsidRDefault="00A00376"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Proportion</w:t>
            </w:r>
          </w:p>
          <w:p w14:paraId="1978BC15" w14:textId="77777777" w:rsidR="00A00376" w:rsidRPr="00BE5E11" w:rsidRDefault="00A00376"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w:t>
            </w:r>
          </w:p>
        </w:tc>
      </w:tr>
      <w:tr w:rsidR="00A00376" w:rsidRPr="00BE5E11" w14:paraId="5FAFC0FA" w14:textId="77777777" w:rsidTr="00FE5131">
        <w:trPr>
          <w:trHeight w:val="310"/>
        </w:trPr>
        <w:tc>
          <w:tcPr>
            <w:tcW w:w="5000" w:type="pct"/>
            <w:gridSpan w:val="3"/>
            <w:tcBorders>
              <w:top w:val="nil"/>
              <w:left w:val="nil"/>
              <w:bottom w:val="nil"/>
              <w:right w:val="single" w:sz="4" w:space="0" w:color="E0E0E0"/>
            </w:tcBorders>
            <w:shd w:val="clear" w:color="auto" w:fill="FFFFFF" w:themeFill="background1"/>
            <w:vAlign w:val="center"/>
            <w:hideMark/>
          </w:tcPr>
          <w:p w14:paraId="30BD0D30" w14:textId="77777777" w:rsidR="00A00376" w:rsidRPr="00BE5E11" w:rsidRDefault="00A00376"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Drug availability at the ASC website</w:t>
            </w:r>
          </w:p>
        </w:tc>
      </w:tr>
      <w:tr w:rsidR="00A00376" w:rsidRPr="00BE5E11" w14:paraId="2789F94D" w14:textId="77777777" w:rsidTr="00FE5131">
        <w:trPr>
          <w:trHeight w:val="310"/>
        </w:trPr>
        <w:tc>
          <w:tcPr>
            <w:tcW w:w="2867" w:type="pct"/>
            <w:tcBorders>
              <w:top w:val="nil"/>
              <w:left w:val="nil"/>
              <w:bottom w:val="nil"/>
              <w:right w:val="nil"/>
            </w:tcBorders>
            <w:shd w:val="clear" w:color="auto" w:fill="FFFFFF" w:themeFill="background1"/>
            <w:noWrap/>
            <w:vAlign w:val="center"/>
            <w:hideMark/>
          </w:tcPr>
          <w:p w14:paraId="748B2F27" w14:textId="77777777" w:rsidR="00A00376" w:rsidRPr="00BE5E11" w:rsidRDefault="00A00376"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Always</w:t>
            </w:r>
          </w:p>
        </w:tc>
        <w:tc>
          <w:tcPr>
            <w:tcW w:w="1073" w:type="pct"/>
            <w:tcBorders>
              <w:left w:val="nil"/>
            </w:tcBorders>
            <w:shd w:val="clear" w:color="auto" w:fill="FFFFFF" w:themeFill="background1"/>
            <w:noWrap/>
            <w:vAlign w:val="center"/>
            <w:hideMark/>
          </w:tcPr>
          <w:p w14:paraId="1A9CE06F" w14:textId="77777777" w:rsidR="00A00376" w:rsidRPr="00BE5E11" w:rsidRDefault="00A00376"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242</w:t>
            </w:r>
          </w:p>
        </w:tc>
        <w:tc>
          <w:tcPr>
            <w:tcW w:w="1060" w:type="pct"/>
            <w:shd w:val="clear" w:color="auto" w:fill="FFFFFF" w:themeFill="background1"/>
            <w:noWrap/>
            <w:vAlign w:val="center"/>
            <w:hideMark/>
          </w:tcPr>
          <w:p w14:paraId="0F5AC025" w14:textId="77777777" w:rsidR="00A00376" w:rsidRPr="00BE5E11" w:rsidRDefault="00A00376"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62.86</w:t>
            </w:r>
          </w:p>
        </w:tc>
      </w:tr>
      <w:tr w:rsidR="00A00376" w:rsidRPr="00BE5E11" w14:paraId="5754A09E" w14:textId="77777777" w:rsidTr="00FE5131">
        <w:trPr>
          <w:trHeight w:val="310"/>
        </w:trPr>
        <w:tc>
          <w:tcPr>
            <w:tcW w:w="2867" w:type="pct"/>
            <w:tcBorders>
              <w:top w:val="nil"/>
              <w:left w:val="nil"/>
              <w:bottom w:val="nil"/>
              <w:right w:val="nil"/>
            </w:tcBorders>
            <w:shd w:val="clear" w:color="auto" w:fill="FFFFFF" w:themeFill="background1"/>
            <w:noWrap/>
            <w:vAlign w:val="center"/>
            <w:hideMark/>
          </w:tcPr>
          <w:p w14:paraId="732DB8BD" w14:textId="77777777" w:rsidR="00A00376" w:rsidRPr="00BE5E11" w:rsidRDefault="00A00376" w:rsidP="008556F9">
            <w:pPr>
              <w:spacing w:after="0" w:line="240" w:lineRule="auto"/>
              <w:jc w:val="both"/>
              <w:rPr>
                <w:rFonts w:ascii="Times New Roman" w:hAnsi="Times New Roman"/>
                <w:sz w:val="24"/>
                <w:szCs w:val="24"/>
              </w:rPr>
            </w:pPr>
            <w:r w:rsidRPr="00BE5E11">
              <w:rPr>
                <w:rFonts w:ascii="Times New Roman" w:hAnsi="Times New Roman"/>
                <w:sz w:val="24"/>
                <w:szCs w:val="24"/>
              </w:rPr>
              <w:t>Often</w:t>
            </w:r>
          </w:p>
        </w:tc>
        <w:tc>
          <w:tcPr>
            <w:tcW w:w="1073" w:type="pct"/>
            <w:tcBorders>
              <w:top w:val="nil"/>
              <w:left w:val="nil"/>
            </w:tcBorders>
            <w:shd w:val="clear" w:color="auto" w:fill="FFFFFF" w:themeFill="background1"/>
            <w:noWrap/>
            <w:vAlign w:val="center"/>
            <w:hideMark/>
          </w:tcPr>
          <w:p w14:paraId="3C152C96" w14:textId="77777777" w:rsidR="00A00376" w:rsidRPr="00BE5E11" w:rsidRDefault="00A00376" w:rsidP="008556F9">
            <w:pPr>
              <w:spacing w:after="0" w:line="240" w:lineRule="auto"/>
              <w:jc w:val="both"/>
              <w:rPr>
                <w:rFonts w:ascii="Times New Roman" w:hAnsi="Times New Roman"/>
                <w:sz w:val="24"/>
                <w:szCs w:val="24"/>
              </w:rPr>
            </w:pPr>
            <w:r w:rsidRPr="00BE5E11">
              <w:rPr>
                <w:rFonts w:ascii="Times New Roman" w:hAnsi="Times New Roman"/>
                <w:sz w:val="24"/>
                <w:szCs w:val="24"/>
              </w:rPr>
              <w:t>103</w:t>
            </w:r>
          </w:p>
        </w:tc>
        <w:tc>
          <w:tcPr>
            <w:tcW w:w="1060" w:type="pct"/>
            <w:tcBorders>
              <w:top w:val="nil"/>
            </w:tcBorders>
            <w:shd w:val="clear" w:color="auto" w:fill="FFFFFF" w:themeFill="background1"/>
            <w:noWrap/>
            <w:vAlign w:val="center"/>
            <w:hideMark/>
          </w:tcPr>
          <w:p w14:paraId="135C4F23" w14:textId="77777777" w:rsidR="00A00376" w:rsidRPr="00BE5E11" w:rsidRDefault="00A00376" w:rsidP="008556F9">
            <w:pPr>
              <w:spacing w:after="0" w:line="240" w:lineRule="auto"/>
              <w:jc w:val="both"/>
              <w:rPr>
                <w:rFonts w:ascii="Times New Roman" w:hAnsi="Times New Roman"/>
                <w:sz w:val="24"/>
                <w:szCs w:val="24"/>
              </w:rPr>
            </w:pPr>
            <w:r w:rsidRPr="00BE5E11">
              <w:rPr>
                <w:rFonts w:ascii="Times New Roman" w:hAnsi="Times New Roman"/>
                <w:sz w:val="24"/>
                <w:szCs w:val="24"/>
              </w:rPr>
              <w:t>26.75</w:t>
            </w:r>
          </w:p>
        </w:tc>
      </w:tr>
      <w:tr w:rsidR="00A00376" w:rsidRPr="00BE5E11" w14:paraId="3D329132" w14:textId="77777777" w:rsidTr="00FE5131">
        <w:trPr>
          <w:trHeight w:val="310"/>
        </w:trPr>
        <w:tc>
          <w:tcPr>
            <w:tcW w:w="2867" w:type="pct"/>
            <w:tcBorders>
              <w:top w:val="nil"/>
              <w:left w:val="nil"/>
              <w:bottom w:val="nil"/>
              <w:right w:val="nil"/>
            </w:tcBorders>
            <w:shd w:val="clear" w:color="auto" w:fill="FFFFFF" w:themeFill="background1"/>
            <w:noWrap/>
            <w:vAlign w:val="center"/>
          </w:tcPr>
          <w:p w14:paraId="64A2C25C" w14:textId="77777777" w:rsidR="00A00376" w:rsidRPr="00BE5E11" w:rsidRDefault="00A00376" w:rsidP="008556F9">
            <w:pPr>
              <w:spacing w:after="0" w:line="240" w:lineRule="auto"/>
              <w:jc w:val="both"/>
              <w:rPr>
                <w:rFonts w:ascii="Times New Roman" w:hAnsi="Times New Roman"/>
                <w:sz w:val="24"/>
                <w:szCs w:val="24"/>
              </w:rPr>
            </w:pPr>
            <w:r w:rsidRPr="00BE5E11">
              <w:rPr>
                <w:rFonts w:ascii="Times New Roman" w:hAnsi="Times New Roman"/>
                <w:sz w:val="24"/>
                <w:szCs w:val="24"/>
              </w:rPr>
              <w:t>Rarely</w:t>
            </w:r>
          </w:p>
        </w:tc>
        <w:tc>
          <w:tcPr>
            <w:tcW w:w="1073" w:type="pct"/>
            <w:tcBorders>
              <w:top w:val="nil"/>
              <w:left w:val="nil"/>
            </w:tcBorders>
            <w:shd w:val="clear" w:color="auto" w:fill="FFFFFF" w:themeFill="background1"/>
            <w:noWrap/>
            <w:vAlign w:val="center"/>
          </w:tcPr>
          <w:p w14:paraId="53073204" w14:textId="77777777" w:rsidR="00A00376" w:rsidRPr="00BE5E11" w:rsidRDefault="00A00376" w:rsidP="008556F9">
            <w:pPr>
              <w:spacing w:after="0" w:line="240" w:lineRule="auto"/>
              <w:jc w:val="both"/>
              <w:rPr>
                <w:rFonts w:ascii="Times New Roman" w:hAnsi="Times New Roman"/>
                <w:sz w:val="24"/>
                <w:szCs w:val="24"/>
              </w:rPr>
            </w:pPr>
            <w:r w:rsidRPr="00BE5E11">
              <w:rPr>
                <w:rFonts w:ascii="Times New Roman" w:hAnsi="Times New Roman"/>
                <w:sz w:val="24"/>
                <w:szCs w:val="24"/>
              </w:rPr>
              <w:t>40</w:t>
            </w:r>
          </w:p>
        </w:tc>
        <w:tc>
          <w:tcPr>
            <w:tcW w:w="1060" w:type="pct"/>
            <w:tcBorders>
              <w:top w:val="nil"/>
            </w:tcBorders>
            <w:shd w:val="clear" w:color="auto" w:fill="FFFFFF" w:themeFill="background1"/>
            <w:noWrap/>
            <w:vAlign w:val="center"/>
          </w:tcPr>
          <w:p w14:paraId="5616A130" w14:textId="77777777" w:rsidR="00A00376" w:rsidRPr="00BE5E11" w:rsidRDefault="00A00376" w:rsidP="008556F9">
            <w:pPr>
              <w:spacing w:after="0" w:line="240" w:lineRule="auto"/>
              <w:jc w:val="both"/>
              <w:rPr>
                <w:rFonts w:ascii="Times New Roman" w:hAnsi="Times New Roman"/>
                <w:sz w:val="24"/>
                <w:szCs w:val="24"/>
              </w:rPr>
            </w:pPr>
            <w:r w:rsidRPr="00BE5E11">
              <w:rPr>
                <w:rFonts w:ascii="Times New Roman" w:hAnsi="Times New Roman"/>
                <w:sz w:val="24"/>
                <w:szCs w:val="24"/>
              </w:rPr>
              <w:t>10.39</w:t>
            </w:r>
          </w:p>
        </w:tc>
      </w:tr>
      <w:tr w:rsidR="00A00376" w:rsidRPr="00BE5E11" w14:paraId="03D2309D" w14:textId="77777777" w:rsidTr="00FE5131">
        <w:trPr>
          <w:trHeight w:val="310"/>
        </w:trPr>
        <w:tc>
          <w:tcPr>
            <w:tcW w:w="5000" w:type="pct"/>
            <w:gridSpan w:val="3"/>
            <w:tcBorders>
              <w:top w:val="nil"/>
              <w:left w:val="nil"/>
              <w:bottom w:val="nil"/>
            </w:tcBorders>
            <w:shd w:val="clear" w:color="auto" w:fill="FFFFFF" w:themeFill="background1"/>
            <w:vAlign w:val="center"/>
            <w:hideMark/>
          </w:tcPr>
          <w:p w14:paraId="57F8EE13" w14:textId="77777777" w:rsidR="00A00376" w:rsidRPr="00BE5E11" w:rsidRDefault="00A00376"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Opinion on the consultation fee</w:t>
            </w:r>
          </w:p>
        </w:tc>
      </w:tr>
      <w:tr w:rsidR="00A00376" w:rsidRPr="00BE5E11" w14:paraId="4C04598F" w14:textId="77777777" w:rsidTr="00FE5131">
        <w:trPr>
          <w:trHeight w:val="310"/>
        </w:trPr>
        <w:tc>
          <w:tcPr>
            <w:tcW w:w="2867" w:type="pct"/>
            <w:tcBorders>
              <w:top w:val="nil"/>
              <w:left w:val="nil"/>
              <w:bottom w:val="nil"/>
              <w:right w:val="nil"/>
            </w:tcBorders>
            <w:shd w:val="clear" w:color="auto" w:fill="FFFFFF" w:themeFill="background1"/>
            <w:noWrap/>
            <w:vAlign w:val="center"/>
            <w:hideMark/>
          </w:tcPr>
          <w:p w14:paraId="319FA51E" w14:textId="77777777" w:rsidR="00A00376" w:rsidRPr="00BE5E11" w:rsidRDefault="00A00376"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Acceptable</w:t>
            </w:r>
          </w:p>
        </w:tc>
        <w:tc>
          <w:tcPr>
            <w:tcW w:w="1073" w:type="pct"/>
            <w:tcBorders>
              <w:left w:val="nil"/>
            </w:tcBorders>
            <w:shd w:val="clear" w:color="auto" w:fill="FFFFFF" w:themeFill="background1"/>
            <w:noWrap/>
            <w:vAlign w:val="center"/>
            <w:hideMark/>
          </w:tcPr>
          <w:p w14:paraId="548E3E92" w14:textId="77777777" w:rsidR="00A00376" w:rsidRPr="00BE5E11" w:rsidRDefault="00A00376"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313</w:t>
            </w:r>
          </w:p>
        </w:tc>
        <w:tc>
          <w:tcPr>
            <w:tcW w:w="1060" w:type="pct"/>
            <w:shd w:val="clear" w:color="auto" w:fill="FFFFFF" w:themeFill="background1"/>
            <w:noWrap/>
            <w:vAlign w:val="center"/>
            <w:hideMark/>
          </w:tcPr>
          <w:p w14:paraId="70035C99" w14:textId="77777777" w:rsidR="00A00376" w:rsidRPr="00BE5E11" w:rsidRDefault="00A00376"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81.30</w:t>
            </w:r>
          </w:p>
        </w:tc>
      </w:tr>
      <w:tr w:rsidR="00A00376" w:rsidRPr="00BE5E11" w14:paraId="51BEF4B0" w14:textId="77777777" w:rsidTr="00FE5131">
        <w:trPr>
          <w:trHeight w:val="310"/>
        </w:trPr>
        <w:tc>
          <w:tcPr>
            <w:tcW w:w="2867" w:type="pct"/>
            <w:tcBorders>
              <w:top w:val="nil"/>
              <w:left w:val="nil"/>
              <w:bottom w:val="nil"/>
              <w:right w:val="nil"/>
            </w:tcBorders>
            <w:shd w:val="clear" w:color="auto" w:fill="FFFFFF" w:themeFill="background1"/>
            <w:noWrap/>
            <w:vAlign w:val="center"/>
            <w:hideMark/>
          </w:tcPr>
          <w:p w14:paraId="5DECA614" w14:textId="77777777" w:rsidR="00A00376" w:rsidRPr="00BE5E11" w:rsidRDefault="00A00376" w:rsidP="008556F9">
            <w:pPr>
              <w:spacing w:after="0" w:line="240" w:lineRule="auto"/>
              <w:jc w:val="both"/>
              <w:rPr>
                <w:rFonts w:ascii="Times New Roman" w:hAnsi="Times New Roman"/>
                <w:sz w:val="24"/>
                <w:szCs w:val="24"/>
              </w:rPr>
            </w:pPr>
            <w:r w:rsidRPr="00BE5E11">
              <w:rPr>
                <w:rFonts w:ascii="Times New Roman" w:hAnsi="Times New Roman"/>
                <w:sz w:val="24"/>
                <w:szCs w:val="24"/>
              </w:rPr>
              <w:t>Dear</w:t>
            </w:r>
          </w:p>
        </w:tc>
        <w:tc>
          <w:tcPr>
            <w:tcW w:w="1073" w:type="pct"/>
            <w:tcBorders>
              <w:top w:val="nil"/>
              <w:left w:val="nil"/>
            </w:tcBorders>
            <w:shd w:val="clear" w:color="auto" w:fill="FFFFFF" w:themeFill="background1"/>
            <w:noWrap/>
            <w:vAlign w:val="center"/>
            <w:hideMark/>
          </w:tcPr>
          <w:p w14:paraId="5AAC3304" w14:textId="77777777" w:rsidR="00A00376" w:rsidRPr="00BE5E11" w:rsidRDefault="00A00376" w:rsidP="008556F9">
            <w:pPr>
              <w:spacing w:after="0" w:line="240" w:lineRule="auto"/>
              <w:jc w:val="both"/>
              <w:rPr>
                <w:rFonts w:ascii="Times New Roman" w:hAnsi="Times New Roman"/>
                <w:sz w:val="24"/>
                <w:szCs w:val="24"/>
              </w:rPr>
            </w:pPr>
            <w:r w:rsidRPr="00BE5E11">
              <w:rPr>
                <w:rFonts w:ascii="Times New Roman" w:hAnsi="Times New Roman"/>
                <w:sz w:val="24"/>
                <w:szCs w:val="24"/>
              </w:rPr>
              <w:t>2</w:t>
            </w:r>
          </w:p>
        </w:tc>
        <w:tc>
          <w:tcPr>
            <w:tcW w:w="1060" w:type="pct"/>
            <w:tcBorders>
              <w:top w:val="nil"/>
            </w:tcBorders>
            <w:shd w:val="clear" w:color="auto" w:fill="FFFFFF" w:themeFill="background1"/>
            <w:noWrap/>
            <w:vAlign w:val="center"/>
            <w:hideMark/>
          </w:tcPr>
          <w:p w14:paraId="1B2E13EC" w14:textId="77777777" w:rsidR="00A00376" w:rsidRPr="00BE5E11" w:rsidRDefault="00A00376" w:rsidP="008556F9">
            <w:pPr>
              <w:spacing w:after="0" w:line="240" w:lineRule="auto"/>
              <w:jc w:val="both"/>
              <w:rPr>
                <w:rFonts w:ascii="Times New Roman" w:hAnsi="Times New Roman"/>
                <w:sz w:val="24"/>
                <w:szCs w:val="24"/>
              </w:rPr>
            </w:pPr>
            <w:r w:rsidRPr="00BE5E11">
              <w:rPr>
                <w:rFonts w:ascii="Times New Roman" w:hAnsi="Times New Roman"/>
                <w:sz w:val="24"/>
                <w:szCs w:val="24"/>
              </w:rPr>
              <w:t>0.52</w:t>
            </w:r>
          </w:p>
        </w:tc>
      </w:tr>
      <w:tr w:rsidR="00A00376" w:rsidRPr="00BE5E11" w14:paraId="2D532272" w14:textId="77777777" w:rsidTr="00FE5131">
        <w:trPr>
          <w:trHeight w:val="310"/>
        </w:trPr>
        <w:tc>
          <w:tcPr>
            <w:tcW w:w="2867" w:type="pct"/>
            <w:tcBorders>
              <w:top w:val="nil"/>
              <w:left w:val="nil"/>
              <w:bottom w:val="nil"/>
              <w:right w:val="nil"/>
            </w:tcBorders>
            <w:shd w:val="clear" w:color="auto" w:fill="FFFFFF" w:themeFill="background1"/>
            <w:noWrap/>
            <w:vAlign w:val="center"/>
            <w:hideMark/>
          </w:tcPr>
          <w:p w14:paraId="25BDE75F" w14:textId="77777777" w:rsidR="00A00376" w:rsidRPr="00BE5E11" w:rsidRDefault="00A00376" w:rsidP="008556F9">
            <w:pPr>
              <w:spacing w:after="0" w:line="240" w:lineRule="auto"/>
              <w:jc w:val="both"/>
              <w:rPr>
                <w:rFonts w:ascii="Times New Roman" w:hAnsi="Times New Roman"/>
                <w:b/>
                <w:bCs/>
                <w:sz w:val="24"/>
                <w:szCs w:val="24"/>
              </w:rPr>
            </w:pPr>
            <w:r w:rsidRPr="00BE5E11">
              <w:rPr>
                <w:rFonts w:ascii="Times New Roman" w:hAnsi="Times New Roman"/>
                <w:sz w:val="24"/>
                <w:szCs w:val="24"/>
              </w:rPr>
              <w:t>No Opinion</w:t>
            </w:r>
          </w:p>
        </w:tc>
        <w:tc>
          <w:tcPr>
            <w:tcW w:w="1073" w:type="pct"/>
            <w:tcBorders>
              <w:top w:val="nil"/>
              <w:left w:val="nil"/>
            </w:tcBorders>
            <w:shd w:val="clear" w:color="auto" w:fill="FFFFFF" w:themeFill="background1"/>
            <w:noWrap/>
            <w:vAlign w:val="center"/>
            <w:hideMark/>
          </w:tcPr>
          <w:p w14:paraId="0161DC6A" w14:textId="77777777" w:rsidR="00A00376" w:rsidRPr="00BE5E11" w:rsidRDefault="00A00376" w:rsidP="008556F9">
            <w:pPr>
              <w:spacing w:after="0" w:line="240" w:lineRule="auto"/>
              <w:jc w:val="both"/>
              <w:rPr>
                <w:rFonts w:ascii="Times New Roman" w:hAnsi="Times New Roman"/>
                <w:b/>
                <w:bCs/>
                <w:sz w:val="24"/>
                <w:szCs w:val="24"/>
              </w:rPr>
            </w:pPr>
            <w:r w:rsidRPr="00BE5E11">
              <w:rPr>
                <w:rFonts w:ascii="Times New Roman" w:hAnsi="Times New Roman"/>
                <w:sz w:val="24"/>
                <w:szCs w:val="24"/>
              </w:rPr>
              <w:t>69</w:t>
            </w:r>
          </w:p>
        </w:tc>
        <w:tc>
          <w:tcPr>
            <w:tcW w:w="1060" w:type="pct"/>
            <w:tcBorders>
              <w:top w:val="nil"/>
            </w:tcBorders>
            <w:shd w:val="clear" w:color="auto" w:fill="FFFFFF" w:themeFill="background1"/>
            <w:noWrap/>
            <w:vAlign w:val="center"/>
            <w:hideMark/>
          </w:tcPr>
          <w:p w14:paraId="22518B20" w14:textId="77777777" w:rsidR="00A00376" w:rsidRPr="00BE5E11" w:rsidRDefault="00A00376" w:rsidP="008556F9">
            <w:pPr>
              <w:spacing w:after="0" w:line="240" w:lineRule="auto"/>
              <w:jc w:val="both"/>
              <w:rPr>
                <w:rFonts w:ascii="Times New Roman" w:hAnsi="Times New Roman"/>
                <w:b/>
                <w:bCs/>
                <w:sz w:val="24"/>
                <w:szCs w:val="24"/>
              </w:rPr>
            </w:pPr>
            <w:r w:rsidRPr="00BE5E11">
              <w:rPr>
                <w:rFonts w:ascii="Times New Roman" w:hAnsi="Times New Roman"/>
                <w:sz w:val="24"/>
                <w:szCs w:val="24"/>
              </w:rPr>
              <w:t>17.92</w:t>
            </w:r>
          </w:p>
        </w:tc>
      </w:tr>
      <w:tr w:rsidR="00A00376" w:rsidRPr="00BE5E11" w14:paraId="361D1A69" w14:textId="77777777" w:rsidTr="00FE5131">
        <w:trPr>
          <w:trHeight w:val="310"/>
        </w:trPr>
        <w:tc>
          <w:tcPr>
            <w:tcW w:w="5000" w:type="pct"/>
            <w:gridSpan w:val="3"/>
            <w:tcBorders>
              <w:top w:val="nil"/>
              <w:left w:val="nil"/>
              <w:bottom w:val="nil"/>
            </w:tcBorders>
            <w:shd w:val="clear" w:color="auto" w:fill="FFFFFF" w:themeFill="background1"/>
            <w:vAlign w:val="center"/>
            <w:hideMark/>
          </w:tcPr>
          <w:p w14:paraId="695D29E5" w14:textId="77777777" w:rsidR="00A00376" w:rsidRPr="00BE5E11" w:rsidRDefault="00A00376"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Opinion on the cost of medicines</w:t>
            </w:r>
          </w:p>
        </w:tc>
      </w:tr>
      <w:tr w:rsidR="00A00376" w:rsidRPr="00BE5E11" w14:paraId="18DFF9BC" w14:textId="77777777" w:rsidTr="00FE5131">
        <w:trPr>
          <w:trHeight w:val="310"/>
        </w:trPr>
        <w:tc>
          <w:tcPr>
            <w:tcW w:w="2867" w:type="pct"/>
            <w:tcBorders>
              <w:top w:val="nil"/>
              <w:left w:val="nil"/>
              <w:bottom w:val="nil"/>
              <w:right w:val="nil"/>
            </w:tcBorders>
            <w:shd w:val="clear" w:color="auto" w:fill="FFFFFF" w:themeFill="background1"/>
            <w:noWrap/>
            <w:vAlign w:val="center"/>
            <w:hideMark/>
          </w:tcPr>
          <w:p w14:paraId="158AF2A2" w14:textId="77777777" w:rsidR="00A00376" w:rsidRPr="00BE5E11" w:rsidRDefault="00A00376"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Acceptable</w:t>
            </w:r>
          </w:p>
        </w:tc>
        <w:tc>
          <w:tcPr>
            <w:tcW w:w="1073" w:type="pct"/>
            <w:tcBorders>
              <w:left w:val="nil"/>
            </w:tcBorders>
            <w:shd w:val="clear" w:color="auto" w:fill="FFFFFF" w:themeFill="background1"/>
            <w:noWrap/>
            <w:vAlign w:val="center"/>
            <w:hideMark/>
          </w:tcPr>
          <w:p w14:paraId="0E8AE514" w14:textId="77777777" w:rsidR="00A00376" w:rsidRPr="00BE5E11" w:rsidRDefault="00A00376"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334</w:t>
            </w:r>
          </w:p>
        </w:tc>
        <w:tc>
          <w:tcPr>
            <w:tcW w:w="1060" w:type="pct"/>
            <w:shd w:val="clear" w:color="auto" w:fill="FFFFFF" w:themeFill="background1"/>
            <w:noWrap/>
            <w:vAlign w:val="center"/>
            <w:hideMark/>
          </w:tcPr>
          <w:p w14:paraId="0182FAE6" w14:textId="77777777" w:rsidR="00A00376" w:rsidRPr="00BE5E11" w:rsidRDefault="00A00376"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86.75</w:t>
            </w:r>
          </w:p>
        </w:tc>
      </w:tr>
      <w:tr w:rsidR="00A00376" w:rsidRPr="00BE5E11" w14:paraId="6E950425" w14:textId="77777777" w:rsidTr="00FE5131">
        <w:trPr>
          <w:trHeight w:val="310"/>
        </w:trPr>
        <w:tc>
          <w:tcPr>
            <w:tcW w:w="2867" w:type="pct"/>
            <w:tcBorders>
              <w:top w:val="nil"/>
              <w:left w:val="nil"/>
              <w:bottom w:val="nil"/>
              <w:right w:val="nil"/>
            </w:tcBorders>
            <w:shd w:val="clear" w:color="auto" w:fill="FFFFFF" w:themeFill="background1"/>
            <w:noWrap/>
            <w:vAlign w:val="center"/>
            <w:hideMark/>
          </w:tcPr>
          <w:p w14:paraId="637C7345" w14:textId="77777777" w:rsidR="00A00376" w:rsidRPr="00BE5E11" w:rsidRDefault="00A00376" w:rsidP="008556F9">
            <w:pPr>
              <w:spacing w:after="0" w:line="240" w:lineRule="auto"/>
              <w:jc w:val="both"/>
              <w:rPr>
                <w:rFonts w:ascii="Times New Roman" w:hAnsi="Times New Roman"/>
                <w:sz w:val="24"/>
                <w:szCs w:val="24"/>
              </w:rPr>
            </w:pPr>
            <w:r w:rsidRPr="00BE5E11">
              <w:rPr>
                <w:rFonts w:ascii="Times New Roman" w:hAnsi="Times New Roman"/>
                <w:sz w:val="24"/>
                <w:szCs w:val="24"/>
              </w:rPr>
              <w:t>Dear</w:t>
            </w:r>
          </w:p>
        </w:tc>
        <w:tc>
          <w:tcPr>
            <w:tcW w:w="1073" w:type="pct"/>
            <w:tcBorders>
              <w:top w:val="nil"/>
              <w:left w:val="nil"/>
            </w:tcBorders>
            <w:shd w:val="clear" w:color="auto" w:fill="FFFFFF" w:themeFill="background1"/>
            <w:noWrap/>
            <w:vAlign w:val="center"/>
            <w:hideMark/>
          </w:tcPr>
          <w:p w14:paraId="385EF878" w14:textId="77777777" w:rsidR="00A00376" w:rsidRPr="00BE5E11" w:rsidRDefault="00A00376" w:rsidP="008556F9">
            <w:pPr>
              <w:spacing w:after="0" w:line="240" w:lineRule="auto"/>
              <w:jc w:val="both"/>
              <w:rPr>
                <w:rFonts w:ascii="Times New Roman" w:hAnsi="Times New Roman"/>
                <w:sz w:val="24"/>
                <w:szCs w:val="24"/>
              </w:rPr>
            </w:pPr>
            <w:r w:rsidRPr="00BE5E11">
              <w:rPr>
                <w:rFonts w:ascii="Times New Roman" w:hAnsi="Times New Roman"/>
                <w:sz w:val="24"/>
                <w:szCs w:val="24"/>
              </w:rPr>
              <w:t>5</w:t>
            </w:r>
          </w:p>
        </w:tc>
        <w:tc>
          <w:tcPr>
            <w:tcW w:w="1060" w:type="pct"/>
            <w:tcBorders>
              <w:top w:val="nil"/>
            </w:tcBorders>
            <w:shd w:val="clear" w:color="auto" w:fill="FFFFFF" w:themeFill="background1"/>
            <w:noWrap/>
            <w:vAlign w:val="center"/>
            <w:hideMark/>
          </w:tcPr>
          <w:p w14:paraId="2E6EE006" w14:textId="77777777" w:rsidR="00A00376" w:rsidRPr="00BE5E11" w:rsidRDefault="00A00376" w:rsidP="008556F9">
            <w:pPr>
              <w:spacing w:after="0" w:line="240" w:lineRule="auto"/>
              <w:jc w:val="both"/>
              <w:rPr>
                <w:rFonts w:ascii="Times New Roman" w:hAnsi="Times New Roman"/>
                <w:sz w:val="24"/>
                <w:szCs w:val="24"/>
              </w:rPr>
            </w:pPr>
            <w:r w:rsidRPr="00BE5E11">
              <w:rPr>
                <w:rFonts w:ascii="Times New Roman" w:hAnsi="Times New Roman"/>
                <w:sz w:val="24"/>
                <w:szCs w:val="24"/>
              </w:rPr>
              <w:t>1.30</w:t>
            </w:r>
          </w:p>
        </w:tc>
      </w:tr>
      <w:tr w:rsidR="00A00376" w:rsidRPr="00BE5E11" w14:paraId="1DE95472" w14:textId="77777777" w:rsidTr="00FE5131">
        <w:trPr>
          <w:trHeight w:val="310"/>
        </w:trPr>
        <w:tc>
          <w:tcPr>
            <w:tcW w:w="2867" w:type="pct"/>
            <w:tcBorders>
              <w:top w:val="nil"/>
              <w:left w:val="nil"/>
              <w:bottom w:val="nil"/>
              <w:right w:val="nil"/>
            </w:tcBorders>
            <w:shd w:val="clear" w:color="auto" w:fill="FFFFFF" w:themeFill="background1"/>
            <w:noWrap/>
            <w:vAlign w:val="center"/>
            <w:hideMark/>
          </w:tcPr>
          <w:p w14:paraId="65CCE198" w14:textId="77777777" w:rsidR="00A00376" w:rsidRPr="00BE5E11" w:rsidRDefault="00A00376" w:rsidP="008556F9">
            <w:pPr>
              <w:spacing w:after="0" w:line="240" w:lineRule="auto"/>
              <w:jc w:val="both"/>
              <w:rPr>
                <w:rFonts w:ascii="Times New Roman" w:hAnsi="Times New Roman"/>
                <w:sz w:val="24"/>
                <w:szCs w:val="24"/>
              </w:rPr>
            </w:pPr>
            <w:r w:rsidRPr="00BE5E11">
              <w:rPr>
                <w:rFonts w:ascii="Times New Roman" w:hAnsi="Times New Roman"/>
                <w:sz w:val="24"/>
                <w:szCs w:val="24"/>
              </w:rPr>
              <w:t>No Opinion</w:t>
            </w:r>
          </w:p>
        </w:tc>
        <w:tc>
          <w:tcPr>
            <w:tcW w:w="1073" w:type="pct"/>
            <w:tcBorders>
              <w:top w:val="nil"/>
              <w:left w:val="nil"/>
            </w:tcBorders>
            <w:shd w:val="clear" w:color="auto" w:fill="FFFFFF" w:themeFill="background1"/>
            <w:noWrap/>
            <w:vAlign w:val="center"/>
            <w:hideMark/>
          </w:tcPr>
          <w:p w14:paraId="7FF7829F" w14:textId="77777777" w:rsidR="00A00376" w:rsidRPr="00BE5E11" w:rsidRDefault="00A00376" w:rsidP="008556F9">
            <w:pPr>
              <w:spacing w:after="0" w:line="240" w:lineRule="auto"/>
              <w:jc w:val="both"/>
              <w:rPr>
                <w:rFonts w:ascii="Times New Roman" w:hAnsi="Times New Roman"/>
                <w:sz w:val="24"/>
                <w:szCs w:val="24"/>
              </w:rPr>
            </w:pPr>
            <w:r w:rsidRPr="00BE5E11">
              <w:rPr>
                <w:rFonts w:ascii="Times New Roman" w:hAnsi="Times New Roman"/>
                <w:sz w:val="24"/>
                <w:szCs w:val="24"/>
              </w:rPr>
              <w:t>46</w:t>
            </w:r>
          </w:p>
        </w:tc>
        <w:tc>
          <w:tcPr>
            <w:tcW w:w="1060" w:type="pct"/>
            <w:tcBorders>
              <w:top w:val="nil"/>
            </w:tcBorders>
            <w:shd w:val="clear" w:color="auto" w:fill="FFFFFF" w:themeFill="background1"/>
            <w:noWrap/>
            <w:vAlign w:val="center"/>
            <w:hideMark/>
          </w:tcPr>
          <w:p w14:paraId="555AF802" w14:textId="77777777" w:rsidR="00A00376" w:rsidRPr="00BE5E11" w:rsidRDefault="00A00376" w:rsidP="008556F9">
            <w:pPr>
              <w:spacing w:after="0" w:line="240" w:lineRule="auto"/>
              <w:jc w:val="both"/>
              <w:rPr>
                <w:rFonts w:ascii="Times New Roman" w:hAnsi="Times New Roman"/>
                <w:sz w:val="24"/>
                <w:szCs w:val="24"/>
              </w:rPr>
            </w:pPr>
            <w:r w:rsidRPr="00BE5E11">
              <w:rPr>
                <w:rFonts w:ascii="Times New Roman" w:hAnsi="Times New Roman"/>
                <w:sz w:val="24"/>
                <w:szCs w:val="24"/>
              </w:rPr>
              <w:t>11.95</w:t>
            </w:r>
          </w:p>
        </w:tc>
      </w:tr>
      <w:tr w:rsidR="00A00376" w:rsidRPr="00BE5E11" w14:paraId="50A781CB" w14:textId="77777777" w:rsidTr="00FE5131">
        <w:trPr>
          <w:trHeight w:val="310"/>
        </w:trPr>
        <w:tc>
          <w:tcPr>
            <w:tcW w:w="5000" w:type="pct"/>
            <w:gridSpan w:val="3"/>
            <w:tcBorders>
              <w:top w:val="nil"/>
              <w:left w:val="nil"/>
              <w:bottom w:val="nil"/>
            </w:tcBorders>
            <w:shd w:val="clear" w:color="auto" w:fill="FFFFFF" w:themeFill="background1"/>
            <w:vAlign w:val="center"/>
            <w:hideMark/>
          </w:tcPr>
          <w:p w14:paraId="1B596C96" w14:textId="77777777" w:rsidR="00A00376" w:rsidRPr="00BE5E11" w:rsidRDefault="00A00376"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Level of satisfaction with the performance of the ASC</w:t>
            </w:r>
          </w:p>
        </w:tc>
      </w:tr>
      <w:tr w:rsidR="00A00376" w:rsidRPr="00BE5E11" w14:paraId="0B702183" w14:textId="77777777" w:rsidTr="00FE5131">
        <w:trPr>
          <w:trHeight w:val="310"/>
        </w:trPr>
        <w:tc>
          <w:tcPr>
            <w:tcW w:w="2867" w:type="pct"/>
            <w:tcBorders>
              <w:top w:val="nil"/>
              <w:left w:val="nil"/>
              <w:bottom w:val="nil"/>
              <w:right w:val="nil"/>
            </w:tcBorders>
            <w:shd w:val="clear" w:color="auto" w:fill="FFFFFF" w:themeFill="background1"/>
            <w:noWrap/>
            <w:vAlign w:val="center"/>
          </w:tcPr>
          <w:p w14:paraId="452B37A4" w14:textId="77777777" w:rsidR="00A00376" w:rsidRPr="00BE5E11" w:rsidRDefault="00A00376"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Very satisfied</w:t>
            </w:r>
          </w:p>
        </w:tc>
        <w:tc>
          <w:tcPr>
            <w:tcW w:w="1073" w:type="pct"/>
            <w:tcBorders>
              <w:top w:val="nil"/>
              <w:left w:val="nil"/>
            </w:tcBorders>
            <w:shd w:val="clear" w:color="auto" w:fill="FFFFFF" w:themeFill="background1"/>
            <w:noWrap/>
            <w:vAlign w:val="center"/>
          </w:tcPr>
          <w:p w14:paraId="260261D3" w14:textId="77777777" w:rsidR="00A00376" w:rsidRPr="00BE5E11" w:rsidRDefault="00A00376"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257</w:t>
            </w:r>
          </w:p>
        </w:tc>
        <w:tc>
          <w:tcPr>
            <w:tcW w:w="1060" w:type="pct"/>
            <w:tcBorders>
              <w:top w:val="nil"/>
            </w:tcBorders>
            <w:shd w:val="clear" w:color="auto" w:fill="FFFFFF" w:themeFill="background1"/>
            <w:noWrap/>
            <w:vAlign w:val="center"/>
          </w:tcPr>
          <w:p w14:paraId="446FADEC" w14:textId="77777777" w:rsidR="00A00376" w:rsidRPr="00BE5E11" w:rsidRDefault="00A00376"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66.75</w:t>
            </w:r>
          </w:p>
        </w:tc>
      </w:tr>
      <w:tr w:rsidR="00A00376" w:rsidRPr="00BE5E11" w14:paraId="0B5B1D1B" w14:textId="77777777" w:rsidTr="00FE5131">
        <w:trPr>
          <w:trHeight w:val="310"/>
        </w:trPr>
        <w:tc>
          <w:tcPr>
            <w:tcW w:w="2867" w:type="pct"/>
            <w:tcBorders>
              <w:top w:val="nil"/>
              <w:left w:val="nil"/>
              <w:bottom w:val="nil"/>
              <w:right w:val="nil"/>
            </w:tcBorders>
            <w:shd w:val="clear" w:color="auto" w:fill="FFFFFF" w:themeFill="background1"/>
            <w:noWrap/>
            <w:vAlign w:val="center"/>
          </w:tcPr>
          <w:p w14:paraId="67C24BD8" w14:textId="77777777" w:rsidR="00A00376" w:rsidRPr="00BE5E11" w:rsidRDefault="00A00376" w:rsidP="008556F9">
            <w:pPr>
              <w:spacing w:after="0" w:line="240" w:lineRule="auto"/>
              <w:jc w:val="both"/>
              <w:rPr>
                <w:rFonts w:ascii="Times New Roman" w:hAnsi="Times New Roman"/>
                <w:sz w:val="24"/>
                <w:szCs w:val="24"/>
              </w:rPr>
            </w:pPr>
            <w:r w:rsidRPr="00BE5E11">
              <w:rPr>
                <w:rFonts w:ascii="Times New Roman" w:hAnsi="Times New Roman"/>
                <w:sz w:val="24"/>
                <w:szCs w:val="24"/>
              </w:rPr>
              <w:t>Satisfied</w:t>
            </w:r>
          </w:p>
        </w:tc>
        <w:tc>
          <w:tcPr>
            <w:tcW w:w="1073" w:type="pct"/>
            <w:tcBorders>
              <w:top w:val="nil"/>
              <w:left w:val="nil"/>
            </w:tcBorders>
            <w:shd w:val="clear" w:color="auto" w:fill="FFFFFF" w:themeFill="background1"/>
            <w:noWrap/>
            <w:vAlign w:val="center"/>
          </w:tcPr>
          <w:p w14:paraId="23E49295" w14:textId="77777777" w:rsidR="00A00376" w:rsidRPr="00BE5E11" w:rsidRDefault="00A00376" w:rsidP="008556F9">
            <w:pPr>
              <w:spacing w:after="0" w:line="240" w:lineRule="auto"/>
              <w:jc w:val="both"/>
              <w:rPr>
                <w:rFonts w:ascii="Times New Roman" w:hAnsi="Times New Roman"/>
                <w:sz w:val="24"/>
                <w:szCs w:val="24"/>
              </w:rPr>
            </w:pPr>
            <w:r w:rsidRPr="00BE5E11">
              <w:rPr>
                <w:rFonts w:ascii="Times New Roman" w:hAnsi="Times New Roman"/>
                <w:sz w:val="24"/>
                <w:szCs w:val="24"/>
              </w:rPr>
              <w:t>120</w:t>
            </w:r>
          </w:p>
        </w:tc>
        <w:tc>
          <w:tcPr>
            <w:tcW w:w="1060" w:type="pct"/>
            <w:tcBorders>
              <w:top w:val="nil"/>
            </w:tcBorders>
            <w:shd w:val="clear" w:color="auto" w:fill="FFFFFF" w:themeFill="background1"/>
            <w:noWrap/>
            <w:vAlign w:val="center"/>
          </w:tcPr>
          <w:p w14:paraId="12D8344D" w14:textId="77777777" w:rsidR="00A00376" w:rsidRPr="00BE5E11" w:rsidRDefault="00A00376" w:rsidP="008556F9">
            <w:pPr>
              <w:spacing w:after="0" w:line="240" w:lineRule="auto"/>
              <w:jc w:val="both"/>
              <w:rPr>
                <w:rFonts w:ascii="Times New Roman" w:hAnsi="Times New Roman"/>
                <w:sz w:val="24"/>
                <w:szCs w:val="24"/>
              </w:rPr>
            </w:pPr>
            <w:r w:rsidRPr="00BE5E11">
              <w:rPr>
                <w:rFonts w:ascii="Times New Roman" w:hAnsi="Times New Roman"/>
                <w:sz w:val="24"/>
                <w:szCs w:val="24"/>
              </w:rPr>
              <w:t>31.17</w:t>
            </w:r>
          </w:p>
        </w:tc>
      </w:tr>
      <w:tr w:rsidR="00A00376" w:rsidRPr="00BE5E11" w14:paraId="3F9F172F" w14:textId="77777777" w:rsidTr="00FE5131">
        <w:trPr>
          <w:trHeight w:val="310"/>
        </w:trPr>
        <w:tc>
          <w:tcPr>
            <w:tcW w:w="2867" w:type="pct"/>
            <w:tcBorders>
              <w:top w:val="nil"/>
              <w:left w:val="nil"/>
              <w:bottom w:val="nil"/>
              <w:right w:val="nil"/>
            </w:tcBorders>
            <w:shd w:val="clear" w:color="auto" w:fill="FFFFFF" w:themeFill="background1"/>
            <w:noWrap/>
            <w:vAlign w:val="center"/>
          </w:tcPr>
          <w:p w14:paraId="417851F3" w14:textId="77777777" w:rsidR="00A00376" w:rsidRPr="00BE5E11" w:rsidRDefault="00A00376" w:rsidP="008556F9">
            <w:pPr>
              <w:spacing w:after="0" w:line="240" w:lineRule="auto"/>
              <w:jc w:val="both"/>
              <w:rPr>
                <w:rFonts w:ascii="Times New Roman" w:hAnsi="Times New Roman"/>
                <w:b/>
                <w:bCs/>
                <w:sz w:val="24"/>
                <w:szCs w:val="24"/>
              </w:rPr>
            </w:pPr>
            <w:r w:rsidRPr="00BE5E11">
              <w:rPr>
                <w:rFonts w:ascii="Times New Roman" w:hAnsi="Times New Roman"/>
                <w:sz w:val="24"/>
                <w:szCs w:val="24"/>
              </w:rPr>
              <w:t>Not satisfied</w:t>
            </w:r>
          </w:p>
        </w:tc>
        <w:tc>
          <w:tcPr>
            <w:tcW w:w="1073" w:type="pct"/>
            <w:tcBorders>
              <w:top w:val="nil"/>
              <w:left w:val="nil"/>
            </w:tcBorders>
            <w:shd w:val="clear" w:color="auto" w:fill="FFFFFF" w:themeFill="background1"/>
            <w:noWrap/>
            <w:vAlign w:val="center"/>
          </w:tcPr>
          <w:p w14:paraId="3FECB982" w14:textId="77777777" w:rsidR="00A00376" w:rsidRPr="00BE5E11" w:rsidRDefault="00A00376" w:rsidP="008556F9">
            <w:pPr>
              <w:spacing w:after="0" w:line="240" w:lineRule="auto"/>
              <w:jc w:val="both"/>
              <w:rPr>
                <w:rFonts w:ascii="Times New Roman" w:hAnsi="Times New Roman"/>
                <w:b/>
                <w:bCs/>
                <w:sz w:val="24"/>
                <w:szCs w:val="24"/>
              </w:rPr>
            </w:pPr>
            <w:r w:rsidRPr="00BE5E11">
              <w:rPr>
                <w:rFonts w:ascii="Times New Roman" w:hAnsi="Times New Roman"/>
                <w:sz w:val="24"/>
                <w:szCs w:val="24"/>
              </w:rPr>
              <w:t>8</w:t>
            </w:r>
          </w:p>
        </w:tc>
        <w:tc>
          <w:tcPr>
            <w:tcW w:w="1060" w:type="pct"/>
            <w:tcBorders>
              <w:top w:val="nil"/>
            </w:tcBorders>
            <w:shd w:val="clear" w:color="auto" w:fill="FFFFFF" w:themeFill="background1"/>
            <w:noWrap/>
            <w:vAlign w:val="center"/>
          </w:tcPr>
          <w:p w14:paraId="77958F15" w14:textId="77777777" w:rsidR="00A00376" w:rsidRPr="00BE5E11" w:rsidRDefault="00A00376" w:rsidP="008556F9">
            <w:pPr>
              <w:spacing w:after="0" w:line="240" w:lineRule="auto"/>
              <w:jc w:val="both"/>
              <w:rPr>
                <w:rFonts w:ascii="Times New Roman" w:hAnsi="Times New Roman"/>
                <w:b/>
                <w:bCs/>
                <w:sz w:val="24"/>
                <w:szCs w:val="24"/>
              </w:rPr>
            </w:pPr>
            <w:r w:rsidRPr="00BE5E11">
              <w:rPr>
                <w:rFonts w:ascii="Times New Roman" w:hAnsi="Times New Roman"/>
                <w:sz w:val="24"/>
                <w:szCs w:val="24"/>
              </w:rPr>
              <w:t>2.08</w:t>
            </w:r>
          </w:p>
        </w:tc>
      </w:tr>
      <w:tr w:rsidR="00A00376" w:rsidRPr="00BE5E11" w14:paraId="74F51363" w14:textId="77777777" w:rsidTr="00FE5131">
        <w:trPr>
          <w:trHeight w:val="254"/>
        </w:trPr>
        <w:tc>
          <w:tcPr>
            <w:tcW w:w="5000" w:type="pct"/>
            <w:gridSpan w:val="3"/>
            <w:tcBorders>
              <w:top w:val="nil"/>
              <w:left w:val="nil"/>
              <w:bottom w:val="nil"/>
            </w:tcBorders>
            <w:shd w:val="clear" w:color="auto" w:fill="FFFFFF" w:themeFill="background1"/>
            <w:vAlign w:val="center"/>
          </w:tcPr>
          <w:p w14:paraId="554937F8" w14:textId="77777777" w:rsidR="00A00376" w:rsidRPr="00BE5E11" w:rsidRDefault="00A00376"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The actors' opinion on the level of execution of the ASC package, n = 119</w:t>
            </w:r>
          </w:p>
        </w:tc>
      </w:tr>
      <w:tr w:rsidR="00A00376" w:rsidRPr="00BE5E11" w14:paraId="6C198E51" w14:textId="77777777" w:rsidTr="00FE5131">
        <w:trPr>
          <w:trHeight w:val="310"/>
        </w:trPr>
        <w:tc>
          <w:tcPr>
            <w:tcW w:w="2867" w:type="pct"/>
            <w:tcBorders>
              <w:top w:val="nil"/>
              <w:left w:val="nil"/>
              <w:bottom w:val="nil"/>
              <w:right w:val="nil"/>
            </w:tcBorders>
            <w:shd w:val="clear" w:color="auto" w:fill="FFFFFF" w:themeFill="background1"/>
            <w:noWrap/>
            <w:vAlign w:val="bottom"/>
          </w:tcPr>
          <w:p w14:paraId="78F5A530" w14:textId="77777777" w:rsidR="00A00376" w:rsidRPr="00BE5E11" w:rsidRDefault="00A00376" w:rsidP="008556F9">
            <w:pPr>
              <w:spacing w:after="0" w:line="240" w:lineRule="auto"/>
              <w:jc w:val="both"/>
              <w:rPr>
                <w:rFonts w:ascii="Times New Roman" w:hAnsi="Times New Roman"/>
                <w:sz w:val="24"/>
                <w:szCs w:val="24"/>
              </w:rPr>
            </w:pPr>
            <w:r w:rsidRPr="00BE5E11">
              <w:rPr>
                <w:rFonts w:ascii="Times New Roman" w:hAnsi="Times New Roman"/>
                <w:b/>
                <w:bCs/>
                <w:sz w:val="24"/>
                <w:szCs w:val="24"/>
              </w:rPr>
              <w:t>Entirely</w:t>
            </w:r>
          </w:p>
        </w:tc>
        <w:tc>
          <w:tcPr>
            <w:tcW w:w="1073" w:type="pct"/>
            <w:tcBorders>
              <w:top w:val="nil"/>
              <w:left w:val="nil"/>
              <w:bottom w:val="nil"/>
              <w:right w:val="nil"/>
            </w:tcBorders>
            <w:shd w:val="clear" w:color="auto" w:fill="FFFFFF" w:themeFill="background1"/>
            <w:noWrap/>
            <w:vAlign w:val="bottom"/>
          </w:tcPr>
          <w:p w14:paraId="02CF15C2" w14:textId="77777777" w:rsidR="00A00376" w:rsidRPr="00BE5E11" w:rsidRDefault="00A00376" w:rsidP="008556F9">
            <w:pPr>
              <w:spacing w:after="0" w:line="240" w:lineRule="auto"/>
              <w:jc w:val="both"/>
              <w:rPr>
                <w:rFonts w:ascii="Times New Roman" w:hAnsi="Times New Roman"/>
                <w:sz w:val="24"/>
                <w:szCs w:val="24"/>
              </w:rPr>
            </w:pPr>
            <w:r w:rsidRPr="00BE5E11">
              <w:rPr>
                <w:rFonts w:ascii="Times New Roman" w:hAnsi="Times New Roman"/>
                <w:b/>
                <w:bCs/>
                <w:sz w:val="24"/>
                <w:szCs w:val="24"/>
              </w:rPr>
              <w:t>80</w:t>
            </w:r>
          </w:p>
        </w:tc>
        <w:tc>
          <w:tcPr>
            <w:tcW w:w="1060" w:type="pct"/>
            <w:tcBorders>
              <w:top w:val="nil"/>
              <w:left w:val="nil"/>
              <w:bottom w:val="nil"/>
              <w:right w:val="nil"/>
            </w:tcBorders>
            <w:shd w:val="clear" w:color="auto" w:fill="FFFFFF" w:themeFill="background1"/>
            <w:noWrap/>
            <w:vAlign w:val="bottom"/>
          </w:tcPr>
          <w:p w14:paraId="5D825591" w14:textId="77777777" w:rsidR="00A00376" w:rsidRPr="00BE5E11" w:rsidRDefault="00A00376" w:rsidP="008556F9">
            <w:pPr>
              <w:spacing w:after="0" w:line="240" w:lineRule="auto"/>
              <w:jc w:val="both"/>
              <w:rPr>
                <w:rFonts w:ascii="Times New Roman" w:hAnsi="Times New Roman"/>
                <w:sz w:val="24"/>
                <w:szCs w:val="24"/>
              </w:rPr>
            </w:pPr>
            <w:r w:rsidRPr="00BE5E11">
              <w:rPr>
                <w:rFonts w:ascii="Times New Roman" w:hAnsi="Times New Roman"/>
                <w:b/>
                <w:bCs/>
                <w:sz w:val="24"/>
                <w:szCs w:val="24"/>
              </w:rPr>
              <w:t>67.23</w:t>
            </w:r>
          </w:p>
        </w:tc>
      </w:tr>
      <w:tr w:rsidR="00A00376" w:rsidRPr="00BE5E11" w14:paraId="786000D9" w14:textId="77777777" w:rsidTr="00FE5131">
        <w:trPr>
          <w:trHeight w:val="310"/>
        </w:trPr>
        <w:tc>
          <w:tcPr>
            <w:tcW w:w="2867" w:type="pct"/>
            <w:tcBorders>
              <w:top w:val="nil"/>
              <w:left w:val="nil"/>
              <w:bottom w:val="nil"/>
              <w:right w:val="nil"/>
            </w:tcBorders>
            <w:shd w:val="clear" w:color="auto" w:fill="FFFFFF" w:themeFill="background1"/>
            <w:noWrap/>
            <w:vAlign w:val="bottom"/>
          </w:tcPr>
          <w:p w14:paraId="2B75A6D3" w14:textId="77777777" w:rsidR="00A00376" w:rsidRPr="00BE5E11" w:rsidRDefault="00A00376" w:rsidP="008556F9">
            <w:pPr>
              <w:spacing w:after="0" w:line="240" w:lineRule="auto"/>
              <w:jc w:val="both"/>
              <w:rPr>
                <w:rFonts w:ascii="Times New Roman" w:hAnsi="Times New Roman"/>
                <w:sz w:val="24"/>
                <w:szCs w:val="24"/>
              </w:rPr>
            </w:pPr>
            <w:r w:rsidRPr="00BE5E11">
              <w:rPr>
                <w:rFonts w:ascii="Times New Roman" w:hAnsi="Times New Roman"/>
                <w:sz w:val="24"/>
                <w:szCs w:val="24"/>
              </w:rPr>
              <w:t>Partially</w:t>
            </w:r>
          </w:p>
        </w:tc>
        <w:tc>
          <w:tcPr>
            <w:tcW w:w="1073" w:type="pct"/>
            <w:tcBorders>
              <w:top w:val="nil"/>
              <w:left w:val="nil"/>
              <w:bottom w:val="nil"/>
              <w:right w:val="nil"/>
            </w:tcBorders>
            <w:shd w:val="clear" w:color="auto" w:fill="FFFFFF" w:themeFill="background1"/>
            <w:noWrap/>
            <w:vAlign w:val="bottom"/>
          </w:tcPr>
          <w:p w14:paraId="5B8DA79F" w14:textId="77777777" w:rsidR="00A00376" w:rsidRPr="00BE5E11" w:rsidRDefault="00A00376" w:rsidP="008556F9">
            <w:pPr>
              <w:spacing w:after="0" w:line="240" w:lineRule="auto"/>
              <w:jc w:val="both"/>
              <w:rPr>
                <w:rFonts w:ascii="Times New Roman" w:hAnsi="Times New Roman"/>
                <w:sz w:val="24"/>
                <w:szCs w:val="24"/>
              </w:rPr>
            </w:pPr>
            <w:r w:rsidRPr="00BE5E11">
              <w:rPr>
                <w:rFonts w:ascii="Times New Roman" w:hAnsi="Times New Roman"/>
                <w:sz w:val="24"/>
                <w:szCs w:val="24"/>
              </w:rPr>
              <w:t>27</w:t>
            </w:r>
          </w:p>
        </w:tc>
        <w:tc>
          <w:tcPr>
            <w:tcW w:w="1060" w:type="pct"/>
            <w:tcBorders>
              <w:top w:val="nil"/>
              <w:left w:val="nil"/>
              <w:bottom w:val="nil"/>
              <w:right w:val="nil"/>
            </w:tcBorders>
            <w:shd w:val="clear" w:color="auto" w:fill="FFFFFF" w:themeFill="background1"/>
            <w:noWrap/>
            <w:vAlign w:val="bottom"/>
          </w:tcPr>
          <w:p w14:paraId="646456BA" w14:textId="77777777" w:rsidR="00A00376" w:rsidRPr="00BE5E11" w:rsidRDefault="00A00376" w:rsidP="008556F9">
            <w:pPr>
              <w:spacing w:after="0" w:line="240" w:lineRule="auto"/>
              <w:jc w:val="both"/>
              <w:rPr>
                <w:rFonts w:ascii="Times New Roman" w:hAnsi="Times New Roman"/>
                <w:sz w:val="24"/>
                <w:szCs w:val="24"/>
              </w:rPr>
            </w:pPr>
            <w:r w:rsidRPr="00BE5E11">
              <w:rPr>
                <w:rFonts w:ascii="Times New Roman" w:hAnsi="Times New Roman"/>
                <w:sz w:val="24"/>
                <w:szCs w:val="24"/>
              </w:rPr>
              <w:t>22.69</w:t>
            </w:r>
          </w:p>
        </w:tc>
      </w:tr>
      <w:tr w:rsidR="00A00376" w:rsidRPr="00BE5E11" w14:paraId="40028AEA" w14:textId="77777777" w:rsidTr="00FE5131">
        <w:trPr>
          <w:trHeight w:val="310"/>
        </w:trPr>
        <w:tc>
          <w:tcPr>
            <w:tcW w:w="2867" w:type="pct"/>
            <w:tcBorders>
              <w:top w:val="nil"/>
              <w:left w:val="nil"/>
              <w:bottom w:val="nil"/>
              <w:right w:val="nil"/>
            </w:tcBorders>
            <w:shd w:val="clear" w:color="auto" w:fill="FFFFFF" w:themeFill="background1"/>
            <w:noWrap/>
            <w:vAlign w:val="bottom"/>
          </w:tcPr>
          <w:p w14:paraId="160D7886" w14:textId="77777777" w:rsidR="00A00376" w:rsidRPr="00BE5E11" w:rsidRDefault="00A00376" w:rsidP="008556F9">
            <w:pPr>
              <w:spacing w:after="0" w:line="240" w:lineRule="auto"/>
              <w:jc w:val="both"/>
              <w:rPr>
                <w:rFonts w:ascii="Times New Roman" w:hAnsi="Times New Roman"/>
                <w:sz w:val="24"/>
                <w:szCs w:val="24"/>
              </w:rPr>
            </w:pPr>
            <w:r w:rsidRPr="00BE5E11">
              <w:rPr>
                <w:rFonts w:ascii="Times New Roman" w:hAnsi="Times New Roman"/>
                <w:sz w:val="24"/>
                <w:szCs w:val="24"/>
              </w:rPr>
              <w:t>Insufficiently</w:t>
            </w:r>
          </w:p>
        </w:tc>
        <w:tc>
          <w:tcPr>
            <w:tcW w:w="1073" w:type="pct"/>
            <w:tcBorders>
              <w:top w:val="nil"/>
              <w:left w:val="nil"/>
              <w:bottom w:val="nil"/>
              <w:right w:val="nil"/>
            </w:tcBorders>
            <w:shd w:val="clear" w:color="auto" w:fill="FFFFFF" w:themeFill="background1"/>
            <w:noWrap/>
            <w:vAlign w:val="bottom"/>
          </w:tcPr>
          <w:p w14:paraId="1DD5718B" w14:textId="77777777" w:rsidR="00A00376" w:rsidRPr="00BE5E11" w:rsidRDefault="00A00376" w:rsidP="008556F9">
            <w:pPr>
              <w:spacing w:after="0" w:line="240" w:lineRule="auto"/>
              <w:jc w:val="both"/>
              <w:rPr>
                <w:rFonts w:ascii="Times New Roman" w:hAnsi="Times New Roman"/>
                <w:sz w:val="24"/>
                <w:szCs w:val="24"/>
              </w:rPr>
            </w:pPr>
            <w:r w:rsidRPr="00BE5E11">
              <w:rPr>
                <w:rFonts w:ascii="Times New Roman" w:hAnsi="Times New Roman"/>
                <w:sz w:val="24"/>
                <w:szCs w:val="24"/>
              </w:rPr>
              <w:t>4</w:t>
            </w:r>
          </w:p>
        </w:tc>
        <w:tc>
          <w:tcPr>
            <w:tcW w:w="1060" w:type="pct"/>
            <w:tcBorders>
              <w:top w:val="nil"/>
              <w:left w:val="nil"/>
              <w:bottom w:val="nil"/>
              <w:right w:val="nil"/>
            </w:tcBorders>
            <w:shd w:val="clear" w:color="auto" w:fill="FFFFFF" w:themeFill="background1"/>
            <w:noWrap/>
            <w:vAlign w:val="bottom"/>
          </w:tcPr>
          <w:p w14:paraId="20719234" w14:textId="77777777" w:rsidR="00A00376" w:rsidRPr="00BE5E11" w:rsidRDefault="00A00376" w:rsidP="008556F9">
            <w:pPr>
              <w:spacing w:after="0" w:line="240" w:lineRule="auto"/>
              <w:jc w:val="both"/>
              <w:rPr>
                <w:rFonts w:ascii="Times New Roman" w:hAnsi="Times New Roman"/>
                <w:sz w:val="24"/>
                <w:szCs w:val="24"/>
              </w:rPr>
            </w:pPr>
            <w:r w:rsidRPr="00BE5E11">
              <w:rPr>
                <w:rFonts w:ascii="Times New Roman" w:hAnsi="Times New Roman"/>
                <w:sz w:val="24"/>
                <w:szCs w:val="24"/>
              </w:rPr>
              <w:t>3.36</w:t>
            </w:r>
          </w:p>
        </w:tc>
      </w:tr>
      <w:tr w:rsidR="00A00376" w:rsidRPr="00BE5E11" w14:paraId="53600FFC" w14:textId="77777777" w:rsidTr="00FE5131">
        <w:trPr>
          <w:trHeight w:val="310"/>
        </w:trPr>
        <w:tc>
          <w:tcPr>
            <w:tcW w:w="2867" w:type="pct"/>
            <w:tcBorders>
              <w:top w:val="nil"/>
              <w:left w:val="nil"/>
              <w:bottom w:val="thickThinSmallGap" w:sz="24" w:space="0" w:color="auto"/>
              <w:right w:val="nil"/>
            </w:tcBorders>
            <w:shd w:val="clear" w:color="auto" w:fill="FFFFFF" w:themeFill="background1"/>
            <w:noWrap/>
            <w:vAlign w:val="bottom"/>
          </w:tcPr>
          <w:p w14:paraId="3C980B6C" w14:textId="77777777" w:rsidR="00A00376" w:rsidRPr="00BE5E11" w:rsidRDefault="00A00376" w:rsidP="008556F9">
            <w:pPr>
              <w:spacing w:after="0" w:line="240" w:lineRule="auto"/>
              <w:jc w:val="both"/>
              <w:rPr>
                <w:rFonts w:ascii="Times New Roman" w:hAnsi="Times New Roman"/>
                <w:sz w:val="24"/>
                <w:szCs w:val="24"/>
              </w:rPr>
            </w:pPr>
            <w:r w:rsidRPr="00BE5E11">
              <w:rPr>
                <w:rFonts w:ascii="Times New Roman" w:hAnsi="Times New Roman"/>
                <w:sz w:val="24"/>
                <w:szCs w:val="24"/>
              </w:rPr>
              <w:t>I don't know</w:t>
            </w:r>
          </w:p>
        </w:tc>
        <w:tc>
          <w:tcPr>
            <w:tcW w:w="1073" w:type="pct"/>
            <w:tcBorders>
              <w:top w:val="nil"/>
              <w:left w:val="nil"/>
              <w:bottom w:val="thickThinSmallGap" w:sz="24" w:space="0" w:color="auto"/>
              <w:right w:val="nil"/>
            </w:tcBorders>
            <w:shd w:val="clear" w:color="auto" w:fill="FFFFFF" w:themeFill="background1"/>
            <w:noWrap/>
            <w:vAlign w:val="bottom"/>
          </w:tcPr>
          <w:p w14:paraId="2FFB14F6" w14:textId="77777777" w:rsidR="00A00376" w:rsidRPr="00BE5E11" w:rsidRDefault="00A00376" w:rsidP="008556F9">
            <w:pPr>
              <w:spacing w:after="0" w:line="240" w:lineRule="auto"/>
              <w:jc w:val="both"/>
              <w:rPr>
                <w:rFonts w:ascii="Times New Roman" w:hAnsi="Times New Roman"/>
                <w:sz w:val="24"/>
                <w:szCs w:val="24"/>
              </w:rPr>
            </w:pPr>
            <w:r w:rsidRPr="00BE5E11">
              <w:rPr>
                <w:rFonts w:ascii="Times New Roman" w:hAnsi="Times New Roman"/>
                <w:sz w:val="24"/>
                <w:szCs w:val="24"/>
              </w:rPr>
              <w:t>8</w:t>
            </w:r>
          </w:p>
        </w:tc>
        <w:tc>
          <w:tcPr>
            <w:tcW w:w="1060" w:type="pct"/>
            <w:tcBorders>
              <w:top w:val="nil"/>
              <w:left w:val="nil"/>
              <w:bottom w:val="thickThinSmallGap" w:sz="24" w:space="0" w:color="auto"/>
              <w:right w:val="nil"/>
            </w:tcBorders>
            <w:shd w:val="clear" w:color="auto" w:fill="FFFFFF" w:themeFill="background1"/>
            <w:noWrap/>
            <w:vAlign w:val="bottom"/>
          </w:tcPr>
          <w:p w14:paraId="4E5FFC54" w14:textId="77777777" w:rsidR="00A00376" w:rsidRPr="00BE5E11" w:rsidRDefault="00A00376" w:rsidP="008556F9">
            <w:pPr>
              <w:spacing w:after="0" w:line="240" w:lineRule="auto"/>
              <w:jc w:val="both"/>
              <w:rPr>
                <w:rFonts w:ascii="Times New Roman" w:hAnsi="Times New Roman"/>
                <w:sz w:val="24"/>
                <w:szCs w:val="24"/>
              </w:rPr>
            </w:pPr>
            <w:r w:rsidRPr="00BE5E11">
              <w:rPr>
                <w:rFonts w:ascii="Times New Roman" w:hAnsi="Times New Roman"/>
                <w:sz w:val="24"/>
                <w:szCs w:val="24"/>
              </w:rPr>
              <w:t>6.72</w:t>
            </w:r>
          </w:p>
        </w:tc>
      </w:tr>
    </w:tbl>
    <w:p w14:paraId="73C4290F" w14:textId="06876D2C" w:rsidR="007D0625" w:rsidRPr="00BE5E11" w:rsidRDefault="00EB3CFA" w:rsidP="008556F9">
      <w:pPr>
        <w:pStyle w:val="NormalWeb"/>
        <w:jc w:val="both"/>
        <w:rPr>
          <w:b/>
          <w:bCs/>
        </w:rPr>
      </w:pPr>
      <w:bookmarkStart w:id="3" w:name="_Toc220360943"/>
      <w:bookmarkStart w:id="4" w:name="_Hlk218585289"/>
      <w:r w:rsidRPr="00BE5E11">
        <w:rPr>
          <w:b/>
          <w:bCs/>
        </w:rPr>
        <w:t>Gender dynamics, professional relationships and job satisfaction (Table 3)</w:t>
      </w:r>
    </w:p>
    <w:p w14:paraId="2767817A" w14:textId="57C7CEA3" w:rsidR="00EB3CFA" w:rsidRPr="00BE5E11" w:rsidRDefault="00EB3CFA" w:rsidP="008556F9">
      <w:pPr>
        <w:pStyle w:val="NormalWeb"/>
        <w:jc w:val="both"/>
      </w:pPr>
      <w:r w:rsidRPr="00BE5E11">
        <w:t xml:space="preserve">Analysis of community perception reveals an interesting duality regarding gender dynamics. While a large majority of users (78.95%) state that the sex of the agent does not influence technical competence, a marked socio-cultural preference </w:t>
      </w:r>
      <w:r w:rsidR="001524BB" w:rsidRPr="00BE5E11">
        <w:t>(75.19%) among respondents suggests that female community health workers (CHWs) enjoy greater social acceptance. In terms of performance, 58.65% of beneficiaries have a very favo</w:t>
      </w:r>
      <w:r w:rsidR="001524BB" w:rsidRPr="00BE5E11">
        <w:t>r</w:t>
      </w:r>
      <w:r w:rsidR="001524BB" w:rsidRPr="00BE5E11">
        <w:t>able opinion of the overall quality of services.</w:t>
      </w:r>
    </w:p>
    <w:p w14:paraId="48DEFA5D" w14:textId="325BBA5B" w:rsidR="00EB3CFA" w:rsidRPr="00BE5E11" w:rsidRDefault="00EB3CFA" w:rsidP="008556F9">
      <w:pPr>
        <w:pStyle w:val="NormalWeb"/>
        <w:jc w:val="both"/>
      </w:pPr>
      <w:r w:rsidRPr="00BE5E11">
        <w:t>Regarding governance and the work environment, 53.01% of respondents considered professional relatio</w:t>
      </w:r>
      <w:r w:rsidRPr="00BE5E11">
        <w:t>n</w:t>
      </w:r>
      <w:r w:rsidRPr="00BE5E11">
        <w:t>ships between community health workers (CHWs) and other stakeholders in the system (supervisors, Comm</w:t>
      </w:r>
      <w:r w:rsidRPr="00BE5E11">
        <w:t>u</w:t>
      </w:r>
      <w:r w:rsidRPr="00BE5E11">
        <w:t>nity Health Center (CHC) agents) satisfactory. Finally, a difference in perception was noted between users and technicians: 67.29% of those implementing the service reported being satisfied with their own performance, reflecting a sense of personal effectiveness despite the challenges they faced in the field.</w:t>
      </w:r>
    </w:p>
    <w:p w14:paraId="63C04599" w14:textId="163E7B00" w:rsidR="00A00376" w:rsidRPr="00BE5E11" w:rsidRDefault="00A00376" w:rsidP="008556F9">
      <w:pPr>
        <w:spacing w:before="240" w:after="240" w:line="240" w:lineRule="auto"/>
        <w:jc w:val="both"/>
        <w:rPr>
          <w:rFonts w:ascii="Times New Roman" w:hAnsi="Times New Roman"/>
          <w:sz w:val="24"/>
          <w:szCs w:val="24"/>
        </w:rPr>
      </w:pPr>
      <w:r w:rsidRPr="00BE5E11">
        <w:rPr>
          <w:rFonts w:ascii="Times New Roman" w:hAnsi="Times New Roman"/>
          <w:b/>
          <w:bCs/>
          <w:sz w:val="24"/>
          <w:szCs w:val="24"/>
        </w:rPr>
        <w:t xml:space="preserve">Table 3: </w:t>
      </w:r>
      <w:r w:rsidRPr="00BE5E11">
        <w:rPr>
          <w:rFonts w:ascii="Times New Roman" w:hAnsi="Times New Roman"/>
          <w:sz w:val="24"/>
          <w:szCs w:val="24"/>
        </w:rPr>
        <w:t>Community perceptions of the ASC and its service</w:t>
      </w:r>
      <w:bookmarkEnd w:id="3"/>
    </w:p>
    <w:tbl>
      <w:tblPr>
        <w:tblW w:w="5000" w:type="pct"/>
        <w:shd w:val="clear" w:color="auto" w:fill="FFFFFF" w:themeFill="background1"/>
        <w:tblCellMar>
          <w:left w:w="70" w:type="dxa"/>
          <w:right w:w="70" w:type="dxa"/>
        </w:tblCellMar>
        <w:tblLook w:val="04A0" w:firstRow="1" w:lastRow="0" w:firstColumn="1" w:lastColumn="0" w:noHBand="0" w:noVBand="1"/>
      </w:tblPr>
      <w:tblGrid>
        <w:gridCol w:w="6192"/>
        <w:gridCol w:w="2317"/>
        <w:gridCol w:w="2289"/>
      </w:tblGrid>
      <w:tr w:rsidR="00A00376" w:rsidRPr="00BE5E11" w14:paraId="7E6BC8C2" w14:textId="77777777" w:rsidTr="008C7270">
        <w:trPr>
          <w:trHeight w:val="561"/>
        </w:trPr>
        <w:tc>
          <w:tcPr>
            <w:tcW w:w="2867" w:type="pct"/>
            <w:tcBorders>
              <w:top w:val="thinThickSmallGap" w:sz="24" w:space="0" w:color="auto"/>
              <w:left w:val="nil"/>
              <w:bottom w:val="thickThinSmallGap" w:sz="24" w:space="0" w:color="auto"/>
              <w:right w:val="nil"/>
            </w:tcBorders>
            <w:shd w:val="clear" w:color="auto" w:fill="FFFFFF" w:themeFill="background1"/>
            <w:noWrap/>
            <w:vAlign w:val="center"/>
            <w:hideMark/>
          </w:tcPr>
          <w:p w14:paraId="623AEFB9" w14:textId="77777777" w:rsidR="00A00376" w:rsidRPr="00BE5E11" w:rsidRDefault="00A00376"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lastRenderedPageBreak/>
              <w:t>Variables</w:t>
            </w:r>
          </w:p>
        </w:tc>
        <w:tc>
          <w:tcPr>
            <w:tcW w:w="1073" w:type="pct"/>
            <w:tcBorders>
              <w:top w:val="thinThickSmallGap" w:sz="24" w:space="0" w:color="auto"/>
              <w:left w:val="nil"/>
              <w:bottom w:val="thickThinSmallGap" w:sz="24" w:space="0" w:color="auto"/>
              <w:right w:val="nil"/>
            </w:tcBorders>
            <w:shd w:val="clear" w:color="auto" w:fill="FFFFFF" w:themeFill="background1"/>
            <w:noWrap/>
            <w:vAlign w:val="center"/>
            <w:hideMark/>
          </w:tcPr>
          <w:p w14:paraId="0A0B70B1" w14:textId="77777777" w:rsidR="00A00376" w:rsidRPr="00BE5E11" w:rsidRDefault="00A00376"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Effective</w:t>
            </w:r>
          </w:p>
          <w:p w14:paraId="73EED9AA" w14:textId="77777777" w:rsidR="00A00376" w:rsidRPr="00BE5E11" w:rsidRDefault="00A00376"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n</w:t>
            </w:r>
          </w:p>
        </w:tc>
        <w:tc>
          <w:tcPr>
            <w:tcW w:w="1060" w:type="pct"/>
            <w:tcBorders>
              <w:top w:val="thinThickSmallGap" w:sz="24" w:space="0" w:color="auto"/>
              <w:left w:val="nil"/>
              <w:bottom w:val="thickThinSmallGap" w:sz="24" w:space="0" w:color="auto"/>
              <w:right w:val="nil"/>
            </w:tcBorders>
            <w:shd w:val="clear" w:color="auto" w:fill="FFFFFF" w:themeFill="background1"/>
            <w:noWrap/>
            <w:vAlign w:val="center"/>
            <w:hideMark/>
          </w:tcPr>
          <w:p w14:paraId="2D2144C5" w14:textId="77777777" w:rsidR="00A00376" w:rsidRPr="00BE5E11" w:rsidRDefault="00A00376"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Proportion</w:t>
            </w:r>
          </w:p>
          <w:p w14:paraId="705816B3" w14:textId="77777777" w:rsidR="00A00376" w:rsidRPr="00BE5E11" w:rsidRDefault="00A00376"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w:t>
            </w:r>
          </w:p>
        </w:tc>
      </w:tr>
      <w:tr w:rsidR="00A00376" w:rsidRPr="00BE5E11" w14:paraId="46EA655F" w14:textId="77777777" w:rsidTr="008C7270">
        <w:trPr>
          <w:trHeight w:val="310"/>
        </w:trPr>
        <w:tc>
          <w:tcPr>
            <w:tcW w:w="5000" w:type="pct"/>
            <w:gridSpan w:val="3"/>
            <w:tcBorders>
              <w:top w:val="nil"/>
              <w:left w:val="nil"/>
              <w:bottom w:val="nil"/>
              <w:right w:val="single" w:sz="4" w:space="0" w:color="E0E0E0"/>
            </w:tcBorders>
            <w:shd w:val="clear" w:color="auto" w:fill="FFFFFF" w:themeFill="background1"/>
            <w:vAlign w:val="center"/>
          </w:tcPr>
          <w:p w14:paraId="0801C4DF" w14:textId="77777777" w:rsidR="00A00376" w:rsidRPr="00BE5E11" w:rsidRDefault="00A00376"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Appreciation of the work of the ASCs</w:t>
            </w:r>
          </w:p>
        </w:tc>
      </w:tr>
      <w:tr w:rsidR="00A00376" w:rsidRPr="00BE5E11" w14:paraId="1945F2BD" w14:textId="77777777" w:rsidTr="008C7270">
        <w:trPr>
          <w:trHeight w:val="310"/>
        </w:trPr>
        <w:tc>
          <w:tcPr>
            <w:tcW w:w="2867" w:type="pct"/>
            <w:tcBorders>
              <w:top w:val="nil"/>
              <w:left w:val="nil"/>
              <w:bottom w:val="nil"/>
              <w:right w:val="nil"/>
            </w:tcBorders>
            <w:shd w:val="clear" w:color="auto" w:fill="FFFFFF" w:themeFill="background1"/>
            <w:noWrap/>
            <w:vAlign w:val="bottom"/>
          </w:tcPr>
          <w:p w14:paraId="293FB67E" w14:textId="6683A8D1" w:rsidR="00A00376" w:rsidRPr="00BE5E11" w:rsidRDefault="00A00376"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Very good</w:t>
            </w:r>
          </w:p>
        </w:tc>
        <w:tc>
          <w:tcPr>
            <w:tcW w:w="1073" w:type="pct"/>
            <w:tcBorders>
              <w:left w:val="nil"/>
            </w:tcBorders>
            <w:shd w:val="clear" w:color="auto" w:fill="FFFFFF" w:themeFill="background1"/>
            <w:noWrap/>
            <w:vAlign w:val="bottom"/>
          </w:tcPr>
          <w:p w14:paraId="0C48D678" w14:textId="77777777" w:rsidR="00A00376" w:rsidRPr="00BE5E11" w:rsidRDefault="00A00376"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156</w:t>
            </w:r>
          </w:p>
        </w:tc>
        <w:tc>
          <w:tcPr>
            <w:tcW w:w="1060" w:type="pct"/>
            <w:shd w:val="clear" w:color="auto" w:fill="FFFFFF" w:themeFill="background1"/>
            <w:noWrap/>
            <w:vAlign w:val="bottom"/>
          </w:tcPr>
          <w:p w14:paraId="61587323" w14:textId="77777777" w:rsidR="00A00376" w:rsidRPr="00BE5E11" w:rsidRDefault="00A00376"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58.65</w:t>
            </w:r>
          </w:p>
        </w:tc>
      </w:tr>
      <w:tr w:rsidR="00A00376" w:rsidRPr="00BE5E11" w14:paraId="08E95218" w14:textId="77777777" w:rsidTr="008C7270">
        <w:trPr>
          <w:trHeight w:val="310"/>
        </w:trPr>
        <w:tc>
          <w:tcPr>
            <w:tcW w:w="2867" w:type="pct"/>
            <w:tcBorders>
              <w:top w:val="nil"/>
              <w:left w:val="nil"/>
              <w:bottom w:val="nil"/>
              <w:right w:val="nil"/>
            </w:tcBorders>
            <w:shd w:val="clear" w:color="auto" w:fill="FFFFFF" w:themeFill="background1"/>
            <w:noWrap/>
            <w:vAlign w:val="bottom"/>
          </w:tcPr>
          <w:p w14:paraId="2B7DFB27" w14:textId="77777777" w:rsidR="00A00376" w:rsidRPr="00BE5E11" w:rsidRDefault="00A00376" w:rsidP="008556F9">
            <w:pPr>
              <w:spacing w:after="0" w:line="240" w:lineRule="auto"/>
              <w:jc w:val="both"/>
              <w:rPr>
                <w:rFonts w:ascii="Times New Roman" w:hAnsi="Times New Roman"/>
                <w:sz w:val="24"/>
                <w:szCs w:val="24"/>
              </w:rPr>
            </w:pPr>
            <w:r w:rsidRPr="00BE5E11">
              <w:rPr>
                <w:rFonts w:ascii="Times New Roman" w:hAnsi="Times New Roman"/>
                <w:sz w:val="24"/>
                <w:szCs w:val="24"/>
              </w:rPr>
              <w:t>Good</w:t>
            </w:r>
          </w:p>
        </w:tc>
        <w:tc>
          <w:tcPr>
            <w:tcW w:w="1073" w:type="pct"/>
            <w:tcBorders>
              <w:top w:val="nil"/>
              <w:left w:val="nil"/>
            </w:tcBorders>
            <w:shd w:val="clear" w:color="auto" w:fill="FFFFFF" w:themeFill="background1"/>
            <w:noWrap/>
            <w:vAlign w:val="bottom"/>
          </w:tcPr>
          <w:p w14:paraId="1B18CD61" w14:textId="77777777" w:rsidR="00A00376" w:rsidRPr="00BE5E11" w:rsidRDefault="00A00376" w:rsidP="008556F9">
            <w:pPr>
              <w:spacing w:after="0" w:line="240" w:lineRule="auto"/>
              <w:jc w:val="both"/>
              <w:rPr>
                <w:rFonts w:ascii="Times New Roman" w:hAnsi="Times New Roman"/>
                <w:sz w:val="24"/>
                <w:szCs w:val="24"/>
              </w:rPr>
            </w:pPr>
            <w:r w:rsidRPr="00BE5E11">
              <w:rPr>
                <w:rFonts w:ascii="Times New Roman" w:hAnsi="Times New Roman"/>
                <w:sz w:val="24"/>
                <w:szCs w:val="24"/>
              </w:rPr>
              <w:t>98</w:t>
            </w:r>
          </w:p>
        </w:tc>
        <w:tc>
          <w:tcPr>
            <w:tcW w:w="1060" w:type="pct"/>
            <w:tcBorders>
              <w:top w:val="nil"/>
            </w:tcBorders>
            <w:shd w:val="clear" w:color="auto" w:fill="FFFFFF" w:themeFill="background1"/>
            <w:noWrap/>
            <w:vAlign w:val="bottom"/>
          </w:tcPr>
          <w:p w14:paraId="218BBD49" w14:textId="77777777" w:rsidR="00A00376" w:rsidRPr="00BE5E11" w:rsidRDefault="00A00376" w:rsidP="008556F9">
            <w:pPr>
              <w:spacing w:after="0" w:line="240" w:lineRule="auto"/>
              <w:jc w:val="both"/>
              <w:rPr>
                <w:rFonts w:ascii="Times New Roman" w:hAnsi="Times New Roman"/>
                <w:sz w:val="24"/>
                <w:szCs w:val="24"/>
              </w:rPr>
            </w:pPr>
            <w:r w:rsidRPr="00BE5E11">
              <w:rPr>
                <w:rFonts w:ascii="Times New Roman" w:hAnsi="Times New Roman"/>
                <w:sz w:val="24"/>
                <w:szCs w:val="24"/>
              </w:rPr>
              <w:t>36.84</w:t>
            </w:r>
          </w:p>
        </w:tc>
      </w:tr>
      <w:tr w:rsidR="00A00376" w:rsidRPr="00BE5E11" w14:paraId="0EE2D8D9" w14:textId="77777777" w:rsidTr="008C7270">
        <w:trPr>
          <w:trHeight w:val="310"/>
        </w:trPr>
        <w:tc>
          <w:tcPr>
            <w:tcW w:w="2867" w:type="pct"/>
            <w:tcBorders>
              <w:top w:val="nil"/>
              <w:left w:val="nil"/>
              <w:bottom w:val="nil"/>
              <w:right w:val="nil"/>
            </w:tcBorders>
            <w:shd w:val="clear" w:color="auto" w:fill="FFFFFF" w:themeFill="background1"/>
            <w:noWrap/>
            <w:vAlign w:val="bottom"/>
          </w:tcPr>
          <w:p w14:paraId="79FF1B83" w14:textId="77777777" w:rsidR="00A00376" w:rsidRPr="00BE5E11" w:rsidRDefault="00A00376" w:rsidP="008556F9">
            <w:pPr>
              <w:spacing w:after="0" w:line="240" w:lineRule="auto"/>
              <w:jc w:val="both"/>
              <w:rPr>
                <w:rFonts w:ascii="Times New Roman" w:hAnsi="Times New Roman"/>
                <w:sz w:val="24"/>
                <w:szCs w:val="24"/>
              </w:rPr>
            </w:pPr>
            <w:r w:rsidRPr="00BE5E11">
              <w:rPr>
                <w:rFonts w:ascii="Times New Roman" w:hAnsi="Times New Roman"/>
                <w:sz w:val="24"/>
                <w:szCs w:val="24"/>
              </w:rPr>
              <w:t>Fair</w:t>
            </w:r>
          </w:p>
        </w:tc>
        <w:tc>
          <w:tcPr>
            <w:tcW w:w="1073" w:type="pct"/>
            <w:tcBorders>
              <w:top w:val="nil"/>
              <w:left w:val="nil"/>
            </w:tcBorders>
            <w:shd w:val="clear" w:color="auto" w:fill="FFFFFF" w:themeFill="background1"/>
            <w:noWrap/>
            <w:vAlign w:val="bottom"/>
          </w:tcPr>
          <w:p w14:paraId="4ACF64A7" w14:textId="77777777" w:rsidR="00A00376" w:rsidRPr="00BE5E11" w:rsidRDefault="00A00376" w:rsidP="008556F9">
            <w:pPr>
              <w:spacing w:after="0" w:line="240" w:lineRule="auto"/>
              <w:jc w:val="both"/>
              <w:rPr>
                <w:rFonts w:ascii="Times New Roman" w:hAnsi="Times New Roman"/>
                <w:sz w:val="24"/>
                <w:szCs w:val="24"/>
              </w:rPr>
            </w:pPr>
            <w:r w:rsidRPr="00BE5E11">
              <w:rPr>
                <w:rFonts w:ascii="Times New Roman" w:hAnsi="Times New Roman"/>
                <w:sz w:val="24"/>
                <w:szCs w:val="24"/>
              </w:rPr>
              <w:t>12</w:t>
            </w:r>
          </w:p>
        </w:tc>
        <w:tc>
          <w:tcPr>
            <w:tcW w:w="1060" w:type="pct"/>
            <w:tcBorders>
              <w:top w:val="nil"/>
            </w:tcBorders>
            <w:shd w:val="clear" w:color="auto" w:fill="FFFFFF" w:themeFill="background1"/>
            <w:noWrap/>
            <w:vAlign w:val="bottom"/>
          </w:tcPr>
          <w:p w14:paraId="11554272" w14:textId="77777777" w:rsidR="00A00376" w:rsidRPr="00BE5E11" w:rsidRDefault="00A00376" w:rsidP="008556F9">
            <w:pPr>
              <w:spacing w:after="0" w:line="240" w:lineRule="auto"/>
              <w:jc w:val="both"/>
              <w:rPr>
                <w:rFonts w:ascii="Times New Roman" w:hAnsi="Times New Roman"/>
                <w:sz w:val="24"/>
                <w:szCs w:val="24"/>
              </w:rPr>
            </w:pPr>
            <w:r w:rsidRPr="00BE5E11">
              <w:rPr>
                <w:rFonts w:ascii="Times New Roman" w:hAnsi="Times New Roman"/>
                <w:sz w:val="24"/>
                <w:szCs w:val="24"/>
              </w:rPr>
              <w:t>4.51</w:t>
            </w:r>
          </w:p>
        </w:tc>
      </w:tr>
      <w:tr w:rsidR="00A00376" w:rsidRPr="00BE5E11" w14:paraId="027517DC" w14:textId="77777777" w:rsidTr="008C7270">
        <w:trPr>
          <w:trHeight w:val="310"/>
        </w:trPr>
        <w:tc>
          <w:tcPr>
            <w:tcW w:w="5000" w:type="pct"/>
            <w:gridSpan w:val="3"/>
            <w:tcBorders>
              <w:top w:val="nil"/>
              <w:left w:val="nil"/>
              <w:bottom w:val="nil"/>
            </w:tcBorders>
            <w:shd w:val="clear" w:color="auto" w:fill="FFFFFF" w:themeFill="background1"/>
            <w:vAlign w:val="center"/>
          </w:tcPr>
          <w:p w14:paraId="2FA5B09C" w14:textId="6FB48AAB" w:rsidR="00A00376" w:rsidRPr="00BE5E11" w:rsidRDefault="00A00376"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Does the male or female gender of the ASC affect its work?</w:t>
            </w:r>
          </w:p>
        </w:tc>
      </w:tr>
      <w:tr w:rsidR="00A00376" w:rsidRPr="00BE5E11" w14:paraId="30F7B611" w14:textId="77777777" w:rsidTr="008C7270">
        <w:trPr>
          <w:trHeight w:val="310"/>
        </w:trPr>
        <w:tc>
          <w:tcPr>
            <w:tcW w:w="2867" w:type="pct"/>
            <w:tcBorders>
              <w:top w:val="nil"/>
              <w:left w:val="nil"/>
              <w:bottom w:val="nil"/>
              <w:right w:val="nil"/>
            </w:tcBorders>
            <w:shd w:val="clear" w:color="auto" w:fill="FFFFFF" w:themeFill="background1"/>
            <w:noWrap/>
            <w:vAlign w:val="bottom"/>
          </w:tcPr>
          <w:p w14:paraId="6120F576" w14:textId="77777777" w:rsidR="00A00376" w:rsidRPr="00BE5E11" w:rsidRDefault="00A00376" w:rsidP="008556F9">
            <w:pPr>
              <w:spacing w:after="0" w:line="240" w:lineRule="auto"/>
              <w:jc w:val="both"/>
              <w:rPr>
                <w:rFonts w:ascii="Times New Roman" w:hAnsi="Times New Roman"/>
                <w:sz w:val="24"/>
                <w:szCs w:val="24"/>
              </w:rPr>
            </w:pPr>
            <w:r w:rsidRPr="00BE5E11">
              <w:rPr>
                <w:rFonts w:ascii="Times New Roman" w:hAnsi="Times New Roman"/>
                <w:sz w:val="24"/>
                <w:szCs w:val="24"/>
              </w:rPr>
              <w:t>Yes</w:t>
            </w:r>
          </w:p>
        </w:tc>
        <w:tc>
          <w:tcPr>
            <w:tcW w:w="1073" w:type="pct"/>
            <w:tcBorders>
              <w:left w:val="nil"/>
            </w:tcBorders>
            <w:shd w:val="clear" w:color="auto" w:fill="FFFFFF" w:themeFill="background1"/>
            <w:noWrap/>
            <w:vAlign w:val="bottom"/>
          </w:tcPr>
          <w:p w14:paraId="4875A5F5" w14:textId="77777777" w:rsidR="00A00376" w:rsidRPr="00BE5E11" w:rsidRDefault="00A00376" w:rsidP="008556F9">
            <w:pPr>
              <w:spacing w:after="0" w:line="240" w:lineRule="auto"/>
              <w:jc w:val="both"/>
              <w:rPr>
                <w:rFonts w:ascii="Times New Roman" w:hAnsi="Times New Roman"/>
                <w:sz w:val="24"/>
                <w:szCs w:val="24"/>
              </w:rPr>
            </w:pPr>
            <w:r w:rsidRPr="00BE5E11">
              <w:rPr>
                <w:rFonts w:ascii="Times New Roman" w:hAnsi="Times New Roman"/>
                <w:sz w:val="24"/>
                <w:szCs w:val="24"/>
              </w:rPr>
              <w:t>32</w:t>
            </w:r>
          </w:p>
        </w:tc>
        <w:tc>
          <w:tcPr>
            <w:tcW w:w="1060" w:type="pct"/>
            <w:shd w:val="clear" w:color="auto" w:fill="FFFFFF" w:themeFill="background1"/>
            <w:noWrap/>
            <w:vAlign w:val="bottom"/>
          </w:tcPr>
          <w:p w14:paraId="646C7CAC" w14:textId="77777777" w:rsidR="00A00376" w:rsidRPr="00BE5E11" w:rsidRDefault="00A00376" w:rsidP="008556F9">
            <w:pPr>
              <w:spacing w:after="0" w:line="240" w:lineRule="auto"/>
              <w:jc w:val="both"/>
              <w:rPr>
                <w:rFonts w:ascii="Times New Roman" w:hAnsi="Times New Roman"/>
                <w:sz w:val="24"/>
                <w:szCs w:val="24"/>
              </w:rPr>
            </w:pPr>
            <w:r w:rsidRPr="00BE5E11">
              <w:rPr>
                <w:rFonts w:ascii="Times New Roman" w:hAnsi="Times New Roman"/>
                <w:sz w:val="24"/>
                <w:szCs w:val="24"/>
              </w:rPr>
              <w:t>12.03</w:t>
            </w:r>
          </w:p>
        </w:tc>
      </w:tr>
      <w:tr w:rsidR="00A00376" w:rsidRPr="00BE5E11" w14:paraId="1A6AC16E" w14:textId="77777777" w:rsidTr="008C7270">
        <w:trPr>
          <w:trHeight w:val="310"/>
        </w:trPr>
        <w:tc>
          <w:tcPr>
            <w:tcW w:w="2867" w:type="pct"/>
            <w:tcBorders>
              <w:top w:val="nil"/>
              <w:left w:val="nil"/>
              <w:bottom w:val="nil"/>
              <w:right w:val="nil"/>
            </w:tcBorders>
            <w:shd w:val="clear" w:color="auto" w:fill="FFFFFF" w:themeFill="background1"/>
            <w:noWrap/>
            <w:vAlign w:val="bottom"/>
          </w:tcPr>
          <w:p w14:paraId="2A106D03" w14:textId="77777777" w:rsidR="00A00376" w:rsidRPr="00BE5E11" w:rsidRDefault="00A00376"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No</w:t>
            </w:r>
          </w:p>
        </w:tc>
        <w:tc>
          <w:tcPr>
            <w:tcW w:w="1073" w:type="pct"/>
            <w:tcBorders>
              <w:top w:val="nil"/>
              <w:left w:val="nil"/>
            </w:tcBorders>
            <w:shd w:val="clear" w:color="auto" w:fill="FFFFFF" w:themeFill="background1"/>
            <w:noWrap/>
            <w:vAlign w:val="bottom"/>
          </w:tcPr>
          <w:p w14:paraId="5332E6D4" w14:textId="77777777" w:rsidR="00A00376" w:rsidRPr="00BE5E11" w:rsidRDefault="00A00376"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210</w:t>
            </w:r>
          </w:p>
        </w:tc>
        <w:tc>
          <w:tcPr>
            <w:tcW w:w="1060" w:type="pct"/>
            <w:tcBorders>
              <w:top w:val="nil"/>
            </w:tcBorders>
            <w:shd w:val="clear" w:color="auto" w:fill="FFFFFF" w:themeFill="background1"/>
            <w:noWrap/>
            <w:vAlign w:val="bottom"/>
          </w:tcPr>
          <w:p w14:paraId="62CE2B94" w14:textId="77777777" w:rsidR="00A00376" w:rsidRPr="00BE5E11" w:rsidRDefault="00A00376"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78.95</w:t>
            </w:r>
          </w:p>
        </w:tc>
      </w:tr>
      <w:tr w:rsidR="00A00376" w:rsidRPr="00BE5E11" w14:paraId="083BDE58" w14:textId="77777777" w:rsidTr="008C7270">
        <w:trPr>
          <w:trHeight w:val="310"/>
        </w:trPr>
        <w:tc>
          <w:tcPr>
            <w:tcW w:w="2867" w:type="pct"/>
            <w:tcBorders>
              <w:top w:val="nil"/>
              <w:left w:val="nil"/>
              <w:bottom w:val="nil"/>
              <w:right w:val="nil"/>
            </w:tcBorders>
            <w:shd w:val="clear" w:color="auto" w:fill="FFFFFF" w:themeFill="background1"/>
            <w:noWrap/>
            <w:vAlign w:val="bottom"/>
          </w:tcPr>
          <w:p w14:paraId="0C8B6BAF" w14:textId="77777777" w:rsidR="00A00376" w:rsidRPr="00BE5E11" w:rsidRDefault="00A00376" w:rsidP="008556F9">
            <w:pPr>
              <w:spacing w:after="0" w:line="240" w:lineRule="auto"/>
              <w:jc w:val="both"/>
              <w:rPr>
                <w:rFonts w:ascii="Times New Roman" w:hAnsi="Times New Roman"/>
                <w:b/>
                <w:bCs/>
                <w:sz w:val="24"/>
                <w:szCs w:val="24"/>
              </w:rPr>
            </w:pPr>
            <w:r w:rsidRPr="00BE5E11">
              <w:rPr>
                <w:rFonts w:ascii="Times New Roman" w:hAnsi="Times New Roman"/>
                <w:sz w:val="24"/>
                <w:szCs w:val="24"/>
              </w:rPr>
              <w:t>Don't know</w:t>
            </w:r>
          </w:p>
        </w:tc>
        <w:tc>
          <w:tcPr>
            <w:tcW w:w="1073" w:type="pct"/>
            <w:tcBorders>
              <w:top w:val="nil"/>
              <w:left w:val="nil"/>
            </w:tcBorders>
            <w:shd w:val="clear" w:color="auto" w:fill="FFFFFF" w:themeFill="background1"/>
            <w:noWrap/>
            <w:vAlign w:val="bottom"/>
          </w:tcPr>
          <w:p w14:paraId="5BAEE06E" w14:textId="77777777" w:rsidR="00A00376" w:rsidRPr="00BE5E11" w:rsidRDefault="00A00376" w:rsidP="008556F9">
            <w:pPr>
              <w:spacing w:after="0" w:line="240" w:lineRule="auto"/>
              <w:jc w:val="both"/>
              <w:rPr>
                <w:rFonts w:ascii="Times New Roman" w:hAnsi="Times New Roman"/>
                <w:b/>
                <w:bCs/>
                <w:sz w:val="24"/>
                <w:szCs w:val="24"/>
              </w:rPr>
            </w:pPr>
            <w:r w:rsidRPr="00BE5E11">
              <w:rPr>
                <w:rFonts w:ascii="Times New Roman" w:hAnsi="Times New Roman"/>
                <w:sz w:val="24"/>
                <w:szCs w:val="24"/>
              </w:rPr>
              <w:t>24</w:t>
            </w:r>
          </w:p>
        </w:tc>
        <w:tc>
          <w:tcPr>
            <w:tcW w:w="1060" w:type="pct"/>
            <w:tcBorders>
              <w:top w:val="nil"/>
            </w:tcBorders>
            <w:shd w:val="clear" w:color="auto" w:fill="FFFFFF" w:themeFill="background1"/>
            <w:noWrap/>
            <w:vAlign w:val="bottom"/>
          </w:tcPr>
          <w:p w14:paraId="5EE4BD37" w14:textId="77777777" w:rsidR="00A00376" w:rsidRPr="00BE5E11" w:rsidRDefault="00A00376" w:rsidP="008556F9">
            <w:pPr>
              <w:spacing w:after="0" w:line="240" w:lineRule="auto"/>
              <w:jc w:val="both"/>
              <w:rPr>
                <w:rFonts w:ascii="Times New Roman" w:hAnsi="Times New Roman"/>
                <w:b/>
                <w:bCs/>
                <w:sz w:val="24"/>
                <w:szCs w:val="24"/>
              </w:rPr>
            </w:pPr>
            <w:r w:rsidRPr="00BE5E11">
              <w:rPr>
                <w:rFonts w:ascii="Times New Roman" w:hAnsi="Times New Roman"/>
                <w:sz w:val="24"/>
                <w:szCs w:val="24"/>
              </w:rPr>
              <w:t>9.02</w:t>
            </w:r>
          </w:p>
        </w:tc>
      </w:tr>
      <w:tr w:rsidR="00A00376" w:rsidRPr="00BE5E11" w14:paraId="1926F4AE" w14:textId="77777777" w:rsidTr="008C7270">
        <w:trPr>
          <w:trHeight w:val="310"/>
        </w:trPr>
        <w:tc>
          <w:tcPr>
            <w:tcW w:w="5000" w:type="pct"/>
            <w:gridSpan w:val="3"/>
            <w:tcBorders>
              <w:top w:val="nil"/>
              <w:left w:val="nil"/>
              <w:bottom w:val="nil"/>
            </w:tcBorders>
            <w:shd w:val="clear" w:color="auto" w:fill="FFFFFF" w:themeFill="background1"/>
            <w:vAlign w:val="center"/>
          </w:tcPr>
          <w:p w14:paraId="7BCD9701" w14:textId="77777777" w:rsidR="00A00376" w:rsidRPr="00BE5E11" w:rsidRDefault="00A00376"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ASC rating based on whether male or female</w:t>
            </w:r>
          </w:p>
        </w:tc>
      </w:tr>
      <w:tr w:rsidR="00A00376" w:rsidRPr="00BE5E11" w14:paraId="7CA989CF" w14:textId="77777777" w:rsidTr="008C7270">
        <w:trPr>
          <w:trHeight w:val="310"/>
        </w:trPr>
        <w:tc>
          <w:tcPr>
            <w:tcW w:w="2867" w:type="pct"/>
            <w:tcBorders>
              <w:top w:val="nil"/>
              <w:left w:val="nil"/>
              <w:bottom w:val="nil"/>
              <w:right w:val="nil"/>
            </w:tcBorders>
            <w:shd w:val="clear" w:color="auto" w:fill="FFFFFF" w:themeFill="background1"/>
            <w:noWrap/>
            <w:vAlign w:val="bottom"/>
          </w:tcPr>
          <w:p w14:paraId="06857FAC" w14:textId="77777777" w:rsidR="00A00376" w:rsidRPr="00BE5E11" w:rsidRDefault="00A00376" w:rsidP="008556F9">
            <w:pPr>
              <w:spacing w:after="0" w:line="240" w:lineRule="auto"/>
              <w:jc w:val="both"/>
              <w:rPr>
                <w:rFonts w:ascii="Times New Roman" w:hAnsi="Times New Roman"/>
                <w:b/>
                <w:bCs/>
                <w:sz w:val="24"/>
                <w:szCs w:val="24"/>
              </w:rPr>
            </w:pPr>
            <w:r w:rsidRPr="00BE5E11">
              <w:rPr>
                <w:rFonts w:ascii="Times New Roman" w:hAnsi="Times New Roman"/>
                <w:sz w:val="24"/>
                <w:szCs w:val="24"/>
              </w:rPr>
              <w:t>Man</w:t>
            </w:r>
          </w:p>
        </w:tc>
        <w:tc>
          <w:tcPr>
            <w:tcW w:w="1073" w:type="pct"/>
            <w:tcBorders>
              <w:left w:val="nil"/>
            </w:tcBorders>
            <w:shd w:val="clear" w:color="auto" w:fill="FFFFFF" w:themeFill="background1"/>
            <w:noWrap/>
            <w:vAlign w:val="bottom"/>
          </w:tcPr>
          <w:p w14:paraId="4A7F8F66" w14:textId="77777777" w:rsidR="00A00376" w:rsidRPr="00BE5E11" w:rsidRDefault="00A00376" w:rsidP="008556F9">
            <w:pPr>
              <w:spacing w:after="0" w:line="240" w:lineRule="auto"/>
              <w:jc w:val="both"/>
              <w:rPr>
                <w:rFonts w:ascii="Times New Roman" w:hAnsi="Times New Roman"/>
                <w:b/>
                <w:bCs/>
                <w:sz w:val="24"/>
                <w:szCs w:val="24"/>
              </w:rPr>
            </w:pPr>
            <w:r w:rsidRPr="00BE5E11">
              <w:rPr>
                <w:rFonts w:ascii="Times New Roman" w:hAnsi="Times New Roman"/>
                <w:sz w:val="24"/>
                <w:szCs w:val="24"/>
              </w:rPr>
              <w:t>66</w:t>
            </w:r>
          </w:p>
        </w:tc>
        <w:tc>
          <w:tcPr>
            <w:tcW w:w="1060" w:type="pct"/>
            <w:shd w:val="clear" w:color="auto" w:fill="FFFFFF" w:themeFill="background1"/>
            <w:noWrap/>
            <w:vAlign w:val="bottom"/>
          </w:tcPr>
          <w:p w14:paraId="1AAD1273" w14:textId="77777777" w:rsidR="00A00376" w:rsidRPr="00BE5E11" w:rsidRDefault="00A00376" w:rsidP="008556F9">
            <w:pPr>
              <w:spacing w:after="0" w:line="240" w:lineRule="auto"/>
              <w:jc w:val="both"/>
              <w:rPr>
                <w:rFonts w:ascii="Times New Roman" w:hAnsi="Times New Roman"/>
                <w:b/>
                <w:bCs/>
                <w:sz w:val="24"/>
                <w:szCs w:val="24"/>
              </w:rPr>
            </w:pPr>
            <w:r w:rsidRPr="00BE5E11">
              <w:rPr>
                <w:rFonts w:ascii="Times New Roman" w:hAnsi="Times New Roman"/>
                <w:sz w:val="24"/>
                <w:szCs w:val="24"/>
              </w:rPr>
              <w:t>24.81</w:t>
            </w:r>
          </w:p>
        </w:tc>
      </w:tr>
      <w:tr w:rsidR="00A00376" w:rsidRPr="00BE5E11" w14:paraId="1E39CA35" w14:textId="77777777" w:rsidTr="008C7270">
        <w:trPr>
          <w:trHeight w:val="310"/>
        </w:trPr>
        <w:tc>
          <w:tcPr>
            <w:tcW w:w="2867" w:type="pct"/>
            <w:tcBorders>
              <w:top w:val="nil"/>
              <w:left w:val="nil"/>
              <w:bottom w:val="nil"/>
              <w:right w:val="nil"/>
            </w:tcBorders>
            <w:shd w:val="clear" w:color="auto" w:fill="FFFFFF" w:themeFill="background1"/>
            <w:noWrap/>
            <w:vAlign w:val="bottom"/>
          </w:tcPr>
          <w:p w14:paraId="0F18C7B5" w14:textId="77777777" w:rsidR="00A00376" w:rsidRPr="00BE5E11" w:rsidRDefault="00A00376"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Women</w:t>
            </w:r>
          </w:p>
        </w:tc>
        <w:tc>
          <w:tcPr>
            <w:tcW w:w="1073" w:type="pct"/>
            <w:tcBorders>
              <w:top w:val="nil"/>
              <w:left w:val="nil"/>
            </w:tcBorders>
            <w:shd w:val="clear" w:color="auto" w:fill="FFFFFF" w:themeFill="background1"/>
            <w:noWrap/>
            <w:vAlign w:val="bottom"/>
          </w:tcPr>
          <w:p w14:paraId="44B227D2" w14:textId="77777777" w:rsidR="00A00376" w:rsidRPr="00BE5E11" w:rsidRDefault="00A00376"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200</w:t>
            </w:r>
          </w:p>
        </w:tc>
        <w:tc>
          <w:tcPr>
            <w:tcW w:w="1060" w:type="pct"/>
            <w:tcBorders>
              <w:top w:val="nil"/>
            </w:tcBorders>
            <w:shd w:val="clear" w:color="auto" w:fill="FFFFFF" w:themeFill="background1"/>
            <w:noWrap/>
            <w:vAlign w:val="bottom"/>
          </w:tcPr>
          <w:p w14:paraId="01AE7E8E" w14:textId="77777777" w:rsidR="00A00376" w:rsidRPr="00BE5E11" w:rsidRDefault="00A00376"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75.19</w:t>
            </w:r>
          </w:p>
        </w:tc>
      </w:tr>
      <w:tr w:rsidR="00A00376" w:rsidRPr="00BE5E11" w14:paraId="1D34801A" w14:textId="77777777" w:rsidTr="008C7270">
        <w:trPr>
          <w:trHeight w:val="310"/>
        </w:trPr>
        <w:tc>
          <w:tcPr>
            <w:tcW w:w="5000" w:type="pct"/>
            <w:gridSpan w:val="3"/>
            <w:tcBorders>
              <w:top w:val="nil"/>
              <w:left w:val="nil"/>
              <w:bottom w:val="nil"/>
            </w:tcBorders>
            <w:shd w:val="clear" w:color="auto" w:fill="FFFFFF" w:themeFill="background1"/>
            <w:vAlign w:val="center"/>
          </w:tcPr>
          <w:p w14:paraId="2A0F04B6" w14:textId="77777777" w:rsidR="00A00376" w:rsidRPr="00BE5E11" w:rsidRDefault="00A00376"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Quality of relationship between stakeholders and ASC</w:t>
            </w:r>
          </w:p>
        </w:tc>
      </w:tr>
      <w:tr w:rsidR="00A00376" w:rsidRPr="00BE5E11" w14:paraId="3469D2F0" w14:textId="77777777" w:rsidTr="008C7270">
        <w:trPr>
          <w:trHeight w:val="310"/>
        </w:trPr>
        <w:tc>
          <w:tcPr>
            <w:tcW w:w="2867" w:type="pct"/>
            <w:tcBorders>
              <w:top w:val="nil"/>
              <w:left w:val="nil"/>
              <w:bottom w:val="nil"/>
              <w:right w:val="nil"/>
            </w:tcBorders>
            <w:shd w:val="clear" w:color="auto" w:fill="FFFFFF" w:themeFill="background1"/>
            <w:noWrap/>
            <w:vAlign w:val="bottom"/>
          </w:tcPr>
          <w:p w14:paraId="022331F4" w14:textId="77777777" w:rsidR="00A00376" w:rsidRPr="00BE5E11" w:rsidRDefault="00A00376" w:rsidP="008556F9">
            <w:pPr>
              <w:spacing w:after="0" w:line="240" w:lineRule="auto"/>
              <w:jc w:val="both"/>
              <w:rPr>
                <w:rFonts w:ascii="Times New Roman" w:hAnsi="Times New Roman"/>
                <w:b/>
                <w:bCs/>
                <w:sz w:val="24"/>
                <w:szCs w:val="24"/>
              </w:rPr>
            </w:pPr>
            <w:r w:rsidRPr="00BE5E11">
              <w:rPr>
                <w:rFonts w:ascii="Times New Roman" w:hAnsi="Times New Roman"/>
                <w:sz w:val="24"/>
                <w:szCs w:val="24"/>
              </w:rPr>
              <w:t>Very good</w:t>
            </w:r>
          </w:p>
        </w:tc>
        <w:tc>
          <w:tcPr>
            <w:tcW w:w="1073" w:type="pct"/>
            <w:tcBorders>
              <w:top w:val="nil"/>
              <w:left w:val="nil"/>
            </w:tcBorders>
            <w:shd w:val="clear" w:color="auto" w:fill="FFFFFF" w:themeFill="background1"/>
            <w:noWrap/>
            <w:vAlign w:val="bottom"/>
          </w:tcPr>
          <w:p w14:paraId="1B3FFC37" w14:textId="77777777" w:rsidR="00A00376" w:rsidRPr="00BE5E11" w:rsidRDefault="00A00376" w:rsidP="008556F9">
            <w:pPr>
              <w:spacing w:after="0" w:line="240" w:lineRule="auto"/>
              <w:jc w:val="both"/>
              <w:rPr>
                <w:rFonts w:ascii="Times New Roman" w:hAnsi="Times New Roman"/>
                <w:b/>
                <w:bCs/>
                <w:sz w:val="24"/>
                <w:szCs w:val="24"/>
              </w:rPr>
            </w:pPr>
            <w:r w:rsidRPr="00BE5E11">
              <w:rPr>
                <w:rFonts w:ascii="Times New Roman" w:hAnsi="Times New Roman"/>
                <w:sz w:val="24"/>
                <w:szCs w:val="24"/>
              </w:rPr>
              <w:t>117</w:t>
            </w:r>
          </w:p>
        </w:tc>
        <w:tc>
          <w:tcPr>
            <w:tcW w:w="1060" w:type="pct"/>
            <w:tcBorders>
              <w:top w:val="nil"/>
            </w:tcBorders>
            <w:shd w:val="clear" w:color="auto" w:fill="FFFFFF" w:themeFill="background1"/>
            <w:noWrap/>
            <w:vAlign w:val="bottom"/>
          </w:tcPr>
          <w:p w14:paraId="00BB81A9" w14:textId="77777777" w:rsidR="00A00376" w:rsidRPr="00BE5E11" w:rsidRDefault="00A00376" w:rsidP="008556F9">
            <w:pPr>
              <w:spacing w:after="0" w:line="240" w:lineRule="auto"/>
              <w:jc w:val="both"/>
              <w:rPr>
                <w:rFonts w:ascii="Times New Roman" w:hAnsi="Times New Roman"/>
                <w:b/>
                <w:bCs/>
                <w:sz w:val="24"/>
                <w:szCs w:val="24"/>
              </w:rPr>
            </w:pPr>
            <w:r w:rsidRPr="00BE5E11">
              <w:rPr>
                <w:rFonts w:ascii="Times New Roman" w:hAnsi="Times New Roman"/>
                <w:sz w:val="24"/>
                <w:szCs w:val="24"/>
              </w:rPr>
              <w:t>43.98</w:t>
            </w:r>
          </w:p>
        </w:tc>
      </w:tr>
      <w:tr w:rsidR="00A00376" w:rsidRPr="00BE5E11" w14:paraId="1E11DD85" w14:textId="77777777" w:rsidTr="008C7270">
        <w:trPr>
          <w:trHeight w:val="310"/>
        </w:trPr>
        <w:tc>
          <w:tcPr>
            <w:tcW w:w="2867" w:type="pct"/>
            <w:tcBorders>
              <w:top w:val="nil"/>
              <w:left w:val="nil"/>
              <w:bottom w:val="nil"/>
              <w:right w:val="nil"/>
            </w:tcBorders>
            <w:shd w:val="clear" w:color="auto" w:fill="FFFFFF" w:themeFill="background1"/>
            <w:noWrap/>
            <w:vAlign w:val="bottom"/>
          </w:tcPr>
          <w:p w14:paraId="5ACE10E9" w14:textId="77777777" w:rsidR="00A00376" w:rsidRPr="00BE5E11" w:rsidRDefault="00A00376"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Good</w:t>
            </w:r>
          </w:p>
        </w:tc>
        <w:tc>
          <w:tcPr>
            <w:tcW w:w="1073" w:type="pct"/>
            <w:tcBorders>
              <w:top w:val="nil"/>
              <w:left w:val="nil"/>
            </w:tcBorders>
            <w:shd w:val="clear" w:color="auto" w:fill="FFFFFF" w:themeFill="background1"/>
            <w:noWrap/>
            <w:vAlign w:val="bottom"/>
          </w:tcPr>
          <w:p w14:paraId="2E6BAA2D" w14:textId="77777777" w:rsidR="00A00376" w:rsidRPr="00BE5E11" w:rsidRDefault="00A00376"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141</w:t>
            </w:r>
          </w:p>
        </w:tc>
        <w:tc>
          <w:tcPr>
            <w:tcW w:w="1060" w:type="pct"/>
            <w:tcBorders>
              <w:top w:val="nil"/>
            </w:tcBorders>
            <w:shd w:val="clear" w:color="auto" w:fill="FFFFFF" w:themeFill="background1"/>
            <w:noWrap/>
            <w:vAlign w:val="bottom"/>
          </w:tcPr>
          <w:p w14:paraId="736C5550" w14:textId="77777777" w:rsidR="00A00376" w:rsidRPr="00BE5E11" w:rsidRDefault="00A00376"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53.01</w:t>
            </w:r>
          </w:p>
        </w:tc>
      </w:tr>
      <w:tr w:rsidR="00A00376" w:rsidRPr="00BE5E11" w14:paraId="68DC06CD" w14:textId="77777777" w:rsidTr="008C7270">
        <w:trPr>
          <w:trHeight w:val="310"/>
        </w:trPr>
        <w:tc>
          <w:tcPr>
            <w:tcW w:w="2867" w:type="pct"/>
            <w:tcBorders>
              <w:top w:val="nil"/>
              <w:left w:val="nil"/>
              <w:bottom w:val="nil"/>
              <w:right w:val="nil"/>
            </w:tcBorders>
            <w:shd w:val="clear" w:color="auto" w:fill="FFFFFF" w:themeFill="background1"/>
            <w:noWrap/>
            <w:vAlign w:val="bottom"/>
          </w:tcPr>
          <w:p w14:paraId="2E6BE9BF" w14:textId="77777777" w:rsidR="00A00376" w:rsidRPr="00BE5E11" w:rsidRDefault="00A00376" w:rsidP="008556F9">
            <w:pPr>
              <w:spacing w:after="0" w:line="240" w:lineRule="auto"/>
              <w:jc w:val="both"/>
              <w:rPr>
                <w:rFonts w:ascii="Times New Roman" w:hAnsi="Times New Roman"/>
                <w:sz w:val="24"/>
                <w:szCs w:val="24"/>
              </w:rPr>
            </w:pPr>
            <w:r w:rsidRPr="00BE5E11">
              <w:rPr>
                <w:rFonts w:ascii="Times New Roman" w:hAnsi="Times New Roman"/>
                <w:sz w:val="24"/>
                <w:szCs w:val="24"/>
              </w:rPr>
              <w:t>No opinion</w:t>
            </w:r>
          </w:p>
        </w:tc>
        <w:tc>
          <w:tcPr>
            <w:tcW w:w="1073" w:type="pct"/>
            <w:tcBorders>
              <w:top w:val="nil"/>
              <w:left w:val="nil"/>
            </w:tcBorders>
            <w:shd w:val="clear" w:color="auto" w:fill="FFFFFF" w:themeFill="background1"/>
            <w:noWrap/>
            <w:vAlign w:val="bottom"/>
          </w:tcPr>
          <w:p w14:paraId="7CF3013A" w14:textId="77777777" w:rsidR="00A00376" w:rsidRPr="00BE5E11" w:rsidRDefault="00A00376" w:rsidP="008556F9">
            <w:pPr>
              <w:spacing w:after="0" w:line="240" w:lineRule="auto"/>
              <w:jc w:val="both"/>
              <w:rPr>
                <w:rFonts w:ascii="Times New Roman" w:hAnsi="Times New Roman"/>
                <w:sz w:val="24"/>
                <w:szCs w:val="24"/>
              </w:rPr>
            </w:pPr>
            <w:r w:rsidRPr="00BE5E11">
              <w:rPr>
                <w:rFonts w:ascii="Times New Roman" w:hAnsi="Times New Roman"/>
                <w:sz w:val="24"/>
                <w:szCs w:val="24"/>
              </w:rPr>
              <w:t>8</w:t>
            </w:r>
          </w:p>
        </w:tc>
        <w:tc>
          <w:tcPr>
            <w:tcW w:w="1060" w:type="pct"/>
            <w:tcBorders>
              <w:top w:val="nil"/>
            </w:tcBorders>
            <w:shd w:val="clear" w:color="auto" w:fill="FFFFFF" w:themeFill="background1"/>
            <w:noWrap/>
            <w:vAlign w:val="bottom"/>
          </w:tcPr>
          <w:p w14:paraId="1182FACB" w14:textId="77777777" w:rsidR="00A00376" w:rsidRPr="00BE5E11" w:rsidRDefault="00A00376" w:rsidP="008556F9">
            <w:pPr>
              <w:spacing w:after="0" w:line="240" w:lineRule="auto"/>
              <w:jc w:val="both"/>
              <w:rPr>
                <w:rFonts w:ascii="Times New Roman" w:hAnsi="Times New Roman"/>
                <w:sz w:val="24"/>
                <w:szCs w:val="24"/>
              </w:rPr>
            </w:pPr>
            <w:r w:rsidRPr="00BE5E11">
              <w:rPr>
                <w:rFonts w:ascii="Times New Roman" w:hAnsi="Times New Roman"/>
                <w:sz w:val="24"/>
                <w:szCs w:val="24"/>
              </w:rPr>
              <w:t>3.01</w:t>
            </w:r>
          </w:p>
        </w:tc>
      </w:tr>
      <w:tr w:rsidR="00A00376" w:rsidRPr="00BE5E11" w14:paraId="315A2824" w14:textId="77777777" w:rsidTr="008C7270">
        <w:trPr>
          <w:trHeight w:val="310"/>
        </w:trPr>
        <w:tc>
          <w:tcPr>
            <w:tcW w:w="5000" w:type="pct"/>
            <w:gridSpan w:val="3"/>
            <w:tcBorders>
              <w:top w:val="nil"/>
              <w:left w:val="nil"/>
              <w:bottom w:val="nil"/>
              <w:right w:val="nil"/>
            </w:tcBorders>
            <w:shd w:val="clear" w:color="auto" w:fill="FFFFFF" w:themeFill="background1"/>
            <w:noWrap/>
            <w:vAlign w:val="center"/>
          </w:tcPr>
          <w:p w14:paraId="5BFDC422" w14:textId="77777777" w:rsidR="00A00376" w:rsidRPr="00BE5E11" w:rsidRDefault="00A00376"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User satisfaction level with the work of the ASCs</w:t>
            </w:r>
          </w:p>
        </w:tc>
      </w:tr>
      <w:tr w:rsidR="00A00376" w:rsidRPr="00BE5E11" w14:paraId="5341134B" w14:textId="77777777" w:rsidTr="008C7270">
        <w:trPr>
          <w:trHeight w:val="310"/>
        </w:trPr>
        <w:tc>
          <w:tcPr>
            <w:tcW w:w="2867" w:type="pct"/>
            <w:tcBorders>
              <w:top w:val="nil"/>
              <w:left w:val="nil"/>
              <w:bottom w:val="nil"/>
              <w:right w:val="nil"/>
            </w:tcBorders>
            <w:shd w:val="clear" w:color="auto" w:fill="FFFFFF" w:themeFill="background1"/>
            <w:noWrap/>
            <w:vAlign w:val="bottom"/>
          </w:tcPr>
          <w:p w14:paraId="6AC2B41C" w14:textId="77777777" w:rsidR="00A00376" w:rsidRPr="00BE5E11" w:rsidRDefault="00A00376" w:rsidP="008556F9">
            <w:pPr>
              <w:spacing w:after="0" w:line="240" w:lineRule="auto"/>
              <w:jc w:val="both"/>
              <w:rPr>
                <w:rFonts w:ascii="Times New Roman" w:hAnsi="Times New Roman"/>
                <w:sz w:val="24"/>
                <w:szCs w:val="24"/>
              </w:rPr>
            </w:pPr>
            <w:r w:rsidRPr="00BE5E11">
              <w:rPr>
                <w:rFonts w:ascii="Times New Roman" w:hAnsi="Times New Roman"/>
                <w:sz w:val="24"/>
                <w:szCs w:val="24"/>
              </w:rPr>
              <w:t>Moderately satisfied</w:t>
            </w:r>
          </w:p>
        </w:tc>
        <w:tc>
          <w:tcPr>
            <w:tcW w:w="1073" w:type="pct"/>
            <w:tcBorders>
              <w:top w:val="nil"/>
              <w:left w:val="nil"/>
            </w:tcBorders>
            <w:shd w:val="clear" w:color="auto" w:fill="FFFFFF" w:themeFill="background1"/>
            <w:noWrap/>
            <w:vAlign w:val="bottom"/>
          </w:tcPr>
          <w:p w14:paraId="4A847781" w14:textId="77777777" w:rsidR="00A00376" w:rsidRPr="00BE5E11" w:rsidRDefault="00A00376" w:rsidP="008556F9">
            <w:pPr>
              <w:spacing w:after="0" w:line="240" w:lineRule="auto"/>
              <w:jc w:val="both"/>
              <w:rPr>
                <w:rFonts w:ascii="Times New Roman" w:hAnsi="Times New Roman"/>
                <w:sz w:val="24"/>
                <w:szCs w:val="24"/>
              </w:rPr>
            </w:pPr>
            <w:r w:rsidRPr="00BE5E11">
              <w:rPr>
                <w:rFonts w:ascii="Times New Roman" w:hAnsi="Times New Roman"/>
                <w:sz w:val="24"/>
                <w:szCs w:val="24"/>
              </w:rPr>
              <w:t>74</w:t>
            </w:r>
          </w:p>
        </w:tc>
        <w:tc>
          <w:tcPr>
            <w:tcW w:w="1060" w:type="pct"/>
            <w:tcBorders>
              <w:top w:val="nil"/>
            </w:tcBorders>
            <w:shd w:val="clear" w:color="auto" w:fill="FFFFFF" w:themeFill="background1"/>
            <w:noWrap/>
            <w:vAlign w:val="bottom"/>
          </w:tcPr>
          <w:p w14:paraId="56E967D4" w14:textId="77777777" w:rsidR="00A00376" w:rsidRPr="00BE5E11" w:rsidRDefault="00A00376" w:rsidP="008556F9">
            <w:pPr>
              <w:spacing w:after="0" w:line="240" w:lineRule="auto"/>
              <w:jc w:val="both"/>
              <w:rPr>
                <w:rFonts w:ascii="Times New Roman" w:hAnsi="Times New Roman"/>
                <w:sz w:val="24"/>
                <w:szCs w:val="24"/>
              </w:rPr>
            </w:pPr>
            <w:r w:rsidRPr="00BE5E11">
              <w:rPr>
                <w:rFonts w:ascii="Times New Roman" w:hAnsi="Times New Roman"/>
                <w:sz w:val="24"/>
                <w:szCs w:val="24"/>
              </w:rPr>
              <w:t>27.82</w:t>
            </w:r>
          </w:p>
        </w:tc>
      </w:tr>
      <w:tr w:rsidR="00A00376" w:rsidRPr="00BE5E11" w14:paraId="376E8EFD" w14:textId="77777777" w:rsidTr="008C7270">
        <w:trPr>
          <w:trHeight w:val="310"/>
        </w:trPr>
        <w:tc>
          <w:tcPr>
            <w:tcW w:w="2867" w:type="pct"/>
            <w:tcBorders>
              <w:top w:val="nil"/>
              <w:left w:val="nil"/>
              <w:bottom w:val="nil"/>
              <w:right w:val="nil"/>
            </w:tcBorders>
            <w:shd w:val="clear" w:color="auto" w:fill="FFFFFF" w:themeFill="background1"/>
            <w:noWrap/>
            <w:vAlign w:val="bottom"/>
          </w:tcPr>
          <w:p w14:paraId="028E17F0" w14:textId="77777777" w:rsidR="00A00376" w:rsidRPr="00BE5E11" w:rsidRDefault="00A00376" w:rsidP="008556F9">
            <w:pPr>
              <w:spacing w:after="0" w:line="240" w:lineRule="auto"/>
              <w:jc w:val="both"/>
              <w:rPr>
                <w:rFonts w:ascii="Times New Roman" w:hAnsi="Times New Roman"/>
                <w:sz w:val="24"/>
                <w:szCs w:val="24"/>
              </w:rPr>
            </w:pPr>
            <w:r w:rsidRPr="00BE5E11">
              <w:rPr>
                <w:rFonts w:ascii="Times New Roman" w:hAnsi="Times New Roman"/>
                <w:b/>
                <w:bCs/>
                <w:sz w:val="24"/>
                <w:szCs w:val="24"/>
              </w:rPr>
              <w:t>Satisfied</w:t>
            </w:r>
          </w:p>
        </w:tc>
        <w:tc>
          <w:tcPr>
            <w:tcW w:w="1073" w:type="pct"/>
            <w:tcBorders>
              <w:top w:val="nil"/>
              <w:left w:val="nil"/>
            </w:tcBorders>
            <w:shd w:val="clear" w:color="auto" w:fill="FFFFFF" w:themeFill="background1"/>
            <w:noWrap/>
            <w:vAlign w:val="bottom"/>
          </w:tcPr>
          <w:p w14:paraId="2039170D" w14:textId="77777777" w:rsidR="00A00376" w:rsidRPr="00BE5E11" w:rsidRDefault="00A00376" w:rsidP="008556F9">
            <w:pPr>
              <w:spacing w:after="0" w:line="240" w:lineRule="auto"/>
              <w:jc w:val="both"/>
              <w:rPr>
                <w:rFonts w:ascii="Times New Roman" w:hAnsi="Times New Roman"/>
                <w:sz w:val="24"/>
                <w:szCs w:val="24"/>
              </w:rPr>
            </w:pPr>
            <w:r w:rsidRPr="00BE5E11">
              <w:rPr>
                <w:rFonts w:ascii="Times New Roman" w:hAnsi="Times New Roman"/>
                <w:b/>
                <w:bCs/>
                <w:sz w:val="24"/>
                <w:szCs w:val="24"/>
              </w:rPr>
              <w:t>178</w:t>
            </w:r>
          </w:p>
        </w:tc>
        <w:tc>
          <w:tcPr>
            <w:tcW w:w="1060" w:type="pct"/>
            <w:tcBorders>
              <w:top w:val="nil"/>
            </w:tcBorders>
            <w:shd w:val="clear" w:color="auto" w:fill="FFFFFF" w:themeFill="background1"/>
            <w:noWrap/>
            <w:vAlign w:val="bottom"/>
          </w:tcPr>
          <w:p w14:paraId="4935FE6E" w14:textId="77777777" w:rsidR="00A00376" w:rsidRPr="00BE5E11" w:rsidRDefault="00A00376"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67.29</w:t>
            </w:r>
          </w:p>
        </w:tc>
      </w:tr>
      <w:tr w:rsidR="00A00376" w:rsidRPr="00BE5E11" w14:paraId="0D011FF7" w14:textId="77777777" w:rsidTr="008C7270">
        <w:trPr>
          <w:trHeight w:val="310"/>
        </w:trPr>
        <w:tc>
          <w:tcPr>
            <w:tcW w:w="2867" w:type="pct"/>
            <w:tcBorders>
              <w:top w:val="nil"/>
              <w:left w:val="nil"/>
              <w:bottom w:val="nil"/>
              <w:right w:val="nil"/>
            </w:tcBorders>
            <w:shd w:val="clear" w:color="auto" w:fill="FFFFFF" w:themeFill="background1"/>
            <w:noWrap/>
            <w:vAlign w:val="bottom"/>
          </w:tcPr>
          <w:p w14:paraId="27704F43" w14:textId="77777777" w:rsidR="00A00376" w:rsidRPr="00BE5E11" w:rsidRDefault="00A00376" w:rsidP="008556F9">
            <w:pPr>
              <w:spacing w:after="0" w:line="240" w:lineRule="auto"/>
              <w:jc w:val="both"/>
              <w:rPr>
                <w:rFonts w:ascii="Times New Roman" w:hAnsi="Times New Roman"/>
                <w:sz w:val="24"/>
                <w:szCs w:val="24"/>
              </w:rPr>
            </w:pPr>
            <w:r w:rsidRPr="00BE5E11">
              <w:rPr>
                <w:rFonts w:ascii="Times New Roman" w:hAnsi="Times New Roman"/>
                <w:sz w:val="24"/>
                <w:szCs w:val="24"/>
              </w:rPr>
              <w:t>Not satisfied</w:t>
            </w:r>
          </w:p>
        </w:tc>
        <w:tc>
          <w:tcPr>
            <w:tcW w:w="1073" w:type="pct"/>
            <w:tcBorders>
              <w:top w:val="nil"/>
              <w:left w:val="nil"/>
            </w:tcBorders>
            <w:shd w:val="clear" w:color="auto" w:fill="FFFFFF" w:themeFill="background1"/>
            <w:noWrap/>
            <w:vAlign w:val="bottom"/>
          </w:tcPr>
          <w:p w14:paraId="1A9D7E88" w14:textId="77777777" w:rsidR="00A00376" w:rsidRPr="00BE5E11" w:rsidRDefault="00A00376" w:rsidP="008556F9">
            <w:pPr>
              <w:spacing w:after="0" w:line="240" w:lineRule="auto"/>
              <w:jc w:val="both"/>
              <w:rPr>
                <w:rFonts w:ascii="Times New Roman" w:hAnsi="Times New Roman"/>
                <w:sz w:val="24"/>
                <w:szCs w:val="24"/>
              </w:rPr>
            </w:pPr>
            <w:r w:rsidRPr="00BE5E11">
              <w:rPr>
                <w:rFonts w:ascii="Times New Roman" w:hAnsi="Times New Roman"/>
                <w:sz w:val="24"/>
                <w:szCs w:val="24"/>
              </w:rPr>
              <w:t>5</w:t>
            </w:r>
          </w:p>
        </w:tc>
        <w:tc>
          <w:tcPr>
            <w:tcW w:w="1060" w:type="pct"/>
            <w:tcBorders>
              <w:top w:val="nil"/>
            </w:tcBorders>
            <w:shd w:val="clear" w:color="auto" w:fill="FFFFFF" w:themeFill="background1"/>
            <w:noWrap/>
            <w:vAlign w:val="bottom"/>
          </w:tcPr>
          <w:p w14:paraId="270BDBEF" w14:textId="77777777" w:rsidR="00A00376" w:rsidRPr="00BE5E11" w:rsidRDefault="00A00376" w:rsidP="008556F9">
            <w:pPr>
              <w:spacing w:after="0" w:line="240" w:lineRule="auto"/>
              <w:jc w:val="both"/>
              <w:rPr>
                <w:rFonts w:ascii="Times New Roman" w:hAnsi="Times New Roman"/>
                <w:sz w:val="24"/>
                <w:szCs w:val="24"/>
              </w:rPr>
            </w:pPr>
            <w:r w:rsidRPr="00BE5E11">
              <w:rPr>
                <w:rFonts w:ascii="Times New Roman" w:hAnsi="Times New Roman"/>
                <w:sz w:val="24"/>
                <w:szCs w:val="24"/>
              </w:rPr>
              <w:t>1.88</w:t>
            </w:r>
          </w:p>
        </w:tc>
      </w:tr>
      <w:tr w:rsidR="00A00376" w:rsidRPr="00BE5E11" w14:paraId="554CF8A9" w14:textId="77777777" w:rsidTr="008C7270">
        <w:trPr>
          <w:trHeight w:val="310"/>
        </w:trPr>
        <w:tc>
          <w:tcPr>
            <w:tcW w:w="2867" w:type="pct"/>
            <w:tcBorders>
              <w:top w:val="nil"/>
              <w:left w:val="nil"/>
              <w:bottom w:val="thickThinSmallGap" w:sz="24" w:space="0" w:color="auto"/>
              <w:right w:val="nil"/>
            </w:tcBorders>
            <w:shd w:val="clear" w:color="auto" w:fill="FFFFFF" w:themeFill="background1"/>
            <w:noWrap/>
            <w:vAlign w:val="bottom"/>
          </w:tcPr>
          <w:p w14:paraId="7F340CC9" w14:textId="77777777" w:rsidR="00A00376" w:rsidRPr="00BE5E11" w:rsidRDefault="00A00376" w:rsidP="008556F9">
            <w:pPr>
              <w:spacing w:after="0" w:line="240" w:lineRule="auto"/>
              <w:jc w:val="both"/>
              <w:rPr>
                <w:rFonts w:ascii="Times New Roman" w:hAnsi="Times New Roman"/>
                <w:sz w:val="24"/>
                <w:szCs w:val="24"/>
              </w:rPr>
            </w:pPr>
            <w:bookmarkStart w:id="5" w:name="_Hlk218585081"/>
            <w:r w:rsidRPr="00BE5E11">
              <w:rPr>
                <w:rFonts w:ascii="Times New Roman" w:hAnsi="Times New Roman"/>
                <w:sz w:val="24"/>
                <w:szCs w:val="24"/>
              </w:rPr>
              <w:t>I don't know</w:t>
            </w:r>
          </w:p>
        </w:tc>
        <w:tc>
          <w:tcPr>
            <w:tcW w:w="1073" w:type="pct"/>
            <w:tcBorders>
              <w:top w:val="nil"/>
              <w:left w:val="nil"/>
              <w:bottom w:val="thickThinSmallGap" w:sz="24" w:space="0" w:color="auto"/>
            </w:tcBorders>
            <w:shd w:val="clear" w:color="auto" w:fill="FFFFFF" w:themeFill="background1"/>
            <w:noWrap/>
            <w:vAlign w:val="bottom"/>
          </w:tcPr>
          <w:p w14:paraId="0ADB74DB" w14:textId="77777777" w:rsidR="00A00376" w:rsidRPr="00BE5E11" w:rsidRDefault="00A00376" w:rsidP="008556F9">
            <w:pPr>
              <w:spacing w:after="0" w:line="240" w:lineRule="auto"/>
              <w:jc w:val="both"/>
              <w:rPr>
                <w:rFonts w:ascii="Times New Roman" w:hAnsi="Times New Roman"/>
                <w:sz w:val="24"/>
                <w:szCs w:val="24"/>
              </w:rPr>
            </w:pPr>
            <w:r w:rsidRPr="00BE5E11">
              <w:rPr>
                <w:rFonts w:ascii="Times New Roman" w:hAnsi="Times New Roman"/>
                <w:sz w:val="24"/>
                <w:szCs w:val="24"/>
              </w:rPr>
              <w:t>8</w:t>
            </w:r>
          </w:p>
        </w:tc>
        <w:tc>
          <w:tcPr>
            <w:tcW w:w="1060" w:type="pct"/>
            <w:tcBorders>
              <w:top w:val="nil"/>
              <w:bottom w:val="thickThinSmallGap" w:sz="24" w:space="0" w:color="auto"/>
            </w:tcBorders>
            <w:shd w:val="clear" w:color="auto" w:fill="FFFFFF" w:themeFill="background1"/>
            <w:noWrap/>
            <w:vAlign w:val="bottom"/>
          </w:tcPr>
          <w:p w14:paraId="201EB686" w14:textId="77777777" w:rsidR="00A00376" w:rsidRPr="00BE5E11" w:rsidRDefault="00A00376" w:rsidP="008556F9">
            <w:pPr>
              <w:spacing w:after="0" w:line="240" w:lineRule="auto"/>
              <w:jc w:val="both"/>
              <w:rPr>
                <w:rFonts w:ascii="Times New Roman" w:hAnsi="Times New Roman"/>
                <w:sz w:val="24"/>
                <w:szCs w:val="24"/>
              </w:rPr>
            </w:pPr>
            <w:r w:rsidRPr="00BE5E11">
              <w:rPr>
                <w:rFonts w:ascii="Times New Roman" w:hAnsi="Times New Roman"/>
                <w:sz w:val="24"/>
                <w:szCs w:val="24"/>
              </w:rPr>
              <w:t>3.01</w:t>
            </w:r>
          </w:p>
        </w:tc>
      </w:tr>
      <w:bookmarkEnd w:id="4"/>
      <w:bookmarkEnd w:id="5"/>
    </w:tbl>
    <w:p w14:paraId="7396C4AC" w14:textId="77777777" w:rsidR="00775201" w:rsidRPr="00BE5E11" w:rsidRDefault="00775201" w:rsidP="008556F9">
      <w:pPr>
        <w:pStyle w:val="NormalWeb"/>
        <w:jc w:val="both"/>
        <w:rPr>
          <w:b/>
          <w:bCs/>
        </w:rPr>
      </w:pPr>
    </w:p>
    <w:p w14:paraId="629B3BE0" w14:textId="7832CFFE" w:rsidR="00775201" w:rsidRPr="00BE5E11" w:rsidRDefault="00B722C7" w:rsidP="008556F9">
      <w:pPr>
        <w:pStyle w:val="NormalWeb"/>
        <w:jc w:val="both"/>
        <w:rPr>
          <w:b/>
          <w:bCs/>
        </w:rPr>
      </w:pPr>
      <w:r w:rsidRPr="00BE5E11">
        <w:rPr>
          <w:b/>
          <w:bCs/>
        </w:rPr>
        <w:t>Working conditions and logistical environment of ASCs (Figure 1)</w:t>
      </w:r>
    </w:p>
    <w:p w14:paraId="76AB91B2" w14:textId="465FC1D1" w:rsidR="00B722C7" w:rsidRPr="00BE5E11" w:rsidRDefault="00B722C7" w:rsidP="008556F9">
      <w:pPr>
        <w:pStyle w:val="NormalWeb"/>
        <w:jc w:val="both"/>
      </w:pPr>
      <w:r w:rsidRPr="00BE5E11">
        <w:t>Analysis of material working conditions reveals a marked contrast between fixed infrastructure and mobility. In terms of facilities, a large majority of staff benefit from access to housing (80%) and a dedicated work env</w:t>
      </w:r>
      <w:r w:rsidRPr="00BE5E11">
        <w:t>i</w:t>
      </w:r>
      <w:r w:rsidRPr="00BE5E11">
        <w:t>ronment (87.7%), demonstrating an effort to institutionalize sites at the village level.</w:t>
      </w:r>
    </w:p>
    <w:p w14:paraId="2F015BF7" w14:textId="77777777" w:rsidR="00B722C7" w:rsidRPr="00BE5E11" w:rsidRDefault="00B722C7" w:rsidP="008556F9">
      <w:pPr>
        <w:pStyle w:val="NormalWeb"/>
        <w:jc w:val="both"/>
      </w:pPr>
      <w:r w:rsidRPr="00BE5E11">
        <w:t>However, mobility is the major logistical bottleneck: only 4.6% of the agents surveyed reported having a fun</w:t>
      </w:r>
      <w:r w:rsidRPr="00BE5E11">
        <w:t>c</w:t>
      </w:r>
      <w:r w:rsidRPr="00BE5E11">
        <w:t>tional means of transportation. This critical shortage of vehicles severely hinders agents' ability to travel for supervisory activities, referral of serious cases, and active searches for those lost to follow-up.</w:t>
      </w:r>
    </w:p>
    <w:p w14:paraId="30FAD7AB" w14:textId="77777777" w:rsidR="00A00376" w:rsidRPr="00BE5E11" w:rsidRDefault="00A00376" w:rsidP="00C970B6">
      <w:pPr>
        <w:spacing w:before="240" w:after="240" w:line="240" w:lineRule="auto"/>
        <w:jc w:val="center"/>
        <w:rPr>
          <w:rFonts w:ascii="Times New Roman" w:hAnsi="Times New Roman"/>
          <w:sz w:val="24"/>
          <w:szCs w:val="24"/>
        </w:rPr>
      </w:pPr>
      <w:r w:rsidRPr="00BE5E11">
        <w:rPr>
          <w:rFonts w:ascii="Times New Roman" w:hAnsi="Times New Roman"/>
          <w:noProof/>
          <w:sz w:val="24"/>
          <w:szCs w:val="24"/>
          <w:lang w:val="en-IN" w:eastAsia="en-IN"/>
        </w:rPr>
        <w:lastRenderedPageBreak/>
        <w:drawing>
          <wp:inline distT="0" distB="0" distL="0" distR="0" wp14:anchorId="1380F2B1" wp14:editId="0971577D">
            <wp:extent cx="6012180" cy="3314700"/>
            <wp:effectExtent l="0" t="0" r="7620" b="0"/>
            <wp:docPr id="104591209" name="Graphique 23">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3723603-DB77-EBF2-3894-E5EB1FD643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23086CD" w14:textId="64604735" w:rsidR="00A00376" w:rsidRPr="00BE5E11" w:rsidRDefault="00A00376" w:rsidP="008556F9">
      <w:pPr>
        <w:spacing w:before="240" w:after="240" w:line="240" w:lineRule="auto"/>
        <w:jc w:val="both"/>
        <w:rPr>
          <w:rFonts w:ascii="Times New Roman" w:hAnsi="Times New Roman"/>
          <w:sz w:val="24"/>
          <w:szCs w:val="24"/>
        </w:rPr>
      </w:pPr>
      <w:bookmarkStart w:id="6" w:name="_Toc183130889"/>
      <w:bookmarkStart w:id="7" w:name="_Toc220360905"/>
      <w:r w:rsidRPr="00BE5E11">
        <w:rPr>
          <w:rFonts w:ascii="Times New Roman" w:hAnsi="Times New Roman"/>
          <w:b/>
          <w:bCs/>
          <w:sz w:val="24"/>
          <w:szCs w:val="24"/>
        </w:rPr>
        <w:t xml:space="preserve">Figure 1: </w:t>
      </w:r>
      <w:r w:rsidRPr="00BE5E11">
        <w:rPr>
          <w:rFonts w:ascii="Times New Roman" w:hAnsi="Times New Roman"/>
          <w:sz w:val="24"/>
          <w:szCs w:val="24"/>
        </w:rPr>
        <w:t xml:space="preserve">The opinion of the ASCs on their working conditions </w:t>
      </w:r>
      <w:bookmarkEnd w:id="6"/>
      <w:r w:rsidRPr="00BE5E11">
        <w:rPr>
          <w:rFonts w:ascii="Times New Roman" w:hAnsi="Times New Roman"/>
          <w:sz w:val="24"/>
          <w:szCs w:val="24"/>
        </w:rPr>
        <w:t>at the village site.</w:t>
      </w:r>
      <w:bookmarkEnd w:id="7"/>
    </w:p>
    <w:p w14:paraId="0A46A606" w14:textId="77777777" w:rsidR="001C4D2F" w:rsidRPr="00BE5E11" w:rsidRDefault="00EF2204" w:rsidP="008556F9">
      <w:pPr>
        <w:pStyle w:val="NormalWeb"/>
        <w:jc w:val="both"/>
        <w:rPr>
          <w:b/>
          <w:bCs/>
        </w:rPr>
      </w:pPr>
      <w:r w:rsidRPr="00BE5E11">
        <w:rPr>
          <w:b/>
          <w:bCs/>
        </w:rPr>
        <w:t>Clinical performance of community health workers in the management of moderate acute malnutrition (MAM)</w:t>
      </w:r>
    </w:p>
    <w:p w14:paraId="010C1688" w14:textId="6889D1E8" w:rsidR="00EF2204" w:rsidRPr="00BE5E11" w:rsidRDefault="00EF2204" w:rsidP="008556F9">
      <w:pPr>
        <w:pStyle w:val="NormalWeb"/>
        <w:jc w:val="both"/>
      </w:pPr>
      <w:r w:rsidRPr="00BE5E11">
        <w:t xml:space="preserve">Analysis of routine data from 2016 to 2024 reveals a massive increase in clinical activity by community health workers (CHWs). A total of 142,327 cases of moderate acute malnutrition (MAM) were treated. The volume of activity followed a continuous upward trajectory, rising from 2,697 cases in 2016 to a record high of 33,204 cases in 2023, before a slight decrease in 2024 (26,380 cases). Geographically, the </w:t>
      </w:r>
      <w:proofErr w:type="spellStart"/>
      <w:r w:rsidRPr="00BE5E11">
        <w:t>Ségou</w:t>
      </w:r>
      <w:proofErr w:type="spellEnd"/>
      <w:r w:rsidRPr="00BE5E11">
        <w:t xml:space="preserve"> region stands out as the major center of activity with 56,487 cases (39.7% of the cumulative total), followed by </w:t>
      </w:r>
      <w:proofErr w:type="spellStart"/>
      <w:r w:rsidRPr="00BE5E11">
        <w:t>Koulikoro</w:t>
      </w:r>
      <w:proofErr w:type="spellEnd"/>
      <w:r w:rsidRPr="00BE5E11">
        <w:t xml:space="preserve"> and </w:t>
      </w:r>
      <w:proofErr w:type="spellStart"/>
      <w:r w:rsidRPr="00BE5E11">
        <w:t>Mopti</w:t>
      </w:r>
      <w:proofErr w:type="spellEnd"/>
      <w:r w:rsidRPr="00BE5E11">
        <w:t>.</w:t>
      </w:r>
    </w:p>
    <w:p w14:paraId="20FF5789" w14:textId="5612CAEB" w:rsidR="005B4163" w:rsidRPr="00BE5E11" w:rsidRDefault="005B4163" w:rsidP="008556F9">
      <w:pPr>
        <w:spacing w:before="240" w:after="240" w:line="240" w:lineRule="auto"/>
        <w:jc w:val="both"/>
        <w:rPr>
          <w:rFonts w:ascii="Times New Roman" w:hAnsi="Times New Roman"/>
          <w:sz w:val="24"/>
          <w:szCs w:val="24"/>
        </w:rPr>
      </w:pPr>
      <w:bookmarkStart w:id="8" w:name="_Toc220360937"/>
      <w:bookmarkStart w:id="9" w:name="_Toc211969630"/>
      <w:proofErr w:type="gramStart"/>
      <w:r w:rsidRPr="00BE5E11">
        <w:rPr>
          <w:rFonts w:ascii="Times New Roman" w:hAnsi="Times New Roman"/>
          <w:b/>
          <w:bCs/>
          <w:sz w:val="24"/>
          <w:szCs w:val="24"/>
        </w:rPr>
        <w:t xml:space="preserve">Table 4: </w:t>
      </w:r>
      <w:r w:rsidRPr="00BE5E11">
        <w:rPr>
          <w:rFonts w:ascii="Times New Roman" w:hAnsi="Times New Roman"/>
          <w:sz w:val="24"/>
          <w:szCs w:val="24"/>
        </w:rPr>
        <w:t>Number of cases of moderate acute malnutrition managed by community health workers per year and per region.</w:t>
      </w:r>
      <w:bookmarkEnd w:id="8"/>
      <w:proofErr w:type="gramEnd"/>
    </w:p>
    <w:tbl>
      <w:tblPr>
        <w:tblW w:w="5000" w:type="pct"/>
        <w:tblBorders>
          <w:top w:val="thinThickSmallGap" w:sz="24" w:space="0" w:color="auto"/>
          <w:bottom w:val="thickThinSmallGap" w:sz="24" w:space="0" w:color="auto"/>
        </w:tblBorders>
        <w:shd w:val="clear" w:color="auto" w:fill="FFFFFF" w:themeFill="background1"/>
        <w:tblCellMar>
          <w:left w:w="70" w:type="dxa"/>
          <w:right w:w="70" w:type="dxa"/>
        </w:tblCellMar>
        <w:tblLook w:val="04A0" w:firstRow="1" w:lastRow="0" w:firstColumn="1" w:lastColumn="0" w:noHBand="0" w:noVBand="1"/>
      </w:tblPr>
      <w:tblGrid>
        <w:gridCol w:w="1543"/>
        <w:gridCol w:w="1543"/>
        <w:gridCol w:w="1543"/>
        <w:gridCol w:w="1543"/>
        <w:gridCol w:w="1542"/>
        <w:gridCol w:w="1542"/>
        <w:gridCol w:w="1542"/>
      </w:tblGrid>
      <w:tr w:rsidR="005B4163" w:rsidRPr="00BE5E11" w14:paraId="303E05DF" w14:textId="77777777" w:rsidTr="003616C1">
        <w:trPr>
          <w:trHeight w:val="20"/>
        </w:trPr>
        <w:tc>
          <w:tcPr>
            <w:tcW w:w="714" w:type="pct"/>
            <w:tcBorders>
              <w:top w:val="thinThickSmallGap" w:sz="24" w:space="0" w:color="auto"/>
              <w:bottom w:val="thickThinSmallGap" w:sz="24" w:space="0" w:color="auto"/>
            </w:tcBorders>
            <w:shd w:val="clear" w:color="auto" w:fill="FFFFFF" w:themeFill="background1"/>
            <w:noWrap/>
            <w:vAlign w:val="center"/>
            <w:hideMark/>
          </w:tcPr>
          <w:p w14:paraId="7ECDDBA3" w14:textId="77777777" w:rsidR="005B4163" w:rsidRPr="00BE5E11" w:rsidRDefault="005B4163"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Year</w:t>
            </w:r>
          </w:p>
        </w:tc>
        <w:tc>
          <w:tcPr>
            <w:tcW w:w="714" w:type="pct"/>
            <w:tcBorders>
              <w:top w:val="thinThickSmallGap" w:sz="24" w:space="0" w:color="auto"/>
              <w:bottom w:val="thickThinSmallGap" w:sz="24" w:space="0" w:color="auto"/>
            </w:tcBorders>
            <w:shd w:val="clear" w:color="auto" w:fill="FFFFFF" w:themeFill="background1"/>
            <w:vAlign w:val="center"/>
            <w:hideMark/>
          </w:tcPr>
          <w:p w14:paraId="3A6FF73F" w14:textId="77777777" w:rsidR="005B4163" w:rsidRPr="00BE5E11" w:rsidRDefault="005B4163" w:rsidP="008556F9">
            <w:pPr>
              <w:spacing w:after="0" w:line="240" w:lineRule="auto"/>
              <w:jc w:val="both"/>
              <w:rPr>
                <w:rFonts w:ascii="Times New Roman" w:hAnsi="Times New Roman"/>
                <w:b/>
                <w:bCs/>
                <w:sz w:val="24"/>
                <w:szCs w:val="24"/>
              </w:rPr>
            </w:pPr>
            <w:proofErr w:type="spellStart"/>
            <w:r w:rsidRPr="00BE5E11">
              <w:rPr>
                <w:rFonts w:ascii="Times New Roman" w:hAnsi="Times New Roman"/>
                <w:b/>
                <w:bCs/>
                <w:sz w:val="24"/>
                <w:szCs w:val="24"/>
              </w:rPr>
              <w:t>Kayes</w:t>
            </w:r>
            <w:proofErr w:type="spellEnd"/>
          </w:p>
        </w:tc>
        <w:tc>
          <w:tcPr>
            <w:tcW w:w="714" w:type="pct"/>
            <w:tcBorders>
              <w:top w:val="thinThickSmallGap" w:sz="24" w:space="0" w:color="auto"/>
              <w:bottom w:val="thickThinSmallGap" w:sz="24" w:space="0" w:color="auto"/>
            </w:tcBorders>
            <w:shd w:val="clear" w:color="auto" w:fill="FFFFFF" w:themeFill="background1"/>
            <w:vAlign w:val="center"/>
            <w:hideMark/>
          </w:tcPr>
          <w:p w14:paraId="746D0F9D" w14:textId="77777777" w:rsidR="005B4163" w:rsidRPr="00BE5E11" w:rsidRDefault="005B4163" w:rsidP="008556F9">
            <w:pPr>
              <w:spacing w:after="0" w:line="240" w:lineRule="auto"/>
              <w:jc w:val="both"/>
              <w:rPr>
                <w:rFonts w:ascii="Times New Roman" w:hAnsi="Times New Roman"/>
                <w:b/>
                <w:bCs/>
                <w:sz w:val="24"/>
                <w:szCs w:val="24"/>
              </w:rPr>
            </w:pPr>
            <w:proofErr w:type="spellStart"/>
            <w:r w:rsidRPr="00BE5E11">
              <w:rPr>
                <w:rFonts w:ascii="Times New Roman" w:hAnsi="Times New Roman"/>
                <w:b/>
                <w:bCs/>
                <w:sz w:val="24"/>
                <w:szCs w:val="24"/>
              </w:rPr>
              <w:t>Koulikoro</w:t>
            </w:r>
            <w:proofErr w:type="spellEnd"/>
          </w:p>
        </w:tc>
        <w:tc>
          <w:tcPr>
            <w:tcW w:w="714" w:type="pct"/>
            <w:tcBorders>
              <w:top w:val="thinThickSmallGap" w:sz="24" w:space="0" w:color="auto"/>
              <w:bottom w:val="thickThinSmallGap" w:sz="24" w:space="0" w:color="auto"/>
            </w:tcBorders>
            <w:shd w:val="clear" w:color="auto" w:fill="FFFFFF" w:themeFill="background1"/>
            <w:vAlign w:val="center"/>
            <w:hideMark/>
          </w:tcPr>
          <w:p w14:paraId="16FCF12D" w14:textId="77777777" w:rsidR="005B4163" w:rsidRPr="00BE5E11" w:rsidRDefault="005B4163" w:rsidP="008556F9">
            <w:pPr>
              <w:spacing w:after="0" w:line="240" w:lineRule="auto"/>
              <w:jc w:val="both"/>
              <w:rPr>
                <w:rFonts w:ascii="Times New Roman" w:hAnsi="Times New Roman"/>
                <w:b/>
                <w:bCs/>
                <w:sz w:val="24"/>
                <w:szCs w:val="24"/>
              </w:rPr>
            </w:pPr>
            <w:proofErr w:type="spellStart"/>
            <w:r w:rsidRPr="00BE5E11">
              <w:rPr>
                <w:rFonts w:ascii="Times New Roman" w:hAnsi="Times New Roman"/>
                <w:b/>
                <w:bCs/>
                <w:sz w:val="24"/>
                <w:szCs w:val="24"/>
              </w:rPr>
              <w:t>Sikasso</w:t>
            </w:r>
            <w:proofErr w:type="spellEnd"/>
          </w:p>
        </w:tc>
        <w:tc>
          <w:tcPr>
            <w:tcW w:w="714" w:type="pct"/>
            <w:tcBorders>
              <w:top w:val="thinThickSmallGap" w:sz="24" w:space="0" w:color="auto"/>
              <w:bottom w:val="thickThinSmallGap" w:sz="24" w:space="0" w:color="auto"/>
            </w:tcBorders>
            <w:shd w:val="clear" w:color="auto" w:fill="FFFFFF" w:themeFill="background1"/>
            <w:vAlign w:val="center"/>
            <w:hideMark/>
          </w:tcPr>
          <w:p w14:paraId="00BCF7A2" w14:textId="77777777" w:rsidR="005B4163" w:rsidRPr="00BE5E11" w:rsidRDefault="005B4163" w:rsidP="008556F9">
            <w:pPr>
              <w:spacing w:after="0" w:line="240" w:lineRule="auto"/>
              <w:jc w:val="both"/>
              <w:rPr>
                <w:rFonts w:ascii="Times New Roman" w:hAnsi="Times New Roman"/>
                <w:b/>
                <w:bCs/>
                <w:sz w:val="24"/>
                <w:szCs w:val="24"/>
              </w:rPr>
            </w:pPr>
            <w:proofErr w:type="spellStart"/>
            <w:r w:rsidRPr="00BE5E11">
              <w:rPr>
                <w:rFonts w:ascii="Times New Roman" w:hAnsi="Times New Roman"/>
                <w:b/>
                <w:bCs/>
                <w:sz w:val="24"/>
                <w:szCs w:val="24"/>
              </w:rPr>
              <w:t>Ségou</w:t>
            </w:r>
            <w:proofErr w:type="spellEnd"/>
          </w:p>
        </w:tc>
        <w:tc>
          <w:tcPr>
            <w:tcW w:w="714" w:type="pct"/>
            <w:tcBorders>
              <w:top w:val="thinThickSmallGap" w:sz="24" w:space="0" w:color="auto"/>
              <w:bottom w:val="thickThinSmallGap" w:sz="24" w:space="0" w:color="auto"/>
            </w:tcBorders>
            <w:shd w:val="clear" w:color="auto" w:fill="FFFFFF" w:themeFill="background1"/>
            <w:vAlign w:val="center"/>
            <w:hideMark/>
          </w:tcPr>
          <w:p w14:paraId="6C74C2BD" w14:textId="77777777" w:rsidR="005B4163" w:rsidRPr="00BE5E11" w:rsidRDefault="005B4163" w:rsidP="008556F9">
            <w:pPr>
              <w:spacing w:after="0" w:line="240" w:lineRule="auto"/>
              <w:jc w:val="both"/>
              <w:rPr>
                <w:rFonts w:ascii="Times New Roman" w:hAnsi="Times New Roman"/>
                <w:b/>
                <w:bCs/>
                <w:sz w:val="24"/>
                <w:szCs w:val="24"/>
              </w:rPr>
            </w:pPr>
            <w:proofErr w:type="spellStart"/>
            <w:r w:rsidRPr="00BE5E11">
              <w:rPr>
                <w:rFonts w:ascii="Times New Roman" w:hAnsi="Times New Roman"/>
                <w:b/>
                <w:bCs/>
                <w:sz w:val="24"/>
                <w:szCs w:val="24"/>
              </w:rPr>
              <w:t>Mopti</w:t>
            </w:r>
            <w:proofErr w:type="spellEnd"/>
          </w:p>
        </w:tc>
        <w:tc>
          <w:tcPr>
            <w:tcW w:w="714" w:type="pct"/>
            <w:tcBorders>
              <w:top w:val="thinThickSmallGap" w:sz="24" w:space="0" w:color="auto"/>
              <w:bottom w:val="thickThinSmallGap" w:sz="24" w:space="0" w:color="auto"/>
            </w:tcBorders>
            <w:shd w:val="clear" w:color="auto" w:fill="FFFFFF" w:themeFill="background1"/>
            <w:vAlign w:val="center"/>
            <w:hideMark/>
          </w:tcPr>
          <w:p w14:paraId="565FB20A" w14:textId="77777777" w:rsidR="005B4163" w:rsidRPr="00BE5E11" w:rsidRDefault="005B4163"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Total</w:t>
            </w:r>
          </w:p>
        </w:tc>
      </w:tr>
      <w:tr w:rsidR="005B4163" w:rsidRPr="00BE5E11" w14:paraId="7FA6C50D" w14:textId="77777777" w:rsidTr="003616C1">
        <w:trPr>
          <w:trHeight w:val="20"/>
        </w:trPr>
        <w:tc>
          <w:tcPr>
            <w:tcW w:w="714" w:type="pct"/>
            <w:tcBorders>
              <w:top w:val="thickThinSmallGap" w:sz="24" w:space="0" w:color="auto"/>
            </w:tcBorders>
            <w:shd w:val="clear" w:color="auto" w:fill="FFFFFF" w:themeFill="background1"/>
            <w:vAlign w:val="center"/>
            <w:hideMark/>
          </w:tcPr>
          <w:p w14:paraId="5674067D"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2016</w:t>
            </w:r>
          </w:p>
        </w:tc>
        <w:tc>
          <w:tcPr>
            <w:tcW w:w="714" w:type="pct"/>
            <w:tcBorders>
              <w:top w:val="thickThinSmallGap" w:sz="24" w:space="0" w:color="auto"/>
            </w:tcBorders>
            <w:shd w:val="clear" w:color="auto" w:fill="FFFFFF" w:themeFill="background1"/>
            <w:noWrap/>
            <w:vAlign w:val="center"/>
            <w:hideMark/>
          </w:tcPr>
          <w:p w14:paraId="3C29D861"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29</w:t>
            </w:r>
          </w:p>
        </w:tc>
        <w:tc>
          <w:tcPr>
            <w:tcW w:w="714" w:type="pct"/>
            <w:tcBorders>
              <w:top w:val="thickThinSmallGap" w:sz="24" w:space="0" w:color="auto"/>
            </w:tcBorders>
            <w:shd w:val="clear" w:color="auto" w:fill="FFFFFF" w:themeFill="background1"/>
            <w:noWrap/>
            <w:vAlign w:val="center"/>
            <w:hideMark/>
          </w:tcPr>
          <w:p w14:paraId="2C5EDB74"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0</w:t>
            </w:r>
          </w:p>
        </w:tc>
        <w:tc>
          <w:tcPr>
            <w:tcW w:w="714" w:type="pct"/>
            <w:tcBorders>
              <w:top w:val="thickThinSmallGap" w:sz="24" w:space="0" w:color="auto"/>
            </w:tcBorders>
            <w:shd w:val="clear" w:color="auto" w:fill="FFFFFF" w:themeFill="background1"/>
            <w:noWrap/>
            <w:vAlign w:val="center"/>
            <w:hideMark/>
          </w:tcPr>
          <w:p w14:paraId="4E15BF4A"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1450</w:t>
            </w:r>
          </w:p>
        </w:tc>
        <w:tc>
          <w:tcPr>
            <w:tcW w:w="714" w:type="pct"/>
            <w:tcBorders>
              <w:top w:val="thickThinSmallGap" w:sz="24" w:space="0" w:color="auto"/>
            </w:tcBorders>
            <w:shd w:val="clear" w:color="auto" w:fill="FFFFFF" w:themeFill="background1"/>
            <w:noWrap/>
            <w:vAlign w:val="center"/>
            <w:hideMark/>
          </w:tcPr>
          <w:p w14:paraId="33586508"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794</w:t>
            </w:r>
          </w:p>
        </w:tc>
        <w:tc>
          <w:tcPr>
            <w:tcW w:w="714" w:type="pct"/>
            <w:tcBorders>
              <w:top w:val="thickThinSmallGap" w:sz="24" w:space="0" w:color="auto"/>
            </w:tcBorders>
            <w:shd w:val="clear" w:color="auto" w:fill="FFFFFF" w:themeFill="background1"/>
            <w:noWrap/>
            <w:vAlign w:val="center"/>
            <w:hideMark/>
          </w:tcPr>
          <w:p w14:paraId="6128B401"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424</w:t>
            </w:r>
          </w:p>
        </w:tc>
        <w:tc>
          <w:tcPr>
            <w:tcW w:w="714" w:type="pct"/>
            <w:tcBorders>
              <w:top w:val="thickThinSmallGap" w:sz="24" w:space="0" w:color="auto"/>
            </w:tcBorders>
            <w:shd w:val="clear" w:color="auto" w:fill="FFFFFF" w:themeFill="background1"/>
            <w:vAlign w:val="center"/>
            <w:hideMark/>
          </w:tcPr>
          <w:p w14:paraId="718E6ADE" w14:textId="77777777" w:rsidR="005B4163" w:rsidRPr="00BE5E11" w:rsidRDefault="005B4163"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2,697</w:t>
            </w:r>
          </w:p>
        </w:tc>
      </w:tr>
      <w:tr w:rsidR="005B4163" w:rsidRPr="00BE5E11" w14:paraId="5CBD27F9" w14:textId="77777777" w:rsidTr="003616C1">
        <w:trPr>
          <w:trHeight w:val="20"/>
        </w:trPr>
        <w:tc>
          <w:tcPr>
            <w:tcW w:w="714" w:type="pct"/>
            <w:shd w:val="clear" w:color="auto" w:fill="FFFFFF" w:themeFill="background1"/>
            <w:vAlign w:val="center"/>
            <w:hideMark/>
          </w:tcPr>
          <w:p w14:paraId="3BE26E0C"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2017</w:t>
            </w:r>
          </w:p>
        </w:tc>
        <w:tc>
          <w:tcPr>
            <w:tcW w:w="714" w:type="pct"/>
            <w:shd w:val="clear" w:color="auto" w:fill="FFFFFF" w:themeFill="background1"/>
            <w:noWrap/>
            <w:vAlign w:val="center"/>
            <w:hideMark/>
          </w:tcPr>
          <w:p w14:paraId="78A4929B"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56</w:t>
            </w:r>
          </w:p>
        </w:tc>
        <w:tc>
          <w:tcPr>
            <w:tcW w:w="714" w:type="pct"/>
            <w:shd w:val="clear" w:color="auto" w:fill="FFFFFF" w:themeFill="background1"/>
            <w:noWrap/>
            <w:vAlign w:val="center"/>
            <w:hideMark/>
          </w:tcPr>
          <w:p w14:paraId="5C9932C0"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106</w:t>
            </w:r>
          </w:p>
        </w:tc>
        <w:tc>
          <w:tcPr>
            <w:tcW w:w="714" w:type="pct"/>
            <w:shd w:val="clear" w:color="auto" w:fill="FFFFFF" w:themeFill="background1"/>
            <w:noWrap/>
            <w:vAlign w:val="center"/>
            <w:hideMark/>
          </w:tcPr>
          <w:p w14:paraId="7C3CE60F"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1333</w:t>
            </w:r>
          </w:p>
        </w:tc>
        <w:tc>
          <w:tcPr>
            <w:tcW w:w="714" w:type="pct"/>
            <w:shd w:val="clear" w:color="auto" w:fill="FFFFFF" w:themeFill="background1"/>
            <w:noWrap/>
            <w:vAlign w:val="center"/>
            <w:hideMark/>
          </w:tcPr>
          <w:p w14:paraId="4752C662"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4609</w:t>
            </w:r>
          </w:p>
        </w:tc>
        <w:tc>
          <w:tcPr>
            <w:tcW w:w="714" w:type="pct"/>
            <w:shd w:val="clear" w:color="auto" w:fill="FFFFFF" w:themeFill="background1"/>
            <w:noWrap/>
            <w:vAlign w:val="center"/>
            <w:hideMark/>
          </w:tcPr>
          <w:p w14:paraId="4D917E09"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1416</w:t>
            </w:r>
          </w:p>
        </w:tc>
        <w:tc>
          <w:tcPr>
            <w:tcW w:w="714" w:type="pct"/>
            <w:shd w:val="clear" w:color="auto" w:fill="FFFFFF" w:themeFill="background1"/>
            <w:vAlign w:val="center"/>
            <w:hideMark/>
          </w:tcPr>
          <w:p w14:paraId="619CF057" w14:textId="77777777" w:rsidR="005B4163" w:rsidRPr="00BE5E11" w:rsidRDefault="005B4163"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7,520</w:t>
            </w:r>
          </w:p>
        </w:tc>
      </w:tr>
      <w:tr w:rsidR="005B4163" w:rsidRPr="00BE5E11" w14:paraId="660812BF" w14:textId="77777777" w:rsidTr="003616C1">
        <w:trPr>
          <w:trHeight w:val="20"/>
        </w:trPr>
        <w:tc>
          <w:tcPr>
            <w:tcW w:w="714" w:type="pct"/>
            <w:shd w:val="clear" w:color="auto" w:fill="FFFFFF" w:themeFill="background1"/>
            <w:vAlign w:val="center"/>
            <w:hideMark/>
          </w:tcPr>
          <w:p w14:paraId="5FB36AA6"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2018</w:t>
            </w:r>
          </w:p>
        </w:tc>
        <w:tc>
          <w:tcPr>
            <w:tcW w:w="714" w:type="pct"/>
            <w:shd w:val="clear" w:color="auto" w:fill="FFFFFF" w:themeFill="background1"/>
            <w:noWrap/>
            <w:vAlign w:val="center"/>
            <w:hideMark/>
          </w:tcPr>
          <w:p w14:paraId="010F516D"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3204</w:t>
            </w:r>
          </w:p>
        </w:tc>
        <w:tc>
          <w:tcPr>
            <w:tcW w:w="714" w:type="pct"/>
            <w:shd w:val="clear" w:color="auto" w:fill="FFFFFF" w:themeFill="background1"/>
            <w:noWrap/>
            <w:vAlign w:val="center"/>
            <w:hideMark/>
          </w:tcPr>
          <w:p w14:paraId="43B38463"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1363</w:t>
            </w:r>
          </w:p>
        </w:tc>
        <w:tc>
          <w:tcPr>
            <w:tcW w:w="714" w:type="pct"/>
            <w:shd w:val="clear" w:color="auto" w:fill="FFFFFF" w:themeFill="background1"/>
            <w:noWrap/>
            <w:vAlign w:val="center"/>
            <w:hideMark/>
          </w:tcPr>
          <w:p w14:paraId="58EA8FDF"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1121</w:t>
            </w:r>
          </w:p>
        </w:tc>
        <w:tc>
          <w:tcPr>
            <w:tcW w:w="714" w:type="pct"/>
            <w:shd w:val="clear" w:color="auto" w:fill="FFFFFF" w:themeFill="background1"/>
            <w:noWrap/>
            <w:vAlign w:val="center"/>
            <w:hideMark/>
          </w:tcPr>
          <w:p w14:paraId="399E5560"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3232</w:t>
            </w:r>
          </w:p>
        </w:tc>
        <w:tc>
          <w:tcPr>
            <w:tcW w:w="714" w:type="pct"/>
            <w:shd w:val="clear" w:color="auto" w:fill="FFFFFF" w:themeFill="background1"/>
            <w:noWrap/>
            <w:vAlign w:val="center"/>
            <w:hideMark/>
          </w:tcPr>
          <w:p w14:paraId="0A3E04EB"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2189</w:t>
            </w:r>
          </w:p>
        </w:tc>
        <w:tc>
          <w:tcPr>
            <w:tcW w:w="714" w:type="pct"/>
            <w:shd w:val="clear" w:color="auto" w:fill="FFFFFF" w:themeFill="background1"/>
            <w:vAlign w:val="center"/>
            <w:hideMark/>
          </w:tcPr>
          <w:p w14:paraId="084F51F7" w14:textId="77777777" w:rsidR="005B4163" w:rsidRPr="00BE5E11" w:rsidRDefault="005B4163"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11,109</w:t>
            </w:r>
          </w:p>
        </w:tc>
      </w:tr>
      <w:tr w:rsidR="005B4163" w:rsidRPr="00BE5E11" w14:paraId="4C961ADD" w14:textId="77777777" w:rsidTr="003616C1">
        <w:trPr>
          <w:trHeight w:val="20"/>
        </w:trPr>
        <w:tc>
          <w:tcPr>
            <w:tcW w:w="714" w:type="pct"/>
            <w:shd w:val="clear" w:color="auto" w:fill="FFFFFF" w:themeFill="background1"/>
            <w:vAlign w:val="center"/>
            <w:hideMark/>
          </w:tcPr>
          <w:p w14:paraId="5EC4150F"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2019</w:t>
            </w:r>
          </w:p>
        </w:tc>
        <w:tc>
          <w:tcPr>
            <w:tcW w:w="714" w:type="pct"/>
            <w:shd w:val="clear" w:color="auto" w:fill="FFFFFF" w:themeFill="background1"/>
            <w:noWrap/>
            <w:vAlign w:val="center"/>
            <w:hideMark/>
          </w:tcPr>
          <w:p w14:paraId="2368BAF7"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3441</w:t>
            </w:r>
          </w:p>
        </w:tc>
        <w:tc>
          <w:tcPr>
            <w:tcW w:w="714" w:type="pct"/>
            <w:shd w:val="clear" w:color="auto" w:fill="FFFFFF" w:themeFill="background1"/>
            <w:noWrap/>
            <w:vAlign w:val="center"/>
            <w:hideMark/>
          </w:tcPr>
          <w:p w14:paraId="03D95965"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2458</w:t>
            </w:r>
          </w:p>
        </w:tc>
        <w:tc>
          <w:tcPr>
            <w:tcW w:w="714" w:type="pct"/>
            <w:shd w:val="clear" w:color="auto" w:fill="FFFFFF" w:themeFill="background1"/>
            <w:noWrap/>
            <w:vAlign w:val="center"/>
            <w:hideMark/>
          </w:tcPr>
          <w:p w14:paraId="44472BFE"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1972</w:t>
            </w:r>
          </w:p>
        </w:tc>
        <w:tc>
          <w:tcPr>
            <w:tcW w:w="714" w:type="pct"/>
            <w:shd w:val="clear" w:color="auto" w:fill="FFFFFF" w:themeFill="background1"/>
            <w:noWrap/>
            <w:vAlign w:val="center"/>
            <w:hideMark/>
          </w:tcPr>
          <w:p w14:paraId="796F80DE"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3498</w:t>
            </w:r>
          </w:p>
        </w:tc>
        <w:tc>
          <w:tcPr>
            <w:tcW w:w="714" w:type="pct"/>
            <w:shd w:val="clear" w:color="auto" w:fill="FFFFFF" w:themeFill="background1"/>
            <w:noWrap/>
            <w:vAlign w:val="center"/>
            <w:hideMark/>
          </w:tcPr>
          <w:p w14:paraId="45AFBD6F"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2665</w:t>
            </w:r>
          </w:p>
        </w:tc>
        <w:tc>
          <w:tcPr>
            <w:tcW w:w="714" w:type="pct"/>
            <w:shd w:val="clear" w:color="auto" w:fill="FFFFFF" w:themeFill="background1"/>
            <w:vAlign w:val="center"/>
            <w:hideMark/>
          </w:tcPr>
          <w:p w14:paraId="02031DAD" w14:textId="77777777" w:rsidR="005B4163" w:rsidRPr="00BE5E11" w:rsidRDefault="005B4163"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14,034</w:t>
            </w:r>
          </w:p>
        </w:tc>
      </w:tr>
      <w:tr w:rsidR="005B4163" w:rsidRPr="00BE5E11" w14:paraId="720CFA35" w14:textId="77777777" w:rsidTr="003616C1">
        <w:trPr>
          <w:trHeight w:val="20"/>
        </w:trPr>
        <w:tc>
          <w:tcPr>
            <w:tcW w:w="714" w:type="pct"/>
            <w:shd w:val="clear" w:color="auto" w:fill="FFFFFF" w:themeFill="background1"/>
            <w:vAlign w:val="center"/>
            <w:hideMark/>
          </w:tcPr>
          <w:p w14:paraId="35915FCA"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2020</w:t>
            </w:r>
          </w:p>
        </w:tc>
        <w:tc>
          <w:tcPr>
            <w:tcW w:w="714" w:type="pct"/>
            <w:shd w:val="clear" w:color="auto" w:fill="FFFFFF" w:themeFill="background1"/>
            <w:noWrap/>
            <w:vAlign w:val="center"/>
            <w:hideMark/>
          </w:tcPr>
          <w:p w14:paraId="25148826"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1853</w:t>
            </w:r>
          </w:p>
        </w:tc>
        <w:tc>
          <w:tcPr>
            <w:tcW w:w="714" w:type="pct"/>
            <w:shd w:val="clear" w:color="auto" w:fill="FFFFFF" w:themeFill="background1"/>
            <w:noWrap/>
            <w:vAlign w:val="center"/>
            <w:hideMark/>
          </w:tcPr>
          <w:p w14:paraId="1FB7E363"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2140</w:t>
            </w:r>
          </w:p>
        </w:tc>
        <w:tc>
          <w:tcPr>
            <w:tcW w:w="714" w:type="pct"/>
            <w:shd w:val="clear" w:color="auto" w:fill="FFFFFF" w:themeFill="background1"/>
            <w:noWrap/>
            <w:vAlign w:val="center"/>
            <w:hideMark/>
          </w:tcPr>
          <w:p w14:paraId="6C9B0EAD"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971</w:t>
            </w:r>
          </w:p>
        </w:tc>
        <w:tc>
          <w:tcPr>
            <w:tcW w:w="714" w:type="pct"/>
            <w:shd w:val="clear" w:color="auto" w:fill="FFFFFF" w:themeFill="background1"/>
            <w:noWrap/>
            <w:vAlign w:val="center"/>
            <w:hideMark/>
          </w:tcPr>
          <w:p w14:paraId="138EE827"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4995</w:t>
            </w:r>
          </w:p>
        </w:tc>
        <w:tc>
          <w:tcPr>
            <w:tcW w:w="714" w:type="pct"/>
            <w:shd w:val="clear" w:color="auto" w:fill="FFFFFF" w:themeFill="background1"/>
            <w:noWrap/>
            <w:vAlign w:val="center"/>
            <w:hideMark/>
          </w:tcPr>
          <w:p w14:paraId="6C6CE9D2"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3237</w:t>
            </w:r>
          </w:p>
        </w:tc>
        <w:tc>
          <w:tcPr>
            <w:tcW w:w="714" w:type="pct"/>
            <w:shd w:val="clear" w:color="auto" w:fill="FFFFFF" w:themeFill="background1"/>
            <w:vAlign w:val="center"/>
            <w:hideMark/>
          </w:tcPr>
          <w:p w14:paraId="29530C56" w14:textId="77777777" w:rsidR="005B4163" w:rsidRPr="00BE5E11" w:rsidRDefault="005B4163"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13,196</w:t>
            </w:r>
          </w:p>
        </w:tc>
      </w:tr>
      <w:tr w:rsidR="005B4163" w:rsidRPr="00BE5E11" w14:paraId="01CC3125" w14:textId="77777777" w:rsidTr="003616C1">
        <w:trPr>
          <w:trHeight w:val="20"/>
        </w:trPr>
        <w:tc>
          <w:tcPr>
            <w:tcW w:w="714" w:type="pct"/>
            <w:shd w:val="clear" w:color="auto" w:fill="FFFFFF" w:themeFill="background1"/>
            <w:vAlign w:val="center"/>
            <w:hideMark/>
          </w:tcPr>
          <w:p w14:paraId="76E7C194"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2021</w:t>
            </w:r>
          </w:p>
        </w:tc>
        <w:tc>
          <w:tcPr>
            <w:tcW w:w="714" w:type="pct"/>
            <w:shd w:val="clear" w:color="auto" w:fill="FFFFFF" w:themeFill="background1"/>
            <w:noWrap/>
            <w:vAlign w:val="center"/>
            <w:hideMark/>
          </w:tcPr>
          <w:p w14:paraId="33FA548F"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1234</w:t>
            </w:r>
          </w:p>
        </w:tc>
        <w:tc>
          <w:tcPr>
            <w:tcW w:w="714" w:type="pct"/>
            <w:shd w:val="clear" w:color="auto" w:fill="FFFFFF" w:themeFill="background1"/>
            <w:noWrap/>
            <w:vAlign w:val="center"/>
            <w:hideMark/>
          </w:tcPr>
          <w:p w14:paraId="258ACD4A"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1720</w:t>
            </w:r>
          </w:p>
        </w:tc>
        <w:tc>
          <w:tcPr>
            <w:tcW w:w="714" w:type="pct"/>
            <w:shd w:val="clear" w:color="auto" w:fill="FFFFFF" w:themeFill="background1"/>
            <w:noWrap/>
            <w:vAlign w:val="center"/>
            <w:hideMark/>
          </w:tcPr>
          <w:p w14:paraId="58F25378"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679</w:t>
            </w:r>
          </w:p>
        </w:tc>
        <w:tc>
          <w:tcPr>
            <w:tcW w:w="714" w:type="pct"/>
            <w:shd w:val="clear" w:color="auto" w:fill="FFFFFF" w:themeFill="background1"/>
            <w:noWrap/>
            <w:vAlign w:val="center"/>
            <w:hideMark/>
          </w:tcPr>
          <w:p w14:paraId="6378F649"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5693</w:t>
            </w:r>
          </w:p>
        </w:tc>
        <w:tc>
          <w:tcPr>
            <w:tcW w:w="714" w:type="pct"/>
            <w:shd w:val="clear" w:color="auto" w:fill="FFFFFF" w:themeFill="background1"/>
            <w:noWrap/>
            <w:vAlign w:val="center"/>
            <w:hideMark/>
          </w:tcPr>
          <w:p w14:paraId="328D4A9A"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4277</w:t>
            </w:r>
          </w:p>
        </w:tc>
        <w:tc>
          <w:tcPr>
            <w:tcW w:w="714" w:type="pct"/>
            <w:shd w:val="clear" w:color="auto" w:fill="FFFFFF" w:themeFill="background1"/>
            <w:vAlign w:val="center"/>
            <w:hideMark/>
          </w:tcPr>
          <w:p w14:paraId="7173C7FD" w14:textId="77777777" w:rsidR="005B4163" w:rsidRPr="00BE5E11" w:rsidRDefault="005B4163"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13,603</w:t>
            </w:r>
          </w:p>
        </w:tc>
      </w:tr>
      <w:tr w:rsidR="005B4163" w:rsidRPr="00BE5E11" w14:paraId="33E3A681" w14:textId="77777777" w:rsidTr="003616C1">
        <w:trPr>
          <w:trHeight w:val="20"/>
        </w:trPr>
        <w:tc>
          <w:tcPr>
            <w:tcW w:w="714" w:type="pct"/>
            <w:shd w:val="clear" w:color="auto" w:fill="FFFFFF" w:themeFill="background1"/>
            <w:vAlign w:val="center"/>
            <w:hideMark/>
          </w:tcPr>
          <w:p w14:paraId="11861237"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2022</w:t>
            </w:r>
          </w:p>
        </w:tc>
        <w:tc>
          <w:tcPr>
            <w:tcW w:w="714" w:type="pct"/>
            <w:shd w:val="clear" w:color="auto" w:fill="FFFFFF" w:themeFill="background1"/>
            <w:noWrap/>
            <w:vAlign w:val="center"/>
            <w:hideMark/>
          </w:tcPr>
          <w:p w14:paraId="5F757D2E"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1655</w:t>
            </w:r>
          </w:p>
        </w:tc>
        <w:tc>
          <w:tcPr>
            <w:tcW w:w="714" w:type="pct"/>
            <w:shd w:val="clear" w:color="auto" w:fill="FFFFFF" w:themeFill="background1"/>
            <w:noWrap/>
            <w:vAlign w:val="center"/>
            <w:hideMark/>
          </w:tcPr>
          <w:p w14:paraId="39503D34"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5414</w:t>
            </w:r>
          </w:p>
        </w:tc>
        <w:tc>
          <w:tcPr>
            <w:tcW w:w="714" w:type="pct"/>
            <w:shd w:val="clear" w:color="auto" w:fill="FFFFFF" w:themeFill="background1"/>
            <w:noWrap/>
            <w:vAlign w:val="center"/>
            <w:hideMark/>
          </w:tcPr>
          <w:p w14:paraId="5648D885"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861</w:t>
            </w:r>
          </w:p>
        </w:tc>
        <w:tc>
          <w:tcPr>
            <w:tcW w:w="714" w:type="pct"/>
            <w:shd w:val="clear" w:color="auto" w:fill="FFFFFF" w:themeFill="background1"/>
            <w:noWrap/>
            <w:vAlign w:val="center"/>
            <w:hideMark/>
          </w:tcPr>
          <w:p w14:paraId="43A73DFC"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8562</w:t>
            </w:r>
          </w:p>
        </w:tc>
        <w:tc>
          <w:tcPr>
            <w:tcW w:w="714" w:type="pct"/>
            <w:shd w:val="clear" w:color="auto" w:fill="FFFFFF" w:themeFill="background1"/>
            <w:noWrap/>
            <w:vAlign w:val="center"/>
            <w:hideMark/>
          </w:tcPr>
          <w:p w14:paraId="0201B3F5"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4092</w:t>
            </w:r>
          </w:p>
        </w:tc>
        <w:tc>
          <w:tcPr>
            <w:tcW w:w="714" w:type="pct"/>
            <w:shd w:val="clear" w:color="auto" w:fill="FFFFFF" w:themeFill="background1"/>
            <w:vAlign w:val="center"/>
            <w:hideMark/>
          </w:tcPr>
          <w:p w14:paraId="16617574" w14:textId="77777777" w:rsidR="005B4163" w:rsidRPr="00BE5E11" w:rsidRDefault="005B4163"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20,584</w:t>
            </w:r>
          </w:p>
        </w:tc>
      </w:tr>
      <w:tr w:rsidR="005B4163" w:rsidRPr="00BE5E11" w14:paraId="3533C416" w14:textId="77777777" w:rsidTr="003616C1">
        <w:trPr>
          <w:trHeight w:val="20"/>
        </w:trPr>
        <w:tc>
          <w:tcPr>
            <w:tcW w:w="714" w:type="pct"/>
            <w:shd w:val="clear" w:color="auto" w:fill="FFFFFF" w:themeFill="background1"/>
            <w:vAlign w:val="center"/>
            <w:hideMark/>
          </w:tcPr>
          <w:p w14:paraId="3F7778A8"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2023</w:t>
            </w:r>
          </w:p>
        </w:tc>
        <w:tc>
          <w:tcPr>
            <w:tcW w:w="714" w:type="pct"/>
            <w:shd w:val="clear" w:color="auto" w:fill="FFFFFF" w:themeFill="background1"/>
            <w:noWrap/>
            <w:vAlign w:val="center"/>
            <w:hideMark/>
          </w:tcPr>
          <w:p w14:paraId="655C9E0B"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1767</w:t>
            </w:r>
          </w:p>
        </w:tc>
        <w:tc>
          <w:tcPr>
            <w:tcW w:w="714" w:type="pct"/>
            <w:shd w:val="clear" w:color="auto" w:fill="FFFFFF" w:themeFill="background1"/>
            <w:noWrap/>
            <w:vAlign w:val="center"/>
            <w:hideMark/>
          </w:tcPr>
          <w:p w14:paraId="2D28041C"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9306</w:t>
            </w:r>
          </w:p>
        </w:tc>
        <w:tc>
          <w:tcPr>
            <w:tcW w:w="714" w:type="pct"/>
            <w:shd w:val="clear" w:color="auto" w:fill="FFFFFF" w:themeFill="background1"/>
            <w:noWrap/>
            <w:vAlign w:val="center"/>
            <w:hideMark/>
          </w:tcPr>
          <w:p w14:paraId="7332602A"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2450</w:t>
            </w:r>
          </w:p>
        </w:tc>
        <w:tc>
          <w:tcPr>
            <w:tcW w:w="714" w:type="pct"/>
            <w:shd w:val="clear" w:color="auto" w:fill="FFFFFF" w:themeFill="background1"/>
            <w:noWrap/>
            <w:vAlign w:val="center"/>
            <w:hideMark/>
          </w:tcPr>
          <w:p w14:paraId="6EA01BB9"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13738</w:t>
            </w:r>
          </w:p>
        </w:tc>
        <w:tc>
          <w:tcPr>
            <w:tcW w:w="714" w:type="pct"/>
            <w:shd w:val="clear" w:color="auto" w:fill="FFFFFF" w:themeFill="background1"/>
            <w:noWrap/>
            <w:vAlign w:val="center"/>
            <w:hideMark/>
          </w:tcPr>
          <w:p w14:paraId="0F547AC7"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5943</w:t>
            </w:r>
          </w:p>
        </w:tc>
        <w:tc>
          <w:tcPr>
            <w:tcW w:w="714" w:type="pct"/>
            <w:shd w:val="clear" w:color="auto" w:fill="FFFFFF" w:themeFill="background1"/>
            <w:vAlign w:val="center"/>
            <w:hideMark/>
          </w:tcPr>
          <w:p w14:paraId="36F6CD6E" w14:textId="77777777" w:rsidR="005B4163" w:rsidRPr="00BE5E11" w:rsidRDefault="005B4163"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33,204</w:t>
            </w:r>
          </w:p>
        </w:tc>
      </w:tr>
      <w:tr w:rsidR="005B4163" w:rsidRPr="00BE5E11" w14:paraId="367D6E44" w14:textId="77777777" w:rsidTr="003616C1">
        <w:trPr>
          <w:trHeight w:val="20"/>
        </w:trPr>
        <w:tc>
          <w:tcPr>
            <w:tcW w:w="714" w:type="pct"/>
            <w:shd w:val="clear" w:color="auto" w:fill="FFFFFF" w:themeFill="background1"/>
            <w:vAlign w:val="center"/>
            <w:hideMark/>
          </w:tcPr>
          <w:p w14:paraId="1DF652A4"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2024</w:t>
            </w:r>
          </w:p>
        </w:tc>
        <w:tc>
          <w:tcPr>
            <w:tcW w:w="714" w:type="pct"/>
            <w:shd w:val="clear" w:color="auto" w:fill="FFFFFF" w:themeFill="background1"/>
            <w:noWrap/>
            <w:vAlign w:val="center"/>
            <w:hideMark/>
          </w:tcPr>
          <w:p w14:paraId="0DCD1E78"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1,567</w:t>
            </w:r>
          </w:p>
        </w:tc>
        <w:tc>
          <w:tcPr>
            <w:tcW w:w="714" w:type="pct"/>
            <w:shd w:val="clear" w:color="auto" w:fill="FFFFFF" w:themeFill="background1"/>
            <w:noWrap/>
            <w:vAlign w:val="center"/>
            <w:hideMark/>
          </w:tcPr>
          <w:p w14:paraId="1116A09D"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5,439</w:t>
            </w:r>
          </w:p>
        </w:tc>
        <w:tc>
          <w:tcPr>
            <w:tcW w:w="714" w:type="pct"/>
            <w:shd w:val="clear" w:color="auto" w:fill="FFFFFF" w:themeFill="background1"/>
            <w:noWrap/>
            <w:vAlign w:val="center"/>
            <w:hideMark/>
          </w:tcPr>
          <w:p w14:paraId="2C1C514C"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1,673</w:t>
            </w:r>
          </w:p>
        </w:tc>
        <w:tc>
          <w:tcPr>
            <w:tcW w:w="714" w:type="pct"/>
            <w:shd w:val="clear" w:color="auto" w:fill="FFFFFF" w:themeFill="background1"/>
            <w:noWrap/>
            <w:vAlign w:val="center"/>
            <w:hideMark/>
          </w:tcPr>
          <w:p w14:paraId="5567952B"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11,366</w:t>
            </w:r>
          </w:p>
        </w:tc>
        <w:tc>
          <w:tcPr>
            <w:tcW w:w="714" w:type="pct"/>
            <w:shd w:val="clear" w:color="auto" w:fill="FFFFFF" w:themeFill="background1"/>
            <w:noWrap/>
            <w:vAlign w:val="center"/>
            <w:hideMark/>
          </w:tcPr>
          <w:p w14:paraId="01D2742F"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6,335</w:t>
            </w:r>
          </w:p>
        </w:tc>
        <w:tc>
          <w:tcPr>
            <w:tcW w:w="714" w:type="pct"/>
            <w:shd w:val="clear" w:color="auto" w:fill="FFFFFF" w:themeFill="background1"/>
            <w:vAlign w:val="center"/>
            <w:hideMark/>
          </w:tcPr>
          <w:p w14:paraId="01BFCF39" w14:textId="77777777" w:rsidR="005B4163" w:rsidRPr="00BE5E11" w:rsidRDefault="005B4163"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26,380</w:t>
            </w:r>
          </w:p>
        </w:tc>
      </w:tr>
      <w:tr w:rsidR="005B4163" w:rsidRPr="00BE5E11" w14:paraId="2EA6196D" w14:textId="77777777" w:rsidTr="003616C1">
        <w:trPr>
          <w:trHeight w:val="20"/>
        </w:trPr>
        <w:tc>
          <w:tcPr>
            <w:tcW w:w="714" w:type="pct"/>
            <w:shd w:val="clear" w:color="auto" w:fill="FFFFFF" w:themeFill="background1"/>
            <w:noWrap/>
            <w:vAlign w:val="center"/>
            <w:hideMark/>
          </w:tcPr>
          <w:p w14:paraId="04FBE5CB" w14:textId="77777777" w:rsidR="005B4163" w:rsidRPr="00BE5E11" w:rsidRDefault="005B4163"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Total</w:t>
            </w:r>
          </w:p>
        </w:tc>
        <w:tc>
          <w:tcPr>
            <w:tcW w:w="714" w:type="pct"/>
            <w:shd w:val="clear" w:color="auto" w:fill="FFFFFF" w:themeFill="background1"/>
            <w:noWrap/>
            <w:vAlign w:val="center"/>
            <w:hideMark/>
          </w:tcPr>
          <w:p w14:paraId="4EAB4655" w14:textId="77777777" w:rsidR="005B4163" w:rsidRPr="00BE5E11" w:rsidRDefault="005B4163"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14,806</w:t>
            </w:r>
          </w:p>
        </w:tc>
        <w:tc>
          <w:tcPr>
            <w:tcW w:w="714" w:type="pct"/>
            <w:shd w:val="clear" w:color="auto" w:fill="FFFFFF" w:themeFill="background1"/>
            <w:noWrap/>
            <w:vAlign w:val="center"/>
            <w:hideMark/>
          </w:tcPr>
          <w:p w14:paraId="1BB5FD74" w14:textId="77777777" w:rsidR="005B4163" w:rsidRPr="00BE5E11" w:rsidRDefault="005B4163"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27,946</w:t>
            </w:r>
          </w:p>
        </w:tc>
        <w:tc>
          <w:tcPr>
            <w:tcW w:w="714" w:type="pct"/>
            <w:shd w:val="clear" w:color="auto" w:fill="FFFFFF" w:themeFill="background1"/>
            <w:noWrap/>
            <w:vAlign w:val="center"/>
            <w:hideMark/>
          </w:tcPr>
          <w:p w14:paraId="2FC90510" w14:textId="77777777" w:rsidR="005B4163" w:rsidRPr="00BE5E11" w:rsidRDefault="005B4163"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12,510</w:t>
            </w:r>
          </w:p>
        </w:tc>
        <w:tc>
          <w:tcPr>
            <w:tcW w:w="714" w:type="pct"/>
            <w:shd w:val="clear" w:color="auto" w:fill="FFFFFF" w:themeFill="background1"/>
            <w:noWrap/>
            <w:vAlign w:val="center"/>
            <w:hideMark/>
          </w:tcPr>
          <w:p w14:paraId="4DD3F9F3" w14:textId="77777777" w:rsidR="005B4163" w:rsidRPr="00BE5E11" w:rsidRDefault="005B4163"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56,487</w:t>
            </w:r>
          </w:p>
        </w:tc>
        <w:tc>
          <w:tcPr>
            <w:tcW w:w="714" w:type="pct"/>
            <w:shd w:val="clear" w:color="auto" w:fill="FFFFFF" w:themeFill="background1"/>
            <w:noWrap/>
            <w:vAlign w:val="center"/>
            <w:hideMark/>
          </w:tcPr>
          <w:p w14:paraId="5828AF86" w14:textId="77777777" w:rsidR="005B4163" w:rsidRPr="00BE5E11" w:rsidRDefault="005B4163"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30,578</w:t>
            </w:r>
          </w:p>
        </w:tc>
        <w:tc>
          <w:tcPr>
            <w:tcW w:w="714" w:type="pct"/>
            <w:shd w:val="clear" w:color="auto" w:fill="FFFFFF" w:themeFill="background1"/>
            <w:noWrap/>
            <w:vAlign w:val="center"/>
            <w:hideMark/>
          </w:tcPr>
          <w:p w14:paraId="2BE29620" w14:textId="77777777" w:rsidR="005B4163" w:rsidRPr="00BE5E11" w:rsidRDefault="005B4163"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142,327</w:t>
            </w:r>
          </w:p>
        </w:tc>
      </w:tr>
    </w:tbl>
    <w:p w14:paraId="0FC2B80D" w14:textId="29FF80EC" w:rsidR="001C4D2F" w:rsidRPr="00BE5E11" w:rsidRDefault="001C4D2F" w:rsidP="008556F9">
      <w:pPr>
        <w:pStyle w:val="NormalWeb"/>
        <w:jc w:val="both"/>
        <w:rPr>
          <w:b/>
          <w:bCs/>
        </w:rPr>
      </w:pPr>
      <w:bookmarkStart w:id="10" w:name="_Toc220360938"/>
      <w:r w:rsidRPr="00BE5E11">
        <w:rPr>
          <w:b/>
          <w:bCs/>
        </w:rPr>
        <w:t>Contribution of CSAs and target coverage</w:t>
      </w:r>
    </w:p>
    <w:p w14:paraId="213F9BB9" w14:textId="5CD5C3BB" w:rsidR="001C4D2F" w:rsidRPr="00BE5E11" w:rsidRDefault="001C4D2F" w:rsidP="008556F9">
      <w:pPr>
        <w:pStyle w:val="NormalWeb"/>
        <w:jc w:val="both"/>
      </w:pPr>
      <w:r w:rsidRPr="00BE5E11">
        <w:t>The contribution of community health workers (CHWs) to the overall management of moderate acute maln</w:t>
      </w:r>
      <w:r w:rsidRPr="00BE5E11">
        <w:t>u</w:t>
      </w:r>
      <w:r w:rsidRPr="00BE5E11">
        <w:t xml:space="preserve">trition (MAM) is significant, with an average proportion of care provided at 23.00% across the five regions. This contribution peaked in 2023, when CHWs absorbed 34.00% of the MAM-related morbidity burden. </w:t>
      </w:r>
      <w:r w:rsidRPr="00BE5E11">
        <w:lastRenderedPageBreak/>
        <w:t xml:space="preserve">However, regional disparities are marked: </w:t>
      </w:r>
      <w:proofErr w:type="spellStart"/>
      <w:r w:rsidRPr="00BE5E11">
        <w:t>Ségou</w:t>
      </w:r>
      <w:proofErr w:type="spellEnd"/>
      <w:r w:rsidRPr="00BE5E11">
        <w:t xml:space="preserve"> (31.22%) and </w:t>
      </w:r>
      <w:proofErr w:type="spellStart"/>
      <w:r w:rsidRPr="00BE5E11">
        <w:t>Sikasso</w:t>
      </w:r>
      <w:proofErr w:type="spellEnd"/>
      <w:r w:rsidRPr="00BE5E11">
        <w:t xml:space="preserve"> (30.22%) have the highest average contributions, while </w:t>
      </w:r>
      <w:proofErr w:type="spellStart"/>
      <w:r w:rsidRPr="00BE5E11">
        <w:t>Kayes</w:t>
      </w:r>
      <w:proofErr w:type="spellEnd"/>
      <w:r w:rsidRPr="00BE5E11">
        <w:t xml:space="preserve"> (11.89%) has the lowest.</w:t>
      </w:r>
    </w:p>
    <w:p w14:paraId="7B9128B5" w14:textId="4306220D" w:rsidR="005B4163" w:rsidRPr="00BE5E11" w:rsidRDefault="005B4163" w:rsidP="008556F9">
      <w:pPr>
        <w:spacing w:before="240" w:after="240" w:line="240" w:lineRule="auto"/>
        <w:jc w:val="both"/>
        <w:rPr>
          <w:rFonts w:ascii="Times New Roman" w:hAnsi="Times New Roman"/>
          <w:i/>
          <w:iCs/>
          <w:sz w:val="24"/>
          <w:szCs w:val="24"/>
        </w:rPr>
      </w:pPr>
      <w:proofErr w:type="gramStart"/>
      <w:r w:rsidRPr="00BE5E11">
        <w:rPr>
          <w:rFonts w:ascii="Times New Roman" w:hAnsi="Times New Roman"/>
          <w:b/>
          <w:bCs/>
          <w:sz w:val="24"/>
          <w:szCs w:val="24"/>
        </w:rPr>
        <w:t xml:space="preserve">Table </w:t>
      </w:r>
      <w:r w:rsidR="000C32D6" w:rsidRPr="00BE5E11">
        <w:rPr>
          <w:rFonts w:ascii="Times New Roman" w:hAnsi="Times New Roman"/>
          <w:b/>
          <w:bCs/>
          <w:sz w:val="24"/>
          <w:szCs w:val="24"/>
        </w:rPr>
        <w:t xml:space="preserve">5: </w:t>
      </w:r>
      <w:r w:rsidRPr="00BE5E11">
        <w:rPr>
          <w:rFonts w:ascii="Times New Roman" w:hAnsi="Times New Roman"/>
          <w:sz w:val="24"/>
          <w:szCs w:val="24"/>
        </w:rPr>
        <w:t>Percentage of cases of moderate acute malnutrition managed by ASCs per year and per region.</w:t>
      </w:r>
      <w:bookmarkEnd w:id="10"/>
      <w:proofErr w:type="gramEnd"/>
    </w:p>
    <w:tbl>
      <w:tblPr>
        <w:tblW w:w="5000" w:type="pct"/>
        <w:tblBorders>
          <w:top w:val="thinThickSmallGap" w:sz="24" w:space="0" w:color="auto"/>
          <w:bottom w:val="thickThinSmallGap" w:sz="24" w:space="0" w:color="auto"/>
        </w:tblBorders>
        <w:shd w:val="clear" w:color="auto" w:fill="FFFFFF" w:themeFill="background1"/>
        <w:tblCellMar>
          <w:left w:w="70" w:type="dxa"/>
          <w:right w:w="70" w:type="dxa"/>
        </w:tblCellMar>
        <w:tblLook w:val="04A0" w:firstRow="1" w:lastRow="0" w:firstColumn="1" w:lastColumn="0" w:noHBand="0" w:noVBand="1"/>
      </w:tblPr>
      <w:tblGrid>
        <w:gridCol w:w="1543"/>
        <w:gridCol w:w="1543"/>
        <w:gridCol w:w="1543"/>
        <w:gridCol w:w="1543"/>
        <w:gridCol w:w="1542"/>
        <w:gridCol w:w="1542"/>
        <w:gridCol w:w="1542"/>
      </w:tblGrid>
      <w:tr w:rsidR="005B4163" w:rsidRPr="00BE5E11" w14:paraId="5E0004BF" w14:textId="77777777" w:rsidTr="003616C1">
        <w:trPr>
          <w:trHeight w:val="20"/>
        </w:trPr>
        <w:tc>
          <w:tcPr>
            <w:tcW w:w="714" w:type="pct"/>
            <w:tcBorders>
              <w:top w:val="thinThickSmallGap" w:sz="24" w:space="0" w:color="auto"/>
              <w:bottom w:val="thickThinSmallGap" w:sz="24" w:space="0" w:color="auto"/>
            </w:tcBorders>
            <w:shd w:val="clear" w:color="auto" w:fill="FFFFFF" w:themeFill="background1"/>
            <w:vAlign w:val="center"/>
            <w:hideMark/>
          </w:tcPr>
          <w:p w14:paraId="0AD39A2C" w14:textId="77777777" w:rsidR="005B4163" w:rsidRPr="00BE5E11" w:rsidRDefault="005B4163"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Year</w:t>
            </w:r>
          </w:p>
        </w:tc>
        <w:tc>
          <w:tcPr>
            <w:tcW w:w="714" w:type="pct"/>
            <w:tcBorders>
              <w:top w:val="thinThickSmallGap" w:sz="24" w:space="0" w:color="auto"/>
              <w:bottom w:val="thickThinSmallGap" w:sz="24" w:space="0" w:color="auto"/>
            </w:tcBorders>
            <w:shd w:val="clear" w:color="auto" w:fill="FFFFFF" w:themeFill="background1"/>
            <w:vAlign w:val="center"/>
            <w:hideMark/>
          </w:tcPr>
          <w:p w14:paraId="72CE4B8B" w14:textId="77777777" w:rsidR="005B4163" w:rsidRPr="00BE5E11" w:rsidRDefault="005B4163" w:rsidP="008556F9">
            <w:pPr>
              <w:spacing w:after="0" w:line="240" w:lineRule="auto"/>
              <w:jc w:val="both"/>
              <w:rPr>
                <w:rFonts w:ascii="Times New Roman" w:hAnsi="Times New Roman"/>
                <w:b/>
                <w:bCs/>
                <w:sz w:val="24"/>
                <w:szCs w:val="24"/>
              </w:rPr>
            </w:pPr>
            <w:proofErr w:type="spellStart"/>
            <w:r w:rsidRPr="00BE5E11">
              <w:rPr>
                <w:rFonts w:ascii="Times New Roman" w:hAnsi="Times New Roman"/>
                <w:b/>
                <w:bCs/>
                <w:sz w:val="24"/>
                <w:szCs w:val="24"/>
              </w:rPr>
              <w:t>Kayes</w:t>
            </w:r>
            <w:proofErr w:type="spellEnd"/>
          </w:p>
        </w:tc>
        <w:tc>
          <w:tcPr>
            <w:tcW w:w="714" w:type="pct"/>
            <w:tcBorders>
              <w:top w:val="thinThickSmallGap" w:sz="24" w:space="0" w:color="auto"/>
              <w:bottom w:val="thickThinSmallGap" w:sz="24" w:space="0" w:color="auto"/>
            </w:tcBorders>
            <w:shd w:val="clear" w:color="auto" w:fill="FFFFFF" w:themeFill="background1"/>
            <w:vAlign w:val="center"/>
            <w:hideMark/>
          </w:tcPr>
          <w:p w14:paraId="6F351139" w14:textId="77777777" w:rsidR="005B4163" w:rsidRPr="00BE5E11" w:rsidRDefault="005B4163" w:rsidP="008556F9">
            <w:pPr>
              <w:spacing w:after="0" w:line="240" w:lineRule="auto"/>
              <w:jc w:val="both"/>
              <w:rPr>
                <w:rFonts w:ascii="Times New Roman" w:hAnsi="Times New Roman"/>
                <w:b/>
                <w:bCs/>
                <w:sz w:val="24"/>
                <w:szCs w:val="24"/>
              </w:rPr>
            </w:pPr>
            <w:proofErr w:type="spellStart"/>
            <w:r w:rsidRPr="00BE5E11">
              <w:rPr>
                <w:rFonts w:ascii="Times New Roman" w:hAnsi="Times New Roman"/>
                <w:b/>
                <w:bCs/>
                <w:sz w:val="24"/>
                <w:szCs w:val="24"/>
              </w:rPr>
              <w:t>Koulikoro</w:t>
            </w:r>
            <w:proofErr w:type="spellEnd"/>
          </w:p>
        </w:tc>
        <w:tc>
          <w:tcPr>
            <w:tcW w:w="714" w:type="pct"/>
            <w:tcBorders>
              <w:top w:val="thinThickSmallGap" w:sz="24" w:space="0" w:color="auto"/>
              <w:bottom w:val="thickThinSmallGap" w:sz="24" w:space="0" w:color="auto"/>
            </w:tcBorders>
            <w:shd w:val="clear" w:color="auto" w:fill="FFFFFF" w:themeFill="background1"/>
            <w:vAlign w:val="center"/>
            <w:hideMark/>
          </w:tcPr>
          <w:p w14:paraId="61E2B01D" w14:textId="77777777" w:rsidR="005B4163" w:rsidRPr="00BE5E11" w:rsidRDefault="005B4163" w:rsidP="008556F9">
            <w:pPr>
              <w:spacing w:after="0" w:line="240" w:lineRule="auto"/>
              <w:jc w:val="both"/>
              <w:rPr>
                <w:rFonts w:ascii="Times New Roman" w:hAnsi="Times New Roman"/>
                <w:b/>
                <w:bCs/>
                <w:sz w:val="24"/>
                <w:szCs w:val="24"/>
              </w:rPr>
            </w:pPr>
            <w:proofErr w:type="spellStart"/>
            <w:r w:rsidRPr="00BE5E11">
              <w:rPr>
                <w:rFonts w:ascii="Times New Roman" w:hAnsi="Times New Roman"/>
                <w:b/>
                <w:bCs/>
                <w:sz w:val="24"/>
                <w:szCs w:val="24"/>
              </w:rPr>
              <w:t>Sikasso</w:t>
            </w:r>
            <w:proofErr w:type="spellEnd"/>
          </w:p>
        </w:tc>
        <w:tc>
          <w:tcPr>
            <w:tcW w:w="714" w:type="pct"/>
            <w:tcBorders>
              <w:top w:val="thinThickSmallGap" w:sz="24" w:space="0" w:color="auto"/>
              <w:bottom w:val="thickThinSmallGap" w:sz="24" w:space="0" w:color="auto"/>
            </w:tcBorders>
            <w:shd w:val="clear" w:color="auto" w:fill="FFFFFF" w:themeFill="background1"/>
            <w:vAlign w:val="center"/>
            <w:hideMark/>
          </w:tcPr>
          <w:p w14:paraId="508B44D7" w14:textId="77777777" w:rsidR="005B4163" w:rsidRPr="00BE5E11" w:rsidRDefault="005B4163" w:rsidP="008556F9">
            <w:pPr>
              <w:spacing w:after="0" w:line="240" w:lineRule="auto"/>
              <w:jc w:val="both"/>
              <w:rPr>
                <w:rFonts w:ascii="Times New Roman" w:hAnsi="Times New Roman"/>
                <w:b/>
                <w:bCs/>
                <w:sz w:val="24"/>
                <w:szCs w:val="24"/>
              </w:rPr>
            </w:pPr>
            <w:proofErr w:type="spellStart"/>
            <w:r w:rsidRPr="00BE5E11">
              <w:rPr>
                <w:rFonts w:ascii="Times New Roman" w:hAnsi="Times New Roman"/>
                <w:b/>
                <w:bCs/>
                <w:sz w:val="24"/>
                <w:szCs w:val="24"/>
              </w:rPr>
              <w:t>Ségou</w:t>
            </w:r>
            <w:proofErr w:type="spellEnd"/>
          </w:p>
        </w:tc>
        <w:tc>
          <w:tcPr>
            <w:tcW w:w="714" w:type="pct"/>
            <w:tcBorders>
              <w:top w:val="thinThickSmallGap" w:sz="24" w:space="0" w:color="auto"/>
              <w:bottom w:val="thickThinSmallGap" w:sz="24" w:space="0" w:color="auto"/>
            </w:tcBorders>
            <w:shd w:val="clear" w:color="auto" w:fill="FFFFFF" w:themeFill="background1"/>
            <w:vAlign w:val="center"/>
            <w:hideMark/>
          </w:tcPr>
          <w:p w14:paraId="09DCD310" w14:textId="77777777" w:rsidR="005B4163" w:rsidRPr="00BE5E11" w:rsidRDefault="005B4163" w:rsidP="008556F9">
            <w:pPr>
              <w:spacing w:after="0" w:line="240" w:lineRule="auto"/>
              <w:jc w:val="both"/>
              <w:rPr>
                <w:rFonts w:ascii="Times New Roman" w:hAnsi="Times New Roman"/>
                <w:b/>
                <w:bCs/>
                <w:sz w:val="24"/>
                <w:szCs w:val="24"/>
              </w:rPr>
            </w:pPr>
            <w:proofErr w:type="spellStart"/>
            <w:r w:rsidRPr="00BE5E11">
              <w:rPr>
                <w:rFonts w:ascii="Times New Roman" w:hAnsi="Times New Roman"/>
                <w:b/>
                <w:bCs/>
                <w:sz w:val="24"/>
                <w:szCs w:val="24"/>
              </w:rPr>
              <w:t>Mopti</w:t>
            </w:r>
            <w:proofErr w:type="spellEnd"/>
          </w:p>
        </w:tc>
        <w:tc>
          <w:tcPr>
            <w:tcW w:w="714" w:type="pct"/>
            <w:tcBorders>
              <w:top w:val="thinThickSmallGap" w:sz="24" w:space="0" w:color="auto"/>
              <w:bottom w:val="thickThinSmallGap" w:sz="24" w:space="0" w:color="auto"/>
            </w:tcBorders>
            <w:shd w:val="clear" w:color="auto" w:fill="FFFFFF" w:themeFill="background1"/>
            <w:vAlign w:val="center"/>
            <w:hideMark/>
          </w:tcPr>
          <w:p w14:paraId="7799AFF3" w14:textId="77777777" w:rsidR="005B4163" w:rsidRPr="00BE5E11" w:rsidRDefault="005B4163"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Average</w:t>
            </w:r>
          </w:p>
        </w:tc>
      </w:tr>
      <w:tr w:rsidR="005B4163" w:rsidRPr="00BE5E11" w14:paraId="507FE08A" w14:textId="77777777" w:rsidTr="003616C1">
        <w:trPr>
          <w:trHeight w:val="20"/>
        </w:trPr>
        <w:tc>
          <w:tcPr>
            <w:tcW w:w="714" w:type="pct"/>
            <w:tcBorders>
              <w:top w:val="thickThinSmallGap" w:sz="24" w:space="0" w:color="auto"/>
            </w:tcBorders>
            <w:shd w:val="clear" w:color="auto" w:fill="FFFFFF" w:themeFill="background1"/>
            <w:vAlign w:val="center"/>
            <w:hideMark/>
          </w:tcPr>
          <w:p w14:paraId="41C2FCD0"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2016</w:t>
            </w:r>
          </w:p>
        </w:tc>
        <w:tc>
          <w:tcPr>
            <w:tcW w:w="714" w:type="pct"/>
            <w:tcBorders>
              <w:top w:val="thickThinSmallGap" w:sz="24" w:space="0" w:color="auto"/>
            </w:tcBorders>
            <w:shd w:val="clear" w:color="auto" w:fill="FFFFFF" w:themeFill="background1"/>
            <w:vAlign w:val="center"/>
            <w:hideMark/>
          </w:tcPr>
          <w:p w14:paraId="706980D7"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0.00</w:t>
            </w:r>
          </w:p>
        </w:tc>
        <w:tc>
          <w:tcPr>
            <w:tcW w:w="714" w:type="pct"/>
            <w:tcBorders>
              <w:top w:val="thickThinSmallGap" w:sz="24" w:space="0" w:color="auto"/>
            </w:tcBorders>
            <w:shd w:val="clear" w:color="auto" w:fill="FFFFFF" w:themeFill="background1"/>
            <w:vAlign w:val="center"/>
            <w:hideMark/>
          </w:tcPr>
          <w:p w14:paraId="1A80AAAC"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0.00</w:t>
            </w:r>
          </w:p>
        </w:tc>
        <w:tc>
          <w:tcPr>
            <w:tcW w:w="714" w:type="pct"/>
            <w:tcBorders>
              <w:top w:val="thickThinSmallGap" w:sz="24" w:space="0" w:color="auto"/>
            </w:tcBorders>
            <w:shd w:val="clear" w:color="auto" w:fill="FFFFFF" w:themeFill="background1"/>
            <w:vAlign w:val="center"/>
            <w:hideMark/>
          </w:tcPr>
          <w:p w14:paraId="552057FB"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7.00</w:t>
            </w:r>
          </w:p>
        </w:tc>
        <w:tc>
          <w:tcPr>
            <w:tcW w:w="714" w:type="pct"/>
            <w:tcBorders>
              <w:top w:val="thickThinSmallGap" w:sz="24" w:space="0" w:color="auto"/>
            </w:tcBorders>
            <w:shd w:val="clear" w:color="auto" w:fill="FFFFFF" w:themeFill="background1"/>
            <w:vAlign w:val="center"/>
            <w:hideMark/>
          </w:tcPr>
          <w:p w14:paraId="54DC2DAC"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4.00</w:t>
            </w:r>
          </w:p>
        </w:tc>
        <w:tc>
          <w:tcPr>
            <w:tcW w:w="714" w:type="pct"/>
            <w:tcBorders>
              <w:top w:val="thickThinSmallGap" w:sz="24" w:space="0" w:color="auto"/>
            </w:tcBorders>
            <w:shd w:val="clear" w:color="auto" w:fill="FFFFFF" w:themeFill="background1"/>
            <w:vAlign w:val="center"/>
            <w:hideMark/>
          </w:tcPr>
          <w:p w14:paraId="1DD0F222"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5.00</w:t>
            </w:r>
          </w:p>
        </w:tc>
        <w:tc>
          <w:tcPr>
            <w:tcW w:w="714" w:type="pct"/>
            <w:tcBorders>
              <w:top w:val="thickThinSmallGap" w:sz="24" w:space="0" w:color="auto"/>
            </w:tcBorders>
            <w:shd w:val="clear" w:color="auto" w:fill="FFFFFF" w:themeFill="background1"/>
            <w:vAlign w:val="center"/>
            <w:hideMark/>
          </w:tcPr>
          <w:p w14:paraId="73E5C33D" w14:textId="77777777" w:rsidR="005B4163" w:rsidRPr="00BE5E11" w:rsidRDefault="005B4163"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3.00</w:t>
            </w:r>
          </w:p>
        </w:tc>
      </w:tr>
      <w:tr w:rsidR="005B4163" w:rsidRPr="00BE5E11" w14:paraId="6A19A336" w14:textId="77777777" w:rsidTr="003616C1">
        <w:trPr>
          <w:trHeight w:val="20"/>
        </w:trPr>
        <w:tc>
          <w:tcPr>
            <w:tcW w:w="714" w:type="pct"/>
            <w:shd w:val="clear" w:color="auto" w:fill="FFFFFF" w:themeFill="background1"/>
            <w:vAlign w:val="center"/>
            <w:hideMark/>
          </w:tcPr>
          <w:p w14:paraId="54D5DED4"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2017</w:t>
            </w:r>
          </w:p>
        </w:tc>
        <w:tc>
          <w:tcPr>
            <w:tcW w:w="714" w:type="pct"/>
            <w:shd w:val="clear" w:color="auto" w:fill="FFFFFF" w:themeFill="background1"/>
            <w:vAlign w:val="center"/>
            <w:hideMark/>
          </w:tcPr>
          <w:p w14:paraId="2BD25CE8"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1.00</w:t>
            </w:r>
          </w:p>
        </w:tc>
        <w:tc>
          <w:tcPr>
            <w:tcW w:w="714" w:type="pct"/>
            <w:shd w:val="clear" w:color="auto" w:fill="FFFFFF" w:themeFill="background1"/>
            <w:vAlign w:val="center"/>
            <w:hideMark/>
          </w:tcPr>
          <w:p w14:paraId="40430DB8"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1.00</w:t>
            </w:r>
          </w:p>
        </w:tc>
        <w:tc>
          <w:tcPr>
            <w:tcW w:w="714" w:type="pct"/>
            <w:shd w:val="clear" w:color="auto" w:fill="FFFFFF" w:themeFill="background1"/>
            <w:vAlign w:val="center"/>
            <w:hideMark/>
          </w:tcPr>
          <w:p w14:paraId="677212B9"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13.00</w:t>
            </w:r>
          </w:p>
        </w:tc>
        <w:tc>
          <w:tcPr>
            <w:tcW w:w="714" w:type="pct"/>
            <w:shd w:val="clear" w:color="auto" w:fill="FFFFFF" w:themeFill="background1"/>
            <w:vAlign w:val="center"/>
            <w:hideMark/>
          </w:tcPr>
          <w:p w14:paraId="1E453CF8"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25.00</w:t>
            </w:r>
          </w:p>
        </w:tc>
        <w:tc>
          <w:tcPr>
            <w:tcW w:w="714" w:type="pct"/>
            <w:shd w:val="clear" w:color="auto" w:fill="FFFFFF" w:themeFill="background1"/>
            <w:vAlign w:val="center"/>
            <w:hideMark/>
          </w:tcPr>
          <w:p w14:paraId="6140AFF0"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13.00</w:t>
            </w:r>
          </w:p>
        </w:tc>
        <w:tc>
          <w:tcPr>
            <w:tcW w:w="714" w:type="pct"/>
            <w:shd w:val="clear" w:color="auto" w:fill="FFFFFF" w:themeFill="background1"/>
            <w:vAlign w:val="center"/>
            <w:hideMark/>
          </w:tcPr>
          <w:p w14:paraId="09AA6CB9" w14:textId="77777777" w:rsidR="005B4163" w:rsidRPr="00BE5E11" w:rsidRDefault="005B4163"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13.00</w:t>
            </w:r>
          </w:p>
        </w:tc>
      </w:tr>
      <w:tr w:rsidR="005B4163" w:rsidRPr="00BE5E11" w14:paraId="31DAFB3E" w14:textId="77777777" w:rsidTr="003616C1">
        <w:trPr>
          <w:trHeight w:val="20"/>
        </w:trPr>
        <w:tc>
          <w:tcPr>
            <w:tcW w:w="714" w:type="pct"/>
            <w:shd w:val="clear" w:color="auto" w:fill="FFFFFF" w:themeFill="background1"/>
            <w:vAlign w:val="center"/>
            <w:hideMark/>
          </w:tcPr>
          <w:p w14:paraId="74973CAF"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2018</w:t>
            </w:r>
          </w:p>
        </w:tc>
        <w:tc>
          <w:tcPr>
            <w:tcW w:w="714" w:type="pct"/>
            <w:shd w:val="clear" w:color="auto" w:fill="FFFFFF" w:themeFill="background1"/>
            <w:vAlign w:val="center"/>
            <w:hideMark/>
          </w:tcPr>
          <w:p w14:paraId="68FFFF41"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22.00</w:t>
            </w:r>
          </w:p>
        </w:tc>
        <w:tc>
          <w:tcPr>
            <w:tcW w:w="714" w:type="pct"/>
            <w:shd w:val="clear" w:color="auto" w:fill="FFFFFF" w:themeFill="background1"/>
            <w:vAlign w:val="center"/>
            <w:hideMark/>
          </w:tcPr>
          <w:p w14:paraId="3FF06037"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14.00</w:t>
            </w:r>
          </w:p>
        </w:tc>
        <w:tc>
          <w:tcPr>
            <w:tcW w:w="714" w:type="pct"/>
            <w:shd w:val="clear" w:color="auto" w:fill="FFFFFF" w:themeFill="background1"/>
            <w:vAlign w:val="center"/>
            <w:hideMark/>
          </w:tcPr>
          <w:p w14:paraId="03A804A3"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30.00</w:t>
            </w:r>
          </w:p>
        </w:tc>
        <w:tc>
          <w:tcPr>
            <w:tcW w:w="714" w:type="pct"/>
            <w:shd w:val="clear" w:color="auto" w:fill="FFFFFF" w:themeFill="background1"/>
            <w:vAlign w:val="center"/>
            <w:hideMark/>
          </w:tcPr>
          <w:p w14:paraId="5FC68ED8"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21.00</w:t>
            </w:r>
          </w:p>
        </w:tc>
        <w:tc>
          <w:tcPr>
            <w:tcW w:w="714" w:type="pct"/>
            <w:shd w:val="clear" w:color="auto" w:fill="FFFFFF" w:themeFill="background1"/>
            <w:vAlign w:val="center"/>
            <w:hideMark/>
          </w:tcPr>
          <w:p w14:paraId="5F62E60F"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21.00</w:t>
            </w:r>
          </w:p>
        </w:tc>
        <w:tc>
          <w:tcPr>
            <w:tcW w:w="714" w:type="pct"/>
            <w:shd w:val="clear" w:color="auto" w:fill="FFFFFF" w:themeFill="background1"/>
            <w:vAlign w:val="center"/>
            <w:hideMark/>
          </w:tcPr>
          <w:p w14:paraId="7020B55F" w14:textId="77777777" w:rsidR="005B4163" w:rsidRPr="00BE5E11" w:rsidRDefault="005B4163"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21.00</w:t>
            </w:r>
          </w:p>
        </w:tc>
      </w:tr>
      <w:tr w:rsidR="005B4163" w:rsidRPr="00BE5E11" w14:paraId="5EA136C6" w14:textId="77777777" w:rsidTr="003616C1">
        <w:trPr>
          <w:trHeight w:val="20"/>
        </w:trPr>
        <w:tc>
          <w:tcPr>
            <w:tcW w:w="714" w:type="pct"/>
            <w:shd w:val="clear" w:color="auto" w:fill="FFFFFF" w:themeFill="background1"/>
            <w:vAlign w:val="center"/>
            <w:hideMark/>
          </w:tcPr>
          <w:p w14:paraId="38E54B92"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2019</w:t>
            </w:r>
          </w:p>
        </w:tc>
        <w:tc>
          <w:tcPr>
            <w:tcW w:w="714" w:type="pct"/>
            <w:shd w:val="clear" w:color="auto" w:fill="FFFFFF" w:themeFill="background1"/>
            <w:vAlign w:val="center"/>
            <w:hideMark/>
          </w:tcPr>
          <w:p w14:paraId="4F90F5E8"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22.00</w:t>
            </w:r>
          </w:p>
        </w:tc>
        <w:tc>
          <w:tcPr>
            <w:tcW w:w="714" w:type="pct"/>
            <w:shd w:val="clear" w:color="auto" w:fill="FFFFFF" w:themeFill="background1"/>
            <w:vAlign w:val="center"/>
            <w:hideMark/>
          </w:tcPr>
          <w:p w14:paraId="0736A545"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34.00</w:t>
            </w:r>
          </w:p>
        </w:tc>
        <w:tc>
          <w:tcPr>
            <w:tcW w:w="714" w:type="pct"/>
            <w:shd w:val="clear" w:color="auto" w:fill="FFFFFF" w:themeFill="background1"/>
            <w:vAlign w:val="center"/>
            <w:hideMark/>
          </w:tcPr>
          <w:p w14:paraId="566EEF54"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40.00</w:t>
            </w:r>
          </w:p>
        </w:tc>
        <w:tc>
          <w:tcPr>
            <w:tcW w:w="714" w:type="pct"/>
            <w:shd w:val="clear" w:color="auto" w:fill="FFFFFF" w:themeFill="background1"/>
            <w:vAlign w:val="center"/>
            <w:hideMark/>
          </w:tcPr>
          <w:p w14:paraId="78E04A3F"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41.00</w:t>
            </w:r>
          </w:p>
        </w:tc>
        <w:tc>
          <w:tcPr>
            <w:tcW w:w="714" w:type="pct"/>
            <w:shd w:val="clear" w:color="auto" w:fill="FFFFFF" w:themeFill="background1"/>
            <w:vAlign w:val="center"/>
            <w:hideMark/>
          </w:tcPr>
          <w:p w14:paraId="4F8D3FD5"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19.00</w:t>
            </w:r>
          </w:p>
        </w:tc>
        <w:tc>
          <w:tcPr>
            <w:tcW w:w="714" w:type="pct"/>
            <w:shd w:val="clear" w:color="auto" w:fill="FFFFFF" w:themeFill="background1"/>
            <w:vAlign w:val="center"/>
            <w:hideMark/>
          </w:tcPr>
          <w:p w14:paraId="78D6AC69" w14:textId="77777777" w:rsidR="005B4163" w:rsidRPr="00BE5E11" w:rsidRDefault="005B4163"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28.00</w:t>
            </w:r>
          </w:p>
        </w:tc>
      </w:tr>
      <w:tr w:rsidR="005B4163" w:rsidRPr="00BE5E11" w14:paraId="6D6BCC7C" w14:textId="77777777" w:rsidTr="003616C1">
        <w:trPr>
          <w:trHeight w:val="20"/>
        </w:trPr>
        <w:tc>
          <w:tcPr>
            <w:tcW w:w="714" w:type="pct"/>
            <w:shd w:val="clear" w:color="auto" w:fill="FFFFFF" w:themeFill="background1"/>
            <w:vAlign w:val="center"/>
            <w:hideMark/>
          </w:tcPr>
          <w:p w14:paraId="69BF22DE"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2020</w:t>
            </w:r>
          </w:p>
        </w:tc>
        <w:tc>
          <w:tcPr>
            <w:tcW w:w="714" w:type="pct"/>
            <w:shd w:val="clear" w:color="auto" w:fill="FFFFFF" w:themeFill="background1"/>
            <w:vAlign w:val="center"/>
            <w:hideMark/>
          </w:tcPr>
          <w:p w14:paraId="64A98FCA"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18.00</w:t>
            </w:r>
          </w:p>
        </w:tc>
        <w:tc>
          <w:tcPr>
            <w:tcW w:w="714" w:type="pct"/>
            <w:shd w:val="clear" w:color="auto" w:fill="FFFFFF" w:themeFill="background1"/>
            <w:vAlign w:val="center"/>
            <w:hideMark/>
          </w:tcPr>
          <w:p w14:paraId="57FE1CDC"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31.00</w:t>
            </w:r>
          </w:p>
        </w:tc>
        <w:tc>
          <w:tcPr>
            <w:tcW w:w="714" w:type="pct"/>
            <w:shd w:val="clear" w:color="auto" w:fill="FFFFFF" w:themeFill="background1"/>
            <w:vAlign w:val="center"/>
            <w:hideMark/>
          </w:tcPr>
          <w:p w14:paraId="4AA61404"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36.00</w:t>
            </w:r>
          </w:p>
        </w:tc>
        <w:tc>
          <w:tcPr>
            <w:tcW w:w="714" w:type="pct"/>
            <w:shd w:val="clear" w:color="auto" w:fill="FFFFFF" w:themeFill="background1"/>
            <w:vAlign w:val="center"/>
            <w:hideMark/>
          </w:tcPr>
          <w:p w14:paraId="605AAD1A"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34.00</w:t>
            </w:r>
          </w:p>
        </w:tc>
        <w:tc>
          <w:tcPr>
            <w:tcW w:w="714" w:type="pct"/>
            <w:shd w:val="clear" w:color="auto" w:fill="FFFFFF" w:themeFill="background1"/>
            <w:vAlign w:val="center"/>
            <w:hideMark/>
          </w:tcPr>
          <w:p w14:paraId="11AF9B82"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23.00</w:t>
            </w:r>
          </w:p>
        </w:tc>
        <w:tc>
          <w:tcPr>
            <w:tcW w:w="714" w:type="pct"/>
            <w:shd w:val="clear" w:color="auto" w:fill="FFFFFF" w:themeFill="background1"/>
            <w:vAlign w:val="center"/>
            <w:hideMark/>
          </w:tcPr>
          <w:p w14:paraId="18ED94A2" w14:textId="77777777" w:rsidR="005B4163" w:rsidRPr="00BE5E11" w:rsidRDefault="005B4163"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27.00</w:t>
            </w:r>
          </w:p>
        </w:tc>
      </w:tr>
      <w:tr w:rsidR="005B4163" w:rsidRPr="00BE5E11" w14:paraId="76459F10" w14:textId="77777777" w:rsidTr="003616C1">
        <w:trPr>
          <w:trHeight w:val="20"/>
        </w:trPr>
        <w:tc>
          <w:tcPr>
            <w:tcW w:w="714" w:type="pct"/>
            <w:shd w:val="clear" w:color="auto" w:fill="FFFFFF" w:themeFill="background1"/>
            <w:vAlign w:val="center"/>
            <w:hideMark/>
          </w:tcPr>
          <w:p w14:paraId="5B90B5BE"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2021</w:t>
            </w:r>
          </w:p>
        </w:tc>
        <w:tc>
          <w:tcPr>
            <w:tcW w:w="714" w:type="pct"/>
            <w:shd w:val="clear" w:color="auto" w:fill="FFFFFF" w:themeFill="background1"/>
            <w:vAlign w:val="center"/>
            <w:hideMark/>
          </w:tcPr>
          <w:p w14:paraId="59992E3C"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12.00</w:t>
            </w:r>
          </w:p>
        </w:tc>
        <w:tc>
          <w:tcPr>
            <w:tcW w:w="714" w:type="pct"/>
            <w:shd w:val="clear" w:color="auto" w:fill="FFFFFF" w:themeFill="background1"/>
            <w:vAlign w:val="center"/>
            <w:hideMark/>
          </w:tcPr>
          <w:p w14:paraId="648FA96F"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33.00</w:t>
            </w:r>
          </w:p>
        </w:tc>
        <w:tc>
          <w:tcPr>
            <w:tcW w:w="714" w:type="pct"/>
            <w:shd w:val="clear" w:color="auto" w:fill="FFFFFF" w:themeFill="background1"/>
            <w:vAlign w:val="center"/>
            <w:hideMark/>
          </w:tcPr>
          <w:p w14:paraId="7663E7E7"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29.00</w:t>
            </w:r>
          </w:p>
        </w:tc>
        <w:tc>
          <w:tcPr>
            <w:tcW w:w="714" w:type="pct"/>
            <w:shd w:val="clear" w:color="auto" w:fill="FFFFFF" w:themeFill="background1"/>
            <w:vAlign w:val="center"/>
            <w:hideMark/>
          </w:tcPr>
          <w:p w14:paraId="71C48E4A"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33.00</w:t>
            </w:r>
          </w:p>
        </w:tc>
        <w:tc>
          <w:tcPr>
            <w:tcW w:w="714" w:type="pct"/>
            <w:shd w:val="clear" w:color="auto" w:fill="FFFFFF" w:themeFill="background1"/>
            <w:vAlign w:val="center"/>
            <w:hideMark/>
          </w:tcPr>
          <w:p w14:paraId="1C939303"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24.00</w:t>
            </w:r>
          </w:p>
        </w:tc>
        <w:tc>
          <w:tcPr>
            <w:tcW w:w="714" w:type="pct"/>
            <w:shd w:val="clear" w:color="auto" w:fill="FFFFFF" w:themeFill="background1"/>
            <w:vAlign w:val="center"/>
            <w:hideMark/>
          </w:tcPr>
          <w:p w14:paraId="647BA3BE" w14:textId="77777777" w:rsidR="005B4163" w:rsidRPr="00BE5E11" w:rsidRDefault="005B4163"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26.00</w:t>
            </w:r>
          </w:p>
        </w:tc>
      </w:tr>
      <w:tr w:rsidR="005B4163" w:rsidRPr="00BE5E11" w14:paraId="16B4B95B" w14:textId="77777777" w:rsidTr="003616C1">
        <w:trPr>
          <w:trHeight w:val="20"/>
        </w:trPr>
        <w:tc>
          <w:tcPr>
            <w:tcW w:w="714" w:type="pct"/>
            <w:shd w:val="clear" w:color="auto" w:fill="FFFFFF" w:themeFill="background1"/>
            <w:vAlign w:val="center"/>
            <w:hideMark/>
          </w:tcPr>
          <w:p w14:paraId="67F4305B"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2022</w:t>
            </w:r>
          </w:p>
        </w:tc>
        <w:tc>
          <w:tcPr>
            <w:tcW w:w="714" w:type="pct"/>
            <w:shd w:val="clear" w:color="auto" w:fill="FFFFFF" w:themeFill="background1"/>
            <w:vAlign w:val="center"/>
            <w:hideMark/>
          </w:tcPr>
          <w:p w14:paraId="1DF00387"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12.00</w:t>
            </w:r>
          </w:p>
        </w:tc>
        <w:tc>
          <w:tcPr>
            <w:tcW w:w="714" w:type="pct"/>
            <w:shd w:val="clear" w:color="auto" w:fill="FFFFFF" w:themeFill="background1"/>
            <w:vAlign w:val="center"/>
            <w:hideMark/>
          </w:tcPr>
          <w:p w14:paraId="1BC41E2C"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28.00</w:t>
            </w:r>
          </w:p>
        </w:tc>
        <w:tc>
          <w:tcPr>
            <w:tcW w:w="714" w:type="pct"/>
            <w:shd w:val="clear" w:color="auto" w:fill="FFFFFF" w:themeFill="background1"/>
            <w:vAlign w:val="center"/>
            <w:hideMark/>
          </w:tcPr>
          <w:p w14:paraId="4DC64671"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31.00</w:t>
            </w:r>
          </w:p>
        </w:tc>
        <w:tc>
          <w:tcPr>
            <w:tcW w:w="714" w:type="pct"/>
            <w:shd w:val="clear" w:color="auto" w:fill="FFFFFF" w:themeFill="background1"/>
            <w:vAlign w:val="center"/>
            <w:hideMark/>
          </w:tcPr>
          <w:p w14:paraId="4A892954"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36.00</w:t>
            </w:r>
          </w:p>
        </w:tc>
        <w:tc>
          <w:tcPr>
            <w:tcW w:w="714" w:type="pct"/>
            <w:shd w:val="clear" w:color="auto" w:fill="FFFFFF" w:themeFill="background1"/>
            <w:vAlign w:val="center"/>
            <w:hideMark/>
          </w:tcPr>
          <w:p w14:paraId="0B0351E9"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24.00</w:t>
            </w:r>
          </w:p>
        </w:tc>
        <w:tc>
          <w:tcPr>
            <w:tcW w:w="714" w:type="pct"/>
            <w:shd w:val="clear" w:color="auto" w:fill="FFFFFF" w:themeFill="background1"/>
            <w:vAlign w:val="center"/>
            <w:hideMark/>
          </w:tcPr>
          <w:p w14:paraId="196A1BAF" w14:textId="77777777" w:rsidR="005B4163" w:rsidRPr="00BE5E11" w:rsidRDefault="005B4163"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27.00</w:t>
            </w:r>
          </w:p>
        </w:tc>
      </w:tr>
      <w:tr w:rsidR="005B4163" w:rsidRPr="00BE5E11" w14:paraId="3AD4AFE1" w14:textId="77777777" w:rsidTr="003616C1">
        <w:trPr>
          <w:trHeight w:val="20"/>
        </w:trPr>
        <w:tc>
          <w:tcPr>
            <w:tcW w:w="714" w:type="pct"/>
            <w:shd w:val="clear" w:color="auto" w:fill="FFFFFF" w:themeFill="background1"/>
            <w:vAlign w:val="center"/>
            <w:hideMark/>
          </w:tcPr>
          <w:p w14:paraId="2E37950D"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2023</w:t>
            </w:r>
          </w:p>
        </w:tc>
        <w:tc>
          <w:tcPr>
            <w:tcW w:w="714" w:type="pct"/>
            <w:shd w:val="clear" w:color="auto" w:fill="FFFFFF" w:themeFill="background1"/>
            <w:vAlign w:val="center"/>
            <w:hideMark/>
          </w:tcPr>
          <w:p w14:paraId="255DE805"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11.00</w:t>
            </w:r>
          </w:p>
        </w:tc>
        <w:tc>
          <w:tcPr>
            <w:tcW w:w="714" w:type="pct"/>
            <w:shd w:val="clear" w:color="auto" w:fill="FFFFFF" w:themeFill="background1"/>
            <w:vAlign w:val="center"/>
            <w:hideMark/>
          </w:tcPr>
          <w:p w14:paraId="1E9AC88F"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34.00</w:t>
            </w:r>
          </w:p>
        </w:tc>
        <w:tc>
          <w:tcPr>
            <w:tcW w:w="714" w:type="pct"/>
            <w:shd w:val="clear" w:color="auto" w:fill="FFFFFF" w:themeFill="background1"/>
            <w:vAlign w:val="center"/>
            <w:hideMark/>
          </w:tcPr>
          <w:p w14:paraId="330CC707"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46.00</w:t>
            </w:r>
          </w:p>
        </w:tc>
        <w:tc>
          <w:tcPr>
            <w:tcW w:w="714" w:type="pct"/>
            <w:shd w:val="clear" w:color="auto" w:fill="FFFFFF" w:themeFill="background1"/>
            <w:vAlign w:val="center"/>
            <w:hideMark/>
          </w:tcPr>
          <w:p w14:paraId="0C3C3069"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47.00</w:t>
            </w:r>
          </w:p>
        </w:tc>
        <w:tc>
          <w:tcPr>
            <w:tcW w:w="714" w:type="pct"/>
            <w:shd w:val="clear" w:color="auto" w:fill="FFFFFF" w:themeFill="background1"/>
            <w:vAlign w:val="center"/>
            <w:hideMark/>
          </w:tcPr>
          <w:p w14:paraId="7C19EFF4"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31.00</w:t>
            </w:r>
          </w:p>
        </w:tc>
        <w:tc>
          <w:tcPr>
            <w:tcW w:w="714" w:type="pct"/>
            <w:shd w:val="clear" w:color="auto" w:fill="FFFFFF" w:themeFill="background1"/>
            <w:vAlign w:val="center"/>
            <w:hideMark/>
          </w:tcPr>
          <w:p w14:paraId="0A174C3E" w14:textId="77777777" w:rsidR="005B4163" w:rsidRPr="00BE5E11" w:rsidRDefault="005B4163"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34.00</w:t>
            </w:r>
          </w:p>
        </w:tc>
      </w:tr>
      <w:tr w:rsidR="005B4163" w:rsidRPr="00BE5E11" w14:paraId="255D879B" w14:textId="77777777" w:rsidTr="003616C1">
        <w:trPr>
          <w:trHeight w:val="20"/>
        </w:trPr>
        <w:tc>
          <w:tcPr>
            <w:tcW w:w="714" w:type="pct"/>
            <w:shd w:val="clear" w:color="auto" w:fill="FFFFFF" w:themeFill="background1"/>
            <w:vAlign w:val="center"/>
            <w:hideMark/>
          </w:tcPr>
          <w:p w14:paraId="0C6C1DEA"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2024</w:t>
            </w:r>
          </w:p>
        </w:tc>
        <w:tc>
          <w:tcPr>
            <w:tcW w:w="714" w:type="pct"/>
            <w:shd w:val="clear" w:color="auto" w:fill="FFFFFF" w:themeFill="background1"/>
            <w:vAlign w:val="center"/>
            <w:hideMark/>
          </w:tcPr>
          <w:p w14:paraId="2AC43EF3"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9.00</w:t>
            </w:r>
          </w:p>
        </w:tc>
        <w:tc>
          <w:tcPr>
            <w:tcW w:w="714" w:type="pct"/>
            <w:shd w:val="clear" w:color="auto" w:fill="FFFFFF" w:themeFill="background1"/>
            <w:vAlign w:val="center"/>
            <w:hideMark/>
          </w:tcPr>
          <w:p w14:paraId="45AFB8CF"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25.00</w:t>
            </w:r>
          </w:p>
        </w:tc>
        <w:tc>
          <w:tcPr>
            <w:tcW w:w="714" w:type="pct"/>
            <w:shd w:val="clear" w:color="auto" w:fill="FFFFFF" w:themeFill="background1"/>
            <w:vAlign w:val="center"/>
            <w:hideMark/>
          </w:tcPr>
          <w:p w14:paraId="0151B073"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40.00</w:t>
            </w:r>
          </w:p>
        </w:tc>
        <w:tc>
          <w:tcPr>
            <w:tcW w:w="714" w:type="pct"/>
            <w:shd w:val="clear" w:color="auto" w:fill="FFFFFF" w:themeFill="background1"/>
            <w:vAlign w:val="center"/>
            <w:hideMark/>
          </w:tcPr>
          <w:p w14:paraId="35EAD7B0"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40.00</w:t>
            </w:r>
          </w:p>
        </w:tc>
        <w:tc>
          <w:tcPr>
            <w:tcW w:w="714" w:type="pct"/>
            <w:shd w:val="clear" w:color="auto" w:fill="FFFFFF" w:themeFill="background1"/>
            <w:vAlign w:val="center"/>
            <w:hideMark/>
          </w:tcPr>
          <w:p w14:paraId="0D613F5A"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28.00</w:t>
            </w:r>
          </w:p>
        </w:tc>
        <w:tc>
          <w:tcPr>
            <w:tcW w:w="714" w:type="pct"/>
            <w:shd w:val="clear" w:color="auto" w:fill="FFFFFF" w:themeFill="background1"/>
            <w:vAlign w:val="center"/>
            <w:hideMark/>
          </w:tcPr>
          <w:p w14:paraId="66C8186A" w14:textId="77777777" w:rsidR="005B4163" w:rsidRPr="00BE5E11" w:rsidRDefault="005B4163"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28.00</w:t>
            </w:r>
          </w:p>
        </w:tc>
      </w:tr>
      <w:tr w:rsidR="005B4163" w:rsidRPr="00BE5E11" w14:paraId="6F662BC5" w14:textId="77777777" w:rsidTr="003616C1">
        <w:trPr>
          <w:trHeight w:val="20"/>
        </w:trPr>
        <w:tc>
          <w:tcPr>
            <w:tcW w:w="714" w:type="pct"/>
            <w:shd w:val="clear" w:color="auto" w:fill="FFFFFF" w:themeFill="background1"/>
            <w:noWrap/>
            <w:vAlign w:val="center"/>
            <w:hideMark/>
          </w:tcPr>
          <w:p w14:paraId="10280AC5" w14:textId="77777777" w:rsidR="005B4163" w:rsidRPr="00BE5E11" w:rsidRDefault="005B4163"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Average</w:t>
            </w:r>
          </w:p>
        </w:tc>
        <w:tc>
          <w:tcPr>
            <w:tcW w:w="714" w:type="pct"/>
            <w:shd w:val="clear" w:color="auto" w:fill="FFFFFF" w:themeFill="background1"/>
            <w:noWrap/>
            <w:vAlign w:val="center"/>
            <w:hideMark/>
          </w:tcPr>
          <w:p w14:paraId="6B31E9A7" w14:textId="77777777" w:rsidR="005B4163" w:rsidRPr="00BE5E11" w:rsidRDefault="005B4163"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11.89</w:t>
            </w:r>
          </w:p>
        </w:tc>
        <w:tc>
          <w:tcPr>
            <w:tcW w:w="714" w:type="pct"/>
            <w:shd w:val="clear" w:color="auto" w:fill="FFFFFF" w:themeFill="background1"/>
            <w:noWrap/>
            <w:vAlign w:val="center"/>
            <w:hideMark/>
          </w:tcPr>
          <w:p w14:paraId="74DD8D72" w14:textId="77777777" w:rsidR="005B4163" w:rsidRPr="00BE5E11" w:rsidRDefault="005B4163"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22.22</w:t>
            </w:r>
          </w:p>
        </w:tc>
        <w:tc>
          <w:tcPr>
            <w:tcW w:w="714" w:type="pct"/>
            <w:shd w:val="clear" w:color="auto" w:fill="FFFFFF" w:themeFill="background1"/>
            <w:noWrap/>
            <w:vAlign w:val="center"/>
            <w:hideMark/>
          </w:tcPr>
          <w:p w14:paraId="72885043" w14:textId="77777777" w:rsidR="005B4163" w:rsidRPr="00BE5E11" w:rsidRDefault="005B4163"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30.22</w:t>
            </w:r>
          </w:p>
        </w:tc>
        <w:tc>
          <w:tcPr>
            <w:tcW w:w="714" w:type="pct"/>
            <w:shd w:val="clear" w:color="auto" w:fill="FFFFFF" w:themeFill="background1"/>
            <w:noWrap/>
            <w:vAlign w:val="center"/>
            <w:hideMark/>
          </w:tcPr>
          <w:p w14:paraId="727C124C" w14:textId="77777777" w:rsidR="005B4163" w:rsidRPr="00BE5E11" w:rsidRDefault="005B4163"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31.22</w:t>
            </w:r>
          </w:p>
        </w:tc>
        <w:tc>
          <w:tcPr>
            <w:tcW w:w="714" w:type="pct"/>
            <w:shd w:val="clear" w:color="auto" w:fill="FFFFFF" w:themeFill="background1"/>
            <w:noWrap/>
            <w:vAlign w:val="center"/>
            <w:hideMark/>
          </w:tcPr>
          <w:p w14:paraId="1CD6E679" w14:textId="77777777" w:rsidR="005B4163" w:rsidRPr="00BE5E11" w:rsidRDefault="005B4163"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20.89</w:t>
            </w:r>
          </w:p>
        </w:tc>
        <w:tc>
          <w:tcPr>
            <w:tcW w:w="714" w:type="pct"/>
            <w:shd w:val="clear" w:color="auto" w:fill="FFFFFF" w:themeFill="background1"/>
            <w:noWrap/>
            <w:vAlign w:val="center"/>
            <w:hideMark/>
          </w:tcPr>
          <w:p w14:paraId="7B5462FB" w14:textId="77777777" w:rsidR="005B4163" w:rsidRPr="00BE5E11" w:rsidRDefault="005B4163"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23.00</w:t>
            </w:r>
          </w:p>
        </w:tc>
      </w:tr>
    </w:tbl>
    <w:p w14:paraId="6AD2D55A" w14:textId="515C7847" w:rsidR="005B4163" w:rsidRPr="00BE5E11" w:rsidRDefault="005B4163" w:rsidP="008556F9">
      <w:pPr>
        <w:spacing w:before="240" w:after="240" w:line="240" w:lineRule="auto"/>
        <w:jc w:val="both"/>
        <w:rPr>
          <w:rFonts w:ascii="Times New Roman" w:hAnsi="Times New Roman"/>
          <w:b/>
          <w:bCs/>
          <w:sz w:val="24"/>
          <w:szCs w:val="24"/>
        </w:rPr>
      </w:pPr>
      <w:r w:rsidRPr="00BE5E11">
        <w:rPr>
          <w:rFonts w:ascii="Times New Roman" w:hAnsi="Times New Roman"/>
          <w:b/>
          <w:bCs/>
          <w:sz w:val="24"/>
          <w:szCs w:val="24"/>
        </w:rPr>
        <w:t>ASC target coverage rate for MAM</w:t>
      </w:r>
    </w:p>
    <w:p w14:paraId="6471467A" w14:textId="77777777" w:rsidR="001C4D2F" w:rsidRPr="00BE5E11" w:rsidRDefault="001C4D2F" w:rsidP="008556F9">
      <w:pPr>
        <w:pStyle w:val="NormalWeb"/>
        <w:jc w:val="both"/>
      </w:pPr>
      <w:bookmarkStart w:id="11" w:name="_Toc220360939"/>
      <w:r w:rsidRPr="00BE5E11">
        <w:t xml:space="preserve">Regarding the target coverage rate, the overall average performance stands at 14.42%. Here again, </w:t>
      </w:r>
      <w:proofErr w:type="spellStart"/>
      <w:r w:rsidRPr="00BE5E11">
        <w:t>Ségou</w:t>
      </w:r>
      <w:proofErr w:type="spellEnd"/>
      <w:r w:rsidRPr="00BE5E11">
        <w:t xml:space="preserve"> stands out with superior efficiency (26.11%), contrasting with the regions of </w:t>
      </w:r>
      <w:proofErr w:type="spellStart"/>
      <w:r w:rsidRPr="00BE5E11">
        <w:t>Kayes</w:t>
      </w:r>
      <w:proofErr w:type="spellEnd"/>
      <w:r w:rsidRPr="00BE5E11">
        <w:t xml:space="preserve">, </w:t>
      </w:r>
      <w:proofErr w:type="spellStart"/>
      <w:r w:rsidRPr="00BE5E11">
        <w:t>Koulikoro</w:t>
      </w:r>
      <w:proofErr w:type="spellEnd"/>
      <w:r w:rsidRPr="00BE5E11">
        <w:t xml:space="preserve"> and </w:t>
      </w:r>
      <w:proofErr w:type="spellStart"/>
      <w:r w:rsidRPr="00BE5E11">
        <w:t>Sikasso</w:t>
      </w:r>
      <w:proofErr w:type="spellEnd"/>
      <w:r w:rsidRPr="00BE5E11">
        <w:t xml:space="preserve"> which struggle to cross the 10% threshold.</w:t>
      </w:r>
    </w:p>
    <w:p w14:paraId="1833DD29" w14:textId="26F75103" w:rsidR="005B4163" w:rsidRPr="00BE5E11" w:rsidRDefault="005B4163" w:rsidP="008556F9">
      <w:pPr>
        <w:spacing w:before="240" w:after="240" w:line="240" w:lineRule="auto"/>
        <w:jc w:val="both"/>
        <w:rPr>
          <w:rFonts w:ascii="Times New Roman" w:hAnsi="Times New Roman"/>
          <w:sz w:val="24"/>
          <w:szCs w:val="24"/>
        </w:rPr>
      </w:pPr>
      <w:r w:rsidRPr="00BE5E11">
        <w:rPr>
          <w:rFonts w:ascii="Times New Roman" w:hAnsi="Times New Roman"/>
          <w:b/>
          <w:bCs/>
          <w:sz w:val="24"/>
          <w:szCs w:val="24"/>
        </w:rPr>
        <w:t xml:space="preserve">Table 6: </w:t>
      </w:r>
      <w:r w:rsidRPr="00BE5E11">
        <w:rPr>
          <w:rFonts w:ascii="Times New Roman" w:hAnsi="Times New Roman"/>
          <w:sz w:val="24"/>
          <w:szCs w:val="24"/>
        </w:rPr>
        <w:t>Coverage rate (in percentage) of moderate acute malnutrition targets achieved by ASCs per year and per region.</w:t>
      </w:r>
      <w:bookmarkEnd w:id="11"/>
    </w:p>
    <w:tbl>
      <w:tblPr>
        <w:tblW w:w="5000" w:type="pct"/>
        <w:jc w:val="center"/>
        <w:tblBorders>
          <w:top w:val="thinThickSmallGap" w:sz="24" w:space="0" w:color="auto"/>
          <w:bottom w:val="thickThinSmallGap" w:sz="24" w:space="0" w:color="auto"/>
        </w:tblBorders>
        <w:shd w:val="clear" w:color="auto" w:fill="FFFFFF" w:themeFill="background1"/>
        <w:tblCellMar>
          <w:left w:w="70" w:type="dxa"/>
          <w:right w:w="70" w:type="dxa"/>
        </w:tblCellMar>
        <w:tblLook w:val="04A0" w:firstRow="1" w:lastRow="0" w:firstColumn="1" w:lastColumn="0" w:noHBand="0" w:noVBand="1"/>
      </w:tblPr>
      <w:tblGrid>
        <w:gridCol w:w="1543"/>
        <w:gridCol w:w="1543"/>
        <w:gridCol w:w="1543"/>
        <w:gridCol w:w="1543"/>
        <w:gridCol w:w="1542"/>
        <w:gridCol w:w="1542"/>
        <w:gridCol w:w="1542"/>
      </w:tblGrid>
      <w:tr w:rsidR="005B4163" w:rsidRPr="00BE5E11" w14:paraId="16D9975F" w14:textId="77777777" w:rsidTr="003616C1">
        <w:trPr>
          <w:trHeight w:val="20"/>
          <w:jc w:val="center"/>
        </w:trPr>
        <w:tc>
          <w:tcPr>
            <w:tcW w:w="714" w:type="pct"/>
            <w:tcBorders>
              <w:top w:val="thinThickSmallGap" w:sz="24" w:space="0" w:color="auto"/>
              <w:bottom w:val="thickThinSmallGap" w:sz="24" w:space="0" w:color="auto"/>
            </w:tcBorders>
            <w:shd w:val="clear" w:color="auto" w:fill="FFFFFF" w:themeFill="background1"/>
            <w:vAlign w:val="center"/>
            <w:hideMark/>
          </w:tcPr>
          <w:p w14:paraId="18B837DA" w14:textId="77777777" w:rsidR="005B4163" w:rsidRPr="00BE5E11" w:rsidRDefault="005B4163"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Year</w:t>
            </w:r>
          </w:p>
        </w:tc>
        <w:tc>
          <w:tcPr>
            <w:tcW w:w="714" w:type="pct"/>
            <w:tcBorders>
              <w:top w:val="thinThickSmallGap" w:sz="24" w:space="0" w:color="auto"/>
              <w:bottom w:val="thickThinSmallGap" w:sz="24" w:space="0" w:color="auto"/>
            </w:tcBorders>
            <w:shd w:val="clear" w:color="auto" w:fill="FFFFFF" w:themeFill="background1"/>
            <w:vAlign w:val="center"/>
            <w:hideMark/>
          </w:tcPr>
          <w:p w14:paraId="6E436462" w14:textId="77777777" w:rsidR="005B4163" w:rsidRPr="00BE5E11" w:rsidRDefault="005B4163" w:rsidP="008556F9">
            <w:pPr>
              <w:spacing w:after="0" w:line="240" w:lineRule="auto"/>
              <w:jc w:val="both"/>
              <w:rPr>
                <w:rFonts w:ascii="Times New Roman" w:hAnsi="Times New Roman"/>
                <w:b/>
                <w:bCs/>
                <w:sz w:val="24"/>
                <w:szCs w:val="24"/>
              </w:rPr>
            </w:pPr>
            <w:proofErr w:type="spellStart"/>
            <w:r w:rsidRPr="00BE5E11">
              <w:rPr>
                <w:rFonts w:ascii="Times New Roman" w:hAnsi="Times New Roman"/>
                <w:b/>
                <w:bCs/>
                <w:sz w:val="24"/>
                <w:szCs w:val="24"/>
              </w:rPr>
              <w:t>Kayes</w:t>
            </w:r>
            <w:proofErr w:type="spellEnd"/>
          </w:p>
        </w:tc>
        <w:tc>
          <w:tcPr>
            <w:tcW w:w="714" w:type="pct"/>
            <w:tcBorders>
              <w:top w:val="thinThickSmallGap" w:sz="24" w:space="0" w:color="auto"/>
              <w:bottom w:val="thickThinSmallGap" w:sz="24" w:space="0" w:color="auto"/>
            </w:tcBorders>
            <w:shd w:val="clear" w:color="auto" w:fill="FFFFFF" w:themeFill="background1"/>
            <w:vAlign w:val="center"/>
            <w:hideMark/>
          </w:tcPr>
          <w:p w14:paraId="2A6EFAAA" w14:textId="77777777" w:rsidR="005B4163" w:rsidRPr="00BE5E11" w:rsidRDefault="005B4163" w:rsidP="008556F9">
            <w:pPr>
              <w:spacing w:after="0" w:line="240" w:lineRule="auto"/>
              <w:jc w:val="both"/>
              <w:rPr>
                <w:rFonts w:ascii="Times New Roman" w:hAnsi="Times New Roman"/>
                <w:b/>
                <w:bCs/>
                <w:sz w:val="24"/>
                <w:szCs w:val="24"/>
              </w:rPr>
            </w:pPr>
            <w:proofErr w:type="spellStart"/>
            <w:r w:rsidRPr="00BE5E11">
              <w:rPr>
                <w:rFonts w:ascii="Times New Roman" w:hAnsi="Times New Roman"/>
                <w:b/>
                <w:bCs/>
                <w:sz w:val="24"/>
                <w:szCs w:val="24"/>
              </w:rPr>
              <w:t>Koulikoro</w:t>
            </w:r>
            <w:proofErr w:type="spellEnd"/>
          </w:p>
        </w:tc>
        <w:tc>
          <w:tcPr>
            <w:tcW w:w="714" w:type="pct"/>
            <w:tcBorders>
              <w:top w:val="thinThickSmallGap" w:sz="24" w:space="0" w:color="auto"/>
              <w:bottom w:val="thickThinSmallGap" w:sz="24" w:space="0" w:color="auto"/>
            </w:tcBorders>
            <w:shd w:val="clear" w:color="auto" w:fill="FFFFFF" w:themeFill="background1"/>
            <w:vAlign w:val="center"/>
            <w:hideMark/>
          </w:tcPr>
          <w:p w14:paraId="7E93175B" w14:textId="77777777" w:rsidR="005B4163" w:rsidRPr="00BE5E11" w:rsidRDefault="005B4163" w:rsidP="008556F9">
            <w:pPr>
              <w:spacing w:after="0" w:line="240" w:lineRule="auto"/>
              <w:jc w:val="both"/>
              <w:rPr>
                <w:rFonts w:ascii="Times New Roman" w:hAnsi="Times New Roman"/>
                <w:b/>
                <w:bCs/>
                <w:sz w:val="24"/>
                <w:szCs w:val="24"/>
              </w:rPr>
            </w:pPr>
            <w:proofErr w:type="spellStart"/>
            <w:r w:rsidRPr="00BE5E11">
              <w:rPr>
                <w:rFonts w:ascii="Times New Roman" w:hAnsi="Times New Roman"/>
                <w:b/>
                <w:bCs/>
                <w:sz w:val="24"/>
                <w:szCs w:val="24"/>
              </w:rPr>
              <w:t>Sikasso</w:t>
            </w:r>
            <w:proofErr w:type="spellEnd"/>
          </w:p>
        </w:tc>
        <w:tc>
          <w:tcPr>
            <w:tcW w:w="714" w:type="pct"/>
            <w:tcBorders>
              <w:top w:val="thinThickSmallGap" w:sz="24" w:space="0" w:color="auto"/>
              <w:bottom w:val="thickThinSmallGap" w:sz="24" w:space="0" w:color="auto"/>
            </w:tcBorders>
            <w:shd w:val="clear" w:color="auto" w:fill="FFFFFF" w:themeFill="background1"/>
            <w:vAlign w:val="center"/>
            <w:hideMark/>
          </w:tcPr>
          <w:p w14:paraId="6BF408D3" w14:textId="77777777" w:rsidR="005B4163" w:rsidRPr="00BE5E11" w:rsidRDefault="005B4163" w:rsidP="008556F9">
            <w:pPr>
              <w:spacing w:after="0" w:line="240" w:lineRule="auto"/>
              <w:jc w:val="both"/>
              <w:rPr>
                <w:rFonts w:ascii="Times New Roman" w:hAnsi="Times New Roman"/>
                <w:b/>
                <w:bCs/>
                <w:sz w:val="24"/>
                <w:szCs w:val="24"/>
              </w:rPr>
            </w:pPr>
            <w:proofErr w:type="spellStart"/>
            <w:r w:rsidRPr="00BE5E11">
              <w:rPr>
                <w:rFonts w:ascii="Times New Roman" w:hAnsi="Times New Roman"/>
                <w:b/>
                <w:bCs/>
                <w:sz w:val="24"/>
                <w:szCs w:val="24"/>
              </w:rPr>
              <w:t>Ségou</w:t>
            </w:r>
            <w:proofErr w:type="spellEnd"/>
          </w:p>
        </w:tc>
        <w:tc>
          <w:tcPr>
            <w:tcW w:w="714" w:type="pct"/>
            <w:tcBorders>
              <w:top w:val="thinThickSmallGap" w:sz="24" w:space="0" w:color="auto"/>
              <w:bottom w:val="thickThinSmallGap" w:sz="24" w:space="0" w:color="auto"/>
            </w:tcBorders>
            <w:shd w:val="clear" w:color="auto" w:fill="FFFFFF" w:themeFill="background1"/>
            <w:vAlign w:val="center"/>
            <w:hideMark/>
          </w:tcPr>
          <w:p w14:paraId="0C036FC8" w14:textId="77777777" w:rsidR="005B4163" w:rsidRPr="00BE5E11" w:rsidRDefault="005B4163" w:rsidP="008556F9">
            <w:pPr>
              <w:spacing w:after="0" w:line="240" w:lineRule="auto"/>
              <w:jc w:val="both"/>
              <w:rPr>
                <w:rFonts w:ascii="Times New Roman" w:hAnsi="Times New Roman"/>
                <w:b/>
                <w:bCs/>
                <w:sz w:val="24"/>
                <w:szCs w:val="24"/>
              </w:rPr>
            </w:pPr>
            <w:proofErr w:type="spellStart"/>
            <w:r w:rsidRPr="00BE5E11">
              <w:rPr>
                <w:rFonts w:ascii="Times New Roman" w:hAnsi="Times New Roman"/>
                <w:b/>
                <w:bCs/>
                <w:sz w:val="24"/>
                <w:szCs w:val="24"/>
              </w:rPr>
              <w:t>Mopti</w:t>
            </w:r>
            <w:proofErr w:type="spellEnd"/>
          </w:p>
        </w:tc>
        <w:tc>
          <w:tcPr>
            <w:tcW w:w="714" w:type="pct"/>
            <w:tcBorders>
              <w:top w:val="thinThickSmallGap" w:sz="24" w:space="0" w:color="auto"/>
              <w:bottom w:val="thickThinSmallGap" w:sz="24" w:space="0" w:color="auto"/>
            </w:tcBorders>
            <w:shd w:val="clear" w:color="auto" w:fill="FFFFFF" w:themeFill="background1"/>
            <w:vAlign w:val="center"/>
            <w:hideMark/>
          </w:tcPr>
          <w:p w14:paraId="7AE3F922" w14:textId="77777777" w:rsidR="005B4163" w:rsidRPr="00BE5E11" w:rsidRDefault="005B4163"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Average</w:t>
            </w:r>
          </w:p>
        </w:tc>
      </w:tr>
      <w:tr w:rsidR="005B4163" w:rsidRPr="00BE5E11" w14:paraId="52538C17" w14:textId="77777777" w:rsidTr="003616C1">
        <w:trPr>
          <w:trHeight w:val="20"/>
          <w:jc w:val="center"/>
        </w:trPr>
        <w:tc>
          <w:tcPr>
            <w:tcW w:w="714" w:type="pct"/>
            <w:tcBorders>
              <w:top w:val="thickThinSmallGap" w:sz="24" w:space="0" w:color="auto"/>
            </w:tcBorders>
            <w:shd w:val="clear" w:color="auto" w:fill="FFFFFF" w:themeFill="background1"/>
            <w:vAlign w:val="center"/>
            <w:hideMark/>
          </w:tcPr>
          <w:p w14:paraId="3490E178"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2016</w:t>
            </w:r>
          </w:p>
        </w:tc>
        <w:tc>
          <w:tcPr>
            <w:tcW w:w="714" w:type="pct"/>
            <w:tcBorders>
              <w:top w:val="thickThinSmallGap" w:sz="24" w:space="0" w:color="auto"/>
            </w:tcBorders>
            <w:shd w:val="clear" w:color="auto" w:fill="FFFFFF" w:themeFill="background1"/>
            <w:vAlign w:val="center"/>
            <w:hideMark/>
          </w:tcPr>
          <w:p w14:paraId="352676C9"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1.00</w:t>
            </w:r>
          </w:p>
        </w:tc>
        <w:tc>
          <w:tcPr>
            <w:tcW w:w="714" w:type="pct"/>
            <w:tcBorders>
              <w:top w:val="thickThinSmallGap" w:sz="24" w:space="0" w:color="auto"/>
            </w:tcBorders>
            <w:shd w:val="clear" w:color="auto" w:fill="FFFFFF" w:themeFill="background1"/>
            <w:vAlign w:val="center"/>
            <w:hideMark/>
          </w:tcPr>
          <w:p w14:paraId="1FA7CDB8"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0.00</w:t>
            </w:r>
          </w:p>
        </w:tc>
        <w:tc>
          <w:tcPr>
            <w:tcW w:w="714" w:type="pct"/>
            <w:tcBorders>
              <w:top w:val="thickThinSmallGap" w:sz="24" w:space="0" w:color="auto"/>
            </w:tcBorders>
            <w:shd w:val="clear" w:color="auto" w:fill="FFFFFF" w:themeFill="background1"/>
            <w:vAlign w:val="center"/>
            <w:hideMark/>
          </w:tcPr>
          <w:p w14:paraId="038BD760"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46.00</w:t>
            </w:r>
          </w:p>
        </w:tc>
        <w:tc>
          <w:tcPr>
            <w:tcW w:w="714" w:type="pct"/>
            <w:tcBorders>
              <w:top w:val="thickThinSmallGap" w:sz="24" w:space="0" w:color="auto"/>
            </w:tcBorders>
            <w:shd w:val="clear" w:color="auto" w:fill="FFFFFF" w:themeFill="background1"/>
            <w:vAlign w:val="center"/>
            <w:hideMark/>
          </w:tcPr>
          <w:p w14:paraId="26D234F3"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28.00</w:t>
            </w:r>
          </w:p>
        </w:tc>
        <w:tc>
          <w:tcPr>
            <w:tcW w:w="714" w:type="pct"/>
            <w:tcBorders>
              <w:top w:val="thickThinSmallGap" w:sz="24" w:space="0" w:color="auto"/>
            </w:tcBorders>
            <w:shd w:val="clear" w:color="auto" w:fill="FFFFFF" w:themeFill="background1"/>
            <w:vAlign w:val="center"/>
            <w:hideMark/>
          </w:tcPr>
          <w:p w14:paraId="69461528"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18.00</w:t>
            </w:r>
          </w:p>
        </w:tc>
        <w:tc>
          <w:tcPr>
            <w:tcW w:w="714" w:type="pct"/>
            <w:tcBorders>
              <w:top w:val="thickThinSmallGap" w:sz="24" w:space="0" w:color="auto"/>
            </w:tcBorders>
            <w:shd w:val="clear" w:color="auto" w:fill="FFFFFF" w:themeFill="background1"/>
            <w:vAlign w:val="center"/>
            <w:hideMark/>
          </w:tcPr>
          <w:p w14:paraId="40A6994A" w14:textId="77777777" w:rsidR="005B4163" w:rsidRPr="00BE5E11" w:rsidRDefault="005B4163"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19.00</w:t>
            </w:r>
          </w:p>
        </w:tc>
      </w:tr>
      <w:tr w:rsidR="005B4163" w:rsidRPr="00BE5E11" w14:paraId="288F4297" w14:textId="77777777" w:rsidTr="003616C1">
        <w:trPr>
          <w:trHeight w:val="20"/>
          <w:jc w:val="center"/>
        </w:trPr>
        <w:tc>
          <w:tcPr>
            <w:tcW w:w="714" w:type="pct"/>
            <w:shd w:val="clear" w:color="auto" w:fill="FFFFFF" w:themeFill="background1"/>
            <w:vAlign w:val="center"/>
            <w:hideMark/>
          </w:tcPr>
          <w:p w14:paraId="6A3230E2"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2017</w:t>
            </w:r>
          </w:p>
        </w:tc>
        <w:tc>
          <w:tcPr>
            <w:tcW w:w="714" w:type="pct"/>
            <w:shd w:val="clear" w:color="auto" w:fill="FFFFFF" w:themeFill="background1"/>
            <w:vAlign w:val="center"/>
            <w:hideMark/>
          </w:tcPr>
          <w:p w14:paraId="228A48D6"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0.00</w:t>
            </w:r>
          </w:p>
        </w:tc>
        <w:tc>
          <w:tcPr>
            <w:tcW w:w="714" w:type="pct"/>
            <w:shd w:val="clear" w:color="auto" w:fill="FFFFFF" w:themeFill="background1"/>
            <w:vAlign w:val="center"/>
            <w:hideMark/>
          </w:tcPr>
          <w:p w14:paraId="2E190173"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1.00</w:t>
            </w:r>
          </w:p>
        </w:tc>
        <w:tc>
          <w:tcPr>
            <w:tcW w:w="714" w:type="pct"/>
            <w:shd w:val="clear" w:color="auto" w:fill="FFFFFF" w:themeFill="background1"/>
            <w:vAlign w:val="center"/>
            <w:hideMark/>
          </w:tcPr>
          <w:p w14:paraId="10596C1A"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6.00</w:t>
            </w:r>
          </w:p>
        </w:tc>
        <w:tc>
          <w:tcPr>
            <w:tcW w:w="714" w:type="pct"/>
            <w:shd w:val="clear" w:color="auto" w:fill="FFFFFF" w:themeFill="background1"/>
            <w:vAlign w:val="center"/>
            <w:hideMark/>
          </w:tcPr>
          <w:p w14:paraId="5194D452"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23.00</w:t>
            </w:r>
          </w:p>
        </w:tc>
        <w:tc>
          <w:tcPr>
            <w:tcW w:w="714" w:type="pct"/>
            <w:shd w:val="clear" w:color="auto" w:fill="FFFFFF" w:themeFill="background1"/>
            <w:vAlign w:val="center"/>
            <w:hideMark/>
          </w:tcPr>
          <w:p w14:paraId="55A23471"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8.00</w:t>
            </w:r>
          </w:p>
        </w:tc>
        <w:tc>
          <w:tcPr>
            <w:tcW w:w="714" w:type="pct"/>
            <w:shd w:val="clear" w:color="auto" w:fill="FFFFFF" w:themeFill="background1"/>
            <w:vAlign w:val="center"/>
            <w:hideMark/>
          </w:tcPr>
          <w:p w14:paraId="4AC2A70C" w14:textId="77777777" w:rsidR="005B4163" w:rsidRPr="00BE5E11" w:rsidRDefault="005B4163"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8.00</w:t>
            </w:r>
          </w:p>
        </w:tc>
      </w:tr>
      <w:tr w:rsidR="005B4163" w:rsidRPr="00BE5E11" w14:paraId="35A7D2EC" w14:textId="77777777" w:rsidTr="003616C1">
        <w:trPr>
          <w:trHeight w:val="20"/>
          <w:jc w:val="center"/>
        </w:trPr>
        <w:tc>
          <w:tcPr>
            <w:tcW w:w="714" w:type="pct"/>
            <w:shd w:val="clear" w:color="auto" w:fill="FFFFFF" w:themeFill="background1"/>
            <w:vAlign w:val="center"/>
            <w:hideMark/>
          </w:tcPr>
          <w:p w14:paraId="1AFA5C6C"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2018</w:t>
            </w:r>
          </w:p>
        </w:tc>
        <w:tc>
          <w:tcPr>
            <w:tcW w:w="714" w:type="pct"/>
            <w:shd w:val="clear" w:color="auto" w:fill="FFFFFF" w:themeFill="background1"/>
            <w:vAlign w:val="center"/>
            <w:hideMark/>
          </w:tcPr>
          <w:p w14:paraId="11B84C3E"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21.00</w:t>
            </w:r>
          </w:p>
        </w:tc>
        <w:tc>
          <w:tcPr>
            <w:tcW w:w="714" w:type="pct"/>
            <w:shd w:val="clear" w:color="auto" w:fill="FFFFFF" w:themeFill="background1"/>
            <w:vAlign w:val="center"/>
            <w:hideMark/>
          </w:tcPr>
          <w:p w14:paraId="6651920E"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7.00</w:t>
            </w:r>
          </w:p>
        </w:tc>
        <w:tc>
          <w:tcPr>
            <w:tcW w:w="714" w:type="pct"/>
            <w:shd w:val="clear" w:color="auto" w:fill="FFFFFF" w:themeFill="background1"/>
            <w:vAlign w:val="center"/>
            <w:hideMark/>
          </w:tcPr>
          <w:p w14:paraId="625D1161"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5.00</w:t>
            </w:r>
          </w:p>
        </w:tc>
        <w:tc>
          <w:tcPr>
            <w:tcW w:w="714" w:type="pct"/>
            <w:shd w:val="clear" w:color="auto" w:fill="FFFFFF" w:themeFill="background1"/>
            <w:vAlign w:val="center"/>
            <w:hideMark/>
          </w:tcPr>
          <w:p w14:paraId="27709E77"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18.00</w:t>
            </w:r>
          </w:p>
        </w:tc>
        <w:tc>
          <w:tcPr>
            <w:tcW w:w="714" w:type="pct"/>
            <w:shd w:val="clear" w:color="auto" w:fill="FFFFFF" w:themeFill="background1"/>
            <w:vAlign w:val="center"/>
            <w:hideMark/>
          </w:tcPr>
          <w:p w14:paraId="267C081C"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14.00</w:t>
            </w:r>
          </w:p>
        </w:tc>
        <w:tc>
          <w:tcPr>
            <w:tcW w:w="714" w:type="pct"/>
            <w:shd w:val="clear" w:color="auto" w:fill="FFFFFF" w:themeFill="background1"/>
            <w:vAlign w:val="center"/>
            <w:hideMark/>
          </w:tcPr>
          <w:p w14:paraId="7F4FDB95" w14:textId="77777777" w:rsidR="005B4163" w:rsidRPr="00BE5E11" w:rsidRDefault="005B4163"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13.00</w:t>
            </w:r>
          </w:p>
        </w:tc>
      </w:tr>
      <w:tr w:rsidR="005B4163" w:rsidRPr="00BE5E11" w14:paraId="436730F1" w14:textId="77777777" w:rsidTr="003616C1">
        <w:trPr>
          <w:trHeight w:val="20"/>
          <w:jc w:val="center"/>
        </w:trPr>
        <w:tc>
          <w:tcPr>
            <w:tcW w:w="714" w:type="pct"/>
            <w:shd w:val="clear" w:color="auto" w:fill="FFFFFF" w:themeFill="background1"/>
            <w:vAlign w:val="center"/>
            <w:hideMark/>
          </w:tcPr>
          <w:p w14:paraId="025381E1"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2019</w:t>
            </w:r>
          </w:p>
        </w:tc>
        <w:tc>
          <w:tcPr>
            <w:tcW w:w="714" w:type="pct"/>
            <w:shd w:val="clear" w:color="auto" w:fill="FFFFFF" w:themeFill="background1"/>
            <w:vAlign w:val="center"/>
            <w:hideMark/>
          </w:tcPr>
          <w:p w14:paraId="58AA358E"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25.00</w:t>
            </w:r>
          </w:p>
        </w:tc>
        <w:tc>
          <w:tcPr>
            <w:tcW w:w="714" w:type="pct"/>
            <w:shd w:val="clear" w:color="auto" w:fill="FFFFFF" w:themeFill="background1"/>
            <w:vAlign w:val="center"/>
            <w:hideMark/>
          </w:tcPr>
          <w:p w14:paraId="14D577DC"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15.00</w:t>
            </w:r>
          </w:p>
        </w:tc>
        <w:tc>
          <w:tcPr>
            <w:tcW w:w="714" w:type="pct"/>
            <w:shd w:val="clear" w:color="auto" w:fill="FFFFFF" w:themeFill="background1"/>
            <w:vAlign w:val="center"/>
            <w:hideMark/>
          </w:tcPr>
          <w:p w14:paraId="5C63F349"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11.00</w:t>
            </w:r>
          </w:p>
        </w:tc>
        <w:tc>
          <w:tcPr>
            <w:tcW w:w="714" w:type="pct"/>
            <w:shd w:val="clear" w:color="auto" w:fill="FFFFFF" w:themeFill="background1"/>
            <w:vAlign w:val="center"/>
            <w:hideMark/>
          </w:tcPr>
          <w:p w14:paraId="0179127D"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22.00</w:t>
            </w:r>
          </w:p>
        </w:tc>
        <w:tc>
          <w:tcPr>
            <w:tcW w:w="714" w:type="pct"/>
            <w:shd w:val="clear" w:color="auto" w:fill="FFFFFF" w:themeFill="background1"/>
            <w:vAlign w:val="center"/>
            <w:hideMark/>
          </w:tcPr>
          <w:p w14:paraId="1CC6E628"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19.00</w:t>
            </w:r>
          </w:p>
        </w:tc>
        <w:tc>
          <w:tcPr>
            <w:tcW w:w="714" w:type="pct"/>
            <w:shd w:val="clear" w:color="auto" w:fill="FFFFFF" w:themeFill="background1"/>
            <w:vAlign w:val="center"/>
            <w:hideMark/>
          </w:tcPr>
          <w:p w14:paraId="15784E79" w14:textId="77777777" w:rsidR="005B4163" w:rsidRPr="00BE5E11" w:rsidRDefault="005B4163"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18.00</w:t>
            </w:r>
          </w:p>
        </w:tc>
      </w:tr>
      <w:tr w:rsidR="005B4163" w:rsidRPr="00BE5E11" w14:paraId="2A4B575F" w14:textId="77777777" w:rsidTr="003616C1">
        <w:trPr>
          <w:trHeight w:val="20"/>
          <w:jc w:val="center"/>
        </w:trPr>
        <w:tc>
          <w:tcPr>
            <w:tcW w:w="714" w:type="pct"/>
            <w:shd w:val="clear" w:color="auto" w:fill="FFFFFF" w:themeFill="background1"/>
            <w:vAlign w:val="center"/>
            <w:hideMark/>
          </w:tcPr>
          <w:p w14:paraId="68CD597D"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2020</w:t>
            </w:r>
          </w:p>
        </w:tc>
        <w:tc>
          <w:tcPr>
            <w:tcW w:w="714" w:type="pct"/>
            <w:shd w:val="clear" w:color="auto" w:fill="FFFFFF" w:themeFill="background1"/>
            <w:vAlign w:val="center"/>
            <w:hideMark/>
          </w:tcPr>
          <w:p w14:paraId="28EF00F4"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15.00</w:t>
            </w:r>
          </w:p>
        </w:tc>
        <w:tc>
          <w:tcPr>
            <w:tcW w:w="714" w:type="pct"/>
            <w:shd w:val="clear" w:color="auto" w:fill="FFFFFF" w:themeFill="background1"/>
            <w:vAlign w:val="center"/>
            <w:hideMark/>
          </w:tcPr>
          <w:p w14:paraId="740463BC"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15.00</w:t>
            </w:r>
          </w:p>
        </w:tc>
        <w:tc>
          <w:tcPr>
            <w:tcW w:w="714" w:type="pct"/>
            <w:shd w:val="clear" w:color="auto" w:fill="FFFFFF" w:themeFill="background1"/>
            <w:vAlign w:val="center"/>
            <w:hideMark/>
          </w:tcPr>
          <w:p w14:paraId="67730DFE"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6.00</w:t>
            </w:r>
          </w:p>
        </w:tc>
        <w:tc>
          <w:tcPr>
            <w:tcW w:w="714" w:type="pct"/>
            <w:shd w:val="clear" w:color="auto" w:fill="FFFFFF" w:themeFill="background1"/>
            <w:vAlign w:val="center"/>
            <w:hideMark/>
          </w:tcPr>
          <w:p w14:paraId="43ECBC4A"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35.00</w:t>
            </w:r>
          </w:p>
        </w:tc>
        <w:tc>
          <w:tcPr>
            <w:tcW w:w="714" w:type="pct"/>
            <w:shd w:val="clear" w:color="auto" w:fill="FFFFFF" w:themeFill="background1"/>
            <w:vAlign w:val="center"/>
            <w:hideMark/>
          </w:tcPr>
          <w:p w14:paraId="6C0035C0"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26.00</w:t>
            </w:r>
          </w:p>
        </w:tc>
        <w:tc>
          <w:tcPr>
            <w:tcW w:w="714" w:type="pct"/>
            <w:shd w:val="clear" w:color="auto" w:fill="FFFFFF" w:themeFill="background1"/>
            <w:vAlign w:val="center"/>
            <w:hideMark/>
          </w:tcPr>
          <w:p w14:paraId="5F1B02E8" w14:textId="77777777" w:rsidR="005B4163" w:rsidRPr="00BE5E11" w:rsidRDefault="005B4163"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19.00</w:t>
            </w:r>
          </w:p>
        </w:tc>
      </w:tr>
      <w:tr w:rsidR="005B4163" w:rsidRPr="00BE5E11" w14:paraId="0D39AE26" w14:textId="77777777" w:rsidTr="003616C1">
        <w:trPr>
          <w:trHeight w:val="20"/>
          <w:jc w:val="center"/>
        </w:trPr>
        <w:tc>
          <w:tcPr>
            <w:tcW w:w="714" w:type="pct"/>
            <w:shd w:val="clear" w:color="auto" w:fill="FFFFFF" w:themeFill="background1"/>
            <w:vAlign w:val="center"/>
            <w:hideMark/>
          </w:tcPr>
          <w:p w14:paraId="2763B03B"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2021</w:t>
            </w:r>
          </w:p>
        </w:tc>
        <w:tc>
          <w:tcPr>
            <w:tcW w:w="714" w:type="pct"/>
            <w:shd w:val="clear" w:color="auto" w:fill="FFFFFF" w:themeFill="background1"/>
            <w:vAlign w:val="center"/>
            <w:hideMark/>
          </w:tcPr>
          <w:p w14:paraId="366C7D4F"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8.00</w:t>
            </w:r>
          </w:p>
        </w:tc>
        <w:tc>
          <w:tcPr>
            <w:tcW w:w="714" w:type="pct"/>
            <w:shd w:val="clear" w:color="auto" w:fill="FFFFFF" w:themeFill="background1"/>
            <w:vAlign w:val="center"/>
            <w:hideMark/>
          </w:tcPr>
          <w:p w14:paraId="7B100A2D"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9.00</w:t>
            </w:r>
          </w:p>
        </w:tc>
        <w:tc>
          <w:tcPr>
            <w:tcW w:w="714" w:type="pct"/>
            <w:shd w:val="clear" w:color="auto" w:fill="FFFFFF" w:themeFill="background1"/>
            <w:vAlign w:val="center"/>
            <w:hideMark/>
          </w:tcPr>
          <w:p w14:paraId="31634F51"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3.00</w:t>
            </w:r>
          </w:p>
        </w:tc>
        <w:tc>
          <w:tcPr>
            <w:tcW w:w="714" w:type="pct"/>
            <w:shd w:val="clear" w:color="auto" w:fill="FFFFFF" w:themeFill="background1"/>
            <w:vAlign w:val="center"/>
            <w:hideMark/>
          </w:tcPr>
          <w:p w14:paraId="49E6B0B7"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32.00</w:t>
            </w:r>
          </w:p>
        </w:tc>
        <w:tc>
          <w:tcPr>
            <w:tcW w:w="714" w:type="pct"/>
            <w:shd w:val="clear" w:color="auto" w:fill="FFFFFF" w:themeFill="background1"/>
            <w:vAlign w:val="center"/>
            <w:hideMark/>
          </w:tcPr>
          <w:p w14:paraId="3216319A"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27.00</w:t>
            </w:r>
          </w:p>
        </w:tc>
        <w:tc>
          <w:tcPr>
            <w:tcW w:w="714" w:type="pct"/>
            <w:shd w:val="clear" w:color="auto" w:fill="FFFFFF" w:themeFill="background1"/>
            <w:vAlign w:val="center"/>
            <w:hideMark/>
          </w:tcPr>
          <w:p w14:paraId="1879A19C" w14:textId="77777777" w:rsidR="005B4163" w:rsidRPr="00BE5E11" w:rsidRDefault="005B4163"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15.80</w:t>
            </w:r>
          </w:p>
        </w:tc>
      </w:tr>
      <w:tr w:rsidR="005B4163" w:rsidRPr="00BE5E11" w14:paraId="4049A8BB" w14:textId="77777777" w:rsidTr="003616C1">
        <w:trPr>
          <w:trHeight w:val="20"/>
          <w:jc w:val="center"/>
        </w:trPr>
        <w:tc>
          <w:tcPr>
            <w:tcW w:w="714" w:type="pct"/>
            <w:shd w:val="clear" w:color="auto" w:fill="FFFFFF" w:themeFill="background1"/>
            <w:vAlign w:val="center"/>
            <w:hideMark/>
          </w:tcPr>
          <w:p w14:paraId="78DA9E6D"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2022</w:t>
            </w:r>
          </w:p>
        </w:tc>
        <w:tc>
          <w:tcPr>
            <w:tcW w:w="714" w:type="pct"/>
            <w:shd w:val="clear" w:color="auto" w:fill="FFFFFF" w:themeFill="background1"/>
            <w:vAlign w:val="center"/>
            <w:hideMark/>
          </w:tcPr>
          <w:p w14:paraId="75FCA565"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8.00</w:t>
            </w:r>
          </w:p>
        </w:tc>
        <w:tc>
          <w:tcPr>
            <w:tcW w:w="714" w:type="pct"/>
            <w:shd w:val="clear" w:color="auto" w:fill="FFFFFF" w:themeFill="background1"/>
            <w:vAlign w:val="center"/>
            <w:hideMark/>
          </w:tcPr>
          <w:p w14:paraId="7861FFCF"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22.00</w:t>
            </w:r>
          </w:p>
        </w:tc>
        <w:tc>
          <w:tcPr>
            <w:tcW w:w="714" w:type="pct"/>
            <w:shd w:val="clear" w:color="auto" w:fill="FFFFFF" w:themeFill="background1"/>
            <w:vAlign w:val="center"/>
            <w:hideMark/>
          </w:tcPr>
          <w:p w14:paraId="629FAC99"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3.00</w:t>
            </w:r>
          </w:p>
        </w:tc>
        <w:tc>
          <w:tcPr>
            <w:tcW w:w="714" w:type="pct"/>
            <w:shd w:val="clear" w:color="auto" w:fill="FFFFFF" w:themeFill="background1"/>
            <w:vAlign w:val="center"/>
            <w:hideMark/>
          </w:tcPr>
          <w:p w14:paraId="22AD41ED"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36.00</w:t>
            </w:r>
          </w:p>
        </w:tc>
        <w:tc>
          <w:tcPr>
            <w:tcW w:w="714" w:type="pct"/>
            <w:shd w:val="clear" w:color="auto" w:fill="FFFFFF" w:themeFill="background1"/>
            <w:vAlign w:val="center"/>
            <w:hideMark/>
          </w:tcPr>
          <w:p w14:paraId="6BC6DA7E"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20.00</w:t>
            </w:r>
          </w:p>
        </w:tc>
        <w:tc>
          <w:tcPr>
            <w:tcW w:w="714" w:type="pct"/>
            <w:shd w:val="clear" w:color="auto" w:fill="FFFFFF" w:themeFill="background1"/>
            <w:vAlign w:val="center"/>
            <w:hideMark/>
          </w:tcPr>
          <w:p w14:paraId="46B8F2DB" w14:textId="77777777" w:rsidR="005B4163" w:rsidRPr="00BE5E11" w:rsidRDefault="005B4163"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17.00</w:t>
            </w:r>
          </w:p>
        </w:tc>
      </w:tr>
      <w:tr w:rsidR="005B4163" w:rsidRPr="00BE5E11" w14:paraId="4A75616A" w14:textId="77777777" w:rsidTr="003616C1">
        <w:trPr>
          <w:trHeight w:val="20"/>
          <w:jc w:val="center"/>
        </w:trPr>
        <w:tc>
          <w:tcPr>
            <w:tcW w:w="714" w:type="pct"/>
            <w:shd w:val="clear" w:color="auto" w:fill="FFFFFF" w:themeFill="background1"/>
            <w:vAlign w:val="center"/>
            <w:hideMark/>
          </w:tcPr>
          <w:p w14:paraId="64DADA5C"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2023</w:t>
            </w:r>
          </w:p>
        </w:tc>
        <w:tc>
          <w:tcPr>
            <w:tcW w:w="714" w:type="pct"/>
            <w:shd w:val="clear" w:color="auto" w:fill="FFFFFF" w:themeFill="background1"/>
            <w:vAlign w:val="center"/>
            <w:hideMark/>
          </w:tcPr>
          <w:p w14:paraId="3AF7DFC0"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3.00</w:t>
            </w:r>
          </w:p>
        </w:tc>
        <w:tc>
          <w:tcPr>
            <w:tcW w:w="714" w:type="pct"/>
            <w:shd w:val="clear" w:color="auto" w:fill="FFFFFF" w:themeFill="background1"/>
            <w:vAlign w:val="center"/>
            <w:hideMark/>
          </w:tcPr>
          <w:p w14:paraId="524FAAE8"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15.00</w:t>
            </w:r>
          </w:p>
        </w:tc>
        <w:tc>
          <w:tcPr>
            <w:tcW w:w="714" w:type="pct"/>
            <w:shd w:val="clear" w:color="auto" w:fill="FFFFFF" w:themeFill="background1"/>
            <w:vAlign w:val="center"/>
            <w:hideMark/>
          </w:tcPr>
          <w:p w14:paraId="555C5E2C"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4.00</w:t>
            </w:r>
          </w:p>
        </w:tc>
        <w:tc>
          <w:tcPr>
            <w:tcW w:w="714" w:type="pct"/>
            <w:shd w:val="clear" w:color="auto" w:fill="FFFFFF" w:themeFill="background1"/>
            <w:vAlign w:val="center"/>
            <w:hideMark/>
          </w:tcPr>
          <w:p w14:paraId="53959A4C"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22.00</w:t>
            </w:r>
          </w:p>
        </w:tc>
        <w:tc>
          <w:tcPr>
            <w:tcW w:w="714" w:type="pct"/>
            <w:shd w:val="clear" w:color="auto" w:fill="FFFFFF" w:themeFill="background1"/>
            <w:vAlign w:val="center"/>
            <w:hideMark/>
          </w:tcPr>
          <w:p w14:paraId="2D4D270F"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11.00</w:t>
            </w:r>
          </w:p>
        </w:tc>
        <w:tc>
          <w:tcPr>
            <w:tcW w:w="714" w:type="pct"/>
            <w:shd w:val="clear" w:color="auto" w:fill="FFFFFF" w:themeFill="background1"/>
            <w:vAlign w:val="center"/>
            <w:hideMark/>
          </w:tcPr>
          <w:p w14:paraId="03E02EF0" w14:textId="77777777" w:rsidR="005B4163" w:rsidRPr="00BE5E11" w:rsidRDefault="005B4163"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11.00</w:t>
            </w:r>
          </w:p>
        </w:tc>
      </w:tr>
      <w:tr w:rsidR="005B4163" w:rsidRPr="00BE5E11" w14:paraId="7026F950" w14:textId="77777777" w:rsidTr="003616C1">
        <w:trPr>
          <w:trHeight w:val="20"/>
          <w:jc w:val="center"/>
        </w:trPr>
        <w:tc>
          <w:tcPr>
            <w:tcW w:w="714" w:type="pct"/>
            <w:shd w:val="clear" w:color="auto" w:fill="FFFFFF" w:themeFill="background1"/>
            <w:vAlign w:val="center"/>
            <w:hideMark/>
          </w:tcPr>
          <w:p w14:paraId="1426EA24"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2024</w:t>
            </w:r>
          </w:p>
        </w:tc>
        <w:tc>
          <w:tcPr>
            <w:tcW w:w="714" w:type="pct"/>
            <w:shd w:val="clear" w:color="auto" w:fill="FFFFFF" w:themeFill="background1"/>
            <w:vAlign w:val="center"/>
            <w:hideMark/>
          </w:tcPr>
          <w:p w14:paraId="33F11742"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3.00</w:t>
            </w:r>
          </w:p>
        </w:tc>
        <w:tc>
          <w:tcPr>
            <w:tcW w:w="714" w:type="pct"/>
            <w:shd w:val="clear" w:color="auto" w:fill="FFFFFF" w:themeFill="background1"/>
            <w:vAlign w:val="center"/>
            <w:hideMark/>
          </w:tcPr>
          <w:p w14:paraId="431610F3"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9.00</w:t>
            </w:r>
          </w:p>
        </w:tc>
        <w:tc>
          <w:tcPr>
            <w:tcW w:w="714" w:type="pct"/>
            <w:shd w:val="clear" w:color="auto" w:fill="FFFFFF" w:themeFill="background1"/>
            <w:vAlign w:val="center"/>
            <w:hideMark/>
          </w:tcPr>
          <w:p w14:paraId="4095092D"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3.00</w:t>
            </w:r>
          </w:p>
        </w:tc>
        <w:tc>
          <w:tcPr>
            <w:tcW w:w="714" w:type="pct"/>
            <w:shd w:val="clear" w:color="auto" w:fill="FFFFFF" w:themeFill="background1"/>
            <w:vAlign w:val="center"/>
            <w:hideMark/>
          </w:tcPr>
          <w:p w14:paraId="308DE774"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19.00</w:t>
            </w:r>
          </w:p>
        </w:tc>
        <w:tc>
          <w:tcPr>
            <w:tcW w:w="714" w:type="pct"/>
            <w:shd w:val="clear" w:color="auto" w:fill="FFFFFF" w:themeFill="background1"/>
            <w:vAlign w:val="center"/>
            <w:hideMark/>
          </w:tcPr>
          <w:p w14:paraId="4EF51A64"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12.00</w:t>
            </w:r>
          </w:p>
        </w:tc>
        <w:tc>
          <w:tcPr>
            <w:tcW w:w="714" w:type="pct"/>
            <w:shd w:val="clear" w:color="auto" w:fill="FFFFFF" w:themeFill="background1"/>
            <w:vAlign w:val="center"/>
            <w:hideMark/>
          </w:tcPr>
          <w:p w14:paraId="2C025295" w14:textId="77777777" w:rsidR="005B4163" w:rsidRPr="00BE5E11" w:rsidRDefault="005B4163"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9.00</w:t>
            </w:r>
          </w:p>
        </w:tc>
      </w:tr>
      <w:tr w:rsidR="005B4163" w:rsidRPr="00BE5E11" w14:paraId="4B861FC1" w14:textId="77777777" w:rsidTr="003616C1">
        <w:trPr>
          <w:trHeight w:val="20"/>
          <w:jc w:val="center"/>
        </w:trPr>
        <w:tc>
          <w:tcPr>
            <w:tcW w:w="714" w:type="pct"/>
            <w:shd w:val="clear" w:color="auto" w:fill="FFFFFF" w:themeFill="background1"/>
            <w:noWrap/>
            <w:vAlign w:val="center"/>
            <w:hideMark/>
          </w:tcPr>
          <w:p w14:paraId="22377471" w14:textId="77777777" w:rsidR="005B4163" w:rsidRPr="00BE5E11" w:rsidRDefault="005B4163"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Average</w:t>
            </w:r>
          </w:p>
        </w:tc>
        <w:tc>
          <w:tcPr>
            <w:tcW w:w="714" w:type="pct"/>
            <w:shd w:val="clear" w:color="auto" w:fill="FFFFFF" w:themeFill="background1"/>
            <w:noWrap/>
            <w:vAlign w:val="center"/>
            <w:hideMark/>
          </w:tcPr>
          <w:p w14:paraId="447AC8A0" w14:textId="77777777" w:rsidR="005B4163" w:rsidRPr="00BE5E11" w:rsidRDefault="005B4163"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9.33</w:t>
            </w:r>
          </w:p>
        </w:tc>
        <w:tc>
          <w:tcPr>
            <w:tcW w:w="714" w:type="pct"/>
            <w:shd w:val="clear" w:color="auto" w:fill="FFFFFF" w:themeFill="background1"/>
            <w:noWrap/>
            <w:vAlign w:val="center"/>
            <w:hideMark/>
          </w:tcPr>
          <w:p w14:paraId="356F7718" w14:textId="77777777" w:rsidR="005B4163" w:rsidRPr="00BE5E11" w:rsidRDefault="005B4163"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10.33</w:t>
            </w:r>
          </w:p>
        </w:tc>
        <w:tc>
          <w:tcPr>
            <w:tcW w:w="714" w:type="pct"/>
            <w:shd w:val="clear" w:color="auto" w:fill="FFFFFF" w:themeFill="background1"/>
            <w:noWrap/>
            <w:vAlign w:val="center"/>
            <w:hideMark/>
          </w:tcPr>
          <w:p w14:paraId="1038ACD0" w14:textId="77777777" w:rsidR="005B4163" w:rsidRPr="00BE5E11" w:rsidRDefault="005B4163"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9.67</w:t>
            </w:r>
          </w:p>
        </w:tc>
        <w:tc>
          <w:tcPr>
            <w:tcW w:w="714" w:type="pct"/>
            <w:shd w:val="clear" w:color="auto" w:fill="FFFFFF" w:themeFill="background1"/>
            <w:noWrap/>
            <w:vAlign w:val="center"/>
            <w:hideMark/>
          </w:tcPr>
          <w:p w14:paraId="694A59EA" w14:textId="77777777" w:rsidR="005B4163" w:rsidRPr="00BE5E11" w:rsidRDefault="005B4163"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26.11</w:t>
            </w:r>
          </w:p>
        </w:tc>
        <w:tc>
          <w:tcPr>
            <w:tcW w:w="714" w:type="pct"/>
            <w:shd w:val="clear" w:color="auto" w:fill="FFFFFF" w:themeFill="background1"/>
            <w:noWrap/>
            <w:vAlign w:val="center"/>
            <w:hideMark/>
          </w:tcPr>
          <w:p w14:paraId="6468423E" w14:textId="77777777" w:rsidR="005B4163" w:rsidRPr="00BE5E11" w:rsidRDefault="005B4163"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17.22</w:t>
            </w:r>
          </w:p>
        </w:tc>
        <w:tc>
          <w:tcPr>
            <w:tcW w:w="714" w:type="pct"/>
            <w:shd w:val="clear" w:color="auto" w:fill="FFFFFF" w:themeFill="background1"/>
            <w:noWrap/>
            <w:vAlign w:val="center"/>
            <w:hideMark/>
          </w:tcPr>
          <w:p w14:paraId="0EC2355E" w14:textId="77777777" w:rsidR="005B4163" w:rsidRPr="00BE5E11" w:rsidRDefault="005B4163"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14.42</w:t>
            </w:r>
          </w:p>
        </w:tc>
      </w:tr>
    </w:tbl>
    <w:p w14:paraId="116044DC" w14:textId="1E3B0EE7" w:rsidR="00AE5247" w:rsidRPr="00BE5E11" w:rsidRDefault="00AE5247" w:rsidP="008556F9">
      <w:pPr>
        <w:pStyle w:val="NormalWeb"/>
        <w:jc w:val="both"/>
        <w:rPr>
          <w:b/>
          <w:bCs/>
        </w:rPr>
      </w:pPr>
      <w:r w:rsidRPr="00BE5E11">
        <w:rPr>
          <w:b/>
          <w:bCs/>
        </w:rPr>
        <w:t>Clinical performance of community health workers in the management of severe acute malnutrition (SAM)</w:t>
      </w:r>
    </w:p>
    <w:p w14:paraId="3F8E7081" w14:textId="77777777" w:rsidR="00BE1CC3" w:rsidRPr="00BE5E11" w:rsidRDefault="00BE1CC3" w:rsidP="008556F9">
      <w:pPr>
        <w:autoSpaceDN/>
        <w:spacing w:before="100" w:beforeAutospacing="1" w:after="100" w:afterAutospacing="1" w:line="240" w:lineRule="auto"/>
        <w:jc w:val="both"/>
        <w:rPr>
          <w:rFonts w:ascii="Times New Roman" w:eastAsia="Times New Roman" w:hAnsi="Times New Roman"/>
          <w:sz w:val="24"/>
          <w:szCs w:val="24"/>
          <w:lang w:eastAsia="fr-FR"/>
        </w:rPr>
      </w:pPr>
      <w:r w:rsidRPr="00BE5E11">
        <w:rPr>
          <w:rFonts w:ascii="Times New Roman" w:eastAsia="Times New Roman" w:hAnsi="Times New Roman"/>
          <w:sz w:val="24"/>
          <w:szCs w:val="24"/>
          <w:lang w:eastAsia="fr-FR"/>
        </w:rPr>
        <w:t>Community health worker (CHW) activity in managing severe acute malnutrition (SAM) has seen unprec</w:t>
      </w:r>
      <w:r w:rsidRPr="00BE5E11">
        <w:rPr>
          <w:rFonts w:ascii="Times New Roman" w:eastAsia="Times New Roman" w:hAnsi="Times New Roman"/>
          <w:sz w:val="24"/>
          <w:szCs w:val="24"/>
          <w:lang w:eastAsia="fr-FR"/>
        </w:rPr>
        <w:t>e</w:t>
      </w:r>
      <w:r w:rsidRPr="00BE5E11">
        <w:rPr>
          <w:rFonts w:ascii="Times New Roman" w:eastAsia="Times New Roman" w:hAnsi="Times New Roman"/>
          <w:sz w:val="24"/>
          <w:szCs w:val="24"/>
          <w:lang w:eastAsia="fr-FR"/>
        </w:rPr>
        <w:t>dented expansion over the study period, with a cumulative volume of 520,439 cases treated. The timeline r</w:t>
      </w:r>
      <w:r w:rsidRPr="00BE5E11">
        <w:rPr>
          <w:rFonts w:ascii="Times New Roman" w:eastAsia="Times New Roman" w:hAnsi="Times New Roman"/>
          <w:sz w:val="24"/>
          <w:szCs w:val="24"/>
          <w:lang w:eastAsia="fr-FR"/>
        </w:rPr>
        <w:t>e</w:t>
      </w:r>
      <w:r w:rsidRPr="00BE5E11">
        <w:rPr>
          <w:rFonts w:ascii="Times New Roman" w:eastAsia="Times New Roman" w:hAnsi="Times New Roman"/>
          <w:sz w:val="24"/>
          <w:szCs w:val="24"/>
          <w:lang w:eastAsia="fr-FR"/>
        </w:rPr>
        <w:t xml:space="preserve">veals a dramatic increase: from 6,170 cases in 2016, the system reached 77,757 cases in 2024, marking almost constant growth despite a slight stabilization between 2019 and 2021. The regions of </w:t>
      </w:r>
      <w:proofErr w:type="spellStart"/>
      <w:r w:rsidRPr="00BE5E11">
        <w:rPr>
          <w:rFonts w:ascii="Times New Roman" w:eastAsia="Times New Roman" w:hAnsi="Times New Roman"/>
          <w:sz w:val="24"/>
          <w:szCs w:val="24"/>
          <w:lang w:eastAsia="fr-FR"/>
        </w:rPr>
        <w:t>Sikasso</w:t>
      </w:r>
      <w:proofErr w:type="spellEnd"/>
      <w:r w:rsidRPr="00BE5E11">
        <w:rPr>
          <w:rFonts w:ascii="Times New Roman" w:eastAsia="Times New Roman" w:hAnsi="Times New Roman"/>
          <w:sz w:val="24"/>
          <w:szCs w:val="24"/>
          <w:lang w:eastAsia="fr-FR"/>
        </w:rPr>
        <w:t xml:space="preserve"> (126,393 cases) and </w:t>
      </w:r>
      <w:proofErr w:type="spellStart"/>
      <w:r w:rsidRPr="00BE5E11">
        <w:rPr>
          <w:rFonts w:ascii="Times New Roman" w:eastAsia="Times New Roman" w:hAnsi="Times New Roman"/>
          <w:sz w:val="24"/>
          <w:szCs w:val="24"/>
          <w:lang w:eastAsia="fr-FR"/>
        </w:rPr>
        <w:t>Ségou</w:t>
      </w:r>
      <w:proofErr w:type="spellEnd"/>
      <w:r w:rsidRPr="00BE5E11">
        <w:rPr>
          <w:rFonts w:ascii="Times New Roman" w:eastAsia="Times New Roman" w:hAnsi="Times New Roman"/>
          <w:sz w:val="24"/>
          <w:szCs w:val="24"/>
          <w:lang w:eastAsia="fr-FR"/>
        </w:rPr>
        <w:t xml:space="preserve"> (119,002 cases) constitute the main intervention hubs, while </w:t>
      </w:r>
      <w:proofErr w:type="spellStart"/>
      <w:r w:rsidRPr="00BE5E11">
        <w:rPr>
          <w:rFonts w:ascii="Times New Roman" w:eastAsia="Times New Roman" w:hAnsi="Times New Roman"/>
          <w:sz w:val="24"/>
          <w:szCs w:val="24"/>
          <w:lang w:eastAsia="fr-FR"/>
        </w:rPr>
        <w:t>Kayes</w:t>
      </w:r>
      <w:proofErr w:type="spellEnd"/>
      <w:r w:rsidRPr="00BE5E11">
        <w:rPr>
          <w:rFonts w:ascii="Times New Roman" w:eastAsia="Times New Roman" w:hAnsi="Times New Roman"/>
          <w:sz w:val="24"/>
          <w:szCs w:val="24"/>
          <w:lang w:eastAsia="fr-FR"/>
        </w:rPr>
        <w:t xml:space="preserve"> recorded the lowest volume (47,706 cases), falling below the regional average.</w:t>
      </w:r>
    </w:p>
    <w:p w14:paraId="0761AB3F" w14:textId="21FDC06D" w:rsidR="005B5AB4" w:rsidRPr="00BE5E11" w:rsidRDefault="005B5AB4" w:rsidP="008556F9">
      <w:pPr>
        <w:spacing w:before="240" w:after="240" w:line="240" w:lineRule="auto"/>
        <w:jc w:val="both"/>
        <w:rPr>
          <w:rFonts w:ascii="Times New Roman" w:hAnsi="Times New Roman"/>
          <w:b/>
          <w:bCs/>
          <w:sz w:val="24"/>
          <w:szCs w:val="24"/>
        </w:rPr>
      </w:pPr>
      <w:r w:rsidRPr="00BE5E11">
        <w:rPr>
          <w:rFonts w:ascii="Times New Roman" w:hAnsi="Times New Roman"/>
          <w:b/>
          <w:bCs/>
          <w:sz w:val="24"/>
          <w:szCs w:val="24"/>
        </w:rPr>
        <w:t xml:space="preserve">Table 7: </w:t>
      </w:r>
      <w:r w:rsidRPr="00BE5E11">
        <w:rPr>
          <w:rFonts w:ascii="Times New Roman" w:hAnsi="Times New Roman"/>
          <w:sz w:val="24"/>
          <w:szCs w:val="24"/>
        </w:rPr>
        <w:t>Number of cases of severe acute malnutrition managed by community health workers per year and per region</w:t>
      </w:r>
    </w:p>
    <w:tbl>
      <w:tblPr>
        <w:tblW w:w="5000" w:type="pct"/>
        <w:tblBorders>
          <w:top w:val="thinThickSmallGap" w:sz="24" w:space="0" w:color="auto"/>
          <w:bottom w:val="thickThinSmallGap" w:sz="24" w:space="0" w:color="auto"/>
        </w:tblBorders>
        <w:shd w:val="clear" w:color="auto" w:fill="FFFFFF" w:themeFill="background1"/>
        <w:tblCellMar>
          <w:left w:w="70" w:type="dxa"/>
          <w:right w:w="70" w:type="dxa"/>
        </w:tblCellMar>
        <w:tblLook w:val="04A0" w:firstRow="1" w:lastRow="0" w:firstColumn="1" w:lastColumn="0" w:noHBand="0" w:noVBand="1"/>
      </w:tblPr>
      <w:tblGrid>
        <w:gridCol w:w="1403"/>
        <w:gridCol w:w="1462"/>
        <w:gridCol w:w="1587"/>
        <w:gridCol w:w="1587"/>
        <w:gridCol w:w="1587"/>
        <w:gridCol w:w="1587"/>
        <w:gridCol w:w="1585"/>
      </w:tblGrid>
      <w:tr w:rsidR="005B4163" w:rsidRPr="00BE5E11" w14:paraId="79D2B60D" w14:textId="77777777" w:rsidTr="00C37E6A">
        <w:trPr>
          <w:trHeight w:val="20"/>
        </w:trPr>
        <w:tc>
          <w:tcPr>
            <w:tcW w:w="649" w:type="pct"/>
            <w:tcBorders>
              <w:top w:val="thinThickSmallGap" w:sz="24" w:space="0" w:color="auto"/>
              <w:bottom w:val="thickThinSmallGap" w:sz="24" w:space="0" w:color="auto"/>
            </w:tcBorders>
            <w:shd w:val="clear" w:color="auto" w:fill="FFFFFF" w:themeFill="background1"/>
            <w:noWrap/>
            <w:vAlign w:val="center"/>
            <w:hideMark/>
          </w:tcPr>
          <w:p w14:paraId="28397941"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Year</w:t>
            </w:r>
          </w:p>
        </w:tc>
        <w:tc>
          <w:tcPr>
            <w:tcW w:w="677" w:type="pct"/>
            <w:tcBorders>
              <w:top w:val="thinThickSmallGap" w:sz="24" w:space="0" w:color="auto"/>
              <w:bottom w:val="thickThinSmallGap" w:sz="24" w:space="0" w:color="auto"/>
            </w:tcBorders>
            <w:shd w:val="clear" w:color="auto" w:fill="FFFFFF" w:themeFill="background1"/>
            <w:vAlign w:val="center"/>
            <w:hideMark/>
          </w:tcPr>
          <w:p w14:paraId="3FED68C9" w14:textId="77777777" w:rsidR="005B4163" w:rsidRPr="00BE5E11" w:rsidRDefault="005B4163" w:rsidP="008556F9">
            <w:pPr>
              <w:spacing w:after="0" w:line="240" w:lineRule="auto"/>
              <w:jc w:val="both"/>
              <w:rPr>
                <w:rFonts w:ascii="Times New Roman" w:hAnsi="Times New Roman"/>
                <w:sz w:val="24"/>
                <w:szCs w:val="24"/>
              </w:rPr>
            </w:pPr>
            <w:proofErr w:type="spellStart"/>
            <w:r w:rsidRPr="00BE5E11">
              <w:rPr>
                <w:rFonts w:ascii="Times New Roman" w:hAnsi="Times New Roman"/>
                <w:sz w:val="24"/>
                <w:szCs w:val="24"/>
              </w:rPr>
              <w:t>Kayes</w:t>
            </w:r>
            <w:proofErr w:type="spellEnd"/>
          </w:p>
        </w:tc>
        <w:tc>
          <w:tcPr>
            <w:tcW w:w="735" w:type="pct"/>
            <w:tcBorders>
              <w:top w:val="thinThickSmallGap" w:sz="24" w:space="0" w:color="auto"/>
              <w:bottom w:val="thickThinSmallGap" w:sz="24" w:space="0" w:color="auto"/>
            </w:tcBorders>
            <w:shd w:val="clear" w:color="auto" w:fill="FFFFFF" w:themeFill="background1"/>
            <w:vAlign w:val="center"/>
            <w:hideMark/>
          </w:tcPr>
          <w:p w14:paraId="11D9CD60" w14:textId="77777777" w:rsidR="005B4163" w:rsidRPr="00BE5E11" w:rsidRDefault="005B4163" w:rsidP="008556F9">
            <w:pPr>
              <w:spacing w:after="0" w:line="240" w:lineRule="auto"/>
              <w:jc w:val="both"/>
              <w:rPr>
                <w:rFonts w:ascii="Times New Roman" w:hAnsi="Times New Roman"/>
                <w:sz w:val="24"/>
                <w:szCs w:val="24"/>
              </w:rPr>
            </w:pPr>
            <w:proofErr w:type="spellStart"/>
            <w:r w:rsidRPr="00BE5E11">
              <w:rPr>
                <w:rFonts w:ascii="Times New Roman" w:hAnsi="Times New Roman"/>
                <w:sz w:val="24"/>
                <w:szCs w:val="24"/>
              </w:rPr>
              <w:t>Koulikoro</w:t>
            </w:r>
            <w:proofErr w:type="spellEnd"/>
          </w:p>
        </w:tc>
        <w:tc>
          <w:tcPr>
            <w:tcW w:w="735" w:type="pct"/>
            <w:tcBorders>
              <w:top w:val="thinThickSmallGap" w:sz="24" w:space="0" w:color="auto"/>
              <w:bottom w:val="thickThinSmallGap" w:sz="24" w:space="0" w:color="auto"/>
            </w:tcBorders>
            <w:shd w:val="clear" w:color="auto" w:fill="FFFFFF" w:themeFill="background1"/>
            <w:vAlign w:val="center"/>
            <w:hideMark/>
          </w:tcPr>
          <w:p w14:paraId="6BA893FE"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SIKASSO</w:t>
            </w:r>
          </w:p>
        </w:tc>
        <w:tc>
          <w:tcPr>
            <w:tcW w:w="735" w:type="pct"/>
            <w:tcBorders>
              <w:top w:val="thinThickSmallGap" w:sz="24" w:space="0" w:color="auto"/>
              <w:bottom w:val="thickThinSmallGap" w:sz="24" w:space="0" w:color="auto"/>
            </w:tcBorders>
            <w:shd w:val="clear" w:color="auto" w:fill="FFFFFF" w:themeFill="background1"/>
            <w:vAlign w:val="center"/>
            <w:hideMark/>
          </w:tcPr>
          <w:p w14:paraId="3D427959"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SEGOU</w:t>
            </w:r>
          </w:p>
        </w:tc>
        <w:tc>
          <w:tcPr>
            <w:tcW w:w="735" w:type="pct"/>
            <w:tcBorders>
              <w:top w:val="thinThickSmallGap" w:sz="24" w:space="0" w:color="auto"/>
              <w:bottom w:val="thickThinSmallGap" w:sz="24" w:space="0" w:color="auto"/>
            </w:tcBorders>
            <w:shd w:val="clear" w:color="auto" w:fill="FFFFFF" w:themeFill="background1"/>
            <w:vAlign w:val="center"/>
            <w:hideMark/>
          </w:tcPr>
          <w:p w14:paraId="3A3631C2"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MOPTI</w:t>
            </w:r>
          </w:p>
        </w:tc>
        <w:tc>
          <w:tcPr>
            <w:tcW w:w="735" w:type="pct"/>
            <w:tcBorders>
              <w:top w:val="thinThickSmallGap" w:sz="24" w:space="0" w:color="auto"/>
              <w:bottom w:val="thickThinSmallGap" w:sz="24" w:space="0" w:color="auto"/>
            </w:tcBorders>
            <w:shd w:val="clear" w:color="auto" w:fill="FFFFFF" w:themeFill="background1"/>
            <w:vAlign w:val="center"/>
            <w:hideMark/>
          </w:tcPr>
          <w:p w14:paraId="4C1FC4EE" w14:textId="77777777" w:rsidR="005B4163" w:rsidRPr="00BE5E11" w:rsidRDefault="005B4163"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Total</w:t>
            </w:r>
          </w:p>
        </w:tc>
      </w:tr>
      <w:tr w:rsidR="005B4163" w:rsidRPr="00BE5E11" w14:paraId="53867102" w14:textId="77777777" w:rsidTr="00C37E6A">
        <w:trPr>
          <w:trHeight w:val="20"/>
        </w:trPr>
        <w:tc>
          <w:tcPr>
            <w:tcW w:w="649" w:type="pct"/>
            <w:tcBorders>
              <w:top w:val="thickThinSmallGap" w:sz="24" w:space="0" w:color="auto"/>
            </w:tcBorders>
            <w:shd w:val="clear" w:color="auto" w:fill="FFFFFF" w:themeFill="background1"/>
            <w:vAlign w:val="center"/>
            <w:hideMark/>
          </w:tcPr>
          <w:p w14:paraId="239EF787"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lastRenderedPageBreak/>
              <w:t>2016</w:t>
            </w:r>
          </w:p>
        </w:tc>
        <w:tc>
          <w:tcPr>
            <w:tcW w:w="677" w:type="pct"/>
            <w:tcBorders>
              <w:top w:val="thickThinSmallGap" w:sz="24" w:space="0" w:color="auto"/>
            </w:tcBorders>
            <w:shd w:val="clear" w:color="auto" w:fill="FFFFFF" w:themeFill="background1"/>
            <w:noWrap/>
            <w:vAlign w:val="center"/>
            <w:hideMark/>
          </w:tcPr>
          <w:p w14:paraId="248AB19D"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704</w:t>
            </w:r>
          </w:p>
        </w:tc>
        <w:tc>
          <w:tcPr>
            <w:tcW w:w="735" w:type="pct"/>
            <w:tcBorders>
              <w:top w:val="thickThinSmallGap" w:sz="24" w:space="0" w:color="auto"/>
            </w:tcBorders>
            <w:shd w:val="clear" w:color="auto" w:fill="FFFFFF" w:themeFill="background1"/>
            <w:noWrap/>
            <w:vAlign w:val="center"/>
            <w:hideMark/>
          </w:tcPr>
          <w:p w14:paraId="77CC9705"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w:t>
            </w:r>
          </w:p>
        </w:tc>
        <w:tc>
          <w:tcPr>
            <w:tcW w:w="735" w:type="pct"/>
            <w:tcBorders>
              <w:top w:val="thickThinSmallGap" w:sz="24" w:space="0" w:color="auto"/>
            </w:tcBorders>
            <w:shd w:val="clear" w:color="auto" w:fill="FFFFFF" w:themeFill="background1"/>
            <w:noWrap/>
            <w:vAlign w:val="center"/>
            <w:hideMark/>
          </w:tcPr>
          <w:p w14:paraId="7ECA837D"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3,711</w:t>
            </w:r>
          </w:p>
        </w:tc>
        <w:tc>
          <w:tcPr>
            <w:tcW w:w="735" w:type="pct"/>
            <w:tcBorders>
              <w:top w:val="thickThinSmallGap" w:sz="24" w:space="0" w:color="auto"/>
            </w:tcBorders>
            <w:shd w:val="clear" w:color="auto" w:fill="FFFFFF" w:themeFill="background1"/>
            <w:noWrap/>
            <w:vAlign w:val="center"/>
            <w:hideMark/>
          </w:tcPr>
          <w:p w14:paraId="3A23492C"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820</w:t>
            </w:r>
          </w:p>
        </w:tc>
        <w:tc>
          <w:tcPr>
            <w:tcW w:w="735" w:type="pct"/>
            <w:tcBorders>
              <w:top w:val="thickThinSmallGap" w:sz="24" w:space="0" w:color="auto"/>
            </w:tcBorders>
            <w:shd w:val="clear" w:color="auto" w:fill="FFFFFF" w:themeFill="background1"/>
            <w:noWrap/>
            <w:vAlign w:val="center"/>
            <w:hideMark/>
          </w:tcPr>
          <w:p w14:paraId="76BAF313"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935</w:t>
            </w:r>
          </w:p>
        </w:tc>
        <w:tc>
          <w:tcPr>
            <w:tcW w:w="735" w:type="pct"/>
            <w:tcBorders>
              <w:top w:val="thickThinSmallGap" w:sz="24" w:space="0" w:color="auto"/>
            </w:tcBorders>
            <w:shd w:val="clear" w:color="auto" w:fill="FFFFFF" w:themeFill="background1"/>
            <w:vAlign w:val="center"/>
            <w:hideMark/>
          </w:tcPr>
          <w:p w14:paraId="7D0C14C9" w14:textId="77777777" w:rsidR="005B4163" w:rsidRPr="00BE5E11" w:rsidRDefault="005B4163"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6,170</w:t>
            </w:r>
          </w:p>
        </w:tc>
      </w:tr>
      <w:tr w:rsidR="005B4163" w:rsidRPr="00BE5E11" w14:paraId="0CED1B00" w14:textId="77777777" w:rsidTr="00C37E6A">
        <w:trPr>
          <w:trHeight w:val="20"/>
        </w:trPr>
        <w:tc>
          <w:tcPr>
            <w:tcW w:w="649" w:type="pct"/>
            <w:shd w:val="clear" w:color="auto" w:fill="FFFFFF" w:themeFill="background1"/>
            <w:vAlign w:val="center"/>
            <w:hideMark/>
          </w:tcPr>
          <w:p w14:paraId="67AA3BA8"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2017</w:t>
            </w:r>
          </w:p>
        </w:tc>
        <w:tc>
          <w:tcPr>
            <w:tcW w:w="677" w:type="pct"/>
            <w:shd w:val="clear" w:color="auto" w:fill="FFFFFF" w:themeFill="background1"/>
            <w:noWrap/>
            <w:vAlign w:val="center"/>
            <w:hideMark/>
          </w:tcPr>
          <w:p w14:paraId="08BF8562"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2,601</w:t>
            </w:r>
          </w:p>
        </w:tc>
        <w:tc>
          <w:tcPr>
            <w:tcW w:w="735" w:type="pct"/>
            <w:shd w:val="clear" w:color="auto" w:fill="FFFFFF" w:themeFill="background1"/>
            <w:noWrap/>
            <w:vAlign w:val="center"/>
            <w:hideMark/>
          </w:tcPr>
          <w:p w14:paraId="366CC2EA"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1,373</w:t>
            </w:r>
          </w:p>
        </w:tc>
        <w:tc>
          <w:tcPr>
            <w:tcW w:w="735" w:type="pct"/>
            <w:shd w:val="clear" w:color="auto" w:fill="FFFFFF" w:themeFill="background1"/>
            <w:noWrap/>
            <w:vAlign w:val="center"/>
            <w:hideMark/>
          </w:tcPr>
          <w:p w14:paraId="057E5B56"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6,755</w:t>
            </w:r>
          </w:p>
        </w:tc>
        <w:tc>
          <w:tcPr>
            <w:tcW w:w="735" w:type="pct"/>
            <w:shd w:val="clear" w:color="auto" w:fill="FFFFFF" w:themeFill="background1"/>
            <w:noWrap/>
            <w:vAlign w:val="center"/>
            <w:hideMark/>
          </w:tcPr>
          <w:p w14:paraId="5B829AED"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10,898</w:t>
            </w:r>
          </w:p>
        </w:tc>
        <w:tc>
          <w:tcPr>
            <w:tcW w:w="735" w:type="pct"/>
            <w:shd w:val="clear" w:color="auto" w:fill="FFFFFF" w:themeFill="background1"/>
            <w:noWrap/>
            <w:vAlign w:val="center"/>
            <w:hideMark/>
          </w:tcPr>
          <w:p w14:paraId="3C7E6824"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6,169</w:t>
            </w:r>
          </w:p>
        </w:tc>
        <w:tc>
          <w:tcPr>
            <w:tcW w:w="735" w:type="pct"/>
            <w:shd w:val="clear" w:color="auto" w:fill="FFFFFF" w:themeFill="background1"/>
            <w:vAlign w:val="center"/>
            <w:hideMark/>
          </w:tcPr>
          <w:p w14:paraId="586DF216" w14:textId="77777777" w:rsidR="005B4163" w:rsidRPr="00BE5E11" w:rsidRDefault="005B4163"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27,796</w:t>
            </w:r>
          </w:p>
        </w:tc>
      </w:tr>
      <w:tr w:rsidR="005B4163" w:rsidRPr="00BE5E11" w14:paraId="1F68B713" w14:textId="77777777" w:rsidTr="00C37E6A">
        <w:trPr>
          <w:trHeight w:val="20"/>
        </w:trPr>
        <w:tc>
          <w:tcPr>
            <w:tcW w:w="649" w:type="pct"/>
            <w:shd w:val="clear" w:color="auto" w:fill="FFFFFF" w:themeFill="background1"/>
            <w:vAlign w:val="center"/>
            <w:hideMark/>
          </w:tcPr>
          <w:p w14:paraId="7F317CC7"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2018</w:t>
            </w:r>
          </w:p>
        </w:tc>
        <w:tc>
          <w:tcPr>
            <w:tcW w:w="677" w:type="pct"/>
            <w:shd w:val="clear" w:color="auto" w:fill="FFFFFF" w:themeFill="background1"/>
            <w:noWrap/>
            <w:vAlign w:val="center"/>
            <w:hideMark/>
          </w:tcPr>
          <w:p w14:paraId="288CDDD3"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8018</w:t>
            </w:r>
          </w:p>
        </w:tc>
        <w:tc>
          <w:tcPr>
            <w:tcW w:w="735" w:type="pct"/>
            <w:shd w:val="clear" w:color="auto" w:fill="FFFFFF" w:themeFill="background1"/>
            <w:noWrap/>
            <w:vAlign w:val="center"/>
            <w:hideMark/>
          </w:tcPr>
          <w:p w14:paraId="3F26A11F"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10,945</w:t>
            </w:r>
          </w:p>
        </w:tc>
        <w:tc>
          <w:tcPr>
            <w:tcW w:w="735" w:type="pct"/>
            <w:shd w:val="clear" w:color="auto" w:fill="FFFFFF" w:themeFill="background1"/>
            <w:noWrap/>
            <w:vAlign w:val="center"/>
            <w:hideMark/>
          </w:tcPr>
          <w:p w14:paraId="48000850"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13,913</w:t>
            </w:r>
          </w:p>
        </w:tc>
        <w:tc>
          <w:tcPr>
            <w:tcW w:w="735" w:type="pct"/>
            <w:shd w:val="clear" w:color="auto" w:fill="FFFFFF" w:themeFill="background1"/>
            <w:noWrap/>
            <w:vAlign w:val="center"/>
            <w:hideMark/>
          </w:tcPr>
          <w:p w14:paraId="444BCE09"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11,877</w:t>
            </w:r>
          </w:p>
        </w:tc>
        <w:tc>
          <w:tcPr>
            <w:tcW w:w="735" w:type="pct"/>
            <w:shd w:val="clear" w:color="auto" w:fill="FFFFFF" w:themeFill="background1"/>
            <w:noWrap/>
            <w:vAlign w:val="center"/>
            <w:hideMark/>
          </w:tcPr>
          <w:p w14:paraId="2B2C1B78"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10,918</w:t>
            </w:r>
          </w:p>
        </w:tc>
        <w:tc>
          <w:tcPr>
            <w:tcW w:w="735" w:type="pct"/>
            <w:shd w:val="clear" w:color="auto" w:fill="FFFFFF" w:themeFill="background1"/>
            <w:vAlign w:val="center"/>
            <w:hideMark/>
          </w:tcPr>
          <w:p w14:paraId="56268928" w14:textId="77777777" w:rsidR="005B4163" w:rsidRPr="00BE5E11" w:rsidRDefault="005B4163"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55,671</w:t>
            </w:r>
          </w:p>
        </w:tc>
      </w:tr>
      <w:tr w:rsidR="005B4163" w:rsidRPr="00BE5E11" w14:paraId="50D4960A" w14:textId="77777777" w:rsidTr="00C37E6A">
        <w:trPr>
          <w:trHeight w:val="20"/>
        </w:trPr>
        <w:tc>
          <w:tcPr>
            <w:tcW w:w="649" w:type="pct"/>
            <w:shd w:val="clear" w:color="auto" w:fill="FFFFFF" w:themeFill="background1"/>
            <w:vAlign w:val="center"/>
            <w:hideMark/>
          </w:tcPr>
          <w:p w14:paraId="0F440AD4"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2019</w:t>
            </w:r>
          </w:p>
        </w:tc>
        <w:tc>
          <w:tcPr>
            <w:tcW w:w="677" w:type="pct"/>
            <w:shd w:val="clear" w:color="auto" w:fill="FFFFFF" w:themeFill="background1"/>
            <w:noWrap/>
            <w:vAlign w:val="center"/>
            <w:hideMark/>
          </w:tcPr>
          <w:p w14:paraId="40601FF6"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8,692</w:t>
            </w:r>
          </w:p>
        </w:tc>
        <w:tc>
          <w:tcPr>
            <w:tcW w:w="735" w:type="pct"/>
            <w:shd w:val="clear" w:color="auto" w:fill="FFFFFF" w:themeFill="background1"/>
            <w:noWrap/>
            <w:vAlign w:val="center"/>
            <w:hideMark/>
          </w:tcPr>
          <w:p w14:paraId="42B6FC01"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16,693</w:t>
            </w:r>
          </w:p>
        </w:tc>
        <w:tc>
          <w:tcPr>
            <w:tcW w:w="735" w:type="pct"/>
            <w:shd w:val="clear" w:color="auto" w:fill="FFFFFF" w:themeFill="background1"/>
            <w:noWrap/>
            <w:vAlign w:val="center"/>
            <w:hideMark/>
          </w:tcPr>
          <w:p w14:paraId="00EE91D3"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21,219</w:t>
            </w:r>
          </w:p>
        </w:tc>
        <w:tc>
          <w:tcPr>
            <w:tcW w:w="735" w:type="pct"/>
            <w:shd w:val="clear" w:color="auto" w:fill="FFFFFF" w:themeFill="background1"/>
            <w:noWrap/>
            <w:vAlign w:val="center"/>
            <w:hideMark/>
          </w:tcPr>
          <w:p w14:paraId="5B5D0EDD"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12,981</w:t>
            </w:r>
          </w:p>
        </w:tc>
        <w:tc>
          <w:tcPr>
            <w:tcW w:w="735" w:type="pct"/>
            <w:shd w:val="clear" w:color="auto" w:fill="FFFFFF" w:themeFill="background1"/>
            <w:noWrap/>
            <w:vAlign w:val="center"/>
            <w:hideMark/>
          </w:tcPr>
          <w:p w14:paraId="1C100B81"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11,447</w:t>
            </w:r>
          </w:p>
        </w:tc>
        <w:tc>
          <w:tcPr>
            <w:tcW w:w="735" w:type="pct"/>
            <w:shd w:val="clear" w:color="auto" w:fill="FFFFFF" w:themeFill="background1"/>
            <w:vAlign w:val="center"/>
            <w:hideMark/>
          </w:tcPr>
          <w:p w14:paraId="2E96234A" w14:textId="77777777" w:rsidR="005B4163" w:rsidRPr="00BE5E11" w:rsidRDefault="005B4163"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71032</w:t>
            </w:r>
          </w:p>
        </w:tc>
      </w:tr>
      <w:tr w:rsidR="005B4163" w:rsidRPr="00BE5E11" w14:paraId="7545CFC2" w14:textId="77777777" w:rsidTr="00C37E6A">
        <w:trPr>
          <w:trHeight w:val="20"/>
        </w:trPr>
        <w:tc>
          <w:tcPr>
            <w:tcW w:w="649" w:type="pct"/>
            <w:shd w:val="clear" w:color="auto" w:fill="FFFFFF" w:themeFill="background1"/>
            <w:vAlign w:val="center"/>
            <w:hideMark/>
          </w:tcPr>
          <w:p w14:paraId="068CD467"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2020</w:t>
            </w:r>
          </w:p>
        </w:tc>
        <w:tc>
          <w:tcPr>
            <w:tcW w:w="677" w:type="pct"/>
            <w:shd w:val="clear" w:color="auto" w:fill="FFFFFF" w:themeFill="background1"/>
            <w:noWrap/>
            <w:vAlign w:val="center"/>
            <w:hideMark/>
          </w:tcPr>
          <w:p w14:paraId="63BD33EE"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7,667</w:t>
            </w:r>
          </w:p>
        </w:tc>
        <w:tc>
          <w:tcPr>
            <w:tcW w:w="735" w:type="pct"/>
            <w:shd w:val="clear" w:color="auto" w:fill="FFFFFF" w:themeFill="background1"/>
            <w:noWrap/>
            <w:vAlign w:val="center"/>
            <w:hideMark/>
          </w:tcPr>
          <w:p w14:paraId="6C7E1A5C"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17,428</w:t>
            </w:r>
          </w:p>
        </w:tc>
        <w:tc>
          <w:tcPr>
            <w:tcW w:w="735" w:type="pct"/>
            <w:shd w:val="clear" w:color="auto" w:fill="FFFFFF" w:themeFill="background1"/>
            <w:noWrap/>
            <w:vAlign w:val="center"/>
            <w:hideMark/>
          </w:tcPr>
          <w:p w14:paraId="3CC620A7"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17,334</w:t>
            </w:r>
          </w:p>
        </w:tc>
        <w:tc>
          <w:tcPr>
            <w:tcW w:w="735" w:type="pct"/>
            <w:shd w:val="clear" w:color="auto" w:fill="FFFFFF" w:themeFill="background1"/>
            <w:noWrap/>
            <w:vAlign w:val="center"/>
            <w:hideMark/>
          </w:tcPr>
          <w:p w14:paraId="17DF696F"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13,548</w:t>
            </w:r>
          </w:p>
        </w:tc>
        <w:tc>
          <w:tcPr>
            <w:tcW w:w="735" w:type="pct"/>
            <w:shd w:val="clear" w:color="auto" w:fill="FFFFFF" w:themeFill="background1"/>
            <w:noWrap/>
            <w:vAlign w:val="center"/>
            <w:hideMark/>
          </w:tcPr>
          <w:p w14:paraId="70DC74BA"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12,674</w:t>
            </w:r>
          </w:p>
        </w:tc>
        <w:tc>
          <w:tcPr>
            <w:tcW w:w="735" w:type="pct"/>
            <w:shd w:val="clear" w:color="auto" w:fill="FFFFFF" w:themeFill="background1"/>
            <w:vAlign w:val="center"/>
            <w:hideMark/>
          </w:tcPr>
          <w:p w14:paraId="5477069E" w14:textId="77777777" w:rsidR="005B4163" w:rsidRPr="00BE5E11" w:rsidRDefault="005B4163"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68,651</w:t>
            </w:r>
          </w:p>
        </w:tc>
      </w:tr>
      <w:tr w:rsidR="005B4163" w:rsidRPr="00BE5E11" w14:paraId="1577FC39" w14:textId="77777777" w:rsidTr="00C37E6A">
        <w:trPr>
          <w:trHeight w:val="20"/>
        </w:trPr>
        <w:tc>
          <w:tcPr>
            <w:tcW w:w="649" w:type="pct"/>
            <w:shd w:val="clear" w:color="auto" w:fill="FFFFFF" w:themeFill="background1"/>
            <w:vAlign w:val="center"/>
            <w:hideMark/>
          </w:tcPr>
          <w:p w14:paraId="1240490E"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2021</w:t>
            </w:r>
          </w:p>
        </w:tc>
        <w:tc>
          <w:tcPr>
            <w:tcW w:w="677" w:type="pct"/>
            <w:shd w:val="clear" w:color="auto" w:fill="FFFFFF" w:themeFill="background1"/>
            <w:noWrap/>
            <w:vAlign w:val="center"/>
            <w:hideMark/>
          </w:tcPr>
          <w:p w14:paraId="473F5010"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5,454</w:t>
            </w:r>
          </w:p>
        </w:tc>
        <w:tc>
          <w:tcPr>
            <w:tcW w:w="735" w:type="pct"/>
            <w:shd w:val="clear" w:color="auto" w:fill="FFFFFF" w:themeFill="background1"/>
            <w:noWrap/>
            <w:vAlign w:val="center"/>
            <w:hideMark/>
          </w:tcPr>
          <w:p w14:paraId="62EF5592"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16,274</w:t>
            </w:r>
          </w:p>
        </w:tc>
        <w:tc>
          <w:tcPr>
            <w:tcW w:w="735" w:type="pct"/>
            <w:shd w:val="clear" w:color="auto" w:fill="FFFFFF" w:themeFill="background1"/>
            <w:noWrap/>
            <w:vAlign w:val="center"/>
            <w:hideMark/>
          </w:tcPr>
          <w:p w14:paraId="12B2A120"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15,042</w:t>
            </w:r>
          </w:p>
        </w:tc>
        <w:tc>
          <w:tcPr>
            <w:tcW w:w="735" w:type="pct"/>
            <w:shd w:val="clear" w:color="auto" w:fill="FFFFFF" w:themeFill="background1"/>
            <w:noWrap/>
            <w:vAlign w:val="center"/>
            <w:hideMark/>
          </w:tcPr>
          <w:p w14:paraId="69DC0F5B"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15,694</w:t>
            </w:r>
          </w:p>
        </w:tc>
        <w:tc>
          <w:tcPr>
            <w:tcW w:w="735" w:type="pct"/>
            <w:shd w:val="clear" w:color="auto" w:fill="FFFFFF" w:themeFill="background1"/>
            <w:noWrap/>
            <w:vAlign w:val="center"/>
            <w:hideMark/>
          </w:tcPr>
          <w:p w14:paraId="3A4601E2"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15,094</w:t>
            </w:r>
          </w:p>
        </w:tc>
        <w:tc>
          <w:tcPr>
            <w:tcW w:w="735" w:type="pct"/>
            <w:shd w:val="clear" w:color="auto" w:fill="FFFFFF" w:themeFill="background1"/>
            <w:vAlign w:val="center"/>
            <w:hideMark/>
          </w:tcPr>
          <w:p w14:paraId="2AC2FD31" w14:textId="77777777" w:rsidR="005B4163" w:rsidRPr="00BE5E11" w:rsidRDefault="005B4163"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67,558</w:t>
            </w:r>
          </w:p>
        </w:tc>
      </w:tr>
      <w:tr w:rsidR="005B4163" w:rsidRPr="00BE5E11" w14:paraId="171926D0" w14:textId="77777777" w:rsidTr="00C37E6A">
        <w:trPr>
          <w:trHeight w:val="20"/>
        </w:trPr>
        <w:tc>
          <w:tcPr>
            <w:tcW w:w="649" w:type="pct"/>
            <w:shd w:val="clear" w:color="auto" w:fill="FFFFFF" w:themeFill="background1"/>
            <w:vAlign w:val="center"/>
            <w:hideMark/>
          </w:tcPr>
          <w:p w14:paraId="3713CBC2"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2022</w:t>
            </w:r>
          </w:p>
        </w:tc>
        <w:tc>
          <w:tcPr>
            <w:tcW w:w="677" w:type="pct"/>
            <w:shd w:val="clear" w:color="auto" w:fill="FFFFFF" w:themeFill="background1"/>
            <w:noWrap/>
            <w:vAlign w:val="center"/>
            <w:hideMark/>
          </w:tcPr>
          <w:p w14:paraId="0D7C9C09"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5,992</w:t>
            </w:r>
          </w:p>
        </w:tc>
        <w:tc>
          <w:tcPr>
            <w:tcW w:w="735" w:type="pct"/>
            <w:shd w:val="clear" w:color="auto" w:fill="FFFFFF" w:themeFill="background1"/>
            <w:noWrap/>
            <w:vAlign w:val="center"/>
            <w:hideMark/>
          </w:tcPr>
          <w:p w14:paraId="007AAE7C"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17,353</w:t>
            </w:r>
          </w:p>
        </w:tc>
        <w:tc>
          <w:tcPr>
            <w:tcW w:w="735" w:type="pct"/>
            <w:shd w:val="clear" w:color="auto" w:fill="FFFFFF" w:themeFill="background1"/>
            <w:noWrap/>
            <w:vAlign w:val="center"/>
            <w:hideMark/>
          </w:tcPr>
          <w:p w14:paraId="7D847AC6"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16,842</w:t>
            </w:r>
          </w:p>
        </w:tc>
        <w:tc>
          <w:tcPr>
            <w:tcW w:w="735" w:type="pct"/>
            <w:shd w:val="clear" w:color="auto" w:fill="FFFFFF" w:themeFill="background1"/>
            <w:noWrap/>
            <w:vAlign w:val="center"/>
            <w:hideMark/>
          </w:tcPr>
          <w:p w14:paraId="5E66F2D1"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16,474</w:t>
            </w:r>
          </w:p>
        </w:tc>
        <w:tc>
          <w:tcPr>
            <w:tcW w:w="735" w:type="pct"/>
            <w:shd w:val="clear" w:color="auto" w:fill="FFFFFF" w:themeFill="background1"/>
            <w:noWrap/>
            <w:vAlign w:val="center"/>
            <w:hideMark/>
          </w:tcPr>
          <w:p w14:paraId="2E7E2F18"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16,300</w:t>
            </w:r>
          </w:p>
        </w:tc>
        <w:tc>
          <w:tcPr>
            <w:tcW w:w="735" w:type="pct"/>
            <w:shd w:val="clear" w:color="auto" w:fill="FFFFFF" w:themeFill="background1"/>
            <w:vAlign w:val="center"/>
            <w:hideMark/>
          </w:tcPr>
          <w:p w14:paraId="39E1662A" w14:textId="77777777" w:rsidR="005B4163" w:rsidRPr="00BE5E11" w:rsidRDefault="005B4163"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72,961</w:t>
            </w:r>
          </w:p>
        </w:tc>
      </w:tr>
      <w:tr w:rsidR="005B4163" w:rsidRPr="00BE5E11" w14:paraId="6731A82C" w14:textId="77777777" w:rsidTr="00C37E6A">
        <w:trPr>
          <w:trHeight w:val="20"/>
        </w:trPr>
        <w:tc>
          <w:tcPr>
            <w:tcW w:w="649" w:type="pct"/>
            <w:shd w:val="clear" w:color="auto" w:fill="FFFFFF" w:themeFill="background1"/>
            <w:vAlign w:val="center"/>
            <w:hideMark/>
          </w:tcPr>
          <w:p w14:paraId="3AF2ACF7"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2023</w:t>
            </w:r>
          </w:p>
        </w:tc>
        <w:tc>
          <w:tcPr>
            <w:tcW w:w="677" w:type="pct"/>
            <w:shd w:val="clear" w:color="auto" w:fill="FFFFFF" w:themeFill="background1"/>
            <w:noWrap/>
            <w:vAlign w:val="center"/>
            <w:hideMark/>
          </w:tcPr>
          <w:p w14:paraId="0AE24A70"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4,396</w:t>
            </w:r>
          </w:p>
        </w:tc>
        <w:tc>
          <w:tcPr>
            <w:tcW w:w="735" w:type="pct"/>
            <w:shd w:val="clear" w:color="auto" w:fill="FFFFFF" w:themeFill="background1"/>
            <w:noWrap/>
            <w:vAlign w:val="center"/>
            <w:hideMark/>
          </w:tcPr>
          <w:p w14:paraId="264E61D6"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15,997</w:t>
            </w:r>
          </w:p>
        </w:tc>
        <w:tc>
          <w:tcPr>
            <w:tcW w:w="735" w:type="pct"/>
            <w:shd w:val="clear" w:color="auto" w:fill="FFFFFF" w:themeFill="background1"/>
            <w:noWrap/>
            <w:vAlign w:val="center"/>
            <w:hideMark/>
          </w:tcPr>
          <w:p w14:paraId="280C1C98"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16,632</w:t>
            </w:r>
          </w:p>
        </w:tc>
        <w:tc>
          <w:tcPr>
            <w:tcW w:w="735" w:type="pct"/>
            <w:shd w:val="clear" w:color="auto" w:fill="FFFFFF" w:themeFill="background1"/>
            <w:noWrap/>
            <w:vAlign w:val="center"/>
            <w:hideMark/>
          </w:tcPr>
          <w:p w14:paraId="73B1C27D"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16,289</w:t>
            </w:r>
          </w:p>
        </w:tc>
        <w:tc>
          <w:tcPr>
            <w:tcW w:w="735" w:type="pct"/>
            <w:shd w:val="clear" w:color="auto" w:fill="FFFFFF" w:themeFill="background1"/>
            <w:noWrap/>
            <w:vAlign w:val="center"/>
            <w:hideMark/>
          </w:tcPr>
          <w:p w14:paraId="057F3C5C"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19,529</w:t>
            </w:r>
          </w:p>
        </w:tc>
        <w:tc>
          <w:tcPr>
            <w:tcW w:w="735" w:type="pct"/>
            <w:shd w:val="clear" w:color="auto" w:fill="FFFFFF" w:themeFill="background1"/>
            <w:vAlign w:val="center"/>
            <w:hideMark/>
          </w:tcPr>
          <w:p w14:paraId="7D3B4E24" w14:textId="77777777" w:rsidR="005B4163" w:rsidRPr="00BE5E11" w:rsidRDefault="005B4163"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72,843</w:t>
            </w:r>
          </w:p>
        </w:tc>
      </w:tr>
      <w:tr w:rsidR="005B4163" w:rsidRPr="00BE5E11" w14:paraId="6AA1EC12" w14:textId="77777777" w:rsidTr="00C37E6A">
        <w:trPr>
          <w:trHeight w:val="20"/>
        </w:trPr>
        <w:tc>
          <w:tcPr>
            <w:tcW w:w="649" w:type="pct"/>
            <w:shd w:val="clear" w:color="auto" w:fill="FFFFFF" w:themeFill="background1"/>
            <w:vAlign w:val="center"/>
            <w:hideMark/>
          </w:tcPr>
          <w:p w14:paraId="770D8BCE"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2024</w:t>
            </w:r>
          </w:p>
        </w:tc>
        <w:tc>
          <w:tcPr>
            <w:tcW w:w="677" w:type="pct"/>
            <w:shd w:val="clear" w:color="auto" w:fill="FFFFFF" w:themeFill="background1"/>
            <w:noWrap/>
            <w:vAlign w:val="center"/>
            <w:hideMark/>
          </w:tcPr>
          <w:p w14:paraId="5DB94649"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4,182</w:t>
            </w:r>
          </w:p>
        </w:tc>
        <w:tc>
          <w:tcPr>
            <w:tcW w:w="735" w:type="pct"/>
            <w:shd w:val="clear" w:color="auto" w:fill="FFFFFF" w:themeFill="background1"/>
            <w:noWrap/>
            <w:vAlign w:val="center"/>
            <w:hideMark/>
          </w:tcPr>
          <w:p w14:paraId="27CA4074"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16,810</w:t>
            </w:r>
          </w:p>
        </w:tc>
        <w:tc>
          <w:tcPr>
            <w:tcW w:w="735" w:type="pct"/>
            <w:shd w:val="clear" w:color="auto" w:fill="FFFFFF" w:themeFill="background1"/>
            <w:noWrap/>
            <w:vAlign w:val="center"/>
            <w:hideMark/>
          </w:tcPr>
          <w:p w14:paraId="15176521"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14,945</w:t>
            </w:r>
          </w:p>
        </w:tc>
        <w:tc>
          <w:tcPr>
            <w:tcW w:w="735" w:type="pct"/>
            <w:shd w:val="clear" w:color="auto" w:fill="FFFFFF" w:themeFill="background1"/>
            <w:noWrap/>
            <w:vAlign w:val="center"/>
            <w:hideMark/>
          </w:tcPr>
          <w:p w14:paraId="3D8F654D"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20,421</w:t>
            </w:r>
          </w:p>
        </w:tc>
        <w:tc>
          <w:tcPr>
            <w:tcW w:w="735" w:type="pct"/>
            <w:shd w:val="clear" w:color="auto" w:fill="FFFFFF" w:themeFill="background1"/>
            <w:noWrap/>
            <w:vAlign w:val="center"/>
            <w:hideMark/>
          </w:tcPr>
          <w:p w14:paraId="412E0B4C"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21,399</w:t>
            </w:r>
          </w:p>
        </w:tc>
        <w:tc>
          <w:tcPr>
            <w:tcW w:w="735" w:type="pct"/>
            <w:shd w:val="clear" w:color="auto" w:fill="FFFFFF" w:themeFill="background1"/>
            <w:vAlign w:val="center"/>
            <w:hideMark/>
          </w:tcPr>
          <w:p w14:paraId="1E7431A9" w14:textId="77777777" w:rsidR="005B4163" w:rsidRPr="00BE5E11" w:rsidRDefault="005B4163"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77,757</w:t>
            </w:r>
          </w:p>
        </w:tc>
      </w:tr>
      <w:tr w:rsidR="005B4163" w:rsidRPr="00BE5E11" w14:paraId="5D988642" w14:textId="77777777" w:rsidTr="00C37E6A">
        <w:trPr>
          <w:trHeight w:val="20"/>
        </w:trPr>
        <w:tc>
          <w:tcPr>
            <w:tcW w:w="649" w:type="pct"/>
            <w:shd w:val="clear" w:color="auto" w:fill="FFFFFF" w:themeFill="background1"/>
            <w:noWrap/>
            <w:vAlign w:val="center"/>
            <w:hideMark/>
          </w:tcPr>
          <w:p w14:paraId="60EA59E9" w14:textId="77777777" w:rsidR="005B4163" w:rsidRPr="00BE5E11" w:rsidRDefault="005B4163"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Total</w:t>
            </w:r>
          </w:p>
        </w:tc>
        <w:tc>
          <w:tcPr>
            <w:tcW w:w="677" w:type="pct"/>
            <w:shd w:val="clear" w:color="auto" w:fill="FFFFFF" w:themeFill="background1"/>
            <w:noWrap/>
            <w:vAlign w:val="center"/>
            <w:hideMark/>
          </w:tcPr>
          <w:p w14:paraId="198824A7" w14:textId="77777777" w:rsidR="005B4163" w:rsidRPr="00BE5E11" w:rsidRDefault="005B4163"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47,706</w:t>
            </w:r>
          </w:p>
        </w:tc>
        <w:tc>
          <w:tcPr>
            <w:tcW w:w="735" w:type="pct"/>
            <w:shd w:val="clear" w:color="auto" w:fill="FFFFFF" w:themeFill="background1"/>
            <w:noWrap/>
            <w:vAlign w:val="center"/>
            <w:hideMark/>
          </w:tcPr>
          <w:p w14:paraId="16F2C874" w14:textId="77777777" w:rsidR="005B4163" w:rsidRPr="00BE5E11" w:rsidRDefault="005B4163"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112,873</w:t>
            </w:r>
          </w:p>
        </w:tc>
        <w:tc>
          <w:tcPr>
            <w:tcW w:w="735" w:type="pct"/>
            <w:shd w:val="clear" w:color="auto" w:fill="FFFFFF" w:themeFill="background1"/>
            <w:noWrap/>
            <w:vAlign w:val="center"/>
            <w:hideMark/>
          </w:tcPr>
          <w:p w14:paraId="7B00BCF0" w14:textId="77777777" w:rsidR="005B4163" w:rsidRPr="00BE5E11" w:rsidRDefault="005B4163"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126,393</w:t>
            </w:r>
          </w:p>
        </w:tc>
        <w:tc>
          <w:tcPr>
            <w:tcW w:w="735" w:type="pct"/>
            <w:shd w:val="clear" w:color="auto" w:fill="FFFFFF" w:themeFill="background1"/>
            <w:noWrap/>
            <w:vAlign w:val="center"/>
            <w:hideMark/>
          </w:tcPr>
          <w:p w14:paraId="665D493B" w14:textId="77777777" w:rsidR="005B4163" w:rsidRPr="00BE5E11" w:rsidRDefault="005B4163"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119,002</w:t>
            </w:r>
          </w:p>
        </w:tc>
        <w:tc>
          <w:tcPr>
            <w:tcW w:w="735" w:type="pct"/>
            <w:shd w:val="clear" w:color="auto" w:fill="FFFFFF" w:themeFill="background1"/>
            <w:noWrap/>
            <w:vAlign w:val="center"/>
            <w:hideMark/>
          </w:tcPr>
          <w:p w14:paraId="23CF5AFD" w14:textId="77777777" w:rsidR="005B4163" w:rsidRPr="00BE5E11" w:rsidRDefault="005B4163"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114,465</w:t>
            </w:r>
          </w:p>
        </w:tc>
        <w:tc>
          <w:tcPr>
            <w:tcW w:w="735" w:type="pct"/>
            <w:shd w:val="clear" w:color="auto" w:fill="FFFFFF" w:themeFill="background1"/>
            <w:noWrap/>
            <w:vAlign w:val="center"/>
            <w:hideMark/>
          </w:tcPr>
          <w:p w14:paraId="64E26DBB" w14:textId="77777777" w:rsidR="005B4163" w:rsidRPr="00BE5E11" w:rsidRDefault="005B4163"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520,439</w:t>
            </w:r>
          </w:p>
        </w:tc>
      </w:tr>
    </w:tbl>
    <w:p w14:paraId="3040A7D8" w14:textId="77777777" w:rsidR="00164196" w:rsidRPr="00BE5E11" w:rsidRDefault="00164196" w:rsidP="008556F9">
      <w:pPr>
        <w:spacing w:line="240" w:lineRule="auto"/>
        <w:jc w:val="both"/>
        <w:rPr>
          <w:rFonts w:ascii="Times New Roman" w:hAnsi="Times New Roman"/>
          <w:b/>
          <w:bCs/>
          <w:sz w:val="24"/>
          <w:szCs w:val="24"/>
          <w:lang w:eastAsia="fr-FR"/>
        </w:rPr>
      </w:pPr>
      <w:bookmarkStart w:id="12" w:name="_Toc220360940"/>
    </w:p>
    <w:p w14:paraId="37EC6523" w14:textId="4EB27BB5" w:rsidR="00AE5247" w:rsidRPr="00BE5E11" w:rsidRDefault="00AE5247" w:rsidP="008556F9">
      <w:pPr>
        <w:spacing w:after="0" w:line="240" w:lineRule="auto"/>
        <w:jc w:val="both"/>
        <w:rPr>
          <w:rFonts w:ascii="Times New Roman" w:hAnsi="Times New Roman"/>
          <w:b/>
          <w:bCs/>
          <w:sz w:val="24"/>
          <w:szCs w:val="24"/>
          <w:lang w:eastAsia="fr-FR"/>
        </w:rPr>
      </w:pPr>
      <w:r w:rsidRPr="00BE5E11">
        <w:rPr>
          <w:rFonts w:ascii="Times New Roman" w:hAnsi="Times New Roman"/>
          <w:b/>
          <w:bCs/>
          <w:sz w:val="24"/>
          <w:szCs w:val="24"/>
          <w:lang w:eastAsia="fr-FR"/>
        </w:rPr>
        <w:t>Relative contribution and coverage rate of MAS targets</w:t>
      </w:r>
    </w:p>
    <w:p w14:paraId="02F0B900" w14:textId="77777777" w:rsidR="00AE5247" w:rsidRPr="00BE5E11" w:rsidRDefault="00AE5247" w:rsidP="008556F9">
      <w:pPr>
        <w:autoSpaceDN/>
        <w:spacing w:before="100" w:beforeAutospacing="1" w:after="100" w:afterAutospacing="1" w:line="240" w:lineRule="auto"/>
        <w:jc w:val="both"/>
        <w:rPr>
          <w:rFonts w:ascii="Times New Roman" w:eastAsia="Times New Roman" w:hAnsi="Times New Roman"/>
          <w:sz w:val="24"/>
          <w:szCs w:val="24"/>
          <w:lang w:eastAsia="fr-FR"/>
        </w:rPr>
      </w:pPr>
      <w:r w:rsidRPr="00BE5E11">
        <w:rPr>
          <w:rFonts w:ascii="Times New Roman" w:eastAsia="Times New Roman" w:hAnsi="Times New Roman"/>
          <w:sz w:val="24"/>
          <w:szCs w:val="24"/>
          <w:lang w:eastAsia="fr-FR"/>
        </w:rPr>
        <w:t>The average contribution of community health workers (CHWs) to the management of severe acute malnutr</w:t>
      </w:r>
      <w:r w:rsidRPr="00BE5E11">
        <w:rPr>
          <w:rFonts w:ascii="Times New Roman" w:eastAsia="Times New Roman" w:hAnsi="Times New Roman"/>
          <w:sz w:val="24"/>
          <w:szCs w:val="24"/>
          <w:lang w:eastAsia="fr-FR"/>
        </w:rPr>
        <w:t>i</w:t>
      </w:r>
      <w:r w:rsidRPr="00BE5E11">
        <w:rPr>
          <w:rFonts w:ascii="Times New Roman" w:eastAsia="Times New Roman" w:hAnsi="Times New Roman"/>
          <w:sz w:val="24"/>
          <w:szCs w:val="24"/>
          <w:lang w:eastAsia="fr-FR"/>
        </w:rPr>
        <w:t>tion (SAM) in the study areas is 6.89%. There is an upward trend, peaking at 9.00% in 2024. Regional dispar</w:t>
      </w:r>
      <w:r w:rsidRPr="00BE5E11">
        <w:rPr>
          <w:rFonts w:ascii="Times New Roman" w:eastAsia="Times New Roman" w:hAnsi="Times New Roman"/>
          <w:sz w:val="24"/>
          <w:szCs w:val="24"/>
          <w:lang w:eastAsia="fr-FR"/>
        </w:rPr>
        <w:t>i</w:t>
      </w:r>
      <w:r w:rsidRPr="00BE5E11">
        <w:rPr>
          <w:rFonts w:ascii="Times New Roman" w:eastAsia="Times New Roman" w:hAnsi="Times New Roman"/>
          <w:sz w:val="24"/>
          <w:szCs w:val="24"/>
          <w:lang w:eastAsia="fr-FR"/>
        </w:rPr>
        <w:t xml:space="preserve">ties show that </w:t>
      </w:r>
      <w:proofErr w:type="spellStart"/>
      <w:r w:rsidRPr="00BE5E11">
        <w:rPr>
          <w:rFonts w:ascii="Times New Roman" w:eastAsia="Times New Roman" w:hAnsi="Times New Roman"/>
          <w:sz w:val="24"/>
          <w:szCs w:val="24"/>
          <w:lang w:eastAsia="fr-FR"/>
        </w:rPr>
        <w:t>Mopti</w:t>
      </w:r>
      <w:proofErr w:type="spellEnd"/>
      <w:r w:rsidRPr="00BE5E11">
        <w:rPr>
          <w:rFonts w:ascii="Times New Roman" w:eastAsia="Times New Roman" w:hAnsi="Times New Roman"/>
          <w:sz w:val="24"/>
          <w:szCs w:val="24"/>
          <w:lang w:eastAsia="fr-FR"/>
        </w:rPr>
        <w:t xml:space="preserve"> (9.67%) and </w:t>
      </w:r>
      <w:proofErr w:type="spellStart"/>
      <w:r w:rsidRPr="00BE5E11">
        <w:rPr>
          <w:rFonts w:ascii="Times New Roman" w:eastAsia="Times New Roman" w:hAnsi="Times New Roman"/>
          <w:sz w:val="24"/>
          <w:szCs w:val="24"/>
          <w:lang w:eastAsia="fr-FR"/>
        </w:rPr>
        <w:t>Ségou</w:t>
      </w:r>
      <w:proofErr w:type="spellEnd"/>
      <w:r w:rsidRPr="00BE5E11">
        <w:rPr>
          <w:rFonts w:ascii="Times New Roman" w:eastAsia="Times New Roman" w:hAnsi="Times New Roman"/>
          <w:sz w:val="24"/>
          <w:szCs w:val="24"/>
          <w:lang w:eastAsia="fr-FR"/>
        </w:rPr>
        <w:t xml:space="preserve"> (9.56%) optimize the role of CHWs more in the management of the severe form compared to </w:t>
      </w:r>
      <w:proofErr w:type="spellStart"/>
      <w:r w:rsidRPr="00BE5E11">
        <w:rPr>
          <w:rFonts w:ascii="Times New Roman" w:eastAsia="Times New Roman" w:hAnsi="Times New Roman"/>
          <w:sz w:val="24"/>
          <w:szCs w:val="24"/>
          <w:lang w:eastAsia="fr-FR"/>
        </w:rPr>
        <w:t>Kayes</w:t>
      </w:r>
      <w:proofErr w:type="spellEnd"/>
      <w:r w:rsidRPr="00BE5E11">
        <w:rPr>
          <w:rFonts w:ascii="Times New Roman" w:eastAsia="Times New Roman" w:hAnsi="Times New Roman"/>
          <w:sz w:val="24"/>
          <w:szCs w:val="24"/>
          <w:lang w:eastAsia="fr-FR"/>
        </w:rPr>
        <w:t xml:space="preserve"> (3.22%).</w:t>
      </w:r>
    </w:p>
    <w:p w14:paraId="40B0378B" w14:textId="465884C4" w:rsidR="005B4163" w:rsidRPr="00BE5E11" w:rsidRDefault="005B4163" w:rsidP="008556F9">
      <w:pPr>
        <w:spacing w:before="240" w:after="240" w:line="240" w:lineRule="auto"/>
        <w:jc w:val="both"/>
        <w:rPr>
          <w:rFonts w:ascii="Times New Roman" w:hAnsi="Times New Roman"/>
          <w:i/>
          <w:iCs/>
          <w:sz w:val="24"/>
          <w:szCs w:val="24"/>
        </w:rPr>
      </w:pPr>
      <w:r w:rsidRPr="00BE5E11">
        <w:rPr>
          <w:rFonts w:ascii="Times New Roman" w:hAnsi="Times New Roman"/>
          <w:b/>
          <w:bCs/>
          <w:sz w:val="24"/>
          <w:szCs w:val="24"/>
        </w:rPr>
        <w:t xml:space="preserve">Table 8: </w:t>
      </w:r>
      <w:r w:rsidRPr="00BE5E11">
        <w:rPr>
          <w:rFonts w:ascii="Times New Roman" w:hAnsi="Times New Roman"/>
          <w:sz w:val="24"/>
          <w:szCs w:val="24"/>
        </w:rPr>
        <w:t xml:space="preserve">Percentage of severe acute malnutrition cases managed by ASCs per year and per </w:t>
      </w:r>
      <w:proofErr w:type="gramStart"/>
      <w:r w:rsidRPr="00BE5E11">
        <w:rPr>
          <w:rFonts w:ascii="Times New Roman" w:hAnsi="Times New Roman"/>
          <w:sz w:val="24"/>
          <w:szCs w:val="24"/>
        </w:rPr>
        <w:t xml:space="preserve">region </w:t>
      </w:r>
      <w:r w:rsidRPr="00BE5E11">
        <w:rPr>
          <w:rFonts w:ascii="Times New Roman" w:hAnsi="Times New Roman"/>
          <w:i/>
          <w:iCs/>
          <w:sz w:val="24"/>
          <w:szCs w:val="24"/>
        </w:rPr>
        <w:t>.</w:t>
      </w:r>
      <w:bookmarkEnd w:id="12"/>
      <w:proofErr w:type="gramEnd"/>
    </w:p>
    <w:tbl>
      <w:tblPr>
        <w:tblW w:w="5000" w:type="pct"/>
        <w:tblBorders>
          <w:top w:val="thinThickSmallGap" w:sz="24" w:space="0" w:color="auto"/>
          <w:bottom w:val="thickThinSmallGap" w:sz="24" w:space="0" w:color="auto"/>
        </w:tblBorders>
        <w:shd w:val="clear" w:color="auto" w:fill="FFFFFF" w:themeFill="background1"/>
        <w:tblCellMar>
          <w:left w:w="70" w:type="dxa"/>
          <w:right w:w="70" w:type="dxa"/>
        </w:tblCellMar>
        <w:tblLook w:val="04A0" w:firstRow="1" w:lastRow="0" w:firstColumn="1" w:lastColumn="0" w:noHBand="0" w:noVBand="1"/>
      </w:tblPr>
      <w:tblGrid>
        <w:gridCol w:w="1403"/>
        <w:gridCol w:w="1464"/>
        <w:gridCol w:w="1587"/>
        <w:gridCol w:w="1587"/>
        <w:gridCol w:w="1587"/>
        <w:gridCol w:w="1587"/>
        <w:gridCol w:w="1583"/>
      </w:tblGrid>
      <w:tr w:rsidR="005B4163" w:rsidRPr="00BE5E11" w14:paraId="114A3493" w14:textId="77777777" w:rsidTr="00C37E6A">
        <w:trPr>
          <w:trHeight w:val="20"/>
        </w:trPr>
        <w:tc>
          <w:tcPr>
            <w:tcW w:w="649" w:type="pct"/>
            <w:tcBorders>
              <w:top w:val="thinThickSmallGap" w:sz="24" w:space="0" w:color="auto"/>
              <w:bottom w:val="thickThinSmallGap" w:sz="24" w:space="0" w:color="auto"/>
            </w:tcBorders>
            <w:shd w:val="clear" w:color="auto" w:fill="FFFFFF" w:themeFill="background1"/>
            <w:vAlign w:val="center"/>
            <w:hideMark/>
          </w:tcPr>
          <w:p w14:paraId="434FAF41" w14:textId="77777777" w:rsidR="005B4163" w:rsidRPr="00BE5E11" w:rsidRDefault="005B4163"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Year</w:t>
            </w:r>
          </w:p>
        </w:tc>
        <w:tc>
          <w:tcPr>
            <w:tcW w:w="678" w:type="pct"/>
            <w:tcBorders>
              <w:top w:val="thinThickSmallGap" w:sz="24" w:space="0" w:color="auto"/>
              <w:bottom w:val="thickThinSmallGap" w:sz="24" w:space="0" w:color="auto"/>
            </w:tcBorders>
            <w:shd w:val="clear" w:color="auto" w:fill="FFFFFF" w:themeFill="background1"/>
            <w:vAlign w:val="center"/>
            <w:hideMark/>
          </w:tcPr>
          <w:p w14:paraId="63032FB2" w14:textId="77777777" w:rsidR="005B4163" w:rsidRPr="00BE5E11" w:rsidRDefault="005B4163" w:rsidP="008556F9">
            <w:pPr>
              <w:spacing w:after="0" w:line="240" w:lineRule="auto"/>
              <w:jc w:val="both"/>
              <w:rPr>
                <w:rFonts w:ascii="Times New Roman" w:hAnsi="Times New Roman"/>
                <w:b/>
                <w:bCs/>
                <w:sz w:val="24"/>
                <w:szCs w:val="24"/>
              </w:rPr>
            </w:pPr>
            <w:proofErr w:type="spellStart"/>
            <w:r w:rsidRPr="00BE5E11">
              <w:rPr>
                <w:rFonts w:ascii="Times New Roman" w:hAnsi="Times New Roman"/>
                <w:b/>
                <w:bCs/>
                <w:sz w:val="24"/>
                <w:szCs w:val="24"/>
              </w:rPr>
              <w:t>Kayes</w:t>
            </w:r>
            <w:proofErr w:type="spellEnd"/>
          </w:p>
        </w:tc>
        <w:tc>
          <w:tcPr>
            <w:tcW w:w="735" w:type="pct"/>
            <w:tcBorders>
              <w:top w:val="thinThickSmallGap" w:sz="24" w:space="0" w:color="auto"/>
              <w:bottom w:val="thickThinSmallGap" w:sz="24" w:space="0" w:color="auto"/>
            </w:tcBorders>
            <w:shd w:val="clear" w:color="auto" w:fill="FFFFFF" w:themeFill="background1"/>
            <w:vAlign w:val="center"/>
            <w:hideMark/>
          </w:tcPr>
          <w:p w14:paraId="0C49ACC3" w14:textId="77777777" w:rsidR="005B4163" w:rsidRPr="00BE5E11" w:rsidRDefault="005B4163" w:rsidP="008556F9">
            <w:pPr>
              <w:spacing w:after="0" w:line="240" w:lineRule="auto"/>
              <w:jc w:val="both"/>
              <w:rPr>
                <w:rFonts w:ascii="Times New Roman" w:hAnsi="Times New Roman"/>
                <w:b/>
                <w:bCs/>
                <w:sz w:val="24"/>
                <w:szCs w:val="24"/>
              </w:rPr>
            </w:pPr>
            <w:proofErr w:type="spellStart"/>
            <w:r w:rsidRPr="00BE5E11">
              <w:rPr>
                <w:rFonts w:ascii="Times New Roman" w:hAnsi="Times New Roman"/>
                <w:b/>
                <w:bCs/>
                <w:sz w:val="24"/>
                <w:szCs w:val="24"/>
              </w:rPr>
              <w:t>Koulikoro</w:t>
            </w:r>
            <w:proofErr w:type="spellEnd"/>
          </w:p>
        </w:tc>
        <w:tc>
          <w:tcPr>
            <w:tcW w:w="735" w:type="pct"/>
            <w:tcBorders>
              <w:top w:val="thinThickSmallGap" w:sz="24" w:space="0" w:color="auto"/>
              <w:bottom w:val="thickThinSmallGap" w:sz="24" w:space="0" w:color="auto"/>
            </w:tcBorders>
            <w:shd w:val="clear" w:color="auto" w:fill="FFFFFF" w:themeFill="background1"/>
            <w:vAlign w:val="center"/>
            <w:hideMark/>
          </w:tcPr>
          <w:p w14:paraId="01757A4D" w14:textId="77777777" w:rsidR="005B4163" w:rsidRPr="00BE5E11" w:rsidRDefault="005B4163" w:rsidP="008556F9">
            <w:pPr>
              <w:spacing w:after="0" w:line="240" w:lineRule="auto"/>
              <w:jc w:val="both"/>
              <w:rPr>
                <w:rFonts w:ascii="Times New Roman" w:hAnsi="Times New Roman"/>
                <w:b/>
                <w:bCs/>
                <w:sz w:val="24"/>
                <w:szCs w:val="24"/>
              </w:rPr>
            </w:pPr>
            <w:proofErr w:type="spellStart"/>
            <w:r w:rsidRPr="00BE5E11">
              <w:rPr>
                <w:rFonts w:ascii="Times New Roman" w:hAnsi="Times New Roman"/>
                <w:b/>
                <w:bCs/>
                <w:sz w:val="24"/>
                <w:szCs w:val="24"/>
              </w:rPr>
              <w:t>Sikasso</w:t>
            </w:r>
            <w:proofErr w:type="spellEnd"/>
          </w:p>
        </w:tc>
        <w:tc>
          <w:tcPr>
            <w:tcW w:w="735" w:type="pct"/>
            <w:tcBorders>
              <w:top w:val="thinThickSmallGap" w:sz="24" w:space="0" w:color="auto"/>
              <w:bottom w:val="thickThinSmallGap" w:sz="24" w:space="0" w:color="auto"/>
            </w:tcBorders>
            <w:shd w:val="clear" w:color="auto" w:fill="FFFFFF" w:themeFill="background1"/>
            <w:vAlign w:val="center"/>
            <w:hideMark/>
          </w:tcPr>
          <w:p w14:paraId="12E19E10" w14:textId="77777777" w:rsidR="005B4163" w:rsidRPr="00BE5E11" w:rsidRDefault="005B4163" w:rsidP="008556F9">
            <w:pPr>
              <w:spacing w:after="0" w:line="240" w:lineRule="auto"/>
              <w:jc w:val="both"/>
              <w:rPr>
                <w:rFonts w:ascii="Times New Roman" w:hAnsi="Times New Roman"/>
                <w:b/>
                <w:bCs/>
                <w:sz w:val="24"/>
                <w:szCs w:val="24"/>
              </w:rPr>
            </w:pPr>
            <w:proofErr w:type="spellStart"/>
            <w:r w:rsidRPr="00BE5E11">
              <w:rPr>
                <w:rFonts w:ascii="Times New Roman" w:hAnsi="Times New Roman"/>
                <w:b/>
                <w:bCs/>
                <w:sz w:val="24"/>
                <w:szCs w:val="24"/>
              </w:rPr>
              <w:t>Ségou</w:t>
            </w:r>
            <w:proofErr w:type="spellEnd"/>
          </w:p>
        </w:tc>
        <w:tc>
          <w:tcPr>
            <w:tcW w:w="735" w:type="pct"/>
            <w:tcBorders>
              <w:top w:val="thinThickSmallGap" w:sz="24" w:space="0" w:color="auto"/>
              <w:bottom w:val="thickThinSmallGap" w:sz="24" w:space="0" w:color="auto"/>
            </w:tcBorders>
            <w:shd w:val="clear" w:color="auto" w:fill="FFFFFF" w:themeFill="background1"/>
            <w:vAlign w:val="center"/>
            <w:hideMark/>
          </w:tcPr>
          <w:p w14:paraId="7479873B" w14:textId="77777777" w:rsidR="005B4163" w:rsidRPr="00BE5E11" w:rsidRDefault="005B4163" w:rsidP="008556F9">
            <w:pPr>
              <w:spacing w:after="0" w:line="240" w:lineRule="auto"/>
              <w:jc w:val="both"/>
              <w:rPr>
                <w:rFonts w:ascii="Times New Roman" w:hAnsi="Times New Roman"/>
                <w:b/>
                <w:bCs/>
                <w:sz w:val="24"/>
                <w:szCs w:val="24"/>
              </w:rPr>
            </w:pPr>
            <w:proofErr w:type="spellStart"/>
            <w:r w:rsidRPr="00BE5E11">
              <w:rPr>
                <w:rFonts w:ascii="Times New Roman" w:hAnsi="Times New Roman"/>
                <w:b/>
                <w:bCs/>
                <w:sz w:val="24"/>
                <w:szCs w:val="24"/>
              </w:rPr>
              <w:t>Mopti</w:t>
            </w:r>
            <w:proofErr w:type="spellEnd"/>
          </w:p>
        </w:tc>
        <w:tc>
          <w:tcPr>
            <w:tcW w:w="735" w:type="pct"/>
            <w:tcBorders>
              <w:top w:val="thinThickSmallGap" w:sz="24" w:space="0" w:color="auto"/>
              <w:bottom w:val="thickThinSmallGap" w:sz="24" w:space="0" w:color="auto"/>
            </w:tcBorders>
            <w:shd w:val="clear" w:color="auto" w:fill="FFFFFF" w:themeFill="background1"/>
            <w:vAlign w:val="center"/>
            <w:hideMark/>
          </w:tcPr>
          <w:p w14:paraId="7545C958" w14:textId="77777777" w:rsidR="005B4163" w:rsidRPr="00BE5E11" w:rsidRDefault="005B4163"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Average</w:t>
            </w:r>
          </w:p>
        </w:tc>
      </w:tr>
      <w:tr w:rsidR="005B4163" w:rsidRPr="00BE5E11" w14:paraId="430D9361" w14:textId="77777777" w:rsidTr="00C37E6A">
        <w:trPr>
          <w:trHeight w:val="20"/>
        </w:trPr>
        <w:tc>
          <w:tcPr>
            <w:tcW w:w="649" w:type="pct"/>
            <w:tcBorders>
              <w:top w:val="thickThinSmallGap" w:sz="24" w:space="0" w:color="auto"/>
            </w:tcBorders>
            <w:shd w:val="clear" w:color="auto" w:fill="FFFFFF" w:themeFill="background1"/>
            <w:vAlign w:val="center"/>
            <w:hideMark/>
          </w:tcPr>
          <w:p w14:paraId="66CFABC4"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2016</w:t>
            </w:r>
          </w:p>
        </w:tc>
        <w:tc>
          <w:tcPr>
            <w:tcW w:w="678" w:type="pct"/>
            <w:tcBorders>
              <w:top w:val="thickThinSmallGap" w:sz="24" w:space="0" w:color="auto"/>
            </w:tcBorders>
            <w:shd w:val="clear" w:color="auto" w:fill="FFFFFF" w:themeFill="background1"/>
            <w:vAlign w:val="center"/>
            <w:hideMark/>
          </w:tcPr>
          <w:p w14:paraId="47FD592A"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1.00</w:t>
            </w:r>
          </w:p>
        </w:tc>
        <w:tc>
          <w:tcPr>
            <w:tcW w:w="735" w:type="pct"/>
            <w:tcBorders>
              <w:top w:val="thickThinSmallGap" w:sz="24" w:space="0" w:color="auto"/>
            </w:tcBorders>
            <w:shd w:val="clear" w:color="auto" w:fill="FFFFFF" w:themeFill="background1"/>
            <w:vAlign w:val="center"/>
            <w:hideMark/>
          </w:tcPr>
          <w:p w14:paraId="5D528DBA"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0.00</w:t>
            </w:r>
          </w:p>
        </w:tc>
        <w:tc>
          <w:tcPr>
            <w:tcW w:w="735" w:type="pct"/>
            <w:tcBorders>
              <w:top w:val="thickThinSmallGap" w:sz="24" w:space="0" w:color="auto"/>
            </w:tcBorders>
            <w:shd w:val="clear" w:color="auto" w:fill="FFFFFF" w:themeFill="background1"/>
            <w:vAlign w:val="center"/>
            <w:hideMark/>
          </w:tcPr>
          <w:p w14:paraId="431400DF"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2.00</w:t>
            </w:r>
          </w:p>
        </w:tc>
        <w:tc>
          <w:tcPr>
            <w:tcW w:w="735" w:type="pct"/>
            <w:tcBorders>
              <w:top w:val="thickThinSmallGap" w:sz="24" w:space="0" w:color="auto"/>
            </w:tcBorders>
            <w:shd w:val="clear" w:color="auto" w:fill="FFFFFF" w:themeFill="background1"/>
            <w:vAlign w:val="center"/>
            <w:hideMark/>
          </w:tcPr>
          <w:p w14:paraId="71723EDB"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1.00</w:t>
            </w:r>
          </w:p>
        </w:tc>
        <w:tc>
          <w:tcPr>
            <w:tcW w:w="735" w:type="pct"/>
            <w:tcBorders>
              <w:top w:val="thickThinSmallGap" w:sz="24" w:space="0" w:color="auto"/>
            </w:tcBorders>
            <w:shd w:val="clear" w:color="auto" w:fill="FFFFFF" w:themeFill="background1"/>
            <w:vAlign w:val="center"/>
            <w:hideMark/>
          </w:tcPr>
          <w:p w14:paraId="46E23B37"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1.00</w:t>
            </w:r>
          </w:p>
        </w:tc>
        <w:tc>
          <w:tcPr>
            <w:tcW w:w="735" w:type="pct"/>
            <w:tcBorders>
              <w:top w:val="thickThinSmallGap" w:sz="24" w:space="0" w:color="auto"/>
            </w:tcBorders>
            <w:shd w:val="clear" w:color="auto" w:fill="FFFFFF" w:themeFill="background1"/>
            <w:vAlign w:val="center"/>
            <w:hideMark/>
          </w:tcPr>
          <w:p w14:paraId="700676EF" w14:textId="77777777" w:rsidR="005B4163" w:rsidRPr="00BE5E11" w:rsidRDefault="005B4163"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1.00</w:t>
            </w:r>
          </w:p>
        </w:tc>
      </w:tr>
      <w:tr w:rsidR="005B4163" w:rsidRPr="00BE5E11" w14:paraId="60C76416" w14:textId="77777777" w:rsidTr="00C37E6A">
        <w:trPr>
          <w:trHeight w:val="20"/>
        </w:trPr>
        <w:tc>
          <w:tcPr>
            <w:tcW w:w="649" w:type="pct"/>
            <w:shd w:val="clear" w:color="auto" w:fill="FFFFFF" w:themeFill="background1"/>
            <w:vAlign w:val="center"/>
            <w:hideMark/>
          </w:tcPr>
          <w:p w14:paraId="7ADBC115"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2017</w:t>
            </w:r>
          </w:p>
        </w:tc>
        <w:tc>
          <w:tcPr>
            <w:tcW w:w="678" w:type="pct"/>
            <w:shd w:val="clear" w:color="auto" w:fill="FFFFFF" w:themeFill="background1"/>
            <w:vAlign w:val="center"/>
            <w:hideMark/>
          </w:tcPr>
          <w:p w14:paraId="5B8B4275"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2.00</w:t>
            </w:r>
          </w:p>
        </w:tc>
        <w:tc>
          <w:tcPr>
            <w:tcW w:w="735" w:type="pct"/>
            <w:shd w:val="clear" w:color="auto" w:fill="FFFFFF" w:themeFill="background1"/>
            <w:vAlign w:val="center"/>
            <w:hideMark/>
          </w:tcPr>
          <w:p w14:paraId="088157DA"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1.00</w:t>
            </w:r>
          </w:p>
        </w:tc>
        <w:tc>
          <w:tcPr>
            <w:tcW w:w="735" w:type="pct"/>
            <w:shd w:val="clear" w:color="auto" w:fill="FFFFFF" w:themeFill="background1"/>
            <w:vAlign w:val="center"/>
            <w:hideMark/>
          </w:tcPr>
          <w:p w14:paraId="6513F566"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4.00</w:t>
            </w:r>
          </w:p>
        </w:tc>
        <w:tc>
          <w:tcPr>
            <w:tcW w:w="735" w:type="pct"/>
            <w:shd w:val="clear" w:color="auto" w:fill="FFFFFF" w:themeFill="background1"/>
            <w:vAlign w:val="center"/>
            <w:hideMark/>
          </w:tcPr>
          <w:p w14:paraId="49BA3487"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8.00</w:t>
            </w:r>
          </w:p>
        </w:tc>
        <w:tc>
          <w:tcPr>
            <w:tcW w:w="735" w:type="pct"/>
            <w:shd w:val="clear" w:color="auto" w:fill="FFFFFF" w:themeFill="background1"/>
            <w:vAlign w:val="center"/>
            <w:hideMark/>
          </w:tcPr>
          <w:p w14:paraId="077DFD28"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7.00</w:t>
            </w:r>
          </w:p>
        </w:tc>
        <w:tc>
          <w:tcPr>
            <w:tcW w:w="735" w:type="pct"/>
            <w:shd w:val="clear" w:color="auto" w:fill="FFFFFF" w:themeFill="background1"/>
            <w:vAlign w:val="center"/>
            <w:hideMark/>
          </w:tcPr>
          <w:p w14:paraId="0765A068" w14:textId="77777777" w:rsidR="005B4163" w:rsidRPr="00BE5E11" w:rsidRDefault="005B4163"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4.00</w:t>
            </w:r>
          </w:p>
        </w:tc>
      </w:tr>
      <w:tr w:rsidR="005B4163" w:rsidRPr="00BE5E11" w14:paraId="17C4574A" w14:textId="77777777" w:rsidTr="00C37E6A">
        <w:trPr>
          <w:trHeight w:val="20"/>
        </w:trPr>
        <w:tc>
          <w:tcPr>
            <w:tcW w:w="649" w:type="pct"/>
            <w:shd w:val="clear" w:color="auto" w:fill="FFFFFF" w:themeFill="background1"/>
            <w:vAlign w:val="center"/>
            <w:hideMark/>
          </w:tcPr>
          <w:p w14:paraId="5C578392"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2018</w:t>
            </w:r>
          </w:p>
        </w:tc>
        <w:tc>
          <w:tcPr>
            <w:tcW w:w="678" w:type="pct"/>
            <w:shd w:val="clear" w:color="auto" w:fill="FFFFFF" w:themeFill="background1"/>
            <w:vAlign w:val="center"/>
            <w:hideMark/>
          </w:tcPr>
          <w:p w14:paraId="245F613E"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6.00</w:t>
            </w:r>
          </w:p>
        </w:tc>
        <w:tc>
          <w:tcPr>
            <w:tcW w:w="735" w:type="pct"/>
            <w:shd w:val="clear" w:color="auto" w:fill="FFFFFF" w:themeFill="background1"/>
            <w:vAlign w:val="center"/>
            <w:hideMark/>
          </w:tcPr>
          <w:p w14:paraId="7A223BE5"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6.00</w:t>
            </w:r>
          </w:p>
        </w:tc>
        <w:tc>
          <w:tcPr>
            <w:tcW w:w="735" w:type="pct"/>
            <w:shd w:val="clear" w:color="auto" w:fill="FFFFFF" w:themeFill="background1"/>
            <w:vAlign w:val="center"/>
            <w:hideMark/>
          </w:tcPr>
          <w:p w14:paraId="0E60BF20"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6.00</w:t>
            </w:r>
          </w:p>
        </w:tc>
        <w:tc>
          <w:tcPr>
            <w:tcW w:w="735" w:type="pct"/>
            <w:shd w:val="clear" w:color="auto" w:fill="FFFFFF" w:themeFill="background1"/>
            <w:vAlign w:val="center"/>
            <w:hideMark/>
          </w:tcPr>
          <w:p w14:paraId="3090D6B7"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9.00</w:t>
            </w:r>
          </w:p>
        </w:tc>
        <w:tc>
          <w:tcPr>
            <w:tcW w:w="735" w:type="pct"/>
            <w:shd w:val="clear" w:color="auto" w:fill="FFFFFF" w:themeFill="background1"/>
            <w:vAlign w:val="center"/>
            <w:hideMark/>
          </w:tcPr>
          <w:p w14:paraId="3F89E4C6"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9.00</w:t>
            </w:r>
          </w:p>
        </w:tc>
        <w:tc>
          <w:tcPr>
            <w:tcW w:w="735" w:type="pct"/>
            <w:shd w:val="clear" w:color="auto" w:fill="FFFFFF" w:themeFill="background1"/>
            <w:vAlign w:val="center"/>
            <w:hideMark/>
          </w:tcPr>
          <w:p w14:paraId="281A65E9" w14:textId="77777777" w:rsidR="005B4163" w:rsidRPr="00BE5E11" w:rsidRDefault="005B4163"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7.00</w:t>
            </w:r>
          </w:p>
        </w:tc>
      </w:tr>
      <w:tr w:rsidR="005B4163" w:rsidRPr="00BE5E11" w14:paraId="25979DE3" w14:textId="77777777" w:rsidTr="00C37E6A">
        <w:trPr>
          <w:trHeight w:val="20"/>
        </w:trPr>
        <w:tc>
          <w:tcPr>
            <w:tcW w:w="649" w:type="pct"/>
            <w:shd w:val="clear" w:color="auto" w:fill="FFFFFF" w:themeFill="background1"/>
            <w:vAlign w:val="center"/>
            <w:hideMark/>
          </w:tcPr>
          <w:p w14:paraId="62557BD6"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2019</w:t>
            </w:r>
          </w:p>
        </w:tc>
        <w:tc>
          <w:tcPr>
            <w:tcW w:w="678" w:type="pct"/>
            <w:shd w:val="clear" w:color="auto" w:fill="FFFFFF" w:themeFill="background1"/>
            <w:vAlign w:val="center"/>
            <w:hideMark/>
          </w:tcPr>
          <w:p w14:paraId="047CA54D"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5.00</w:t>
            </w:r>
          </w:p>
        </w:tc>
        <w:tc>
          <w:tcPr>
            <w:tcW w:w="735" w:type="pct"/>
            <w:shd w:val="clear" w:color="auto" w:fill="FFFFFF" w:themeFill="background1"/>
            <w:vAlign w:val="center"/>
            <w:hideMark/>
          </w:tcPr>
          <w:p w14:paraId="3CDE254F"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9.00</w:t>
            </w:r>
          </w:p>
        </w:tc>
        <w:tc>
          <w:tcPr>
            <w:tcW w:w="735" w:type="pct"/>
            <w:shd w:val="clear" w:color="auto" w:fill="FFFFFF" w:themeFill="background1"/>
            <w:vAlign w:val="center"/>
            <w:hideMark/>
          </w:tcPr>
          <w:p w14:paraId="314A133A"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9.00</w:t>
            </w:r>
          </w:p>
        </w:tc>
        <w:tc>
          <w:tcPr>
            <w:tcW w:w="735" w:type="pct"/>
            <w:shd w:val="clear" w:color="auto" w:fill="FFFFFF" w:themeFill="background1"/>
            <w:vAlign w:val="center"/>
            <w:hideMark/>
          </w:tcPr>
          <w:p w14:paraId="01D07583"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10.00</w:t>
            </w:r>
          </w:p>
        </w:tc>
        <w:tc>
          <w:tcPr>
            <w:tcW w:w="735" w:type="pct"/>
            <w:shd w:val="clear" w:color="auto" w:fill="FFFFFF" w:themeFill="background1"/>
            <w:vAlign w:val="center"/>
            <w:hideMark/>
          </w:tcPr>
          <w:p w14:paraId="3538C31C"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9.00</w:t>
            </w:r>
          </w:p>
        </w:tc>
        <w:tc>
          <w:tcPr>
            <w:tcW w:w="735" w:type="pct"/>
            <w:shd w:val="clear" w:color="auto" w:fill="FFFFFF" w:themeFill="background1"/>
            <w:vAlign w:val="center"/>
            <w:hideMark/>
          </w:tcPr>
          <w:p w14:paraId="5DA1DC91" w14:textId="77777777" w:rsidR="005B4163" w:rsidRPr="00BE5E11" w:rsidRDefault="005B4163"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8.00</w:t>
            </w:r>
          </w:p>
        </w:tc>
      </w:tr>
      <w:tr w:rsidR="005B4163" w:rsidRPr="00BE5E11" w14:paraId="5EE5D830" w14:textId="77777777" w:rsidTr="00C37E6A">
        <w:trPr>
          <w:trHeight w:val="20"/>
        </w:trPr>
        <w:tc>
          <w:tcPr>
            <w:tcW w:w="649" w:type="pct"/>
            <w:shd w:val="clear" w:color="auto" w:fill="FFFFFF" w:themeFill="background1"/>
            <w:vAlign w:val="center"/>
            <w:hideMark/>
          </w:tcPr>
          <w:p w14:paraId="4490E6EE"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2020</w:t>
            </w:r>
          </w:p>
        </w:tc>
        <w:tc>
          <w:tcPr>
            <w:tcW w:w="678" w:type="pct"/>
            <w:shd w:val="clear" w:color="auto" w:fill="FFFFFF" w:themeFill="background1"/>
            <w:vAlign w:val="center"/>
            <w:hideMark/>
          </w:tcPr>
          <w:p w14:paraId="05F80DA9" w14:textId="11E0A782"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5.00</w:t>
            </w:r>
          </w:p>
        </w:tc>
        <w:tc>
          <w:tcPr>
            <w:tcW w:w="735" w:type="pct"/>
            <w:shd w:val="clear" w:color="auto" w:fill="FFFFFF" w:themeFill="background1"/>
            <w:vAlign w:val="center"/>
            <w:hideMark/>
          </w:tcPr>
          <w:p w14:paraId="1830ADAA"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10.00</w:t>
            </w:r>
          </w:p>
        </w:tc>
        <w:tc>
          <w:tcPr>
            <w:tcW w:w="735" w:type="pct"/>
            <w:shd w:val="clear" w:color="auto" w:fill="FFFFFF" w:themeFill="background1"/>
            <w:vAlign w:val="center"/>
            <w:hideMark/>
          </w:tcPr>
          <w:p w14:paraId="1E831F1D"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9.00</w:t>
            </w:r>
          </w:p>
        </w:tc>
        <w:tc>
          <w:tcPr>
            <w:tcW w:w="735" w:type="pct"/>
            <w:shd w:val="clear" w:color="auto" w:fill="FFFFFF" w:themeFill="background1"/>
            <w:vAlign w:val="center"/>
            <w:hideMark/>
          </w:tcPr>
          <w:p w14:paraId="274D5289"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11.00</w:t>
            </w:r>
          </w:p>
        </w:tc>
        <w:tc>
          <w:tcPr>
            <w:tcW w:w="735" w:type="pct"/>
            <w:shd w:val="clear" w:color="auto" w:fill="FFFFFF" w:themeFill="background1"/>
            <w:vAlign w:val="center"/>
            <w:hideMark/>
          </w:tcPr>
          <w:p w14:paraId="5C6411AF"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10.00</w:t>
            </w:r>
          </w:p>
        </w:tc>
        <w:tc>
          <w:tcPr>
            <w:tcW w:w="735" w:type="pct"/>
            <w:shd w:val="clear" w:color="auto" w:fill="FFFFFF" w:themeFill="background1"/>
            <w:vAlign w:val="center"/>
            <w:hideMark/>
          </w:tcPr>
          <w:p w14:paraId="06073E18" w14:textId="77777777" w:rsidR="005B4163" w:rsidRPr="00BE5E11" w:rsidRDefault="005B4163"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9.00</w:t>
            </w:r>
          </w:p>
        </w:tc>
      </w:tr>
      <w:tr w:rsidR="005B4163" w:rsidRPr="00BE5E11" w14:paraId="4457F5B2" w14:textId="77777777" w:rsidTr="00C37E6A">
        <w:trPr>
          <w:trHeight w:val="20"/>
        </w:trPr>
        <w:tc>
          <w:tcPr>
            <w:tcW w:w="649" w:type="pct"/>
            <w:shd w:val="clear" w:color="auto" w:fill="FFFFFF" w:themeFill="background1"/>
            <w:vAlign w:val="center"/>
            <w:hideMark/>
          </w:tcPr>
          <w:p w14:paraId="32A38F7E"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2021</w:t>
            </w:r>
          </w:p>
        </w:tc>
        <w:tc>
          <w:tcPr>
            <w:tcW w:w="678" w:type="pct"/>
            <w:shd w:val="clear" w:color="auto" w:fill="FFFFFF" w:themeFill="background1"/>
            <w:vAlign w:val="center"/>
            <w:hideMark/>
          </w:tcPr>
          <w:p w14:paraId="47C49762"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3.00</w:t>
            </w:r>
          </w:p>
        </w:tc>
        <w:tc>
          <w:tcPr>
            <w:tcW w:w="735" w:type="pct"/>
            <w:shd w:val="clear" w:color="auto" w:fill="FFFFFF" w:themeFill="background1"/>
            <w:vAlign w:val="center"/>
            <w:hideMark/>
          </w:tcPr>
          <w:p w14:paraId="5BF076CC"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9.00</w:t>
            </w:r>
          </w:p>
        </w:tc>
        <w:tc>
          <w:tcPr>
            <w:tcW w:w="735" w:type="pct"/>
            <w:shd w:val="clear" w:color="auto" w:fill="FFFFFF" w:themeFill="background1"/>
            <w:vAlign w:val="center"/>
            <w:hideMark/>
          </w:tcPr>
          <w:p w14:paraId="330A550A"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7.00</w:t>
            </w:r>
          </w:p>
        </w:tc>
        <w:tc>
          <w:tcPr>
            <w:tcW w:w="735" w:type="pct"/>
            <w:shd w:val="clear" w:color="auto" w:fill="FFFFFF" w:themeFill="background1"/>
            <w:vAlign w:val="center"/>
            <w:hideMark/>
          </w:tcPr>
          <w:p w14:paraId="2E6D2DCF"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11.00</w:t>
            </w:r>
          </w:p>
        </w:tc>
        <w:tc>
          <w:tcPr>
            <w:tcW w:w="735" w:type="pct"/>
            <w:shd w:val="clear" w:color="auto" w:fill="FFFFFF" w:themeFill="background1"/>
            <w:vAlign w:val="center"/>
            <w:hideMark/>
          </w:tcPr>
          <w:p w14:paraId="2D833B7D"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12.00</w:t>
            </w:r>
          </w:p>
        </w:tc>
        <w:tc>
          <w:tcPr>
            <w:tcW w:w="735" w:type="pct"/>
            <w:shd w:val="clear" w:color="auto" w:fill="FFFFFF" w:themeFill="background1"/>
            <w:vAlign w:val="center"/>
            <w:hideMark/>
          </w:tcPr>
          <w:p w14:paraId="1E8DE35C" w14:textId="77777777" w:rsidR="005B4163" w:rsidRPr="00BE5E11" w:rsidRDefault="005B4163"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8.00</w:t>
            </w:r>
          </w:p>
        </w:tc>
      </w:tr>
      <w:tr w:rsidR="005B4163" w:rsidRPr="00BE5E11" w14:paraId="784CDB06" w14:textId="77777777" w:rsidTr="00C37E6A">
        <w:trPr>
          <w:trHeight w:val="20"/>
        </w:trPr>
        <w:tc>
          <w:tcPr>
            <w:tcW w:w="649" w:type="pct"/>
            <w:shd w:val="clear" w:color="auto" w:fill="FFFFFF" w:themeFill="background1"/>
            <w:vAlign w:val="center"/>
            <w:hideMark/>
          </w:tcPr>
          <w:p w14:paraId="7D798D1F"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2022</w:t>
            </w:r>
          </w:p>
        </w:tc>
        <w:tc>
          <w:tcPr>
            <w:tcW w:w="678" w:type="pct"/>
            <w:shd w:val="clear" w:color="auto" w:fill="FFFFFF" w:themeFill="background1"/>
            <w:vAlign w:val="center"/>
            <w:hideMark/>
          </w:tcPr>
          <w:p w14:paraId="3B27C7D6"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3.00</w:t>
            </w:r>
          </w:p>
        </w:tc>
        <w:tc>
          <w:tcPr>
            <w:tcW w:w="735" w:type="pct"/>
            <w:shd w:val="clear" w:color="auto" w:fill="FFFFFF" w:themeFill="background1"/>
            <w:vAlign w:val="center"/>
            <w:hideMark/>
          </w:tcPr>
          <w:p w14:paraId="002A340A"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9.00</w:t>
            </w:r>
          </w:p>
        </w:tc>
        <w:tc>
          <w:tcPr>
            <w:tcW w:w="735" w:type="pct"/>
            <w:shd w:val="clear" w:color="auto" w:fill="FFFFFF" w:themeFill="background1"/>
            <w:vAlign w:val="center"/>
            <w:hideMark/>
          </w:tcPr>
          <w:p w14:paraId="6E1B0832"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8.00</w:t>
            </w:r>
          </w:p>
        </w:tc>
        <w:tc>
          <w:tcPr>
            <w:tcW w:w="735" w:type="pct"/>
            <w:shd w:val="clear" w:color="auto" w:fill="FFFFFF" w:themeFill="background1"/>
            <w:vAlign w:val="center"/>
            <w:hideMark/>
          </w:tcPr>
          <w:p w14:paraId="1E165895"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11.00</w:t>
            </w:r>
          </w:p>
        </w:tc>
        <w:tc>
          <w:tcPr>
            <w:tcW w:w="735" w:type="pct"/>
            <w:shd w:val="clear" w:color="auto" w:fill="FFFFFF" w:themeFill="background1"/>
            <w:vAlign w:val="center"/>
            <w:hideMark/>
          </w:tcPr>
          <w:p w14:paraId="5A511C13"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12.00</w:t>
            </w:r>
          </w:p>
        </w:tc>
        <w:tc>
          <w:tcPr>
            <w:tcW w:w="735" w:type="pct"/>
            <w:shd w:val="clear" w:color="auto" w:fill="FFFFFF" w:themeFill="background1"/>
            <w:vAlign w:val="center"/>
            <w:hideMark/>
          </w:tcPr>
          <w:p w14:paraId="74AEFDD5" w14:textId="77777777" w:rsidR="005B4163" w:rsidRPr="00BE5E11" w:rsidRDefault="005B4163"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8.00</w:t>
            </w:r>
          </w:p>
        </w:tc>
      </w:tr>
      <w:tr w:rsidR="005B4163" w:rsidRPr="00BE5E11" w14:paraId="552D1E06" w14:textId="77777777" w:rsidTr="00C37E6A">
        <w:trPr>
          <w:trHeight w:val="20"/>
        </w:trPr>
        <w:tc>
          <w:tcPr>
            <w:tcW w:w="649" w:type="pct"/>
            <w:shd w:val="clear" w:color="auto" w:fill="FFFFFF" w:themeFill="background1"/>
            <w:vAlign w:val="center"/>
            <w:hideMark/>
          </w:tcPr>
          <w:p w14:paraId="377B5EC1"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2023</w:t>
            </w:r>
          </w:p>
        </w:tc>
        <w:tc>
          <w:tcPr>
            <w:tcW w:w="678" w:type="pct"/>
            <w:shd w:val="clear" w:color="auto" w:fill="FFFFFF" w:themeFill="background1"/>
            <w:vAlign w:val="center"/>
            <w:hideMark/>
          </w:tcPr>
          <w:p w14:paraId="12EEE968"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2.00</w:t>
            </w:r>
          </w:p>
        </w:tc>
        <w:tc>
          <w:tcPr>
            <w:tcW w:w="735" w:type="pct"/>
            <w:shd w:val="clear" w:color="auto" w:fill="FFFFFF" w:themeFill="background1"/>
            <w:vAlign w:val="center"/>
            <w:hideMark/>
          </w:tcPr>
          <w:p w14:paraId="727D05B5"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9.00</w:t>
            </w:r>
          </w:p>
        </w:tc>
        <w:tc>
          <w:tcPr>
            <w:tcW w:w="735" w:type="pct"/>
            <w:shd w:val="clear" w:color="auto" w:fill="FFFFFF" w:themeFill="background1"/>
            <w:vAlign w:val="center"/>
            <w:hideMark/>
          </w:tcPr>
          <w:p w14:paraId="4150E32B"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8.00</w:t>
            </w:r>
          </w:p>
        </w:tc>
        <w:tc>
          <w:tcPr>
            <w:tcW w:w="735" w:type="pct"/>
            <w:shd w:val="clear" w:color="auto" w:fill="FFFFFF" w:themeFill="background1"/>
            <w:vAlign w:val="center"/>
            <w:hideMark/>
          </w:tcPr>
          <w:p w14:paraId="5727D08C"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11.00</w:t>
            </w:r>
          </w:p>
        </w:tc>
        <w:tc>
          <w:tcPr>
            <w:tcW w:w="735" w:type="pct"/>
            <w:shd w:val="clear" w:color="auto" w:fill="FFFFFF" w:themeFill="background1"/>
            <w:vAlign w:val="center"/>
            <w:hideMark/>
          </w:tcPr>
          <w:p w14:paraId="2D78623A"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13.00</w:t>
            </w:r>
          </w:p>
        </w:tc>
        <w:tc>
          <w:tcPr>
            <w:tcW w:w="735" w:type="pct"/>
            <w:shd w:val="clear" w:color="auto" w:fill="FFFFFF" w:themeFill="background1"/>
            <w:vAlign w:val="center"/>
            <w:hideMark/>
          </w:tcPr>
          <w:p w14:paraId="7E5D1CF7" w14:textId="77777777" w:rsidR="005B4163" w:rsidRPr="00BE5E11" w:rsidRDefault="005B4163"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8.00</w:t>
            </w:r>
          </w:p>
        </w:tc>
      </w:tr>
      <w:tr w:rsidR="005B4163" w:rsidRPr="00BE5E11" w14:paraId="7C44080C" w14:textId="77777777" w:rsidTr="00C37E6A">
        <w:trPr>
          <w:trHeight w:val="20"/>
        </w:trPr>
        <w:tc>
          <w:tcPr>
            <w:tcW w:w="649" w:type="pct"/>
            <w:shd w:val="clear" w:color="auto" w:fill="FFFFFF" w:themeFill="background1"/>
            <w:vAlign w:val="center"/>
            <w:hideMark/>
          </w:tcPr>
          <w:p w14:paraId="3EE5B468"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2024</w:t>
            </w:r>
          </w:p>
        </w:tc>
        <w:tc>
          <w:tcPr>
            <w:tcW w:w="678" w:type="pct"/>
            <w:shd w:val="clear" w:color="auto" w:fill="FFFFFF" w:themeFill="background1"/>
            <w:vAlign w:val="center"/>
            <w:hideMark/>
          </w:tcPr>
          <w:p w14:paraId="0D46C6A9"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2.00</w:t>
            </w:r>
          </w:p>
        </w:tc>
        <w:tc>
          <w:tcPr>
            <w:tcW w:w="735" w:type="pct"/>
            <w:shd w:val="clear" w:color="auto" w:fill="FFFFFF" w:themeFill="background1"/>
            <w:vAlign w:val="center"/>
            <w:hideMark/>
          </w:tcPr>
          <w:p w14:paraId="6F4002CE"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9.00</w:t>
            </w:r>
          </w:p>
        </w:tc>
        <w:tc>
          <w:tcPr>
            <w:tcW w:w="735" w:type="pct"/>
            <w:shd w:val="clear" w:color="auto" w:fill="FFFFFF" w:themeFill="background1"/>
            <w:vAlign w:val="center"/>
            <w:hideMark/>
          </w:tcPr>
          <w:p w14:paraId="05B888A2"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8.00</w:t>
            </w:r>
          </w:p>
        </w:tc>
        <w:tc>
          <w:tcPr>
            <w:tcW w:w="735" w:type="pct"/>
            <w:shd w:val="clear" w:color="auto" w:fill="FFFFFF" w:themeFill="background1"/>
            <w:vAlign w:val="center"/>
            <w:hideMark/>
          </w:tcPr>
          <w:p w14:paraId="135E62A1"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14.00</w:t>
            </w:r>
          </w:p>
        </w:tc>
        <w:tc>
          <w:tcPr>
            <w:tcW w:w="735" w:type="pct"/>
            <w:shd w:val="clear" w:color="auto" w:fill="FFFFFF" w:themeFill="background1"/>
            <w:vAlign w:val="center"/>
            <w:hideMark/>
          </w:tcPr>
          <w:p w14:paraId="26FA81AC"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14.00</w:t>
            </w:r>
          </w:p>
        </w:tc>
        <w:tc>
          <w:tcPr>
            <w:tcW w:w="735" w:type="pct"/>
            <w:shd w:val="clear" w:color="auto" w:fill="FFFFFF" w:themeFill="background1"/>
            <w:vAlign w:val="center"/>
            <w:hideMark/>
          </w:tcPr>
          <w:p w14:paraId="734D6C63" w14:textId="77777777" w:rsidR="005B4163" w:rsidRPr="00BE5E11" w:rsidRDefault="005B4163"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9.00</w:t>
            </w:r>
          </w:p>
        </w:tc>
      </w:tr>
      <w:tr w:rsidR="005B4163" w:rsidRPr="00BE5E11" w14:paraId="2C3BEADD" w14:textId="77777777" w:rsidTr="00C37E6A">
        <w:trPr>
          <w:trHeight w:val="20"/>
        </w:trPr>
        <w:tc>
          <w:tcPr>
            <w:tcW w:w="649" w:type="pct"/>
            <w:shd w:val="clear" w:color="auto" w:fill="FFFFFF" w:themeFill="background1"/>
            <w:noWrap/>
            <w:vAlign w:val="center"/>
            <w:hideMark/>
          </w:tcPr>
          <w:p w14:paraId="58F5BEC0" w14:textId="77777777" w:rsidR="005B4163" w:rsidRPr="00BE5E11" w:rsidRDefault="005B4163"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Average</w:t>
            </w:r>
          </w:p>
        </w:tc>
        <w:tc>
          <w:tcPr>
            <w:tcW w:w="678" w:type="pct"/>
            <w:shd w:val="clear" w:color="auto" w:fill="FFFFFF" w:themeFill="background1"/>
            <w:noWrap/>
            <w:vAlign w:val="center"/>
            <w:hideMark/>
          </w:tcPr>
          <w:p w14:paraId="66A3B878" w14:textId="77777777" w:rsidR="005B4163" w:rsidRPr="00BE5E11" w:rsidRDefault="005B4163"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3.22</w:t>
            </w:r>
          </w:p>
        </w:tc>
        <w:tc>
          <w:tcPr>
            <w:tcW w:w="735" w:type="pct"/>
            <w:shd w:val="clear" w:color="auto" w:fill="FFFFFF" w:themeFill="background1"/>
            <w:noWrap/>
            <w:vAlign w:val="center"/>
            <w:hideMark/>
          </w:tcPr>
          <w:p w14:paraId="31E8C2F0" w14:textId="77777777" w:rsidR="005B4163" w:rsidRPr="00BE5E11" w:rsidRDefault="005B4163"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6.89</w:t>
            </w:r>
          </w:p>
        </w:tc>
        <w:tc>
          <w:tcPr>
            <w:tcW w:w="735" w:type="pct"/>
            <w:shd w:val="clear" w:color="auto" w:fill="FFFFFF" w:themeFill="background1"/>
            <w:noWrap/>
            <w:vAlign w:val="center"/>
            <w:hideMark/>
          </w:tcPr>
          <w:p w14:paraId="498B47E1" w14:textId="77777777" w:rsidR="005B4163" w:rsidRPr="00BE5E11" w:rsidRDefault="005B4163"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6.78</w:t>
            </w:r>
          </w:p>
        </w:tc>
        <w:tc>
          <w:tcPr>
            <w:tcW w:w="735" w:type="pct"/>
            <w:shd w:val="clear" w:color="auto" w:fill="FFFFFF" w:themeFill="background1"/>
            <w:noWrap/>
            <w:vAlign w:val="center"/>
            <w:hideMark/>
          </w:tcPr>
          <w:p w14:paraId="7F5162A5" w14:textId="77777777" w:rsidR="005B4163" w:rsidRPr="00BE5E11" w:rsidRDefault="005B4163"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9.56</w:t>
            </w:r>
          </w:p>
        </w:tc>
        <w:tc>
          <w:tcPr>
            <w:tcW w:w="735" w:type="pct"/>
            <w:shd w:val="clear" w:color="auto" w:fill="FFFFFF" w:themeFill="background1"/>
            <w:noWrap/>
            <w:vAlign w:val="center"/>
            <w:hideMark/>
          </w:tcPr>
          <w:p w14:paraId="704240F6" w14:textId="77777777" w:rsidR="005B4163" w:rsidRPr="00BE5E11" w:rsidRDefault="005B4163"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9.67</w:t>
            </w:r>
          </w:p>
        </w:tc>
        <w:tc>
          <w:tcPr>
            <w:tcW w:w="735" w:type="pct"/>
            <w:shd w:val="clear" w:color="auto" w:fill="FFFFFF" w:themeFill="background1"/>
            <w:noWrap/>
            <w:vAlign w:val="center"/>
            <w:hideMark/>
          </w:tcPr>
          <w:p w14:paraId="38C3024C" w14:textId="77777777" w:rsidR="005B4163" w:rsidRPr="00BE5E11" w:rsidRDefault="005B4163"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6.89</w:t>
            </w:r>
          </w:p>
        </w:tc>
      </w:tr>
    </w:tbl>
    <w:p w14:paraId="055DBC33" w14:textId="06F2A02E" w:rsidR="004A7D77" w:rsidRPr="00BE5E11" w:rsidRDefault="004A7D77" w:rsidP="008556F9">
      <w:pPr>
        <w:spacing w:before="240" w:after="0" w:line="240" w:lineRule="auto"/>
        <w:jc w:val="both"/>
        <w:rPr>
          <w:rFonts w:ascii="Times New Roman" w:hAnsi="Times New Roman"/>
          <w:b/>
          <w:bCs/>
          <w:sz w:val="24"/>
          <w:szCs w:val="24"/>
        </w:rPr>
      </w:pPr>
      <w:bookmarkStart w:id="13" w:name="_Toc220360941"/>
      <w:r w:rsidRPr="00BE5E11">
        <w:rPr>
          <w:rFonts w:ascii="Times New Roman" w:hAnsi="Times New Roman"/>
          <w:b/>
          <w:bCs/>
          <w:sz w:val="24"/>
          <w:szCs w:val="24"/>
        </w:rPr>
        <w:t>MAS target coverage rate by ASCs</w:t>
      </w:r>
    </w:p>
    <w:p w14:paraId="200C35A6" w14:textId="77777777" w:rsidR="00AE5247" w:rsidRPr="00BE5E11" w:rsidRDefault="00AE5247" w:rsidP="008556F9">
      <w:pPr>
        <w:autoSpaceDN/>
        <w:spacing w:before="100" w:beforeAutospacing="1" w:after="100" w:afterAutospacing="1" w:line="240" w:lineRule="auto"/>
        <w:jc w:val="both"/>
        <w:rPr>
          <w:rFonts w:ascii="Times New Roman" w:eastAsia="Times New Roman" w:hAnsi="Times New Roman"/>
          <w:sz w:val="24"/>
          <w:szCs w:val="24"/>
          <w:lang w:eastAsia="fr-FR"/>
        </w:rPr>
      </w:pPr>
      <w:r w:rsidRPr="00BE5E11">
        <w:rPr>
          <w:rFonts w:ascii="Times New Roman" w:eastAsia="Times New Roman" w:hAnsi="Times New Roman"/>
          <w:sz w:val="24"/>
          <w:szCs w:val="24"/>
          <w:lang w:eastAsia="fr-FR"/>
        </w:rPr>
        <w:t>Regarding coverage performance, the average rate of achievement of target objectives is 27.89%. This pe</w:t>
      </w:r>
      <w:r w:rsidRPr="00BE5E11">
        <w:rPr>
          <w:rFonts w:ascii="Times New Roman" w:eastAsia="Times New Roman" w:hAnsi="Times New Roman"/>
          <w:sz w:val="24"/>
          <w:szCs w:val="24"/>
          <w:lang w:eastAsia="fr-FR"/>
        </w:rPr>
        <w:t>r</w:t>
      </w:r>
      <w:r w:rsidRPr="00BE5E11">
        <w:rPr>
          <w:rFonts w:ascii="Times New Roman" w:eastAsia="Times New Roman" w:hAnsi="Times New Roman"/>
          <w:sz w:val="24"/>
          <w:szCs w:val="24"/>
          <w:lang w:eastAsia="fr-FR"/>
        </w:rPr>
        <w:t xml:space="preserve">formance fluctuated, although it showed notable peaks in 2019 (42.00%) and 2020 (40.00%). At the end of the period, the </w:t>
      </w:r>
      <w:proofErr w:type="spellStart"/>
      <w:r w:rsidRPr="00BE5E11">
        <w:rPr>
          <w:rFonts w:ascii="Times New Roman" w:eastAsia="Times New Roman" w:hAnsi="Times New Roman"/>
          <w:sz w:val="24"/>
          <w:szCs w:val="24"/>
          <w:lang w:eastAsia="fr-FR"/>
        </w:rPr>
        <w:t>Mopti</w:t>
      </w:r>
      <w:proofErr w:type="spellEnd"/>
      <w:r w:rsidRPr="00BE5E11">
        <w:rPr>
          <w:rFonts w:ascii="Times New Roman" w:eastAsia="Times New Roman" w:hAnsi="Times New Roman"/>
          <w:sz w:val="24"/>
          <w:szCs w:val="24"/>
          <w:lang w:eastAsia="fr-FR"/>
        </w:rPr>
        <w:t xml:space="preserve"> region stood out with a coverage rate of 53.00% in 2024, significantly exceeding the overall average.</w:t>
      </w:r>
    </w:p>
    <w:p w14:paraId="742B4297" w14:textId="14954B0A" w:rsidR="005B4163" w:rsidRPr="00BE5E11" w:rsidRDefault="005B4163" w:rsidP="008556F9">
      <w:pPr>
        <w:spacing w:before="240" w:after="240" w:line="240" w:lineRule="auto"/>
        <w:jc w:val="both"/>
        <w:rPr>
          <w:rFonts w:ascii="Times New Roman" w:hAnsi="Times New Roman"/>
          <w:sz w:val="24"/>
          <w:szCs w:val="24"/>
        </w:rPr>
      </w:pPr>
      <w:r w:rsidRPr="00BE5E11">
        <w:rPr>
          <w:rFonts w:ascii="Times New Roman" w:hAnsi="Times New Roman"/>
          <w:b/>
          <w:bCs/>
          <w:sz w:val="24"/>
          <w:szCs w:val="24"/>
        </w:rPr>
        <w:t xml:space="preserve">Table 9: </w:t>
      </w:r>
      <w:r w:rsidRPr="00BE5E11">
        <w:rPr>
          <w:rFonts w:ascii="Times New Roman" w:hAnsi="Times New Roman"/>
          <w:sz w:val="24"/>
          <w:szCs w:val="24"/>
        </w:rPr>
        <w:t>Coverage rate (in percentage) of severe acute malnutrition targets achieved by ASCs per year and per region.</w:t>
      </w:r>
      <w:bookmarkEnd w:id="13"/>
    </w:p>
    <w:tbl>
      <w:tblPr>
        <w:tblW w:w="5000" w:type="pct"/>
        <w:tblBorders>
          <w:top w:val="thinThickSmallGap" w:sz="24" w:space="0" w:color="auto"/>
          <w:bottom w:val="thickThinSmallGap" w:sz="24" w:space="0" w:color="auto"/>
        </w:tblBorders>
        <w:shd w:val="clear" w:color="auto" w:fill="FFFFFF" w:themeFill="background1"/>
        <w:tblCellMar>
          <w:left w:w="70" w:type="dxa"/>
          <w:right w:w="70" w:type="dxa"/>
        </w:tblCellMar>
        <w:tblLook w:val="04A0" w:firstRow="1" w:lastRow="0" w:firstColumn="1" w:lastColumn="0" w:noHBand="0" w:noVBand="1"/>
      </w:tblPr>
      <w:tblGrid>
        <w:gridCol w:w="1455"/>
        <w:gridCol w:w="1453"/>
        <w:gridCol w:w="1579"/>
        <w:gridCol w:w="1579"/>
        <w:gridCol w:w="1579"/>
        <w:gridCol w:w="1579"/>
        <w:gridCol w:w="1574"/>
      </w:tblGrid>
      <w:tr w:rsidR="005B4163" w:rsidRPr="00BE5E11" w14:paraId="69231EF1" w14:textId="77777777" w:rsidTr="00FA500A">
        <w:trPr>
          <w:trHeight w:val="20"/>
        </w:trPr>
        <w:tc>
          <w:tcPr>
            <w:tcW w:w="674" w:type="pct"/>
            <w:tcBorders>
              <w:top w:val="thinThickSmallGap" w:sz="24" w:space="0" w:color="auto"/>
              <w:bottom w:val="thickThinSmallGap" w:sz="24" w:space="0" w:color="auto"/>
            </w:tcBorders>
            <w:shd w:val="clear" w:color="auto" w:fill="FFFFFF" w:themeFill="background1"/>
            <w:vAlign w:val="center"/>
            <w:hideMark/>
          </w:tcPr>
          <w:p w14:paraId="3AA69630" w14:textId="382345D0" w:rsidR="005B4163" w:rsidRPr="00BE5E11" w:rsidRDefault="00DD7599" w:rsidP="008556F9">
            <w:pPr>
              <w:spacing w:after="0" w:line="240" w:lineRule="auto"/>
              <w:jc w:val="both"/>
              <w:rPr>
                <w:rFonts w:ascii="Times New Roman" w:hAnsi="Times New Roman"/>
                <w:sz w:val="24"/>
                <w:szCs w:val="24"/>
              </w:rPr>
            </w:pPr>
            <w:r w:rsidRPr="00BE5E11">
              <w:rPr>
                <w:rFonts w:ascii="Times New Roman" w:hAnsi="Times New Roman"/>
                <w:sz w:val="24"/>
                <w:szCs w:val="24"/>
              </w:rPr>
              <w:t>Year</w:t>
            </w:r>
          </w:p>
        </w:tc>
        <w:tc>
          <w:tcPr>
            <w:tcW w:w="673" w:type="pct"/>
            <w:tcBorders>
              <w:top w:val="thinThickSmallGap" w:sz="24" w:space="0" w:color="auto"/>
              <w:bottom w:val="thickThinSmallGap" w:sz="24" w:space="0" w:color="auto"/>
            </w:tcBorders>
            <w:shd w:val="clear" w:color="auto" w:fill="FFFFFF" w:themeFill="background1"/>
            <w:vAlign w:val="center"/>
            <w:hideMark/>
          </w:tcPr>
          <w:p w14:paraId="23DC88AE" w14:textId="77777777" w:rsidR="005B4163" w:rsidRPr="00BE5E11" w:rsidRDefault="005B4163" w:rsidP="008556F9">
            <w:pPr>
              <w:spacing w:after="0" w:line="240" w:lineRule="auto"/>
              <w:jc w:val="both"/>
              <w:rPr>
                <w:rFonts w:ascii="Times New Roman" w:hAnsi="Times New Roman"/>
                <w:sz w:val="24"/>
                <w:szCs w:val="24"/>
              </w:rPr>
            </w:pPr>
            <w:proofErr w:type="spellStart"/>
            <w:r w:rsidRPr="00BE5E11">
              <w:rPr>
                <w:rFonts w:ascii="Times New Roman" w:hAnsi="Times New Roman"/>
                <w:b/>
                <w:bCs/>
                <w:sz w:val="24"/>
                <w:szCs w:val="24"/>
              </w:rPr>
              <w:t>Kayes</w:t>
            </w:r>
            <w:proofErr w:type="spellEnd"/>
          </w:p>
        </w:tc>
        <w:tc>
          <w:tcPr>
            <w:tcW w:w="731" w:type="pct"/>
            <w:tcBorders>
              <w:top w:val="thinThickSmallGap" w:sz="24" w:space="0" w:color="auto"/>
              <w:bottom w:val="thickThinSmallGap" w:sz="24" w:space="0" w:color="auto"/>
            </w:tcBorders>
            <w:shd w:val="clear" w:color="auto" w:fill="FFFFFF" w:themeFill="background1"/>
            <w:vAlign w:val="center"/>
            <w:hideMark/>
          </w:tcPr>
          <w:p w14:paraId="5E743B7F" w14:textId="77777777" w:rsidR="005B4163" w:rsidRPr="00BE5E11" w:rsidRDefault="005B4163" w:rsidP="008556F9">
            <w:pPr>
              <w:spacing w:after="0" w:line="240" w:lineRule="auto"/>
              <w:jc w:val="both"/>
              <w:rPr>
                <w:rFonts w:ascii="Times New Roman" w:hAnsi="Times New Roman"/>
                <w:sz w:val="24"/>
                <w:szCs w:val="24"/>
              </w:rPr>
            </w:pPr>
            <w:proofErr w:type="spellStart"/>
            <w:r w:rsidRPr="00BE5E11">
              <w:rPr>
                <w:rFonts w:ascii="Times New Roman" w:hAnsi="Times New Roman"/>
                <w:b/>
                <w:bCs/>
                <w:sz w:val="24"/>
                <w:szCs w:val="24"/>
              </w:rPr>
              <w:t>Koulikoro</w:t>
            </w:r>
            <w:proofErr w:type="spellEnd"/>
          </w:p>
        </w:tc>
        <w:tc>
          <w:tcPr>
            <w:tcW w:w="731" w:type="pct"/>
            <w:tcBorders>
              <w:top w:val="thinThickSmallGap" w:sz="24" w:space="0" w:color="auto"/>
              <w:bottom w:val="thickThinSmallGap" w:sz="24" w:space="0" w:color="auto"/>
            </w:tcBorders>
            <w:shd w:val="clear" w:color="auto" w:fill="FFFFFF" w:themeFill="background1"/>
            <w:vAlign w:val="center"/>
            <w:hideMark/>
          </w:tcPr>
          <w:p w14:paraId="2C1B717F" w14:textId="77777777" w:rsidR="005B4163" w:rsidRPr="00BE5E11" w:rsidRDefault="005B4163" w:rsidP="008556F9">
            <w:pPr>
              <w:spacing w:after="0" w:line="240" w:lineRule="auto"/>
              <w:jc w:val="both"/>
              <w:rPr>
                <w:rFonts w:ascii="Times New Roman" w:hAnsi="Times New Roman"/>
                <w:sz w:val="24"/>
                <w:szCs w:val="24"/>
              </w:rPr>
            </w:pPr>
            <w:proofErr w:type="spellStart"/>
            <w:r w:rsidRPr="00BE5E11">
              <w:rPr>
                <w:rFonts w:ascii="Times New Roman" w:hAnsi="Times New Roman"/>
                <w:b/>
                <w:bCs/>
                <w:sz w:val="24"/>
                <w:szCs w:val="24"/>
              </w:rPr>
              <w:t>Sikasso</w:t>
            </w:r>
            <w:proofErr w:type="spellEnd"/>
          </w:p>
        </w:tc>
        <w:tc>
          <w:tcPr>
            <w:tcW w:w="731" w:type="pct"/>
            <w:tcBorders>
              <w:top w:val="thinThickSmallGap" w:sz="24" w:space="0" w:color="auto"/>
              <w:bottom w:val="thickThinSmallGap" w:sz="24" w:space="0" w:color="auto"/>
            </w:tcBorders>
            <w:shd w:val="clear" w:color="auto" w:fill="FFFFFF" w:themeFill="background1"/>
            <w:vAlign w:val="center"/>
            <w:hideMark/>
          </w:tcPr>
          <w:p w14:paraId="33DDE05E" w14:textId="77777777" w:rsidR="005B4163" w:rsidRPr="00BE5E11" w:rsidRDefault="005B4163" w:rsidP="008556F9">
            <w:pPr>
              <w:spacing w:after="0" w:line="240" w:lineRule="auto"/>
              <w:jc w:val="both"/>
              <w:rPr>
                <w:rFonts w:ascii="Times New Roman" w:hAnsi="Times New Roman"/>
                <w:sz w:val="24"/>
                <w:szCs w:val="24"/>
              </w:rPr>
            </w:pPr>
            <w:proofErr w:type="spellStart"/>
            <w:r w:rsidRPr="00BE5E11">
              <w:rPr>
                <w:rFonts w:ascii="Times New Roman" w:hAnsi="Times New Roman"/>
                <w:b/>
                <w:bCs/>
                <w:sz w:val="24"/>
                <w:szCs w:val="24"/>
              </w:rPr>
              <w:t>Ségou</w:t>
            </w:r>
            <w:proofErr w:type="spellEnd"/>
          </w:p>
        </w:tc>
        <w:tc>
          <w:tcPr>
            <w:tcW w:w="731" w:type="pct"/>
            <w:tcBorders>
              <w:top w:val="thinThickSmallGap" w:sz="24" w:space="0" w:color="auto"/>
              <w:bottom w:val="thickThinSmallGap" w:sz="24" w:space="0" w:color="auto"/>
            </w:tcBorders>
            <w:shd w:val="clear" w:color="auto" w:fill="FFFFFF" w:themeFill="background1"/>
            <w:vAlign w:val="center"/>
            <w:hideMark/>
          </w:tcPr>
          <w:p w14:paraId="61F537B5" w14:textId="77777777" w:rsidR="005B4163" w:rsidRPr="00BE5E11" w:rsidRDefault="005B4163" w:rsidP="008556F9">
            <w:pPr>
              <w:spacing w:after="0" w:line="240" w:lineRule="auto"/>
              <w:jc w:val="both"/>
              <w:rPr>
                <w:rFonts w:ascii="Times New Roman" w:hAnsi="Times New Roman"/>
                <w:sz w:val="24"/>
                <w:szCs w:val="24"/>
              </w:rPr>
            </w:pPr>
            <w:proofErr w:type="spellStart"/>
            <w:r w:rsidRPr="00BE5E11">
              <w:rPr>
                <w:rFonts w:ascii="Times New Roman" w:hAnsi="Times New Roman"/>
                <w:b/>
                <w:bCs/>
                <w:sz w:val="24"/>
                <w:szCs w:val="24"/>
              </w:rPr>
              <w:t>Mopti</w:t>
            </w:r>
            <w:proofErr w:type="spellEnd"/>
          </w:p>
        </w:tc>
        <w:tc>
          <w:tcPr>
            <w:tcW w:w="730" w:type="pct"/>
            <w:tcBorders>
              <w:top w:val="thinThickSmallGap" w:sz="24" w:space="0" w:color="auto"/>
              <w:bottom w:val="thickThinSmallGap" w:sz="24" w:space="0" w:color="auto"/>
            </w:tcBorders>
            <w:shd w:val="clear" w:color="auto" w:fill="FFFFFF" w:themeFill="background1"/>
            <w:vAlign w:val="center"/>
            <w:hideMark/>
          </w:tcPr>
          <w:p w14:paraId="1767187D" w14:textId="77777777" w:rsidR="005B4163" w:rsidRPr="00BE5E11" w:rsidRDefault="005B4163"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Average</w:t>
            </w:r>
          </w:p>
        </w:tc>
      </w:tr>
      <w:tr w:rsidR="005B4163" w:rsidRPr="00BE5E11" w14:paraId="21699A9E" w14:textId="77777777" w:rsidTr="00FA500A">
        <w:trPr>
          <w:trHeight w:val="20"/>
        </w:trPr>
        <w:tc>
          <w:tcPr>
            <w:tcW w:w="674" w:type="pct"/>
            <w:tcBorders>
              <w:top w:val="thickThinSmallGap" w:sz="24" w:space="0" w:color="auto"/>
            </w:tcBorders>
            <w:shd w:val="clear" w:color="auto" w:fill="FFFFFF" w:themeFill="background1"/>
            <w:vAlign w:val="center"/>
            <w:hideMark/>
          </w:tcPr>
          <w:p w14:paraId="0366F1D9"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2016</w:t>
            </w:r>
          </w:p>
        </w:tc>
        <w:tc>
          <w:tcPr>
            <w:tcW w:w="673" w:type="pct"/>
            <w:tcBorders>
              <w:top w:val="thickThinSmallGap" w:sz="24" w:space="0" w:color="auto"/>
            </w:tcBorders>
            <w:shd w:val="clear" w:color="auto" w:fill="FFFFFF" w:themeFill="background1"/>
            <w:vAlign w:val="center"/>
            <w:hideMark/>
          </w:tcPr>
          <w:p w14:paraId="1F58D3B2"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2.00</w:t>
            </w:r>
          </w:p>
        </w:tc>
        <w:tc>
          <w:tcPr>
            <w:tcW w:w="731" w:type="pct"/>
            <w:tcBorders>
              <w:top w:val="thickThinSmallGap" w:sz="24" w:space="0" w:color="auto"/>
            </w:tcBorders>
            <w:shd w:val="clear" w:color="auto" w:fill="FFFFFF" w:themeFill="background1"/>
            <w:vAlign w:val="center"/>
            <w:hideMark/>
          </w:tcPr>
          <w:p w14:paraId="2DBE208B"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0.00</w:t>
            </w:r>
          </w:p>
        </w:tc>
        <w:tc>
          <w:tcPr>
            <w:tcW w:w="731" w:type="pct"/>
            <w:tcBorders>
              <w:top w:val="thickThinSmallGap" w:sz="24" w:space="0" w:color="auto"/>
            </w:tcBorders>
            <w:shd w:val="clear" w:color="auto" w:fill="FFFFFF" w:themeFill="background1"/>
            <w:vAlign w:val="center"/>
            <w:hideMark/>
          </w:tcPr>
          <w:p w14:paraId="71F335E8"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9.00</w:t>
            </w:r>
          </w:p>
        </w:tc>
        <w:tc>
          <w:tcPr>
            <w:tcW w:w="731" w:type="pct"/>
            <w:tcBorders>
              <w:top w:val="thickThinSmallGap" w:sz="24" w:space="0" w:color="auto"/>
            </w:tcBorders>
            <w:shd w:val="clear" w:color="auto" w:fill="FFFFFF" w:themeFill="background1"/>
            <w:vAlign w:val="center"/>
            <w:hideMark/>
          </w:tcPr>
          <w:p w14:paraId="1A67F514"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2.00</w:t>
            </w:r>
          </w:p>
        </w:tc>
        <w:tc>
          <w:tcPr>
            <w:tcW w:w="731" w:type="pct"/>
            <w:tcBorders>
              <w:top w:val="thickThinSmallGap" w:sz="24" w:space="0" w:color="auto"/>
            </w:tcBorders>
            <w:shd w:val="clear" w:color="auto" w:fill="FFFFFF" w:themeFill="background1"/>
            <w:vAlign w:val="center"/>
            <w:hideMark/>
          </w:tcPr>
          <w:p w14:paraId="2131B40B"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3.00</w:t>
            </w:r>
          </w:p>
        </w:tc>
        <w:tc>
          <w:tcPr>
            <w:tcW w:w="730" w:type="pct"/>
            <w:tcBorders>
              <w:top w:val="thickThinSmallGap" w:sz="24" w:space="0" w:color="auto"/>
            </w:tcBorders>
            <w:shd w:val="clear" w:color="auto" w:fill="FFFFFF" w:themeFill="background1"/>
            <w:vAlign w:val="center"/>
            <w:hideMark/>
          </w:tcPr>
          <w:p w14:paraId="0AD4D12E" w14:textId="77777777" w:rsidR="005B4163" w:rsidRPr="00BE5E11" w:rsidRDefault="005B4163"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3.00</w:t>
            </w:r>
          </w:p>
        </w:tc>
      </w:tr>
      <w:tr w:rsidR="005B4163" w:rsidRPr="00BE5E11" w14:paraId="21BA545E" w14:textId="77777777" w:rsidTr="00FA500A">
        <w:trPr>
          <w:trHeight w:val="20"/>
        </w:trPr>
        <w:tc>
          <w:tcPr>
            <w:tcW w:w="674" w:type="pct"/>
            <w:shd w:val="clear" w:color="auto" w:fill="FFFFFF" w:themeFill="background1"/>
            <w:vAlign w:val="center"/>
            <w:hideMark/>
          </w:tcPr>
          <w:p w14:paraId="6B5D6F1F"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2017</w:t>
            </w:r>
          </w:p>
        </w:tc>
        <w:tc>
          <w:tcPr>
            <w:tcW w:w="673" w:type="pct"/>
            <w:shd w:val="clear" w:color="auto" w:fill="FFFFFF" w:themeFill="background1"/>
            <w:vAlign w:val="center"/>
            <w:hideMark/>
          </w:tcPr>
          <w:p w14:paraId="7A7CDC4A"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11.00</w:t>
            </w:r>
          </w:p>
        </w:tc>
        <w:tc>
          <w:tcPr>
            <w:tcW w:w="731" w:type="pct"/>
            <w:shd w:val="clear" w:color="auto" w:fill="FFFFFF" w:themeFill="background1"/>
            <w:vAlign w:val="center"/>
            <w:hideMark/>
          </w:tcPr>
          <w:p w14:paraId="231BEF9B"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5.00</w:t>
            </w:r>
          </w:p>
        </w:tc>
        <w:tc>
          <w:tcPr>
            <w:tcW w:w="731" w:type="pct"/>
            <w:shd w:val="clear" w:color="auto" w:fill="FFFFFF" w:themeFill="background1"/>
            <w:vAlign w:val="center"/>
            <w:hideMark/>
          </w:tcPr>
          <w:p w14:paraId="01C3D65E"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23.00</w:t>
            </w:r>
          </w:p>
        </w:tc>
        <w:tc>
          <w:tcPr>
            <w:tcW w:w="731" w:type="pct"/>
            <w:shd w:val="clear" w:color="auto" w:fill="FFFFFF" w:themeFill="background1"/>
            <w:vAlign w:val="center"/>
            <w:hideMark/>
          </w:tcPr>
          <w:p w14:paraId="51038B72"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39.00</w:t>
            </w:r>
          </w:p>
        </w:tc>
        <w:tc>
          <w:tcPr>
            <w:tcW w:w="731" w:type="pct"/>
            <w:shd w:val="clear" w:color="auto" w:fill="FFFFFF" w:themeFill="background1"/>
            <w:vAlign w:val="center"/>
            <w:hideMark/>
          </w:tcPr>
          <w:p w14:paraId="10097035"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25.00</w:t>
            </w:r>
          </w:p>
        </w:tc>
        <w:tc>
          <w:tcPr>
            <w:tcW w:w="730" w:type="pct"/>
            <w:shd w:val="clear" w:color="auto" w:fill="FFFFFF" w:themeFill="background1"/>
            <w:vAlign w:val="center"/>
            <w:hideMark/>
          </w:tcPr>
          <w:p w14:paraId="552258ED" w14:textId="77777777" w:rsidR="005B4163" w:rsidRPr="00BE5E11" w:rsidRDefault="005B4163"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21.00</w:t>
            </w:r>
          </w:p>
        </w:tc>
      </w:tr>
      <w:tr w:rsidR="005B4163" w:rsidRPr="00BE5E11" w14:paraId="4D8E769B" w14:textId="77777777" w:rsidTr="00FA500A">
        <w:trPr>
          <w:trHeight w:val="20"/>
        </w:trPr>
        <w:tc>
          <w:tcPr>
            <w:tcW w:w="674" w:type="pct"/>
            <w:shd w:val="clear" w:color="auto" w:fill="FFFFFF" w:themeFill="background1"/>
            <w:vAlign w:val="center"/>
            <w:hideMark/>
          </w:tcPr>
          <w:p w14:paraId="04434C94"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2018</w:t>
            </w:r>
          </w:p>
        </w:tc>
        <w:tc>
          <w:tcPr>
            <w:tcW w:w="673" w:type="pct"/>
            <w:shd w:val="clear" w:color="auto" w:fill="FFFFFF" w:themeFill="background1"/>
            <w:vAlign w:val="center"/>
            <w:hideMark/>
          </w:tcPr>
          <w:p w14:paraId="24DD869C"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23.00</w:t>
            </w:r>
          </w:p>
        </w:tc>
        <w:tc>
          <w:tcPr>
            <w:tcW w:w="731" w:type="pct"/>
            <w:shd w:val="clear" w:color="auto" w:fill="FFFFFF" w:themeFill="background1"/>
            <w:vAlign w:val="center"/>
            <w:hideMark/>
          </w:tcPr>
          <w:p w14:paraId="6181D507"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26.00</w:t>
            </w:r>
          </w:p>
        </w:tc>
        <w:tc>
          <w:tcPr>
            <w:tcW w:w="731" w:type="pct"/>
            <w:shd w:val="clear" w:color="auto" w:fill="FFFFFF" w:themeFill="background1"/>
            <w:vAlign w:val="center"/>
            <w:hideMark/>
          </w:tcPr>
          <w:p w14:paraId="4CD65CE3"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31.00</w:t>
            </w:r>
          </w:p>
        </w:tc>
        <w:tc>
          <w:tcPr>
            <w:tcW w:w="731" w:type="pct"/>
            <w:shd w:val="clear" w:color="auto" w:fill="FFFFFF" w:themeFill="background1"/>
            <w:vAlign w:val="center"/>
            <w:hideMark/>
          </w:tcPr>
          <w:p w14:paraId="56B64728"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30.00</w:t>
            </w:r>
          </w:p>
        </w:tc>
        <w:tc>
          <w:tcPr>
            <w:tcW w:w="731" w:type="pct"/>
            <w:shd w:val="clear" w:color="auto" w:fill="FFFFFF" w:themeFill="background1"/>
            <w:vAlign w:val="center"/>
            <w:hideMark/>
          </w:tcPr>
          <w:p w14:paraId="29D4A971"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31.00</w:t>
            </w:r>
          </w:p>
        </w:tc>
        <w:tc>
          <w:tcPr>
            <w:tcW w:w="730" w:type="pct"/>
            <w:shd w:val="clear" w:color="auto" w:fill="FFFFFF" w:themeFill="background1"/>
            <w:vAlign w:val="center"/>
            <w:hideMark/>
          </w:tcPr>
          <w:p w14:paraId="5E751AB5" w14:textId="77777777" w:rsidR="005B4163" w:rsidRPr="00BE5E11" w:rsidRDefault="005B4163"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28.00</w:t>
            </w:r>
          </w:p>
        </w:tc>
      </w:tr>
      <w:tr w:rsidR="005B4163" w:rsidRPr="00BE5E11" w14:paraId="33357AAB" w14:textId="77777777" w:rsidTr="00FA500A">
        <w:trPr>
          <w:trHeight w:val="20"/>
        </w:trPr>
        <w:tc>
          <w:tcPr>
            <w:tcW w:w="674" w:type="pct"/>
            <w:shd w:val="clear" w:color="auto" w:fill="FFFFFF" w:themeFill="background1"/>
            <w:vAlign w:val="center"/>
            <w:hideMark/>
          </w:tcPr>
          <w:p w14:paraId="6D6904E1"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2019</w:t>
            </w:r>
          </w:p>
        </w:tc>
        <w:tc>
          <w:tcPr>
            <w:tcW w:w="673" w:type="pct"/>
            <w:shd w:val="clear" w:color="auto" w:fill="FFFFFF" w:themeFill="background1"/>
            <w:vAlign w:val="center"/>
            <w:hideMark/>
          </w:tcPr>
          <w:p w14:paraId="70ED0D24"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29.00</w:t>
            </w:r>
          </w:p>
        </w:tc>
        <w:tc>
          <w:tcPr>
            <w:tcW w:w="731" w:type="pct"/>
            <w:shd w:val="clear" w:color="auto" w:fill="FFFFFF" w:themeFill="background1"/>
            <w:vAlign w:val="center"/>
            <w:hideMark/>
          </w:tcPr>
          <w:p w14:paraId="511E2360"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46.00</w:t>
            </w:r>
          </w:p>
        </w:tc>
        <w:tc>
          <w:tcPr>
            <w:tcW w:w="731" w:type="pct"/>
            <w:shd w:val="clear" w:color="auto" w:fill="FFFFFF" w:themeFill="background1"/>
            <w:vAlign w:val="center"/>
            <w:hideMark/>
          </w:tcPr>
          <w:p w14:paraId="0C3FF91D"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54.00</w:t>
            </w:r>
          </w:p>
        </w:tc>
        <w:tc>
          <w:tcPr>
            <w:tcW w:w="731" w:type="pct"/>
            <w:shd w:val="clear" w:color="auto" w:fill="FFFFFF" w:themeFill="background1"/>
            <w:vAlign w:val="center"/>
            <w:hideMark/>
          </w:tcPr>
          <w:p w14:paraId="0D447BD8"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37.00</w:t>
            </w:r>
          </w:p>
        </w:tc>
        <w:tc>
          <w:tcPr>
            <w:tcW w:w="731" w:type="pct"/>
            <w:shd w:val="clear" w:color="auto" w:fill="FFFFFF" w:themeFill="background1"/>
            <w:vAlign w:val="center"/>
            <w:hideMark/>
          </w:tcPr>
          <w:p w14:paraId="174FCAB0"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38.00</w:t>
            </w:r>
          </w:p>
        </w:tc>
        <w:tc>
          <w:tcPr>
            <w:tcW w:w="730" w:type="pct"/>
            <w:shd w:val="clear" w:color="auto" w:fill="FFFFFF" w:themeFill="background1"/>
            <w:vAlign w:val="center"/>
            <w:hideMark/>
          </w:tcPr>
          <w:p w14:paraId="6B1F84C5" w14:textId="77777777" w:rsidR="005B4163" w:rsidRPr="00BE5E11" w:rsidRDefault="005B4163"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42.00</w:t>
            </w:r>
          </w:p>
        </w:tc>
      </w:tr>
      <w:tr w:rsidR="005B4163" w:rsidRPr="00BE5E11" w14:paraId="615203E4" w14:textId="77777777" w:rsidTr="00FA500A">
        <w:trPr>
          <w:trHeight w:val="20"/>
        </w:trPr>
        <w:tc>
          <w:tcPr>
            <w:tcW w:w="674" w:type="pct"/>
            <w:shd w:val="clear" w:color="auto" w:fill="FFFFFF" w:themeFill="background1"/>
            <w:vAlign w:val="center"/>
            <w:hideMark/>
          </w:tcPr>
          <w:p w14:paraId="25AFCAC3"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2020</w:t>
            </w:r>
          </w:p>
        </w:tc>
        <w:tc>
          <w:tcPr>
            <w:tcW w:w="673" w:type="pct"/>
            <w:shd w:val="clear" w:color="auto" w:fill="FFFFFF" w:themeFill="background1"/>
            <w:vAlign w:val="center"/>
            <w:hideMark/>
          </w:tcPr>
          <w:p w14:paraId="6402701B"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26.00</w:t>
            </w:r>
          </w:p>
        </w:tc>
        <w:tc>
          <w:tcPr>
            <w:tcW w:w="731" w:type="pct"/>
            <w:shd w:val="clear" w:color="auto" w:fill="FFFFFF" w:themeFill="background1"/>
            <w:vAlign w:val="center"/>
            <w:hideMark/>
          </w:tcPr>
          <w:p w14:paraId="4C93B0C5"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48.00</w:t>
            </w:r>
          </w:p>
        </w:tc>
        <w:tc>
          <w:tcPr>
            <w:tcW w:w="731" w:type="pct"/>
            <w:shd w:val="clear" w:color="auto" w:fill="FFFFFF" w:themeFill="background1"/>
            <w:vAlign w:val="center"/>
            <w:hideMark/>
          </w:tcPr>
          <w:p w14:paraId="58F16429"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44.00</w:t>
            </w:r>
          </w:p>
        </w:tc>
        <w:tc>
          <w:tcPr>
            <w:tcW w:w="731" w:type="pct"/>
            <w:shd w:val="clear" w:color="auto" w:fill="FFFFFF" w:themeFill="background1"/>
            <w:vAlign w:val="center"/>
            <w:hideMark/>
          </w:tcPr>
          <w:p w14:paraId="3F9C56A1"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39.00</w:t>
            </w:r>
          </w:p>
        </w:tc>
        <w:tc>
          <w:tcPr>
            <w:tcW w:w="731" w:type="pct"/>
            <w:shd w:val="clear" w:color="auto" w:fill="FFFFFF" w:themeFill="background1"/>
            <w:vAlign w:val="center"/>
            <w:hideMark/>
          </w:tcPr>
          <w:p w14:paraId="6BB4413E"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42.00</w:t>
            </w:r>
          </w:p>
        </w:tc>
        <w:tc>
          <w:tcPr>
            <w:tcW w:w="730" w:type="pct"/>
            <w:shd w:val="clear" w:color="auto" w:fill="FFFFFF" w:themeFill="background1"/>
            <w:vAlign w:val="center"/>
            <w:hideMark/>
          </w:tcPr>
          <w:p w14:paraId="7D37D0CB" w14:textId="77777777" w:rsidR="005B4163" w:rsidRPr="00BE5E11" w:rsidRDefault="005B4163"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40.00</w:t>
            </w:r>
          </w:p>
        </w:tc>
      </w:tr>
      <w:tr w:rsidR="005B4163" w:rsidRPr="00BE5E11" w14:paraId="353113BE" w14:textId="77777777" w:rsidTr="00FA500A">
        <w:trPr>
          <w:trHeight w:val="20"/>
        </w:trPr>
        <w:tc>
          <w:tcPr>
            <w:tcW w:w="674" w:type="pct"/>
            <w:shd w:val="clear" w:color="auto" w:fill="FFFFFF" w:themeFill="background1"/>
            <w:vAlign w:val="center"/>
            <w:hideMark/>
          </w:tcPr>
          <w:p w14:paraId="226C1D51"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2021</w:t>
            </w:r>
          </w:p>
        </w:tc>
        <w:tc>
          <w:tcPr>
            <w:tcW w:w="673" w:type="pct"/>
            <w:shd w:val="clear" w:color="auto" w:fill="FFFFFF" w:themeFill="background1"/>
            <w:vAlign w:val="center"/>
            <w:hideMark/>
          </w:tcPr>
          <w:p w14:paraId="28AD7DF3"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10.00</w:t>
            </w:r>
          </w:p>
        </w:tc>
        <w:tc>
          <w:tcPr>
            <w:tcW w:w="731" w:type="pct"/>
            <w:shd w:val="clear" w:color="auto" w:fill="FFFFFF" w:themeFill="background1"/>
            <w:vAlign w:val="center"/>
            <w:hideMark/>
          </w:tcPr>
          <w:p w14:paraId="22C59EBB"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24.00</w:t>
            </w:r>
          </w:p>
        </w:tc>
        <w:tc>
          <w:tcPr>
            <w:tcW w:w="731" w:type="pct"/>
            <w:shd w:val="clear" w:color="auto" w:fill="FFFFFF" w:themeFill="background1"/>
            <w:vAlign w:val="center"/>
            <w:hideMark/>
          </w:tcPr>
          <w:p w14:paraId="12674267"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21.00</w:t>
            </w:r>
          </w:p>
        </w:tc>
        <w:tc>
          <w:tcPr>
            <w:tcW w:w="731" w:type="pct"/>
            <w:shd w:val="clear" w:color="auto" w:fill="FFFFFF" w:themeFill="background1"/>
            <w:vAlign w:val="center"/>
            <w:hideMark/>
          </w:tcPr>
          <w:p w14:paraId="1E6B346C"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24.00</w:t>
            </w:r>
          </w:p>
        </w:tc>
        <w:tc>
          <w:tcPr>
            <w:tcW w:w="731" w:type="pct"/>
            <w:shd w:val="clear" w:color="auto" w:fill="FFFFFF" w:themeFill="background1"/>
            <w:vAlign w:val="center"/>
            <w:hideMark/>
          </w:tcPr>
          <w:p w14:paraId="11C6E642"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27.00</w:t>
            </w:r>
          </w:p>
        </w:tc>
        <w:tc>
          <w:tcPr>
            <w:tcW w:w="730" w:type="pct"/>
            <w:shd w:val="clear" w:color="auto" w:fill="FFFFFF" w:themeFill="background1"/>
            <w:vAlign w:val="center"/>
            <w:hideMark/>
          </w:tcPr>
          <w:p w14:paraId="167C2F58" w14:textId="77777777" w:rsidR="005B4163" w:rsidRPr="00BE5E11" w:rsidRDefault="005B4163"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21.00</w:t>
            </w:r>
          </w:p>
        </w:tc>
      </w:tr>
      <w:tr w:rsidR="005B4163" w:rsidRPr="00BE5E11" w14:paraId="634AED12" w14:textId="77777777" w:rsidTr="00FA500A">
        <w:trPr>
          <w:trHeight w:val="20"/>
        </w:trPr>
        <w:tc>
          <w:tcPr>
            <w:tcW w:w="674" w:type="pct"/>
            <w:shd w:val="clear" w:color="auto" w:fill="FFFFFF" w:themeFill="background1"/>
            <w:vAlign w:val="center"/>
            <w:hideMark/>
          </w:tcPr>
          <w:p w14:paraId="36CF3285"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2022</w:t>
            </w:r>
          </w:p>
        </w:tc>
        <w:tc>
          <w:tcPr>
            <w:tcW w:w="673" w:type="pct"/>
            <w:shd w:val="clear" w:color="auto" w:fill="FFFFFF" w:themeFill="background1"/>
            <w:vAlign w:val="center"/>
            <w:hideMark/>
          </w:tcPr>
          <w:p w14:paraId="45D1F1A2"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14.00</w:t>
            </w:r>
          </w:p>
        </w:tc>
        <w:tc>
          <w:tcPr>
            <w:tcW w:w="731" w:type="pct"/>
            <w:shd w:val="clear" w:color="auto" w:fill="FFFFFF" w:themeFill="background1"/>
            <w:vAlign w:val="center"/>
            <w:hideMark/>
          </w:tcPr>
          <w:p w14:paraId="222F9B1C"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33.00</w:t>
            </w:r>
          </w:p>
        </w:tc>
        <w:tc>
          <w:tcPr>
            <w:tcW w:w="731" w:type="pct"/>
            <w:shd w:val="clear" w:color="auto" w:fill="FFFFFF" w:themeFill="background1"/>
            <w:vAlign w:val="center"/>
            <w:hideMark/>
          </w:tcPr>
          <w:p w14:paraId="175E510C"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30.00</w:t>
            </w:r>
          </w:p>
        </w:tc>
        <w:tc>
          <w:tcPr>
            <w:tcW w:w="731" w:type="pct"/>
            <w:shd w:val="clear" w:color="auto" w:fill="FFFFFF" w:themeFill="background1"/>
            <w:vAlign w:val="center"/>
            <w:hideMark/>
          </w:tcPr>
          <w:p w14:paraId="185804F7"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33.00</w:t>
            </w:r>
          </w:p>
        </w:tc>
        <w:tc>
          <w:tcPr>
            <w:tcW w:w="731" w:type="pct"/>
            <w:shd w:val="clear" w:color="auto" w:fill="FFFFFF" w:themeFill="background1"/>
            <w:vAlign w:val="center"/>
            <w:hideMark/>
          </w:tcPr>
          <w:p w14:paraId="03C335C6"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37.00</w:t>
            </w:r>
          </w:p>
        </w:tc>
        <w:tc>
          <w:tcPr>
            <w:tcW w:w="730" w:type="pct"/>
            <w:shd w:val="clear" w:color="auto" w:fill="FFFFFF" w:themeFill="background1"/>
            <w:vAlign w:val="center"/>
            <w:hideMark/>
          </w:tcPr>
          <w:p w14:paraId="72F2AFB0" w14:textId="77777777" w:rsidR="005B4163" w:rsidRPr="00BE5E11" w:rsidRDefault="005B4163"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30.00</w:t>
            </w:r>
          </w:p>
        </w:tc>
      </w:tr>
      <w:tr w:rsidR="005B4163" w:rsidRPr="00BE5E11" w14:paraId="6192B249" w14:textId="77777777" w:rsidTr="00FA500A">
        <w:trPr>
          <w:trHeight w:val="20"/>
        </w:trPr>
        <w:tc>
          <w:tcPr>
            <w:tcW w:w="674" w:type="pct"/>
            <w:shd w:val="clear" w:color="auto" w:fill="FFFFFF" w:themeFill="background1"/>
            <w:vAlign w:val="center"/>
            <w:hideMark/>
          </w:tcPr>
          <w:p w14:paraId="4C75A860"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2023</w:t>
            </w:r>
          </w:p>
        </w:tc>
        <w:tc>
          <w:tcPr>
            <w:tcW w:w="673" w:type="pct"/>
            <w:shd w:val="clear" w:color="auto" w:fill="FFFFFF" w:themeFill="background1"/>
            <w:vAlign w:val="center"/>
            <w:hideMark/>
          </w:tcPr>
          <w:p w14:paraId="58C946BC"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11.00</w:t>
            </w:r>
          </w:p>
        </w:tc>
        <w:tc>
          <w:tcPr>
            <w:tcW w:w="731" w:type="pct"/>
            <w:shd w:val="clear" w:color="auto" w:fill="FFFFFF" w:themeFill="background1"/>
            <w:vAlign w:val="center"/>
            <w:hideMark/>
          </w:tcPr>
          <w:p w14:paraId="3CAB8EA9"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32.00</w:t>
            </w:r>
          </w:p>
        </w:tc>
        <w:tc>
          <w:tcPr>
            <w:tcW w:w="731" w:type="pct"/>
            <w:shd w:val="clear" w:color="auto" w:fill="FFFFFF" w:themeFill="background1"/>
            <w:vAlign w:val="center"/>
            <w:hideMark/>
          </w:tcPr>
          <w:p w14:paraId="1C8CC69C"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31.00</w:t>
            </w:r>
          </w:p>
        </w:tc>
        <w:tc>
          <w:tcPr>
            <w:tcW w:w="731" w:type="pct"/>
            <w:shd w:val="clear" w:color="auto" w:fill="FFFFFF" w:themeFill="background1"/>
            <w:vAlign w:val="center"/>
            <w:hideMark/>
          </w:tcPr>
          <w:p w14:paraId="5FAC00A6"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34.00</w:t>
            </w:r>
          </w:p>
        </w:tc>
        <w:tc>
          <w:tcPr>
            <w:tcW w:w="731" w:type="pct"/>
            <w:shd w:val="clear" w:color="auto" w:fill="FFFFFF" w:themeFill="background1"/>
            <w:vAlign w:val="center"/>
            <w:hideMark/>
          </w:tcPr>
          <w:p w14:paraId="64A1C010"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47.00</w:t>
            </w:r>
          </w:p>
        </w:tc>
        <w:tc>
          <w:tcPr>
            <w:tcW w:w="730" w:type="pct"/>
            <w:shd w:val="clear" w:color="auto" w:fill="FFFFFF" w:themeFill="background1"/>
            <w:vAlign w:val="center"/>
            <w:hideMark/>
          </w:tcPr>
          <w:p w14:paraId="2C5204E6" w14:textId="77777777" w:rsidR="005B4163" w:rsidRPr="00BE5E11" w:rsidRDefault="005B4163"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31.00</w:t>
            </w:r>
          </w:p>
        </w:tc>
      </w:tr>
      <w:tr w:rsidR="005B4163" w:rsidRPr="00BE5E11" w14:paraId="387A3A80" w14:textId="77777777" w:rsidTr="00FA500A">
        <w:trPr>
          <w:trHeight w:val="20"/>
        </w:trPr>
        <w:tc>
          <w:tcPr>
            <w:tcW w:w="674" w:type="pct"/>
            <w:shd w:val="clear" w:color="auto" w:fill="FFFFFF" w:themeFill="background1"/>
            <w:vAlign w:val="center"/>
            <w:hideMark/>
          </w:tcPr>
          <w:p w14:paraId="53CE8657"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lastRenderedPageBreak/>
              <w:t>2024</w:t>
            </w:r>
          </w:p>
        </w:tc>
        <w:tc>
          <w:tcPr>
            <w:tcW w:w="673" w:type="pct"/>
            <w:shd w:val="clear" w:color="auto" w:fill="FFFFFF" w:themeFill="background1"/>
            <w:vAlign w:val="center"/>
            <w:hideMark/>
          </w:tcPr>
          <w:p w14:paraId="3504A00E"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11.00</w:t>
            </w:r>
          </w:p>
        </w:tc>
        <w:tc>
          <w:tcPr>
            <w:tcW w:w="731" w:type="pct"/>
            <w:shd w:val="clear" w:color="auto" w:fill="FFFFFF" w:themeFill="background1"/>
            <w:vAlign w:val="center"/>
            <w:hideMark/>
          </w:tcPr>
          <w:p w14:paraId="0D7D1ADF"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35.00</w:t>
            </w:r>
          </w:p>
        </w:tc>
        <w:tc>
          <w:tcPr>
            <w:tcW w:w="731" w:type="pct"/>
            <w:shd w:val="clear" w:color="auto" w:fill="FFFFFF" w:themeFill="background1"/>
            <w:vAlign w:val="center"/>
            <w:hideMark/>
          </w:tcPr>
          <w:p w14:paraId="137C9210"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29.00</w:t>
            </w:r>
          </w:p>
        </w:tc>
        <w:tc>
          <w:tcPr>
            <w:tcW w:w="731" w:type="pct"/>
            <w:shd w:val="clear" w:color="auto" w:fill="FFFFFF" w:themeFill="background1"/>
            <w:vAlign w:val="center"/>
            <w:hideMark/>
          </w:tcPr>
          <w:p w14:paraId="2CFC3A5E"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44.00</w:t>
            </w:r>
          </w:p>
        </w:tc>
        <w:tc>
          <w:tcPr>
            <w:tcW w:w="731" w:type="pct"/>
            <w:shd w:val="clear" w:color="auto" w:fill="FFFFFF" w:themeFill="background1"/>
            <w:vAlign w:val="center"/>
            <w:hideMark/>
          </w:tcPr>
          <w:p w14:paraId="6357F7B8" w14:textId="77777777" w:rsidR="005B4163" w:rsidRPr="00BE5E11" w:rsidRDefault="005B4163" w:rsidP="008556F9">
            <w:pPr>
              <w:spacing w:after="0" w:line="240" w:lineRule="auto"/>
              <w:jc w:val="both"/>
              <w:rPr>
                <w:rFonts w:ascii="Times New Roman" w:hAnsi="Times New Roman"/>
                <w:sz w:val="24"/>
                <w:szCs w:val="24"/>
              </w:rPr>
            </w:pPr>
            <w:r w:rsidRPr="00BE5E11">
              <w:rPr>
                <w:rFonts w:ascii="Times New Roman" w:hAnsi="Times New Roman"/>
                <w:sz w:val="24"/>
                <w:szCs w:val="24"/>
              </w:rPr>
              <w:t>53.00</w:t>
            </w:r>
          </w:p>
        </w:tc>
        <w:tc>
          <w:tcPr>
            <w:tcW w:w="730" w:type="pct"/>
            <w:shd w:val="clear" w:color="auto" w:fill="FFFFFF" w:themeFill="background1"/>
            <w:vAlign w:val="center"/>
            <w:hideMark/>
          </w:tcPr>
          <w:p w14:paraId="40C74A4D" w14:textId="77777777" w:rsidR="005B4163" w:rsidRPr="00BE5E11" w:rsidRDefault="005B4163"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35.00</w:t>
            </w:r>
          </w:p>
        </w:tc>
      </w:tr>
      <w:tr w:rsidR="005B4163" w:rsidRPr="00BE5E11" w14:paraId="345CAC61" w14:textId="77777777" w:rsidTr="00FA500A">
        <w:trPr>
          <w:trHeight w:val="20"/>
        </w:trPr>
        <w:tc>
          <w:tcPr>
            <w:tcW w:w="674" w:type="pct"/>
            <w:shd w:val="clear" w:color="auto" w:fill="FFFFFF" w:themeFill="background1"/>
            <w:noWrap/>
            <w:vAlign w:val="center"/>
            <w:hideMark/>
          </w:tcPr>
          <w:p w14:paraId="442301C3" w14:textId="77777777" w:rsidR="005B4163" w:rsidRPr="00BE5E11" w:rsidRDefault="005B4163"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Average</w:t>
            </w:r>
          </w:p>
        </w:tc>
        <w:tc>
          <w:tcPr>
            <w:tcW w:w="673" w:type="pct"/>
            <w:shd w:val="clear" w:color="auto" w:fill="FFFFFF" w:themeFill="background1"/>
            <w:noWrap/>
            <w:vAlign w:val="center"/>
            <w:hideMark/>
          </w:tcPr>
          <w:p w14:paraId="0E0777B3" w14:textId="77777777" w:rsidR="005B4163" w:rsidRPr="00BE5E11" w:rsidRDefault="005B4163"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15.22</w:t>
            </w:r>
          </w:p>
        </w:tc>
        <w:tc>
          <w:tcPr>
            <w:tcW w:w="731" w:type="pct"/>
            <w:shd w:val="clear" w:color="auto" w:fill="FFFFFF" w:themeFill="background1"/>
            <w:noWrap/>
            <w:vAlign w:val="center"/>
            <w:hideMark/>
          </w:tcPr>
          <w:p w14:paraId="4F87CA0B" w14:textId="77777777" w:rsidR="005B4163" w:rsidRPr="00BE5E11" w:rsidRDefault="005B4163"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27.67</w:t>
            </w:r>
          </w:p>
        </w:tc>
        <w:tc>
          <w:tcPr>
            <w:tcW w:w="731" w:type="pct"/>
            <w:shd w:val="clear" w:color="auto" w:fill="FFFFFF" w:themeFill="background1"/>
            <w:noWrap/>
            <w:vAlign w:val="center"/>
            <w:hideMark/>
          </w:tcPr>
          <w:p w14:paraId="275EF4CB" w14:textId="77777777" w:rsidR="005B4163" w:rsidRPr="00BE5E11" w:rsidRDefault="005B4163"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30.22</w:t>
            </w:r>
          </w:p>
        </w:tc>
        <w:tc>
          <w:tcPr>
            <w:tcW w:w="731" w:type="pct"/>
            <w:shd w:val="clear" w:color="auto" w:fill="FFFFFF" w:themeFill="background1"/>
            <w:noWrap/>
            <w:vAlign w:val="center"/>
            <w:hideMark/>
          </w:tcPr>
          <w:p w14:paraId="00E1DFB3" w14:textId="77777777" w:rsidR="005B4163" w:rsidRPr="00BE5E11" w:rsidRDefault="005B4163"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31.33</w:t>
            </w:r>
          </w:p>
        </w:tc>
        <w:tc>
          <w:tcPr>
            <w:tcW w:w="731" w:type="pct"/>
            <w:shd w:val="clear" w:color="auto" w:fill="FFFFFF" w:themeFill="background1"/>
            <w:noWrap/>
            <w:vAlign w:val="center"/>
            <w:hideMark/>
          </w:tcPr>
          <w:p w14:paraId="744F823B" w14:textId="77777777" w:rsidR="005B4163" w:rsidRPr="00BE5E11" w:rsidRDefault="005B4163"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33.67</w:t>
            </w:r>
          </w:p>
        </w:tc>
        <w:tc>
          <w:tcPr>
            <w:tcW w:w="730" w:type="pct"/>
            <w:shd w:val="clear" w:color="auto" w:fill="FFFFFF" w:themeFill="background1"/>
            <w:noWrap/>
            <w:vAlign w:val="center"/>
            <w:hideMark/>
          </w:tcPr>
          <w:p w14:paraId="29441815" w14:textId="77777777" w:rsidR="005B4163" w:rsidRPr="00BE5E11" w:rsidRDefault="005B4163" w:rsidP="008556F9">
            <w:pPr>
              <w:spacing w:after="0" w:line="240" w:lineRule="auto"/>
              <w:jc w:val="both"/>
              <w:rPr>
                <w:rFonts w:ascii="Times New Roman" w:hAnsi="Times New Roman"/>
                <w:b/>
                <w:bCs/>
                <w:sz w:val="24"/>
                <w:szCs w:val="24"/>
              </w:rPr>
            </w:pPr>
            <w:r w:rsidRPr="00BE5E11">
              <w:rPr>
                <w:rFonts w:ascii="Times New Roman" w:hAnsi="Times New Roman"/>
                <w:b/>
                <w:bCs/>
                <w:sz w:val="24"/>
                <w:szCs w:val="24"/>
              </w:rPr>
              <w:t>27.89</w:t>
            </w:r>
          </w:p>
        </w:tc>
      </w:tr>
    </w:tbl>
    <w:bookmarkEnd w:id="9"/>
    <w:p w14:paraId="38154DBF" w14:textId="77777777" w:rsidR="00891255" w:rsidRPr="00BE5E11" w:rsidRDefault="00891255" w:rsidP="008556F9">
      <w:pPr>
        <w:pStyle w:val="NormalWeb"/>
        <w:jc w:val="both"/>
      </w:pPr>
      <w:r w:rsidRPr="00BE5E11">
        <w:rPr>
          <w:b/>
          <w:bCs/>
        </w:rPr>
        <w:t xml:space="preserve">Conclusion: </w:t>
      </w:r>
      <w:r w:rsidRPr="00BE5E11">
        <w:t>The Essential Community Care strategy in Mali has proven its ability to manage simple cases of malnutrition, treating over half a million cases in ten years. While the skills and social commitment of co</w:t>
      </w:r>
      <w:r w:rsidRPr="00BE5E11">
        <w:t>m</w:t>
      </w:r>
      <w:r w:rsidRPr="00BE5E11">
        <w:t>munity health workers (CHWs) have been achieved, the low overall coverage rate (14% for moderate acute malnutrition and 28% for severe acute malnutrition) underscores the urgent need to address the critical mobil</w:t>
      </w:r>
      <w:r w:rsidRPr="00BE5E11">
        <w:t>i</w:t>
      </w:r>
      <w:r w:rsidRPr="00BE5E11">
        <w:t>ty deficit (4.6%) and supply disruptions. Sustaining these gains depends on increased professionalization and logistical support for the community network.</w:t>
      </w:r>
    </w:p>
    <w:p w14:paraId="58B5EA4D" w14:textId="1FAAA714" w:rsidR="00DB1342" w:rsidRPr="00321920" w:rsidRDefault="00FE35D5" w:rsidP="008556F9">
      <w:pPr>
        <w:spacing w:before="240" w:after="240" w:line="240" w:lineRule="auto"/>
        <w:jc w:val="both"/>
        <w:rPr>
          <w:rFonts w:ascii="Times New Roman" w:eastAsia="Times New Roman" w:hAnsi="Times New Roman"/>
          <w:b/>
          <w:bCs/>
          <w:caps/>
          <w:sz w:val="28"/>
          <w:szCs w:val="24"/>
          <w:lang w:eastAsia="fr-FR"/>
        </w:rPr>
      </w:pPr>
      <w:r w:rsidRPr="00321920">
        <w:rPr>
          <w:rFonts w:ascii="Times New Roman" w:eastAsia="Times New Roman" w:hAnsi="Times New Roman"/>
          <w:b/>
          <w:bCs/>
          <w:caps/>
          <w:sz w:val="28"/>
          <w:szCs w:val="24"/>
          <w:lang w:eastAsia="fr-FR"/>
        </w:rPr>
        <w:t>Discussion</w:t>
      </w:r>
      <w:bookmarkStart w:id="14" w:name="_Toc212021240"/>
    </w:p>
    <w:p w14:paraId="015FF88C" w14:textId="02DE021B" w:rsidR="002E55F0" w:rsidRPr="00BE5E11" w:rsidRDefault="002E55F0" w:rsidP="008556F9">
      <w:pPr>
        <w:spacing w:before="240" w:after="240" w:line="240" w:lineRule="auto"/>
        <w:jc w:val="both"/>
        <w:rPr>
          <w:rFonts w:ascii="Times New Roman" w:hAnsi="Times New Roman"/>
          <w:b/>
          <w:bCs/>
          <w:sz w:val="24"/>
          <w:szCs w:val="24"/>
        </w:rPr>
      </w:pPr>
      <w:r w:rsidRPr="00BE5E11">
        <w:rPr>
          <w:rFonts w:ascii="Times New Roman" w:hAnsi="Times New Roman"/>
          <w:b/>
          <w:bCs/>
          <w:sz w:val="24"/>
          <w:szCs w:val="24"/>
        </w:rPr>
        <w:t>Boundaries</w:t>
      </w:r>
    </w:p>
    <w:p w14:paraId="6306469C" w14:textId="23DF0003" w:rsidR="004B43B3" w:rsidRPr="00BE5E11" w:rsidRDefault="004B43B3" w:rsidP="008556F9">
      <w:pPr>
        <w:autoSpaceDN/>
        <w:spacing w:before="240" w:after="240" w:line="240" w:lineRule="auto"/>
        <w:jc w:val="both"/>
        <w:rPr>
          <w:rFonts w:ascii="Times New Roman" w:eastAsia="Times New Roman" w:hAnsi="Times New Roman"/>
          <w:sz w:val="24"/>
          <w:szCs w:val="24"/>
          <w:lang w:eastAsia="fr-FR"/>
        </w:rPr>
      </w:pPr>
      <w:r w:rsidRPr="00BE5E11">
        <w:rPr>
          <w:rFonts w:ascii="Times New Roman" w:eastAsia="Times New Roman" w:hAnsi="Times New Roman"/>
          <w:sz w:val="24"/>
          <w:szCs w:val="24"/>
          <w:lang w:eastAsia="fr-FR"/>
        </w:rPr>
        <w:t>The main limitation of this study lies in the incompleteness of the routine DHIS2 data. The systematic integr</w:t>
      </w:r>
      <w:r w:rsidRPr="00BE5E11">
        <w:rPr>
          <w:rFonts w:ascii="Times New Roman" w:eastAsia="Times New Roman" w:hAnsi="Times New Roman"/>
          <w:sz w:val="24"/>
          <w:szCs w:val="24"/>
          <w:lang w:eastAsia="fr-FR"/>
        </w:rPr>
        <w:t>a</w:t>
      </w:r>
      <w:r w:rsidRPr="00BE5E11">
        <w:rPr>
          <w:rFonts w:ascii="Times New Roman" w:eastAsia="Times New Roman" w:hAnsi="Times New Roman"/>
          <w:sz w:val="24"/>
          <w:szCs w:val="24"/>
          <w:lang w:eastAsia="fr-FR"/>
        </w:rPr>
        <w:t>tion of community health workers' activities into the digital platform began gradually before reaching all r</w:t>
      </w:r>
      <w:r w:rsidRPr="00BE5E11">
        <w:rPr>
          <w:rFonts w:ascii="Times New Roman" w:eastAsia="Times New Roman" w:hAnsi="Times New Roman"/>
          <w:sz w:val="24"/>
          <w:szCs w:val="24"/>
          <w:lang w:eastAsia="fr-FR"/>
        </w:rPr>
        <w:t>e</w:t>
      </w:r>
      <w:r w:rsidRPr="00BE5E11">
        <w:rPr>
          <w:rFonts w:ascii="Times New Roman" w:eastAsia="Times New Roman" w:hAnsi="Times New Roman"/>
          <w:sz w:val="24"/>
          <w:szCs w:val="24"/>
          <w:lang w:eastAsia="fr-FR"/>
        </w:rPr>
        <w:t>gions later. This is compounded by the disparity, irregularity, and incompleteness in the completion of mont</w:t>
      </w:r>
      <w:r w:rsidRPr="00BE5E11">
        <w:rPr>
          <w:rFonts w:ascii="Times New Roman" w:eastAsia="Times New Roman" w:hAnsi="Times New Roman"/>
          <w:sz w:val="24"/>
          <w:szCs w:val="24"/>
          <w:lang w:eastAsia="fr-FR"/>
        </w:rPr>
        <w:t>h</w:t>
      </w:r>
      <w:r w:rsidRPr="00BE5E11">
        <w:rPr>
          <w:rFonts w:ascii="Times New Roman" w:eastAsia="Times New Roman" w:hAnsi="Times New Roman"/>
          <w:sz w:val="24"/>
          <w:szCs w:val="24"/>
          <w:lang w:eastAsia="fr-FR"/>
        </w:rPr>
        <w:t>ly reports by field agents.</w:t>
      </w:r>
    </w:p>
    <w:bookmarkEnd w:id="14"/>
    <w:p w14:paraId="67F5A546" w14:textId="77777777" w:rsidR="00A01B89" w:rsidRPr="00BE5E11" w:rsidRDefault="00A01B89" w:rsidP="008556F9">
      <w:pPr>
        <w:pStyle w:val="NormalWeb"/>
        <w:jc w:val="both"/>
      </w:pPr>
      <w:proofErr w:type="spellStart"/>
      <w:r w:rsidRPr="00BE5E11">
        <w:rPr>
          <w:b/>
          <w:bCs/>
        </w:rPr>
        <w:t>Sociodemographic</w:t>
      </w:r>
      <w:proofErr w:type="spellEnd"/>
      <w:r w:rsidRPr="00BE5E11">
        <w:rPr>
          <w:b/>
          <w:bCs/>
        </w:rPr>
        <w:t xml:space="preserve"> profile and community integration of ASCs</w:t>
      </w:r>
      <w:r w:rsidRPr="00BE5E11">
        <w:t xml:space="preserve"> </w:t>
      </w:r>
    </w:p>
    <w:p w14:paraId="6D65FF1B" w14:textId="24BC542A" w:rsidR="00CF2CED" w:rsidRPr="00BE5E11" w:rsidRDefault="00CF2CED" w:rsidP="008556F9">
      <w:pPr>
        <w:pStyle w:val="NormalWeb"/>
        <w:jc w:val="both"/>
      </w:pPr>
      <w:r w:rsidRPr="00BE5E11">
        <w:t>The female predominance among community health workers (68.24%) observed in our study aligns with cu</w:t>
      </w:r>
      <w:r w:rsidRPr="00BE5E11">
        <w:t>r</w:t>
      </w:r>
      <w:r w:rsidRPr="00BE5E11">
        <w:t xml:space="preserve">rent trends documented by </w:t>
      </w:r>
      <w:proofErr w:type="spellStart"/>
      <w:r w:rsidRPr="00BE5E11">
        <w:t>Glenton</w:t>
      </w:r>
      <w:proofErr w:type="spellEnd"/>
      <w:r w:rsidRPr="00BE5E11">
        <w:t xml:space="preserve"> et al. (2021), highlighting that the feminization of community care e</w:t>
      </w:r>
      <w:r w:rsidRPr="00BE5E11">
        <w:t>n</w:t>
      </w:r>
      <w:r w:rsidRPr="00BE5E11">
        <w:t xml:space="preserve">hances social acceptability, particularly for maternal and nutritional health </w:t>
      </w:r>
      <w:r w:rsidR="001C080F" w:rsidRPr="00BE5E11">
        <w:fldChar w:fldCharType="begin"/>
      </w:r>
      <w:r w:rsidR="001C080F" w:rsidRPr="00BE5E11">
        <w:instrText xml:space="preserve"> ADDIN ZOTERO_ITEM CSL_CITATION {"citationID":"VbO10aGq","properties":{"formattedCitation":"(19)","plainCitation":"(19)","noteIndex":0},"citationItems":[{"id":1118,"uris":["http://zotero.org/users/14913392/items/BNXZ2UIW"],"itemData":{"id":1118,"type":"article-journal","abstract":"BACKGROUND: This is the fifth of our 11-paper supplement on \"Community Health Workers at the Dawn of a New Era.\" When planning new community health worker (CHW) roles or expanding existing roles, programme planners need to analyse global and local research evidence and evidence-based guidance on the effectiveness and safety of relevant tasks performed by CHWs.\nMETHODS: In this paper, we explore key areas of consideration when selecting roles and tasks; present current knowledge regarding these issues; and suggest how decision-makers could consider these issues when assigning tasks in their setting. This paper draws on the chapter \"Community Health Worker Roles and Tasks\" in Developing and Strengthening Community Health Worker Programs at Scale: A Reference Guide and Case Studies for Program Managers and Policymakers, as well as on a recently published compendium of 29 case studies of national CHW programmes and on recently published literature pertaining to roles and tasks of CHWs.\nRESULTS: This paper provides a list of questions that aim to help programme planners think about important issues when determining CHW roles and tasks in their setting. Planners need to assess whether the recommended roles and tasks are considered acceptable and appropriate by their target population and by the CHWs themselves and those who support them. Planners also need to think about the practical and organizational implications of each task for their particular setting with regard to training requirements, health systems support, work location, workload, and programme costs.\nCONCLUSION: When planning CHW roles and tasks, planners, programme implementers, and policy-makers should draw from global guidance and research evidence, but they also need to engage with the experiences, needs, and concerns of local communities and health workers. By drawing from both sources of information, they will stand a better chance of developing programmes that are effective in achieving their goals while remaining acceptable to those affected by them, feasible to implement, and sustainable over time.","container-title":"Health Research Policy and Systems","DOI":"10.1186/s12961-021-00748-4","ISSN":"1478-4505","issue":"Suppl 3","journalAbbreviation":"Health Res Policy Syst","language":"eng","page":"128","PMID":"34641903","PMCID":"PMC8506082","source":"PubMed","title":"Community health workers at the dawn of a new era: 5. Roles and tasks","title-short":"Community health workers at the dawn of a new era","volume":"19","author":[{"family":"Glenton","given":"Claire"},{"family":"Javadi","given":"Dena"},{"family":"Perry","given":"Henry B."}],"issued":{"date-parts":[["2021",10,12]]}}}],"schema":"https://github.com/citation-style-language/schema/raw/master/csl-citation.json"} </w:instrText>
      </w:r>
      <w:r w:rsidR="001C080F" w:rsidRPr="00BE5E11">
        <w:fldChar w:fldCharType="separate"/>
      </w:r>
      <w:r w:rsidR="001C080F" w:rsidRPr="00BE5E11">
        <w:t xml:space="preserve">(19) </w:t>
      </w:r>
      <w:r w:rsidR="001C080F" w:rsidRPr="00BE5E11">
        <w:fldChar w:fldCharType="end"/>
      </w:r>
      <w:r w:rsidRPr="00BE5E11">
        <w:t>. This high proportion of women, often former midwives, reflects a deliberate strategy of capitalizing on local knowledge, a factor ide</w:t>
      </w:r>
      <w:r w:rsidRPr="00BE5E11">
        <w:t>n</w:t>
      </w:r>
      <w:r w:rsidRPr="00BE5E11">
        <w:t xml:space="preserve">tified by </w:t>
      </w:r>
      <w:proofErr w:type="spellStart"/>
      <w:r w:rsidRPr="00BE5E11">
        <w:t>LeBan</w:t>
      </w:r>
      <w:proofErr w:type="spellEnd"/>
      <w:r w:rsidRPr="00BE5E11">
        <w:t xml:space="preserve"> et al. (2021) as essential for the worker's credibility with mothers </w:t>
      </w:r>
      <w:r w:rsidR="001C080F" w:rsidRPr="00BE5E11">
        <w:fldChar w:fldCharType="begin"/>
      </w:r>
      <w:r w:rsidR="001C080F" w:rsidRPr="00BE5E11">
        <w:instrText xml:space="preserve"> ADDIN ZOTERO_ITEM CSL_CITATION {"citationID":"hnF7V0nS","properties":{"formattedCitation":"(20)","plainCitation":"(20)","noteIndex":0},"citationItems":[{"id":1106,"uris":["http://zotero.org/users/14913392/items/CFNZ4ZXU"],"itemData":{"id":1106,"type":"article-journal","abstract":"This is the ninth paper in our series, “Community Health Workers at the Dawn of a New Era”. Community health workers (CHWs) are in an intermediary position between the health system and the community. While this position provides CHWs with a good platform to improve community health, a major challenge in large-scale CHW programmes is the need for CHWs to establish and maintain beneficial relationships with both sets of actors, who may have different expectations and needs. This paper focuses on the quality of CHW relationships with actors at the local level of the national health system and with communities.","container-title":"Health Research Policy and Systems","DOI":"10.1186/s12961-021-00756-4","ISSN":"1478-4505","issue":"3","journalAbbreviation":"Health Res Policy Sys","language":"en","page":"116","source":"Springer Link","title":"Community health workers at the dawn of a new era: 9. CHWs’ relationships with the health system and communities","title-short":"Community health workers at the dawn of a new era","URL":"https://doi.org/10.1186/s12961-021-00756-4","volume":"19","author":[{"family":"LeBan","given":"Karen"},{"family":"Kok","given":"Maryse"},{"family":"Perry","given":"Henry B."}],"accessed":{"date-parts":[["2026",3,19]]},"issued":{"date-parts":[["2021",10,12]]}}}],"schema":"https://github.com/citation-style-language/schema/raw/master/csl-citation.json"} </w:instrText>
      </w:r>
      <w:r w:rsidR="001C080F" w:rsidRPr="00BE5E11">
        <w:fldChar w:fldCharType="separate"/>
      </w:r>
      <w:r w:rsidR="001C080F" w:rsidRPr="00BE5E11">
        <w:t xml:space="preserve">(20) </w:t>
      </w:r>
      <w:r w:rsidR="001C080F" w:rsidRPr="00BE5E11">
        <w:fldChar w:fldCharType="end"/>
      </w:r>
      <w:r w:rsidRPr="00BE5E11">
        <w:t>.</w:t>
      </w:r>
    </w:p>
    <w:p w14:paraId="43893DF7" w14:textId="77777777" w:rsidR="005A4766" w:rsidRPr="00BE5E11" w:rsidRDefault="005A4766" w:rsidP="008556F9">
      <w:pPr>
        <w:spacing w:before="240" w:after="240" w:line="240" w:lineRule="auto"/>
        <w:jc w:val="both"/>
        <w:rPr>
          <w:rFonts w:ascii="Times New Roman" w:hAnsi="Times New Roman"/>
          <w:sz w:val="24"/>
          <w:szCs w:val="24"/>
        </w:rPr>
      </w:pPr>
      <w:r w:rsidRPr="00BE5E11">
        <w:rPr>
          <w:rFonts w:ascii="Times New Roman" w:hAnsi="Times New Roman"/>
          <w:sz w:val="24"/>
          <w:szCs w:val="24"/>
        </w:rPr>
        <w:t>This female predominance (68.24%) and the age maturity (57.85% between 28 and 38 years old) are co</w:t>
      </w:r>
      <w:r w:rsidRPr="00BE5E11">
        <w:rPr>
          <w:rFonts w:ascii="Times New Roman" w:hAnsi="Times New Roman"/>
          <w:sz w:val="24"/>
          <w:szCs w:val="24"/>
        </w:rPr>
        <w:t>n</w:t>
      </w:r>
      <w:r w:rsidRPr="00BE5E11">
        <w:rPr>
          <w:rFonts w:ascii="Times New Roman" w:hAnsi="Times New Roman"/>
          <w:sz w:val="24"/>
          <w:szCs w:val="24"/>
        </w:rPr>
        <w:t>sistent with WHO recommendations (13) and data from the literature highlighting that recruiting women faci</w:t>
      </w:r>
      <w:r w:rsidRPr="00BE5E11">
        <w:rPr>
          <w:rFonts w:ascii="Times New Roman" w:hAnsi="Times New Roman"/>
          <w:sz w:val="24"/>
          <w:szCs w:val="24"/>
        </w:rPr>
        <w:t>l</w:t>
      </w:r>
      <w:r w:rsidRPr="00BE5E11">
        <w:rPr>
          <w:rFonts w:ascii="Times New Roman" w:hAnsi="Times New Roman"/>
          <w:sz w:val="24"/>
          <w:szCs w:val="24"/>
        </w:rPr>
        <w:t>itates interaction with mothers for the promotion of essential newborn and child care (ENCC) (14). The prior experience of 67.89% of the staff (midwives or nursing assistants) is a factor facilitating the application of community-based IMCI protocols (15). Finally, the site functionality rate (96.9%) in 2024 indicates operatio</w:t>
      </w:r>
      <w:r w:rsidRPr="00BE5E11">
        <w:rPr>
          <w:rFonts w:ascii="Times New Roman" w:hAnsi="Times New Roman"/>
          <w:sz w:val="24"/>
          <w:szCs w:val="24"/>
        </w:rPr>
        <w:t>n</w:t>
      </w:r>
      <w:r w:rsidRPr="00BE5E11">
        <w:rPr>
          <w:rFonts w:ascii="Times New Roman" w:hAnsi="Times New Roman"/>
          <w:sz w:val="24"/>
          <w:szCs w:val="24"/>
        </w:rPr>
        <w:t>al continuity of the SEC program over the study period.</w:t>
      </w:r>
    </w:p>
    <w:p w14:paraId="7CF899B1" w14:textId="434CE969" w:rsidR="00CF2CED" w:rsidRPr="00BE5E11" w:rsidRDefault="00CF2CED" w:rsidP="008556F9">
      <w:pPr>
        <w:pStyle w:val="NormalWeb"/>
        <w:jc w:val="both"/>
      </w:pPr>
      <w:r w:rsidRPr="00BE5E11">
        <w:t xml:space="preserve">The prior experience of 67.89% of staff as nursing assistants or midwives suggests a successful task-shifting. This "semi-professional" profile aligns with the WHO's 2030 Vision for Human Resources, which advocates integrating personnel already immersed in health culture to address the global medical shortage </w:t>
      </w:r>
      <w:r w:rsidR="001C080F" w:rsidRPr="00BE5E11">
        <w:fldChar w:fldCharType="begin"/>
      </w:r>
      <w:r w:rsidR="000715BB" w:rsidRPr="00BE5E11">
        <w:instrText xml:space="preserve"> ADDIN ZOTERO_ITEM CSL_CITATION {"citationID":"cFby0uhf","properties":{"formattedCitation":"(21)","plainCitation":"(21)","noteIndex":0},"citationItems":[{"id":1103,"uris":["http://zotero.org/users/14913392/items/KYVSD4PX"],"itemData":{"id":1103,"type":"report","publisher":"World Health Organization","publisher-place":"Geneva","title":"Global strategy on human resources for health: Vision 2030","author":[{"literal":"WHO"}],"issued":{"date-parts":[["2016"]]}}}],"schema":"https://github.com/citation-style-language/schema/raw/master/csl-citation.json"} </w:instrText>
      </w:r>
      <w:r w:rsidR="001C080F" w:rsidRPr="00BE5E11">
        <w:fldChar w:fldCharType="separate"/>
      </w:r>
      <w:r w:rsidR="001C080F" w:rsidRPr="00BE5E11">
        <w:t xml:space="preserve">(21) </w:t>
      </w:r>
      <w:r w:rsidR="001C080F" w:rsidRPr="00BE5E11">
        <w:fldChar w:fldCharType="end"/>
      </w:r>
      <w:r w:rsidRPr="00BE5E11">
        <w:t>. Howe</w:t>
      </w:r>
      <w:r w:rsidRPr="00BE5E11">
        <w:t>v</w:t>
      </w:r>
      <w:r w:rsidRPr="00BE5E11">
        <w:t>er, the low rate of local affiliation (10%) is a departure from the traditional model of the community health worker "elected by their village." This finding could explain some service disruptions and should be consi</w:t>
      </w:r>
      <w:r w:rsidRPr="00BE5E11">
        <w:t>d</w:t>
      </w:r>
      <w:r w:rsidRPr="00BE5E11">
        <w:t xml:space="preserve">ered in light of the work of the Community Health Impact Coalition (2024), which demonstrates that a lack of ties to one's birthplace can affect the long-term retention of staff, especially in insecure areas </w:t>
      </w:r>
      <w:r w:rsidR="00256480" w:rsidRPr="00BE5E11">
        <w:fldChar w:fldCharType="begin"/>
      </w:r>
      <w:r w:rsidR="00256480" w:rsidRPr="00BE5E11">
        <w:instrText xml:space="preserve"> ADDIN ZOTERO_ITEM CSL_CITATION {"citationID":"ga4oqokb","properties":{"formattedCitation":"(22)","plainCitation":"(22)","noteIndex":0},"citationItems":[{"id":1126,"uris":["http://zotero.org/users/14913392/items/3BT78JDI"],"itemData":{"id":1126,"type":"post-weblog","abstract":"The role of community health workers (CHWs) in improving health equity and coverage across the world.","container-title":"Community Health Impact Coalition","genre":"Les arguments en faveur des TCS : Champions du système de santé","language":"fr","title":"The Case for CHWs: Champions of the Health System.","title-short":"The Case for CHWs","URL":"https://joinchic.org/resources/the-case-for-chws-champions-of-the-health-system/","author":[{"literal":"CHIC"}],"accessed":{"date-parts":[["2026",3,19]]},"issued":{"date-parts":[["2024"]]}}}],"schema":"https://github.com/citation-style-language/schema/raw/master/csl-citation.json"} </w:instrText>
      </w:r>
      <w:r w:rsidR="00256480" w:rsidRPr="00BE5E11">
        <w:fldChar w:fldCharType="separate"/>
      </w:r>
      <w:r w:rsidR="00256480" w:rsidRPr="00BE5E11">
        <w:t xml:space="preserve">(22) </w:t>
      </w:r>
      <w:r w:rsidR="00256480" w:rsidRPr="00BE5E11">
        <w:fldChar w:fldCharType="end"/>
      </w:r>
      <w:r w:rsidRPr="00BE5E11">
        <w:t>.</w:t>
      </w:r>
    </w:p>
    <w:p w14:paraId="682D0CAA" w14:textId="0DA2C5DE" w:rsidR="00CF2CED" w:rsidRPr="00BE5E11" w:rsidRDefault="00CF2CED" w:rsidP="008556F9">
      <w:pPr>
        <w:pStyle w:val="NormalWeb"/>
        <w:jc w:val="both"/>
      </w:pPr>
      <w:r w:rsidRPr="00BE5E11">
        <w:t>Finally, the non-functionality of 3.10% of sites in 2024 demonstrates the notable resilience of the Malian sy</w:t>
      </w:r>
      <w:r w:rsidRPr="00BE5E11">
        <w:t>s</w:t>
      </w:r>
      <w:r w:rsidRPr="00BE5E11">
        <w:t xml:space="preserve">tem despite the crisis context. Compared with the data from </w:t>
      </w:r>
      <w:proofErr w:type="spellStart"/>
      <w:r w:rsidRPr="00BE5E11">
        <w:t>VanderZanden</w:t>
      </w:r>
      <w:proofErr w:type="spellEnd"/>
      <w:r w:rsidRPr="00BE5E11">
        <w:t xml:space="preserve"> et al. (2024) on the resilience of primary care in Rwanda, the operational stability of the community health worker (CHW) network in Mali, supported by a high level of secondary education (67.47%), confirms that the increased professionalization of health workers is an effective safeguard against the collapse of health services during periods of insecurity </w:t>
      </w:r>
      <w:r w:rsidR="00256480" w:rsidRPr="00BE5E11">
        <w:fldChar w:fldCharType="begin"/>
      </w:r>
      <w:r w:rsidR="00256480" w:rsidRPr="00BE5E11">
        <w:instrText xml:space="preserve"> ADDIN ZOTERO_ITEM CSL_CITATION {"citationID":"siEXjsUI","properties":{"formattedCitation":"(23)","plainCitation":"(23)","noteIndex":0},"citationItems":[{"id":1130,"uris":["http://zotero.org/users/14913392/items/CPDAZNC3"],"itemData":{"id":1130,"type":"article-journal","container-title":"Journal of Global Health","DOI":"10.7189/jogh.14.05023","ISSN":"2047-2978, 2047-2986","journalAbbreviation":"J Glob Health","language":"en","page":"05023","source":"DOI.org (Crossref)","title":"Evidence of health system resilience in primary health care for preventing under-five mortality in Rwanda and Bangladesh: Lessons from an implementation study during the Millennium Development Goal period and the early period of COVID-19","title-short":"Evidence of health system resilience in primary health care for preventing under-five mortality in Rwanda and Bangladesh","URL":"https://jogh.org/2024/jogh-14-05023","volume":"14","author":[{"family":"VanderZanden","given":"Amelia"},{"family":"Amberbir","given":"Alemayehu"},{"family":"Sayinzoga","given":"Felix"},{"family":"Huda","given":"Fauzia Akhter"},{"family":"Ntawukuriryayo","given":"Jovial Thomas"},{"family":"Mathewos","given":"Kedest"},{"family":"Binagwaho","given":"Agnes"},{"family":"Hirschhorn","given":"Lisa R"}],"accessed":{"date-parts":[["2026",3,19]]},"issued":{"date-parts":[["2024",7,5]]}}}],"schema":"https://github.com/citation-style-language/schema/raw/master/csl-citation.json"} </w:instrText>
      </w:r>
      <w:r w:rsidR="00256480" w:rsidRPr="00BE5E11">
        <w:fldChar w:fldCharType="separate"/>
      </w:r>
      <w:r w:rsidR="00256480" w:rsidRPr="00BE5E11">
        <w:t xml:space="preserve">(23) </w:t>
      </w:r>
      <w:r w:rsidR="00256480" w:rsidRPr="00BE5E11">
        <w:fldChar w:fldCharType="end"/>
      </w:r>
      <w:r w:rsidRPr="00BE5E11">
        <w:t>.</w:t>
      </w:r>
    </w:p>
    <w:p w14:paraId="3F64CBD1" w14:textId="77777777" w:rsidR="00A72014" w:rsidRPr="00BE5E11" w:rsidRDefault="00A72014" w:rsidP="008556F9">
      <w:pPr>
        <w:spacing w:before="240" w:after="240" w:line="240" w:lineRule="auto"/>
        <w:jc w:val="both"/>
        <w:rPr>
          <w:rFonts w:ascii="Times New Roman" w:hAnsi="Times New Roman"/>
          <w:kern w:val="3"/>
          <w:sz w:val="24"/>
          <w:szCs w:val="24"/>
        </w:rPr>
      </w:pPr>
      <w:r w:rsidRPr="00BE5E11">
        <w:rPr>
          <w:rFonts w:ascii="Times New Roman" w:hAnsi="Times New Roman"/>
          <w:b/>
          <w:bCs/>
          <w:sz w:val="24"/>
          <w:szCs w:val="24"/>
        </w:rPr>
        <w:t>Accessibility, perceived quality and service performance</w:t>
      </w:r>
      <w:r w:rsidRPr="00BE5E11">
        <w:rPr>
          <w:rFonts w:ascii="Times New Roman" w:hAnsi="Times New Roman"/>
          <w:kern w:val="3"/>
          <w:sz w:val="24"/>
          <w:szCs w:val="24"/>
        </w:rPr>
        <w:t xml:space="preserve"> </w:t>
      </w:r>
    </w:p>
    <w:p w14:paraId="7B6A6E11" w14:textId="0089FB01" w:rsidR="00F47A5C" w:rsidRPr="00BE5E11" w:rsidRDefault="00232CB9" w:rsidP="008556F9">
      <w:pPr>
        <w:spacing w:before="240" w:after="240" w:line="240" w:lineRule="auto"/>
        <w:jc w:val="both"/>
        <w:rPr>
          <w:rFonts w:ascii="Times New Roman" w:hAnsi="Times New Roman"/>
          <w:sz w:val="24"/>
          <w:szCs w:val="24"/>
        </w:rPr>
      </w:pPr>
      <w:r w:rsidRPr="00BE5E11">
        <w:rPr>
          <w:rFonts w:ascii="Times New Roman" w:hAnsi="Times New Roman"/>
          <w:kern w:val="3"/>
          <w:sz w:val="24"/>
          <w:szCs w:val="24"/>
        </w:rPr>
        <w:t xml:space="preserve">The high financial acceptability (greater than 80%) observed in our study confirms that the community health worker (CHW) model in Mali is fulfilling its primary mission of reducing economic barriers to healthcare. These results corroborate the WHO 2024 findings on health expenditures, which identify free or subsidized </w:t>
      </w:r>
      <w:r w:rsidRPr="00BE5E11">
        <w:rPr>
          <w:rFonts w:ascii="Times New Roman" w:hAnsi="Times New Roman"/>
          <w:kern w:val="3"/>
          <w:sz w:val="24"/>
          <w:szCs w:val="24"/>
        </w:rPr>
        <w:lastRenderedPageBreak/>
        <w:t xml:space="preserve">community-based care as the most effective lever for protecting rural households from catastrophic out-of-pocket expenses </w:t>
      </w:r>
      <w:r w:rsidR="002C45F1" w:rsidRPr="00BE5E11">
        <w:rPr>
          <w:rFonts w:ascii="Times New Roman" w:hAnsi="Times New Roman"/>
          <w:kern w:val="3"/>
          <w:sz w:val="24"/>
          <w:szCs w:val="24"/>
        </w:rPr>
        <w:fldChar w:fldCharType="begin"/>
      </w:r>
      <w:r w:rsidR="002C45F1" w:rsidRPr="00BE5E11">
        <w:rPr>
          <w:rFonts w:ascii="Times New Roman" w:hAnsi="Times New Roman"/>
          <w:kern w:val="3"/>
          <w:sz w:val="24"/>
          <w:szCs w:val="24"/>
        </w:rPr>
        <w:instrText xml:space="preserve"> ADDIN ZOTERO_ITEM CSL_CITATION {"citationID":"Lfpp1uPo","properties":{"formattedCitation":"(24)","plainCitation":"(24)","noteIndex":0},"citationItems":[{"id":1133,"uris":["http://zotero.org/users/14913392/items/MRHWX9UX"],"itemData":{"id":1133,"type":"post-weblog","language":"fr","title":"Le rapport mondial 2024 de l’OMS sur les dépenses de santé met en lumière les défis du financement de la santé et appelle à la priorisation des CSU | Les Nouvelles d’Oligo","URL":"https://www.theoligo.com/whos-2024-global-health-expenditure-report-highlights-challenges-in-health-financing-and-calls-for-uhc-prioritization/","author":[{"literal":"Organisation Mondiale de la Santé"}],"accessed":{"date-parts":[["2026",3,19]]},"issued":{"date-parts":[["2024",12,15]]}}}],"schema":"https://github.com/citation-style-language/schema/raw/master/csl-citation.json"} </w:instrText>
      </w:r>
      <w:r w:rsidR="002C45F1" w:rsidRPr="00BE5E11">
        <w:rPr>
          <w:rFonts w:ascii="Times New Roman" w:hAnsi="Times New Roman"/>
          <w:kern w:val="3"/>
          <w:sz w:val="24"/>
          <w:szCs w:val="24"/>
        </w:rPr>
        <w:fldChar w:fldCharType="separate"/>
      </w:r>
      <w:r w:rsidR="002C45F1" w:rsidRPr="00BE5E11">
        <w:rPr>
          <w:rFonts w:ascii="Times New Roman" w:hAnsi="Times New Roman"/>
          <w:sz w:val="24"/>
          <w:szCs w:val="24"/>
        </w:rPr>
        <w:t xml:space="preserve">(24) </w:t>
      </w:r>
      <w:r w:rsidR="002C45F1" w:rsidRPr="00BE5E11">
        <w:rPr>
          <w:rFonts w:ascii="Times New Roman" w:hAnsi="Times New Roman"/>
          <w:kern w:val="3"/>
          <w:sz w:val="24"/>
          <w:szCs w:val="24"/>
        </w:rPr>
        <w:fldChar w:fldCharType="end"/>
      </w:r>
      <w:r w:rsidRPr="00BE5E11">
        <w:rPr>
          <w:rFonts w:ascii="Times New Roman" w:hAnsi="Times New Roman"/>
          <w:kern w:val="3"/>
          <w:sz w:val="24"/>
          <w:szCs w:val="24"/>
        </w:rPr>
        <w:t xml:space="preserve">. This affordability largely explains the exceptional satisfaction rate (97.92%), which exceeds the regional averages reported by </w:t>
      </w:r>
      <w:proofErr w:type="spellStart"/>
      <w:r w:rsidRPr="00BE5E11">
        <w:rPr>
          <w:rFonts w:ascii="Times New Roman" w:hAnsi="Times New Roman"/>
          <w:kern w:val="3"/>
          <w:sz w:val="24"/>
          <w:szCs w:val="24"/>
        </w:rPr>
        <w:t>LeBan</w:t>
      </w:r>
      <w:proofErr w:type="spellEnd"/>
      <w:r w:rsidRPr="00BE5E11">
        <w:rPr>
          <w:rFonts w:ascii="Times New Roman" w:hAnsi="Times New Roman"/>
          <w:kern w:val="3"/>
          <w:sz w:val="24"/>
          <w:szCs w:val="24"/>
        </w:rPr>
        <w:t xml:space="preserve"> et al. </w:t>
      </w:r>
      <w:r w:rsidR="000B5930" w:rsidRPr="00BE5E11">
        <w:rPr>
          <w:rFonts w:ascii="Times New Roman" w:hAnsi="Times New Roman"/>
          <w:kern w:val="3"/>
          <w:sz w:val="24"/>
          <w:szCs w:val="24"/>
        </w:rPr>
        <w:t xml:space="preserve">in 2021, where trust in CHWs is directly correlated with reduced transportation and consultation costs </w:t>
      </w:r>
      <w:r w:rsidR="002C45F1" w:rsidRPr="00BE5E11">
        <w:rPr>
          <w:rFonts w:ascii="Times New Roman" w:hAnsi="Times New Roman"/>
          <w:kern w:val="3"/>
          <w:sz w:val="24"/>
          <w:szCs w:val="24"/>
        </w:rPr>
        <w:fldChar w:fldCharType="begin"/>
      </w:r>
      <w:r w:rsidR="002C45F1" w:rsidRPr="00BE5E11">
        <w:rPr>
          <w:rFonts w:ascii="Times New Roman" w:hAnsi="Times New Roman"/>
          <w:kern w:val="3"/>
          <w:sz w:val="24"/>
          <w:szCs w:val="24"/>
        </w:rPr>
        <w:instrText xml:space="preserve"> ADDIN ZOTERO_ITEM CSL_CITATION {"citationID":"PwNQfHke","properties":{"formattedCitation":"(20)","plainCitation":"(20)","noteIndex":0},"citationItems":[{"id":1106,"uris":["http://zotero.org/users/14913392/items/CFNZ4ZXU"],"itemData":{"id":1106,"type":"article-journal","abstract":"This is the ninth paper in our series, “Community Health Workers at the Dawn of a New Era”. Community health workers (CHWs) are in an intermediary position between the health system and the community. While this position provides CHWs with a good platform to improve community health, a major challenge in large-scale CHW programmes is the need for CHWs to establish and maintain beneficial relationships with both sets of actors, who may have different expectations and needs. This paper focuses on the quality of CHW relationships with actors at the local level of the national health system and with communities.","container-title":"Health Research Policy and Systems","DOI":"10.1186/s12961-021-00756-4","ISSN":"1478-4505","issue":"3","journalAbbreviation":"Health Res Policy Sys","language":"en","page":"116","source":"Springer Link","title":"Community health workers at the dawn of a new era: 9. CHWs’ relationships with the health system and communities","title-short":"Community health workers at the dawn of a new era","URL":"https://doi.org/10.1186/s12961-021-00756-4","volume":"19","author":[{"family":"LeBan","given":"Karen"},{"family":"Kok","given":"Maryse"},{"family":"Perry","given":"Henry B."}],"accessed":{"date-parts":[["2026",3,19]]},"issued":{"date-parts":[["2021",10,12]]}}}],"schema":"https://github.com/citation-style-language/schema/raw/master/csl-citation.json"} </w:instrText>
      </w:r>
      <w:r w:rsidR="002C45F1" w:rsidRPr="00BE5E11">
        <w:rPr>
          <w:rFonts w:ascii="Times New Roman" w:hAnsi="Times New Roman"/>
          <w:kern w:val="3"/>
          <w:sz w:val="24"/>
          <w:szCs w:val="24"/>
        </w:rPr>
        <w:fldChar w:fldCharType="separate"/>
      </w:r>
      <w:r w:rsidR="002C45F1" w:rsidRPr="00BE5E11">
        <w:rPr>
          <w:rFonts w:ascii="Times New Roman" w:hAnsi="Times New Roman"/>
          <w:sz w:val="24"/>
          <w:szCs w:val="24"/>
        </w:rPr>
        <w:t xml:space="preserve">(20) </w:t>
      </w:r>
      <w:r w:rsidR="002C45F1" w:rsidRPr="00BE5E11">
        <w:rPr>
          <w:rFonts w:ascii="Times New Roman" w:hAnsi="Times New Roman"/>
          <w:kern w:val="3"/>
          <w:sz w:val="24"/>
          <w:szCs w:val="24"/>
        </w:rPr>
        <w:fldChar w:fldCharType="end"/>
      </w:r>
      <w:r w:rsidRPr="00BE5E11">
        <w:rPr>
          <w:rFonts w:ascii="Times New Roman" w:hAnsi="Times New Roman"/>
          <w:kern w:val="3"/>
          <w:sz w:val="24"/>
          <w:szCs w:val="24"/>
        </w:rPr>
        <w:t xml:space="preserve">. </w:t>
      </w:r>
      <w:r w:rsidR="00F47A5C" w:rsidRPr="00BE5E11">
        <w:rPr>
          <w:rFonts w:ascii="Times New Roman" w:hAnsi="Times New Roman"/>
          <w:sz w:val="24"/>
          <w:szCs w:val="24"/>
        </w:rPr>
        <w:t>Financial acceptability is a decisive factor in access to healthcare in rural Africa (16). The results indicating that more users consider the costs of CSA services a</w:t>
      </w:r>
      <w:r w:rsidR="00F47A5C" w:rsidRPr="00BE5E11">
        <w:rPr>
          <w:rFonts w:ascii="Times New Roman" w:hAnsi="Times New Roman"/>
          <w:sz w:val="24"/>
          <w:szCs w:val="24"/>
        </w:rPr>
        <w:t>c</w:t>
      </w:r>
      <w:r w:rsidR="00F47A5C" w:rsidRPr="00BE5E11">
        <w:rPr>
          <w:rFonts w:ascii="Times New Roman" w:hAnsi="Times New Roman"/>
          <w:sz w:val="24"/>
          <w:szCs w:val="24"/>
        </w:rPr>
        <w:t>ceptable confirm that the SEC program's funding model (often based on a symbolic cost or working capital managed by CSAs) is effective in reducing economic barriers.</w:t>
      </w:r>
    </w:p>
    <w:p w14:paraId="03CC49DD" w14:textId="3C3A9323" w:rsidR="00232CB9" w:rsidRPr="00BE5E11" w:rsidRDefault="00232CB9" w:rsidP="008556F9">
      <w:pPr>
        <w:spacing w:before="240" w:after="240" w:line="240" w:lineRule="auto"/>
        <w:jc w:val="both"/>
        <w:rPr>
          <w:rFonts w:ascii="Times New Roman" w:hAnsi="Times New Roman"/>
          <w:kern w:val="3"/>
          <w:sz w:val="24"/>
          <w:szCs w:val="24"/>
        </w:rPr>
      </w:pPr>
      <w:r w:rsidRPr="00BE5E11">
        <w:rPr>
          <w:rFonts w:ascii="Times New Roman" w:hAnsi="Times New Roman"/>
          <w:kern w:val="3"/>
          <w:sz w:val="24"/>
          <w:szCs w:val="24"/>
        </w:rPr>
        <w:t>However, the drug availability rate (62.86%) highlights a persistent fragility in the supply chain. This logist</w:t>
      </w:r>
      <w:r w:rsidRPr="00BE5E11">
        <w:rPr>
          <w:rFonts w:ascii="Times New Roman" w:hAnsi="Times New Roman"/>
          <w:kern w:val="3"/>
          <w:sz w:val="24"/>
          <w:szCs w:val="24"/>
        </w:rPr>
        <w:t>i</w:t>
      </w:r>
      <w:r w:rsidRPr="00BE5E11">
        <w:rPr>
          <w:rFonts w:ascii="Times New Roman" w:hAnsi="Times New Roman"/>
          <w:kern w:val="3"/>
          <w:sz w:val="24"/>
          <w:szCs w:val="24"/>
        </w:rPr>
        <w:t xml:space="preserve">cal "last mile" remains the bottleneck of the SEC strategy. By comparison, the work of </w:t>
      </w:r>
      <w:proofErr w:type="spellStart"/>
      <w:r w:rsidRPr="00BE5E11">
        <w:rPr>
          <w:rFonts w:ascii="Times New Roman" w:hAnsi="Times New Roman"/>
          <w:kern w:val="3"/>
          <w:sz w:val="24"/>
          <w:szCs w:val="24"/>
        </w:rPr>
        <w:t>VanderZanden</w:t>
      </w:r>
      <w:proofErr w:type="spellEnd"/>
      <w:r w:rsidRPr="00BE5E11">
        <w:rPr>
          <w:rFonts w:ascii="Times New Roman" w:hAnsi="Times New Roman"/>
          <w:kern w:val="3"/>
          <w:sz w:val="24"/>
          <w:szCs w:val="24"/>
        </w:rPr>
        <w:t xml:space="preserve"> et al. in Rwanda in 2024 shows that the resilience of primary care depends on advanced digital integration enabling real-time stock alerts </w:t>
      </w:r>
      <w:r w:rsidR="002C45F1" w:rsidRPr="00BE5E11">
        <w:rPr>
          <w:rFonts w:ascii="Times New Roman" w:hAnsi="Times New Roman"/>
          <w:kern w:val="3"/>
          <w:sz w:val="24"/>
          <w:szCs w:val="24"/>
        </w:rPr>
        <w:fldChar w:fldCharType="begin"/>
      </w:r>
      <w:r w:rsidR="002C45F1" w:rsidRPr="00BE5E11">
        <w:rPr>
          <w:rFonts w:ascii="Times New Roman" w:hAnsi="Times New Roman"/>
          <w:kern w:val="3"/>
          <w:sz w:val="24"/>
          <w:szCs w:val="24"/>
        </w:rPr>
        <w:instrText xml:space="preserve"> ADDIN ZOTERO_ITEM CSL_CITATION {"citationID":"pkF36dLT","properties":{"formattedCitation":"(23)","plainCitation":"(23)","noteIndex":0},"citationItems":[{"id":1130,"uris":["http://zotero.org/users/14913392/items/CPDAZNC3"],"itemData":{"id":1130,"type":"article-journal","container-title":"Journal of Global Health","DOI":"10.7189/jogh.14.05023","ISSN":"2047-2978, 2047-2986","journalAbbreviation":"J Glob Health","language":"en","page":"05023","source":"DOI.org (Crossref)","title":"Evidence of health system resilience in primary health care for preventing under-five mortality in Rwanda and Bangladesh: Lessons from an implementation study during the Millennium Development Goal period and the early period of COVID-19","title-short":"Evidence of health system resilience in primary health care for preventing under-five mortality in Rwanda and Bangladesh","URL":"https://jogh.org/2024/jogh-14-05023","volume":"14","author":[{"family":"VanderZanden","given":"Amelia"},{"family":"Amberbir","given":"Alemayehu"},{"family":"Sayinzoga","given":"Felix"},{"family":"Huda","given":"Fauzia Akhter"},{"family":"Ntawukuriryayo","given":"Jovial Thomas"},{"family":"Mathewos","given":"Kedest"},{"family":"Binagwaho","given":"Agnes"},{"family":"Hirschhorn","given":"Lisa R"}],"accessed":{"date-parts":[["2026",3,19]]},"issued":{"date-parts":[["2024",7,5]]}}}],"schema":"https://github.com/citation-style-language/schema/raw/master/csl-citation.json"} </w:instrText>
      </w:r>
      <w:r w:rsidR="002C45F1" w:rsidRPr="00BE5E11">
        <w:rPr>
          <w:rFonts w:ascii="Times New Roman" w:hAnsi="Times New Roman"/>
          <w:kern w:val="3"/>
          <w:sz w:val="24"/>
          <w:szCs w:val="24"/>
        </w:rPr>
        <w:fldChar w:fldCharType="separate"/>
      </w:r>
      <w:r w:rsidR="002C45F1" w:rsidRPr="00BE5E11">
        <w:rPr>
          <w:rFonts w:ascii="Times New Roman" w:hAnsi="Times New Roman"/>
          <w:sz w:val="24"/>
          <w:szCs w:val="24"/>
        </w:rPr>
        <w:t xml:space="preserve">(23) </w:t>
      </w:r>
      <w:r w:rsidR="002C45F1" w:rsidRPr="00BE5E11">
        <w:rPr>
          <w:rFonts w:ascii="Times New Roman" w:hAnsi="Times New Roman"/>
          <w:kern w:val="3"/>
          <w:sz w:val="24"/>
          <w:szCs w:val="24"/>
        </w:rPr>
        <w:fldChar w:fldCharType="end"/>
      </w:r>
      <w:r w:rsidRPr="00BE5E11">
        <w:rPr>
          <w:rFonts w:ascii="Times New Roman" w:hAnsi="Times New Roman"/>
          <w:kern w:val="3"/>
          <w:sz w:val="24"/>
          <w:szCs w:val="24"/>
        </w:rPr>
        <w:t>. In Mali, the transition to DHIS2 should theoretically mitigate these disruptions, but our results suggest that transportation challenges in insecure areas partially offset the benefits of digital mon</w:t>
      </w:r>
      <w:r w:rsidRPr="00BE5E11">
        <w:rPr>
          <w:rFonts w:ascii="Times New Roman" w:hAnsi="Times New Roman"/>
          <w:kern w:val="3"/>
          <w:sz w:val="24"/>
          <w:szCs w:val="24"/>
        </w:rPr>
        <w:t>i</w:t>
      </w:r>
      <w:r w:rsidRPr="00BE5E11">
        <w:rPr>
          <w:rFonts w:ascii="Times New Roman" w:hAnsi="Times New Roman"/>
          <w:kern w:val="3"/>
          <w:sz w:val="24"/>
          <w:szCs w:val="24"/>
        </w:rPr>
        <w:t>toring.</w:t>
      </w:r>
    </w:p>
    <w:p w14:paraId="4F3A509E" w14:textId="72DD522F" w:rsidR="00232CB9" w:rsidRPr="00BE5E11" w:rsidRDefault="00232CB9" w:rsidP="008556F9">
      <w:pPr>
        <w:spacing w:before="240" w:after="240" w:line="240" w:lineRule="auto"/>
        <w:jc w:val="both"/>
        <w:rPr>
          <w:rFonts w:ascii="Times New Roman" w:hAnsi="Times New Roman"/>
          <w:kern w:val="3"/>
          <w:sz w:val="24"/>
          <w:szCs w:val="24"/>
        </w:rPr>
      </w:pPr>
      <w:r w:rsidRPr="00BE5E11">
        <w:rPr>
          <w:rFonts w:ascii="Times New Roman" w:hAnsi="Times New Roman"/>
          <w:kern w:val="3"/>
          <w:sz w:val="24"/>
          <w:szCs w:val="24"/>
        </w:rPr>
        <w:t xml:space="preserve">Finally, the fact that only 67.23% of stakeholders considered the package of activities "fully implemented" points to the issue of staff workload overload. As </w:t>
      </w:r>
      <w:proofErr w:type="spellStart"/>
      <w:r w:rsidRPr="00BE5E11">
        <w:rPr>
          <w:rFonts w:ascii="Times New Roman" w:hAnsi="Times New Roman"/>
          <w:kern w:val="3"/>
          <w:sz w:val="24"/>
          <w:szCs w:val="24"/>
        </w:rPr>
        <w:t>Glenton</w:t>
      </w:r>
      <w:proofErr w:type="spellEnd"/>
      <w:r w:rsidRPr="00BE5E11">
        <w:rPr>
          <w:rFonts w:ascii="Times New Roman" w:hAnsi="Times New Roman"/>
          <w:kern w:val="3"/>
          <w:sz w:val="24"/>
          <w:szCs w:val="24"/>
        </w:rPr>
        <w:t xml:space="preserve"> et al. highlighted in 2021, the constant expansion of community health workers' roles (nutrition, malaria, maternal health) without a proportional increase in supe</w:t>
      </w:r>
      <w:r w:rsidRPr="00BE5E11">
        <w:rPr>
          <w:rFonts w:ascii="Times New Roman" w:hAnsi="Times New Roman"/>
          <w:kern w:val="3"/>
          <w:sz w:val="24"/>
          <w:szCs w:val="24"/>
        </w:rPr>
        <w:t>r</w:t>
      </w:r>
      <w:r w:rsidRPr="00BE5E11">
        <w:rPr>
          <w:rFonts w:ascii="Times New Roman" w:hAnsi="Times New Roman"/>
          <w:kern w:val="3"/>
          <w:sz w:val="24"/>
          <w:szCs w:val="24"/>
        </w:rPr>
        <w:t xml:space="preserve">vision can lead to selective task execution </w:t>
      </w:r>
      <w:r w:rsidR="002C45F1" w:rsidRPr="00BE5E11">
        <w:rPr>
          <w:rFonts w:ascii="Times New Roman" w:hAnsi="Times New Roman"/>
          <w:kern w:val="3"/>
          <w:sz w:val="24"/>
          <w:szCs w:val="24"/>
        </w:rPr>
        <w:fldChar w:fldCharType="begin"/>
      </w:r>
      <w:r w:rsidR="002C45F1" w:rsidRPr="00BE5E11">
        <w:rPr>
          <w:rFonts w:ascii="Times New Roman" w:hAnsi="Times New Roman"/>
          <w:kern w:val="3"/>
          <w:sz w:val="24"/>
          <w:szCs w:val="24"/>
        </w:rPr>
        <w:instrText xml:space="preserve"> ADDIN ZOTERO_ITEM CSL_CITATION {"citationID":"eHPmZzRE","properties":{"formattedCitation":"(19)","plainCitation":"(19)","noteIndex":0},"citationItems":[{"id":1118,"uris":["http://zotero.org/users/14913392/items/BNXZ2UIW"],"itemData":{"id":1118,"type":"article-journal","abstract":"BACKGROUND: This is the fifth of our 11-paper supplement on \"Community Health Workers at the Dawn of a New Era.\" When planning new community health worker (CHW) roles or expanding existing roles, programme planners need to analyse global and local research evidence and evidence-based guidance on the effectiveness and safety of relevant tasks performed by CHWs.\nMETHODS: In this paper, we explore key areas of consideration when selecting roles and tasks; present current knowledge regarding these issues; and suggest how decision-makers could consider these issues when assigning tasks in their setting. This paper draws on the chapter \"Community Health Worker Roles and Tasks\" in Developing and Strengthening Community Health Worker Programs at Scale: A Reference Guide and Case Studies for Program Managers and Policymakers, as well as on a recently published compendium of 29 case studies of national CHW programmes and on recently published literature pertaining to roles and tasks of CHWs.\nRESULTS: This paper provides a list of questions that aim to help programme planners think about important issues when determining CHW roles and tasks in their setting. Planners need to assess whether the recommended roles and tasks are considered acceptable and appropriate by their target population and by the CHWs themselves and those who support them. Planners also need to think about the practical and organizational implications of each task for their particular setting with regard to training requirements, health systems support, work location, workload, and programme costs.\nCONCLUSION: When planning CHW roles and tasks, planners, programme implementers, and policy-makers should draw from global guidance and research evidence, but they also need to engage with the experiences, needs, and concerns of local communities and health workers. By drawing from both sources of information, they will stand a better chance of developing programmes that are effective in achieving their goals while remaining acceptable to those affected by them, feasible to implement, and sustainable over time.","container-title":"Health Research Policy and Systems","DOI":"10.1186/s12961-021-00748-4","ISSN":"1478-4505","issue":"Suppl 3","journalAbbreviation":"Health Res Policy Syst","language":"eng","page":"128","PMID":"34641903","PMCID":"PMC8506082","source":"PubMed","title":"Community health workers at the dawn of a new era: 5. Roles and tasks","title-short":"Community health workers at the dawn of a new era","volume":"19","author":[{"family":"Glenton","given":"Claire"},{"family":"Javadi","given":"Dena"},{"family":"Perry","given":"Henry B."}],"issued":{"date-parts":[["2021",10,12]]}}}],"schema":"https://github.com/citation-style-language/schema/raw/master/csl-citation.json"} </w:instrText>
      </w:r>
      <w:r w:rsidR="002C45F1" w:rsidRPr="00BE5E11">
        <w:rPr>
          <w:rFonts w:ascii="Times New Roman" w:hAnsi="Times New Roman"/>
          <w:kern w:val="3"/>
          <w:sz w:val="24"/>
          <w:szCs w:val="24"/>
        </w:rPr>
        <w:fldChar w:fldCharType="separate"/>
      </w:r>
      <w:r w:rsidR="002C45F1" w:rsidRPr="00BE5E11">
        <w:rPr>
          <w:rFonts w:ascii="Times New Roman" w:hAnsi="Times New Roman"/>
          <w:sz w:val="24"/>
          <w:szCs w:val="24"/>
        </w:rPr>
        <w:t xml:space="preserve">(19) </w:t>
      </w:r>
      <w:r w:rsidR="002C45F1" w:rsidRPr="00BE5E11">
        <w:rPr>
          <w:rFonts w:ascii="Times New Roman" w:hAnsi="Times New Roman"/>
          <w:kern w:val="3"/>
          <w:sz w:val="24"/>
          <w:szCs w:val="24"/>
        </w:rPr>
        <w:fldChar w:fldCharType="end"/>
      </w:r>
      <w:r w:rsidRPr="00BE5E11">
        <w:rPr>
          <w:rFonts w:ascii="Times New Roman" w:hAnsi="Times New Roman"/>
          <w:kern w:val="3"/>
          <w:sz w:val="24"/>
          <w:szCs w:val="24"/>
        </w:rPr>
        <w:t>. This "partial implementation" suggests a need to consider simplifying protocols or increasing the number of staff per health area to maintain the quality of care.</w:t>
      </w:r>
    </w:p>
    <w:p w14:paraId="40F6D170" w14:textId="1A9AB6DE" w:rsidR="001B419A" w:rsidRPr="00BE5E11" w:rsidRDefault="001B419A" w:rsidP="008556F9">
      <w:pPr>
        <w:spacing w:before="240" w:after="240" w:line="240" w:lineRule="auto"/>
        <w:jc w:val="both"/>
        <w:rPr>
          <w:rFonts w:ascii="Times New Roman" w:hAnsi="Times New Roman"/>
          <w:b/>
          <w:bCs/>
          <w:sz w:val="24"/>
          <w:szCs w:val="24"/>
        </w:rPr>
      </w:pPr>
      <w:r w:rsidRPr="00BE5E11">
        <w:rPr>
          <w:rFonts w:ascii="Times New Roman" w:hAnsi="Times New Roman"/>
          <w:b/>
          <w:bCs/>
          <w:sz w:val="24"/>
          <w:szCs w:val="24"/>
        </w:rPr>
        <w:t>Gender dynamics, professional relationships and a climate of satisfaction</w:t>
      </w:r>
    </w:p>
    <w:p w14:paraId="549F3967" w14:textId="5D6DB8B1" w:rsidR="00BA7A7B" w:rsidRPr="00BE5E11" w:rsidRDefault="00BA7A7B" w:rsidP="008556F9">
      <w:pPr>
        <w:pStyle w:val="NormalWeb"/>
        <w:jc w:val="both"/>
      </w:pPr>
      <w:r w:rsidRPr="00BE5E11">
        <w:t>The tension observed between the declared “gender neutrality” (78.95%) and the “social preference” for f</w:t>
      </w:r>
      <w:r w:rsidRPr="00BE5E11">
        <w:t>e</w:t>
      </w:r>
      <w:r w:rsidRPr="00BE5E11">
        <w:t xml:space="preserve">male community health workers (75.19%) underscores the complexity of integrating care in rural </w:t>
      </w:r>
      <w:proofErr w:type="spellStart"/>
      <w:r w:rsidRPr="00BE5E11">
        <w:t>Sahelian</w:t>
      </w:r>
      <w:proofErr w:type="spellEnd"/>
      <w:r w:rsidRPr="00BE5E11">
        <w:t xml:space="preserve"> societies. As </w:t>
      </w:r>
      <w:proofErr w:type="spellStart"/>
      <w:r w:rsidRPr="00BE5E11">
        <w:t>Glenton</w:t>
      </w:r>
      <w:proofErr w:type="spellEnd"/>
      <w:r w:rsidRPr="00BE5E11">
        <w:t xml:space="preserve"> et al. suggested in 2021, although skills are perceived as equal, female community health workers navigate the domestic sphere more easily, thus facilitating malnutrition screening and reproductive health counseling </w:t>
      </w:r>
      <w:r w:rsidR="0039195E" w:rsidRPr="00BE5E11">
        <w:fldChar w:fldCharType="begin"/>
      </w:r>
      <w:r w:rsidR="0039195E" w:rsidRPr="00BE5E11">
        <w:instrText xml:space="preserve"> ADDIN ZOTERO_ITEM CSL_CITATION {"citationID":"D8VNGDHA","properties":{"formattedCitation":"(19)","plainCitation":"(19)","noteIndex":0},"citationItems":[{"id":1118,"uris":["http://zotero.org/users/14913392/items/BNXZ2UIW"],"itemData":{"id":1118,"type":"article-journal","abstract":"BACKGROUND: This is the fifth of our 11-paper supplement on \"Community Health Workers at the Dawn of a New Era.\" When planning new community health worker (CHW) roles or expanding existing roles, programme planners need to analyse global and local research evidence and evidence-based guidance on the effectiveness and safety of relevant tasks performed by CHWs.\nMETHODS: In this paper, we explore key areas of consideration when selecting roles and tasks; present current knowledge regarding these issues; and suggest how decision-makers could consider these issues when assigning tasks in their setting. This paper draws on the chapter \"Community Health Worker Roles and Tasks\" in Developing and Strengthening Community Health Worker Programs at Scale: A Reference Guide and Case Studies for Program Managers and Policymakers, as well as on a recently published compendium of 29 case studies of national CHW programmes and on recently published literature pertaining to roles and tasks of CHWs.\nRESULTS: This paper provides a list of questions that aim to help programme planners think about important issues when determining CHW roles and tasks in their setting. Planners need to assess whether the recommended roles and tasks are considered acceptable and appropriate by their target population and by the CHWs themselves and those who support them. Planners also need to think about the practical and organizational implications of each task for their particular setting with regard to training requirements, health systems support, work location, workload, and programme costs.\nCONCLUSION: When planning CHW roles and tasks, planners, programme implementers, and policy-makers should draw from global guidance and research evidence, but they also need to engage with the experiences, needs, and concerns of local communities and health workers. By drawing from both sources of information, they will stand a better chance of developing programmes that are effective in achieving their goals while remaining acceptable to those affected by them, feasible to implement, and sustainable over time.","container-title":"Health Research Policy and Systems","DOI":"10.1186/s12961-021-00748-4","ISSN":"1478-4505","issue":"Suppl 3","journalAbbreviation":"Health Res Policy Syst","language":"eng","page":"128","PMID":"34641903","PMCID":"PMC8506082","source":"PubMed","title":"Community health workers at the dawn of a new era: 5. Roles and tasks","title-short":"Community health workers at the dawn of a new era","volume":"19","author":[{"family":"Glenton","given":"Claire"},{"family":"Javadi","given":"Dena"},{"family":"Perry","given":"Henry B."}],"issued":{"date-parts":[["2021",10,12]]}}}],"schema":"https://github.com/citation-style-language/schema/raw/master/csl-citation.json"} </w:instrText>
      </w:r>
      <w:r w:rsidR="0039195E" w:rsidRPr="00BE5E11">
        <w:fldChar w:fldCharType="separate"/>
      </w:r>
      <w:r w:rsidR="0039195E" w:rsidRPr="00BE5E11">
        <w:t xml:space="preserve">(19) </w:t>
      </w:r>
      <w:r w:rsidR="0039195E" w:rsidRPr="00BE5E11">
        <w:fldChar w:fldCharType="end"/>
      </w:r>
      <w:r w:rsidRPr="00BE5E11">
        <w:t xml:space="preserve">. This “relational added value” of women confirms the theories of </w:t>
      </w:r>
      <w:proofErr w:type="spellStart"/>
      <w:r w:rsidRPr="00BE5E11">
        <w:t>LeBan</w:t>
      </w:r>
      <w:proofErr w:type="spellEnd"/>
      <w:r w:rsidRPr="00BE5E11">
        <w:t xml:space="preserve"> et al. in 2021, according to which the social </w:t>
      </w:r>
      <w:proofErr w:type="spellStart"/>
      <w:r w:rsidRPr="00BE5E11">
        <w:t>embeddedness</w:t>
      </w:r>
      <w:proofErr w:type="spellEnd"/>
      <w:r w:rsidRPr="00BE5E11">
        <w:t xml:space="preserve"> of the worker is a more powerful determinant of performance than technical expertise alone </w:t>
      </w:r>
      <w:r w:rsidR="008A2B0D" w:rsidRPr="00BE5E11">
        <w:fldChar w:fldCharType="begin"/>
      </w:r>
      <w:r w:rsidR="008A2B0D" w:rsidRPr="00BE5E11">
        <w:instrText xml:space="preserve"> ADDIN ZOTERO_ITEM CSL_CITATION {"citationID":"vyrk8jVJ","properties":{"formattedCitation":"(20)","plainCitation":"(20)","noteIndex":0},"citationItems":[{"id":1106,"uris":["http://zotero.org/users/14913392/items/CFNZ4ZXU"],"itemData":{"id":1106,"type":"article-journal","abstract":"This is the ninth paper in our series, “Community Health Workers at the Dawn of a New Era”. Community health workers (CHWs) are in an intermediary position between the health system and the community. While this position provides CHWs with a good platform to improve community health, a major challenge in large-scale CHW programmes is the need for CHWs to establish and maintain beneficial relationships with both sets of actors, who may have different expectations and needs. This paper focuses on the quality of CHW relationships with actors at the local level of the national health system and with communities.","container-title":"Health Research Policy and Systems","DOI":"10.1186/s12961-021-00756-4","ISSN":"1478-4505","issue":"3","journalAbbreviation":"Health Res Policy Sys","language":"en","page":"116","source":"Springer Link","title":"Community health workers at the dawn of a new era: 9. CHWs’ relationships with the health system and communities","title-short":"Community health workers at the dawn of a new era","URL":"https://doi.org/10.1186/s12961-021-00756-4","volume":"19","author":[{"family":"LeBan","given":"Karen"},{"family":"Kok","given":"Maryse"},{"family":"Perry","given":"Henry B."}],"accessed":{"date-parts":[["2026",3,19]]},"issued":{"date-parts":[["2021",10,12]]}}}],"schema":"https://github.com/citation-style-language/schema/raw/master/csl-citation.json"} </w:instrText>
      </w:r>
      <w:r w:rsidR="008A2B0D" w:rsidRPr="00BE5E11">
        <w:fldChar w:fldCharType="separate"/>
      </w:r>
      <w:r w:rsidR="008A2B0D" w:rsidRPr="00BE5E11">
        <w:t xml:space="preserve">(20) </w:t>
      </w:r>
      <w:r w:rsidR="008A2B0D" w:rsidRPr="00BE5E11">
        <w:fldChar w:fldCharType="end"/>
      </w:r>
      <w:r w:rsidRPr="00BE5E11">
        <w:t>.</w:t>
      </w:r>
    </w:p>
    <w:p w14:paraId="7B6A1555" w14:textId="6BD17247" w:rsidR="00BA7A7B" w:rsidRPr="00BE5E11" w:rsidRDefault="00BA7A7B" w:rsidP="008556F9">
      <w:pPr>
        <w:pStyle w:val="NormalWeb"/>
        <w:jc w:val="both"/>
      </w:pPr>
      <w:r w:rsidRPr="00BE5E11">
        <w:t>The very positive assessment of services (58.65%) by users reflects a restored confidence in the community health system. However, the fact that only 53.01% of professional relationships are rated as "good" points to weaknesses in the supervisory chain. This result echoes the warnings of the Community Health Impact Coal</w:t>
      </w:r>
      <w:r w:rsidRPr="00BE5E11">
        <w:t>i</w:t>
      </w:r>
      <w:r w:rsidRPr="00BE5E11">
        <w:t>tion in 2024, which suggests that without formative supervision and fluid lines of communication with co</w:t>
      </w:r>
      <w:r w:rsidRPr="00BE5E11">
        <w:t>m</w:t>
      </w:r>
      <w:r w:rsidRPr="00BE5E11">
        <w:t>munity health center (CHC) staff, the risk of community health worker (CHW) demotivation increases, parti</w:t>
      </w:r>
      <w:r w:rsidRPr="00BE5E11">
        <w:t>c</w:t>
      </w:r>
      <w:r w:rsidRPr="00BE5E11">
        <w:t xml:space="preserve">ularly in a context where implementing actors express a level of satisfaction (67.29%) that seems disconnected from the logistical realities faced by staff </w:t>
      </w:r>
      <w:r w:rsidR="00E607B7" w:rsidRPr="00BE5E11">
        <w:fldChar w:fldCharType="begin"/>
      </w:r>
      <w:r w:rsidR="00E607B7" w:rsidRPr="00BE5E11">
        <w:instrText xml:space="preserve"> ADDIN ZOTERO_ITEM CSL_CITATION {"citationID":"uuq8IPTF","properties":{"formattedCitation":"(22)","plainCitation":"(22)","noteIndex":0},"citationItems":[{"id":1126,"uris":["http://zotero.org/users/14913392/items/3BT78JDI"],"itemData":{"id":1126,"type":"post-weblog","abstract":"The role of community health workers (CHWs) in improving health equity and coverage across the world.","container-title":"Community Health Impact Coalition","genre":"Les arguments en faveur des TCS : Champions du système de santé","language":"fr","title":"The Case for CHWs: Champions of the Health System.","title-short":"The Case for CHWs","URL":"https://joinchic.org/resources/the-case-for-chws-champions-of-the-health-system/","author":[{"literal":"CHIC"}],"accessed":{"date-parts":[["2026",3,19]]},"issued":{"date-parts":[["2024"]]}}}],"schema":"https://github.com/citation-style-language/schema/raw/master/csl-citation.json"} </w:instrText>
      </w:r>
      <w:r w:rsidR="00E607B7" w:rsidRPr="00BE5E11">
        <w:fldChar w:fldCharType="separate"/>
      </w:r>
      <w:r w:rsidR="00E607B7" w:rsidRPr="00BE5E11">
        <w:t xml:space="preserve">(22) </w:t>
      </w:r>
      <w:r w:rsidR="00E607B7" w:rsidRPr="00BE5E11">
        <w:fldChar w:fldCharType="end"/>
      </w:r>
      <w:r w:rsidRPr="00BE5E11">
        <w:t>.</w:t>
      </w:r>
    </w:p>
    <w:p w14:paraId="2FC153D1" w14:textId="6B61D2B1" w:rsidR="00BA7A7B" w:rsidRPr="00BE5E11" w:rsidRDefault="00BA7A7B" w:rsidP="008556F9">
      <w:pPr>
        <w:pStyle w:val="NormalWeb"/>
        <w:jc w:val="both"/>
      </w:pPr>
      <w:r w:rsidRPr="00BE5E11">
        <w:t xml:space="preserve">Finally, this divergence in perception regarding overall satisfaction (users vs. implementing actors) suggests a need to strengthen social accountability mechanisms. Based on the findings of </w:t>
      </w:r>
      <w:proofErr w:type="spellStart"/>
      <w:r w:rsidRPr="00BE5E11">
        <w:t>VanderZanden</w:t>
      </w:r>
      <w:proofErr w:type="spellEnd"/>
      <w:r w:rsidRPr="00BE5E11">
        <w:t xml:space="preserve"> et al. in 2024, the resilience of a primary healthcare system depends not only on the competence of its staff, but also on the harmony of relationships between the community and referral facilities </w:t>
      </w:r>
      <w:r w:rsidR="000F3D79" w:rsidRPr="00BE5E11">
        <w:fldChar w:fldCharType="begin"/>
      </w:r>
      <w:r w:rsidR="000F3D79" w:rsidRPr="00BE5E11">
        <w:instrText xml:space="preserve"> ADDIN ZOTERO_ITEM CSL_CITATION {"citationID":"fHjI5XHN","properties":{"formattedCitation":"(23)","plainCitation":"(23)","noteIndex":0},"citationItems":[{"id":1130,"uris":["http://zotero.org/users/14913392/items/CPDAZNC3"],"itemData":{"id":1130,"type":"article-journal","container-title":"Journal of Global Health","DOI":"10.7189/jogh.14.05023","ISSN":"2047-2978, 2047-2986","journalAbbreviation":"J Glob Health","language":"en","page":"05023","source":"DOI.org (Crossref)","title":"Evidence of health system resilience in primary health care for preventing under-five mortality in Rwanda and Bangladesh: Lessons from an implementation study during the Millennium Development Goal period and the early period of COVID-19","title-short":"Evidence of health system resilience in primary health care for preventing under-five mortality in Rwanda and Bangladesh","URL":"https://jogh.org/2024/jogh-14-05023","volume":"14","author":[{"family":"VanderZanden","given":"Amelia"},{"family":"Amberbir","given":"Alemayehu"},{"family":"Sayinzoga","given":"Felix"},{"family":"Huda","given":"Fauzia Akhter"},{"family":"Ntawukuriryayo","given":"Jovial Thomas"},{"family":"Mathewos","given":"Kedest"},{"family":"Binagwaho","given":"Agnes"},{"family":"Hirschhorn","given":"Lisa R"}],"accessed":{"date-parts":[["2026",3,19]]},"issued":{"date-parts":[["2024",7,5]]}}}],"schema":"https://github.com/citation-style-language/schema/raw/master/csl-citation.json"} </w:instrText>
      </w:r>
      <w:r w:rsidR="000F3D79" w:rsidRPr="00BE5E11">
        <w:fldChar w:fldCharType="separate"/>
      </w:r>
      <w:r w:rsidR="000F3D79" w:rsidRPr="00BE5E11">
        <w:t xml:space="preserve">(23) </w:t>
      </w:r>
      <w:r w:rsidR="000F3D79" w:rsidRPr="00BE5E11">
        <w:fldChar w:fldCharType="end"/>
      </w:r>
      <w:r w:rsidRPr="00BE5E11">
        <w:t>. In Mali, stabilizing these profe</w:t>
      </w:r>
      <w:r w:rsidRPr="00BE5E11">
        <w:t>s</w:t>
      </w:r>
      <w:r w:rsidRPr="00BE5E11">
        <w:t>sional relationships is the next challenge to sustain the gains of the SEC strategy.</w:t>
      </w:r>
    </w:p>
    <w:p w14:paraId="1B43E1B2" w14:textId="1345DB1B" w:rsidR="001B419A" w:rsidRPr="00BE5E11" w:rsidRDefault="00B5684C" w:rsidP="008556F9">
      <w:pPr>
        <w:spacing w:before="240" w:after="240" w:line="240" w:lineRule="auto"/>
        <w:jc w:val="both"/>
        <w:rPr>
          <w:rFonts w:ascii="Times New Roman" w:hAnsi="Times New Roman"/>
          <w:b/>
          <w:bCs/>
          <w:sz w:val="24"/>
          <w:szCs w:val="24"/>
        </w:rPr>
      </w:pPr>
      <w:r w:rsidRPr="00BE5E11">
        <w:rPr>
          <w:rFonts w:ascii="Times New Roman" w:hAnsi="Times New Roman"/>
          <w:b/>
          <w:bCs/>
          <w:sz w:val="24"/>
          <w:szCs w:val="24"/>
        </w:rPr>
        <w:t>Working conditions and logistical environment of ASCs</w:t>
      </w:r>
    </w:p>
    <w:p w14:paraId="06383AD9" w14:textId="57A26101" w:rsidR="00017C08" w:rsidRPr="00BE5E11" w:rsidRDefault="00017C08" w:rsidP="008556F9">
      <w:pPr>
        <w:pStyle w:val="NormalWeb"/>
        <w:jc w:val="both"/>
      </w:pPr>
      <w:r w:rsidRPr="00BE5E11">
        <w:t xml:space="preserve">The paradox between the availability of infrastructure (housing and office space &gt; 80%) and the near-total absence of transportation (4.6%) highlights the forced </w:t>
      </w:r>
      <w:proofErr w:type="spellStart"/>
      <w:r w:rsidRPr="00BE5E11">
        <w:t>sedentarization</w:t>
      </w:r>
      <w:proofErr w:type="spellEnd"/>
      <w:r w:rsidRPr="00BE5E11">
        <w:t xml:space="preserve"> of community healthcare provision in Mali. While housing guarantees the physical presence of the community health worker, the lack of mobility contradicts the very essence of the "community-based care" strategy. As </w:t>
      </w:r>
      <w:proofErr w:type="spellStart"/>
      <w:r w:rsidRPr="00BE5E11">
        <w:t>Glenton</w:t>
      </w:r>
      <w:proofErr w:type="spellEnd"/>
      <w:r w:rsidRPr="00BE5E11">
        <w:t xml:space="preserve"> et al. indicated in 2021, the community health worker's ability to conduct home visits is the primary determinant of reducing infant and child mortality, as it allows for the identification of malnourished children before the onset of complications </w:t>
      </w:r>
      <w:r w:rsidR="00605C2F" w:rsidRPr="00BE5E11">
        <w:fldChar w:fldCharType="begin"/>
      </w:r>
      <w:r w:rsidR="00605C2F" w:rsidRPr="00BE5E11">
        <w:instrText xml:space="preserve"> ADDIN ZOTERO_ITEM CSL_CITATION {"citationID":"4JOee6sH","properties":{"formattedCitation":"(19)","plainCitation":"(19)","noteIndex":0},"citationItems":[{"id":1118,"uris":["http://zotero.org/users/14913392/items/BNXZ2UIW"],"itemData":{"id":1118,"type":"article-journal","abstract":"BACKGROUND: This is the fifth of our 11-paper supplement on \"Community Health Workers at the Dawn of a New Era.\" When planning new community health worker (CHW) roles or expanding existing roles, programme planners need to analyse global and local research evidence and evidence-based guidance on the effectiveness and safety of relevant tasks performed by CHWs.\nMETHODS: In this paper, we explore key areas of consideration when selecting roles and tasks; present current knowledge regarding these issues; and suggest how decision-makers could consider these issues when assigning tasks in their setting. This paper draws on the chapter \"Community Health Worker Roles and Tasks\" in Developing and Strengthening Community Health Worker Programs at Scale: A Reference Guide and Case Studies for Program Managers and Policymakers, as well as on a recently published compendium of 29 case studies of national CHW programmes and on recently published literature pertaining to roles and tasks of CHWs.\nRESULTS: This paper provides a list of questions that aim to help programme planners think about important issues when determining CHW roles and tasks in their setting. Planners need to assess whether the recommended roles and tasks are considered acceptable and appropriate by their target population and by the CHWs themselves and those who support them. Planners also need to think about the practical and organizational implications of each task for their particular setting with regard to training requirements, health systems support, work location, workload, and programme costs.\nCONCLUSION: When planning CHW roles and tasks, planners, programme implementers, and policy-makers should draw from global guidance and research evidence, but they also need to engage with the experiences, needs, and concerns of local communities and health workers. By drawing from both sources of information, they will stand a better chance of developing programmes that are effective in achieving their goals while remaining acceptable to those affected by them, feasible to implement, and sustainable over time.","container-title":"Health Research Policy and Systems","DOI":"10.1186/s12961-021-00748-4","ISSN":"1478-4505","issue":"Suppl 3","journalAbbreviation":"Health Res Policy Syst","language":"eng","page":"128","PMID":"34641903","PMCID":"PMC8506082","source":"PubMed","title":"Community health workers at the dawn of a new era: 5. Roles and tasks","title-short":"Community health workers at the dawn of a new era","volume":"19","author":[{"family":"Glenton","given":"Claire"},{"family":"Javadi","given":"Dena"},{"family":"Perry","given":"Henry B."}],"issued":{"date-parts":[["2021",10,12]]}}}],"schema":"https://github.com/citation-style-language/schema/raw/master/csl-citation.json"} </w:instrText>
      </w:r>
      <w:r w:rsidR="00605C2F" w:rsidRPr="00BE5E11">
        <w:fldChar w:fldCharType="separate"/>
      </w:r>
      <w:r w:rsidR="00605C2F" w:rsidRPr="00BE5E11">
        <w:t xml:space="preserve">(19) </w:t>
      </w:r>
      <w:r w:rsidR="00605C2F" w:rsidRPr="00BE5E11">
        <w:fldChar w:fldCharType="end"/>
      </w:r>
      <w:r w:rsidRPr="00BE5E11">
        <w:t>.</w:t>
      </w:r>
    </w:p>
    <w:p w14:paraId="363648BC" w14:textId="3C79C199" w:rsidR="00017C08" w:rsidRPr="00BE5E11" w:rsidRDefault="00017C08" w:rsidP="008556F9">
      <w:pPr>
        <w:pStyle w:val="NormalWeb"/>
        <w:jc w:val="both"/>
      </w:pPr>
      <w:r w:rsidRPr="00BE5E11">
        <w:lastRenderedPageBreak/>
        <w:t xml:space="preserve">This mobility deficit (4.6%) places Mali in a position of operational vulnerability compared to other sub-Saharan models. In comparison, the work of </w:t>
      </w:r>
      <w:proofErr w:type="spellStart"/>
      <w:r w:rsidRPr="00BE5E11">
        <w:t>VanderZanden</w:t>
      </w:r>
      <w:proofErr w:type="spellEnd"/>
      <w:r w:rsidRPr="00BE5E11">
        <w:t xml:space="preserve"> et al. </w:t>
      </w:r>
      <w:r w:rsidR="00605C2F" w:rsidRPr="00BE5E11">
        <w:t xml:space="preserve">in 2024 on the resilience of health systems shows that the effectiveness of community health workers (CHWs) in Rwanda relies on integrated transport logistics, ensuring the link between the village and the referral health center </w:t>
      </w:r>
      <w:r w:rsidR="00605C2F" w:rsidRPr="00BE5E11">
        <w:fldChar w:fldCharType="begin"/>
      </w:r>
      <w:r w:rsidR="00605C2F" w:rsidRPr="00BE5E11">
        <w:instrText xml:space="preserve"> ADDIN ZOTERO_ITEM CSL_CITATION {"citationID":"lNUlp8NT","properties":{"formattedCitation":"(23)","plainCitation":"(23)","noteIndex":0},"citationItems":[{"id":1130,"uris":["http://zotero.org/users/14913392/items/CPDAZNC3"],"itemData":{"id":1130,"type":"article-journal","container-title":"Journal of Global Health","DOI":"10.7189/jogh.14.05023","ISSN":"2047-2978, 2047-2986","journalAbbreviation":"J Glob Health","language":"en","page":"05023","source":"DOI.org (Crossref)","title":"Evidence of health system resilience in primary health care for preventing under-five mortality in Rwanda and Bangladesh: Lessons from an implementation study during the Millennium Development Goal period and the early period of COVID-19","title-short":"Evidence of health system resilience in primary health care for preventing under-five mortality in Rwanda and Bangladesh","URL":"https://jogh.org/2024/jogh-14-05023","volume":"14","author":[{"family":"VanderZanden","given":"Amelia"},{"family":"Amberbir","given":"Alemayehu"},{"family":"Sayinzoga","given":"Felix"},{"family":"Huda","given":"Fauzia Akhter"},{"family":"Ntawukuriryayo","given":"Jovial Thomas"},{"family":"Mathewos","given":"Kedest"},{"family":"Binagwaho","given":"Agnes"},{"family":"Hirschhorn","given":"Lisa R"}],"accessed":{"date-parts":[["2026",3,19]]},"issued":{"date-parts":[["2024",7,5]]}}}],"schema":"https://github.com/citation-style-language/schema/raw/master/csl-citation.json"} </w:instrText>
      </w:r>
      <w:r w:rsidR="00605C2F" w:rsidRPr="00BE5E11">
        <w:fldChar w:fldCharType="separate"/>
      </w:r>
      <w:r w:rsidR="00605C2F" w:rsidRPr="00BE5E11">
        <w:t xml:space="preserve">(23) </w:t>
      </w:r>
      <w:r w:rsidR="00605C2F" w:rsidRPr="00BE5E11">
        <w:fldChar w:fldCharType="end"/>
      </w:r>
      <w:r w:rsidRPr="00BE5E11">
        <w:t>. In Mali, the lack of transport, coupled with residual insecurity, limits the action of health workers to a restricted radius around their site, thus creating health "blind spots" within the health areas themselves.</w:t>
      </w:r>
    </w:p>
    <w:p w14:paraId="5B912D16" w14:textId="2E79E92D" w:rsidR="00017C08" w:rsidRPr="00BE5E11" w:rsidRDefault="00017C08" w:rsidP="008556F9">
      <w:pPr>
        <w:pStyle w:val="NormalWeb"/>
        <w:jc w:val="both"/>
      </w:pPr>
      <w:r w:rsidRPr="00BE5E11">
        <w:t xml:space="preserve">Finally, this logistical insecurity directly impacts staff motivation and retention. According to the Community Health Impact Coalition's 2024 advocacy, a health worker without means of transportation is one whose social authority is eroded, as they cannot respond to nighttime emergencies or critical referrals </w:t>
      </w:r>
      <w:r w:rsidR="00C77D65" w:rsidRPr="00BE5E11">
        <w:fldChar w:fldCharType="begin"/>
      </w:r>
      <w:r w:rsidR="00C77D65" w:rsidRPr="00BE5E11">
        <w:instrText xml:space="preserve"> ADDIN ZOTERO_ITEM CSL_CITATION {"citationID":"gwmiPKH2","properties":{"formattedCitation":"(5)","plainCitation":"(5)","noteIndex":0},"citationItems":[{"id":1087,"uris":["http://zotero.org/users/14913392/items/FEUFBMVP"],"itemData":{"id":1087,"type":"webpage","abstract":"The Case for CHWs: Champions of the health system","publisher":"Community Health Impact Coalition","title":"Plaidoyer pour les agents de santé communautaires : champions des systèmes de santé","URL":"https://joinchic.org/resources/the-case-for-chws-champions-of-the-health-system/","author":[{"literal":"CHIC"}],"issued":{"date-parts":[["2024"]]}}}],"schema":"https://github.com/citation-style-language/schema/raw/master/csl-citation.json"} </w:instrText>
      </w:r>
      <w:r w:rsidR="00C77D65" w:rsidRPr="00BE5E11">
        <w:fldChar w:fldCharType="separate"/>
      </w:r>
      <w:r w:rsidR="00C77D65" w:rsidRPr="00BE5E11">
        <w:t xml:space="preserve">(5) </w:t>
      </w:r>
      <w:r w:rsidR="00C77D65" w:rsidRPr="00BE5E11">
        <w:fldChar w:fldCharType="end"/>
      </w:r>
      <w:r w:rsidRPr="00BE5E11">
        <w:t>. For Mali, the sustainability of the SEC strategy will require massive investment in mobility (motorcycles, bicycles, or vi</w:t>
      </w:r>
      <w:r w:rsidRPr="00BE5E11">
        <w:t>l</w:t>
      </w:r>
      <w:r w:rsidRPr="00BE5E11">
        <w:t>lage emergency transport systems) to transform "fixed sites" into genuine mobile health hubs.</w:t>
      </w:r>
    </w:p>
    <w:p w14:paraId="41204ED8" w14:textId="77777777" w:rsidR="00DB0AD5" w:rsidRPr="00BE5E11" w:rsidRDefault="00DB0AD5" w:rsidP="008556F9">
      <w:pPr>
        <w:pStyle w:val="NormalWeb"/>
        <w:jc w:val="both"/>
        <w:rPr>
          <w:b/>
          <w:bCs/>
        </w:rPr>
      </w:pPr>
      <w:r w:rsidRPr="00BE5E11">
        <w:rPr>
          <w:b/>
          <w:bCs/>
        </w:rPr>
        <w:t>Clinical performance of community health workers in the management of moderate acute malnutrition (MAM)</w:t>
      </w:r>
    </w:p>
    <w:p w14:paraId="4693A4E4" w14:textId="37106C43" w:rsidR="008C0430" w:rsidRPr="00BE5E11" w:rsidRDefault="008C0430" w:rsidP="008556F9">
      <w:pPr>
        <w:pStyle w:val="NormalWeb"/>
        <w:jc w:val="both"/>
      </w:pPr>
      <w:r w:rsidRPr="00BE5E11">
        <w:t xml:space="preserve">The dramatic increase in the number of cases treated by community health workers (CHWs) between 2016 and 2023 (a twelvefold increase) validates the hypothesis of the effectiveness of the paradigm shift towards community-based care in Mali. This growth reflects not only an expansion of the geographic coverage of community-based care sites, but also an improvement in active screening. As </w:t>
      </w:r>
      <w:proofErr w:type="spellStart"/>
      <w:r w:rsidRPr="00BE5E11">
        <w:t>Charle</w:t>
      </w:r>
      <w:proofErr w:type="spellEnd"/>
      <w:r w:rsidRPr="00BE5E11">
        <w:t>-Cuellar et al. highlighted in 2020, the integration of MAM management by CHWs reduces the time to treatment, thus preventing pr</w:t>
      </w:r>
      <w:r w:rsidRPr="00BE5E11">
        <w:t>o</w:t>
      </w:r>
      <w:r w:rsidRPr="00BE5E11">
        <w:t xml:space="preserve">gression to severe acute malnutrition (SAM) and fatal complications </w:t>
      </w:r>
      <w:r w:rsidR="00783A32" w:rsidRPr="00BE5E11">
        <w:fldChar w:fldCharType="begin"/>
      </w:r>
      <w:r w:rsidR="00783A32" w:rsidRPr="00BE5E11">
        <w:instrText xml:space="preserve"> ADDIN ZOTERO_ITEM CSL_CITATION {"citationID":"yB5gO7rz","properties":{"formattedCitation":"(25)","plainCitation":"(25)","noteIndex":0},"citationItems":[{"id":1136,"uris":["http://zotero.org/users/14913392/items/6JBVHLAU"],"itemData":{"id":1136,"type":"webpage","container-title":"Pilar Charle-Cuellar, Noemi Lopez-Ejeda, Magloire Bunkembo, Abdias Ogobara Dougnon et Hassane Toukou Souleymane","language":"fr","title":"Prise en charge de la malnutrition aiguë sévère par les agents de santé communautaires : Premiers résultats de la recherche d'Action contre la faim | FRN","title-short":"Prise en charge de la malnutrition aiguë sévère par les agents de santé communautaires","URL":"https://www.ennonline.net/fex/60/fr/prise-en-charge-de-la-malnutrition-aigue-severe-par-les-agents-de-sante-communautaires","author":[{"literal":"Pilar Charle-Cuellar"},{"literal":"Noemi Lopez-Ejeda"},{"literal":"Magloire Bunkembo"},{"literal":"Abdias Ogobara Dougnon"},{"literal":"Hassane Toukou Souleymane"}],"accessed":{"date-parts":[["2026",3,19]]},"issued":{"date-parts":[["2020",1,26]]}}}],"schema":"https://github.com/citation-style-language/schema/raw/master/csl-citation.json"} </w:instrText>
      </w:r>
      <w:r w:rsidR="00783A32" w:rsidRPr="00BE5E11">
        <w:fldChar w:fldCharType="separate"/>
      </w:r>
      <w:r w:rsidR="00783A32" w:rsidRPr="00BE5E11">
        <w:t xml:space="preserve">(25) </w:t>
      </w:r>
      <w:r w:rsidR="00783A32" w:rsidRPr="00BE5E11">
        <w:fldChar w:fldCharType="end"/>
      </w:r>
      <w:r w:rsidRPr="00BE5E11">
        <w:t>.</w:t>
      </w:r>
    </w:p>
    <w:p w14:paraId="29299C0A" w14:textId="6A458B8F" w:rsidR="008C0430" w:rsidRPr="00BE5E11" w:rsidRDefault="008C0430" w:rsidP="008556F9">
      <w:pPr>
        <w:pStyle w:val="NormalWeb"/>
        <w:jc w:val="both"/>
      </w:pPr>
      <w:r w:rsidRPr="00BE5E11">
        <w:t xml:space="preserve">The predominance of the </w:t>
      </w:r>
      <w:proofErr w:type="spellStart"/>
      <w:r w:rsidRPr="00BE5E11">
        <w:t>Ségou</w:t>
      </w:r>
      <w:proofErr w:type="spellEnd"/>
      <w:r w:rsidRPr="00BE5E11">
        <w:t xml:space="preserve"> region in terms of both the volume of services provided (39.7%) and coverage rates (26.11%) could be explained by a more stable supply chain for nutritional inputs or closer supervision of staff in this area. Conversely, the poor performance in </w:t>
      </w:r>
      <w:proofErr w:type="spellStart"/>
      <w:r w:rsidRPr="00BE5E11">
        <w:t>Kayes</w:t>
      </w:r>
      <w:proofErr w:type="spellEnd"/>
      <w:r w:rsidRPr="00BE5E11">
        <w:t xml:space="preserve"> suggests specific barriers, possibly related to its isolation or high staff turnover. These disparities were discussed in the work of </w:t>
      </w:r>
      <w:proofErr w:type="spellStart"/>
      <w:r w:rsidRPr="00BE5E11">
        <w:t>Glenton</w:t>
      </w:r>
      <w:proofErr w:type="spellEnd"/>
      <w:r w:rsidRPr="00BE5E11">
        <w:t xml:space="preserve"> et al. in 2021, which reiterates that the performance of community health workers is not uniform and depends heavily on logistical support and the density of the local supervisory network </w:t>
      </w:r>
      <w:r w:rsidR="009F5F4D" w:rsidRPr="00BE5E11">
        <w:fldChar w:fldCharType="begin"/>
      </w:r>
      <w:r w:rsidR="009F5F4D" w:rsidRPr="00BE5E11">
        <w:instrText xml:space="preserve"> ADDIN ZOTERO_ITEM CSL_CITATION {"citationID":"8XHhyK1w","properties":{"formattedCitation":"(19)","plainCitation":"(19)","noteIndex":0},"citationItems":[{"id":1118,"uris":["http://zotero.org/users/14913392/items/BNXZ2UIW"],"itemData":{"id":1118,"type":"article-journal","abstract":"BACKGROUND: This is the fifth of our 11-paper supplement on \"Community Health Workers at the Dawn of a New Era.\" When planning new community health worker (CHW) roles or expanding existing roles, programme planners need to analyse global and local research evidence and evidence-based guidance on the effectiveness and safety of relevant tasks performed by CHWs.\nMETHODS: In this paper, we explore key areas of consideration when selecting roles and tasks; present current knowledge regarding these issues; and suggest how decision-makers could consider these issues when assigning tasks in their setting. This paper draws on the chapter \"Community Health Worker Roles and Tasks\" in Developing and Strengthening Community Health Worker Programs at Scale: A Reference Guide and Case Studies for Program Managers and Policymakers, as well as on a recently published compendium of 29 case studies of national CHW programmes and on recently published literature pertaining to roles and tasks of CHWs.\nRESULTS: This paper provides a list of questions that aim to help programme planners think about important issues when determining CHW roles and tasks in their setting. Planners need to assess whether the recommended roles and tasks are considered acceptable and appropriate by their target population and by the CHWs themselves and those who support them. Planners also need to think about the practical and organizational implications of each task for their particular setting with regard to training requirements, health systems support, work location, workload, and programme costs.\nCONCLUSION: When planning CHW roles and tasks, planners, programme implementers, and policy-makers should draw from global guidance and research evidence, but they also need to engage with the experiences, needs, and concerns of local communities and health workers. By drawing from both sources of information, they will stand a better chance of developing programmes that are effective in achieving their goals while remaining acceptable to those affected by them, feasible to implement, and sustainable over time.","container-title":"Health Research Policy and Systems","DOI":"10.1186/s12961-021-00748-4","ISSN":"1478-4505","issue":"Suppl 3","journalAbbreviation":"Health Res Policy Syst","language":"eng","page":"128","PMID":"34641903","PMCID":"PMC8506082","source":"PubMed","title":"Community health workers at the dawn of a new era: 5. Roles and tasks","title-short":"Community health workers at the dawn of a new era","volume":"19","author":[{"family":"Glenton","given":"Claire"},{"family":"Javadi","given":"Dena"},{"family":"Perry","given":"Henry B."}],"issued":{"date-parts":[["2021",10,12]]}}}],"schema":"https://github.com/citation-style-language/schema/raw/master/csl-citation.json"} </w:instrText>
      </w:r>
      <w:r w:rsidR="009F5F4D" w:rsidRPr="00BE5E11">
        <w:fldChar w:fldCharType="separate"/>
      </w:r>
      <w:r w:rsidR="009F5F4D" w:rsidRPr="00BE5E11">
        <w:t xml:space="preserve">(19) </w:t>
      </w:r>
      <w:r w:rsidR="009F5F4D" w:rsidRPr="00BE5E11">
        <w:fldChar w:fldCharType="end"/>
      </w:r>
      <w:r w:rsidRPr="00BE5E11">
        <w:t>.</w:t>
      </w:r>
    </w:p>
    <w:p w14:paraId="3C5403F9" w14:textId="20E5EA48" w:rsidR="008C0430" w:rsidRPr="00BE5E11" w:rsidRDefault="008C0430" w:rsidP="008556F9">
      <w:pPr>
        <w:pStyle w:val="NormalWeb"/>
        <w:jc w:val="both"/>
      </w:pPr>
      <w:r w:rsidRPr="00BE5E11">
        <w:t>The peak in activity observed in 2023 (33,204 cases) coincides with a period of increased nutritional vulner</w:t>
      </w:r>
      <w:r w:rsidRPr="00BE5E11">
        <w:t>a</w:t>
      </w:r>
      <w:r w:rsidRPr="00BE5E11">
        <w:t xml:space="preserve">bility in the Sahel. The capacity of community health workers to absorb 34% of the disease burden that year demonstrates the resilience of the primary healthcare system, consistent with the observations of </w:t>
      </w:r>
      <w:proofErr w:type="spellStart"/>
      <w:r w:rsidRPr="00BE5E11">
        <w:t>VanderZa</w:t>
      </w:r>
      <w:r w:rsidRPr="00BE5E11">
        <w:t>n</w:t>
      </w:r>
      <w:r w:rsidRPr="00BE5E11">
        <w:t>den</w:t>
      </w:r>
      <w:proofErr w:type="spellEnd"/>
      <w:r w:rsidRPr="00BE5E11">
        <w:t xml:space="preserve"> et al. in 2024 on the importance of frontline workers in times of crisis </w:t>
      </w:r>
      <w:r w:rsidR="009F5F4D" w:rsidRPr="00BE5E11">
        <w:fldChar w:fldCharType="begin"/>
      </w:r>
      <w:r w:rsidR="009F5F4D" w:rsidRPr="00BE5E11">
        <w:instrText xml:space="preserve"> ADDIN ZOTERO_ITEM CSL_CITATION {"citationID":"R5CJEdXB","properties":{"formattedCitation":"(23)","plainCitation":"(23)","noteIndex":0},"citationItems":[{"id":1130,"uris":["http://zotero.org/users/14913392/items/CPDAZNC3"],"itemData":{"id":1130,"type":"article-journal","container-title":"Journal of Global Health","DOI":"10.7189/jogh.14.05023","ISSN":"2047-2978, 2047-2986","journalAbbreviation":"J Glob Health","language":"en","page":"05023","source":"DOI.org (Crossref)","title":"Evidence of health system resilience in primary health care for preventing under-five mortality in Rwanda and Bangladesh: Lessons from an implementation study during the Millennium Development Goal period and the early period of COVID-19","title-short":"Evidence of health system resilience in primary health care for preventing under-five mortality in Rwanda and Bangladesh","URL":"https://jogh.org/2024/jogh-14-05023","volume":"14","author":[{"family":"VanderZanden","given":"Amelia"},{"family":"Amberbir","given":"Alemayehu"},{"family":"Sayinzoga","given":"Felix"},{"family":"Huda","given":"Fauzia Akhter"},{"family":"Ntawukuriryayo","given":"Jovial Thomas"},{"family":"Mathewos","given":"Kedest"},{"family":"Binagwaho","given":"Agnes"},{"family":"Hirschhorn","given":"Lisa R"}],"accessed":{"date-parts":[["2026",3,19]]},"issued":{"date-parts":[["2024",7,5]]}}}],"schema":"https://github.com/citation-style-language/schema/raw/master/csl-citation.json"} </w:instrText>
      </w:r>
      <w:r w:rsidR="009F5F4D" w:rsidRPr="00BE5E11">
        <w:fldChar w:fldCharType="separate"/>
      </w:r>
      <w:r w:rsidR="009F5F4D" w:rsidRPr="00BE5E11">
        <w:t xml:space="preserve">(23) </w:t>
      </w:r>
      <w:r w:rsidR="009F5F4D" w:rsidRPr="00BE5E11">
        <w:fldChar w:fldCharType="end"/>
      </w:r>
      <w:r w:rsidRPr="00BE5E11">
        <w:t>.</w:t>
      </w:r>
    </w:p>
    <w:p w14:paraId="7E294736" w14:textId="7F555F8C" w:rsidR="008C0430" w:rsidRPr="00BE5E11" w:rsidRDefault="008C0430" w:rsidP="008556F9">
      <w:pPr>
        <w:pStyle w:val="NormalWeb"/>
        <w:jc w:val="both"/>
      </w:pPr>
      <w:r w:rsidRPr="00BE5E11">
        <w:t xml:space="preserve">However, the average coverage rate of 14.42% remains far below the ambitions of universal health coverage. This gap between the relative contribution (23%) and the actual coverage of the total target highlights that, despite progress, a large proportion of malnourished children still fall through the cracks. To achieve the SDG 2 targets by 2030, it is imperative not only to maintain the current network but also to optimize active case finding strategies, particularly in low-performing regions such as </w:t>
      </w:r>
      <w:proofErr w:type="spellStart"/>
      <w:r w:rsidRPr="00BE5E11">
        <w:t>Kayes</w:t>
      </w:r>
      <w:proofErr w:type="spellEnd"/>
      <w:r w:rsidRPr="00BE5E11">
        <w:t xml:space="preserve"> and </w:t>
      </w:r>
      <w:proofErr w:type="spellStart"/>
      <w:r w:rsidRPr="00BE5E11">
        <w:t>Sikasso</w:t>
      </w:r>
      <w:proofErr w:type="spellEnd"/>
      <w:r w:rsidRPr="00BE5E11">
        <w:t>.</w:t>
      </w:r>
    </w:p>
    <w:p w14:paraId="07AD52C1" w14:textId="77777777" w:rsidR="006441CC" w:rsidRPr="00BE5E11" w:rsidRDefault="006441CC" w:rsidP="008556F9">
      <w:pPr>
        <w:pStyle w:val="NormalWeb"/>
        <w:jc w:val="both"/>
      </w:pPr>
      <w:r w:rsidRPr="00BE5E11">
        <w:t>Correlation between limited mobility and nutritional coverage deficit: A critical correlation emerges between the extreme deficit in means of transportation (4.6%) and the coverage rates of the target groups (14.42% for MAM and 27.89% for SAM). Although the volume of cases treated increased exponentially until 2024, the inability of staff to travel beyond their fixed site limits the impact of the strategy to a sedentary "island of care."</w:t>
      </w:r>
    </w:p>
    <w:p w14:paraId="1F4C64CC" w14:textId="77777777" w:rsidR="006441CC" w:rsidRPr="00BE5E11" w:rsidRDefault="006441CC" w:rsidP="008556F9">
      <w:pPr>
        <w:pStyle w:val="NormalWeb"/>
        <w:jc w:val="both"/>
      </w:pPr>
      <w:r w:rsidRPr="00BE5E11">
        <w:t xml:space="preserve">The theoretical model for community health workers (CHWs) relies on active screening through home visits. However, the lack of transportation transforms CHWs into passive providers waiting for patients at the site. As </w:t>
      </w:r>
      <w:proofErr w:type="spellStart"/>
      <w:r w:rsidRPr="00BE5E11">
        <w:t>Glenton</w:t>
      </w:r>
      <w:proofErr w:type="spellEnd"/>
      <w:r w:rsidRPr="00BE5E11">
        <w:t xml:space="preserve"> et al. (2021) point out, mobility is the essential driver of equity: without it, families living on the periphery of intervention areas remain excluded from the system, which explains why, despite 520,439 cases of severe acute malnutrition (SAM) treated, more than 70% of the total target is still not being met at the r</w:t>
      </w:r>
      <w:r w:rsidRPr="00BE5E11">
        <w:t>e</w:t>
      </w:r>
      <w:r w:rsidRPr="00BE5E11">
        <w:t>gional level.</w:t>
      </w:r>
    </w:p>
    <w:p w14:paraId="330E60DA" w14:textId="77777777" w:rsidR="006441CC" w:rsidRPr="00BE5E11" w:rsidRDefault="006441CC" w:rsidP="008556F9">
      <w:pPr>
        <w:pStyle w:val="NormalWeb"/>
        <w:jc w:val="both"/>
        <w:rPr>
          <w:b/>
          <w:bCs/>
        </w:rPr>
      </w:pPr>
      <w:r w:rsidRPr="00BE5E11">
        <w:rPr>
          <w:b/>
          <w:bCs/>
        </w:rPr>
        <w:lastRenderedPageBreak/>
        <w:t>Impact of working conditions on the quality of the reference</w:t>
      </w:r>
    </w:p>
    <w:p w14:paraId="50C39FCE" w14:textId="043A01C1" w:rsidR="006441CC" w:rsidRPr="00BE5E11" w:rsidRDefault="006441CC" w:rsidP="008556F9">
      <w:pPr>
        <w:pStyle w:val="NormalWeb"/>
        <w:jc w:val="both"/>
      </w:pPr>
      <w:r w:rsidRPr="00BE5E11">
        <w:t>Satisfactory access to housing (80%) and a suitable work environment (87.7%) has helped stabilize commun</w:t>
      </w:r>
      <w:r w:rsidRPr="00BE5E11">
        <w:t>i</w:t>
      </w:r>
      <w:r w:rsidRPr="00BE5E11">
        <w:t>ty health workers (CHWs) in their communities, fostering trust and social acceptance (97.9% satisfaction). However, this residential stability is affected by inadequate transportation infrastructure.</w:t>
      </w:r>
    </w:p>
    <w:p w14:paraId="7BD6766D" w14:textId="2CBA065C" w:rsidR="006441CC" w:rsidRPr="00BE5E11" w:rsidRDefault="006441CC" w:rsidP="008556F9">
      <w:pPr>
        <w:pStyle w:val="NormalWeb"/>
        <w:jc w:val="both"/>
      </w:pPr>
      <w:r w:rsidRPr="00BE5E11">
        <w:t>The management of severe acute malnutrition (SAM), which reached 77,757 cases in 2024, requires rigorous monitoring for warning signs. Lack of mobility hinders the ability of community health workers (CHWs) to accompany referrals to community health centers (CHCs), increasing the risk of death at home or delayed a</w:t>
      </w:r>
      <w:r w:rsidRPr="00BE5E11">
        <w:t>c</w:t>
      </w:r>
      <w:r w:rsidRPr="00BE5E11">
        <w:t xml:space="preserve">cess to care. This disruption in the care chain is identified by </w:t>
      </w:r>
      <w:proofErr w:type="spellStart"/>
      <w:r w:rsidRPr="00BE5E11">
        <w:t>LeBan</w:t>
      </w:r>
      <w:proofErr w:type="spellEnd"/>
      <w:r w:rsidRPr="00BE5E11">
        <w:t xml:space="preserve"> et al. (2021) as the main factor eroding the resilience of primary healthcare systems </w:t>
      </w:r>
      <w:r w:rsidR="00D853AE" w:rsidRPr="00BE5E11">
        <w:fldChar w:fldCharType="begin"/>
      </w:r>
      <w:r w:rsidR="00D853AE" w:rsidRPr="00BE5E11">
        <w:instrText xml:space="preserve"> ADDIN ZOTERO_ITEM CSL_CITATION {"citationID":"hDxmOkxr","properties":{"formattedCitation":"(20)","plainCitation":"(20)","noteIndex":0},"citationItems":[{"id":1106,"uris":["http://zotero.org/users/14913392/items/CFNZ4ZXU"],"itemData":{"id":1106,"type":"article-journal","abstract":"This is the ninth paper in our series, “Community Health Workers at the Dawn of a New Era”. Community health workers (CHWs) are in an intermediary position between the health system and the community. While this position provides CHWs with a good platform to improve community health, a major challenge in large-scale CHW programmes is the need for CHWs to establish and maintain beneficial relationships with both sets of actors, who may have different expectations and needs. This paper focuses on the quality of CHW relationships with actors at the local level of the national health system and with communities.","container-title":"Health Research Policy and Systems","DOI":"10.1186/s12961-021-00756-4","ISSN":"1478-4505","issue":"3","journalAbbreviation":"Health Res Policy Sys","language":"en","page":"116","source":"Springer Link","title":"Community health workers at the dawn of a new era: 9. CHWs’ relationships with the health system and communities","title-short":"Community health workers at the dawn of a new era","URL":"https://doi.org/10.1186/s12961-021-00756-4","volume":"19","author":[{"family":"LeBan","given":"Karen"},{"family":"Kok","given":"Maryse"},{"family":"Perry","given":"Henry B."}],"accessed":{"date-parts":[["2026",3,19]]},"issued":{"date-parts":[["2021",10,12]]}}}],"schema":"https://github.com/citation-style-language/schema/raw/master/csl-citation.json"} </w:instrText>
      </w:r>
      <w:r w:rsidR="00D853AE" w:rsidRPr="00BE5E11">
        <w:fldChar w:fldCharType="separate"/>
      </w:r>
      <w:r w:rsidR="00D853AE" w:rsidRPr="00BE5E11">
        <w:t xml:space="preserve">(20) </w:t>
      </w:r>
      <w:r w:rsidR="00D853AE" w:rsidRPr="00BE5E11">
        <w:fldChar w:fldCharType="end"/>
      </w:r>
      <w:r w:rsidRPr="00BE5E11">
        <w:t>. In Mali, the quantitative success of care (the number of ca</w:t>
      </w:r>
      <w:r w:rsidRPr="00BE5E11">
        <w:t>s</w:t>
      </w:r>
      <w:r w:rsidRPr="00BE5E11">
        <w:t>es) masks a qualitative vulnerability: the worker is present and housed, but is "immobile" in the face of the nutritional emergency.</w:t>
      </w:r>
    </w:p>
    <w:p w14:paraId="154167B7" w14:textId="77777777" w:rsidR="00D853AE" w:rsidRPr="00BE5E11" w:rsidRDefault="006441CC" w:rsidP="008556F9">
      <w:pPr>
        <w:pStyle w:val="NormalWeb"/>
        <w:jc w:val="both"/>
        <w:rPr>
          <w:b/>
          <w:bCs/>
        </w:rPr>
      </w:pPr>
      <w:r w:rsidRPr="00BE5E11">
        <w:rPr>
          <w:b/>
          <w:bCs/>
        </w:rPr>
        <w:t>Professionalization and retention: The challenge of 2030</w:t>
      </w:r>
    </w:p>
    <w:p w14:paraId="6D8A3692" w14:textId="68DEF694" w:rsidR="006441CC" w:rsidRPr="00BE5E11" w:rsidRDefault="006441CC" w:rsidP="008556F9">
      <w:pPr>
        <w:pStyle w:val="NormalWeb"/>
        <w:jc w:val="both"/>
      </w:pPr>
      <w:r w:rsidRPr="00BE5E11">
        <w:t>The correlation between secondary education level (67.47%) and the progression of cases recorded in DHIS2 suggests that Malian community health workers (CHWs) possess the intellectual skills to manage complex protocols. However, the Community Health Impact Coalition (2024) warns that worker satisfaction (67.29%) could plummet if the necessary resources (transportation, supplies) do not keep pace with the development of skills.</w:t>
      </w:r>
    </w:p>
    <w:p w14:paraId="6A5C6C5B" w14:textId="77777777" w:rsidR="006441CC" w:rsidRPr="00BE5E11" w:rsidRDefault="006441CC" w:rsidP="008556F9">
      <w:pPr>
        <w:pStyle w:val="NormalWeb"/>
        <w:jc w:val="both"/>
      </w:pPr>
      <w:r w:rsidRPr="00BE5E11">
        <w:t xml:space="preserve">For Mali to achieve SDG 2 by </w:t>
      </w:r>
      <w:proofErr w:type="gramStart"/>
      <w:r w:rsidRPr="00BE5E11">
        <w:t>2030,</w:t>
      </w:r>
      <w:proofErr w:type="gramEnd"/>
      <w:r w:rsidRPr="00BE5E11">
        <w:t xml:space="preserve"> the analysis suggests that simply increasing the number of community health workers or providing them with housing is no longer sufficient. Future performance will depend on transforming the "static" community health worker into a "mobile" one. The stagnation of coverage rates in </w:t>
      </w:r>
      <w:proofErr w:type="spellStart"/>
      <w:r w:rsidRPr="00BE5E11">
        <w:t>Kayes</w:t>
      </w:r>
      <w:proofErr w:type="spellEnd"/>
      <w:r w:rsidRPr="00BE5E11">
        <w:t xml:space="preserve"> and </w:t>
      </w:r>
      <w:proofErr w:type="spellStart"/>
      <w:r w:rsidRPr="00BE5E11">
        <w:t>Sikasso</w:t>
      </w:r>
      <w:proofErr w:type="spellEnd"/>
      <w:r w:rsidRPr="00BE5E11">
        <w:t>, despite high needs, confirms that housing alone does not guarantee universal access; only mobility can break the vicious cycle of malnutrition by reaching the most isolated households.</w:t>
      </w:r>
    </w:p>
    <w:p w14:paraId="591904FB" w14:textId="6396AB13" w:rsidR="002770E6" w:rsidRPr="00BE5E11" w:rsidRDefault="002770E6" w:rsidP="008556F9">
      <w:pPr>
        <w:pStyle w:val="NormalWeb"/>
        <w:jc w:val="both"/>
        <w:rPr>
          <w:b/>
          <w:bCs/>
        </w:rPr>
      </w:pPr>
      <w:r w:rsidRPr="00BE5E11">
        <w:rPr>
          <w:b/>
          <w:bCs/>
        </w:rPr>
        <w:t>Clinical performance of community health workers in the management of severe acute malnutrition (SAM)</w:t>
      </w:r>
    </w:p>
    <w:p w14:paraId="7962F964" w14:textId="4A4B3B1C" w:rsidR="000207CF" w:rsidRPr="00BE5E11" w:rsidRDefault="000207CF" w:rsidP="008556F9">
      <w:pPr>
        <w:spacing w:line="240" w:lineRule="auto"/>
        <w:jc w:val="both"/>
        <w:rPr>
          <w:rFonts w:ascii="Times New Roman" w:hAnsi="Times New Roman"/>
          <w:b/>
          <w:bCs/>
          <w:sz w:val="24"/>
          <w:szCs w:val="24"/>
          <w:lang w:eastAsia="fr-FR"/>
        </w:rPr>
      </w:pPr>
      <w:r w:rsidRPr="00BE5E11">
        <w:rPr>
          <w:rFonts w:ascii="Times New Roman" w:hAnsi="Times New Roman"/>
          <w:b/>
          <w:bCs/>
          <w:sz w:val="24"/>
          <w:szCs w:val="24"/>
          <w:lang w:eastAsia="fr-FR"/>
        </w:rPr>
        <w:t>Management of severe acute malnutrition (SAM) by community health workers</w:t>
      </w:r>
    </w:p>
    <w:p w14:paraId="37F04B4D" w14:textId="683B7884" w:rsidR="006954BE" w:rsidRPr="00BE5E11" w:rsidRDefault="006954BE" w:rsidP="008556F9">
      <w:pPr>
        <w:pStyle w:val="NormalWeb"/>
        <w:jc w:val="both"/>
      </w:pPr>
      <w:r w:rsidRPr="00BE5E11">
        <w:t>The scale of community health workers' (CHWs) management of severe acute malnutrition (SAM) (more than half a million cumulative cases) demonstrates that Mali has successfully transitioned from a purely hospital-based model to a community-based model for managing acute malnutrition. This evolution is all the more r</w:t>
      </w:r>
      <w:r w:rsidRPr="00BE5E11">
        <w:t>e</w:t>
      </w:r>
      <w:r w:rsidRPr="00BE5E11">
        <w:t xml:space="preserve">markable given that managing SAM requires strict adherence to protocols (use of ready-to-use therapeutic foods, monitoring for complications). As </w:t>
      </w:r>
      <w:proofErr w:type="spellStart"/>
      <w:r w:rsidRPr="00BE5E11">
        <w:t>Charle</w:t>
      </w:r>
      <w:proofErr w:type="spellEnd"/>
      <w:r w:rsidRPr="00BE5E11">
        <w:t>-Cuellar et al. pointed out in 2020, the involvement of CHWs not only reduces the workload of referral facilities but also decreases the dropout rate thanks to the geograp</w:t>
      </w:r>
      <w:r w:rsidRPr="00BE5E11">
        <w:t>h</w:t>
      </w:r>
      <w:r w:rsidRPr="00BE5E11">
        <w:t xml:space="preserve">ical proximity of treatment </w:t>
      </w:r>
      <w:r w:rsidR="00804755" w:rsidRPr="00BE5E11">
        <w:fldChar w:fldCharType="begin"/>
      </w:r>
      <w:r w:rsidR="00804755" w:rsidRPr="00BE5E11">
        <w:instrText xml:space="preserve"> ADDIN ZOTERO_ITEM CSL_CITATION {"citationID":"Vo8V3Wus","properties":{"formattedCitation":"(25)","plainCitation":"(25)","noteIndex":0},"citationItems":[{"id":1136,"uris":["http://zotero.org/users/14913392/items/6JBVHLAU"],"itemData":{"id":1136,"type":"webpage","container-title":"Pilar Charle-Cuellar, Noemi Lopez-Ejeda, Magloire Bunkembo, Abdias Ogobara Dougnon et Hassane Toukou Souleymane","language":"fr","title":"Prise en charge de la malnutrition aiguë sévère par les agents de santé communautaires : Premiers résultats de la recherche d'Action contre la faim | FRN","title-short":"Prise en charge de la malnutrition aiguë sévère par les agents de santé communautaires","URL":"https://www.ennonline.net/fex/60/fr/prise-en-charge-de-la-malnutrition-aigue-severe-par-les-agents-de-sante-communautaires","author":[{"literal":"Pilar Charle-Cuellar"},{"literal":"Noemi Lopez-Ejeda"},{"literal":"Magloire Bunkembo"},{"literal":"Abdias Ogobara Dougnon"},{"literal":"Hassane Toukou Souleymane"}],"accessed":{"date-parts":[["2026",3,19]]},"issued":{"date-parts":[["2020",1,26]]}}}],"schema":"https://github.com/citation-style-language/schema/raw/master/csl-citation.json"} </w:instrText>
      </w:r>
      <w:r w:rsidR="00804755" w:rsidRPr="00BE5E11">
        <w:fldChar w:fldCharType="separate"/>
      </w:r>
      <w:r w:rsidR="00804755" w:rsidRPr="00BE5E11">
        <w:t xml:space="preserve">(25) </w:t>
      </w:r>
      <w:r w:rsidR="00804755" w:rsidRPr="00BE5E11">
        <w:fldChar w:fldCharType="end"/>
      </w:r>
      <w:r w:rsidRPr="00BE5E11">
        <w:t>.</w:t>
      </w:r>
    </w:p>
    <w:p w14:paraId="188589F0" w14:textId="31334457" w:rsidR="006954BE" w:rsidRPr="00BE5E11" w:rsidRDefault="006954BE" w:rsidP="008556F9">
      <w:pPr>
        <w:pStyle w:val="NormalWeb"/>
        <w:jc w:val="both"/>
      </w:pPr>
      <w:r w:rsidRPr="00BE5E11">
        <w:t xml:space="preserve">However, the relative contribution of community health workers (CHWs) to the management of severe acute malnutrition (SAM) (6.89%) remains significantly lower than that observed for the moderate form (23.00%). This difference is explained by community health policy protocols: cases of SAM with complications must be referred to community health centers (CSCOMs). The performance observed in </w:t>
      </w:r>
      <w:proofErr w:type="spellStart"/>
      <w:r w:rsidRPr="00BE5E11">
        <w:t>Mopti</w:t>
      </w:r>
      <w:proofErr w:type="spellEnd"/>
      <w:r w:rsidRPr="00BE5E11">
        <w:t xml:space="preserve"> (53% coverage rate in 2024) is a major indicator of resilience. In a context of security vulnerability, CHWs play a "safety net" role, compensating for the difficulty of accessing fixed healthcare facilities, an observation that aligns with the r</w:t>
      </w:r>
      <w:r w:rsidRPr="00BE5E11">
        <w:t>e</w:t>
      </w:r>
      <w:r w:rsidRPr="00BE5E11">
        <w:t xml:space="preserve">silience lessons learned by </w:t>
      </w:r>
      <w:proofErr w:type="spellStart"/>
      <w:r w:rsidRPr="00BE5E11">
        <w:t>VanderZanden</w:t>
      </w:r>
      <w:proofErr w:type="spellEnd"/>
      <w:r w:rsidRPr="00BE5E11">
        <w:t xml:space="preserve"> et al. in 2024 in crisis contexts </w:t>
      </w:r>
      <w:r w:rsidR="00804755" w:rsidRPr="00BE5E11">
        <w:fldChar w:fldCharType="begin"/>
      </w:r>
      <w:r w:rsidR="00804755" w:rsidRPr="00BE5E11">
        <w:instrText xml:space="preserve"> ADDIN ZOTERO_ITEM CSL_CITATION {"citationID":"olC1ZXlm","properties":{"formattedCitation":"(23)","plainCitation":"(23)","noteIndex":0},"citationItems":[{"id":1130,"uris":["http://zotero.org/users/14913392/items/CPDAZNC3"],"itemData":{"id":1130,"type":"article-journal","container-title":"Journal of Global Health","DOI":"10.7189/jogh.14.05023","ISSN":"2047-2978, 2047-2986","journalAbbreviation":"J Glob Health","language":"en","page":"05023","source":"DOI.org (Crossref)","title":"Evidence of health system resilience in primary health care for preventing under-five mortality in Rwanda and Bangladesh: Lessons from an implementation study during the Millennium Development Goal period and the early period of COVID-19","title-short":"Evidence of health system resilience in primary health care for preventing under-five mortality in Rwanda and Bangladesh","URL":"https://jogh.org/2024/jogh-14-05023","volume":"14","author":[{"family":"VanderZanden","given":"Amelia"},{"family":"Amberbir","given":"Alemayehu"},{"family":"Sayinzoga","given":"Felix"},{"family":"Huda","given":"Fauzia Akhter"},{"family":"Ntawukuriryayo","given":"Jovial Thomas"},{"family":"Mathewos","given":"Kedest"},{"family":"Binagwaho","given":"Agnes"},{"family":"Hirschhorn","given":"Lisa R"}],"accessed":{"date-parts":[["2026",3,19]]},"issued":{"date-parts":[["2024",7,5]]}}}],"schema":"https://github.com/citation-style-language/schema/raw/master/csl-citation.json"} </w:instrText>
      </w:r>
      <w:r w:rsidR="00804755" w:rsidRPr="00BE5E11">
        <w:fldChar w:fldCharType="separate"/>
      </w:r>
      <w:r w:rsidR="00804755" w:rsidRPr="00BE5E11">
        <w:t xml:space="preserve">(23) </w:t>
      </w:r>
      <w:r w:rsidR="00804755" w:rsidRPr="00BE5E11">
        <w:fldChar w:fldCharType="end"/>
      </w:r>
      <w:r w:rsidRPr="00BE5E11">
        <w:t>.</w:t>
      </w:r>
    </w:p>
    <w:p w14:paraId="5609822B" w14:textId="77777777" w:rsidR="006954BE" w:rsidRPr="00BE5E11" w:rsidRDefault="006954BE" w:rsidP="008556F9">
      <w:pPr>
        <w:pStyle w:val="NormalWeb"/>
        <w:jc w:val="both"/>
      </w:pPr>
      <w:r w:rsidRPr="00BE5E11">
        <w:t xml:space="preserve">Conversely, the relatively low performance of the </w:t>
      </w:r>
      <w:proofErr w:type="spellStart"/>
      <w:r w:rsidRPr="00BE5E11">
        <w:t>Kayes</w:t>
      </w:r>
      <w:proofErr w:type="spellEnd"/>
      <w:r w:rsidRPr="00BE5E11">
        <w:t xml:space="preserve"> region (15.22% average coverage) raises questions about the adequacy of resources. The decline in activity observed after 2021 in this region could be linked to the logistical challenges mentioned earlier, particularly the lack of transportation (4.6% overall), which hi</w:t>
      </w:r>
      <w:r w:rsidRPr="00BE5E11">
        <w:t>n</w:t>
      </w:r>
      <w:r w:rsidRPr="00BE5E11">
        <w:t>ders the active search for severe cases.</w:t>
      </w:r>
    </w:p>
    <w:p w14:paraId="45D39E7C" w14:textId="69DCD560" w:rsidR="006954BE" w:rsidRPr="00BE5E11" w:rsidRDefault="006954BE" w:rsidP="008556F9">
      <w:pPr>
        <w:pStyle w:val="NormalWeb"/>
        <w:jc w:val="both"/>
      </w:pPr>
      <w:r w:rsidRPr="00BE5E11">
        <w:lastRenderedPageBreak/>
        <w:t>In conclusion, while the SEC strategy has helped absorb a growing share of the disease burden due to severe acute malnutrition (SAM), reaching its peak contribution in 2024, the overall coverage rates (27.89%) hig</w:t>
      </w:r>
      <w:r w:rsidRPr="00BE5E11">
        <w:t>h</w:t>
      </w:r>
      <w:r w:rsidRPr="00BE5E11">
        <w:t xml:space="preserve">light that the system remains insufficient to meet actual needs. To achieve the WHO's global nutrition goals (Vision 2030), Mali must urgently stabilize the supply of nutritional inputs at community health centers (CHCs) to prevent </w:t>
      </w:r>
      <w:proofErr w:type="spellStart"/>
      <w:r w:rsidRPr="00BE5E11">
        <w:t>stockouts</w:t>
      </w:r>
      <w:proofErr w:type="spellEnd"/>
      <w:r w:rsidRPr="00BE5E11">
        <w:t xml:space="preserve"> that discourage parents and compromise treatment effectiveness.</w:t>
      </w:r>
      <w:r w:rsidR="000715BB" w:rsidRPr="00BE5E11">
        <w:t xml:space="preserve"> </w:t>
      </w:r>
      <w:r w:rsidR="000715BB" w:rsidRPr="00BE5E11">
        <w:fldChar w:fldCharType="begin"/>
      </w:r>
      <w:r w:rsidR="000715BB" w:rsidRPr="00BE5E11">
        <w:instrText xml:space="preserve"> ADDIN ZOTERO_ITEM CSL_CITATION {"citationID":"fIWx6VhV","properties":{"formattedCitation":"(21)","plainCitation":"(21)","noteIndex":0},"citationItems":[{"id":1103,"uris":["http://zotero.org/users/14913392/items/KYVSD4PX"],"itemData":{"id":1103,"type":"report","publisher":"World Health Organization","publisher-place":"Geneva","title":"Global strategy on human resources for health: Vision 2030","author":[{"literal":"WHO"}],"issued":{"date-parts":[["2016"]]}}}],"schema":"https://github.com/citation-style-language/schema/raw/master/csl-citation.json"} </w:instrText>
      </w:r>
      <w:r w:rsidR="000715BB" w:rsidRPr="00BE5E11">
        <w:fldChar w:fldCharType="separate"/>
      </w:r>
      <w:r w:rsidR="000715BB" w:rsidRPr="00BE5E11">
        <w:t>(21</w:t>
      </w:r>
      <w:proofErr w:type="gramStart"/>
      <w:r w:rsidR="000715BB" w:rsidRPr="00BE5E11">
        <w:t xml:space="preserve">) </w:t>
      </w:r>
      <w:proofErr w:type="gramEnd"/>
      <w:r w:rsidR="000715BB" w:rsidRPr="00BE5E11">
        <w:fldChar w:fldCharType="end"/>
      </w:r>
      <w:r w:rsidRPr="00BE5E11">
        <w:t>.</w:t>
      </w:r>
    </w:p>
    <w:p w14:paraId="2DE36D02" w14:textId="29B87B28" w:rsidR="00C9609B" w:rsidRDefault="00C9609B" w:rsidP="008556F9">
      <w:pPr>
        <w:spacing w:before="240" w:after="240" w:line="240" w:lineRule="auto"/>
        <w:jc w:val="both"/>
        <w:rPr>
          <w:rFonts w:ascii="Times New Roman" w:eastAsia="Times New Roman" w:hAnsi="Times New Roman"/>
          <w:b/>
          <w:bCs/>
          <w:sz w:val="28"/>
          <w:szCs w:val="28"/>
          <w:lang w:eastAsia="fr-FR"/>
        </w:rPr>
      </w:pPr>
      <w:r w:rsidRPr="00C9609B">
        <w:rPr>
          <w:rFonts w:ascii="Times New Roman" w:eastAsia="Times New Roman" w:hAnsi="Times New Roman"/>
          <w:b/>
          <w:bCs/>
          <w:sz w:val="28"/>
          <w:szCs w:val="28"/>
          <w:lang w:eastAsia="fr-FR"/>
        </w:rPr>
        <w:t>CONCLUSION</w:t>
      </w:r>
    </w:p>
    <w:p w14:paraId="484133D4" w14:textId="573CEEB8" w:rsidR="00D76B3E" w:rsidRDefault="00D76B3E" w:rsidP="00FA250F">
      <w:pPr>
        <w:pStyle w:val="NormalWeb"/>
        <w:jc w:val="both"/>
      </w:pPr>
      <w:r>
        <w:t>This analysis, covering a decade of implementation of the Essential Community Health (ECH) strategy in M</w:t>
      </w:r>
      <w:r>
        <w:t>a</w:t>
      </w:r>
      <w:r>
        <w:t>li, reveals that community health workers (CHWs) have become the unshakeable foundation of national nutr</w:t>
      </w:r>
      <w:r>
        <w:t>i</w:t>
      </w:r>
      <w:r>
        <w:t xml:space="preserve">tional resilience. With over 662,000 cases of acute malnutrition (MAM and SAM) treated between 2015 and 2024, the shift to decentralized and </w:t>
      </w:r>
      <w:proofErr w:type="spellStart"/>
      <w:r>
        <w:t>deconcentrated</w:t>
      </w:r>
      <w:proofErr w:type="spellEnd"/>
      <w:r>
        <w:t xml:space="preserve"> management has proven its clinical effectiveness and s</w:t>
      </w:r>
      <w:r>
        <w:t>o</w:t>
      </w:r>
      <w:r>
        <w:t>cial acceptability, driven by a high proportion of women in the workforce (68%).</w:t>
      </w:r>
    </w:p>
    <w:p w14:paraId="086E2196" w14:textId="090E16EA" w:rsidR="00D76B3E" w:rsidRDefault="00D76B3E" w:rsidP="00FA250F">
      <w:pPr>
        <w:pStyle w:val="NormalWeb"/>
        <w:jc w:val="both"/>
      </w:pPr>
      <w:r>
        <w:t>However, the study reveals a critical paradox: while technical skills and community integration are strengt</w:t>
      </w:r>
      <w:r>
        <w:t>h</w:t>
      </w:r>
      <w:r>
        <w:t>ened, overall performance plateaus due to structural logistical insecurity. The alarming shortage of transport</w:t>
      </w:r>
      <w:r>
        <w:t>a</w:t>
      </w:r>
      <w:r>
        <w:t xml:space="preserve">tion (4.6%) and </w:t>
      </w:r>
      <w:proofErr w:type="spellStart"/>
      <w:r>
        <w:t>stockouts</w:t>
      </w:r>
      <w:proofErr w:type="spellEnd"/>
      <w:r>
        <w:t xml:space="preserve"> (37%) confine community health workers' activities to a static healthcare provision, leaving more than 70% of those affected by severe malnutrition out of reach in some regions.</w:t>
      </w:r>
    </w:p>
    <w:p w14:paraId="040B3B9B" w14:textId="53265D17" w:rsidR="00D76B3E" w:rsidRDefault="00D76B3E" w:rsidP="00FA250F">
      <w:pPr>
        <w:pStyle w:val="NormalWeb"/>
        <w:jc w:val="both"/>
      </w:pPr>
      <w:r>
        <w:t>For Mali to achieve Sustainable Development Goal 2 (SDG 2) by 2030, the transition from community-based volunteering to integrated professionalization is imperative. This requires priority investment in the mobility of healthcare workers and the digital security of the supply chain. In short, the survival of children in rural Mali no longer depends on the clinical validation of the model, but on the political will to remove the logist</w:t>
      </w:r>
      <w:r>
        <w:t>i</w:t>
      </w:r>
      <w:r>
        <w:t>cal barriers that still hinder the "last mile" of healthcare.</w:t>
      </w:r>
    </w:p>
    <w:p w14:paraId="1ACB3EBA" w14:textId="57AE7090" w:rsidR="00844B06" w:rsidRPr="00D76B3E" w:rsidRDefault="00D76B3E" w:rsidP="008556F9">
      <w:pPr>
        <w:spacing w:before="240" w:after="240" w:line="240" w:lineRule="auto"/>
        <w:jc w:val="both"/>
        <w:rPr>
          <w:rFonts w:ascii="Times New Roman" w:eastAsia="Times New Roman" w:hAnsi="Times New Roman"/>
          <w:b/>
          <w:bCs/>
          <w:sz w:val="28"/>
          <w:szCs w:val="28"/>
          <w:lang w:eastAsia="fr-FR"/>
        </w:rPr>
      </w:pPr>
      <w:r w:rsidRPr="00D76B3E">
        <w:rPr>
          <w:rFonts w:ascii="Times New Roman" w:eastAsia="Times New Roman" w:hAnsi="Times New Roman"/>
          <w:b/>
          <w:bCs/>
          <w:sz w:val="28"/>
          <w:szCs w:val="28"/>
          <w:lang w:eastAsia="fr-FR"/>
        </w:rPr>
        <w:t>THANKS</w:t>
      </w:r>
    </w:p>
    <w:p w14:paraId="568A77F2" w14:textId="446875C5" w:rsidR="00844B06" w:rsidRPr="00A75B54" w:rsidRDefault="00844B06" w:rsidP="00A75B54">
      <w:pPr>
        <w:widowControl w:val="0"/>
        <w:pBdr>
          <w:top w:val="nil"/>
          <w:left w:val="nil"/>
          <w:bottom w:val="nil"/>
          <w:right w:val="nil"/>
          <w:between w:val="nil"/>
        </w:pBdr>
        <w:autoSpaceDN/>
        <w:spacing w:before="240" w:after="240" w:line="240" w:lineRule="auto"/>
        <w:jc w:val="both"/>
        <w:rPr>
          <w:rFonts w:ascii="Times New Roman" w:eastAsia="Arial" w:hAnsi="Times New Roman"/>
          <w:sz w:val="24"/>
          <w:szCs w:val="24"/>
        </w:rPr>
      </w:pPr>
      <w:r w:rsidRPr="00BE5E11">
        <w:rPr>
          <w:rFonts w:ascii="Times New Roman" w:hAnsi="Times New Roman"/>
          <w:sz w:val="24"/>
          <w:szCs w:val="24"/>
        </w:rPr>
        <w:t xml:space="preserve">The authors wish to express their gratitude to the Department of Teaching and Research in Public Health (DERSP) of the Faculty of Medicine and </w:t>
      </w:r>
      <w:proofErr w:type="spellStart"/>
      <w:r w:rsidRPr="00BE5E11">
        <w:rPr>
          <w:rFonts w:ascii="Times New Roman" w:hAnsi="Times New Roman"/>
          <w:sz w:val="24"/>
          <w:szCs w:val="24"/>
        </w:rPr>
        <w:t>Odonto</w:t>
      </w:r>
      <w:proofErr w:type="spellEnd"/>
      <w:r w:rsidRPr="00BE5E11">
        <w:rPr>
          <w:rFonts w:ascii="Times New Roman" w:hAnsi="Times New Roman"/>
          <w:sz w:val="24"/>
          <w:szCs w:val="24"/>
        </w:rPr>
        <w:t>-Stomatology (Bamako, Mali) for the institutional and tec</w:t>
      </w:r>
      <w:r w:rsidRPr="00BE5E11">
        <w:rPr>
          <w:rFonts w:ascii="Times New Roman" w:hAnsi="Times New Roman"/>
          <w:sz w:val="24"/>
          <w:szCs w:val="24"/>
        </w:rPr>
        <w:t>h</w:t>
      </w:r>
      <w:r w:rsidRPr="00BE5E11">
        <w:rPr>
          <w:rFonts w:ascii="Times New Roman" w:hAnsi="Times New Roman"/>
          <w:sz w:val="24"/>
          <w:szCs w:val="24"/>
        </w:rPr>
        <w:t xml:space="preserve">nical support provided throughout this research. This work was carried out as part of the first author's (BD) doctoral thesis (PhD). </w:t>
      </w:r>
      <w:r w:rsidRPr="00BE5E11">
        <w:rPr>
          <w:rFonts w:ascii="Times New Roman" w:eastAsia="Google Sans Text" w:hAnsi="Times New Roman"/>
          <w:color w:val="1F1F1F"/>
          <w:sz w:val="24"/>
          <w:szCs w:val="24"/>
        </w:rPr>
        <w:t>The authors thank the staff of the central, regional, and operational services, as well as the technical and technical partners, for their support and guidance, and all the participants who took part in this study.</w:t>
      </w:r>
    </w:p>
    <w:p w14:paraId="0118124E" w14:textId="7B040280" w:rsidR="00221CDD" w:rsidRPr="00745FCF" w:rsidRDefault="00745FCF" w:rsidP="008556F9">
      <w:pPr>
        <w:spacing w:before="240" w:after="240" w:line="240" w:lineRule="auto"/>
        <w:jc w:val="both"/>
        <w:rPr>
          <w:rFonts w:ascii="Times New Roman" w:eastAsia="Times New Roman" w:hAnsi="Times New Roman"/>
          <w:b/>
          <w:bCs/>
          <w:sz w:val="28"/>
          <w:szCs w:val="28"/>
          <w:lang w:eastAsia="fr-FR"/>
        </w:rPr>
      </w:pPr>
      <w:r w:rsidRPr="00745FCF">
        <w:rPr>
          <w:rFonts w:ascii="Times New Roman" w:eastAsia="Times New Roman" w:hAnsi="Times New Roman"/>
          <w:b/>
          <w:bCs/>
          <w:sz w:val="28"/>
          <w:szCs w:val="28"/>
          <w:lang w:eastAsia="fr-FR"/>
        </w:rPr>
        <w:t>REFERENCES</w:t>
      </w:r>
    </w:p>
    <w:p w14:paraId="55161438" w14:textId="77777777" w:rsidR="00E45B44" w:rsidRPr="00BE5E11" w:rsidRDefault="00E45B44" w:rsidP="000A0CF5">
      <w:pPr>
        <w:pStyle w:val="Bibliography"/>
        <w:ind w:left="768"/>
        <w:jc w:val="both"/>
        <w:rPr>
          <w:rFonts w:ascii="Times New Roman" w:hAnsi="Times New Roman"/>
          <w:sz w:val="24"/>
          <w:szCs w:val="24"/>
        </w:rPr>
      </w:pPr>
      <w:r w:rsidRPr="00BE5E11">
        <w:rPr>
          <w:rFonts w:ascii="Times New Roman" w:hAnsi="Times New Roman"/>
          <w:sz w:val="24"/>
          <w:szCs w:val="24"/>
        </w:rPr>
        <w:fldChar w:fldCharType="begin"/>
      </w:r>
      <w:r w:rsidRPr="00BE5E11">
        <w:rPr>
          <w:rFonts w:ascii="Times New Roman" w:hAnsi="Times New Roman"/>
          <w:sz w:val="24"/>
          <w:szCs w:val="24"/>
        </w:rPr>
        <w:instrText xml:space="preserve"> ADDIN ZOTERO_BIBL {"uncited":[],"omitted":[],"custom":[]} CSL_BIBLIOGRAPHY </w:instrText>
      </w:r>
      <w:r w:rsidRPr="00BE5E11">
        <w:rPr>
          <w:rFonts w:ascii="Times New Roman" w:hAnsi="Times New Roman"/>
          <w:sz w:val="24"/>
          <w:szCs w:val="24"/>
        </w:rPr>
        <w:fldChar w:fldCharType="separate"/>
      </w:r>
      <w:r w:rsidRPr="00BE5E11">
        <w:rPr>
          <w:rFonts w:ascii="Times New Roman" w:hAnsi="Times New Roman"/>
          <w:sz w:val="24"/>
          <w:szCs w:val="24"/>
        </w:rPr>
        <w:t xml:space="preserve">1. </w:t>
      </w:r>
      <w:r w:rsidRPr="00BE5E11">
        <w:rPr>
          <w:rFonts w:ascii="Times New Roman" w:hAnsi="Times New Roman"/>
          <w:sz w:val="24"/>
          <w:szCs w:val="24"/>
        </w:rPr>
        <w:tab/>
        <w:t>UNICEF, WHO, World Bank. Nutrition and Food Security [WHO] [Internet]. Geneva; 2025 [cited 15 March 2026]. Latest estimates of child malnutrition. Available from: https://www.who.int/teams/nutrition-and-food-safety/monitoring-nutritional-status-and-food-safety-and-events/joint-child-malnutrition-estimates/latest-estimates</w:t>
      </w:r>
    </w:p>
    <w:p w14:paraId="4B1296B6" w14:textId="77777777" w:rsidR="00E45B44" w:rsidRPr="00BE5E11" w:rsidRDefault="00E45B44" w:rsidP="000A0CF5">
      <w:pPr>
        <w:pStyle w:val="Bibliography"/>
        <w:ind w:left="768"/>
        <w:jc w:val="both"/>
        <w:rPr>
          <w:rFonts w:ascii="Times New Roman" w:hAnsi="Times New Roman"/>
          <w:sz w:val="24"/>
          <w:szCs w:val="24"/>
        </w:rPr>
      </w:pPr>
      <w:r w:rsidRPr="00BE5E11">
        <w:rPr>
          <w:rFonts w:ascii="Times New Roman" w:hAnsi="Times New Roman"/>
          <w:sz w:val="24"/>
          <w:szCs w:val="24"/>
        </w:rPr>
        <w:t xml:space="preserve">2. </w:t>
      </w:r>
      <w:r w:rsidRPr="00BE5E11">
        <w:rPr>
          <w:rFonts w:ascii="Times New Roman" w:hAnsi="Times New Roman"/>
          <w:sz w:val="24"/>
          <w:szCs w:val="24"/>
        </w:rPr>
        <w:tab/>
        <w:t>World Health Organization. Key Facts [WHO] [Internet]. Geneva: World Health Organization; 2024. Malnutrition: Key Facts. Available at: https://www.who.int/news-room/fact-sheets/detail/malnutrition</w:t>
      </w:r>
    </w:p>
    <w:p w14:paraId="232CB350" w14:textId="77777777" w:rsidR="00E45B44" w:rsidRPr="00BE5E11" w:rsidRDefault="00E45B44" w:rsidP="000A0CF5">
      <w:pPr>
        <w:pStyle w:val="Bibliography"/>
        <w:ind w:left="768"/>
        <w:jc w:val="both"/>
        <w:rPr>
          <w:rFonts w:ascii="Times New Roman" w:hAnsi="Times New Roman"/>
          <w:sz w:val="24"/>
          <w:szCs w:val="24"/>
        </w:rPr>
      </w:pPr>
      <w:r w:rsidRPr="00BE5E11">
        <w:rPr>
          <w:rFonts w:ascii="Times New Roman" w:hAnsi="Times New Roman"/>
          <w:sz w:val="24"/>
          <w:szCs w:val="24"/>
        </w:rPr>
        <w:t xml:space="preserve">3. </w:t>
      </w:r>
      <w:r w:rsidRPr="00BE5E11">
        <w:rPr>
          <w:rFonts w:ascii="Times New Roman" w:hAnsi="Times New Roman"/>
          <w:sz w:val="24"/>
          <w:szCs w:val="24"/>
        </w:rPr>
        <w:tab/>
        <w:t>World Health Organization. Key Facts [WHO] [Internet]. Geneva; 2022 [cited 8 March 2026]. Maln</w:t>
      </w:r>
      <w:r w:rsidRPr="00BE5E11">
        <w:rPr>
          <w:rFonts w:ascii="Times New Roman" w:hAnsi="Times New Roman"/>
          <w:sz w:val="24"/>
          <w:szCs w:val="24"/>
        </w:rPr>
        <w:t>u</w:t>
      </w:r>
      <w:r w:rsidRPr="00BE5E11">
        <w:rPr>
          <w:rFonts w:ascii="Times New Roman" w:hAnsi="Times New Roman"/>
          <w:sz w:val="24"/>
          <w:szCs w:val="24"/>
        </w:rPr>
        <w:t>trition: Key Facts. Available from: https://www.who.int/fr/news-room/fact-sheets/detail/malnutrition</w:t>
      </w:r>
    </w:p>
    <w:p w14:paraId="04E7CCD2" w14:textId="77777777" w:rsidR="00E45B44" w:rsidRPr="00BE5E11" w:rsidRDefault="00E45B44" w:rsidP="000A0CF5">
      <w:pPr>
        <w:pStyle w:val="Bibliography"/>
        <w:ind w:left="768"/>
        <w:jc w:val="both"/>
        <w:rPr>
          <w:rFonts w:ascii="Times New Roman" w:hAnsi="Times New Roman"/>
          <w:sz w:val="24"/>
          <w:szCs w:val="24"/>
        </w:rPr>
      </w:pPr>
      <w:r w:rsidRPr="00BE5E11">
        <w:rPr>
          <w:rFonts w:ascii="Times New Roman" w:hAnsi="Times New Roman"/>
          <w:sz w:val="24"/>
          <w:szCs w:val="24"/>
        </w:rPr>
        <w:t xml:space="preserve">4. </w:t>
      </w:r>
      <w:r w:rsidRPr="00BE5E11">
        <w:rPr>
          <w:rFonts w:ascii="Times New Roman" w:hAnsi="Times New Roman"/>
          <w:sz w:val="24"/>
          <w:szCs w:val="24"/>
        </w:rPr>
        <w:tab/>
        <w:t>WHO. Global Strategy for Human Resources in Health: Vision 2030 [Internet]. Geneva: World Health Organization; 2016. Report No. Available at: https://iris.who.int/bitstream/handle/10665/250368/9789241511131-eng.pdf?sequence=1</w:t>
      </w:r>
    </w:p>
    <w:p w14:paraId="4BA95613" w14:textId="77777777" w:rsidR="00E45B44" w:rsidRPr="00BE5E11" w:rsidRDefault="00E45B44" w:rsidP="000A0CF5">
      <w:pPr>
        <w:pStyle w:val="Bibliography"/>
        <w:ind w:left="768"/>
        <w:jc w:val="both"/>
        <w:rPr>
          <w:rFonts w:ascii="Times New Roman" w:hAnsi="Times New Roman"/>
          <w:sz w:val="24"/>
          <w:szCs w:val="24"/>
        </w:rPr>
      </w:pPr>
      <w:r w:rsidRPr="00BE5E11">
        <w:rPr>
          <w:rFonts w:ascii="Times New Roman" w:hAnsi="Times New Roman"/>
          <w:sz w:val="24"/>
          <w:szCs w:val="24"/>
        </w:rPr>
        <w:t xml:space="preserve">5. </w:t>
      </w:r>
      <w:r w:rsidRPr="00BE5E11">
        <w:rPr>
          <w:rFonts w:ascii="Times New Roman" w:hAnsi="Times New Roman"/>
          <w:sz w:val="24"/>
          <w:szCs w:val="24"/>
        </w:rPr>
        <w:tab/>
        <w:t>CHIC. Case for Community Health Workers: Champions of the Health System [Internet]. Community Health Impact Coalition; 2024. Available at: https://joinchic.org/resources/the-case-for-chws-champions-of-the-health-system/</w:t>
      </w:r>
    </w:p>
    <w:p w14:paraId="3A58032D" w14:textId="77777777" w:rsidR="00E45B44" w:rsidRPr="00BE5E11" w:rsidRDefault="00E45B44" w:rsidP="000A0CF5">
      <w:pPr>
        <w:pStyle w:val="Bibliography"/>
        <w:ind w:left="768"/>
        <w:jc w:val="both"/>
        <w:rPr>
          <w:rFonts w:ascii="Times New Roman" w:hAnsi="Times New Roman"/>
          <w:sz w:val="24"/>
          <w:szCs w:val="24"/>
          <w:lang w:val="en-GB"/>
        </w:rPr>
      </w:pPr>
      <w:r w:rsidRPr="00BE5E11">
        <w:rPr>
          <w:rFonts w:ascii="Times New Roman" w:hAnsi="Times New Roman"/>
          <w:sz w:val="24"/>
          <w:szCs w:val="24"/>
        </w:rPr>
        <w:lastRenderedPageBreak/>
        <w:t xml:space="preserve">6. </w:t>
      </w:r>
      <w:r w:rsidRPr="00BE5E11">
        <w:rPr>
          <w:rFonts w:ascii="Times New Roman" w:hAnsi="Times New Roman"/>
          <w:sz w:val="24"/>
          <w:szCs w:val="24"/>
        </w:rPr>
        <w:tab/>
        <w:t xml:space="preserve">Perry HB, Zulliger R, Rogers MM. </w:t>
      </w:r>
      <w:r w:rsidRPr="00BE5E11">
        <w:rPr>
          <w:rFonts w:ascii="Times New Roman" w:hAnsi="Times New Roman"/>
          <w:sz w:val="24"/>
          <w:szCs w:val="24"/>
          <w:lang w:val="en-GB"/>
        </w:rPr>
        <w:t>Community Health Workers in Low-, Middle-, and High-Income Countries: An Overview. Annual Review of Public Health. 2014;35:399‑421.</w:t>
      </w:r>
    </w:p>
    <w:p w14:paraId="5D7E9AE1" w14:textId="77777777" w:rsidR="00E45B44" w:rsidRPr="00BE5E11" w:rsidRDefault="00E45B44" w:rsidP="000A0CF5">
      <w:pPr>
        <w:pStyle w:val="Bibliography"/>
        <w:ind w:left="768"/>
        <w:jc w:val="both"/>
        <w:rPr>
          <w:rFonts w:ascii="Times New Roman" w:hAnsi="Times New Roman"/>
          <w:sz w:val="24"/>
          <w:szCs w:val="24"/>
          <w:lang w:val="en-GB"/>
        </w:rPr>
      </w:pPr>
      <w:r w:rsidRPr="00BE5E11">
        <w:rPr>
          <w:rFonts w:ascii="Times New Roman" w:hAnsi="Times New Roman"/>
          <w:sz w:val="24"/>
          <w:szCs w:val="24"/>
          <w:lang w:val="en-GB"/>
        </w:rPr>
        <w:t xml:space="preserve">7. </w:t>
      </w:r>
      <w:r w:rsidRPr="00BE5E11">
        <w:rPr>
          <w:rFonts w:ascii="Times New Roman" w:hAnsi="Times New Roman"/>
          <w:sz w:val="24"/>
          <w:szCs w:val="24"/>
          <w:lang w:val="en-GB"/>
        </w:rPr>
        <w:tab/>
        <w:t>UNICEF, WHO, World Bank. Levels and trends in child malnutrition: UNICEF/WHO/World Bank Group Joint Child Malnutrition Estimates. Key findings of the 2023 edition. New York, NY: United Nations Children's Fund; 2023. Report No.</w:t>
      </w:r>
    </w:p>
    <w:p w14:paraId="5D089928" w14:textId="77777777" w:rsidR="00E45B44" w:rsidRPr="00BE5E11" w:rsidRDefault="00E45B44" w:rsidP="000A0CF5">
      <w:pPr>
        <w:pStyle w:val="Bibliography"/>
        <w:ind w:left="768"/>
        <w:jc w:val="both"/>
        <w:rPr>
          <w:rFonts w:ascii="Times New Roman" w:hAnsi="Times New Roman"/>
          <w:sz w:val="24"/>
          <w:szCs w:val="24"/>
          <w:lang w:val="en-GB"/>
        </w:rPr>
      </w:pPr>
      <w:r w:rsidRPr="00BE5E11">
        <w:rPr>
          <w:rFonts w:ascii="Times New Roman" w:hAnsi="Times New Roman"/>
          <w:sz w:val="24"/>
          <w:szCs w:val="24"/>
          <w:lang w:val="en-GB"/>
        </w:rPr>
        <w:t xml:space="preserve">8. </w:t>
      </w:r>
      <w:r w:rsidRPr="00BE5E11">
        <w:rPr>
          <w:rFonts w:ascii="Times New Roman" w:hAnsi="Times New Roman"/>
          <w:sz w:val="24"/>
          <w:szCs w:val="24"/>
          <w:lang w:val="en-GB"/>
        </w:rPr>
        <w:tab/>
        <w:t>FAO, IFAD, UNICEF, WFP, WHO. The State of Food Security and Nutrition in the World 2024. Rome: Food and Agriculture Organization of the United Nations; 2024. Report No.</w:t>
      </w:r>
    </w:p>
    <w:p w14:paraId="2DE87131" w14:textId="77777777" w:rsidR="00E45B44" w:rsidRPr="00BE5E11" w:rsidRDefault="00E45B44" w:rsidP="000A0CF5">
      <w:pPr>
        <w:pStyle w:val="Bibliography"/>
        <w:ind w:left="768"/>
        <w:jc w:val="both"/>
        <w:rPr>
          <w:rFonts w:ascii="Times New Roman" w:hAnsi="Times New Roman"/>
          <w:sz w:val="24"/>
          <w:szCs w:val="24"/>
          <w:lang w:val="en-GB"/>
        </w:rPr>
      </w:pPr>
      <w:r w:rsidRPr="00BE5E11">
        <w:rPr>
          <w:rFonts w:ascii="Times New Roman" w:hAnsi="Times New Roman"/>
          <w:sz w:val="24"/>
          <w:szCs w:val="24"/>
        </w:rPr>
        <w:t xml:space="preserve">9. </w:t>
      </w:r>
      <w:r w:rsidRPr="00BE5E11">
        <w:rPr>
          <w:rFonts w:ascii="Times New Roman" w:hAnsi="Times New Roman"/>
          <w:sz w:val="24"/>
          <w:szCs w:val="24"/>
        </w:rPr>
        <w:tab/>
        <w:t>CILSS. Harmonised Framework for the identification of areas at risk and populations in food and n</w:t>
      </w:r>
      <w:r w:rsidRPr="00BE5E11">
        <w:rPr>
          <w:rFonts w:ascii="Times New Roman" w:hAnsi="Times New Roman"/>
          <w:sz w:val="24"/>
          <w:szCs w:val="24"/>
        </w:rPr>
        <w:t>u</w:t>
      </w:r>
      <w:r w:rsidRPr="00BE5E11">
        <w:rPr>
          <w:rFonts w:ascii="Times New Roman" w:hAnsi="Times New Roman"/>
          <w:sz w:val="24"/>
          <w:szCs w:val="24"/>
        </w:rPr>
        <w:t xml:space="preserve">tritional insecurity in the Sahel and West Africa. Dakar, Senegal: Permanent Inter-State Committee for Drought Control in the Sahel; 2024. </w:t>
      </w:r>
      <w:r w:rsidRPr="00BE5E11">
        <w:rPr>
          <w:rFonts w:ascii="Times New Roman" w:hAnsi="Times New Roman"/>
          <w:sz w:val="24"/>
          <w:szCs w:val="24"/>
          <w:lang w:val="en-GB"/>
        </w:rPr>
        <w:t>Report No.</w:t>
      </w:r>
    </w:p>
    <w:p w14:paraId="494B4096" w14:textId="77777777" w:rsidR="00E45B44" w:rsidRPr="00BE5E11" w:rsidRDefault="00E45B44" w:rsidP="000A0CF5">
      <w:pPr>
        <w:pStyle w:val="Bibliography"/>
        <w:ind w:left="768"/>
        <w:jc w:val="both"/>
        <w:rPr>
          <w:rFonts w:ascii="Times New Roman" w:hAnsi="Times New Roman"/>
          <w:sz w:val="24"/>
          <w:szCs w:val="24"/>
          <w:lang w:val="en-GB"/>
        </w:rPr>
      </w:pPr>
      <w:r w:rsidRPr="00BE5E11">
        <w:rPr>
          <w:rFonts w:ascii="Times New Roman" w:hAnsi="Times New Roman"/>
          <w:sz w:val="24"/>
          <w:szCs w:val="24"/>
          <w:lang w:val="en-GB"/>
        </w:rPr>
        <w:t xml:space="preserve">10. </w:t>
      </w:r>
      <w:r w:rsidRPr="00BE5E11">
        <w:rPr>
          <w:rFonts w:ascii="Times New Roman" w:hAnsi="Times New Roman"/>
          <w:sz w:val="24"/>
          <w:szCs w:val="24"/>
          <w:lang w:val="en-GB"/>
        </w:rPr>
        <w:tab/>
        <w:t>UNICEF. Child Food Poverty: Nutrition deprivation in early childhood. New York: United Nations Children's Fund; 2024. Report No.</w:t>
      </w:r>
    </w:p>
    <w:p w14:paraId="66F9A7E3" w14:textId="77777777" w:rsidR="00E45B44" w:rsidRPr="00BE5E11" w:rsidRDefault="00E45B44" w:rsidP="000A0CF5">
      <w:pPr>
        <w:pStyle w:val="Bibliography"/>
        <w:ind w:left="768"/>
        <w:jc w:val="both"/>
        <w:rPr>
          <w:rFonts w:ascii="Times New Roman" w:hAnsi="Times New Roman"/>
          <w:sz w:val="24"/>
          <w:szCs w:val="24"/>
          <w:lang w:val="en-GB"/>
        </w:rPr>
      </w:pPr>
      <w:r w:rsidRPr="00BE5E11">
        <w:rPr>
          <w:rFonts w:ascii="Times New Roman" w:hAnsi="Times New Roman"/>
          <w:sz w:val="24"/>
          <w:szCs w:val="24"/>
          <w:lang w:val="en-GB"/>
        </w:rPr>
        <w:t xml:space="preserve">11. </w:t>
      </w:r>
      <w:r w:rsidRPr="00BE5E11">
        <w:rPr>
          <w:rFonts w:ascii="Times New Roman" w:hAnsi="Times New Roman"/>
          <w:sz w:val="24"/>
          <w:szCs w:val="24"/>
          <w:lang w:val="en-GB"/>
        </w:rPr>
        <w:tab/>
        <w:t>UNICEF. Severe wasting: An overlooked child survival emergency in the Sahel. UNICEF West and Central Africa Regional Office; 2023. Report No.</w:t>
      </w:r>
    </w:p>
    <w:p w14:paraId="12AA90CD" w14:textId="77777777" w:rsidR="00E45B44" w:rsidRPr="00BE5E11" w:rsidRDefault="00E45B44" w:rsidP="000A0CF5">
      <w:pPr>
        <w:pStyle w:val="Bibliography"/>
        <w:ind w:left="768"/>
        <w:jc w:val="both"/>
        <w:rPr>
          <w:rFonts w:ascii="Times New Roman" w:hAnsi="Times New Roman"/>
          <w:sz w:val="24"/>
          <w:szCs w:val="24"/>
          <w:lang w:val="en-GB"/>
        </w:rPr>
      </w:pPr>
      <w:r w:rsidRPr="00BE5E11">
        <w:rPr>
          <w:rFonts w:ascii="Times New Roman" w:hAnsi="Times New Roman"/>
          <w:sz w:val="24"/>
          <w:szCs w:val="24"/>
          <w:lang w:val="en-GB"/>
        </w:rPr>
        <w:t xml:space="preserve">12. </w:t>
      </w:r>
      <w:r w:rsidRPr="00BE5E11">
        <w:rPr>
          <w:rFonts w:ascii="Times New Roman" w:hAnsi="Times New Roman"/>
          <w:sz w:val="24"/>
          <w:szCs w:val="24"/>
          <w:lang w:val="en-GB"/>
        </w:rPr>
        <w:tab/>
        <w:t>LeBan K, Kok M, Perry HB. Community health workers at the dawn of a new era: 9. CHW relatio</w:t>
      </w:r>
      <w:r w:rsidRPr="00BE5E11">
        <w:rPr>
          <w:rFonts w:ascii="Times New Roman" w:hAnsi="Times New Roman"/>
          <w:sz w:val="24"/>
          <w:szCs w:val="24"/>
          <w:lang w:val="en-GB"/>
        </w:rPr>
        <w:t>n</w:t>
      </w:r>
      <w:r w:rsidRPr="00BE5E11">
        <w:rPr>
          <w:rFonts w:ascii="Times New Roman" w:hAnsi="Times New Roman"/>
          <w:sz w:val="24"/>
          <w:szCs w:val="24"/>
          <w:lang w:val="en-GB"/>
        </w:rPr>
        <w:t>ships with the health system and communities. Health Research Policy and Systems. 2021;19(Suppl 3):116. doi:10.1186/s12961-021-00756-4</w:t>
      </w:r>
    </w:p>
    <w:p w14:paraId="3481BA14" w14:textId="77777777" w:rsidR="00E45B44" w:rsidRPr="00BE5E11" w:rsidRDefault="00E45B44" w:rsidP="000A0CF5">
      <w:pPr>
        <w:pStyle w:val="Bibliography"/>
        <w:ind w:left="768"/>
        <w:jc w:val="both"/>
        <w:rPr>
          <w:rFonts w:ascii="Times New Roman" w:hAnsi="Times New Roman"/>
          <w:sz w:val="24"/>
          <w:szCs w:val="24"/>
          <w:lang w:val="en-GB"/>
        </w:rPr>
      </w:pPr>
      <w:r w:rsidRPr="00BE5E11">
        <w:rPr>
          <w:rFonts w:ascii="Times New Roman" w:hAnsi="Times New Roman"/>
          <w:sz w:val="24"/>
          <w:szCs w:val="24"/>
          <w:lang w:val="en-GB"/>
        </w:rPr>
        <w:t xml:space="preserve">13. </w:t>
      </w:r>
      <w:r w:rsidRPr="00BE5E11">
        <w:rPr>
          <w:rFonts w:ascii="Times New Roman" w:hAnsi="Times New Roman"/>
          <w:sz w:val="24"/>
          <w:szCs w:val="24"/>
          <w:lang w:val="en-GB"/>
        </w:rPr>
        <w:tab/>
        <w:t>Glenton C, Javadi D, Perry HB. Community health workers at the dawn of a new era: 5. Roles and tasks. Health Research Policy and Systems. 2021;19(Suppl 3):128. doi:10.1186/s12961-021-00768-0</w:t>
      </w:r>
    </w:p>
    <w:p w14:paraId="6FCC4E2E" w14:textId="77777777" w:rsidR="00E45B44" w:rsidRPr="00BE5E11" w:rsidRDefault="00E45B44" w:rsidP="000A0CF5">
      <w:pPr>
        <w:pStyle w:val="Bibliography"/>
        <w:ind w:left="768"/>
        <w:jc w:val="both"/>
        <w:rPr>
          <w:rFonts w:ascii="Times New Roman" w:hAnsi="Times New Roman"/>
          <w:sz w:val="24"/>
          <w:szCs w:val="24"/>
        </w:rPr>
      </w:pPr>
      <w:r w:rsidRPr="00BE5E11">
        <w:rPr>
          <w:rFonts w:ascii="Times New Roman" w:hAnsi="Times New Roman"/>
          <w:sz w:val="24"/>
          <w:szCs w:val="24"/>
          <w:lang w:val="en-GB"/>
        </w:rPr>
        <w:t xml:space="preserve">14. </w:t>
      </w:r>
      <w:r w:rsidRPr="00BE5E11">
        <w:rPr>
          <w:rFonts w:ascii="Times New Roman" w:hAnsi="Times New Roman"/>
          <w:sz w:val="24"/>
          <w:szCs w:val="24"/>
          <w:lang w:val="en-GB"/>
        </w:rPr>
        <w:tab/>
        <w:t>VanderZanden A, Amberbir A, Sayinzoga F, Huda FA, Ntawukuriryayo JT, Mathewos K, et al. Ev</w:t>
      </w:r>
      <w:r w:rsidRPr="00BE5E11">
        <w:rPr>
          <w:rFonts w:ascii="Times New Roman" w:hAnsi="Times New Roman"/>
          <w:sz w:val="24"/>
          <w:szCs w:val="24"/>
          <w:lang w:val="en-GB"/>
        </w:rPr>
        <w:t>i</w:t>
      </w:r>
      <w:r w:rsidRPr="00BE5E11">
        <w:rPr>
          <w:rFonts w:ascii="Times New Roman" w:hAnsi="Times New Roman"/>
          <w:sz w:val="24"/>
          <w:szCs w:val="24"/>
          <w:lang w:val="en-GB"/>
        </w:rPr>
        <w:t xml:space="preserve">dence of health system resilience in primary health care for the prevention of under-five mortality in Rwanda and Bangladesh: Lessons from an implementation study during the MDG era and early COVID-19 pandemic. </w:t>
      </w:r>
      <w:r w:rsidRPr="00BE5E11">
        <w:rPr>
          <w:rFonts w:ascii="Times New Roman" w:hAnsi="Times New Roman"/>
          <w:sz w:val="24"/>
          <w:szCs w:val="24"/>
        </w:rPr>
        <w:t>Journal of Global Health. 2024;14:05023. doi:10.7189/jogh.14.05023</w:t>
      </w:r>
    </w:p>
    <w:p w14:paraId="0BE02E67" w14:textId="77777777" w:rsidR="00E45B44" w:rsidRPr="00BE5E11" w:rsidRDefault="00E45B44" w:rsidP="000A0CF5">
      <w:pPr>
        <w:pStyle w:val="Bibliography"/>
        <w:ind w:left="768"/>
        <w:jc w:val="both"/>
        <w:rPr>
          <w:rFonts w:ascii="Times New Roman" w:hAnsi="Times New Roman"/>
          <w:sz w:val="24"/>
          <w:szCs w:val="24"/>
        </w:rPr>
      </w:pPr>
      <w:r w:rsidRPr="00BE5E11">
        <w:rPr>
          <w:rFonts w:ascii="Times New Roman" w:hAnsi="Times New Roman"/>
          <w:sz w:val="24"/>
          <w:szCs w:val="24"/>
        </w:rPr>
        <w:t xml:space="preserve">15. </w:t>
      </w:r>
      <w:r w:rsidRPr="00BE5E11">
        <w:rPr>
          <w:rFonts w:ascii="Times New Roman" w:hAnsi="Times New Roman"/>
          <w:sz w:val="24"/>
          <w:szCs w:val="24"/>
        </w:rPr>
        <w:tab/>
        <w:t>INSTAT. Demographic and Health Survey in Mali (EDSTM-VII) 2024-2025: Preliminary Report [National Report]. Bamako, Mali: National Institute of Statistics (INSTAT); 2025. Report No.</w:t>
      </w:r>
    </w:p>
    <w:p w14:paraId="3260EA47" w14:textId="77777777" w:rsidR="00E45B44" w:rsidRPr="00BE5E11" w:rsidRDefault="00E45B44" w:rsidP="000A0CF5">
      <w:pPr>
        <w:pStyle w:val="Bibliography"/>
        <w:ind w:left="768"/>
        <w:jc w:val="both"/>
        <w:rPr>
          <w:rFonts w:ascii="Times New Roman" w:hAnsi="Times New Roman"/>
          <w:sz w:val="24"/>
          <w:szCs w:val="24"/>
        </w:rPr>
      </w:pPr>
      <w:r w:rsidRPr="00BE5E11">
        <w:rPr>
          <w:rFonts w:ascii="Times New Roman" w:hAnsi="Times New Roman"/>
          <w:sz w:val="24"/>
          <w:szCs w:val="24"/>
        </w:rPr>
        <w:t xml:space="preserve">16. </w:t>
      </w:r>
      <w:r w:rsidRPr="00BE5E11">
        <w:rPr>
          <w:rFonts w:ascii="Times New Roman" w:hAnsi="Times New Roman"/>
          <w:sz w:val="24"/>
          <w:szCs w:val="24"/>
        </w:rPr>
        <w:tab/>
        <w:t>MSDS. National Anthropometric Nutrition and Retrospective Mortality Survey (SMART 2025) [Technical Report]. Bamako, Mali: Ministry of Health and Social Development; 2025. Report No.</w:t>
      </w:r>
    </w:p>
    <w:p w14:paraId="4B087CDC" w14:textId="77777777" w:rsidR="00E45B44" w:rsidRPr="00BE5E11" w:rsidRDefault="00E45B44" w:rsidP="000A0CF5">
      <w:pPr>
        <w:pStyle w:val="Bibliography"/>
        <w:ind w:left="768"/>
        <w:jc w:val="both"/>
        <w:rPr>
          <w:rFonts w:ascii="Times New Roman" w:hAnsi="Times New Roman"/>
          <w:sz w:val="24"/>
          <w:szCs w:val="24"/>
        </w:rPr>
      </w:pPr>
      <w:r w:rsidRPr="00BE5E11">
        <w:rPr>
          <w:rFonts w:ascii="Times New Roman" w:hAnsi="Times New Roman"/>
          <w:sz w:val="24"/>
          <w:szCs w:val="24"/>
        </w:rPr>
        <w:t xml:space="preserve">17. </w:t>
      </w:r>
      <w:r w:rsidRPr="00BE5E11">
        <w:rPr>
          <w:rFonts w:ascii="Times New Roman" w:hAnsi="Times New Roman"/>
          <w:sz w:val="24"/>
          <w:szCs w:val="24"/>
        </w:rPr>
        <w:tab/>
        <w:t>Directorate General of Health and Public Hygiene of the Ministry of Health of Mali. National Strat</w:t>
      </w:r>
      <w:r w:rsidRPr="00BE5E11">
        <w:rPr>
          <w:rFonts w:ascii="Times New Roman" w:hAnsi="Times New Roman"/>
          <w:sz w:val="24"/>
          <w:szCs w:val="24"/>
        </w:rPr>
        <w:t>e</w:t>
      </w:r>
      <w:r w:rsidRPr="00BE5E11">
        <w:rPr>
          <w:rFonts w:ascii="Times New Roman" w:hAnsi="Times New Roman"/>
          <w:sz w:val="24"/>
          <w:szCs w:val="24"/>
        </w:rPr>
        <w:t>gic Plan for Essential Community Healthcare (ECH). [Strategic document]. Bamako, Mali: Ministry of Health and Social Development; 2021.</w:t>
      </w:r>
    </w:p>
    <w:p w14:paraId="1FAAE050" w14:textId="77777777" w:rsidR="00E45B44" w:rsidRPr="00BE5E11" w:rsidRDefault="00E45B44" w:rsidP="000A0CF5">
      <w:pPr>
        <w:pStyle w:val="Bibliography"/>
        <w:ind w:left="768"/>
        <w:jc w:val="both"/>
        <w:rPr>
          <w:rFonts w:ascii="Times New Roman" w:hAnsi="Times New Roman"/>
          <w:sz w:val="24"/>
          <w:szCs w:val="24"/>
        </w:rPr>
      </w:pPr>
      <w:r w:rsidRPr="00BE5E11">
        <w:rPr>
          <w:rFonts w:ascii="Times New Roman" w:hAnsi="Times New Roman"/>
          <w:sz w:val="24"/>
          <w:szCs w:val="24"/>
        </w:rPr>
        <w:t xml:space="preserve">18. </w:t>
      </w:r>
      <w:r w:rsidRPr="00BE5E11">
        <w:rPr>
          <w:rFonts w:ascii="Times New Roman" w:hAnsi="Times New Roman"/>
          <w:sz w:val="24"/>
          <w:szCs w:val="24"/>
        </w:rPr>
        <w:tab/>
        <w:t>Sacko M, Sangho O, et al. Impact of the essential community care strategy on the management of acute malnutrition in Mali: a survival analysis. Malian Journal of Science and Technology. 2024;2(29):15-28.</w:t>
      </w:r>
    </w:p>
    <w:p w14:paraId="796C0F1D" w14:textId="77777777" w:rsidR="00E45B44" w:rsidRPr="00BE5E11" w:rsidRDefault="00E45B44" w:rsidP="000A0CF5">
      <w:pPr>
        <w:pStyle w:val="Bibliography"/>
        <w:ind w:left="768"/>
        <w:jc w:val="both"/>
        <w:rPr>
          <w:rFonts w:ascii="Times New Roman" w:hAnsi="Times New Roman"/>
          <w:sz w:val="24"/>
          <w:szCs w:val="24"/>
          <w:lang w:val="en-GB"/>
        </w:rPr>
      </w:pPr>
      <w:r w:rsidRPr="00BE5E11">
        <w:rPr>
          <w:rFonts w:ascii="Times New Roman" w:hAnsi="Times New Roman"/>
          <w:sz w:val="24"/>
          <w:szCs w:val="24"/>
        </w:rPr>
        <w:t xml:space="preserve">19. </w:t>
      </w:r>
      <w:r w:rsidRPr="00BE5E11">
        <w:rPr>
          <w:rFonts w:ascii="Times New Roman" w:hAnsi="Times New Roman"/>
          <w:sz w:val="24"/>
          <w:szCs w:val="24"/>
        </w:rPr>
        <w:tab/>
        <w:t xml:space="preserve">Glenton C, Javadi D, Perry HB. </w:t>
      </w:r>
      <w:r w:rsidRPr="00BE5E11">
        <w:rPr>
          <w:rFonts w:ascii="Times New Roman" w:hAnsi="Times New Roman"/>
          <w:sz w:val="24"/>
          <w:szCs w:val="24"/>
          <w:lang w:val="en-GB"/>
        </w:rPr>
        <w:t>Community health workers at the dawn of a new era: 5. Roles and tasks. Health Res Policy Syst. 12 Oct 2021;19(Suppl 3):128. doi:10.1186/s12961-021-00748-4 Pu</w:t>
      </w:r>
      <w:r w:rsidRPr="00BE5E11">
        <w:rPr>
          <w:rFonts w:ascii="Times New Roman" w:hAnsi="Times New Roman"/>
          <w:sz w:val="24"/>
          <w:szCs w:val="24"/>
          <w:lang w:val="en-GB"/>
        </w:rPr>
        <w:t>b</w:t>
      </w:r>
      <w:r w:rsidRPr="00BE5E11">
        <w:rPr>
          <w:rFonts w:ascii="Times New Roman" w:hAnsi="Times New Roman"/>
          <w:sz w:val="24"/>
          <w:szCs w:val="24"/>
          <w:lang w:val="en-GB"/>
        </w:rPr>
        <w:t>Med PMID: 34641903; PubMed Central PMCID: PMC8506082.</w:t>
      </w:r>
    </w:p>
    <w:p w14:paraId="418CB243" w14:textId="77777777" w:rsidR="00E45B44" w:rsidRPr="00BE5E11" w:rsidRDefault="00E45B44" w:rsidP="000A0CF5">
      <w:pPr>
        <w:pStyle w:val="Bibliography"/>
        <w:ind w:left="768"/>
        <w:jc w:val="both"/>
        <w:rPr>
          <w:rFonts w:ascii="Times New Roman" w:hAnsi="Times New Roman"/>
          <w:sz w:val="24"/>
          <w:szCs w:val="24"/>
          <w:lang w:val="en-GB"/>
        </w:rPr>
      </w:pPr>
      <w:r w:rsidRPr="00BE5E11">
        <w:rPr>
          <w:rFonts w:ascii="Times New Roman" w:hAnsi="Times New Roman"/>
          <w:sz w:val="24"/>
          <w:szCs w:val="24"/>
          <w:lang w:val="en-GB"/>
        </w:rPr>
        <w:t xml:space="preserve">20. </w:t>
      </w:r>
      <w:r w:rsidRPr="00BE5E11">
        <w:rPr>
          <w:rFonts w:ascii="Times New Roman" w:hAnsi="Times New Roman"/>
          <w:sz w:val="24"/>
          <w:szCs w:val="24"/>
          <w:lang w:val="en-GB"/>
        </w:rPr>
        <w:tab/>
        <w:t>LeBan K, Kok M, Perry HB. Community health workers at the dawn of a new era: 9. CHWs' relatio</w:t>
      </w:r>
      <w:r w:rsidRPr="00BE5E11">
        <w:rPr>
          <w:rFonts w:ascii="Times New Roman" w:hAnsi="Times New Roman"/>
          <w:sz w:val="24"/>
          <w:szCs w:val="24"/>
          <w:lang w:val="en-GB"/>
        </w:rPr>
        <w:t>n</w:t>
      </w:r>
      <w:r w:rsidRPr="00BE5E11">
        <w:rPr>
          <w:rFonts w:ascii="Times New Roman" w:hAnsi="Times New Roman"/>
          <w:sz w:val="24"/>
          <w:szCs w:val="24"/>
          <w:lang w:val="en-GB"/>
        </w:rPr>
        <w:t>ships with the health system and communities. Health Res Policy Sys. Oct 12, 2021;19(3):116. doi:10.1186/s12961-021-00756-4</w:t>
      </w:r>
    </w:p>
    <w:p w14:paraId="4D9F8F61" w14:textId="77777777" w:rsidR="00E45B44" w:rsidRPr="00BE5E11" w:rsidRDefault="00E45B44" w:rsidP="000A0CF5">
      <w:pPr>
        <w:pStyle w:val="Bibliography"/>
        <w:ind w:left="768"/>
        <w:jc w:val="both"/>
        <w:rPr>
          <w:rFonts w:ascii="Times New Roman" w:hAnsi="Times New Roman"/>
          <w:sz w:val="24"/>
          <w:szCs w:val="24"/>
          <w:lang w:val="en-GB"/>
        </w:rPr>
      </w:pPr>
      <w:r w:rsidRPr="00BE5E11">
        <w:rPr>
          <w:rFonts w:ascii="Times New Roman" w:hAnsi="Times New Roman"/>
          <w:sz w:val="24"/>
          <w:szCs w:val="24"/>
          <w:lang w:val="en-GB"/>
        </w:rPr>
        <w:t xml:space="preserve">21.WHO </w:t>
      </w:r>
      <w:r w:rsidRPr="00BE5E11">
        <w:rPr>
          <w:rFonts w:ascii="Times New Roman" w:hAnsi="Times New Roman"/>
          <w:sz w:val="24"/>
          <w:szCs w:val="24"/>
          <w:lang w:val="en-GB"/>
        </w:rPr>
        <w:tab/>
        <w:t>. Global strategy on human resources for health: Vision 2030. Geneva: World Health Organiz</w:t>
      </w:r>
      <w:r w:rsidRPr="00BE5E11">
        <w:rPr>
          <w:rFonts w:ascii="Times New Roman" w:hAnsi="Times New Roman"/>
          <w:sz w:val="24"/>
          <w:szCs w:val="24"/>
          <w:lang w:val="en-GB"/>
        </w:rPr>
        <w:t>a</w:t>
      </w:r>
      <w:r w:rsidRPr="00BE5E11">
        <w:rPr>
          <w:rFonts w:ascii="Times New Roman" w:hAnsi="Times New Roman"/>
          <w:sz w:val="24"/>
          <w:szCs w:val="24"/>
          <w:lang w:val="en-GB"/>
        </w:rPr>
        <w:t>tion; 2016. Report No.</w:t>
      </w:r>
    </w:p>
    <w:p w14:paraId="7D4C4A4F" w14:textId="77777777" w:rsidR="00E45B44" w:rsidRPr="00BE5E11" w:rsidRDefault="00E45B44" w:rsidP="000A0CF5">
      <w:pPr>
        <w:pStyle w:val="Bibliography"/>
        <w:ind w:left="768"/>
        <w:jc w:val="both"/>
        <w:rPr>
          <w:rFonts w:ascii="Times New Roman" w:hAnsi="Times New Roman"/>
          <w:sz w:val="24"/>
          <w:szCs w:val="24"/>
        </w:rPr>
      </w:pPr>
      <w:r w:rsidRPr="00BE5E11">
        <w:rPr>
          <w:rFonts w:ascii="Times New Roman" w:hAnsi="Times New Roman"/>
          <w:sz w:val="24"/>
          <w:szCs w:val="24"/>
          <w:lang w:val="en-GB"/>
        </w:rPr>
        <w:lastRenderedPageBreak/>
        <w:t xml:space="preserve">22. </w:t>
      </w:r>
      <w:r w:rsidRPr="00BE5E11">
        <w:rPr>
          <w:rFonts w:ascii="Times New Roman" w:hAnsi="Times New Roman"/>
          <w:sz w:val="24"/>
          <w:szCs w:val="24"/>
          <w:lang w:val="en-GB"/>
        </w:rPr>
        <w:tab/>
        <w:t xml:space="preserve">CHIC. The Case for </w:t>
      </w:r>
      <w:r w:rsidRPr="00BE5E11">
        <w:rPr>
          <w:rFonts w:ascii="Times New Roman" w:hAnsi="Times New Roman"/>
          <w:sz w:val="24"/>
          <w:szCs w:val="24"/>
        </w:rPr>
        <w:t>CHWs: Champions of the Health System. Community Health Impact Coalition [Internet]. 2024 [cited 19 March 2026]. Available from: https://joinchic.org/resources/the-case-for-chws-champions-of-the-health-system/</w:t>
      </w:r>
    </w:p>
    <w:p w14:paraId="72CBC33D" w14:textId="77777777" w:rsidR="00E45B44" w:rsidRPr="00BE5E11" w:rsidRDefault="00E45B44" w:rsidP="000A0CF5">
      <w:pPr>
        <w:pStyle w:val="Bibliography"/>
        <w:ind w:left="768"/>
        <w:jc w:val="both"/>
        <w:rPr>
          <w:rFonts w:ascii="Times New Roman" w:hAnsi="Times New Roman"/>
          <w:sz w:val="24"/>
          <w:szCs w:val="24"/>
        </w:rPr>
      </w:pPr>
      <w:r w:rsidRPr="00BE5E11">
        <w:rPr>
          <w:rFonts w:ascii="Times New Roman" w:hAnsi="Times New Roman"/>
          <w:sz w:val="24"/>
          <w:szCs w:val="24"/>
          <w:lang w:val="en-GB"/>
        </w:rPr>
        <w:t xml:space="preserve">23. </w:t>
      </w:r>
      <w:r w:rsidRPr="00BE5E11">
        <w:rPr>
          <w:rFonts w:ascii="Times New Roman" w:hAnsi="Times New Roman"/>
          <w:sz w:val="24"/>
          <w:szCs w:val="24"/>
          <w:lang w:val="en-GB"/>
        </w:rPr>
        <w:tab/>
        <w:t>VanderZanden A, Amberbir A, Sayinzoga F, Huda FA, Ntawukuriryayo JT, Mathewos K, et al. Ev</w:t>
      </w:r>
      <w:r w:rsidRPr="00BE5E11">
        <w:rPr>
          <w:rFonts w:ascii="Times New Roman" w:hAnsi="Times New Roman"/>
          <w:sz w:val="24"/>
          <w:szCs w:val="24"/>
          <w:lang w:val="en-GB"/>
        </w:rPr>
        <w:t>i</w:t>
      </w:r>
      <w:r w:rsidRPr="00BE5E11">
        <w:rPr>
          <w:rFonts w:ascii="Times New Roman" w:hAnsi="Times New Roman"/>
          <w:sz w:val="24"/>
          <w:szCs w:val="24"/>
          <w:lang w:val="en-GB"/>
        </w:rPr>
        <w:t>dence of health system resilience in primary health care for preventing under-five mortality in Rwanda and Bangladesh: Lessons from an implementation study during the Millennium Development Goal p</w:t>
      </w:r>
      <w:r w:rsidRPr="00BE5E11">
        <w:rPr>
          <w:rFonts w:ascii="Times New Roman" w:hAnsi="Times New Roman"/>
          <w:sz w:val="24"/>
          <w:szCs w:val="24"/>
          <w:lang w:val="en-GB"/>
        </w:rPr>
        <w:t>e</w:t>
      </w:r>
      <w:r w:rsidRPr="00BE5E11">
        <w:rPr>
          <w:rFonts w:ascii="Times New Roman" w:hAnsi="Times New Roman"/>
          <w:sz w:val="24"/>
          <w:szCs w:val="24"/>
          <w:lang w:val="en-GB"/>
        </w:rPr>
        <w:t xml:space="preserve">riod and the early period of COVID-19. </w:t>
      </w:r>
      <w:r w:rsidRPr="00BE5E11">
        <w:rPr>
          <w:rFonts w:ascii="Times New Roman" w:hAnsi="Times New Roman"/>
          <w:sz w:val="24"/>
          <w:szCs w:val="24"/>
        </w:rPr>
        <w:t>J Glob Health. 5 Jul 2024;14:05023. doi:10.7189/jogh.14.05023</w:t>
      </w:r>
    </w:p>
    <w:p w14:paraId="0E0DF5D2" w14:textId="77777777" w:rsidR="00E45B44" w:rsidRPr="00BE5E11" w:rsidRDefault="00E45B44" w:rsidP="000A0CF5">
      <w:pPr>
        <w:pStyle w:val="Bibliography"/>
        <w:ind w:left="768"/>
        <w:jc w:val="both"/>
        <w:rPr>
          <w:rFonts w:ascii="Times New Roman" w:hAnsi="Times New Roman"/>
          <w:sz w:val="24"/>
          <w:szCs w:val="24"/>
        </w:rPr>
      </w:pPr>
      <w:r w:rsidRPr="00BE5E11">
        <w:rPr>
          <w:rFonts w:ascii="Times New Roman" w:hAnsi="Times New Roman"/>
          <w:sz w:val="24"/>
          <w:szCs w:val="24"/>
        </w:rPr>
        <w:t xml:space="preserve">24. </w:t>
      </w:r>
      <w:r w:rsidRPr="00BE5E11">
        <w:rPr>
          <w:rFonts w:ascii="Times New Roman" w:hAnsi="Times New Roman"/>
          <w:sz w:val="24"/>
          <w:szCs w:val="24"/>
        </w:rPr>
        <w:tab/>
        <w:t>World Health Organization. WHO's 2024 Global Health Expenditure Report Highlights Health F</w:t>
      </w:r>
      <w:r w:rsidRPr="00BE5E11">
        <w:rPr>
          <w:rFonts w:ascii="Times New Roman" w:hAnsi="Times New Roman"/>
          <w:sz w:val="24"/>
          <w:szCs w:val="24"/>
        </w:rPr>
        <w:t>i</w:t>
      </w:r>
      <w:r w:rsidRPr="00BE5E11">
        <w:rPr>
          <w:rFonts w:ascii="Times New Roman" w:hAnsi="Times New Roman"/>
          <w:sz w:val="24"/>
          <w:szCs w:val="24"/>
        </w:rPr>
        <w:t>nancing Challenges and Calls for Prioritization of UHC | The Oligo News [Internet]. 15 Dec 2024 [cited 19 Mar 2026]. Available from: https://www.theoligo.com/whos-2024-global-health-expenditure-report-highlights-challenges-in-health-financing-and-calls-for-uhc-prioritization/</w:t>
      </w:r>
    </w:p>
    <w:p w14:paraId="489C3A1A" w14:textId="77777777" w:rsidR="00E45B44" w:rsidRPr="00BE5E11" w:rsidRDefault="00E45B44" w:rsidP="000A0CF5">
      <w:pPr>
        <w:pStyle w:val="Bibliography"/>
        <w:ind w:left="768"/>
        <w:jc w:val="both"/>
        <w:rPr>
          <w:rFonts w:ascii="Times New Roman" w:hAnsi="Times New Roman"/>
          <w:sz w:val="24"/>
          <w:szCs w:val="24"/>
        </w:rPr>
      </w:pPr>
      <w:r w:rsidRPr="00BE5E11">
        <w:rPr>
          <w:rFonts w:ascii="Times New Roman" w:hAnsi="Times New Roman"/>
          <w:sz w:val="24"/>
          <w:szCs w:val="24"/>
        </w:rPr>
        <w:t xml:space="preserve">25. </w:t>
      </w:r>
      <w:r w:rsidRPr="00BE5E11">
        <w:rPr>
          <w:rFonts w:ascii="Times New Roman" w:hAnsi="Times New Roman"/>
          <w:sz w:val="24"/>
          <w:szCs w:val="24"/>
        </w:rPr>
        <w:tab/>
        <w:t>Pilar Charle-Cuellar, Noemi Lopez-Ejeda, Magloire Bunkembo, Abdias Ogobara Dougnon, Hassane Toukou Souleymane. Pilar Charle-Cuellar, Noemi Lopez-Ejeda, Magloire Bunkembo, Abdias Og</w:t>
      </w:r>
      <w:r w:rsidRPr="00BE5E11">
        <w:rPr>
          <w:rFonts w:ascii="Times New Roman" w:hAnsi="Times New Roman"/>
          <w:sz w:val="24"/>
          <w:szCs w:val="24"/>
        </w:rPr>
        <w:t>o</w:t>
      </w:r>
      <w:r w:rsidRPr="00BE5E11">
        <w:rPr>
          <w:rFonts w:ascii="Times New Roman" w:hAnsi="Times New Roman"/>
          <w:sz w:val="24"/>
          <w:szCs w:val="24"/>
        </w:rPr>
        <w:t>bara Dougnon, and Hassane Toukou Souleymane [Internet]. 2020 [cited 19 March 2026]. Manag</w:t>
      </w:r>
      <w:r w:rsidRPr="00BE5E11">
        <w:rPr>
          <w:rFonts w:ascii="Times New Roman" w:hAnsi="Times New Roman"/>
          <w:sz w:val="24"/>
          <w:szCs w:val="24"/>
        </w:rPr>
        <w:t>e</w:t>
      </w:r>
      <w:r w:rsidRPr="00BE5E11">
        <w:rPr>
          <w:rFonts w:ascii="Times New Roman" w:hAnsi="Times New Roman"/>
          <w:sz w:val="24"/>
          <w:szCs w:val="24"/>
        </w:rPr>
        <w:t>ment of severe acute malnutrition by community health workers: First results of research by Action Against Hunger | FRN. Available from: https://www.ennonline.net/fex/60/fr/prise-en-charge-de-la-malnutrition-aigue-severe-par-les-agents-de-sante-communautaires</w:t>
      </w:r>
    </w:p>
    <w:p w14:paraId="1B3CD367" w14:textId="342D7665" w:rsidR="00614FFB" w:rsidRPr="00BE5E11" w:rsidRDefault="00E45B44" w:rsidP="000A0CF5">
      <w:pPr>
        <w:spacing w:before="240" w:after="240" w:line="240" w:lineRule="auto"/>
        <w:ind w:left="384"/>
        <w:jc w:val="both"/>
        <w:rPr>
          <w:rFonts w:ascii="Times New Roman" w:eastAsia="Times New Roman" w:hAnsi="Times New Roman"/>
          <w:sz w:val="24"/>
          <w:szCs w:val="24"/>
          <w:lang w:eastAsia="fr-FR"/>
        </w:rPr>
      </w:pPr>
      <w:r w:rsidRPr="00BE5E11">
        <w:rPr>
          <w:rFonts w:ascii="Times New Roman" w:hAnsi="Times New Roman"/>
          <w:sz w:val="24"/>
          <w:szCs w:val="24"/>
        </w:rPr>
        <w:fldChar w:fldCharType="end"/>
      </w:r>
    </w:p>
    <w:p w14:paraId="299B32BC" w14:textId="77777777" w:rsidR="00614FFB" w:rsidRPr="00BE5E11" w:rsidRDefault="00614FFB" w:rsidP="008556F9">
      <w:pPr>
        <w:spacing w:before="240" w:after="240" w:line="240" w:lineRule="auto"/>
        <w:jc w:val="both"/>
        <w:rPr>
          <w:rFonts w:ascii="Times New Roman" w:eastAsia="Times New Roman" w:hAnsi="Times New Roman"/>
          <w:sz w:val="24"/>
          <w:szCs w:val="24"/>
          <w:lang w:eastAsia="fr-FR"/>
        </w:rPr>
      </w:pPr>
    </w:p>
    <w:sectPr w:rsidR="00614FFB" w:rsidRPr="00BE5E11" w:rsidSect="005D278A">
      <w:footerReference w:type="default" r:id="rId10"/>
      <w:pgSz w:w="11906" w:h="16838" w:code="9"/>
      <w:pgMar w:top="1077" w:right="624" w:bottom="624" w:left="624" w:header="136" w:footer="15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57AD56" w14:textId="77777777" w:rsidR="00A337C4" w:rsidRDefault="00A337C4">
      <w:pPr>
        <w:spacing w:after="0" w:line="240" w:lineRule="auto"/>
      </w:pPr>
      <w:r>
        <w:separator/>
      </w:r>
    </w:p>
  </w:endnote>
  <w:endnote w:type="continuationSeparator" w:id="0">
    <w:p w14:paraId="3CBCB8AA" w14:textId="77777777" w:rsidR="00A337C4" w:rsidRDefault="00A33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oogle Sans Text">
    <w:altName w:val="Calibri"/>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A96DB4" w14:textId="77777777" w:rsidR="002B7001" w:rsidRDefault="00FE35D5">
    <w:pPr>
      <w:pStyle w:val="Footer"/>
      <w:jc w:val="right"/>
    </w:pPr>
    <w:r>
      <w:t xml:space="preserve">Page </w:t>
    </w:r>
    <w:r>
      <w:rPr>
        <w:b/>
        <w:bCs/>
      </w:rPr>
      <w:fldChar w:fldCharType="begin"/>
    </w:r>
    <w:r>
      <w:rPr>
        <w:b/>
        <w:bCs/>
      </w:rPr>
      <w:instrText xml:space="preserve"> PAGE </w:instrText>
    </w:r>
    <w:r>
      <w:rPr>
        <w:b/>
        <w:bCs/>
      </w:rPr>
      <w:fldChar w:fldCharType="separate"/>
    </w:r>
    <w:r w:rsidR="00AA6BEE">
      <w:rPr>
        <w:b/>
        <w:bCs/>
        <w:noProof/>
      </w:rPr>
      <w:t>17</w:t>
    </w:r>
    <w:r>
      <w:rPr>
        <w:b/>
        <w:bCs/>
      </w:rPr>
      <w:fldChar w:fldCharType="end"/>
    </w:r>
    <w:r>
      <w:t xml:space="preserve">of </w:t>
    </w:r>
    <w:r>
      <w:rPr>
        <w:b/>
        <w:bCs/>
      </w:rPr>
      <w:fldChar w:fldCharType="begin"/>
    </w:r>
    <w:r>
      <w:rPr>
        <w:b/>
        <w:bCs/>
      </w:rPr>
      <w:instrText xml:space="preserve"> NUMPAGES </w:instrText>
    </w:r>
    <w:r>
      <w:rPr>
        <w:b/>
        <w:bCs/>
      </w:rPr>
      <w:fldChar w:fldCharType="separate"/>
    </w:r>
    <w:r w:rsidR="00AA6BEE">
      <w:rPr>
        <w:b/>
        <w:bCs/>
        <w:noProof/>
      </w:rPr>
      <w:t>18</w:t>
    </w:r>
    <w:r>
      <w:rPr>
        <w:b/>
        <w:bCs/>
      </w:rPr>
      <w:fldChar w:fldCharType="end"/>
    </w:r>
  </w:p>
  <w:p w14:paraId="5BE23A2D" w14:textId="77777777" w:rsidR="002B7001" w:rsidRDefault="002B7001">
    <w:pPr>
      <w:pStyle w:val="Head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891CFE" w14:textId="77777777" w:rsidR="00A337C4" w:rsidRDefault="00A337C4">
      <w:pPr>
        <w:spacing w:after="0" w:line="240" w:lineRule="auto"/>
      </w:pPr>
      <w:r>
        <w:rPr>
          <w:color w:val="000000"/>
        </w:rPr>
        <w:separator/>
      </w:r>
    </w:p>
  </w:footnote>
  <w:footnote w:type="continuationSeparator" w:id="0">
    <w:p w14:paraId="1F0D685B" w14:textId="77777777" w:rsidR="00A337C4" w:rsidRDefault="00A337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342"/>
    <w:rsid w:val="0000370F"/>
    <w:rsid w:val="0000387C"/>
    <w:rsid w:val="00003D5B"/>
    <w:rsid w:val="0001452D"/>
    <w:rsid w:val="00017C08"/>
    <w:rsid w:val="000207CF"/>
    <w:rsid w:val="00021321"/>
    <w:rsid w:val="00027F49"/>
    <w:rsid w:val="000306BB"/>
    <w:rsid w:val="00031715"/>
    <w:rsid w:val="00035D63"/>
    <w:rsid w:val="00037A93"/>
    <w:rsid w:val="00040AEC"/>
    <w:rsid w:val="0005049D"/>
    <w:rsid w:val="00060C46"/>
    <w:rsid w:val="000645E9"/>
    <w:rsid w:val="000715BB"/>
    <w:rsid w:val="00080AFC"/>
    <w:rsid w:val="0008183D"/>
    <w:rsid w:val="00082D5F"/>
    <w:rsid w:val="0008563F"/>
    <w:rsid w:val="00093B13"/>
    <w:rsid w:val="00096DEE"/>
    <w:rsid w:val="000A0CF5"/>
    <w:rsid w:val="000B0E11"/>
    <w:rsid w:val="000B5930"/>
    <w:rsid w:val="000B6998"/>
    <w:rsid w:val="000C21E3"/>
    <w:rsid w:val="000C32D6"/>
    <w:rsid w:val="000C725D"/>
    <w:rsid w:val="000D329F"/>
    <w:rsid w:val="000D536D"/>
    <w:rsid w:val="000E08C8"/>
    <w:rsid w:val="000F3D79"/>
    <w:rsid w:val="000F3F1E"/>
    <w:rsid w:val="000F6597"/>
    <w:rsid w:val="00100190"/>
    <w:rsid w:val="00102260"/>
    <w:rsid w:val="00106405"/>
    <w:rsid w:val="00121158"/>
    <w:rsid w:val="00124498"/>
    <w:rsid w:val="00126881"/>
    <w:rsid w:val="00126DE3"/>
    <w:rsid w:val="0012719D"/>
    <w:rsid w:val="00131F06"/>
    <w:rsid w:val="00144ED8"/>
    <w:rsid w:val="00151F8E"/>
    <w:rsid w:val="001520DC"/>
    <w:rsid w:val="001524BB"/>
    <w:rsid w:val="00162CA8"/>
    <w:rsid w:val="00164196"/>
    <w:rsid w:val="00164207"/>
    <w:rsid w:val="00165A74"/>
    <w:rsid w:val="0018163F"/>
    <w:rsid w:val="0018176C"/>
    <w:rsid w:val="0018347E"/>
    <w:rsid w:val="001843CA"/>
    <w:rsid w:val="001923B4"/>
    <w:rsid w:val="00196148"/>
    <w:rsid w:val="00196F68"/>
    <w:rsid w:val="001A57D2"/>
    <w:rsid w:val="001B24B1"/>
    <w:rsid w:val="001B3CD1"/>
    <w:rsid w:val="001B419A"/>
    <w:rsid w:val="001B4DDD"/>
    <w:rsid w:val="001B70C3"/>
    <w:rsid w:val="001C080F"/>
    <w:rsid w:val="001C090F"/>
    <w:rsid w:val="001C4D2F"/>
    <w:rsid w:val="001D08B6"/>
    <w:rsid w:val="001E1EFB"/>
    <w:rsid w:val="001E2BEB"/>
    <w:rsid w:val="001E3BE2"/>
    <w:rsid w:val="001E4E8A"/>
    <w:rsid w:val="001E7D75"/>
    <w:rsid w:val="001F1E46"/>
    <w:rsid w:val="001F262C"/>
    <w:rsid w:val="001F5C49"/>
    <w:rsid w:val="001F6F74"/>
    <w:rsid w:val="002044BE"/>
    <w:rsid w:val="00212D93"/>
    <w:rsid w:val="00215559"/>
    <w:rsid w:val="00216CEE"/>
    <w:rsid w:val="00221CDD"/>
    <w:rsid w:val="002224B1"/>
    <w:rsid w:val="00224409"/>
    <w:rsid w:val="0022657F"/>
    <w:rsid w:val="0022695D"/>
    <w:rsid w:val="00230B37"/>
    <w:rsid w:val="00230DF0"/>
    <w:rsid w:val="00232462"/>
    <w:rsid w:val="00232CB9"/>
    <w:rsid w:val="002343E5"/>
    <w:rsid w:val="0024197B"/>
    <w:rsid w:val="002422FD"/>
    <w:rsid w:val="00243481"/>
    <w:rsid w:val="00245A77"/>
    <w:rsid w:val="002510B7"/>
    <w:rsid w:val="0025428E"/>
    <w:rsid w:val="00256480"/>
    <w:rsid w:val="00264647"/>
    <w:rsid w:val="002770E6"/>
    <w:rsid w:val="00297D30"/>
    <w:rsid w:val="002B7001"/>
    <w:rsid w:val="002C0837"/>
    <w:rsid w:val="002C45F1"/>
    <w:rsid w:val="002C4F28"/>
    <w:rsid w:val="002D56AF"/>
    <w:rsid w:val="002E450C"/>
    <w:rsid w:val="002E55F0"/>
    <w:rsid w:val="002E7BA3"/>
    <w:rsid w:val="002F0D83"/>
    <w:rsid w:val="002F19AA"/>
    <w:rsid w:val="002F1FCC"/>
    <w:rsid w:val="002F23A2"/>
    <w:rsid w:val="00304A66"/>
    <w:rsid w:val="00307BEF"/>
    <w:rsid w:val="0031261B"/>
    <w:rsid w:val="003128A7"/>
    <w:rsid w:val="00314D88"/>
    <w:rsid w:val="00321920"/>
    <w:rsid w:val="00321CDD"/>
    <w:rsid w:val="003225C1"/>
    <w:rsid w:val="003231EB"/>
    <w:rsid w:val="003352DA"/>
    <w:rsid w:val="003437D9"/>
    <w:rsid w:val="00347ED1"/>
    <w:rsid w:val="003572B9"/>
    <w:rsid w:val="003616C1"/>
    <w:rsid w:val="00380E17"/>
    <w:rsid w:val="00383592"/>
    <w:rsid w:val="003901E5"/>
    <w:rsid w:val="0039195E"/>
    <w:rsid w:val="0039344B"/>
    <w:rsid w:val="00395FB4"/>
    <w:rsid w:val="003A3366"/>
    <w:rsid w:val="003A783B"/>
    <w:rsid w:val="003B4ACA"/>
    <w:rsid w:val="003C05EE"/>
    <w:rsid w:val="003C1453"/>
    <w:rsid w:val="003C4C64"/>
    <w:rsid w:val="003D008C"/>
    <w:rsid w:val="003D10D0"/>
    <w:rsid w:val="003D11C7"/>
    <w:rsid w:val="003E00DB"/>
    <w:rsid w:val="003E4B3E"/>
    <w:rsid w:val="003E4F6B"/>
    <w:rsid w:val="003E5FCA"/>
    <w:rsid w:val="003F15F5"/>
    <w:rsid w:val="003F36CD"/>
    <w:rsid w:val="00403905"/>
    <w:rsid w:val="004055EA"/>
    <w:rsid w:val="0042087C"/>
    <w:rsid w:val="00420E37"/>
    <w:rsid w:val="00420E85"/>
    <w:rsid w:val="00423CD9"/>
    <w:rsid w:val="00425315"/>
    <w:rsid w:val="00425C2D"/>
    <w:rsid w:val="00425E20"/>
    <w:rsid w:val="00431737"/>
    <w:rsid w:val="00432DBE"/>
    <w:rsid w:val="004440BD"/>
    <w:rsid w:val="004445DA"/>
    <w:rsid w:val="00454D9C"/>
    <w:rsid w:val="0045547A"/>
    <w:rsid w:val="00457929"/>
    <w:rsid w:val="0046169A"/>
    <w:rsid w:val="00463B09"/>
    <w:rsid w:val="004654C1"/>
    <w:rsid w:val="0048244E"/>
    <w:rsid w:val="00486A61"/>
    <w:rsid w:val="004900EB"/>
    <w:rsid w:val="00494A62"/>
    <w:rsid w:val="004A4AF2"/>
    <w:rsid w:val="004A7D77"/>
    <w:rsid w:val="004B26C3"/>
    <w:rsid w:val="004B43B3"/>
    <w:rsid w:val="004B44C7"/>
    <w:rsid w:val="004B44EC"/>
    <w:rsid w:val="00501585"/>
    <w:rsid w:val="00506D33"/>
    <w:rsid w:val="00514DC6"/>
    <w:rsid w:val="00523371"/>
    <w:rsid w:val="00523833"/>
    <w:rsid w:val="00526684"/>
    <w:rsid w:val="00527512"/>
    <w:rsid w:val="00535803"/>
    <w:rsid w:val="00535DEB"/>
    <w:rsid w:val="0054031B"/>
    <w:rsid w:val="00544B7E"/>
    <w:rsid w:val="005540BE"/>
    <w:rsid w:val="005630D0"/>
    <w:rsid w:val="00564C44"/>
    <w:rsid w:val="00564F21"/>
    <w:rsid w:val="00567A00"/>
    <w:rsid w:val="005756FC"/>
    <w:rsid w:val="00577DAD"/>
    <w:rsid w:val="005829DB"/>
    <w:rsid w:val="005901B4"/>
    <w:rsid w:val="005A16CD"/>
    <w:rsid w:val="005A4766"/>
    <w:rsid w:val="005B11AA"/>
    <w:rsid w:val="005B326E"/>
    <w:rsid w:val="005B4163"/>
    <w:rsid w:val="005B5AB4"/>
    <w:rsid w:val="005B764A"/>
    <w:rsid w:val="005C1C97"/>
    <w:rsid w:val="005C6426"/>
    <w:rsid w:val="005D1449"/>
    <w:rsid w:val="005D278A"/>
    <w:rsid w:val="005D6985"/>
    <w:rsid w:val="005E3A30"/>
    <w:rsid w:val="005F0672"/>
    <w:rsid w:val="00603CD3"/>
    <w:rsid w:val="00605C2F"/>
    <w:rsid w:val="00612D3F"/>
    <w:rsid w:val="006140ED"/>
    <w:rsid w:val="00614FFB"/>
    <w:rsid w:val="00641ED2"/>
    <w:rsid w:val="0064400B"/>
    <w:rsid w:val="006441C5"/>
    <w:rsid w:val="006441CC"/>
    <w:rsid w:val="00652EBF"/>
    <w:rsid w:val="0066501B"/>
    <w:rsid w:val="006676D7"/>
    <w:rsid w:val="0067065E"/>
    <w:rsid w:val="00681D86"/>
    <w:rsid w:val="00682C49"/>
    <w:rsid w:val="006954BE"/>
    <w:rsid w:val="006B1EED"/>
    <w:rsid w:val="006B3EFF"/>
    <w:rsid w:val="006D3A6C"/>
    <w:rsid w:val="006D5721"/>
    <w:rsid w:val="006D59B4"/>
    <w:rsid w:val="006F0AB4"/>
    <w:rsid w:val="006F114E"/>
    <w:rsid w:val="007004DA"/>
    <w:rsid w:val="007057FD"/>
    <w:rsid w:val="0070665D"/>
    <w:rsid w:val="007073E2"/>
    <w:rsid w:val="00713BC8"/>
    <w:rsid w:val="0071631A"/>
    <w:rsid w:val="007251E6"/>
    <w:rsid w:val="00734EA2"/>
    <w:rsid w:val="00741913"/>
    <w:rsid w:val="0074442B"/>
    <w:rsid w:val="00745FCF"/>
    <w:rsid w:val="00747C5C"/>
    <w:rsid w:val="007627D7"/>
    <w:rsid w:val="00774F1F"/>
    <w:rsid w:val="00775201"/>
    <w:rsid w:val="00783A32"/>
    <w:rsid w:val="00783E1F"/>
    <w:rsid w:val="00785BA3"/>
    <w:rsid w:val="00786B90"/>
    <w:rsid w:val="00791D02"/>
    <w:rsid w:val="00794674"/>
    <w:rsid w:val="00794B69"/>
    <w:rsid w:val="007A4678"/>
    <w:rsid w:val="007A4812"/>
    <w:rsid w:val="007B03CA"/>
    <w:rsid w:val="007B719E"/>
    <w:rsid w:val="007D0625"/>
    <w:rsid w:val="007D189C"/>
    <w:rsid w:val="007D20F3"/>
    <w:rsid w:val="007D2524"/>
    <w:rsid w:val="007D2552"/>
    <w:rsid w:val="007D3D5B"/>
    <w:rsid w:val="007D3E0D"/>
    <w:rsid w:val="007E0710"/>
    <w:rsid w:val="007E0AC2"/>
    <w:rsid w:val="007E7058"/>
    <w:rsid w:val="007E71E2"/>
    <w:rsid w:val="007F523A"/>
    <w:rsid w:val="007F5CEB"/>
    <w:rsid w:val="00801810"/>
    <w:rsid w:val="00803F61"/>
    <w:rsid w:val="00804755"/>
    <w:rsid w:val="00807E83"/>
    <w:rsid w:val="00844B06"/>
    <w:rsid w:val="00845AE7"/>
    <w:rsid w:val="008470D4"/>
    <w:rsid w:val="008556F9"/>
    <w:rsid w:val="00862CDB"/>
    <w:rsid w:val="008642CF"/>
    <w:rsid w:val="00865AE9"/>
    <w:rsid w:val="0086685A"/>
    <w:rsid w:val="00866C60"/>
    <w:rsid w:val="0087621F"/>
    <w:rsid w:val="00880FB9"/>
    <w:rsid w:val="00885E38"/>
    <w:rsid w:val="00887805"/>
    <w:rsid w:val="00891255"/>
    <w:rsid w:val="008979BD"/>
    <w:rsid w:val="008A0D45"/>
    <w:rsid w:val="008A2B0D"/>
    <w:rsid w:val="008A5C24"/>
    <w:rsid w:val="008B10E0"/>
    <w:rsid w:val="008B27AC"/>
    <w:rsid w:val="008B71F7"/>
    <w:rsid w:val="008B735F"/>
    <w:rsid w:val="008B739F"/>
    <w:rsid w:val="008C0430"/>
    <w:rsid w:val="008C3BF4"/>
    <w:rsid w:val="008C5F0C"/>
    <w:rsid w:val="008C7270"/>
    <w:rsid w:val="008C79F9"/>
    <w:rsid w:val="008D3401"/>
    <w:rsid w:val="008D69AD"/>
    <w:rsid w:val="008D788A"/>
    <w:rsid w:val="008E1658"/>
    <w:rsid w:val="008E16C3"/>
    <w:rsid w:val="008E3AFD"/>
    <w:rsid w:val="008E53E6"/>
    <w:rsid w:val="008F398C"/>
    <w:rsid w:val="009043BA"/>
    <w:rsid w:val="00920DB8"/>
    <w:rsid w:val="0093015B"/>
    <w:rsid w:val="00933B5E"/>
    <w:rsid w:val="00934687"/>
    <w:rsid w:val="00936A8C"/>
    <w:rsid w:val="009447E2"/>
    <w:rsid w:val="00950C25"/>
    <w:rsid w:val="0095212E"/>
    <w:rsid w:val="00955505"/>
    <w:rsid w:val="00960506"/>
    <w:rsid w:val="00961B6A"/>
    <w:rsid w:val="0096352D"/>
    <w:rsid w:val="0096364A"/>
    <w:rsid w:val="009815C0"/>
    <w:rsid w:val="00987713"/>
    <w:rsid w:val="009A23CD"/>
    <w:rsid w:val="009A6ACB"/>
    <w:rsid w:val="009B2C6C"/>
    <w:rsid w:val="009B5ACD"/>
    <w:rsid w:val="009B5B75"/>
    <w:rsid w:val="009B5E4B"/>
    <w:rsid w:val="009D0244"/>
    <w:rsid w:val="009D4F8A"/>
    <w:rsid w:val="009D7752"/>
    <w:rsid w:val="009D7AE9"/>
    <w:rsid w:val="009F3DA4"/>
    <w:rsid w:val="009F5F4D"/>
    <w:rsid w:val="00A00376"/>
    <w:rsid w:val="00A01B89"/>
    <w:rsid w:val="00A036A0"/>
    <w:rsid w:val="00A07BC4"/>
    <w:rsid w:val="00A12077"/>
    <w:rsid w:val="00A13561"/>
    <w:rsid w:val="00A139F4"/>
    <w:rsid w:val="00A25DE8"/>
    <w:rsid w:val="00A337C4"/>
    <w:rsid w:val="00A371B6"/>
    <w:rsid w:val="00A42B38"/>
    <w:rsid w:val="00A52A97"/>
    <w:rsid w:val="00A57FE0"/>
    <w:rsid w:val="00A609A0"/>
    <w:rsid w:val="00A60DEA"/>
    <w:rsid w:val="00A61D87"/>
    <w:rsid w:val="00A63335"/>
    <w:rsid w:val="00A656C5"/>
    <w:rsid w:val="00A72014"/>
    <w:rsid w:val="00A75927"/>
    <w:rsid w:val="00A75B54"/>
    <w:rsid w:val="00A83416"/>
    <w:rsid w:val="00A91525"/>
    <w:rsid w:val="00A9172E"/>
    <w:rsid w:val="00A936BC"/>
    <w:rsid w:val="00A97F2A"/>
    <w:rsid w:val="00AA12A4"/>
    <w:rsid w:val="00AA5B53"/>
    <w:rsid w:val="00AA6BEE"/>
    <w:rsid w:val="00AB61E7"/>
    <w:rsid w:val="00AC056A"/>
    <w:rsid w:val="00AC2463"/>
    <w:rsid w:val="00AC2979"/>
    <w:rsid w:val="00AC39DC"/>
    <w:rsid w:val="00AE425A"/>
    <w:rsid w:val="00AE5247"/>
    <w:rsid w:val="00AF0042"/>
    <w:rsid w:val="00B0244A"/>
    <w:rsid w:val="00B208B6"/>
    <w:rsid w:val="00B22490"/>
    <w:rsid w:val="00B30E3A"/>
    <w:rsid w:val="00B4510C"/>
    <w:rsid w:val="00B46380"/>
    <w:rsid w:val="00B471DE"/>
    <w:rsid w:val="00B562B0"/>
    <w:rsid w:val="00B5684C"/>
    <w:rsid w:val="00B722C7"/>
    <w:rsid w:val="00B726C0"/>
    <w:rsid w:val="00B7352A"/>
    <w:rsid w:val="00B74D09"/>
    <w:rsid w:val="00B869AE"/>
    <w:rsid w:val="00B951C8"/>
    <w:rsid w:val="00B95390"/>
    <w:rsid w:val="00B9735B"/>
    <w:rsid w:val="00BA047B"/>
    <w:rsid w:val="00BA7A7B"/>
    <w:rsid w:val="00BB1F79"/>
    <w:rsid w:val="00BB58CE"/>
    <w:rsid w:val="00BC0955"/>
    <w:rsid w:val="00BC5C66"/>
    <w:rsid w:val="00BD1533"/>
    <w:rsid w:val="00BD735D"/>
    <w:rsid w:val="00BE1CC3"/>
    <w:rsid w:val="00BE314D"/>
    <w:rsid w:val="00BE5E11"/>
    <w:rsid w:val="00BF68D8"/>
    <w:rsid w:val="00BF72AB"/>
    <w:rsid w:val="00C0450E"/>
    <w:rsid w:val="00C0722E"/>
    <w:rsid w:val="00C10DA3"/>
    <w:rsid w:val="00C26D53"/>
    <w:rsid w:val="00C37E6A"/>
    <w:rsid w:val="00C5005B"/>
    <w:rsid w:val="00C53883"/>
    <w:rsid w:val="00C606A8"/>
    <w:rsid w:val="00C70A1D"/>
    <w:rsid w:val="00C732F9"/>
    <w:rsid w:val="00C7664E"/>
    <w:rsid w:val="00C77D65"/>
    <w:rsid w:val="00C8257F"/>
    <w:rsid w:val="00C85B4F"/>
    <w:rsid w:val="00C938DA"/>
    <w:rsid w:val="00C9609B"/>
    <w:rsid w:val="00C96C4F"/>
    <w:rsid w:val="00C970B6"/>
    <w:rsid w:val="00CB0AF5"/>
    <w:rsid w:val="00CB28C0"/>
    <w:rsid w:val="00CB4563"/>
    <w:rsid w:val="00CB4F99"/>
    <w:rsid w:val="00CB6CAD"/>
    <w:rsid w:val="00CD01D7"/>
    <w:rsid w:val="00CD480A"/>
    <w:rsid w:val="00CD523C"/>
    <w:rsid w:val="00CD6E0D"/>
    <w:rsid w:val="00CE0A51"/>
    <w:rsid w:val="00CE1E7A"/>
    <w:rsid w:val="00CE2067"/>
    <w:rsid w:val="00CE7E0C"/>
    <w:rsid w:val="00CF2CED"/>
    <w:rsid w:val="00D0253D"/>
    <w:rsid w:val="00D05F73"/>
    <w:rsid w:val="00D06CBB"/>
    <w:rsid w:val="00D120A2"/>
    <w:rsid w:val="00D14647"/>
    <w:rsid w:val="00D172C4"/>
    <w:rsid w:val="00D24354"/>
    <w:rsid w:val="00D24539"/>
    <w:rsid w:val="00D430E9"/>
    <w:rsid w:val="00D505FD"/>
    <w:rsid w:val="00D53D5D"/>
    <w:rsid w:val="00D568E9"/>
    <w:rsid w:val="00D67C7B"/>
    <w:rsid w:val="00D71893"/>
    <w:rsid w:val="00D746F3"/>
    <w:rsid w:val="00D76B3E"/>
    <w:rsid w:val="00D8314F"/>
    <w:rsid w:val="00D853AE"/>
    <w:rsid w:val="00D9098D"/>
    <w:rsid w:val="00D938E6"/>
    <w:rsid w:val="00DB0AD5"/>
    <w:rsid w:val="00DB1342"/>
    <w:rsid w:val="00DB18B0"/>
    <w:rsid w:val="00DB28C6"/>
    <w:rsid w:val="00DB2F1A"/>
    <w:rsid w:val="00DB3047"/>
    <w:rsid w:val="00DB32DD"/>
    <w:rsid w:val="00DB38C4"/>
    <w:rsid w:val="00DC1126"/>
    <w:rsid w:val="00DD04D2"/>
    <w:rsid w:val="00DD1075"/>
    <w:rsid w:val="00DD3384"/>
    <w:rsid w:val="00DD7599"/>
    <w:rsid w:val="00DE097D"/>
    <w:rsid w:val="00DF36EC"/>
    <w:rsid w:val="00DF4A27"/>
    <w:rsid w:val="00E1650B"/>
    <w:rsid w:val="00E374B5"/>
    <w:rsid w:val="00E45B44"/>
    <w:rsid w:val="00E546D5"/>
    <w:rsid w:val="00E563F9"/>
    <w:rsid w:val="00E607B7"/>
    <w:rsid w:val="00E7442A"/>
    <w:rsid w:val="00E831F2"/>
    <w:rsid w:val="00EB3AA8"/>
    <w:rsid w:val="00EB3CFA"/>
    <w:rsid w:val="00EB555D"/>
    <w:rsid w:val="00ED09D3"/>
    <w:rsid w:val="00EF2204"/>
    <w:rsid w:val="00EF26F3"/>
    <w:rsid w:val="00F00536"/>
    <w:rsid w:val="00F05FFB"/>
    <w:rsid w:val="00F15C0B"/>
    <w:rsid w:val="00F1638E"/>
    <w:rsid w:val="00F31C50"/>
    <w:rsid w:val="00F47A5C"/>
    <w:rsid w:val="00F5189F"/>
    <w:rsid w:val="00F5518D"/>
    <w:rsid w:val="00F56DDE"/>
    <w:rsid w:val="00F638D1"/>
    <w:rsid w:val="00F66F94"/>
    <w:rsid w:val="00F70A36"/>
    <w:rsid w:val="00F81009"/>
    <w:rsid w:val="00F824E5"/>
    <w:rsid w:val="00F864DF"/>
    <w:rsid w:val="00F9032F"/>
    <w:rsid w:val="00F9063D"/>
    <w:rsid w:val="00F92C4B"/>
    <w:rsid w:val="00F93CA8"/>
    <w:rsid w:val="00F93D4C"/>
    <w:rsid w:val="00FA250F"/>
    <w:rsid w:val="00FA4AF1"/>
    <w:rsid w:val="00FA500A"/>
    <w:rsid w:val="00FA7C4E"/>
    <w:rsid w:val="00FA7EC1"/>
    <w:rsid w:val="00FB351D"/>
    <w:rsid w:val="00FB5858"/>
    <w:rsid w:val="00FD12AC"/>
    <w:rsid w:val="00FD7B0A"/>
    <w:rsid w:val="00FE35D5"/>
    <w:rsid w:val="00FE3C07"/>
    <w:rsid w:val="00FE5131"/>
    <w:rsid w:val="00FF47E2"/>
    <w:rsid w:val="00FF5F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CA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 w:eastAsia="fr-FR" w:bidi="ar-SA"/>
      </w:rPr>
    </w:rPrDefault>
    <w:pPrDefault>
      <w:pPr>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7CF"/>
    <w:pPr>
      <w:spacing w:after="200" w:line="276" w:lineRule="auto"/>
    </w:pPr>
    <w:rPr>
      <w:sz w:val="22"/>
      <w:szCs w:val="22"/>
      <w:lang w:eastAsia="en-US"/>
    </w:rPr>
  </w:style>
  <w:style w:type="paragraph" w:styleId="Heading1">
    <w:name w:val="heading 1"/>
    <w:basedOn w:val="Normal"/>
    <w:next w:val="Normal"/>
    <w:uiPriority w:val="9"/>
    <w:qFormat/>
    <w:pPr>
      <w:keepNext/>
      <w:keepLines/>
      <w:spacing w:before="360" w:after="80"/>
      <w:outlineLvl w:val="0"/>
    </w:pPr>
    <w:rPr>
      <w:rFonts w:ascii="Cambria" w:eastAsia="Times New Roman" w:hAnsi="Cambria"/>
      <w:color w:val="365F91"/>
      <w:sz w:val="40"/>
      <w:szCs w:val="40"/>
      <w:lang w:eastAsia="fr-FR"/>
    </w:rPr>
  </w:style>
  <w:style w:type="paragraph" w:styleId="Heading2">
    <w:name w:val="heading 2"/>
    <w:basedOn w:val="Normal"/>
    <w:next w:val="Normal"/>
    <w:uiPriority w:val="9"/>
    <w:unhideWhenUsed/>
    <w:qFormat/>
    <w:pPr>
      <w:keepNext/>
      <w:keepLines/>
      <w:spacing w:before="160" w:after="80"/>
      <w:outlineLvl w:val="1"/>
    </w:pPr>
    <w:rPr>
      <w:rFonts w:ascii="Cambria" w:eastAsia="Times New Roman" w:hAnsi="Cambria"/>
      <w:color w:val="365F91"/>
      <w:sz w:val="32"/>
      <w:szCs w:val="32"/>
      <w:lang w:eastAsia="fr-FR"/>
    </w:rPr>
  </w:style>
  <w:style w:type="paragraph" w:styleId="Heading3">
    <w:name w:val="heading 3"/>
    <w:basedOn w:val="Normal"/>
    <w:next w:val="Normal"/>
    <w:uiPriority w:val="9"/>
    <w:unhideWhenUsed/>
    <w:qFormat/>
    <w:pPr>
      <w:keepNext/>
      <w:keepLines/>
      <w:spacing w:before="160" w:after="80"/>
      <w:outlineLvl w:val="2"/>
    </w:pPr>
    <w:rPr>
      <w:rFonts w:eastAsia="Times New Roman"/>
      <w:color w:val="365F91"/>
      <w:sz w:val="28"/>
      <w:szCs w:val="28"/>
      <w:lang w:eastAsia="fr-FR"/>
    </w:rPr>
  </w:style>
  <w:style w:type="paragraph" w:styleId="Heading4">
    <w:name w:val="heading 4"/>
    <w:basedOn w:val="Normal"/>
    <w:next w:val="Normal"/>
    <w:uiPriority w:val="9"/>
    <w:unhideWhenUsed/>
    <w:qFormat/>
    <w:pPr>
      <w:keepNext/>
      <w:keepLines/>
      <w:spacing w:before="80" w:after="40"/>
      <w:outlineLvl w:val="3"/>
    </w:pPr>
    <w:rPr>
      <w:rFonts w:eastAsia="Times New Roman"/>
      <w:i/>
      <w:iCs/>
      <w:color w:val="365F91"/>
      <w:sz w:val="20"/>
      <w:szCs w:val="20"/>
      <w:lang w:eastAsia="fr-FR"/>
    </w:rPr>
  </w:style>
  <w:style w:type="paragraph" w:styleId="Heading5">
    <w:name w:val="heading 5"/>
    <w:basedOn w:val="Normal"/>
    <w:next w:val="Normal"/>
    <w:uiPriority w:val="9"/>
    <w:unhideWhenUsed/>
    <w:qFormat/>
    <w:pPr>
      <w:keepNext/>
      <w:keepLines/>
      <w:spacing w:before="80" w:after="40"/>
      <w:outlineLvl w:val="4"/>
    </w:pPr>
    <w:rPr>
      <w:rFonts w:eastAsia="Times New Roman"/>
      <w:color w:val="365F91"/>
      <w:sz w:val="20"/>
      <w:szCs w:val="20"/>
      <w:lang w:eastAsia="fr-FR"/>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sz w:val="20"/>
      <w:szCs w:val="20"/>
      <w:lang w:eastAsia="fr-FR"/>
    </w:rPr>
  </w:style>
  <w:style w:type="paragraph" w:styleId="Heading7">
    <w:name w:val="heading 7"/>
    <w:basedOn w:val="Normal"/>
    <w:next w:val="Normal"/>
    <w:uiPriority w:val="9"/>
    <w:qFormat/>
    <w:pPr>
      <w:keepNext/>
      <w:keepLines/>
      <w:spacing w:before="40" w:after="0"/>
      <w:outlineLvl w:val="6"/>
    </w:pPr>
    <w:rPr>
      <w:rFonts w:eastAsia="Times New Roman"/>
      <w:color w:val="595959"/>
      <w:sz w:val="20"/>
      <w:szCs w:val="20"/>
      <w:lang w:eastAsia="fr-FR"/>
    </w:rPr>
  </w:style>
  <w:style w:type="paragraph" w:styleId="Heading8">
    <w:name w:val="heading 8"/>
    <w:basedOn w:val="Normal"/>
    <w:next w:val="Normal"/>
    <w:uiPriority w:val="9"/>
    <w:qFormat/>
    <w:pPr>
      <w:keepNext/>
      <w:keepLines/>
      <w:spacing w:after="0"/>
      <w:outlineLvl w:val="7"/>
    </w:pPr>
    <w:rPr>
      <w:rFonts w:eastAsia="Times New Roman"/>
      <w:i/>
      <w:iCs/>
      <w:color w:val="272727"/>
      <w:sz w:val="20"/>
      <w:szCs w:val="20"/>
      <w:lang w:eastAsia="fr-FR"/>
    </w:rPr>
  </w:style>
  <w:style w:type="paragraph" w:styleId="Heading9">
    <w:name w:val="heading 9"/>
    <w:basedOn w:val="Normal"/>
    <w:next w:val="Normal"/>
    <w:uiPriority w:val="9"/>
    <w:qFormat/>
    <w:pPr>
      <w:keepNext/>
      <w:keepLines/>
      <w:spacing w:after="0"/>
      <w:outlineLvl w:val="8"/>
    </w:pPr>
    <w:rPr>
      <w:rFonts w:eastAsia="Times New Roman"/>
      <w:color w:val="272727"/>
      <w:sz w:val="20"/>
      <w:szCs w:val="20"/>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uiPriority w:val="9"/>
    <w:rPr>
      <w:rFonts w:ascii="Cambria" w:eastAsia="Times New Roman" w:hAnsi="Cambria"/>
      <w:color w:val="365F91"/>
      <w:sz w:val="40"/>
      <w:szCs w:val="40"/>
    </w:rPr>
  </w:style>
  <w:style w:type="character" w:customStyle="1" w:styleId="Titre2Car">
    <w:name w:val="Titre 2 Car"/>
    <w:uiPriority w:val="9"/>
    <w:rPr>
      <w:rFonts w:ascii="Cambria" w:eastAsia="Times New Roman" w:hAnsi="Cambria"/>
      <w:color w:val="365F91"/>
      <w:sz w:val="32"/>
      <w:szCs w:val="32"/>
    </w:rPr>
  </w:style>
  <w:style w:type="character" w:customStyle="1" w:styleId="Titre3Car">
    <w:name w:val="Titre 3 Car"/>
    <w:uiPriority w:val="9"/>
    <w:rPr>
      <w:rFonts w:eastAsia="Times New Roman"/>
      <w:color w:val="365F91"/>
      <w:sz w:val="28"/>
      <w:szCs w:val="28"/>
    </w:rPr>
  </w:style>
  <w:style w:type="character" w:customStyle="1" w:styleId="Titre4Car">
    <w:name w:val="Titre 4 Car"/>
    <w:uiPriority w:val="9"/>
    <w:rPr>
      <w:rFonts w:eastAsia="Times New Roman"/>
      <w:i/>
      <w:iCs/>
      <w:color w:val="365F91"/>
    </w:rPr>
  </w:style>
  <w:style w:type="character" w:customStyle="1" w:styleId="Titre5Car">
    <w:name w:val="Titre 5 Car"/>
    <w:uiPriority w:val="9"/>
    <w:rPr>
      <w:rFonts w:eastAsia="Times New Roman"/>
      <w:color w:val="365F91"/>
    </w:rPr>
  </w:style>
  <w:style w:type="character" w:customStyle="1" w:styleId="Titre6Car">
    <w:name w:val="Titre 6 Car"/>
    <w:uiPriority w:val="9"/>
    <w:rPr>
      <w:rFonts w:eastAsia="Times New Roman"/>
      <w:i/>
      <w:iCs/>
      <w:color w:val="595959"/>
    </w:rPr>
  </w:style>
  <w:style w:type="character" w:customStyle="1" w:styleId="Titre7Car">
    <w:name w:val="Titre 7 Car"/>
    <w:uiPriority w:val="9"/>
    <w:rPr>
      <w:rFonts w:eastAsia="Times New Roman"/>
      <w:color w:val="595959"/>
    </w:rPr>
  </w:style>
  <w:style w:type="character" w:customStyle="1" w:styleId="Titre8Car">
    <w:name w:val="Titre 8 Car"/>
    <w:uiPriority w:val="9"/>
    <w:rPr>
      <w:rFonts w:eastAsia="Times New Roman"/>
      <w:i/>
      <w:iCs/>
      <w:color w:val="272727"/>
    </w:rPr>
  </w:style>
  <w:style w:type="character" w:customStyle="1" w:styleId="Titre9Car">
    <w:name w:val="Titre 9 Car"/>
    <w:uiPriority w:val="9"/>
    <w:rPr>
      <w:rFonts w:eastAsia="Times New Roman"/>
      <w:color w:val="272727"/>
    </w:rPr>
  </w:style>
  <w:style w:type="paragraph" w:styleId="Title">
    <w:name w:val="Title"/>
    <w:basedOn w:val="Normal"/>
    <w:next w:val="Normal"/>
    <w:uiPriority w:val="10"/>
    <w:qFormat/>
    <w:pPr>
      <w:spacing w:after="80" w:line="240" w:lineRule="auto"/>
      <w:contextualSpacing/>
    </w:pPr>
    <w:rPr>
      <w:rFonts w:ascii="Cambria" w:eastAsia="Times New Roman" w:hAnsi="Cambria"/>
      <w:spacing w:val="-10"/>
      <w:kern w:val="3"/>
      <w:sz w:val="56"/>
      <w:szCs w:val="56"/>
      <w:lang w:eastAsia="fr-FR"/>
    </w:rPr>
  </w:style>
  <w:style w:type="character" w:customStyle="1" w:styleId="TitreCar">
    <w:name w:val="Titre Car"/>
    <w:rPr>
      <w:rFonts w:ascii="Cambria" w:eastAsia="Times New Roman" w:hAnsi="Cambria"/>
      <w:spacing w:val="-10"/>
      <w:kern w:val="3"/>
      <w:sz w:val="56"/>
      <w:szCs w:val="56"/>
    </w:rPr>
  </w:style>
  <w:style w:type="paragraph" w:styleId="Subtitle">
    <w:name w:val="Subtitle"/>
    <w:basedOn w:val="Normal"/>
    <w:next w:val="Normal"/>
    <w:uiPriority w:val="11"/>
    <w:qFormat/>
    <w:pPr>
      <w:spacing w:after="160"/>
    </w:pPr>
    <w:rPr>
      <w:rFonts w:eastAsia="Times New Roman"/>
      <w:color w:val="595959"/>
      <w:spacing w:val="15"/>
      <w:sz w:val="28"/>
      <w:szCs w:val="28"/>
      <w:lang w:eastAsia="fr-FR"/>
    </w:rPr>
  </w:style>
  <w:style w:type="character" w:customStyle="1" w:styleId="Sous-titreCar">
    <w:name w:val="Sous-titre Car"/>
    <w:rPr>
      <w:rFonts w:eastAsia="Times New Roman"/>
      <w:color w:val="595959"/>
      <w:spacing w:val="15"/>
      <w:sz w:val="28"/>
      <w:szCs w:val="28"/>
    </w:rPr>
  </w:style>
  <w:style w:type="paragraph" w:styleId="Quote">
    <w:name w:val="Quote"/>
    <w:basedOn w:val="Normal"/>
    <w:next w:val="Normal"/>
    <w:pPr>
      <w:spacing w:before="160" w:after="160"/>
      <w:jc w:val="center"/>
    </w:pPr>
    <w:rPr>
      <w:i/>
      <w:iCs/>
      <w:color w:val="404040"/>
      <w:sz w:val="20"/>
      <w:szCs w:val="20"/>
      <w:lang w:eastAsia="fr-FR"/>
    </w:rPr>
  </w:style>
  <w:style w:type="character" w:customStyle="1" w:styleId="CitationCar">
    <w:name w:val="Citation Car"/>
    <w:rPr>
      <w:i/>
      <w:iCs/>
      <w:color w:val="404040"/>
    </w:rPr>
  </w:style>
  <w:style w:type="paragraph" w:styleId="ListParagraph">
    <w:name w:val="List Paragraph"/>
    <w:aliases w:val="F5 List Paragraph,Indent Paragraph,Citation List,Premier,Bullets,Paragraphe  revu,References,Paragraphe de liste1,Bullet Points,Farbige Liste - Akzent 11,Titre 10,Bullet List,texte,MCHIP_list paragraph,Recommendation,List Paragraph2"/>
    <w:basedOn w:val="Normal"/>
    <w:uiPriority w:val="34"/>
    <w:qFormat/>
    <w:pPr>
      <w:ind w:left="720"/>
      <w:contextualSpacing/>
    </w:pPr>
  </w:style>
  <w:style w:type="character" w:styleId="IntenseEmphasis">
    <w:name w:val="Intense Emphasis"/>
    <w:rPr>
      <w:i/>
      <w:iCs/>
      <w:color w:val="365F91"/>
    </w:rPr>
  </w:style>
  <w:style w:type="paragraph" w:styleId="IntenseQuote">
    <w:name w:val="Intense Quote"/>
    <w:basedOn w:val="Normal"/>
    <w:next w:val="Normal"/>
    <w:pPr>
      <w:pBdr>
        <w:top w:val="single" w:sz="4" w:space="10" w:color="365F91"/>
        <w:bottom w:val="single" w:sz="4" w:space="10" w:color="365F91"/>
      </w:pBdr>
      <w:spacing w:before="360" w:after="360"/>
      <w:ind w:left="864" w:right="864"/>
      <w:jc w:val="center"/>
    </w:pPr>
    <w:rPr>
      <w:i/>
      <w:iCs/>
      <w:color w:val="365F91"/>
      <w:sz w:val="20"/>
      <w:szCs w:val="20"/>
      <w:lang w:eastAsia="fr-FR"/>
    </w:rPr>
  </w:style>
  <w:style w:type="character" w:customStyle="1" w:styleId="CitationintenseCar">
    <w:name w:val="Citation intense Car"/>
    <w:rPr>
      <w:i/>
      <w:iCs/>
      <w:color w:val="365F91"/>
    </w:rPr>
  </w:style>
  <w:style w:type="character" w:styleId="IntenseReference">
    <w:name w:val="Intense Reference"/>
    <w:rPr>
      <w:b/>
      <w:bCs/>
      <w:smallCaps/>
      <w:color w:val="365F91"/>
      <w:spacing w:val="5"/>
    </w:rPr>
  </w:style>
  <w:style w:type="character" w:customStyle="1" w:styleId="uv3um">
    <w:name w:val="uv3um"/>
    <w:basedOn w:val="DefaultParagraphFont"/>
  </w:style>
  <w:style w:type="character" w:customStyle="1" w:styleId="ParagraphedelisteCar">
    <w:name w:val="Paragraphe de liste Car"/>
    <w:aliases w:val="F5 List Paragraph Car,Indent Paragraph Car,Citation List Car,Premier Car,Bullets Car,Paragraphe  revu Car,References Car,Paragraphe de liste1 Car,Bullet Points Car,Farbige Liste - Akzent 11 Car,Titre 10 Car,Bullet List Car"/>
    <w:uiPriority w:val="34"/>
    <w:qFormat/>
    <w:rPr>
      <w:sz w:val="22"/>
      <w:szCs w:val="22"/>
      <w:lang w:val="en" w:eastAsia="en-US"/>
    </w:rPr>
  </w:style>
  <w:style w:type="paragraph" w:styleId="Caption">
    <w:name w:val="caption"/>
    <w:basedOn w:val="Normal"/>
    <w:next w:val="Normal"/>
    <w:uiPriority w:val="35"/>
    <w:qFormat/>
    <w:pPr>
      <w:spacing w:line="240" w:lineRule="auto"/>
    </w:pPr>
    <w:rPr>
      <w:rFonts w:ascii="Times New Roman" w:eastAsia="Times New Roman" w:hAnsi="Times New Roman"/>
      <w:i/>
      <w:iCs/>
      <w:color w:val="1F497D"/>
      <w:sz w:val="18"/>
      <w:szCs w:val="18"/>
      <w:lang w:eastAsia="fr-FR"/>
    </w:rPr>
  </w:style>
  <w:style w:type="character" w:customStyle="1" w:styleId="LgendeCar">
    <w:name w:val="Légende Car"/>
    <w:uiPriority w:val="35"/>
    <w:rPr>
      <w:rFonts w:ascii="Times New Roman" w:eastAsia="Times New Roman" w:hAnsi="Times New Roman"/>
      <w:i/>
      <w:iCs/>
      <w:color w:val="1F497D"/>
      <w:sz w:val="18"/>
      <w:szCs w:val="18"/>
    </w:rPr>
  </w:style>
  <w:style w:type="paragraph" w:styleId="Bibliography">
    <w:name w:val="Bibliography"/>
    <w:basedOn w:val="Normal"/>
    <w:next w:val="Normal"/>
    <w:uiPriority w:val="37"/>
    <w:pPr>
      <w:tabs>
        <w:tab w:val="left" w:pos="384"/>
      </w:tabs>
      <w:spacing w:after="240" w:line="240" w:lineRule="auto"/>
      <w:ind w:left="384" w:hanging="384"/>
    </w:pPr>
  </w:style>
  <w:style w:type="character" w:styleId="PlaceholderText">
    <w:name w:val="Placeholder Text"/>
    <w:basedOn w:val="DefaultParagraphFont"/>
    <w:rPr>
      <w:color w:val="666666"/>
    </w:rPr>
  </w:style>
  <w:style w:type="character" w:styleId="CommentReference">
    <w:name w:val="annotation reference"/>
    <w:basedOn w:val="DefaultParagraphFont"/>
    <w:rPr>
      <w:sz w:val="16"/>
      <w:szCs w:val="16"/>
    </w:rPr>
  </w:style>
  <w:style w:type="paragraph" w:styleId="CommentText">
    <w:name w:val="annotation text"/>
    <w:basedOn w:val="Normal"/>
    <w:uiPriority w:val="99"/>
    <w:pPr>
      <w:spacing w:line="240" w:lineRule="auto"/>
    </w:pPr>
    <w:rPr>
      <w:sz w:val="20"/>
      <w:szCs w:val="20"/>
    </w:rPr>
  </w:style>
  <w:style w:type="character" w:customStyle="1" w:styleId="CommentaireCar">
    <w:name w:val="Commentaire Car"/>
    <w:basedOn w:val="DefaultParagraphFont"/>
    <w:uiPriority w:val="99"/>
    <w:rPr>
      <w:lang w:val="en" w:eastAsia="en-US"/>
    </w:rPr>
  </w:style>
  <w:style w:type="paragraph" w:styleId="CommentSubject">
    <w:name w:val="annotation subject"/>
    <w:basedOn w:val="CommentText"/>
    <w:next w:val="CommentText"/>
    <w:rPr>
      <w:b/>
      <w:bCs/>
    </w:rPr>
  </w:style>
  <w:style w:type="character" w:customStyle="1" w:styleId="ObjetducommentaireCar">
    <w:name w:val="Objet du commentaire Car"/>
    <w:basedOn w:val="CommentaireCar"/>
    <w:rPr>
      <w:b/>
      <w:bCs/>
      <w:lang w:val="en" w:eastAsia="en-US"/>
    </w:rPr>
  </w:style>
  <w:style w:type="paragraph" w:styleId="BalloonText">
    <w:name w:val="Balloon Text"/>
    <w:basedOn w:val="Normal"/>
    <w:uiPriority w:val="99"/>
    <w:pPr>
      <w:suppressAutoHyphens/>
      <w:spacing w:after="0" w:line="240" w:lineRule="auto"/>
    </w:pPr>
    <w:rPr>
      <w:rFonts w:ascii="Tahoma" w:hAnsi="Tahoma" w:cs="Tahoma"/>
      <w:sz w:val="16"/>
      <w:szCs w:val="16"/>
    </w:rPr>
  </w:style>
  <w:style w:type="character" w:customStyle="1" w:styleId="TextedebullesCar">
    <w:name w:val="Texte de bulles Car"/>
    <w:basedOn w:val="DefaultParagraphFont"/>
    <w:uiPriority w:val="99"/>
    <w:rPr>
      <w:rFonts w:ascii="Tahoma" w:hAnsi="Tahoma" w:cs="Tahoma"/>
      <w:sz w:val="16"/>
      <w:szCs w:val="16"/>
      <w:lang w:val="en" w:eastAsia="en-US"/>
    </w:rPr>
  </w:style>
  <w:style w:type="paragraph" w:styleId="Revision">
    <w:name w:val="Revision"/>
    <w:rPr>
      <w:sz w:val="22"/>
      <w:szCs w:val="22"/>
      <w:lang w:eastAsia="en-US"/>
    </w:rPr>
  </w:style>
  <w:style w:type="paragraph" w:styleId="Header">
    <w:name w:val="header"/>
    <w:basedOn w:val="Normal"/>
    <w:uiPriority w:val="99"/>
    <w:pPr>
      <w:tabs>
        <w:tab w:val="center" w:pos="4536"/>
        <w:tab w:val="right" w:pos="9072"/>
      </w:tabs>
      <w:spacing w:after="0" w:line="240" w:lineRule="auto"/>
    </w:pPr>
  </w:style>
  <w:style w:type="character" w:customStyle="1" w:styleId="En-tteCar">
    <w:name w:val="En-tête Car"/>
    <w:basedOn w:val="DefaultParagraphFont"/>
    <w:uiPriority w:val="99"/>
    <w:rPr>
      <w:sz w:val="22"/>
      <w:szCs w:val="22"/>
      <w:lang w:val="en" w:eastAsia="en-US"/>
    </w:rPr>
  </w:style>
  <w:style w:type="paragraph" w:styleId="Footer">
    <w:name w:val="footer"/>
    <w:basedOn w:val="Normal"/>
    <w:uiPriority w:val="99"/>
    <w:pPr>
      <w:tabs>
        <w:tab w:val="center" w:pos="4536"/>
        <w:tab w:val="right" w:pos="9072"/>
      </w:tabs>
      <w:spacing w:after="0" w:line="240" w:lineRule="auto"/>
    </w:pPr>
  </w:style>
  <w:style w:type="character" w:customStyle="1" w:styleId="PieddepageCar">
    <w:name w:val="Pied de page Car"/>
    <w:basedOn w:val="DefaultParagraphFont"/>
    <w:uiPriority w:val="99"/>
    <w:rPr>
      <w:sz w:val="22"/>
      <w:szCs w:val="22"/>
      <w:lang w:val="en" w:eastAsia="en-US"/>
    </w:rPr>
  </w:style>
  <w:style w:type="character" w:styleId="Hyperlink">
    <w:name w:val="Hyperlink"/>
    <w:basedOn w:val="DefaultParagraphFont"/>
    <w:uiPriority w:val="99"/>
    <w:unhideWhenUsed/>
    <w:rsid w:val="00264647"/>
    <w:rPr>
      <w:color w:val="0000FF" w:themeColor="hyperlink"/>
      <w:u w:val="single"/>
    </w:rPr>
  </w:style>
  <w:style w:type="character" w:customStyle="1" w:styleId="UnresolvedMention">
    <w:name w:val="Unresolved Mention"/>
    <w:basedOn w:val="DefaultParagraphFont"/>
    <w:uiPriority w:val="99"/>
    <w:semiHidden/>
    <w:unhideWhenUsed/>
    <w:rsid w:val="00304A66"/>
    <w:rPr>
      <w:color w:val="605E5C"/>
      <w:shd w:val="clear" w:color="auto" w:fill="E1DFDD"/>
    </w:rPr>
  </w:style>
  <w:style w:type="table" w:styleId="TableGrid">
    <w:name w:val="Table Grid"/>
    <w:basedOn w:val="TableNormal"/>
    <w:uiPriority w:val="39"/>
    <w:rsid w:val="008B73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642CF"/>
    <w:pPr>
      <w:autoSpaceDN/>
      <w:spacing w:before="100" w:beforeAutospacing="1" w:after="100" w:afterAutospacing="1" w:line="240" w:lineRule="auto"/>
    </w:pPr>
    <w:rPr>
      <w:rFonts w:ascii="Times New Roman" w:eastAsia="Times New Roman" w:hAnsi="Times New Roman"/>
      <w:sz w:val="24"/>
      <w:szCs w:val="24"/>
      <w:lang w:eastAsia="fr-FR"/>
    </w:rPr>
  </w:style>
  <w:style w:type="paragraph" w:styleId="NoSpacing">
    <w:name w:val="No Spacing"/>
    <w:link w:val="NoSpacingChar"/>
    <w:uiPriority w:val="1"/>
    <w:qFormat/>
    <w:rsid w:val="005B4163"/>
    <w:pPr>
      <w:autoSpaceDN/>
    </w:pPr>
    <w:rPr>
      <w:sz w:val="22"/>
      <w:szCs w:val="22"/>
      <w:lang w:eastAsia="en-US"/>
    </w:rPr>
  </w:style>
  <w:style w:type="paragraph" w:styleId="TOCHeading">
    <w:name w:val="TOC Heading"/>
    <w:basedOn w:val="Heading1"/>
    <w:next w:val="Normal"/>
    <w:uiPriority w:val="39"/>
    <w:unhideWhenUsed/>
    <w:qFormat/>
    <w:rsid w:val="005B4163"/>
    <w:pPr>
      <w:numPr>
        <w:ilvl w:val="2"/>
      </w:numPr>
      <w:autoSpaceDN/>
      <w:spacing w:before="240" w:after="240" w:line="259" w:lineRule="auto"/>
      <w:jc w:val="both"/>
      <w:outlineLvl w:val="9"/>
    </w:pPr>
    <w:rPr>
      <w:rFonts w:asciiTheme="majorHAnsi" w:eastAsiaTheme="majorEastAsia" w:hAnsiTheme="majorHAnsi"/>
      <w:color w:val="365F91" w:themeColor="accent1" w:themeShade="BF"/>
      <w:sz w:val="32"/>
      <w:szCs w:val="32"/>
      <w:lang w:eastAsia="fr-ML"/>
    </w:rPr>
  </w:style>
  <w:style w:type="paragraph" w:styleId="TOC1">
    <w:name w:val="toc 1"/>
    <w:basedOn w:val="Normal"/>
    <w:next w:val="Normal"/>
    <w:autoRedefine/>
    <w:uiPriority w:val="39"/>
    <w:unhideWhenUsed/>
    <w:rsid w:val="005B4163"/>
    <w:pPr>
      <w:autoSpaceDN/>
      <w:spacing w:after="100" w:line="240" w:lineRule="auto"/>
    </w:pPr>
    <w:rPr>
      <w:rFonts w:ascii="Times New Roman" w:eastAsia="Times New Roman" w:hAnsi="Times New Roman"/>
      <w:sz w:val="24"/>
      <w:szCs w:val="24"/>
      <w:lang w:eastAsia="fr-FR"/>
    </w:rPr>
  </w:style>
  <w:style w:type="paragraph" w:styleId="TOC2">
    <w:name w:val="toc 2"/>
    <w:basedOn w:val="Normal"/>
    <w:next w:val="Normal"/>
    <w:autoRedefine/>
    <w:uiPriority w:val="39"/>
    <w:unhideWhenUsed/>
    <w:rsid w:val="005B4163"/>
    <w:pPr>
      <w:autoSpaceDN/>
      <w:spacing w:after="100" w:line="240" w:lineRule="auto"/>
      <w:ind w:left="240"/>
    </w:pPr>
    <w:rPr>
      <w:rFonts w:ascii="Times New Roman" w:eastAsia="Times New Roman" w:hAnsi="Times New Roman"/>
      <w:sz w:val="24"/>
      <w:szCs w:val="24"/>
      <w:lang w:eastAsia="fr-FR"/>
    </w:rPr>
  </w:style>
  <w:style w:type="character" w:customStyle="1" w:styleId="NoSpacingChar">
    <w:name w:val="No Spacing Char"/>
    <w:link w:val="NoSpacing"/>
    <w:uiPriority w:val="1"/>
    <w:locked/>
    <w:rsid w:val="005B4163"/>
    <w:rPr>
      <w:sz w:val="22"/>
      <w:szCs w:val="22"/>
      <w:lang w:val="en" w:eastAsia="en-US"/>
    </w:rPr>
  </w:style>
  <w:style w:type="paragraph" w:styleId="TOC3">
    <w:name w:val="toc 3"/>
    <w:basedOn w:val="Normal"/>
    <w:next w:val="Normal"/>
    <w:autoRedefine/>
    <w:uiPriority w:val="39"/>
    <w:unhideWhenUsed/>
    <w:rsid w:val="005B4163"/>
    <w:pPr>
      <w:autoSpaceDN/>
      <w:spacing w:after="100" w:line="240" w:lineRule="auto"/>
      <w:ind w:left="480"/>
    </w:pPr>
    <w:rPr>
      <w:rFonts w:ascii="Times New Roman" w:eastAsia="Times New Roman" w:hAnsi="Times New Roman"/>
      <w:sz w:val="24"/>
      <w:szCs w:val="24"/>
      <w:lang w:eastAsia="fr-FR"/>
    </w:rPr>
  </w:style>
  <w:style w:type="paragraph" w:styleId="BodyText">
    <w:name w:val="Body Text"/>
    <w:basedOn w:val="Normal"/>
    <w:link w:val="BodyTextChar"/>
    <w:uiPriority w:val="99"/>
    <w:unhideWhenUsed/>
    <w:qFormat/>
    <w:rsid w:val="005B4163"/>
    <w:pPr>
      <w:autoSpaceDN/>
      <w:spacing w:after="160" w:line="360" w:lineRule="auto"/>
      <w:jc w:val="both"/>
    </w:pPr>
    <w:rPr>
      <w:rFonts w:ascii="Arial" w:eastAsia="Times New Roman" w:hAnsi="Arial"/>
      <w:sz w:val="24"/>
      <w:szCs w:val="24"/>
      <w:lang w:eastAsia="fr-FR"/>
      <w14:ligatures w14:val="standardContextual"/>
    </w:rPr>
  </w:style>
  <w:style w:type="character" w:customStyle="1" w:styleId="BodyTextChar">
    <w:name w:val="Body Text Char"/>
    <w:basedOn w:val="DefaultParagraphFont"/>
    <w:link w:val="BodyText"/>
    <w:uiPriority w:val="99"/>
    <w:rsid w:val="005B4163"/>
    <w:rPr>
      <w:rFonts w:ascii="Arial" w:eastAsia="Times New Roman" w:hAnsi="Arial"/>
      <w:sz w:val="24"/>
      <w:szCs w:val="24"/>
      <w14:ligatures w14:val="standardContextual"/>
    </w:rPr>
  </w:style>
  <w:style w:type="table" w:customStyle="1" w:styleId="Tableausimple21">
    <w:name w:val="Tableau simple 21"/>
    <w:basedOn w:val="TableNormal"/>
    <w:uiPriority w:val="42"/>
    <w:rsid w:val="005B4163"/>
    <w:pPr>
      <w:autoSpaceDN/>
    </w:pPr>
    <w:rPr>
      <w:rFonts w:asciiTheme="minorHAnsi" w:eastAsiaTheme="minorHAnsi" w:hAnsiTheme="minorHAnsi" w:cstheme="minorBidi"/>
      <w:kern w:val="2"/>
      <w:sz w:val="22"/>
      <w:szCs w:val="22"/>
      <w:lang w:eastAsia="en-US"/>
      <w14:ligatures w14:val="standardContextual"/>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lledutableau1">
    <w:name w:val="Grille du tableau1"/>
    <w:basedOn w:val="TableNormal"/>
    <w:next w:val="TableGrid"/>
    <w:uiPriority w:val="39"/>
    <w:rsid w:val="005B4163"/>
    <w:pPr>
      <w:autoSpaceDN/>
    </w:pPr>
    <w:rPr>
      <w:rFonts w:asciiTheme="minorHAnsi" w:eastAsiaTheme="minorHAnsi" w:hAnsiTheme="minorHAnsi" w:cstheme="minorBidi"/>
      <w:kern w:val="2"/>
      <w:sz w:val="22"/>
      <w:szCs w:val="22"/>
      <w:lang w:eastAsia="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B4163"/>
    <w:pPr>
      <w:autoSpaceDE w:val="0"/>
      <w:adjustRightInd w:val="0"/>
    </w:pPr>
    <w:rPr>
      <w:rFonts w:ascii="Times New Roman" w:eastAsiaTheme="minorHAnsi" w:hAnsi="Times New Roman"/>
      <w:color w:val="000000"/>
      <w:sz w:val="24"/>
      <w:szCs w:val="24"/>
      <w:lang w:eastAsia="en-US"/>
    </w:rPr>
  </w:style>
  <w:style w:type="paragraph" w:styleId="TableofFigures">
    <w:name w:val="table of figures"/>
    <w:basedOn w:val="Normal"/>
    <w:next w:val="Normal"/>
    <w:uiPriority w:val="99"/>
    <w:unhideWhenUsed/>
    <w:rsid w:val="005B4163"/>
    <w:pPr>
      <w:autoSpaceDN/>
      <w:spacing w:after="0" w:line="240" w:lineRule="auto"/>
    </w:pPr>
    <w:rPr>
      <w:rFonts w:ascii="Times New Roman" w:eastAsia="Times New Roman" w:hAnsi="Times New Roman"/>
      <w:sz w:val="24"/>
      <w:szCs w:val="24"/>
      <w:lang w:eastAsia="fr-FR"/>
    </w:rPr>
  </w:style>
  <w:style w:type="character" w:styleId="FollowedHyperlink">
    <w:name w:val="FollowedHyperlink"/>
    <w:basedOn w:val="DefaultParagraphFont"/>
    <w:uiPriority w:val="99"/>
    <w:semiHidden/>
    <w:unhideWhenUsed/>
    <w:rsid w:val="005B4163"/>
    <w:rPr>
      <w:color w:val="800080" w:themeColor="followedHyperlink"/>
      <w:u w:val="single"/>
    </w:rPr>
  </w:style>
  <w:style w:type="paragraph" w:customStyle="1" w:styleId="msonormal0">
    <w:name w:val="msonormal"/>
    <w:basedOn w:val="Normal"/>
    <w:rsid w:val="005B4163"/>
    <w:pPr>
      <w:autoSpaceDN/>
      <w:spacing w:before="100" w:beforeAutospacing="1" w:after="100" w:afterAutospacing="1" w:line="240" w:lineRule="auto"/>
    </w:pPr>
    <w:rPr>
      <w:rFonts w:ascii="Times New Roman" w:eastAsia="Times New Roman" w:hAnsi="Times New Roman"/>
      <w:sz w:val="24"/>
      <w:szCs w:val="24"/>
      <w:lang w:eastAsia="fr-FR"/>
    </w:rPr>
  </w:style>
  <w:style w:type="paragraph" w:styleId="TOC4">
    <w:name w:val="toc 4"/>
    <w:basedOn w:val="Normal"/>
    <w:next w:val="Normal"/>
    <w:autoRedefine/>
    <w:uiPriority w:val="39"/>
    <w:unhideWhenUsed/>
    <w:rsid w:val="005B4163"/>
    <w:pPr>
      <w:autoSpaceDN/>
      <w:spacing w:after="100" w:line="278" w:lineRule="auto"/>
      <w:ind w:left="720"/>
    </w:pPr>
    <w:rPr>
      <w:rFonts w:asciiTheme="minorHAnsi" w:eastAsiaTheme="minorEastAsia" w:hAnsiTheme="minorHAnsi" w:cstheme="minorBidi"/>
      <w:kern w:val="2"/>
      <w:sz w:val="24"/>
      <w:szCs w:val="24"/>
      <w:lang w:eastAsia="fr-FR"/>
      <w14:ligatures w14:val="standardContextual"/>
    </w:rPr>
  </w:style>
  <w:style w:type="paragraph" w:styleId="TOC5">
    <w:name w:val="toc 5"/>
    <w:basedOn w:val="Normal"/>
    <w:next w:val="Normal"/>
    <w:autoRedefine/>
    <w:uiPriority w:val="39"/>
    <w:unhideWhenUsed/>
    <w:rsid w:val="005B4163"/>
    <w:pPr>
      <w:autoSpaceDN/>
      <w:spacing w:after="100" w:line="278" w:lineRule="auto"/>
      <w:ind w:left="960"/>
    </w:pPr>
    <w:rPr>
      <w:rFonts w:asciiTheme="minorHAnsi" w:eastAsiaTheme="minorEastAsia" w:hAnsiTheme="minorHAnsi" w:cstheme="minorBidi"/>
      <w:kern w:val="2"/>
      <w:sz w:val="24"/>
      <w:szCs w:val="24"/>
      <w:lang w:eastAsia="fr-FR"/>
      <w14:ligatures w14:val="standardContextual"/>
    </w:rPr>
  </w:style>
  <w:style w:type="paragraph" w:styleId="TOC6">
    <w:name w:val="toc 6"/>
    <w:basedOn w:val="Normal"/>
    <w:next w:val="Normal"/>
    <w:autoRedefine/>
    <w:uiPriority w:val="39"/>
    <w:unhideWhenUsed/>
    <w:rsid w:val="005B4163"/>
    <w:pPr>
      <w:autoSpaceDN/>
      <w:spacing w:after="100" w:line="278" w:lineRule="auto"/>
      <w:ind w:left="1200"/>
    </w:pPr>
    <w:rPr>
      <w:rFonts w:asciiTheme="minorHAnsi" w:eastAsiaTheme="minorEastAsia" w:hAnsiTheme="minorHAnsi" w:cstheme="minorBidi"/>
      <w:kern w:val="2"/>
      <w:sz w:val="24"/>
      <w:szCs w:val="24"/>
      <w:lang w:eastAsia="fr-FR"/>
      <w14:ligatures w14:val="standardContextual"/>
    </w:rPr>
  </w:style>
  <w:style w:type="paragraph" w:styleId="TOC7">
    <w:name w:val="toc 7"/>
    <w:basedOn w:val="Normal"/>
    <w:next w:val="Normal"/>
    <w:autoRedefine/>
    <w:uiPriority w:val="39"/>
    <w:unhideWhenUsed/>
    <w:rsid w:val="005B4163"/>
    <w:pPr>
      <w:autoSpaceDN/>
      <w:spacing w:after="100" w:line="278" w:lineRule="auto"/>
      <w:ind w:left="1440"/>
    </w:pPr>
    <w:rPr>
      <w:rFonts w:asciiTheme="minorHAnsi" w:eastAsiaTheme="minorEastAsia" w:hAnsiTheme="minorHAnsi" w:cstheme="minorBidi"/>
      <w:kern w:val="2"/>
      <w:sz w:val="24"/>
      <w:szCs w:val="24"/>
      <w:lang w:eastAsia="fr-FR"/>
      <w14:ligatures w14:val="standardContextual"/>
    </w:rPr>
  </w:style>
  <w:style w:type="paragraph" w:styleId="TOC8">
    <w:name w:val="toc 8"/>
    <w:basedOn w:val="Normal"/>
    <w:next w:val="Normal"/>
    <w:autoRedefine/>
    <w:uiPriority w:val="39"/>
    <w:unhideWhenUsed/>
    <w:rsid w:val="005B4163"/>
    <w:pPr>
      <w:autoSpaceDN/>
      <w:spacing w:after="100" w:line="278" w:lineRule="auto"/>
      <w:ind w:left="1680"/>
    </w:pPr>
    <w:rPr>
      <w:rFonts w:asciiTheme="minorHAnsi" w:eastAsiaTheme="minorEastAsia" w:hAnsiTheme="minorHAnsi" w:cstheme="minorBidi"/>
      <w:kern w:val="2"/>
      <w:sz w:val="24"/>
      <w:szCs w:val="24"/>
      <w:lang w:eastAsia="fr-FR"/>
      <w14:ligatures w14:val="standardContextual"/>
    </w:rPr>
  </w:style>
  <w:style w:type="paragraph" w:styleId="TOC9">
    <w:name w:val="toc 9"/>
    <w:basedOn w:val="Normal"/>
    <w:next w:val="Normal"/>
    <w:autoRedefine/>
    <w:uiPriority w:val="39"/>
    <w:unhideWhenUsed/>
    <w:rsid w:val="005B4163"/>
    <w:pPr>
      <w:autoSpaceDN/>
      <w:spacing w:after="100" w:line="278" w:lineRule="auto"/>
      <w:ind w:left="1920"/>
    </w:pPr>
    <w:rPr>
      <w:rFonts w:asciiTheme="minorHAnsi" w:eastAsiaTheme="minorEastAsia" w:hAnsiTheme="minorHAnsi" w:cstheme="minorBidi"/>
      <w:kern w:val="2"/>
      <w:sz w:val="24"/>
      <w:szCs w:val="24"/>
      <w:lang w:eastAsia="fr-FR"/>
      <w14:ligatures w14:val="standardContextual"/>
    </w:rPr>
  </w:style>
  <w:style w:type="numbering" w:customStyle="1" w:styleId="Aucuneliste1">
    <w:name w:val="Aucune liste1"/>
    <w:next w:val="NoList"/>
    <w:uiPriority w:val="99"/>
    <w:semiHidden/>
    <w:unhideWhenUsed/>
    <w:rsid w:val="005B4163"/>
  </w:style>
  <w:style w:type="table" w:customStyle="1" w:styleId="TableauNormal1">
    <w:name w:val="Tableau Normal1"/>
    <w:semiHidden/>
    <w:rsid w:val="005B4163"/>
    <w:pPr>
      <w:autoSpaceDN/>
    </w:pPr>
    <w:rPr>
      <w:rFonts w:ascii="Times New Roman" w:eastAsia="Times New Roman" w:hAnsi="Times New Roman"/>
    </w:rPr>
    <w:tblPr>
      <w:tblCellMar>
        <w:top w:w="0" w:type="dxa"/>
        <w:left w:w="0" w:type="dxa"/>
        <w:bottom w:w="0" w:type="dxa"/>
        <w:right w:w="0" w:type="dxa"/>
      </w:tblCellMar>
    </w:tblPr>
  </w:style>
  <w:style w:type="table" w:customStyle="1" w:styleId="Grilledutableau2">
    <w:name w:val="Grille du tableau2"/>
    <w:basedOn w:val="TableNormal"/>
    <w:next w:val="TableGrid"/>
    <w:uiPriority w:val="39"/>
    <w:rsid w:val="005B4163"/>
    <w:pPr>
      <w:autoSpaceDN/>
    </w:pPr>
    <w:rPr>
      <w:rFonts w:asciiTheme="minorHAnsi" w:eastAsiaTheme="minorHAnsi" w:hAnsiTheme="minorHAnsi" w:cstheme="minorBidi"/>
      <w:kern w:val="2"/>
      <w:sz w:val="22"/>
      <w:szCs w:val="22"/>
      <w:lang w:eastAsia="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 w:eastAsia="fr-FR" w:bidi="ar-SA"/>
      </w:rPr>
    </w:rPrDefault>
    <w:pPrDefault>
      <w:pPr>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7CF"/>
    <w:pPr>
      <w:spacing w:after="200" w:line="276" w:lineRule="auto"/>
    </w:pPr>
    <w:rPr>
      <w:sz w:val="22"/>
      <w:szCs w:val="22"/>
      <w:lang w:eastAsia="en-US"/>
    </w:rPr>
  </w:style>
  <w:style w:type="paragraph" w:styleId="Heading1">
    <w:name w:val="heading 1"/>
    <w:basedOn w:val="Normal"/>
    <w:next w:val="Normal"/>
    <w:uiPriority w:val="9"/>
    <w:qFormat/>
    <w:pPr>
      <w:keepNext/>
      <w:keepLines/>
      <w:spacing w:before="360" w:after="80"/>
      <w:outlineLvl w:val="0"/>
    </w:pPr>
    <w:rPr>
      <w:rFonts w:ascii="Cambria" w:eastAsia="Times New Roman" w:hAnsi="Cambria"/>
      <w:color w:val="365F91"/>
      <w:sz w:val="40"/>
      <w:szCs w:val="40"/>
      <w:lang w:eastAsia="fr-FR"/>
    </w:rPr>
  </w:style>
  <w:style w:type="paragraph" w:styleId="Heading2">
    <w:name w:val="heading 2"/>
    <w:basedOn w:val="Normal"/>
    <w:next w:val="Normal"/>
    <w:uiPriority w:val="9"/>
    <w:unhideWhenUsed/>
    <w:qFormat/>
    <w:pPr>
      <w:keepNext/>
      <w:keepLines/>
      <w:spacing w:before="160" w:after="80"/>
      <w:outlineLvl w:val="1"/>
    </w:pPr>
    <w:rPr>
      <w:rFonts w:ascii="Cambria" w:eastAsia="Times New Roman" w:hAnsi="Cambria"/>
      <w:color w:val="365F91"/>
      <w:sz w:val="32"/>
      <w:szCs w:val="32"/>
      <w:lang w:eastAsia="fr-FR"/>
    </w:rPr>
  </w:style>
  <w:style w:type="paragraph" w:styleId="Heading3">
    <w:name w:val="heading 3"/>
    <w:basedOn w:val="Normal"/>
    <w:next w:val="Normal"/>
    <w:uiPriority w:val="9"/>
    <w:unhideWhenUsed/>
    <w:qFormat/>
    <w:pPr>
      <w:keepNext/>
      <w:keepLines/>
      <w:spacing w:before="160" w:after="80"/>
      <w:outlineLvl w:val="2"/>
    </w:pPr>
    <w:rPr>
      <w:rFonts w:eastAsia="Times New Roman"/>
      <w:color w:val="365F91"/>
      <w:sz w:val="28"/>
      <w:szCs w:val="28"/>
      <w:lang w:eastAsia="fr-FR"/>
    </w:rPr>
  </w:style>
  <w:style w:type="paragraph" w:styleId="Heading4">
    <w:name w:val="heading 4"/>
    <w:basedOn w:val="Normal"/>
    <w:next w:val="Normal"/>
    <w:uiPriority w:val="9"/>
    <w:unhideWhenUsed/>
    <w:qFormat/>
    <w:pPr>
      <w:keepNext/>
      <w:keepLines/>
      <w:spacing w:before="80" w:after="40"/>
      <w:outlineLvl w:val="3"/>
    </w:pPr>
    <w:rPr>
      <w:rFonts w:eastAsia="Times New Roman"/>
      <w:i/>
      <w:iCs/>
      <w:color w:val="365F91"/>
      <w:sz w:val="20"/>
      <w:szCs w:val="20"/>
      <w:lang w:eastAsia="fr-FR"/>
    </w:rPr>
  </w:style>
  <w:style w:type="paragraph" w:styleId="Heading5">
    <w:name w:val="heading 5"/>
    <w:basedOn w:val="Normal"/>
    <w:next w:val="Normal"/>
    <w:uiPriority w:val="9"/>
    <w:unhideWhenUsed/>
    <w:qFormat/>
    <w:pPr>
      <w:keepNext/>
      <w:keepLines/>
      <w:spacing w:before="80" w:after="40"/>
      <w:outlineLvl w:val="4"/>
    </w:pPr>
    <w:rPr>
      <w:rFonts w:eastAsia="Times New Roman"/>
      <w:color w:val="365F91"/>
      <w:sz w:val="20"/>
      <w:szCs w:val="20"/>
      <w:lang w:eastAsia="fr-FR"/>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sz w:val="20"/>
      <w:szCs w:val="20"/>
      <w:lang w:eastAsia="fr-FR"/>
    </w:rPr>
  </w:style>
  <w:style w:type="paragraph" w:styleId="Heading7">
    <w:name w:val="heading 7"/>
    <w:basedOn w:val="Normal"/>
    <w:next w:val="Normal"/>
    <w:uiPriority w:val="9"/>
    <w:qFormat/>
    <w:pPr>
      <w:keepNext/>
      <w:keepLines/>
      <w:spacing w:before="40" w:after="0"/>
      <w:outlineLvl w:val="6"/>
    </w:pPr>
    <w:rPr>
      <w:rFonts w:eastAsia="Times New Roman"/>
      <w:color w:val="595959"/>
      <w:sz w:val="20"/>
      <w:szCs w:val="20"/>
      <w:lang w:eastAsia="fr-FR"/>
    </w:rPr>
  </w:style>
  <w:style w:type="paragraph" w:styleId="Heading8">
    <w:name w:val="heading 8"/>
    <w:basedOn w:val="Normal"/>
    <w:next w:val="Normal"/>
    <w:uiPriority w:val="9"/>
    <w:qFormat/>
    <w:pPr>
      <w:keepNext/>
      <w:keepLines/>
      <w:spacing w:after="0"/>
      <w:outlineLvl w:val="7"/>
    </w:pPr>
    <w:rPr>
      <w:rFonts w:eastAsia="Times New Roman"/>
      <w:i/>
      <w:iCs/>
      <w:color w:val="272727"/>
      <w:sz w:val="20"/>
      <w:szCs w:val="20"/>
      <w:lang w:eastAsia="fr-FR"/>
    </w:rPr>
  </w:style>
  <w:style w:type="paragraph" w:styleId="Heading9">
    <w:name w:val="heading 9"/>
    <w:basedOn w:val="Normal"/>
    <w:next w:val="Normal"/>
    <w:uiPriority w:val="9"/>
    <w:qFormat/>
    <w:pPr>
      <w:keepNext/>
      <w:keepLines/>
      <w:spacing w:after="0"/>
      <w:outlineLvl w:val="8"/>
    </w:pPr>
    <w:rPr>
      <w:rFonts w:eastAsia="Times New Roman"/>
      <w:color w:val="272727"/>
      <w:sz w:val="20"/>
      <w:szCs w:val="20"/>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uiPriority w:val="9"/>
    <w:rPr>
      <w:rFonts w:ascii="Cambria" w:eastAsia="Times New Roman" w:hAnsi="Cambria"/>
      <w:color w:val="365F91"/>
      <w:sz w:val="40"/>
      <w:szCs w:val="40"/>
    </w:rPr>
  </w:style>
  <w:style w:type="character" w:customStyle="1" w:styleId="Titre2Car">
    <w:name w:val="Titre 2 Car"/>
    <w:uiPriority w:val="9"/>
    <w:rPr>
      <w:rFonts w:ascii="Cambria" w:eastAsia="Times New Roman" w:hAnsi="Cambria"/>
      <w:color w:val="365F91"/>
      <w:sz w:val="32"/>
      <w:szCs w:val="32"/>
    </w:rPr>
  </w:style>
  <w:style w:type="character" w:customStyle="1" w:styleId="Titre3Car">
    <w:name w:val="Titre 3 Car"/>
    <w:uiPriority w:val="9"/>
    <w:rPr>
      <w:rFonts w:eastAsia="Times New Roman"/>
      <w:color w:val="365F91"/>
      <w:sz w:val="28"/>
      <w:szCs w:val="28"/>
    </w:rPr>
  </w:style>
  <w:style w:type="character" w:customStyle="1" w:styleId="Titre4Car">
    <w:name w:val="Titre 4 Car"/>
    <w:uiPriority w:val="9"/>
    <w:rPr>
      <w:rFonts w:eastAsia="Times New Roman"/>
      <w:i/>
      <w:iCs/>
      <w:color w:val="365F91"/>
    </w:rPr>
  </w:style>
  <w:style w:type="character" w:customStyle="1" w:styleId="Titre5Car">
    <w:name w:val="Titre 5 Car"/>
    <w:uiPriority w:val="9"/>
    <w:rPr>
      <w:rFonts w:eastAsia="Times New Roman"/>
      <w:color w:val="365F91"/>
    </w:rPr>
  </w:style>
  <w:style w:type="character" w:customStyle="1" w:styleId="Titre6Car">
    <w:name w:val="Titre 6 Car"/>
    <w:uiPriority w:val="9"/>
    <w:rPr>
      <w:rFonts w:eastAsia="Times New Roman"/>
      <w:i/>
      <w:iCs/>
      <w:color w:val="595959"/>
    </w:rPr>
  </w:style>
  <w:style w:type="character" w:customStyle="1" w:styleId="Titre7Car">
    <w:name w:val="Titre 7 Car"/>
    <w:uiPriority w:val="9"/>
    <w:rPr>
      <w:rFonts w:eastAsia="Times New Roman"/>
      <w:color w:val="595959"/>
    </w:rPr>
  </w:style>
  <w:style w:type="character" w:customStyle="1" w:styleId="Titre8Car">
    <w:name w:val="Titre 8 Car"/>
    <w:uiPriority w:val="9"/>
    <w:rPr>
      <w:rFonts w:eastAsia="Times New Roman"/>
      <w:i/>
      <w:iCs/>
      <w:color w:val="272727"/>
    </w:rPr>
  </w:style>
  <w:style w:type="character" w:customStyle="1" w:styleId="Titre9Car">
    <w:name w:val="Titre 9 Car"/>
    <w:uiPriority w:val="9"/>
    <w:rPr>
      <w:rFonts w:eastAsia="Times New Roman"/>
      <w:color w:val="272727"/>
    </w:rPr>
  </w:style>
  <w:style w:type="paragraph" w:styleId="Title">
    <w:name w:val="Title"/>
    <w:basedOn w:val="Normal"/>
    <w:next w:val="Normal"/>
    <w:uiPriority w:val="10"/>
    <w:qFormat/>
    <w:pPr>
      <w:spacing w:after="80" w:line="240" w:lineRule="auto"/>
      <w:contextualSpacing/>
    </w:pPr>
    <w:rPr>
      <w:rFonts w:ascii="Cambria" w:eastAsia="Times New Roman" w:hAnsi="Cambria"/>
      <w:spacing w:val="-10"/>
      <w:kern w:val="3"/>
      <w:sz w:val="56"/>
      <w:szCs w:val="56"/>
      <w:lang w:eastAsia="fr-FR"/>
    </w:rPr>
  </w:style>
  <w:style w:type="character" w:customStyle="1" w:styleId="TitreCar">
    <w:name w:val="Titre Car"/>
    <w:rPr>
      <w:rFonts w:ascii="Cambria" w:eastAsia="Times New Roman" w:hAnsi="Cambria"/>
      <w:spacing w:val="-10"/>
      <w:kern w:val="3"/>
      <w:sz w:val="56"/>
      <w:szCs w:val="56"/>
    </w:rPr>
  </w:style>
  <w:style w:type="paragraph" w:styleId="Subtitle">
    <w:name w:val="Subtitle"/>
    <w:basedOn w:val="Normal"/>
    <w:next w:val="Normal"/>
    <w:uiPriority w:val="11"/>
    <w:qFormat/>
    <w:pPr>
      <w:spacing w:after="160"/>
    </w:pPr>
    <w:rPr>
      <w:rFonts w:eastAsia="Times New Roman"/>
      <w:color w:val="595959"/>
      <w:spacing w:val="15"/>
      <w:sz w:val="28"/>
      <w:szCs w:val="28"/>
      <w:lang w:eastAsia="fr-FR"/>
    </w:rPr>
  </w:style>
  <w:style w:type="character" w:customStyle="1" w:styleId="Sous-titreCar">
    <w:name w:val="Sous-titre Car"/>
    <w:rPr>
      <w:rFonts w:eastAsia="Times New Roman"/>
      <w:color w:val="595959"/>
      <w:spacing w:val="15"/>
      <w:sz w:val="28"/>
      <w:szCs w:val="28"/>
    </w:rPr>
  </w:style>
  <w:style w:type="paragraph" w:styleId="Quote">
    <w:name w:val="Quote"/>
    <w:basedOn w:val="Normal"/>
    <w:next w:val="Normal"/>
    <w:pPr>
      <w:spacing w:before="160" w:after="160"/>
      <w:jc w:val="center"/>
    </w:pPr>
    <w:rPr>
      <w:i/>
      <w:iCs/>
      <w:color w:val="404040"/>
      <w:sz w:val="20"/>
      <w:szCs w:val="20"/>
      <w:lang w:eastAsia="fr-FR"/>
    </w:rPr>
  </w:style>
  <w:style w:type="character" w:customStyle="1" w:styleId="CitationCar">
    <w:name w:val="Citation Car"/>
    <w:rPr>
      <w:i/>
      <w:iCs/>
      <w:color w:val="404040"/>
    </w:rPr>
  </w:style>
  <w:style w:type="paragraph" w:styleId="ListParagraph">
    <w:name w:val="List Paragraph"/>
    <w:aliases w:val="F5 List Paragraph,Indent Paragraph,Citation List,Premier,Bullets,Paragraphe  revu,References,Paragraphe de liste1,Bullet Points,Farbige Liste - Akzent 11,Titre 10,Bullet List,texte,MCHIP_list paragraph,Recommendation,List Paragraph2"/>
    <w:basedOn w:val="Normal"/>
    <w:uiPriority w:val="34"/>
    <w:qFormat/>
    <w:pPr>
      <w:ind w:left="720"/>
      <w:contextualSpacing/>
    </w:pPr>
  </w:style>
  <w:style w:type="character" w:styleId="IntenseEmphasis">
    <w:name w:val="Intense Emphasis"/>
    <w:rPr>
      <w:i/>
      <w:iCs/>
      <w:color w:val="365F91"/>
    </w:rPr>
  </w:style>
  <w:style w:type="paragraph" w:styleId="IntenseQuote">
    <w:name w:val="Intense Quote"/>
    <w:basedOn w:val="Normal"/>
    <w:next w:val="Normal"/>
    <w:pPr>
      <w:pBdr>
        <w:top w:val="single" w:sz="4" w:space="10" w:color="365F91"/>
        <w:bottom w:val="single" w:sz="4" w:space="10" w:color="365F91"/>
      </w:pBdr>
      <w:spacing w:before="360" w:after="360"/>
      <w:ind w:left="864" w:right="864"/>
      <w:jc w:val="center"/>
    </w:pPr>
    <w:rPr>
      <w:i/>
      <w:iCs/>
      <w:color w:val="365F91"/>
      <w:sz w:val="20"/>
      <w:szCs w:val="20"/>
      <w:lang w:eastAsia="fr-FR"/>
    </w:rPr>
  </w:style>
  <w:style w:type="character" w:customStyle="1" w:styleId="CitationintenseCar">
    <w:name w:val="Citation intense Car"/>
    <w:rPr>
      <w:i/>
      <w:iCs/>
      <w:color w:val="365F91"/>
    </w:rPr>
  </w:style>
  <w:style w:type="character" w:styleId="IntenseReference">
    <w:name w:val="Intense Reference"/>
    <w:rPr>
      <w:b/>
      <w:bCs/>
      <w:smallCaps/>
      <w:color w:val="365F91"/>
      <w:spacing w:val="5"/>
    </w:rPr>
  </w:style>
  <w:style w:type="character" w:customStyle="1" w:styleId="uv3um">
    <w:name w:val="uv3um"/>
    <w:basedOn w:val="DefaultParagraphFont"/>
  </w:style>
  <w:style w:type="character" w:customStyle="1" w:styleId="ParagraphedelisteCar">
    <w:name w:val="Paragraphe de liste Car"/>
    <w:aliases w:val="F5 List Paragraph Car,Indent Paragraph Car,Citation List Car,Premier Car,Bullets Car,Paragraphe  revu Car,References Car,Paragraphe de liste1 Car,Bullet Points Car,Farbige Liste - Akzent 11 Car,Titre 10 Car,Bullet List Car"/>
    <w:uiPriority w:val="34"/>
    <w:qFormat/>
    <w:rPr>
      <w:sz w:val="22"/>
      <w:szCs w:val="22"/>
      <w:lang w:val="en" w:eastAsia="en-US"/>
    </w:rPr>
  </w:style>
  <w:style w:type="paragraph" w:styleId="Caption">
    <w:name w:val="caption"/>
    <w:basedOn w:val="Normal"/>
    <w:next w:val="Normal"/>
    <w:uiPriority w:val="35"/>
    <w:qFormat/>
    <w:pPr>
      <w:spacing w:line="240" w:lineRule="auto"/>
    </w:pPr>
    <w:rPr>
      <w:rFonts w:ascii="Times New Roman" w:eastAsia="Times New Roman" w:hAnsi="Times New Roman"/>
      <w:i/>
      <w:iCs/>
      <w:color w:val="1F497D"/>
      <w:sz w:val="18"/>
      <w:szCs w:val="18"/>
      <w:lang w:eastAsia="fr-FR"/>
    </w:rPr>
  </w:style>
  <w:style w:type="character" w:customStyle="1" w:styleId="LgendeCar">
    <w:name w:val="Légende Car"/>
    <w:uiPriority w:val="35"/>
    <w:rPr>
      <w:rFonts w:ascii="Times New Roman" w:eastAsia="Times New Roman" w:hAnsi="Times New Roman"/>
      <w:i/>
      <w:iCs/>
      <w:color w:val="1F497D"/>
      <w:sz w:val="18"/>
      <w:szCs w:val="18"/>
    </w:rPr>
  </w:style>
  <w:style w:type="paragraph" w:styleId="Bibliography">
    <w:name w:val="Bibliography"/>
    <w:basedOn w:val="Normal"/>
    <w:next w:val="Normal"/>
    <w:uiPriority w:val="37"/>
    <w:pPr>
      <w:tabs>
        <w:tab w:val="left" w:pos="384"/>
      </w:tabs>
      <w:spacing w:after="240" w:line="240" w:lineRule="auto"/>
      <w:ind w:left="384" w:hanging="384"/>
    </w:pPr>
  </w:style>
  <w:style w:type="character" w:styleId="PlaceholderText">
    <w:name w:val="Placeholder Text"/>
    <w:basedOn w:val="DefaultParagraphFont"/>
    <w:rPr>
      <w:color w:val="666666"/>
    </w:rPr>
  </w:style>
  <w:style w:type="character" w:styleId="CommentReference">
    <w:name w:val="annotation reference"/>
    <w:basedOn w:val="DefaultParagraphFont"/>
    <w:rPr>
      <w:sz w:val="16"/>
      <w:szCs w:val="16"/>
    </w:rPr>
  </w:style>
  <w:style w:type="paragraph" w:styleId="CommentText">
    <w:name w:val="annotation text"/>
    <w:basedOn w:val="Normal"/>
    <w:uiPriority w:val="99"/>
    <w:pPr>
      <w:spacing w:line="240" w:lineRule="auto"/>
    </w:pPr>
    <w:rPr>
      <w:sz w:val="20"/>
      <w:szCs w:val="20"/>
    </w:rPr>
  </w:style>
  <w:style w:type="character" w:customStyle="1" w:styleId="CommentaireCar">
    <w:name w:val="Commentaire Car"/>
    <w:basedOn w:val="DefaultParagraphFont"/>
    <w:uiPriority w:val="99"/>
    <w:rPr>
      <w:lang w:val="en" w:eastAsia="en-US"/>
    </w:rPr>
  </w:style>
  <w:style w:type="paragraph" w:styleId="CommentSubject">
    <w:name w:val="annotation subject"/>
    <w:basedOn w:val="CommentText"/>
    <w:next w:val="CommentText"/>
    <w:rPr>
      <w:b/>
      <w:bCs/>
    </w:rPr>
  </w:style>
  <w:style w:type="character" w:customStyle="1" w:styleId="ObjetducommentaireCar">
    <w:name w:val="Objet du commentaire Car"/>
    <w:basedOn w:val="CommentaireCar"/>
    <w:rPr>
      <w:b/>
      <w:bCs/>
      <w:lang w:val="en" w:eastAsia="en-US"/>
    </w:rPr>
  </w:style>
  <w:style w:type="paragraph" w:styleId="BalloonText">
    <w:name w:val="Balloon Text"/>
    <w:basedOn w:val="Normal"/>
    <w:uiPriority w:val="99"/>
    <w:pPr>
      <w:suppressAutoHyphens/>
      <w:spacing w:after="0" w:line="240" w:lineRule="auto"/>
    </w:pPr>
    <w:rPr>
      <w:rFonts w:ascii="Tahoma" w:hAnsi="Tahoma" w:cs="Tahoma"/>
      <w:sz w:val="16"/>
      <w:szCs w:val="16"/>
    </w:rPr>
  </w:style>
  <w:style w:type="character" w:customStyle="1" w:styleId="TextedebullesCar">
    <w:name w:val="Texte de bulles Car"/>
    <w:basedOn w:val="DefaultParagraphFont"/>
    <w:uiPriority w:val="99"/>
    <w:rPr>
      <w:rFonts w:ascii="Tahoma" w:hAnsi="Tahoma" w:cs="Tahoma"/>
      <w:sz w:val="16"/>
      <w:szCs w:val="16"/>
      <w:lang w:val="en" w:eastAsia="en-US"/>
    </w:rPr>
  </w:style>
  <w:style w:type="paragraph" w:styleId="Revision">
    <w:name w:val="Revision"/>
    <w:rPr>
      <w:sz w:val="22"/>
      <w:szCs w:val="22"/>
      <w:lang w:eastAsia="en-US"/>
    </w:rPr>
  </w:style>
  <w:style w:type="paragraph" w:styleId="Header">
    <w:name w:val="header"/>
    <w:basedOn w:val="Normal"/>
    <w:uiPriority w:val="99"/>
    <w:pPr>
      <w:tabs>
        <w:tab w:val="center" w:pos="4536"/>
        <w:tab w:val="right" w:pos="9072"/>
      </w:tabs>
      <w:spacing w:after="0" w:line="240" w:lineRule="auto"/>
    </w:pPr>
  </w:style>
  <w:style w:type="character" w:customStyle="1" w:styleId="En-tteCar">
    <w:name w:val="En-tête Car"/>
    <w:basedOn w:val="DefaultParagraphFont"/>
    <w:uiPriority w:val="99"/>
    <w:rPr>
      <w:sz w:val="22"/>
      <w:szCs w:val="22"/>
      <w:lang w:val="en" w:eastAsia="en-US"/>
    </w:rPr>
  </w:style>
  <w:style w:type="paragraph" w:styleId="Footer">
    <w:name w:val="footer"/>
    <w:basedOn w:val="Normal"/>
    <w:uiPriority w:val="99"/>
    <w:pPr>
      <w:tabs>
        <w:tab w:val="center" w:pos="4536"/>
        <w:tab w:val="right" w:pos="9072"/>
      </w:tabs>
      <w:spacing w:after="0" w:line="240" w:lineRule="auto"/>
    </w:pPr>
  </w:style>
  <w:style w:type="character" w:customStyle="1" w:styleId="PieddepageCar">
    <w:name w:val="Pied de page Car"/>
    <w:basedOn w:val="DefaultParagraphFont"/>
    <w:uiPriority w:val="99"/>
    <w:rPr>
      <w:sz w:val="22"/>
      <w:szCs w:val="22"/>
      <w:lang w:val="en" w:eastAsia="en-US"/>
    </w:rPr>
  </w:style>
  <w:style w:type="character" w:styleId="Hyperlink">
    <w:name w:val="Hyperlink"/>
    <w:basedOn w:val="DefaultParagraphFont"/>
    <w:uiPriority w:val="99"/>
    <w:unhideWhenUsed/>
    <w:rsid w:val="00264647"/>
    <w:rPr>
      <w:color w:val="0000FF" w:themeColor="hyperlink"/>
      <w:u w:val="single"/>
    </w:rPr>
  </w:style>
  <w:style w:type="character" w:customStyle="1" w:styleId="UnresolvedMention">
    <w:name w:val="Unresolved Mention"/>
    <w:basedOn w:val="DefaultParagraphFont"/>
    <w:uiPriority w:val="99"/>
    <w:semiHidden/>
    <w:unhideWhenUsed/>
    <w:rsid w:val="00304A66"/>
    <w:rPr>
      <w:color w:val="605E5C"/>
      <w:shd w:val="clear" w:color="auto" w:fill="E1DFDD"/>
    </w:rPr>
  </w:style>
  <w:style w:type="table" w:styleId="TableGrid">
    <w:name w:val="Table Grid"/>
    <w:basedOn w:val="TableNormal"/>
    <w:uiPriority w:val="39"/>
    <w:rsid w:val="008B73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642CF"/>
    <w:pPr>
      <w:autoSpaceDN/>
      <w:spacing w:before="100" w:beforeAutospacing="1" w:after="100" w:afterAutospacing="1" w:line="240" w:lineRule="auto"/>
    </w:pPr>
    <w:rPr>
      <w:rFonts w:ascii="Times New Roman" w:eastAsia="Times New Roman" w:hAnsi="Times New Roman"/>
      <w:sz w:val="24"/>
      <w:szCs w:val="24"/>
      <w:lang w:eastAsia="fr-FR"/>
    </w:rPr>
  </w:style>
  <w:style w:type="paragraph" w:styleId="NoSpacing">
    <w:name w:val="No Spacing"/>
    <w:link w:val="NoSpacingChar"/>
    <w:uiPriority w:val="1"/>
    <w:qFormat/>
    <w:rsid w:val="005B4163"/>
    <w:pPr>
      <w:autoSpaceDN/>
    </w:pPr>
    <w:rPr>
      <w:sz w:val="22"/>
      <w:szCs w:val="22"/>
      <w:lang w:eastAsia="en-US"/>
    </w:rPr>
  </w:style>
  <w:style w:type="paragraph" w:styleId="TOCHeading">
    <w:name w:val="TOC Heading"/>
    <w:basedOn w:val="Heading1"/>
    <w:next w:val="Normal"/>
    <w:uiPriority w:val="39"/>
    <w:unhideWhenUsed/>
    <w:qFormat/>
    <w:rsid w:val="005B4163"/>
    <w:pPr>
      <w:numPr>
        <w:ilvl w:val="2"/>
      </w:numPr>
      <w:autoSpaceDN/>
      <w:spacing w:before="240" w:after="240" w:line="259" w:lineRule="auto"/>
      <w:jc w:val="both"/>
      <w:outlineLvl w:val="9"/>
    </w:pPr>
    <w:rPr>
      <w:rFonts w:asciiTheme="majorHAnsi" w:eastAsiaTheme="majorEastAsia" w:hAnsiTheme="majorHAnsi"/>
      <w:color w:val="365F91" w:themeColor="accent1" w:themeShade="BF"/>
      <w:sz w:val="32"/>
      <w:szCs w:val="32"/>
      <w:lang w:eastAsia="fr-ML"/>
    </w:rPr>
  </w:style>
  <w:style w:type="paragraph" w:styleId="TOC1">
    <w:name w:val="toc 1"/>
    <w:basedOn w:val="Normal"/>
    <w:next w:val="Normal"/>
    <w:autoRedefine/>
    <w:uiPriority w:val="39"/>
    <w:unhideWhenUsed/>
    <w:rsid w:val="005B4163"/>
    <w:pPr>
      <w:autoSpaceDN/>
      <w:spacing w:after="100" w:line="240" w:lineRule="auto"/>
    </w:pPr>
    <w:rPr>
      <w:rFonts w:ascii="Times New Roman" w:eastAsia="Times New Roman" w:hAnsi="Times New Roman"/>
      <w:sz w:val="24"/>
      <w:szCs w:val="24"/>
      <w:lang w:eastAsia="fr-FR"/>
    </w:rPr>
  </w:style>
  <w:style w:type="paragraph" w:styleId="TOC2">
    <w:name w:val="toc 2"/>
    <w:basedOn w:val="Normal"/>
    <w:next w:val="Normal"/>
    <w:autoRedefine/>
    <w:uiPriority w:val="39"/>
    <w:unhideWhenUsed/>
    <w:rsid w:val="005B4163"/>
    <w:pPr>
      <w:autoSpaceDN/>
      <w:spacing w:after="100" w:line="240" w:lineRule="auto"/>
      <w:ind w:left="240"/>
    </w:pPr>
    <w:rPr>
      <w:rFonts w:ascii="Times New Roman" w:eastAsia="Times New Roman" w:hAnsi="Times New Roman"/>
      <w:sz w:val="24"/>
      <w:szCs w:val="24"/>
      <w:lang w:eastAsia="fr-FR"/>
    </w:rPr>
  </w:style>
  <w:style w:type="character" w:customStyle="1" w:styleId="NoSpacingChar">
    <w:name w:val="No Spacing Char"/>
    <w:link w:val="NoSpacing"/>
    <w:uiPriority w:val="1"/>
    <w:locked/>
    <w:rsid w:val="005B4163"/>
    <w:rPr>
      <w:sz w:val="22"/>
      <w:szCs w:val="22"/>
      <w:lang w:val="en" w:eastAsia="en-US"/>
    </w:rPr>
  </w:style>
  <w:style w:type="paragraph" w:styleId="TOC3">
    <w:name w:val="toc 3"/>
    <w:basedOn w:val="Normal"/>
    <w:next w:val="Normal"/>
    <w:autoRedefine/>
    <w:uiPriority w:val="39"/>
    <w:unhideWhenUsed/>
    <w:rsid w:val="005B4163"/>
    <w:pPr>
      <w:autoSpaceDN/>
      <w:spacing w:after="100" w:line="240" w:lineRule="auto"/>
      <w:ind w:left="480"/>
    </w:pPr>
    <w:rPr>
      <w:rFonts w:ascii="Times New Roman" w:eastAsia="Times New Roman" w:hAnsi="Times New Roman"/>
      <w:sz w:val="24"/>
      <w:szCs w:val="24"/>
      <w:lang w:eastAsia="fr-FR"/>
    </w:rPr>
  </w:style>
  <w:style w:type="paragraph" w:styleId="BodyText">
    <w:name w:val="Body Text"/>
    <w:basedOn w:val="Normal"/>
    <w:link w:val="BodyTextChar"/>
    <w:uiPriority w:val="99"/>
    <w:unhideWhenUsed/>
    <w:qFormat/>
    <w:rsid w:val="005B4163"/>
    <w:pPr>
      <w:autoSpaceDN/>
      <w:spacing w:after="160" w:line="360" w:lineRule="auto"/>
      <w:jc w:val="both"/>
    </w:pPr>
    <w:rPr>
      <w:rFonts w:ascii="Arial" w:eastAsia="Times New Roman" w:hAnsi="Arial"/>
      <w:sz w:val="24"/>
      <w:szCs w:val="24"/>
      <w:lang w:eastAsia="fr-FR"/>
      <w14:ligatures w14:val="standardContextual"/>
    </w:rPr>
  </w:style>
  <w:style w:type="character" w:customStyle="1" w:styleId="BodyTextChar">
    <w:name w:val="Body Text Char"/>
    <w:basedOn w:val="DefaultParagraphFont"/>
    <w:link w:val="BodyText"/>
    <w:uiPriority w:val="99"/>
    <w:rsid w:val="005B4163"/>
    <w:rPr>
      <w:rFonts w:ascii="Arial" w:eastAsia="Times New Roman" w:hAnsi="Arial"/>
      <w:sz w:val="24"/>
      <w:szCs w:val="24"/>
      <w14:ligatures w14:val="standardContextual"/>
    </w:rPr>
  </w:style>
  <w:style w:type="table" w:customStyle="1" w:styleId="Tableausimple21">
    <w:name w:val="Tableau simple 21"/>
    <w:basedOn w:val="TableNormal"/>
    <w:uiPriority w:val="42"/>
    <w:rsid w:val="005B4163"/>
    <w:pPr>
      <w:autoSpaceDN/>
    </w:pPr>
    <w:rPr>
      <w:rFonts w:asciiTheme="minorHAnsi" w:eastAsiaTheme="minorHAnsi" w:hAnsiTheme="minorHAnsi" w:cstheme="minorBidi"/>
      <w:kern w:val="2"/>
      <w:sz w:val="22"/>
      <w:szCs w:val="22"/>
      <w:lang w:eastAsia="en-US"/>
      <w14:ligatures w14:val="standardContextual"/>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lledutableau1">
    <w:name w:val="Grille du tableau1"/>
    <w:basedOn w:val="TableNormal"/>
    <w:next w:val="TableGrid"/>
    <w:uiPriority w:val="39"/>
    <w:rsid w:val="005B4163"/>
    <w:pPr>
      <w:autoSpaceDN/>
    </w:pPr>
    <w:rPr>
      <w:rFonts w:asciiTheme="minorHAnsi" w:eastAsiaTheme="minorHAnsi" w:hAnsiTheme="minorHAnsi" w:cstheme="minorBidi"/>
      <w:kern w:val="2"/>
      <w:sz w:val="22"/>
      <w:szCs w:val="22"/>
      <w:lang w:eastAsia="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B4163"/>
    <w:pPr>
      <w:autoSpaceDE w:val="0"/>
      <w:adjustRightInd w:val="0"/>
    </w:pPr>
    <w:rPr>
      <w:rFonts w:ascii="Times New Roman" w:eastAsiaTheme="minorHAnsi" w:hAnsi="Times New Roman"/>
      <w:color w:val="000000"/>
      <w:sz w:val="24"/>
      <w:szCs w:val="24"/>
      <w:lang w:eastAsia="en-US"/>
    </w:rPr>
  </w:style>
  <w:style w:type="paragraph" w:styleId="TableofFigures">
    <w:name w:val="table of figures"/>
    <w:basedOn w:val="Normal"/>
    <w:next w:val="Normal"/>
    <w:uiPriority w:val="99"/>
    <w:unhideWhenUsed/>
    <w:rsid w:val="005B4163"/>
    <w:pPr>
      <w:autoSpaceDN/>
      <w:spacing w:after="0" w:line="240" w:lineRule="auto"/>
    </w:pPr>
    <w:rPr>
      <w:rFonts w:ascii="Times New Roman" w:eastAsia="Times New Roman" w:hAnsi="Times New Roman"/>
      <w:sz w:val="24"/>
      <w:szCs w:val="24"/>
      <w:lang w:eastAsia="fr-FR"/>
    </w:rPr>
  </w:style>
  <w:style w:type="character" w:styleId="FollowedHyperlink">
    <w:name w:val="FollowedHyperlink"/>
    <w:basedOn w:val="DefaultParagraphFont"/>
    <w:uiPriority w:val="99"/>
    <w:semiHidden/>
    <w:unhideWhenUsed/>
    <w:rsid w:val="005B4163"/>
    <w:rPr>
      <w:color w:val="800080" w:themeColor="followedHyperlink"/>
      <w:u w:val="single"/>
    </w:rPr>
  </w:style>
  <w:style w:type="paragraph" w:customStyle="1" w:styleId="msonormal0">
    <w:name w:val="msonormal"/>
    <w:basedOn w:val="Normal"/>
    <w:rsid w:val="005B4163"/>
    <w:pPr>
      <w:autoSpaceDN/>
      <w:spacing w:before="100" w:beforeAutospacing="1" w:after="100" w:afterAutospacing="1" w:line="240" w:lineRule="auto"/>
    </w:pPr>
    <w:rPr>
      <w:rFonts w:ascii="Times New Roman" w:eastAsia="Times New Roman" w:hAnsi="Times New Roman"/>
      <w:sz w:val="24"/>
      <w:szCs w:val="24"/>
      <w:lang w:eastAsia="fr-FR"/>
    </w:rPr>
  </w:style>
  <w:style w:type="paragraph" w:styleId="TOC4">
    <w:name w:val="toc 4"/>
    <w:basedOn w:val="Normal"/>
    <w:next w:val="Normal"/>
    <w:autoRedefine/>
    <w:uiPriority w:val="39"/>
    <w:unhideWhenUsed/>
    <w:rsid w:val="005B4163"/>
    <w:pPr>
      <w:autoSpaceDN/>
      <w:spacing w:after="100" w:line="278" w:lineRule="auto"/>
      <w:ind w:left="720"/>
    </w:pPr>
    <w:rPr>
      <w:rFonts w:asciiTheme="minorHAnsi" w:eastAsiaTheme="minorEastAsia" w:hAnsiTheme="minorHAnsi" w:cstheme="minorBidi"/>
      <w:kern w:val="2"/>
      <w:sz w:val="24"/>
      <w:szCs w:val="24"/>
      <w:lang w:eastAsia="fr-FR"/>
      <w14:ligatures w14:val="standardContextual"/>
    </w:rPr>
  </w:style>
  <w:style w:type="paragraph" w:styleId="TOC5">
    <w:name w:val="toc 5"/>
    <w:basedOn w:val="Normal"/>
    <w:next w:val="Normal"/>
    <w:autoRedefine/>
    <w:uiPriority w:val="39"/>
    <w:unhideWhenUsed/>
    <w:rsid w:val="005B4163"/>
    <w:pPr>
      <w:autoSpaceDN/>
      <w:spacing w:after="100" w:line="278" w:lineRule="auto"/>
      <w:ind w:left="960"/>
    </w:pPr>
    <w:rPr>
      <w:rFonts w:asciiTheme="minorHAnsi" w:eastAsiaTheme="minorEastAsia" w:hAnsiTheme="minorHAnsi" w:cstheme="minorBidi"/>
      <w:kern w:val="2"/>
      <w:sz w:val="24"/>
      <w:szCs w:val="24"/>
      <w:lang w:eastAsia="fr-FR"/>
      <w14:ligatures w14:val="standardContextual"/>
    </w:rPr>
  </w:style>
  <w:style w:type="paragraph" w:styleId="TOC6">
    <w:name w:val="toc 6"/>
    <w:basedOn w:val="Normal"/>
    <w:next w:val="Normal"/>
    <w:autoRedefine/>
    <w:uiPriority w:val="39"/>
    <w:unhideWhenUsed/>
    <w:rsid w:val="005B4163"/>
    <w:pPr>
      <w:autoSpaceDN/>
      <w:spacing w:after="100" w:line="278" w:lineRule="auto"/>
      <w:ind w:left="1200"/>
    </w:pPr>
    <w:rPr>
      <w:rFonts w:asciiTheme="minorHAnsi" w:eastAsiaTheme="minorEastAsia" w:hAnsiTheme="minorHAnsi" w:cstheme="minorBidi"/>
      <w:kern w:val="2"/>
      <w:sz w:val="24"/>
      <w:szCs w:val="24"/>
      <w:lang w:eastAsia="fr-FR"/>
      <w14:ligatures w14:val="standardContextual"/>
    </w:rPr>
  </w:style>
  <w:style w:type="paragraph" w:styleId="TOC7">
    <w:name w:val="toc 7"/>
    <w:basedOn w:val="Normal"/>
    <w:next w:val="Normal"/>
    <w:autoRedefine/>
    <w:uiPriority w:val="39"/>
    <w:unhideWhenUsed/>
    <w:rsid w:val="005B4163"/>
    <w:pPr>
      <w:autoSpaceDN/>
      <w:spacing w:after="100" w:line="278" w:lineRule="auto"/>
      <w:ind w:left="1440"/>
    </w:pPr>
    <w:rPr>
      <w:rFonts w:asciiTheme="minorHAnsi" w:eastAsiaTheme="minorEastAsia" w:hAnsiTheme="minorHAnsi" w:cstheme="minorBidi"/>
      <w:kern w:val="2"/>
      <w:sz w:val="24"/>
      <w:szCs w:val="24"/>
      <w:lang w:eastAsia="fr-FR"/>
      <w14:ligatures w14:val="standardContextual"/>
    </w:rPr>
  </w:style>
  <w:style w:type="paragraph" w:styleId="TOC8">
    <w:name w:val="toc 8"/>
    <w:basedOn w:val="Normal"/>
    <w:next w:val="Normal"/>
    <w:autoRedefine/>
    <w:uiPriority w:val="39"/>
    <w:unhideWhenUsed/>
    <w:rsid w:val="005B4163"/>
    <w:pPr>
      <w:autoSpaceDN/>
      <w:spacing w:after="100" w:line="278" w:lineRule="auto"/>
      <w:ind w:left="1680"/>
    </w:pPr>
    <w:rPr>
      <w:rFonts w:asciiTheme="minorHAnsi" w:eastAsiaTheme="minorEastAsia" w:hAnsiTheme="minorHAnsi" w:cstheme="minorBidi"/>
      <w:kern w:val="2"/>
      <w:sz w:val="24"/>
      <w:szCs w:val="24"/>
      <w:lang w:eastAsia="fr-FR"/>
      <w14:ligatures w14:val="standardContextual"/>
    </w:rPr>
  </w:style>
  <w:style w:type="paragraph" w:styleId="TOC9">
    <w:name w:val="toc 9"/>
    <w:basedOn w:val="Normal"/>
    <w:next w:val="Normal"/>
    <w:autoRedefine/>
    <w:uiPriority w:val="39"/>
    <w:unhideWhenUsed/>
    <w:rsid w:val="005B4163"/>
    <w:pPr>
      <w:autoSpaceDN/>
      <w:spacing w:after="100" w:line="278" w:lineRule="auto"/>
      <w:ind w:left="1920"/>
    </w:pPr>
    <w:rPr>
      <w:rFonts w:asciiTheme="minorHAnsi" w:eastAsiaTheme="minorEastAsia" w:hAnsiTheme="minorHAnsi" w:cstheme="minorBidi"/>
      <w:kern w:val="2"/>
      <w:sz w:val="24"/>
      <w:szCs w:val="24"/>
      <w:lang w:eastAsia="fr-FR"/>
      <w14:ligatures w14:val="standardContextual"/>
    </w:rPr>
  </w:style>
  <w:style w:type="numbering" w:customStyle="1" w:styleId="Aucuneliste1">
    <w:name w:val="Aucune liste1"/>
    <w:next w:val="NoList"/>
    <w:uiPriority w:val="99"/>
    <w:semiHidden/>
    <w:unhideWhenUsed/>
    <w:rsid w:val="005B4163"/>
  </w:style>
  <w:style w:type="table" w:customStyle="1" w:styleId="TableauNormal1">
    <w:name w:val="Tableau Normal1"/>
    <w:semiHidden/>
    <w:rsid w:val="005B4163"/>
    <w:pPr>
      <w:autoSpaceDN/>
    </w:pPr>
    <w:rPr>
      <w:rFonts w:ascii="Times New Roman" w:eastAsia="Times New Roman" w:hAnsi="Times New Roman"/>
    </w:rPr>
    <w:tblPr>
      <w:tblCellMar>
        <w:top w:w="0" w:type="dxa"/>
        <w:left w:w="0" w:type="dxa"/>
        <w:bottom w:w="0" w:type="dxa"/>
        <w:right w:w="0" w:type="dxa"/>
      </w:tblCellMar>
    </w:tblPr>
  </w:style>
  <w:style w:type="table" w:customStyle="1" w:styleId="Grilledutableau2">
    <w:name w:val="Grille du tableau2"/>
    <w:basedOn w:val="TableNormal"/>
    <w:next w:val="TableGrid"/>
    <w:uiPriority w:val="39"/>
    <w:rsid w:val="005B4163"/>
    <w:pPr>
      <w:autoSpaceDN/>
    </w:pPr>
    <w:rPr>
      <w:rFonts w:asciiTheme="minorHAnsi" w:eastAsiaTheme="minorHAnsi" w:hAnsiTheme="minorHAnsi" w:cstheme="minorBidi"/>
      <w:kern w:val="2"/>
      <w:sz w:val="22"/>
      <w:szCs w:val="22"/>
      <w:lang w:eastAsia="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E:\Sortie_Sortie-ASC_23Sept202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'Frequency (3)'!$D$128</c:f>
              <c:strCache>
                <c:ptCount val="1"/>
                <c:pt idx="0">
                  <c:v>Pourcentage</c:v>
                </c:pt>
              </c:strCache>
            </c:strRef>
          </c:tx>
          <c:spPr>
            <a:pattFill prst="lgConfetti">
              <a:fgClr>
                <a:schemeClr val="accent1"/>
              </a:fgClr>
              <a:bgClr>
                <a:schemeClr val="bg1"/>
              </a:bgClr>
            </a:pattFill>
            <a:ln>
              <a:noFill/>
            </a:ln>
            <a:effectLst/>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'Frequency (3)'!$B$129:$B$134</c:f>
              <c:strCache>
                <c:ptCount val="6"/>
                <c:pt idx="0">
                  <c:v>Logement disponible</c:v>
                </c:pt>
                <c:pt idx="1">
                  <c:v>Logement en bon état d’utilisation</c:v>
                </c:pt>
                <c:pt idx="2">
                  <c:v>Lieu de travail disponible</c:v>
                </c:pt>
                <c:pt idx="3">
                  <c:v>Lieu de travail en bon état d’utilisation</c:v>
                </c:pt>
                <c:pt idx="4">
                  <c:v>Moyen de déplacement disponible</c:v>
                </c:pt>
                <c:pt idx="5">
                  <c:v>Moyen de déplacement en bon état</c:v>
                </c:pt>
              </c:strCache>
            </c:strRef>
          </c:cat>
          <c:val>
            <c:numRef>
              <c:f>'Frequency (3)'!$D$129:$D$134</c:f>
              <c:numCache>
                <c:formatCode>###0.0</c:formatCode>
                <c:ptCount val="6"/>
                <c:pt idx="0">
                  <c:v>80</c:v>
                </c:pt>
                <c:pt idx="1">
                  <c:v>44.61538461538462</c:v>
                </c:pt>
                <c:pt idx="2">
                  <c:v>87.692307692307693</c:v>
                </c:pt>
                <c:pt idx="3">
                  <c:v>55.384615384615387</c:v>
                </c:pt>
                <c:pt idx="4">
                  <c:v>4.6153846153846159</c:v>
                </c:pt>
                <c:pt idx="5">
                  <c:v>3.0769230769230771</c:v>
                </c:pt>
              </c:numCache>
            </c:numRef>
          </c:val>
          <c:extLst xmlns:c16r2="http://schemas.microsoft.com/office/drawing/2015/06/chart">
            <c:ext xmlns:c16="http://schemas.microsoft.com/office/drawing/2014/chart" uri="{C3380CC4-5D6E-409C-BE32-E72D297353CC}">
              <c16:uniqueId val="{00000000-A637-4CBC-AC31-BBA1C0546CE7}"/>
            </c:ext>
          </c:extLst>
        </c:ser>
        <c:dLbls>
          <c:showLegendKey val="0"/>
          <c:showVal val="0"/>
          <c:showCatName val="0"/>
          <c:showSerName val="0"/>
          <c:showPercent val="0"/>
          <c:showBubbleSize val="0"/>
        </c:dLbls>
        <c:gapWidth val="150"/>
        <c:axId val="168306688"/>
        <c:axId val="218655552"/>
      </c:barChart>
      <c:catAx>
        <c:axId val="168306688"/>
        <c:scaling>
          <c:orientation val="minMax"/>
        </c:scaling>
        <c:delete val="0"/>
        <c:axPos val="b"/>
        <c:title>
          <c:tx>
            <c:rich>
              <a:bodyPr/>
              <a:lstStyle/>
              <a:p>
                <a:pPr>
                  <a:defRPr/>
                </a:pPr>
                <a:r>
                  <a:rPr lang="en" baseline="0"/>
                  <a:t>Working </a:t>
                </a:r>
                <a:endParaRPr lang="fr-FR"/>
              </a:p>
            </c:rich>
          </c:tx>
          <c:overlay val="0"/>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218655552"/>
        <c:crosses val="autoZero"/>
        <c:auto val="1"/>
        <c:lblAlgn val="ctr"/>
        <c:lblOffset val="100"/>
        <c:noMultiLvlLbl val="0"/>
      </c:catAx>
      <c:valAx>
        <c:axId val="218655552"/>
        <c:scaling>
          <c:orientation val="minMax"/>
        </c:scaling>
        <c:delete val="0"/>
        <c:axPos val="l"/>
        <c:title>
          <c:tx>
            <c:rich>
              <a:bodyPr/>
              <a:lstStyle/>
              <a:p>
                <a:pPr>
                  <a:defRPr/>
                </a:pPr>
                <a:r>
                  <a:rPr lang="en"/>
                  <a:t>Percentage</a:t>
                </a:r>
              </a:p>
            </c:rich>
          </c:tx>
          <c:overlay val="0"/>
        </c:title>
        <c:numFmt formatCode="###0.0" sourceLinked="1"/>
        <c:majorTickMark val="out"/>
        <c:minorTickMark val="none"/>
        <c:tickLblPos val="nextTo"/>
        <c:spPr>
          <a:noFill/>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83066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C43D1-AEEE-41FB-8F32-846919BCE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3488</TotalTime>
  <Pages>17</Pages>
  <Words>16262</Words>
  <Characters>92694</Characters>
  <Application>Microsoft Office Word</Application>
  <DocSecurity>0</DocSecurity>
  <Lines>772</Lines>
  <Paragraphs>217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108739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Borodjan DIARRA</dc:creator>
  <cp:keywords/>
  <dc:description/>
  <cp:lastModifiedBy>qwert</cp:lastModifiedBy>
  <cp:revision>308</cp:revision>
  <dcterms:created xsi:type="dcterms:W3CDTF">2026-02-19T04:16:00Z</dcterms:created>
  <dcterms:modified xsi:type="dcterms:W3CDTF">2026-03-21T11:55:00Z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id="m1SZ4QUH"/&gt;&lt;style id="http://www.zotero.org/styles/nlm-citation-sequence" locale="fr-FR" hasBibliography="1" bibliographyStyleHasBeenSet="1"/&gt;&lt;prefs&gt;&lt;pref name="fieldType" value="Field"/&gt;&lt;/prefs&gt;</vt:lpwstr>
  </property>
  <property fmtid="{D5CDD505-2E9C-101B-9397-08002B2CF9AE}" pid="3" name="_DocHome">
    <vt:i4>2066222122</vt:i4>
  </property>
  <property fmtid="{D5CDD505-2E9C-101B-9397-08002B2CF9AE}" pid="4" name="ZOTERO_PREF_2">
    <vt:lpwstr>&lt;/data&gt;</vt:lpwstr>
  </property>
</Properties>
</file>