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E9D01" w14:textId="77777777" w:rsidR="00C450D6" w:rsidRPr="004B0182" w:rsidRDefault="00FA11B6" w:rsidP="00C450D6">
      <w:pPr>
        <w:pStyle w:val="NoSpacing"/>
        <w:jc w:val="center"/>
        <w:rPr>
          <w:rFonts w:ascii="Times New Roman" w:hAnsi="Times New Roman" w:cs="Times New Roman"/>
          <w:b/>
          <w:sz w:val="44"/>
          <w:szCs w:val="44"/>
        </w:rPr>
      </w:pPr>
      <w:r w:rsidRPr="004B0182">
        <w:rPr>
          <w:rFonts w:ascii="Times New Roman" w:hAnsi="Times New Roman" w:cs="Times New Roman"/>
          <w:b/>
          <w:sz w:val="44"/>
          <w:szCs w:val="44"/>
        </w:rPr>
        <w:t>“</w:t>
      </w:r>
      <w:r w:rsidR="00C450D6" w:rsidRPr="004B0182">
        <w:rPr>
          <w:rFonts w:ascii="Times New Roman" w:hAnsi="Times New Roman" w:cs="Times New Roman"/>
          <w:b/>
          <w:sz w:val="44"/>
          <w:szCs w:val="44"/>
        </w:rPr>
        <w:t xml:space="preserve">Safe Drinking Water Practices, Household </w:t>
      </w:r>
      <w:proofErr w:type="spellStart"/>
      <w:r w:rsidR="00C450D6" w:rsidRPr="004B0182">
        <w:rPr>
          <w:rFonts w:ascii="Times New Roman" w:hAnsi="Times New Roman" w:cs="Times New Roman"/>
          <w:b/>
          <w:sz w:val="44"/>
          <w:szCs w:val="44"/>
        </w:rPr>
        <w:t>Behaviour</w:t>
      </w:r>
      <w:proofErr w:type="spellEnd"/>
      <w:r w:rsidR="00C450D6" w:rsidRPr="004B0182">
        <w:rPr>
          <w:rFonts w:ascii="Times New Roman" w:hAnsi="Times New Roman" w:cs="Times New Roman"/>
          <w:b/>
          <w:sz w:val="44"/>
          <w:szCs w:val="44"/>
        </w:rPr>
        <w:t xml:space="preserve">, and Public Health Outcomes in Rural </w:t>
      </w:r>
      <w:proofErr w:type="spellStart"/>
      <w:r w:rsidR="00C450D6" w:rsidRPr="004B0182">
        <w:rPr>
          <w:rFonts w:ascii="Times New Roman" w:hAnsi="Times New Roman" w:cs="Times New Roman"/>
          <w:b/>
          <w:sz w:val="44"/>
          <w:szCs w:val="44"/>
        </w:rPr>
        <w:t>Koppal</w:t>
      </w:r>
      <w:proofErr w:type="spellEnd"/>
      <w:r w:rsidR="00C450D6" w:rsidRPr="004B0182">
        <w:rPr>
          <w:rFonts w:ascii="Times New Roman" w:hAnsi="Times New Roman" w:cs="Times New Roman"/>
          <w:b/>
          <w:sz w:val="44"/>
          <w:szCs w:val="44"/>
        </w:rPr>
        <w:t xml:space="preserve"> District: An Empirical Analysis”</w:t>
      </w:r>
    </w:p>
    <w:p w14:paraId="3E9A07EE" w14:textId="108D4016" w:rsidR="00C4494E" w:rsidRPr="00C9205C" w:rsidRDefault="00281004" w:rsidP="002458A2">
      <w:pPr>
        <w:pStyle w:val="NoSpacing"/>
        <w:jc w:val="center"/>
        <w:rPr>
          <w:rFonts w:ascii="Times New Roman" w:hAnsi="Times New Roman" w:cs="Times New Roman"/>
          <w:bCs/>
          <w:sz w:val="24"/>
          <w:szCs w:val="24"/>
        </w:rPr>
      </w:pPr>
      <w:bookmarkStart w:id="0" w:name="_GoBack"/>
      <w:bookmarkEnd w:id="0"/>
      <w:r w:rsidRPr="00C9205C">
        <w:rPr>
          <w:rFonts w:ascii="Times New Roman" w:hAnsi="Times New Roman" w:cs="Times New Roman"/>
          <w:bCs/>
          <w:sz w:val="24"/>
          <w:szCs w:val="24"/>
        </w:rPr>
        <w:t xml:space="preserve">                                                                                         </w:t>
      </w:r>
    </w:p>
    <w:p w14:paraId="362F03C3" w14:textId="77777777" w:rsidR="00281004" w:rsidRPr="00C9205C" w:rsidRDefault="00281004" w:rsidP="002458A2">
      <w:pPr>
        <w:pStyle w:val="NoSpacing"/>
        <w:jc w:val="center"/>
        <w:rPr>
          <w:rFonts w:ascii="Times New Roman" w:hAnsi="Times New Roman" w:cs="Times New Roman"/>
          <w:bCs/>
          <w:sz w:val="24"/>
          <w:szCs w:val="24"/>
        </w:rPr>
      </w:pPr>
    </w:p>
    <w:p w14:paraId="44B02290" w14:textId="77777777" w:rsidR="00A047BC" w:rsidRPr="00C9205C" w:rsidRDefault="00A047BC" w:rsidP="00A047BC">
      <w:pPr>
        <w:pStyle w:val="Heading2"/>
        <w:rPr>
          <w:sz w:val="24"/>
          <w:szCs w:val="24"/>
        </w:rPr>
      </w:pPr>
      <w:r w:rsidRPr="00C9205C">
        <w:rPr>
          <w:sz w:val="24"/>
          <w:szCs w:val="24"/>
        </w:rPr>
        <w:t>Abstract</w:t>
      </w:r>
    </w:p>
    <w:p w14:paraId="342AB62B" w14:textId="77777777" w:rsidR="00A047BC" w:rsidRPr="00C9205C" w:rsidRDefault="00A047BC" w:rsidP="00A047BC">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Access to safe drinking water is fundamental to public health, environmental sustainability, and rural development. Despite significant infrastructural expansion under the Government of India’s Jal Jeevan Mission, ensuring safe drinking water at the point of consumption remains a challenge in drought-prone districts. This study critically examines safe drinking water practices among rural households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Karnataka.</w:t>
      </w:r>
      <w:r w:rsidR="00E250EC">
        <w:rPr>
          <w:rFonts w:ascii="Times New Roman" w:hAnsi="Times New Roman" w:cs="Times New Roman"/>
          <w:sz w:val="24"/>
          <w:szCs w:val="24"/>
        </w:rPr>
        <w:t xml:space="preserve"> </w:t>
      </w:r>
      <w:r w:rsidRPr="00C9205C">
        <w:rPr>
          <w:rFonts w:ascii="Times New Roman" w:hAnsi="Times New Roman" w:cs="Times New Roman"/>
          <w:sz w:val="24"/>
          <w:szCs w:val="24"/>
        </w:rPr>
        <w:t>Using a descriptive–analytical research design, primary data were collected from 260 respondents across four taluks through structured interviews. Statistical tools including cross-tabulation, Chi-square tests, and logistic regression analysis were employed.</w:t>
      </w:r>
      <w:r w:rsidR="00E250EC">
        <w:rPr>
          <w:rFonts w:ascii="Times New Roman" w:hAnsi="Times New Roman" w:cs="Times New Roman"/>
          <w:sz w:val="24"/>
          <w:szCs w:val="24"/>
        </w:rPr>
        <w:t xml:space="preserve"> </w:t>
      </w:r>
      <w:r w:rsidRPr="00C9205C">
        <w:rPr>
          <w:rFonts w:ascii="Times New Roman" w:hAnsi="Times New Roman" w:cs="Times New Roman"/>
          <w:sz w:val="24"/>
          <w:szCs w:val="24"/>
        </w:rPr>
        <w:t>The findings indicate that while 48% of households have access to tap connections, unsafe storage practices (37.69%), lack of treatment (38.07%), and irregular supply undermine safety. Education and income significantly influence adoption of safe practices (p &lt; 0.05). Logistic regression confirms that higher education increases likelihood of water treatment adoption (OR = 2.41).</w:t>
      </w:r>
      <w:r w:rsidR="00E250EC">
        <w:rPr>
          <w:rFonts w:ascii="Times New Roman" w:hAnsi="Times New Roman" w:cs="Times New Roman"/>
          <w:sz w:val="24"/>
          <w:szCs w:val="24"/>
        </w:rPr>
        <w:t xml:space="preserve"> </w:t>
      </w:r>
      <w:r w:rsidRPr="00C9205C">
        <w:rPr>
          <w:rFonts w:ascii="Times New Roman" w:hAnsi="Times New Roman" w:cs="Times New Roman"/>
          <w:sz w:val="24"/>
          <w:szCs w:val="24"/>
        </w:rPr>
        <w:t>The study concludes that infrastructural expansion must be complemented by behavioural change communication, community participation, gender inclusion, and sustainability planning to ensure long-term water safety.</w:t>
      </w:r>
    </w:p>
    <w:p w14:paraId="659B70E0" w14:textId="77777777" w:rsidR="00A047BC" w:rsidRPr="00C9205C" w:rsidRDefault="00A047BC" w:rsidP="00A047BC">
      <w:pPr>
        <w:pStyle w:val="NoSpacing"/>
        <w:rPr>
          <w:rFonts w:ascii="Times New Roman" w:hAnsi="Times New Roman" w:cs="Times New Roman"/>
          <w:sz w:val="24"/>
          <w:szCs w:val="24"/>
        </w:rPr>
      </w:pPr>
    </w:p>
    <w:p w14:paraId="174638BD" w14:textId="77777777" w:rsidR="00A047BC" w:rsidRPr="00C9205C" w:rsidRDefault="00A047BC" w:rsidP="00A047BC">
      <w:pPr>
        <w:spacing w:line="360" w:lineRule="auto"/>
        <w:jc w:val="both"/>
        <w:rPr>
          <w:rFonts w:ascii="Times New Roman" w:hAnsi="Times New Roman" w:cs="Times New Roman"/>
          <w:sz w:val="24"/>
          <w:szCs w:val="24"/>
        </w:rPr>
      </w:pPr>
      <w:r w:rsidRPr="00C9205C">
        <w:rPr>
          <w:rFonts w:ascii="Times New Roman" w:hAnsi="Times New Roman" w:cs="Times New Roman"/>
          <w:b/>
          <w:sz w:val="24"/>
          <w:szCs w:val="24"/>
        </w:rPr>
        <w:t>Keywords:</w:t>
      </w:r>
      <w:r w:rsidRPr="00C9205C">
        <w:rPr>
          <w:rFonts w:ascii="Times New Roman" w:hAnsi="Times New Roman" w:cs="Times New Roman"/>
          <w:sz w:val="24"/>
          <w:szCs w:val="24"/>
        </w:rPr>
        <w:t xml:space="preserve"> Safe Drinking Water, Rural Communities, Jal Jeevan Mission, Water Quality, Sustainability,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w:t>
      </w:r>
    </w:p>
    <w:p w14:paraId="7BFB6BB2" w14:textId="77777777" w:rsidR="0046070F" w:rsidRPr="00C9205C" w:rsidRDefault="0046070F" w:rsidP="00A047BC">
      <w:pPr>
        <w:spacing w:line="360" w:lineRule="auto"/>
        <w:jc w:val="both"/>
        <w:rPr>
          <w:rFonts w:ascii="Times New Roman" w:hAnsi="Times New Roman" w:cs="Times New Roman"/>
          <w:sz w:val="24"/>
          <w:szCs w:val="24"/>
        </w:rPr>
      </w:pPr>
    </w:p>
    <w:p w14:paraId="775F7EFA" w14:textId="77777777" w:rsidR="00D32A2C" w:rsidRDefault="00D32A2C" w:rsidP="00A047BC">
      <w:pPr>
        <w:spacing w:line="360" w:lineRule="auto"/>
        <w:jc w:val="both"/>
        <w:rPr>
          <w:rFonts w:ascii="Times New Roman" w:hAnsi="Times New Roman" w:cs="Times New Roman"/>
          <w:sz w:val="24"/>
          <w:szCs w:val="24"/>
        </w:rPr>
      </w:pPr>
    </w:p>
    <w:p w14:paraId="25972BA4" w14:textId="77777777" w:rsidR="00E250EC" w:rsidRPr="00C9205C" w:rsidRDefault="00E250EC" w:rsidP="00A047BC">
      <w:pPr>
        <w:spacing w:line="360" w:lineRule="auto"/>
        <w:jc w:val="both"/>
        <w:rPr>
          <w:rFonts w:ascii="Times New Roman" w:hAnsi="Times New Roman" w:cs="Times New Roman"/>
          <w:sz w:val="24"/>
          <w:szCs w:val="24"/>
        </w:rPr>
      </w:pPr>
    </w:p>
    <w:p w14:paraId="3371FEEE" w14:textId="77777777" w:rsidR="0046070F" w:rsidRPr="00C9205C" w:rsidRDefault="0046070F" w:rsidP="00A047BC">
      <w:pPr>
        <w:spacing w:line="360" w:lineRule="auto"/>
        <w:jc w:val="both"/>
        <w:rPr>
          <w:rFonts w:ascii="Times New Roman" w:hAnsi="Times New Roman" w:cs="Times New Roman"/>
          <w:sz w:val="24"/>
          <w:szCs w:val="24"/>
        </w:rPr>
      </w:pPr>
    </w:p>
    <w:p w14:paraId="374DCDD3" w14:textId="77777777" w:rsidR="00281004" w:rsidRPr="00C9205C" w:rsidRDefault="00281004" w:rsidP="0046070F">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1. Introduction</w:t>
      </w:r>
    </w:p>
    <w:p w14:paraId="3EDDD791" w14:textId="77777777" w:rsidR="00DE7CA3" w:rsidRPr="00C9205C" w:rsidRDefault="00281004" w:rsidP="0046070F">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Access to safe and adequate drinking water is universally recognised as a fundamental human right and a prerequisite for achieving the Sustainable Development Goals (SDGs), particularly SDG 6, which calls for universal and equitable access to safe and affordable drinking water for all (World Health Organization [WHO], 2019). Safe water is intrinsically </w:t>
      </w:r>
      <w:r w:rsidRPr="00C9205C">
        <w:rPr>
          <w:rFonts w:ascii="Times New Roman" w:hAnsi="Times New Roman" w:cs="Times New Roman"/>
          <w:sz w:val="24"/>
          <w:szCs w:val="24"/>
        </w:rPr>
        <w:lastRenderedPageBreak/>
        <w:t>linked to public health, social equity, environmental sustainability, and economic productivity. Inadequate access to potable water contributes significantly to water-borne diseases such as diarrhoea, cholera, and fluorosis, particularly in rural and economically vulnerable populations (Howard &amp; Bartram, 2014).</w:t>
      </w:r>
    </w:p>
    <w:p w14:paraId="5FA3AD31" w14:textId="77777777" w:rsidR="00DE7CA3" w:rsidRPr="00C9205C" w:rsidRDefault="00DE7CA3" w:rsidP="0046070F">
      <w:pPr>
        <w:spacing w:line="360" w:lineRule="auto"/>
        <w:jc w:val="both"/>
        <w:rPr>
          <w:rFonts w:ascii="Times New Roman" w:hAnsi="Times New Roman" w:cs="Times New Roman"/>
          <w:sz w:val="24"/>
          <w:szCs w:val="24"/>
        </w:rPr>
      </w:pPr>
    </w:p>
    <w:p w14:paraId="253810A3" w14:textId="77777777" w:rsidR="00DE7CA3" w:rsidRPr="00C9205C" w:rsidRDefault="00281004" w:rsidP="0046070F">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In rural India, water security is shaped by multiple interrelated factors, including climatic variability, erratic monsoons, groundwater dependence, contamination risks, and institutional governance challenges. A substantial proportion of rural households rely on groundwater sources such as borewells, handpumps, and open wells. However, rapid aquifer depletion and contamination from fluoride, salinity, and microbial pollutants increasingly threaten water safety (Narain, 2014; UNICEF, 2018). Infrastructure expansion alone does not guarantee safe consumption, as contamination frequently occurs during storage and handling at the household level (Clasen et al., 2015; Wright et al., 2004).</w:t>
      </w:r>
    </w:p>
    <w:p w14:paraId="72E2FCE7" w14:textId="77777777" w:rsidR="00DE7CA3" w:rsidRPr="00C9205C" w:rsidRDefault="00DE7CA3" w:rsidP="00336A19">
      <w:pPr>
        <w:pStyle w:val="NoSpacing"/>
        <w:rPr>
          <w:rFonts w:ascii="Times New Roman" w:hAnsi="Times New Roman" w:cs="Times New Roman"/>
          <w:sz w:val="24"/>
          <w:szCs w:val="24"/>
        </w:rPr>
      </w:pPr>
    </w:p>
    <w:p w14:paraId="090D12E5" w14:textId="77777777" w:rsidR="00DE7CA3" w:rsidRPr="00C9205C" w:rsidRDefault="00281004" w:rsidP="0046070F">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The launch of the Jal Jeevan Mission (JJM) in 2019 marked a transformative shift in India’s rural water governance by prioritising Functional Household Tap Connections (FHTCs), water quality monitoring, and community participation. The mission represents a move from source-centric approaches toward service delivery models focused on sustainability and accountability (Government of India, 2021; NITI Aayog, 2022). However, the success of such programmes depends not only on infrastructure provision but also on behavioural practices, reliability of supply, institutional capacity, and local ownership.</w:t>
      </w:r>
    </w:p>
    <w:p w14:paraId="559AA119" w14:textId="77777777" w:rsidR="00DE7CA3" w:rsidRPr="00C9205C" w:rsidRDefault="00DE7CA3" w:rsidP="00336A19">
      <w:pPr>
        <w:pStyle w:val="NoSpacing"/>
        <w:rPr>
          <w:rFonts w:ascii="Times New Roman" w:hAnsi="Times New Roman" w:cs="Times New Roman"/>
          <w:sz w:val="24"/>
          <w:szCs w:val="24"/>
        </w:rPr>
      </w:pPr>
    </w:p>
    <w:p w14:paraId="282327FB" w14:textId="77777777" w:rsidR="00281004" w:rsidRPr="00C9205C" w:rsidRDefault="00281004" w:rsidP="0046070F">
      <w:pPr>
        <w:spacing w:line="360" w:lineRule="auto"/>
        <w:jc w:val="both"/>
        <w:rPr>
          <w:rFonts w:ascii="Times New Roman" w:hAnsi="Times New Roman" w:cs="Times New Roman"/>
          <w:sz w:val="24"/>
          <w:szCs w:val="24"/>
        </w:rPr>
      </w:pP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presents a critical case for examining these dynamics. Situated in semi-arid northern Karnataka, the district experiences recurrent droughts, seasonal water scarcity, groundwater depletion, and fluoride contamination. Agriculture, the primary livelihood, intensifies groundwater extraction, exacerbating sustainability concerns. Despite recent improvements in household tap coverage, questions remain regarding the translation of improved access into safe drinking practices and long-term water security.</w:t>
      </w:r>
    </w:p>
    <w:p w14:paraId="67C1913D" w14:textId="77777777" w:rsidR="00281004" w:rsidRPr="00C9205C" w:rsidRDefault="00281004" w:rsidP="0046070F">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Therefore, this study critically investigates whether expanded infrastructure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has effectively resulted in safe drinking water practices and sustainable water management at the household level.</w:t>
      </w:r>
    </w:p>
    <w:p w14:paraId="07EDAED3" w14:textId="77777777" w:rsidR="00DC37CB" w:rsidRPr="00C9205C" w:rsidRDefault="00DC37CB" w:rsidP="00DC37CB">
      <w:pPr>
        <w:spacing w:line="360" w:lineRule="auto"/>
        <w:jc w:val="both"/>
        <w:rPr>
          <w:rFonts w:ascii="Times New Roman" w:hAnsi="Times New Roman" w:cs="Times New Roman"/>
          <w:sz w:val="24"/>
          <w:szCs w:val="24"/>
        </w:rPr>
      </w:pPr>
    </w:p>
    <w:p w14:paraId="44588A14" w14:textId="77777777" w:rsidR="00DC37CB" w:rsidRPr="00C9205C" w:rsidRDefault="00DC37CB" w:rsidP="00DC37CB">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2. Background of the Study</w:t>
      </w:r>
    </w:p>
    <w:p w14:paraId="13B5E84D" w14:textId="77777777" w:rsidR="00B63732" w:rsidRPr="00C9205C" w:rsidRDefault="00B63732" w:rsidP="00B63732">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lastRenderedPageBreak/>
        <w:t>India’s rural drinking water policy has undergone substantial transformation over the past several decades, shifting from a source-centric infrastructure model to a comprehensive service-delivery and sustainability-oriented framework. The Accelerated Rural Water Supply Programme (ARWSP), initiated in the 1970s, primarily focused on creating drinking water sources in water-scarce rural areas. Subsequently, the National Rural Drinking Water Programme (NRDWP) expanded the policy framework to include sustainability, water quality monitoring, and community participation (Planning Commission, 2013). However, continued challenges such as groundwater depletion, contamination, and weak operation and maintenance systems revealed the limitations of purely infrastructure-driven approaches (Narain, 2014).</w:t>
      </w:r>
    </w:p>
    <w:p w14:paraId="449D8CF1" w14:textId="77777777" w:rsidR="00B63732" w:rsidRPr="00C9205C" w:rsidRDefault="00B63732" w:rsidP="00B63732">
      <w:pPr>
        <w:pStyle w:val="NoSpacing"/>
        <w:rPr>
          <w:rFonts w:ascii="Times New Roman" w:hAnsi="Times New Roman" w:cs="Times New Roman"/>
          <w:sz w:val="24"/>
          <w:szCs w:val="24"/>
        </w:rPr>
      </w:pPr>
    </w:p>
    <w:p w14:paraId="6B34D184" w14:textId="77777777" w:rsidR="00B63732" w:rsidRPr="00C9205C" w:rsidRDefault="00B63732" w:rsidP="00B63732">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The launch of the Jal Jeevan Mission (JJM) in 2019 marked a paradigm shift in rural water governance. The mission emphasises Functional Household Tap Connections (FHTCs), assured service delivery, water quality testing laboratories, community ownership through Gram Panchayats, and source sustainability (Government of India, 2021). Unlike earlier programmes, JJM recognises that infrastructure alone does not ensure safe consumption; reliability, behavioural practices, and institutional capacity are equally important (NITI Aayog, 2022).</w:t>
      </w:r>
    </w:p>
    <w:p w14:paraId="6456983B" w14:textId="77777777" w:rsidR="00B63732" w:rsidRPr="00C9205C" w:rsidRDefault="00B63732" w:rsidP="00B63732">
      <w:pPr>
        <w:pStyle w:val="NoSpacing"/>
        <w:rPr>
          <w:rFonts w:ascii="Times New Roman" w:hAnsi="Times New Roman" w:cs="Times New Roman"/>
          <w:sz w:val="24"/>
          <w:szCs w:val="24"/>
        </w:rPr>
      </w:pPr>
    </w:p>
    <w:p w14:paraId="691B0332" w14:textId="77777777" w:rsidR="00B63732" w:rsidRPr="00C9205C" w:rsidRDefault="00B63732" w:rsidP="00B63732">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In the case of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district-level progress data reveal notable infrastructural achievements alongside financial and operational gaps. Official abstracts indicate that out of 722 sanctioned FHTC works, all 722 were commenced and 666 have been completed, reflecting 92% physical progress with an expenditure of ₹409.44 crore. This demonstrates significant expansion in rural water connectivity.</w:t>
      </w:r>
      <w:r w:rsidR="00160C7C" w:rsidRPr="00C9205C">
        <w:rPr>
          <w:rFonts w:ascii="Times New Roman" w:hAnsi="Times New Roman" w:cs="Times New Roman"/>
          <w:sz w:val="24"/>
          <w:szCs w:val="24"/>
        </w:rPr>
        <w:t xml:space="preserve"> </w:t>
      </w:r>
      <w:r w:rsidRPr="00C9205C">
        <w:rPr>
          <w:rFonts w:ascii="Times New Roman" w:hAnsi="Times New Roman" w:cs="Times New Roman"/>
          <w:sz w:val="24"/>
          <w:szCs w:val="24"/>
        </w:rPr>
        <w:t xml:space="preserve">However, progress under Multi-Village Water Supply (MVS) schemes is comparatively uneven. Three major MVS schemes covering over 180 habitations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and </w:t>
      </w:r>
      <w:proofErr w:type="spellStart"/>
      <w:r w:rsidRPr="00C9205C">
        <w:rPr>
          <w:rFonts w:ascii="Times New Roman" w:hAnsi="Times New Roman" w:cs="Times New Roman"/>
          <w:sz w:val="24"/>
          <w:szCs w:val="24"/>
        </w:rPr>
        <w:t>Gangavathi</w:t>
      </w:r>
      <w:proofErr w:type="spellEnd"/>
      <w:r w:rsidRPr="00C9205C">
        <w:rPr>
          <w:rFonts w:ascii="Times New Roman" w:hAnsi="Times New Roman" w:cs="Times New Roman"/>
          <w:sz w:val="24"/>
          <w:szCs w:val="24"/>
        </w:rPr>
        <w:t xml:space="preserve"> </w:t>
      </w:r>
      <w:proofErr w:type="spellStart"/>
      <w:r w:rsidRPr="00C9205C">
        <w:rPr>
          <w:rFonts w:ascii="Times New Roman" w:hAnsi="Times New Roman" w:cs="Times New Roman"/>
          <w:sz w:val="24"/>
          <w:szCs w:val="24"/>
        </w:rPr>
        <w:t>taluks</w:t>
      </w:r>
      <w:proofErr w:type="spellEnd"/>
      <w:r w:rsidRPr="00C9205C">
        <w:rPr>
          <w:rFonts w:ascii="Times New Roman" w:hAnsi="Times New Roman" w:cs="Times New Roman"/>
          <w:sz w:val="24"/>
          <w:szCs w:val="24"/>
        </w:rPr>
        <w:t xml:space="preserve"> show physical progress ranging from 25% to 67.94%, with overall financial progress reported at approximately 46.33%. Such disparities suggest delays in execution, financial constraints, and institutional challenges affecting sustainability.</w:t>
      </w:r>
    </w:p>
    <w:p w14:paraId="4C56875B" w14:textId="77777777" w:rsidR="00B63732" w:rsidRPr="00C9205C" w:rsidRDefault="00B63732" w:rsidP="00B63732">
      <w:pPr>
        <w:pStyle w:val="NoSpacing"/>
        <w:rPr>
          <w:rFonts w:ascii="Times New Roman" w:hAnsi="Times New Roman" w:cs="Times New Roman"/>
          <w:sz w:val="24"/>
          <w:szCs w:val="24"/>
        </w:rPr>
      </w:pPr>
    </w:p>
    <w:p w14:paraId="2E938101" w14:textId="77777777" w:rsidR="00B63732" w:rsidRPr="00C9205C" w:rsidRDefault="00B63732" w:rsidP="00B63732">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Groundwater continues to remain the dominant source of rural water supply in the district. Semi-arid climatic conditions, recurrent droughts, and reported fluoride contamination in certain blocks further complicate water security (UNICEF, 2018; Central Ground Water Board [CGWB], 2020). Studies have shown that groundwater-dependent regions face heightened risks of aquifer depletion and quality deterioration (Narain, 2014). Moreover, </w:t>
      </w:r>
      <w:r w:rsidRPr="00C9205C">
        <w:rPr>
          <w:rFonts w:ascii="Times New Roman" w:hAnsi="Times New Roman" w:cs="Times New Roman"/>
          <w:sz w:val="24"/>
          <w:szCs w:val="24"/>
        </w:rPr>
        <w:lastRenderedPageBreak/>
        <w:t>contamination during storage and handling at the household level may negate the benefits of improved infrastructure (Clasen et al., 2015; Wright et al., 2004).</w:t>
      </w:r>
      <w:r w:rsidR="00160C7C" w:rsidRPr="00C9205C">
        <w:rPr>
          <w:rFonts w:ascii="Times New Roman" w:hAnsi="Times New Roman" w:cs="Times New Roman"/>
          <w:sz w:val="24"/>
          <w:szCs w:val="24"/>
        </w:rPr>
        <w:t xml:space="preserve"> </w:t>
      </w:r>
      <w:r w:rsidRPr="00C9205C">
        <w:rPr>
          <w:rFonts w:ascii="Times New Roman" w:hAnsi="Times New Roman" w:cs="Times New Roman"/>
          <w:sz w:val="24"/>
          <w:szCs w:val="24"/>
        </w:rPr>
        <w:t xml:space="preserve">Therefore, while physical infrastructure under Jal Jeevan Mission has progressed substantially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ensuring sustainable and safe drinking water outcomes requires closer examination of household-level practices, governance effectiveness, and source sustainability measures.</w:t>
      </w:r>
    </w:p>
    <w:p w14:paraId="6BC8E01F" w14:textId="77777777" w:rsidR="00B63732" w:rsidRPr="00C9205C" w:rsidRDefault="00B63732" w:rsidP="00C302F9">
      <w:pPr>
        <w:pStyle w:val="NoSpacing"/>
        <w:rPr>
          <w:rFonts w:ascii="Times New Roman" w:hAnsi="Times New Roman" w:cs="Times New Roman"/>
          <w:sz w:val="24"/>
          <w:szCs w:val="24"/>
        </w:rPr>
      </w:pPr>
    </w:p>
    <w:p w14:paraId="144B0086" w14:textId="77777777" w:rsidR="00C302F9" w:rsidRPr="00C9205C" w:rsidRDefault="00C302F9" w:rsidP="00C302F9">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3. Literature Review</w:t>
      </w:r>
    </w:p>
    <w:p w14:paraId="1C5FC084"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Scholarly research on safe drinking water consistently emphasises that water safety is a multidimensional issue shaped by infrastructure, behavioural practices, environmental sustainability, and governance capacity. Merely providing improved water sources does not automatically ensure safe consumption outcomes.</w:t>
      </w:r>
    </w:p>
    <w:p w14:paraId="20694566" w14:textId="77777777" w:rsidR="00C302F9" w:rsidRPr="00C9205C" w:rsidRDefault="00C302F9" w:rsidP="00C302F9">
      <w:pPr>
        <w:pStyle w:val="NoSpacing"/>
        <w:rPr>
          <w:rFonts w:ascii="Times New Roman" w:hAnsi="Times New Roman" w:cs="Times New Roman"/>
          <w:sz w:val="24"/>
          <w:szCs w:val="24"/>
        </w:rPr>
      </w:pPr>
    </w:p>
    <w:p w14:paraId="01980B70"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Clasen et al. (2015) argue that improvements in water infrastructure must be complemented by safe household practices. Their research demonstrates that contamination frequently occurs at the point of use due to improper storage, unsafe handling, and lack of household-level treatment. Even when water is safe at the source, post-collection contamination can significantly reduce health benefits. This finding underscores the importance of behaviour change communication and community awareness alongside infrastructural interventions.</w:t>
      </w:r>
    </w:p>
    <w:p w14:paraId="40FB6FB3" w14:textId="77777777" w:rsidR="00C302F9" w:rsidRPr="00C9205C" w:rsidRDefault="00C302F9" w:rsidP="00C302F9">
      <w:pPr>
        <w:pStyle w:val="NoSpacing"/>
        <w:rPr>
          <w:rFonts w:ascii="Times New Roman" w:hAnsi="Times New Roman" w:cs="Times New Roman"/>
          <w:sz w:val="24"/>
          <w:szCs w:val="24"/>
        </w:rPr>
      </w:pPr>
    </w:p>
    <w:p w14:paraId="08F8FFB9"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Howard and Bartram (2014) emphasise that the level of service—particularly reliability and quantity of supply—directly influences hygiene behaviour and public health outcomes. Intermittent or inadequate water supply often compels households to store water for long periods, increasing contamination risks. Thus, water security is not solely about access but about consistent, safe, and sufficient service delivery.</w:t>
      </w:r>
    </w:p>
    <w:p w14:paraId="5377050B" w14:textId="77777777" w:rsidR="00C302F9" w:rsidRPr="00C9205C" w:rsidRDefault="00C302F9" w:rsidP="00C302F9">
      <w:pPr>
        <w:pStyle w:val="NoSpacing"/>
        <w:rPr>
          <w:rFonts w:ascii="Times New Roman" w:hAnsi="Times New Roman" w:cs="Times New Roman"/>
          <w:sz w:val="24"/>
          <w:szCs w:val="24"/>
        </w:rPr>
      </w:pPr>
    </w:p>
    <w:p w14:paraId="1809509D"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Narain (2014) highlights that groundwater over-extraction poses severe risks in semi-arid regions of India. Rapid agricultural expansion and increasing domestic demand have led to declining water tables and deteriorating quality, including fluoride and salinity contamination. Such structural vulnerabilities are particularly relevant in districts like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where groundwater forms the primary source of rural supply.</w:t>
      </w:r>
    </w:p>
    <w:p w14:paraId="386653CE" w14:textId="77777777" w:rsidR="00C302F9" w:rsidRPr="00C9205C" w:rsidRDefault="00C302F9" w:rsidP="00C302F9">
      <w:pPr>
        <w:pStyle w:val="NoSpacing"/>
        <w:rPr>
          <w:rFonts w:ascii="Times New Roman" w:hAnsi="Times New Roman" w:cs="Times New Roman"/>
          <w:sz w:val="24"/>
          <w:szCs w:val="24"/>
        </w:rPr>
      </w:pPr>
    </w:p>
    <w:p w14:paraId="48A9C53A"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UNDP (2020) underscores the central role of women in rural water governance. As primary water managers at the household level, women influence water collection, storage, and usage practices. However, their participation in formal decision-making bodies often remains limited. Strengthening women’s involvement enhances accountability and sustainability.</w:t>
      </w:r>
    </w:p>
    <w:p w14:paraId="34000F2C" w14:textId="77777777" w:rsidR="00C302F9" w:rsidRPr="00C9205C" w:rsidRDefault="00C302F9" w:rsidP="00C302F9">
      <w:pPr>
        <w:pStyle w:val="NoSpacing"/>
        <w:rPr>
          <w:rFonts w:ascii="Times New Roman" w:hAnsi="Times New Roman" w:cs="Times New Roman"/>
          <w:sz w:val="24"/>
          <w:szCs w:val="24"/>
        </w:rPr>
      </w:pPr>
    </w:p>
    <w:p w14:paraId="0152E14E"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Evaluations by NITI Aayog (2022) indicate that the long-term sustainability of the Jal Jeevan Mission depends on behavioural change, source sustainability, and the administrative capacity of Gram Panchayats. Infrastructure without institutional strengthening risks functional decline.</w:t>
      </w:r>
    </w:p>
    <w:p w14:paraId="639A2A67" w14:textId="77777777" w:rsidR="00C302F9" w:rsidRPr="00C9205C" w:rsidRDefault="00C302F9" w:rsidP="00656C24">
      <w:pPr>
        <w:pStyle w:val="NoSpacing"/>
        <w:rPr>
          <w:rFonts w:ascii="Times New Roman" w:hAnsi="Times New Roman" w:cs="Times New Roman"/>
          <w:sz w:val="24"/>
          <w:szCs w:val="24"/>
        </w:rPr>
      </w:pPr>
    </w:p>
    <w:p w14:paraId="2C598CAF" w14:textId="77777777" w:rsidR="00C302F9" w:rsidRPr="00C9205C" w:rsidRDefault="00C302F9" w:rsidP="00C302F9">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Collectively, the literature highlights that safe drinking water outcomes require an integrated approach combining infrastructure, behaviour, environmental sustainability, and governance reforms.</w:t>
      </w:r>
    </w:p>
    <w:p w14:paraId="0276DDA9" w14:textId="77777777" w:rsidR="00BA3138" w:rsidRDefault="00BA3138" w:rsidP="00C93591">
      <w:pPr>
        <w:spacing w:line="360" w:lineRule="auto"/>
        <w:jc w:val="both"/>
        <w:rPr>
          <w:rFonts w:ascii="Times New Roman" w:hAnsi="Times New Roman" w:cs="Times New Roman"/>
          <w:b/>
          <w:sz w:val="24"/>
          <w:szCs w:val="24"/>
        </w:rPr>
      </w:pPr>
    </w:p>
    <w:p w14:paraId="252245D5" w14:textId="77777777" w:rsidR="00C93591" w:rsidRPr="00C9205C" w:rsidRDefault="00C93591" w:rsidP="00C93591">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4. Need for the Study</w:t>
      </w:r>
    </w:p>
    <w:p w14:paraId="2EDDC104" w14:textId="77777777" w:rsidR="00C93591" w:rsidRPr="00C9205C" w:rsidRDefault="00C93591" w:rsidP="00C93591">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Although significant progress has been made in expanding drinking water infrastructure through various national and state-level programmes, the availability of improved water sources does not automatically ensure safe water consumption at the household level. In districts such as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infrastructural coverage has increased over the years; however, the actual quality of water at the point of use depends largely on household-level practices. There is limited district-specific empirical research examining whether households adopt appropriate water treatment methods such as boiling, filtration, chlorination, or other purification techniques. Without understanding these practices, it is difficult to assess the real effectiveness of water supply interventions in improving public health outcomes.</w:t>
      </w:r>
    </w:p>
    <w:p w14:paraId="0C428F9F" w14:textId="77777777" w:rsidR="00C93591" w:rsidRPr="00C9205C" w:rsidRDefault="00C93591" w:rsidP="00C93591">
      <w:pPr>
        <w:pStyle w:val="NoSpacing"/>
        <w:rPr>
          <w:rFonts w:ascii="Times New Roman" w:hAnsi="Times New Roman" w:cs="Times New Roman"/>
          <w:sz w:val="24"/>
          <w:szCs w:val="24"/>
        </w:rPr>
      </w:pPr>
    </w:p>
    <w:p w14:paraId="708C8014" w14:textId="77777777" w:rsidR="00C93591" w:rsidRPr="00C9205C" w:rsidRDefault="00C93591" w:rsidP="00C93591">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Further, safe storage behaviour plays a crucial role in preventing re-contamination of drinking water. Even when water is sourced from improved or treated supplies, improper storage—such as using open containers, unclean vessels, or unsafe methods of drawing water—can compromise its quality. Empirical evidence at the district level regarding storage practices, frequency of cleaning containers, and awareness about hygienic handling remains inadequate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This gap limits the ability of policymakers and local authorities to design targeted behavioural change interventions.</w:t>
      </w:r>
    </w:p>
    <w:p w14:paraId="591A7DBE" w14:textId="77777777" w:rsidR="00C93591" w:rsidRPr="00C9205C" w:rsidRDefault="00C93591" w:rsidP="00C93591">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Another important dimension requiring systematic investigation is the incidence of water-borne diseases and their correlation with water handling practices. While health records may indicate the prevalence of diseases such as diarrhoea, typhoid, and other gastrointestinal infections, there is insufficient localized research linking disease patterns to household water treatment and storage behaviour. A district-level study would help establish these associations and generate evidence for more effective public health planning.</w:t>
      </w:r>
    </w:p>
    <w:p w14:paraId="6856D33D" w14:textId="77777777" w:rsidR="00C93591" w:rsidRPr="00C9205C" w:rsidRDefault="00C93591" w:rsidP="00C93591">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lastRenderedPageBreak/>
        <w:t xml:space="preserve">Moreover, socio-economic disparities significantly influence access to safe drinking water, adoption of treatment methods, and exposure to health risks. Variations based on income levels, education, gender roles, rural–urban differences, and marginalized communities may create unequal health outcomes.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comprehensive empirical analysis capturing these socio-economic differentials is limited. Understanding these disparities is essential for designing inclusive and equitable water safety interventions.</w:t>
      </w:r>
    </w:p>
    <w:p w14:paraId="65F2B69B" w14:textId="77777777" w:rsidR="00C93591" w:rsidRPr="00C9205C" w:rsidRDefault="00C93591" w:rsidP="00C93591">
      <w:pPr>
        <w:pStyle w:val="NoSpacing"/>
        <w:rPr>
          <w:rFonts w:ascii="Times New Roman" w:hAnsi="Times New Roman" w:cs="Times New Roman"/>
          <w:sz w:val="24"/>
          <w:szCs w:val="24"/>
        </w:rPr>
      </w:pPr>
    </w:p>
    <w:p w14:paraId="2B544448" w14:textId="77777777" w:rsidR="00C93591" w:rsidRPr="00C9205C" w:rsidRDefault="00C93591" w:rsidP="00C93591">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Therefore, there is a clear need for a focused district-level empirical study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that examines household water treatment practices, storage behaviour, disease incidence, and socio-economic inequalities in an integrated manner. Such research will provide context-specific insights, strengthen evidence-based policy formulation, and contribute to improving both water safety and public health outcomes in the region.</w:t>
      </w:r>
    </w:p>
    <w:p w14:paraId="5ACC4E2E" w14:textId="77777777" w:rsidR="008D734B" w:rsidRPr="00C9205C" w:rsidRDefault="008D734B" w:rsidP="008D734B">
      <w:pPr>
        <w:pStyle w:val="Heading3"/>
        <w:rPr>
          <w:rFonts w:ascii="Times New Roman" w:hAnsi="Times New Roman" w:cs="Times New Roman"/>
          <w:color w:val="000000" w:themeColor="text1"/>
          <w:sz w:val="24"/>
          <w:szCs w:val="24"/>
        </w:rPr>
      </w:pPr>
      <w:r w:rsidRPr="00C9205C">
        <w:rPr>
          <w:rFonts w:ascii="Times New Roman" w:hAnsi="Times New Roman" w:cs="Times New Roman"/>
          <w:color w:val="000000" w:themeColor="text1"/>
          <w:sz w:val="24"/>
          <w:szCs w:val="24"/>
        </w:rPr>
        <w:t>5. Statement of the Problem</w:t>
      </w:r>
    </w:p>
    <w:p w14:paraId="6AE0143F" w14:textId="77777777" w:rsidR="008D734B" w:rsidRPr="00C9205C" w:rsidRDefault="008D734B" w:rsidP="008D734B">
      <w:pPr>
        <w:spacing w:line="360" w:lineRule="auto"/>
        <w:jc w:val="both"/>
        <w:rPr>
          <w:rFonts w:ascii="Times New Roman" w:hAnsi="Times New Roman" w:cs="Times New Roman"/>
          <w:sz w:val="24"/>
          <w:szCs w:val="24"/>
        </w:rPr>
      </w:pPr>
    </w:p>
    <w:p w14:paraId="3175B76A" w14:textId="77777777" w:rsidR="008D734B" w:rsidRPr="00BA3138" w:rsidRDefault="008D734B" w:rsidP="008D734B">
      <w:pPr>
        <w:spacing w:line="360" w:lineRule="auto"/>
        <w:jc w:val="both"/>
        <w:rPr>
          <w:rFonts w:ascii="Times New Roman" w:hAnsi="Times New Roman" w:cs="Times New Roman"/>
          <w:b/>
          <w:sz w:val="24"/>
          <w:szCs w:val="24"/>
        </w:rPr>
      </w:pPr>
      <w:r w:rsidRPr="00BA3138">
        <w:rPr>
          <w:rFonts w:ascii="Times New Roman" w:hAnsi="Times New Roman" w:cs="Times New Roman"/>
          <w:b/>
          <w:sz w:val="24"/>
          <w:szCs w:val="24"/>
        </w:rPr>
        <w:t xml:space="preserve">“Safe Drinking Water Practices, Household Behaviour, and Public Health Outcomes in Rural </w:t>
      </w:r>
      <w:proofErr w:type="spellStart"/>
      <w:r w:rsidRPr="00BA3138">
        <w:rPr>
          <w:rFonts w:ascii="Times New Roman" w:hAnsi="Times New Roman" w:cs="Times New Roman"/>
          <w:b/>
          <w:sz w:val="24"/>
          <w:szCs w:val="24"/>
        </w:rPr>
        <w:t>Koppal</w:t>
      </w:r>
      <w:proofErr w:type="spellEnd"/>
      <w:r w:rsidRPr="00BA3138">
        <w:rPr>
          <w:rFonts w:ascii="Times New Roman" w:hAnsi="Times New Roman" w:cs="Times New Roman"/>
          <w:b/>
          <w:sz w:val="24"/>
          <w:szCs w:val="24"/>
        </w:rPr>
        <w:t xml:space="preserve"> District: An Empirical Analysis”</w:t>
      </w:r>
    </w:p>
    <w:p w14:paraId="0C0A2106" w14:textId="77777777" w:rsidR="00721349" w:rsidRPr="00C9205C" w:rsidRDefault="00721349" w:rsidP="008D734B">
      <w:pPr>
        <w:spacing w:line="360" w:lineRule="auto"/>
        <w:jc w:val="both"/>
        <w:rPr>
          <w:rFonts w:ascii="Times New Roman" w:hAnsi="Times New Roman" w:cs="Times New Roman"/>
          <w:sz w:val="24"/>
          <w:szCs w:val="24"/>
        </w:rPr>
      </w:pPr>
    </w:p>
    <w:p w14:paraId="7BA1898A" w14:textId="77777777" w:rsidR="008D734B" w:rsidRPr="00C9205C" w:rsidRDefault="008D734B" w:rsidP="008D734B">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Despite significant expansion of rural drinking water infrastructure in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the expected improvements in safe drinking water outcomes have not been uniformly realized. The mere provision of improved water sources does not guarantee safe consumption at the household level. A noticeable disconnect persists between infrastructural development and actual public health benefits. Many households continue to face challenges related to water quality at the point of use, primarily due to inadequate treatment practices and unsafe storage behaviour, which often lead to contamination even after collection.</w:t>
      </w:r>
      <w:r w:rsidR="00721349" w:rsidRPr="00C9205C">
        <w:rPr>
          <w:rFonts w:ascii="Times New Roman" w:hAnsi="Times New Roman" w:cs="Times New Roman"/>
          <w:sz w:val="24"/>
          <w:szCs w:val="24"/>
        </w:rPr>
        <w:t xml:space="preserve"> </w:t>
      </w:r>
      <w:r w:rsidRPr="00C9205C">
        <w:rPr>
          <w:rFonts w:ascii="Times New Roman" w:hAnsi="Times New Roman" w:cs="Times New Roman"/>
          <w:sz w:val="24"/>
          <w:szCs w:val="24"/>
        </w:rPr>
        <w:t>Socio-economic disparities further aggravate this situation. Variations in income, education, awareness levels, and access to resources influence the adoption of safe water handling practices. Marginalized and economically weaker households are particularly vulnerable, as they may lack access to appropriate treatment methods or adequate storage facilities. In addition, irregular water supply, seasonal scarcity, and dependence on multiple sources complicate safe water management at the household level.</w:t>
      </w:r>
    </w:p>
    <w:p w14:paraId="7F267355" w14:textId="77777777" w:rsidR="00721349" w:rsidRPr="00C9205C" w:rsidRDefault="00721349" w:rsidP="008D734B">
      <w:pPr>
        <w:spacing w:line="360" w:lineRule="auto"/>
        <w:jc w:val="both"/>
        <w:rPr>
          <w:rFonts w:ascii="Times New Roman" w:hAnsi="Times New Roman" w:cs="Times New Roman"/>
          <w:sz w:val="24"/>
          <w:szCs w:val="24"/>
        </w:rPr>
      </w:pPr>
    </w:p>
    <w:p w14:paraId="01237BFE" w14:textId="77777777" w:rsidR="008D734B" w:rsidRPr="00C9205C" w:rsidRDefault="008D734B" w:rsidP="008D734B">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Governance-related challenges, including maintenance gaps, monitoring deficiencies, and limited community participation, also undermine the sustainability of drinking water systems. These structural and behavioural factors collectively weaken the effectiveness of </w:t>
      </w:r>
      <w:r w:rsidRPr="00C9205C">
        <w:rPr>
          <w:rFonts w:ascii="Times New Roman" w:hAnsi="Times New Roman" w:cs="Times New Roman"/>
          <w:sz w:val="24"/>
          <w:szCs w:val="24"/>
        </w:rPr>
        <w:lastRenderedPageBreak/>
        <w:t>infrastructure investments and compromise long-term water safety outcomes.</w:t>
      </w:r>
      <w:r w:rsidR="00721349" w:rsidRPr="00C9205C">
        <w:rPr>
          <w:rFonts w:ascii="Times New Roman" w:hAnsi="Times New Roman" w:cs="Times New Roman"/>
          <w:sz w:val="24"/>
          <w:szCs w:val="24"/>
        </w:rPr>
        <w:t xml:space="preserve"> </w:t>
      </w:r>
      <w:r w:rsidRPr="00C9205C">
        <w:rPr>
          <w:rFonts w:ascii="Times New Roman" w:hAnsi="Times New Roman" w:cs="Times New Roman"/>
          <w:sz w:val="24"/>
          <w:szCs w:val="24"/>
        </w:rPr>
        <w:t xml:space="preserve">Therefore, the problem lies not merely in access to water infrastructure but in ensuring sustained, equitable, and safe drinking water practices at the household level in rural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A comprehensive empirical investigation is required to understand these interrelated factors and bridge the gap between infrastructure provision and public health outcomes.</w:t>
      </w:r>
    </w:p>
    <w:p w14:paraId="49587958" w14:textId="77777777" w:rsidR="00B63C15" w:rsidRPr="00C9205C" w:rsidRDefault="00B63C15" w:rsidP="00B63C15">
      <w:pPr>
        <w:pStyle w:val="Heading3"/>
        <w:spacing w:line="360" w:lineRule="auto"/>
        <w:jc w:val="both"/>
        <w:rPr>
          <w:rFonts w:ascii="Times New Roman" w:hAnsi="Times New Roman" w:cs="Times New Roman"/>
          <w:color w:val="000000" w:themeColor="text1"/>
          <w:sz w:val="24"/>
          <w:szCs w:val="24"/>
        </w:rPr>
      </w:pPr>
      <w:r w:rsidRPr="00C9205C">
        <w:rPr>
          <w:rFonts w:ascii="Times New Roman" w:hAnsi="Times New Roman" w:cs="Times New Roman"/>
          <w:color w:val="000000" w:themeColor="text1"/>
          <w:sz w:val="24"/>
          <w:szCs w:val="24"/>
        </w:rPr>
        <w:t>6. Objectives of the Study</w:t>
      </w:r>
    </w:p>
    <w:p w14:paraId="6233F60A" w14:textId="77777777" w:rsidR="00B63C15" w:rsidRPr="00C9205C" w:rsidRDefault="00B63C15" w:rsidP="00B63C15">
      <w:pPr>
        <w:pStyle w:val="NormalWeb"/>
        <w:numPr>
          <w:ilvl w:val="0"/>
          <w:numId w:val="8"/>
        </w:numPr>
        <w:spacing w:line="360" w:lineRule="auto"/>
        <w:jc w:val="both"/>
        <w:rPr>
          <w:color w:val="000000" w:themeColor="text1"/>
        </w:rPr>
      </w:pPr>
      <w:r w:rsidRPr="00C9205C">
        <w:rPr>
          <w:color w:val="000000" w:themeColor="text1"/>
        </w:rPr>
        <w:t xml:space="preserve">To examine the types of drinking water sources available to households in rural </w:t>
      </w:r>
      <w:proofErr w:type="spellStart"/>
      <w:r w:rsidRPr="00C9205C">
        <w:rPr>
          <w:color w:val="000000" w:themeColor="text1"/>
        </w:rPr>
        <w:t>Koppal</w:t>
      </w:r>
      <w:proofErr w:type="spellEnd"/>
      <w:r w:rsidRPr="00C9205C">
        <w:rPr>
          <w:color w:val="000000" w:themeColor="text1"/>
        </w:rPr>
        <w:t xml:space="preserve"> district and assess the reliability, adequacy, and regularity of water supply.</w:t>
      </w:r>
    </w:p>
    <w:p w14:paraId="7E72D776" w14:textId="77777777" w:rsidR="00B63C15" w:rsidRPr="00C9205C" w:rsidRDefault="00B63C15" w:rsidP="00B63C15">
      <w:pPr>
        <w:pStyle w:val="NormalWeb"/>
        <w:numPr>
          <w:ilvl w:val="0"/>
          <w:numId w:val="8"/>
        </w:numPr>
        <w:spacing w:line="360" w:lineRule="auto"/>
        <w:jc w:val="both"/>
        <w:rPr>
          <w:color w:val="000000" w:themeColor="text1"/>
        </w:rPr>
      </w:pPr>
      <w:r w:rsidRPr="00C9205C">
        <w:rPr>
          <w:color w:val="000000" w:themeColor="text1"/>
        </w:rPr>
        <w:t>To assess household-level water treatment methods and storage practices, and to evaluate their role in maintaining water quality at the point of use.</w:t>
      </w:r>
    </w:p>
    <w:p w14:paraId="16C0D769" w14:textId="77777777" w:rsidR="00B63C15" w:rsidRPr="00C9205C" w:rsidRDefault="00B63C15" w:rsidP="00B63C15">
      <w:pPr>
        <w:pStyle w:val="NormalWeb"/>
        <w:numPr>
          <w:ilvl w:val="0"/>
          <w:numId w:val="8"/>
        </w:numPr>
        <w:spacing w:line="360" w:lineRule="auto"/>
        <w:jc w:val="both"/>
        <w:rPr>
          <w:color w:val="000000" w:themeColor="text1"/>
        </w:rPr>
      </w:pPr>
      <w:r w:rsidRPr="00C9205C">
        <w:rPr>
          <w:color w:val="000000" w:themeColor="text1"/>
        </w:rPr>
        <w:t>To analyse the socio-economic determinants—such as income, education, caste, occupation, and gender—that influence access to safe drinking water and adoption of hygienic practices.</w:t>
      </w:r>
    </w:p>
    <w:p w14:paraId="7F148F43" w14:textId="77777777" w:rsidR="00B63C15" w:rsidRPr="00C9205C" w:rsidRDefault="00B63C15" w:rsidP="00B63C15">
      <w:pPr>
        <w:pStyle w:val="NormalWeb"/>
        <w:numPr>
          <w:ilvl w:val="0"/>
          <w:numId w:val="8"/>
        </w:numPr>
        <w:spacing w:line="360" w:lineRule="auto"/>
        <w:jc w:val="both"/>
        <w:rPr>
          <w:color w:val="000000" w:themeColor="text1"/>
        </w:rPr>
      </w:pPr>
      <w:r w:rsidRPr="00C9205C">
        <w:rPr>
          <w:color w:val="000000" w:themeColor="text1"/>
        </w:rPr>
        <w:t>To evaluate the effectiveness of the Jal Jeevan Mission in improving household tap connectivity, service delivery, water quality, and overall drinking water security in the study area.</w:t>
      </w:r>
    </w:p>
    <w:p w14:paraId="52C8FF6A" w14:textId="77777777" w:rsidR="00B63C15" w:rsidRPr="00C9205C" w:rsidRDefault="00B63C15" w:rsidP="00B63C15">
      <w:pPr>
        <w:pStyle w:val="NormalWeb"/>
        <w:numPr>
          <w:ilvl w:val="0"/>
          <w:numId w:val="8"/>
        </w:numPr>
        <w:spacing w:line="360" w:lineRule="auto"/>
        <w:jc w:val="both"/>
        <w:rPr>
          <w:color w:val="000000" w:themeColor="text1"/>
        </w:rPr>
      </w:pPr>
      <w:r w:rsidRPr="00C9205C">
        <w:rPr>
          <w:color w:val="000000" w:themeColor="text1"/>
        </w:rPr>
        <w:t xml:space="preserve">To propose context-specific and sustainable strategies aimed at strengthening safe drinking water practices, improving governance mechanisms, and ensuring long-term public health outcomes in rural </w:t>
      </w:r>
      <w:proofErr w:type="spellStart"/>
      <w:r w:rsidRPr="00C9205C">
        <w:rPr>
          <w:color w:val="000000" w:themeColor="text1"/>
        </w:rPr>
        <w:t>Koppal</w:t>
      </w:r>
      <w:proofErr w:type="spellEnd"/>
      <w:r w:rsidRPr="00C9205C">
        <w:rPr>
          <w:color w:val="000000" w:themeColor="text1"/>
        </w:rPr>
        <w:t xml:space="preserve"> district.</w:t>
      </w:r>
    </w:p>
    <w:p w14:paraId="03FB6BF0" w14:textId="77777777" w:rsidR="00466A65" w:rsidRPr="00C9205C" w:rsidRDefault="00466A65" w:rsidP="00466A65">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7. Methodology</w:t>
      </w:r>
    </w:p>
    <w:p w14:paraId="5F689547" w14:textId="77777777" w:rsidR="00466A65" w:rsidRPr="00C9205C" w:rsidRDefault="00466A65" w:rsidP="00466A65">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7.1 Research Design</w:t>
      </w:r>
    </w:p>
    <w:p w14:paraId="4A339C62" w14:textId="77777777" w:rsidR="00466A65" w:rsidRPr="00C9205C" w:rsidRDefault="00466A65" w:rsidP="00466A65">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The study adopts a descriptive–analytical research design. The descriptive component is used to systematically document the existing drinking water sources, reliability of supply, household treatment practices, storage behaviour, and disease incidence patterns in rural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The analytical component goes beyond description to examine relationships between socio-economic variables and safe drinking water practices. This approach enables the study to identify patterns, disparities, and statistically significant associations, thereby generating evidence-based conclusions regarding the effectiveness and sustainability of rural drinking water interventions.</w:t>
      </w:r>
    </w:p>
    <w:p w14:paraId="39034267" w14:textId="77777777" w:rsidR="00466A65" w:rsidRPr="00C9205C" w:rsidRDefault="00466A65" w:rsidP="00466A65">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7.2 Sample</w:t>
      </w:r>
    </w:p>
    <w:p w14:paraId="4D174B59" w14:textId="77777777" w:rsidR="00466A65" w:rsidRPr="00C9205C" w:rsidRDefault="00466A65" w:rsidP="00466A65">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 xml:space="preserve">The study is based on primary data collected from 260 respondents drawn from four </w:t>
      </w:r>
      <w:proofErr w:type="spellStart"/>
      <w:r w:rsidRPr="00C9205C">
        <w:rPr>
          <w:rFonts w:ascii="Times New Roman" w:hAnsi="Times New Roman" w:cs="Times New Roman"/>
          <w:sz w:val="24"/>
          <w:szCs w:val="24"/>
        </w:rPr>
        <w:t>taluks</w:t>
      </w:r>
      <w:proofErr w:type="spellEnd"/>
      <w:r w:rsidRPr="00C9205C">
        <w:rPr>
          <w:rFonts w:ascii="Times New Roman" w:hAnsi="Times New Roman" w:cs="Times New Roman"/>
          <w:sz w:val="24"/>
          <w:szCs w:val="24"/>
        </w:rPr>
        <w:t xml:space="preserve"> of </w:t>
      </w:r>
      <w:proofErr w:type="spellStart"/>
      <w:r w:rsidRPr="00C9205C">
        <w:rPr>
          <w:rFonts w:ascii="Times New Roman" w:hAnsi="Times New Roman" w:cs="Times New Roman"/>
          <w:sz w:val="24"/>
          <w:szCs w:val="24"/>
        </w:rPr>
        <w:t>Koppal</w:t>
      </w:r>
      <w:proofErr w:type="spellEnd"/>
      <w:r w:rsidRPr="00C9205C">
        <w:rPr>
          <w:rFonts w:ascii="Times New Roman" w:hAnsi="Times New Roman" w:cs="Times New Roman"/>
          <w:sz w:val="24"/>
          <w:szCs w:val="24"/>
        </w:rPr>
        <w:t xml:space="preserve"> district. The respondents represent households from diverse socio-economic </w:t>
      </w:r>
      <w:r w:rsidRPr="00C9205C">
        <w:rPr>
          <w:rFonts w:ascii="Times New Roman" w:hAnsi="Times New Roman" w:cs="Times New Roman"/>
          <w:sz w:val="24"/>
          <w:szCs w:val="24"/>
        </w:rPr>
        <w:lastRenderedPageBreak/>
        <w:t>backgrounds, ensuring adequate representation of different income groups, educational levels, caste categories, and occupational profiles. The sample size was determined to ensure sufficient statistical reliability while remaining feasible within the scope of the study. The distribution of respondents across taluks allows for comparative analysis of variations in water access, reliability, and behavioural practices within the district.</w:t>
      </w:r>
    </w:p>
    <w:p w14:paraId="11B27EAF" w14:textId="77777777" w:rsidR="00466A65" w:rsidRPr="00C9205C" w:rsidRDefault="00466A65" w:rsidP="00466A65">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7.3 Sampling Technique</w:t>
      </w:r>
    </w:p>
    <w:p w14:paraId="07B2C1E4" w14:textId="77777777" w:rsidR="00466A65" w:rsidRPr="00C9205C" w:rsidRDefault="00466A65" w:rsidP="00466A65">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A multi-stage stratified random sampling technique was employed for the selection of respondents. In the first stage, four taluks were selected to ensure geographical representation within the district. In the second stage, villages were stratified based on relevant criteria such as size, location, and access to drinking water infrastructure. In the final stage, households were randomly selected within each stratum to ensure objectivity and minimize sampling bias. This method enhances representativeness and allows for meaningful comparisons across different socio-economic and regional segments.</w:t>
      </w:r>
    </w:p>
    <w:p w14:paraId="6FC4F1C9" w14:textId="77777777" w:rsidR="00466A65" w:rsidRPr="00C9205C" w:rsidRDefault="00466A65" w:rsidP="00466A65">
      <w:pPr>
        <w:spacing w:line="360" w:lineRule="auto"/>
        <w:jc w:val="both"/>
        <w:rPr>
          <w:rFonts w:ascii="Times New Roman" w:hAnsi="Times New Roman" w:cs="Times New Roman"/>
          <w:b/>
          <w:sz w:val="24"/>
          <w:szCs w:val="24"/>
        </w:rPr>
      </w:pPr>
      <w:r w:rsidRPr="00C9205C">
        <w:rPr>
          <w:rFonts w:ascii="Times New Roman" w:hAnsi="Times New Roman" w:cs="Times New Roman"/>
          <w:b/>
          <w:sz w:val="24"/>
          <w:szCs w:val="24"/>
        </w:rPr>
        <w:t>7.4 Tools and Statistical Techniques</w:t>
      </w:r>
    </w:p>
    <w:p w14:paraId="717CA16E" w14:textId="77777777" w:rsidR="00466A65" w:rsidRPr="00C9205C" w:rsidRDefault="00466A65" w:rsidP="00466A65">
      <w:pPr>
        <w:spacing w:line="360" w:lineRule="auto"/>
        <w:jc w:val="both"/>
        <w:rPr>
          <w:rFonts w:ascii="Times New Roman" w:hAnsi="Times New Roman" w:cs="Times New Roman"/>
          <w:sz w:val="24"/>
          <w:szCs w:val="24"/>
        </w:rPr>
      </w:pPr>
      <w:r w:rsidRPr="00C9205C">
        <w:rPr>
          <w:rFonts w:ascii="Times New Roman" w:hAnsi="Times New Roman" w:cs="Times New Roman"/>
          <w:sz w:val="24"/>
          <w:szCs w:val="24"/>
        </w:rPr>
        <w:t>The collected data were coded and analysed using Statistical Package for the Social Sciences (SPSS) version 26. Both descriptive and inferential statistical techniques were applied. Descriptive statistics were used to summarize demographic characteristics, types of water sources, treatment practices, and storage behaviour. The Chi-square test was employed to examine associations between categorical variables, such as socio-economic status and adoption of water treatment methods. Logistic regression analysis was used to identify significant predictors of safe drinking water practices and to assess the likelihood of households adopting appropriate treatment and storage measures based on socio-economic determinants. These analytical tools provide robust statistical evidence to support the findings and conclusions of the study.</w:t>
      </w:r>
    </w:p>
    <w:p w14:paraId="5549EB13" w14:textId="77777777" w:rsidR="001E0FAB" w:rsidRDefault="001E0FAB" w:rsidP="00455233">
      <w:pPr>
        <w:pStyle w:val="Heading3"/>
        <w:rPr>
          <w:rFonts w:ascii="Times New Roman" w:hAnsi="Times New Roman" w:cs="Times New Roman"/>
          <w:color w:val="000000" w:themeColor="text1"/>
          <w:sz w:val="24"/>
          <w:szCs w:val="24"/>
        </w:rPr>
      </w:pPr>
    </w:p>
    <w:p w14:paraId="0FCC2A52" w14:textId="77777777" w:rsidR="00455233" w:rsidRPr="00C9205C" w:rsidRDefault="00455233" w:rsidP="00455233">
      <w:pPr>
        <w:pStyle w:val="Heading3"/>
        <w:rPr>
          <w:rFonts w:ascii="Times New Roman" w:hAnsi="Times New Roman" w:cs="Times New Roman"/>
          <w:color w:val="000000" w:themeColor="text1"/>
          <w:sz w:val="24"/>
          <w:szCs w:val="24"/>
        </w:rPr>
      </w:pPr>
      <w:r w:rsidRPr="00C9205C">
        <w:rPr>
          <w:rFonts w:ascii="Times New Roman" w:hAnsi="Times New Roman" w:cs="Times New Roman"/>
          <w:color w:val="000000" w:themeColor="text1"/>
          <w:sz w:val="24"/>
          <w:szCs w:val="24"/>
        </w:rPr>
        <w:t xml:space="preserve">8. Data Analysis </w:t>
      </w:r>
    </w:p>
    <w:p w14:paraId="26804D47" w14:textId="77777777" w:rsidR="00455233" w:rsidRPr="00C9205C" w:rsidRDefault="00455233" w:rsidP="00455233">
      <w:pPr>
        <w:pStyle w:val="Heading3"/>
        <w:rPr>
          <w:rFonts w:ascii="Times New Roman" w:hAnsi="Times New Roman" w:cs="Times New Roman"/>
          <w:color w:val="000000" w:themeColor="text1"/>
          <w:sz w:val="24"/>
          <w:szCs w:val="24"/>
        </w:rPr>
      </w:pPr>
      <w:r w:rsidRPr="00C9205C">
        <w:rPr>
          <w:rFonts w:ascii="Times New Roman" w:hAnsi="Times New Roman" w:cs="Times New Roman"/>
          <w:color w:val="000000" w:themeColor="text1"/>
          <w:sz w:val="24"/>
          <w:szCs w:val="24"/>
        </w:rPr>
        <w:t>Table 1: Gender Distribution</w:t>
      </w:r>
    </w:p>
    <w:p w14:paraId="23216D31" w14:textId="77777777" w:rsidR="00C450D6" w:rsidRPr="00C9205C" w:rsidRDefault="00C450D6" w:rsidP="00C450D6">
      <w:pPr>
        <w:rPr>
          <w:rFonts w:ascii="Times New Roman" w:hAnsi="Times New Roman" w:cs="Times New Roman"/>
          <w:sz w:val="24"/>
          <w:szCs w:val="24"/>
          <w:lang w:val="en-US" w:bidi="ar-SA"/>
        </w:rPr>
      </w:pPr>
    </w:p>
    <w:tbl>
      <w:tblPr>
        <w:tblStyle w:val="TableGrid"/>
        <w:tblW w:w="9240" w:type="dxa"/>
        <w:tblLook w:val="04A0" w:firstRow="1" w:lastRow="0" w:firstColumn="1" w:lastColumn="0" w:noHBand="0" w:noVBand="1"/>
      </w:tblPr>
      <w:tblGrid>
        <w:gridCol w:w="3080"/>
        <w:gridCol w:w="3080"/>
        <w:gridCol w:w="3080"/>
      </w:tblGrid>
      <w:tr w:rsidR="00455233" w:rsidRPr="00C9205C" w14:paraId="57775676" w14:textId="77777777" w:rsidTr="00455233">
        <w:tc>
          <w:tcPr>
            <w:tcW w:w="3080" w:type="dxa"/>
            <w:vAlign w:val="center"/>
          </w:tcPr>
          <w:p w14:paraId="5466C6D1" w14:textId="77777777" w:rsidR="00455233" w:rsidRPr="00C9205C" w:rsidRDefault="00455233" w:rsidP="00455233">
            <w:pPr>
              <w:jc w:val="center"/>
              <w:rPr>
                <w:rFonts w:ascii="Times New Roman" w:hAnsi="Times New Roman" w:cs="Times New Roman"/>
                <w:b/>
                <w:bCs/>
                <w:sz w:val="24"/>
                <w:szCs w:val="24"/>
              </w:rPr>
            </w:pPr>
            <w:r w:rsidRPr="00C9205C">
              <w:rPr>
                <w:rFonts w:ascii="Times New Roman" w:hAnsi="Times New Roman" w:cs="Times New Roman"/>
                <w:b/>
                <w:bCs/>
                <w:sz w:val="24"/>
                <w:szCs w:val="24"/>
              </w:rPr>
              <w:t>Gender</w:t>
            </w:r>
          </w:p>
        </w:tc>
        <w:tc>
          <w:tcPr>
            <w:tcW w:w="3080" w:type="dxa"/>
            <w:vAlign w:val="center"/>
          </w:tcPr>
          <w:p w14:paraId="05E62DD9" w14:textId="77777777" w:rsidR="00455233" w:rsidRPr="00C9205C" w:rsidRDefault="00301963" w:rsidP="00455233">
            <w:pPr>
              <w:jc w:val="center"/>
              <w:rPr>
                <w:rFonts w:ascii="Times New Roman" w:hAnsi="Times New Roman" w:cs="Times New Roman"/>
                <w:b/>
                <w:bCs/>
                <w:sz w:val="24"/>
                <w:szCs w:val="24"/>
              </w:rPr>
            </w:pPr>
            <w:r w:rsidRPr="00C9205C">
              <w:rPr>
                <w:rFonts w:ascii="Times New Roman" w:hAnsi="Times New Roman" w:cs="Times New Roman"/>
                <w:b/>
                <w:bCs/>
                <w:sz w:val="24"/>
                <w:szCs w:val="24"/>
              </w:rPr>
              <w:t>Respondents</w:t>
            </w:r>
          </w:p>
        </w:tc>
        <w:tc>
          <w:tcPr>
            <w:tcW w:w="3080" w:type="dxa"/>
            <w:vAlign w:val="center"/>
          </w:tcPr>
          <w:p w14:paraId="6A79A337" w14:textId="77777777" w:rsidR="00455233" w:rsidRPr="00C9205C" w:rsidRDefault="00455233" w:rsidP="00455233">
            <w:pPr>
              <w:jc w:val="center"/>
              <w:rPr>
                <w:rFonts w:ascii="Times New Roman" w:hAnsi="Times New Roman" w:cs="Times New Roman"/>
                <w:b/>
                <w:bCs/>
                <w:sz w:val="24"/>
                <w:szCs w:val="24"/>
              </w:rPr>
            </w:pPr>
            <w:r w:rsidRPr="00C9205C">
              <w:rPr>
                <w:rFonts w:ascii="Times New Roman" w:hAnsi="Times New Roman" w:cs="Times New Roman"/>
                <w:b/>
                <w:bCs/>
                <w:sz w:val="24"/>
                <w:szCs w:val="24"/>
              </w:rPr>
              <w:t>Percent</w:t>
            </w:r>
          </w:p>
        </w:tc>
      </w:tr>
      <w:tr w:rsidR="008C1331" w:rsidRPr="00C9205C" w14:paraId="20C7F5C8" w14:textId="77777777" w:rsidTr="00455233">
        <w:tc>
          <w:tcPr>
            <w:tcW w:w="3080" w:type="dxa"/>
            <w:vAlign w:val="center"/>
          </w:tcPr>
          <w:p w14:paraId="183CD2C6"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Male</w:t>
            </w:r>
          </w:p>
        </w:tc>
        <w:tc>
          <w:tcPr>
            <w:tcW w:w="3080" w:type="dxa"/>
            <w:vAlign w:val="center"/>
          </w:tcPr>
          <w:p w14:paraId="706EAA9A"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152</w:t>
            </w:r>
          </w:p>
        </w:tc>
        <w:tc>
          <w:tcPr>
            <w:tcW w:w="3080" w:type="dxa"/>
            <w:vAlign w:val="center"/>
          </w:tcPr>
          <w:p w14:paraId="6093CA62"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58.5</w:t>
            </w:r>
          </w:p>
        </w:tc>
      </w:tr>
      <w:tr w:rsidR="008C1331" w:rsidRPr="00C9205C" w14:paraId="249A15E0" w14:textId="77777777" w:rsidTr="00455233">
        <w:tc>
          <w:tcPr>
            <w:tcW w:w="3080" w:type="dxa"/>
            <w:vAlign w:val="center"/>
          </w:tcPr>
          <w:p w14:paraId="322CCDE0"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Female</w:t>
            </w:r>
          </w:p>
        </w:tc>
        <w:tc>
          <w:tcPr>
            <w:tcW w:w="3080" w:type="dxa"/>
            <w:vAlign w:val="center"/>
          </w:tcPr>
          <w:p w14:paraId="7BE2EA81"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108</w:t>
            </w:r>
          </w:p>
        </w:tc>
        <w:tc>
          <w:tcPr>
            <w:tcW w:w="3080" w:type="dxa"/>
            <w:vAlign w:val="center"/>
          </w:tcPr>
          <w:p w14:paraId="4B4B58CA"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41.5</w:t>
            </w:r>
          </w:p>
        </w:tc>
      </w:tr>
      <w:tr w:rsidR="008C1331" w:rsidRPr="00C9205C" w14:paraId="65CA0E97" w14:textId="77777777" w:rsidTr="00455233">
        <w:tc>
          <w:tcPr>
            <w:tcW w:w="3080" w:type="dxa"/>
            <w:vAlign w:val="center"/>
          </w:tcPr>
          <w:p w14:paraId="4645F9B5" w14:textId="77777777" w:rsidR="008C1331" w:rsidRPr="001F3946" w:rsidRDefault="008C1331"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080" w:type="dxa"/>
            <w:vAlign w:val="center"/>
          </w:tcPr>
          <w:p w14:paraId="05896B9A"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260</w:t>
            </w:r>
          </w:p>
        </w:tc>
        <w:tc>
          <w:tcPr>
            <w:tcW w:w="3080" w:type="dxa"/>
            <w:vAlign w:val="center"/>
          </w:tcPr>
          <w:p w14:paraId="03F19411"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bl>
    <w:p w14:paraId="139E9C76" w14:textId="77777777" w:rsidR="004F6D55" w:rsidRDefault="004F6D55" w:rsidP="004F6D55">
      <w:pPr>
        <w:spacing w:line="360" w:lineRule="auto"/>
        <w:jc w:val="both"/>
        <w:rPr>
          <w:rFonts w:ascii="Times New Roman" w:hAnsi="Times New Roman" w:cs="Times New Roman"/>
          <w:sz w:val="24"/>
          <w:szCs w:val="24"/>
        </w:rPr>
      </w:pPr>
    </w:p>
    <w:p w14:paraId="46E51A08" w14:textId="77777777" w:rsidR="004F6D55" w:rsidRPr="00364C93" w:rsidRDefault="001142D2" w:rsidP="004F6D5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Table-1 indicates that m</w:t>
      </w:r>
      <w:r w:rsidR="004F6D55" w:rsidRPr="00364C93">
        <w:rPr>
          <w:rFonts w:ascii="Times New Roman" w:hAnsi="Times New Roman" w:cs="Times New Roman"/>
          <w:sz w:val="24"/>
          <w:szCs w:val="24"/>
        </w:rPr>
        <w:t xml:space="preserve">ales constitute 58.5% of the respondents, while females account for 41.5%, indicating a moderate gender imbalance in participation. Although male respondents form the majority, the female representation is still substantial, allowing for a reasonably balanced understanding of household perspectives. The higher male proportion may reflect prevailing rural social norms where men are more likely to </w:t>
      </w:r>
      <w:r w:rsidR="004F6D55">
        <w:rPr>
          <w:rFonts w:ascii="Times New Roman" w:hAnsi="Times New Roman" w:cs="Times New Roman"/>
          <w:sz w:val="24"/>
          <w:szCs w:val="24"/>
        </w:rPr>
        <w:t xml:space="preserve">interact with survey processes. </w:t>
      </w:r>
      <w:r w:rsidR="004F6D55" w:rsidRPr="00364C93">
        <w:rPr>
          <w:rFonts w:ascii="Times New Roman" w:hAnsi="Times New Roman" w:cs="Times New Roman"/>
          <w:sz w:val="24"/>
          <w:szCs w:val="24"/>
        </w:rPr>
        <w:t>With a difference of about 17 percentage points, male viewpoints slightly dominate; however, the 41.5% female participation ensures that gender-related insights remain meaningful and representative.</w:t>
      </w:r>
    </w:p>
    <w:p w14:paraId="5E248377" w14:textId="77777777" w:rsidR="00C902EE" w:rsidRPr="00C9205C" w:rsidRDefault="00C902EE" w:rsidP="00C902EE">
      <w:pPr>
        <w:pStyle w:val="Heading3"/>
        <w:rPr>
          <w:rFonts w:ascii="Times New Roman" w:hAnsi="Times New Roman" w:cs="Times New Roman"/>
          <w:color w:val="000000" w:themeColor="text1"/>
          <w:sz w:val="24"/>
          <w:szCs w:val="24"/>
        </w:rPr>
      </w:pPr>
      <w:r w:rsidRPr="00C9205C">
        <w:rPr>
          <w:rFonts w:ascii="Times New Roman" w:hAnsi="Times New Roman" w:cs="Times New Roman"/>
          <w:color w:val="000000" w:themeColor="text1"/>
          <w:sz w:val="24"/>
          <w:szCs w:val="24"/>
        </w:rPr>
        <w:t>Table 2: Education</w:t>
      </w:r>
    </w:p>
    <w:p w14:paraId="39D44EE9" w14:textId="77777777" w:rsidR="00C902EE" w:rsidRPr="00C9205C" w:rsidRDefault="00C902EE" w:rsidP="00466A65">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27"/>
        <w:gridCol w:w="2410"/>
        <w:gridCol w:w="2551"/>
      </w:tblGrid>
      <w:tr w:rsidR="00C902EE" w:rsidRPr="00C9205C" w14:paraId="483606EF" w14:textId="77777777" w:rsidTr="00C902EE">
        <w:tc>
          <w:tcPr>
            <w:tcW w:w="3227" w:type="dxa"/>
            <w:vAlign w:val="center"/>
          </w:tcPr>
          <w:p w14:paraId="20E422F4" w14:textId="77777777" w:rsidR="00C902EE" w:rsidRPr="00C9205C" w:rsidRDefault="00C902EE" w:rsidP="00C902EE">
            <w:pPr>
              <w:jc w:val="center"/>
              <w:rPr>
                <w:rFonts w:ascii="Times New Roman" w:hAnsi="Times New Roman" w:cs="Times New Roman"/>
                <w:b/>
                <w:bCs/>
                <w:sz w:val="24"/>
                <w:szCs w:val="24"/>
              </w:rPr>
            </w:pPr>
            <w:r w:rsidRPr="00C9205C">
              <w:rPr>
                <w:rFonts w:ascii="Times New Roman" w:hAnsi="Times New Roman" w:cs="Times New Roman"/>
                <w:b/>
                <w:bCs/>
                <w:sz w:val="24"/>
                <w:szCs w:val="24"/>
              </w:rPr>
              <w:t>Education Level</w:t>
            </w:r>
          </w:p>
        </w:tc>
        <w:tc>
          <w:tcPr>
            <w:tcW w:w="2410" w:type="dxa"/>
            <w:vAlign w:val="center"/>
          </w:tcPr>
          <w:p w14:paraId="6B1DAA1A" w14:textId="77777777" w:rsidR="00C902EE" w:rsidRPr="00C9205C" w:rsidRDefault="00C902EE" w:rsidP="00C902EE">
            <w:pPr>
              <w:jc w:val="center"/>
              <w:rPr>
                <w:rFonts w:ascii="Times New Roman" w:hAnsi="Times New Roman" w:cs="Times New Roman"/>
                <w:b/>
                <w:bCs/>
                <w:sz w:val="24"/>
                <w:szCs w:val="24"/>
              </w:rPr>
            </w:pPr>
            <w:r w:rsidRPr="00C9205C">
              <w:rPr>
                <w:rFonts w:ascii="Times New Roman" w:hAnsi="Times New Roman" w:cs="Times New Roman"/>
                <w:b/>
                <w:bCs/>
                <w:sz w:val="24"/>
                <w:szCs w:val="24"/>
              </w:rPr>
              <w:t xml:space="preserve">Respondents </w:t>
            </w:r>
          </w:p>
        </w:tc>
        <w:tc>
          <w:tcPr>
            <w:tcW w:w="2551" w:type="dxa"/>
            <w:vAlign w:val="center"/>
          </w:tcPr>
          <w:p w14:paraId="6C13A1E0" w14:textId="77777777" w:rsidR="00C902EE" w:rsidRPr="00C9205C" w:rsidRDefault="00C902EE" w:rsidP="00C902EE">
            <w:pPr>
              <w:jc w:val="center"/>
              <w:rPr>
                <w:rFonts w:ascii="Times New Roman" w:hAnsi="Times New Roman" w:cs="Times New Roman"/>
                <w:b/>
                <w:bCs/>
                <w:sz w:val="24"/>
                <w:szCs w:val="24"/>
              </w:rPr>
            </w:pPr>
            <w:r w:rsidRPr="00C9205C">
              <w:rPr>
                <w:rFonts w:ascii="Times New Roman" w:hAnsi="Times New Roman" w:cs="Times New Roman"/>
                <w:b/>
                <w:bCs/>
                <w:sz w:val="24"/>
                <w:szCs w:val="24"/>
              </w:rPr>
              <w:t>Percent</w:t>
            </w:r>
          </w:p>
        </w:tc>
      </w:tr>
      <w:tr w:rsidR="008C1331" w:rsidRPr="00C9205C" w14:paraId="300A4218" w14:textId="77777777" w:rsidTr="00C902EE">
        <w:tc>
          <w:tcPr>
            <w:tcW w:w="3227" w:type="dxa"/>
            <w:vAlign w:val="center"/>
          </w:tcPr>
          <w:p w14:paraId="5BB4E2B4"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Illiterate</w:t>
            </w:r>
          </w:p>
        </w:tc>
        <w:tc>
          <w:tcPr>
            <w:tcW w:w="2410" w:type="dxa"/>
            <w:vAlign w:val="center"/>
          </w:tcPr>
          <w:p w14:paraId="4569F21A"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72</w:t>
            </w:r>
          </w:p>
        </w:tc>
        <w:tc>
          <w:tcPr>
            <w:tcW w:w="2551" w:type="dxa"/>
            <w:vAlign w:val="center"/>
          </w:tcPr>
          <w:p w14:paraId="0C7999B4"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27.7</w:t>
            </w:r>
          </w:p>
        </w:tc>
      </w:tr>
      <w:tr w:rsidR="008C1331" w:rsidRPr="00C9205C" w14:paraId="07D6ED0D" w14:textId="77777777" w:rsidTr="00C902EE">
        <w:tc>
          <w:tcPr>
            <w:tcW w:w="3227" w:type="dxa"/>
            <w:vAlign w:val="center"/>
          </w:tcPr>
          <w:p w14:paraId="149652EF"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Primary</w:t>
            </w:r>
          </w:p>
        </w:tc>
        <w:tc>
          <w:tcPr>
            <w:tcW w:w="2410" w:type="dxa"/>
            <w:vAlign w:val="center"/>
          </w:tcPr>
          <w:p w14:paraId="65F867D9"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84</w:t>
            </w:r>
          </w:p>
        </w:tc>
        <w:tc>
          <w:tcPr>
            <w:tcW w:w="2551" w:type="dxa"/>
            <w:vAlign w:val="center"/>
          </w:tcPr>
          <w:p w14:paraId="05B4E58C"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32.3</w:t>
            </w:r>
          </w:p>
        </w:tc>
      </w:tr>
      <w:tr w:rsidR="008C1331" w:rsidRPr="00C9205C" w14:paraId="5D56326F" w14:textId="77777777" w:rsidTr="00C902EE">
        <w:tc>
          <w:tcPr>
            <w:tcW w:w="3227" w:type="dxa"/>
            <w:vAlign w:val="center"/>
          </w:tcPr>
          <w:p w14:paraId="5B50C03F"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Secondary</w:t>
            </w:r>
          </w:p>
        </w:tc>
        <w:tc>
          <w:tcPr>
            <w:tcW w:w="2410" w:type="dxa"/>
            <w:vAlign w:val="center"/>
          </w:tcPr>
          <w:p w14:paraId="43EC1764"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66</w:t>
            </w:r>
          </w:p>
        </w:tc>
        <w:tc>
          <w:tcPr>
            <w:tcW w:w="2551" w:type="dxa"/>
            <w:vAlign w:val="center"/>
          </w:tcPr>
          <w:p w14:paraId="534A1D63"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25.4</w:t>
            </w:r>
          </w:p>
        </w:tc>
      </w:tr>
      <w:tr w:rsidR="008C1331" w:rsidRPr="00C9205C" w14:paraId="21EC0E84" w14:textId="77777777" w:rsidTr="00C902EE">
        <w:tc>
          <w:tcPr>
            <w:tcW w:w="3227" w:type="dxa"/>
            <w:vAlign w:val="center"/>
          </w:tcPr>
          <w:p w14:paraId="4ED9B380"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Graduate &amp; Above</w:t>
            </w:r>
          </w:p>
        </w:tc>
        <w:tc>
          <w:tcPr>
            <w:tcW w:w="2410" w:type="dxa"/>
            <w:vAlign w:val="center"/>
          </w:tcPr>
          <w:p w14:paraId="10C813EA"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38</w:t>
            </w:r>
          </w:p>
        </w:tc>
        <w:tc>
          <w:tcPr>
            <w:tcW w:w="2551" w:type="dxa"/>
            <w:vAlign w:val="center"/>
          </w:tcPr>
          <w:p w14:paraId="66B0A663"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14.6</w:t>
            </w:r>
          </w:p>
        </w:tc>
      </w:tr>
      <w:tr w:rsidR="008C1331" w:rsidRPr="00C9205C" w14:paraId="7BF80129" w14:textId="77777777" w:rsidTr="00C902EE">
        <w:tc>
          <w:tcPr>
            <w:tcW w:w="3227" w:type="dxa"/>
            <w:vAlign w:val="center"/>
          </w:tcPr>
          <w:p w14:paraId="77F59CAA" w14:textId="77777777" w:rsidR="008C1331" w:rsidRPr="001F3946" w:rsidRDefault="008C1331"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2410" w:type="dxa"/>
            <w:vAlign w:val="center"/>
          </w:tcPr>
          <w:p w14:paraId="2488273C"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260</w:t>
            </w:r>
          </w:p>
        </w:tc>
        <w:tc>
          <w:tcPr>
            <w:tcW w:w="2551" w:type="dxa"/>
            <w:vAlign w:val="center"/>
          </w:tcPr>
          <w:p w14:paraId="1655FDD8"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bl>
    <w:p w14:paraId="74517CD9" w14:textId="77777777" w:rsidR="00CA2EC5" w:rsidRPr="00C9205C" w:rsidRDefault="00CA2EC5" w:rsidP="00466A65">
      <w:pPr>
        <w:spacing w:line="360" w:lineRule="auto"/>
        <w:jc w:val="both"/>
        <w:rPr>
          <w:rFonts w:ascii="Times New Roman" w:hAnsi="Times New Roman" w:cs="Times New Roman"/>
          <w:sz w:val="24"/>
          <w:szCs w:val="24"/>
        </w:rPr>
      </w:pPr>
    </w:p>
    <w:p w14:paraId="752F93E1" w14:textId="77777777" w:rsidR="00391D36" w:rsidRPr="00364C93" w:rsidRDefault="00391D36" w:rsidP="00391D36">
      <w:pPr>
        <w:spacing w:line="360" w:lineRule="auto"/>
        <w:jc w:val="both"/>
        <w:rPr>
          <w:rFonts w:ascii="Times New Roman" w:hAnsi="Times New Roman" w:cs="Times New Roman"/>
          <w:sz w:val="24"/>
          <w:szCs w:val="24"/>
        </w:rPr>
      </w:pPr>
      <w:r w:rsidRPr="00364C93">
        <w:rPr>
          <w:rFonts w:ascii="Times New Roman" w:hAnsi="Times New Roman" w:cs="Times New Roman"/>
          <w:sz w:val="24"/>
          <w:szCs w:val="24"/>
        </w:rPr>
        <w:t xml:space="preserve">Educational attainment shows </w:t>
      </w:r>
      <w:r w:rsidR="001142D2">
        <w:rPr>
          <w:rFonts w:ascii="Times New Roman" w:hAnsi="Times New Roman" w:cs="Times New Roman"/>
          <w:sz w:val="24"/>
          <w:szCs w:val="24"/>
        </w:rPr>
        <w:t xml:space="preserve">(Table-2) </w:t>
      </w:r>
      <w:r w:rsidRPr="00364C93">
        <w:rPr>
          <w:rFonts w:ascii="Times New Roman" w:hAnsi="Times New Roman" w:cs="Times New Roman"/>
          <w:sz w:val="24"/>
          <w:szCs w:val="24"/>
        </w:rPr>
        <w:t>that 27.7% of respondents are illiterate and 32.3% have only primary education, meaning 60% possess low levels of formal education. About 25.4% have secondary education, while only 14.6% are graduates or above. This indicates that higher education penetration is relatively limited wit</w:t>
      </w:r>
      <w:r>
        <w:rPr>
          <w:rFonts w:ascii="Times New Roman" w:hAnsi="Times New Roman" w:cs="Times New Roman"/>
          <w:sz w:val="24"/>
          <w:szCs w:val="24"/>
        </w:rPr>
        <w:t xml:space="preserve">hin the study population. </w:t>
      </w:r>
      <w:r w:rsidRPr="00364C93">
        <w:rPr>
          <w:rFonts w:ascii="Times New Roman" w:hAnsi="Times New Roman" w:cs="Times New Roman"/>
          <w:sz w:val="24"/>
          <w:szCs w:val="24"/>
        </w:rPr>
        <w:t>Since nearly three-fifths (60%) of respondents have minimal education, awareness levels and access to information may be constrained, emphasizing the need for simple, locally accessible awareness and training programmes.</w:t>
      </w:r>
    </w:p>
    <w:p w14:paraId="3D49131A" w14:textId="77777777" w:rsidR="00391D36" w:rsidRDefault="00391D36" w:rsidP="00E766B1">
      <w:pPr>
        <w:pStyle w:val="Heading3"/>
        <w:rPr>
          <w:rFonts w:ascii="Times New Roman" w:hAnsi="Times New Roman" w:cs="Times New Roman"/>
          <w:color w:val="auto"/>
          <w:sz w:val="24"/>
          <w:szCs w:val="24"/>
        </w:rPr>
      </w:pPr>
    </w:p>
    <w:p w14:paraId="376EA9BB" w14:textId="77777777" w:rsidR="00BA3138" w:rsidRPr="00BA3138" w:rsidRDefault="00BA3138" w:rsidP="00BA3138">
      <w:pPr>
        <w:rPr>
          <w:lang w:val="en-US" w:bidi="ar-SA"/>
        </w:rPr>
      </w:pPr>
    </w:p>
    <w:p w14:paraId="2B724A3E" w14:textId="77777777" w:rsidR="00E766B1" w:rsidRPr="00C9205C" w:rsidRDefault="00E766B1" w:rsidP="00E766B1">
      <w:pPr>
        <w:pStyle w:val="Heading3"/>
        <w:rPr>
          <w:rFonts w:ascii="Times New Roman" w:hAnsi="Times New Roman" w:cs="Times New Roman"/>
          <w:color w:val="auto"/>
          <w:sz w:val="24"/>
          <w:szCs w:val="24"/>
        </w:rPr>
      </w:pPr>
      <w:r w:rsidRPr="00C9205C">
        <w:rPr>
          <w:rFonts w:ascii="Times New Roman" w:hAnsi="Times New Roman" w:cs="Times New Roman"/>
          <w:color w:val="auto"/>
          <w:sz w:val="24"/>
          <w:szCs w:val="24"/>
        </w:rPr>
        <w:t>Table 3: Annual Family Income</w:t>
      </w:r>
    </w:p>
    <w:p w14:paraId="5A970829" w14:textId="77777777" w:rsidR="008C1331" w:rsidRPr="00C9205C" w:rsidRDefault="008C1331" w:rsidP="008C1331">
      <w:pPr>
        <w:rPr>
          <w:rFonts w:ascii="Times New Roman" w:hAnsi="Times New Roman" w:cs="Times New Roman"/>
          <w:sz w:val="24"/>
          <w:szCs w:val="24"/>
          <w:lang w:val="en-US" w:bidi="ar-SA"/>
        </w:rPr>
      </w:pPr>
    </w:p>
    <w:tbl>
      <w:tblPr>
        <w:tblStyle w:val="TableGrid"/>
        <w:tblW w:w="0" w:type="auto"/>
        <w:tblLook w:val="04A0" w:firstRow="1" w:lastRow="0" w:firstColumn="1" w:lastColumn="0" w:noHBand="0" w:noVBand="1"/>
      </w:tblPr>
      <w:tblGrid>
        <w:gridCol w:w="4199"/>
        <w:gridCol w:w="2566"/>
        <w:gridCol w:w="2477"/>
      </w:tblGrid>
      <w:tr w:rsidR="008C1331" w:rsidRPr="00C9205C" w14:paraId="2A66FC5A" w14:textId="77777777" w:rsidTr="00F02F8C">
        <w:tc>
          <w:tcPr>
            <w:tcW w:w="4199" w:type="dxa"/>
            <w:vAlign w:val="center"/>
          </w:tcPr>
          <w:p w14:paraId="6F20EC5A" w14:textId="77777777" w:rsidR="008C1331" w:rsidRPr="001F3946" w:rsidRDefault="008C1331"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Income Category (₹)</w:t>
            </w:r>
          </w:p>
        </w:tc>
        <w:tc>
          <w:tcPr>
            <w:tcW w:w="2566" w:type="dxa"/>
            <w:vAlign w:val="center"/>
          </w:tcPr>
          <w:p w14:paraId="5D182245" w14:textId="77777777" w:rsidR="008C1331" w:rsidRPr="001F3946" w:rsidRDefault="008C1331"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Frequency</w:t>
            </w:r>
          </w:p>
        </w:tc>
        <w:tc>
          <w:tcPr>
            <w:tcW w:w="2477" w:type="dxa"/>
            <w:vAlign w:val="center"/>
          </w:tcPr>
          <w:p w14:paraId="01E7885D" w14:textId="77777777" w:rsidR="008C1331" w:rsidRPr="001F3946" w:rsidRDefault="008C1331"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Percentage (%)</w:t>
            </w:r>
          </w:p>
        </w:tc>
      </w:tr>
      <w:tr w:rsidR="008C1331" w:rsidRPr="00C9205C" w14:paraId="1D460767" w14:textId="77777777" w:rsidTr="00F02F8C">
        <w:tc>
          <w:tcPr>
            <w:tcW w:w="4199" w:type="dxa"/>
            <w:vAlign w:val="center"/>
          </w:tcPr>
          <w:p w14:paraId="4BEBD4C0"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Below 1,00,000</w:t>
            </w:r>
          </w:p>
        </w:tc>
        <w:tc>
          <w:tcPr>
            <w:tcW w:w="2566" w:type="dxa"/>
            <w:vAlign w:val="center"/>
          </w:tcPr>
          <w:p w14:paraId="314DA23E"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88</w:t>
            </w:r>
          </w:p>
        </w:tc>
        <w:tc>
          <w:tcPr>
            <w:tcW w:w="2477" w:type="dxa"/>
            <w:vAlign w:val="center"/>
          </w:tcPr>
          <w:p w14:paraId="0A55EBDC"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33.8</w:t>
            </w:r>
          </w:p>
        </w:tc>
      </w:tr>
      <w:tr w:rsidR="008C1331" w:rsidRPr="00C9205C" w14:paraId="3B502F36" w14:textId="77777777" w:rsidTr="00F02F8C">
        <w:tc>
          <w:tcPr>
            <w:tcW w:w="4199" w:type="dxa"/>
            <w:vAlign w:val="center"/>
          </w:tcPr>
          <w:p w14:paraId="2296C1E7"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1,00,000 – 2,00,000</w:t>
            </w:r>
          </w:p>
        </w:tc>
        <w:tc>
          <w:tcPr>
            <w:tcW w:w="2566" w:type="dxa"/>
            <w:vAlign w:val="center"/>
          </w:tcPr>
          <w:p w14:paraId="0C997956"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94</w:t>
            </w:r>
          </w:p>
        </w:tc>
        <w:tc>
          <w:tcPr>
            <w:tcW w:w="2477" w:type="dxa"/>
            <w:vAlign w:val="center"/>
          </w:tcPr>
          <w:p w14:paraId="76D0977B"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36.2</w:t>
            </w:r>
          </w:p>
        </w:tc>
      </w:tr>
      <w:tr w:rsidR="008C1331" w:rsidRPr="00C9205C" w14:paraId="1C1BC6DD" w14:textId="77777777" w:rsidTr="00F02F8C">
        <w:tc>
          <w:tcPr>
            <w:tcW w:w="4199" w:type="dxa"/>
            <w:vAlign w:val="center"/>
          </w:tcPr>
          <w:p w14:paraId="0E300941"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2,00,000 – 3,50,000</w:t>
            </w:r>
          </w:p>
        </w:tc>
        <w:tc>
          <w:tcPr>
            <w:tcW w:w="2566" w:type="dxa"/>
            <w:vAlign w:val="center"/>
          </w:tcPr>
          <w:p w14:paraId="63DFC5E6"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52</w:t>
            </w:r>
          </w:p>
        </w:tc>
        <w:tc>
          <w:tcPr>
            <w:tcW w:w="2477" w:type="dxa"/>
            <w:vAlign w:val="center"/>
          </w:tcPr>
          <w:p w14:paraId="1AB7E6BE"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20.0</w:t>
            </w:r>
          </w:p>
        </w:tc>
      </w:tr>
      <w:tr w:rsidR="008C1331" w:rsidRPr="00C9205C" w14:paraId="10ABE116" w14:textId="77777777" w:rsidTr="00F02F8C">
        <w:tc>
          <w:tcPr>
            <w:tcW w:w="4199" w:type="dxa"/>
            <w:vAlign w:val="center"/>
          </w:tcPr>
          <w:p w14:paraId="70A8DCD5"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Above 3,50,000</w:t>
            </w:r>
          </w:p>
        </w:tc>
        <w:tc>
          <w:tcPr>
            <w:tcW w:w="2566" w:type="dxa"/>
            <w:vAlign w:val="center"/>
          </w:tcPr>
          <w:p w14:paraId="192CBB56"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w:t>
            </w:r>
          </w:p>
        </w:tc>
        <w:tc>
          <w:tcPr>
            <w:tcW w:w="2477" w:type="dxa"/>
            <w:vAlign w:val="center"/>
          </w:tcPr>
          <w:p w14:paraId="641B918E"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r w:rsidR="008C1331" w:rsidRPr="00C9205C" w14:paraId="0B372B92" w14:textId="77777777" w:rsidTr="00F02F8C">
        <w:tc>
          <w:tcPr>
            <w:tcW w:w="4199" w:type="dxa"/>
            <w:vAlign w:val="center"/>
          </w:tcPr>
          <w:p w14:paraId="2CE6BD12" w14:textId="77777777" w:rsidR="008C1331" w:rsidRPr="001F3946" w:rsidRDefault="008C1331"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2566" w:type="dxa"/>
            <w:vAlign w:val="center"/>
          </w:tcPr>
          <w:p w14:paraId="2AF0183C"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260</w:t>
            </w:r>
          </w:p>
        </w:tc>
        <w:tc>
          <w:tcPr>
            <w:tcW w:w="2477" w:type="dxa"/>
            <w:vAlign w:val="center"/>
          </w:tcPr>
          <w:p w14:paraId="57DE6E37"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bl>
    <w:p w14:paraId="5E8F2F9E" w14:textId="77777777" w:rsidR="008C1331" w:rsidRPr="00C9205C" w:rsidRDefault="008C1331" w:rsidP="008C1331">
      <w:pPr>
        <w:rPr>
          <w:rFonts w:ascii="Times New Roman" w:hAnsi="Times New Roman" w:cs="Times New Roman"/>
          <w:sz w:val="24"/>
          <w:szCs w:val="24"/>
          <w:lang w:val="en-US" w:bidi="ar-SA"/>
        </w:rPr>
      </w:pPr>
    </w:p>
    <w:p w14:paraId="3622A75A" w14:textId="77777777" w:rsidR="001142D2" w:rsidRPr="00364C93" w:rsidRDefault="001142D2" w:rsidP="001142D2">
      <w:pPr>
        <w:spacing w:line="360" w:lineRule="auto"/>
        <w:jc w:val="both"/>
        <w:rPr>
          <w:rFonts w:ascii="Times New Roman" w:hAnsi="Times New Roman" w:cs="Times New Roman"/>
          <w:sz w:val="24"/>
          <w:szCs w:val="24"/>
        </w:rPr>
      </w:pPr>
      <w:r w:rsidRPr="00364C93">
        <w:rPr>
          <w:rFonts w:ascii="Times New Roman" w:hAnsi="Times New Roman" w:cs="Times New Roman"/>
          <w:sz w:val="24"/>
          <w:szCs w:val="24"/>
        </w:rPr>
        <w:t xml:space="preserve">Income distribution reveals </w:t>
      </w:r>
      <w:r>
        <w:rPr>
          <w:rFonts w:ascii="Times New Roman" w:hAnsi="Times New Roman" w:cs="Times New Roman"/>
          <w:sz w:val="24"/>
          <w:szCs w:val="24"/>
        </w:rPr>
        <w:t xml:space="preserve">(Table-3) </w:t>
      </w:r>
      <w:r w:rsidRPr="00364C93">
        <w:rPr>
          <w:rFonts w:ascii="Times New Roman" w:hAnsi="Times New Roman" w:cs="Times New Roman"/>
          <w:sz w:val="24"/>
          <w:szCs w:val="24"/>
        </w:rPr>
        <w:t xml:space="preserve">that 33.8% of households earn below ₹1,00,000 annually and 36.2% fall within ₹1,00,000–₹2,00,000, together forming 70% of the sample in </w:t>
      </w:r>
      <w:r w:rsidRPr="00364C93">
        <w:rPr>
          <w:rFonts w:ascii="Times New Roman" w:hAnsi="Times New Roman" w:cs="Times New Roman"/>
          <w:sz w:val="24"/>
          <w:szCs w:val="24"/>
        </w:rPr>
        <w:lastRenderedPageBreak/>
        <w:t>lower-income categories. About 20% earn between ₹2,00,000 and ₹3,50,000, while only 10% earn above ₹3,50,000. This clearly indicates that the majority of respondents belong to economically vulnerable groups.</w:t>
      </w:r>
      <w:r>
        <w:rPr>
          <w:rFonts w:ascii="Times New Roman" w:hAnsi="Times New Roman" w:cs="Times New Roman"/>
          <w:sz w:val="24"/>
          <w:szCs w:val="24"/>
        </w:rPr>
        <w:t xml:space="preserve"> </w:t>
      </w:r>
      <w:r w:rsidRPr="00364C93">
        <w:rPr>
          <w:rFonts w:ascii="Times New Roman" w:hAnsi="Times New Roman" w:cs="Times New Roman"/>
          <w:sz w:val="24"/>
          <w:szCs w:val="24"/>
        </w:rPr>
        <w:t>With seven out of ten households in low-income brackets, there is a strong need for income-generation initiatives, social protection measures, and livelihood enhancement programmes.</w:t>
      </w:r>
    </w:p>
    <w:p w14:paraId="6A7AF133" w14:textId="77777777" w:rsidR="008C1331" w:rsidRPr="001F3946" w:rsidRDefault="001142D2" w:rsidP="008C1331">
      <w:pPr>
        <w:spacing w:before="100" w:beforeAutospacing="1" w:after="100" w:afterAutospacing="1"/>
        <w:outlineLvl w:val="1"/>
        <w:rPr>
          <w:rFonts w:ascii="Times New Roman" w:eastAsia="Times New Roman" w:hAnsi="Times New Roman" w:cs="Times New Roman"/>
          <w:b/>
          <w:bCs/>
          <w:sz w:val="24"/>
          <w:szCs w:val="24"/>
        </w:rPr>
      </w:pPr>
      <w:r>
        <w:rPr>
          <w:rFonts w:ascii="Times New Roman" w:hAnsi="Times New Roman" w:cs="Times New Roman"/>
          <w:sz w:val="24"/>
          <w:szCs w:val="24"/>
        </w:rPr>
        <w:t>T</w:t>
      </w:r>
      <w:r w:rsidR="008C1331" w:rsidRPr="00C9205C">
        <w:rPr>
          <w:rFonts w:ascii="Times New Roman" w:hAnsi="Times New Roman" w:cs="Times New Roman"/>
          <w:sz w:val="24"/>
          <w:szCs w:val="24"/>
        </w:rPr>
        <w:t xml:space="preserve">able 4: </w:t>
      </w:r>
      <w:r w:rsidR="008C1331" w:rsidRPr="001F3946">
        <w:rPr>
          <w:rFonts w:ascii="Times New Roman" w:eastAsia="Times New Roman" w:hAnsi="Times New Roman" w:cs="Times New Roman"/>
          <w:b/>
          <w:bCs/>
          <w:sz w:val="24"/>
          <w:szCs w:val="24"/>
        </w:rPr>
        <w:t>Caste Distribution</w:t>
      </w:r>
      <w:r w:rsidR="00C9205C">
        <w:rPr>
          <w:rFonts w:ascii="Times New Roman" w:eastAsia="Times New Roman" w:hAnsi="Times New Roman" w:cs="Times New Roman"/>
          <w:b/>
          <w:bCs/>
          <w:sz w:val="24"/>
          <w:szCs w:val="24"/>
        </w:rPr>
        <w:t xml:space="preserve"> of the Respondents</w:t>
      </w:r>
      <w:r w:rsidR="005130FD">
        <w:rPr>
          <w:rFonts w:ascii="Times New Roman" w:eastAsia="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4199"/>
        <w:gridCol w:w="2566"/>
        <w:gridCol w:w="2477"/>
      </w:tblGrid>
      <w:tr w:rsidR="008C1331" w:rsidRPr="00C9205C" w14:paraId="3507481B" w14:textId="77777777" w:rsidTr="00F02F8C">
        <w:tc>
          <w:tcPr>
            <w:tcW w:w="4199" w:type="dxa"/>
            <w:vAlign w:val="center"/>
          </w:tcPr>
          <w:p w14:paraId="098412A3" w14:textId="77777777" w:rsidR="008C1331" w:rsidRPr="001F3946" w:rsidRDefault="008C1331"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Caste Category</w:t>
            </w:r>
          </w:p>
        </w:tc>
        <w:tc>
          <w:tcPr>
            <w:tcW w:w="2566" w:type="dxa"/>
            <w:vAlign w:val="center"/>
          </w:tcPr>
          <w:p w14:paraId="2ACBBA47" w14:textId="77777777" w:rsidR="008C1331" w:rsidRPr="001F3946" w:rsidRDefault="008C1331"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Frequency</w:t>
            </w:r>
          </w:p>
        </w:tc>
        <w:tc>
          <w:tcPr>
            <w:tcW w:w="2477" w:type="dxa"/>
            <w:vAlign w:val="center"/>
          </w:tcPr>
          <w:p w14:paraId="64B5FF12" w14:textId="77777777" w:rsidR="008C1331" w:rsidRPr="001F3946" w:rsidRDefault="008C1331"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Percentage (%)</w:t>
            </w:r>
          </w:p>
        </w:tc>
      </w:tr>
      <w:tr w:rsidR="008C1331" w:rsidRPr="00C9205C" w14:paraId="0F3A8388" w14:textId="77777777" w:rsidTr="00F02F8C">
        <w:tc>
          <w:tcPr>
            <w:tcW w:w="4199" w:type="dxa"/>
            <w:vAlign w:val="center"/>
          </w:tcPr>
          <w:p w14:paraId="7366033B"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Scheduled Caste (SC)</w:t>
            </w:r>
          </w:p>
        </w:tc>
        <w:tc>
          <w:tcPr>
            <w:tcW w:w="2566" w:type="dxa"/>
            <w:vAlign w:val="center"/>
          </w:tcPr>
          <w:p w14:paraId="2B96DCF4"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74</w:t>
            </w:r>
          </w:p>
        </w:tc>
        <w:tc>
          <w:tcPr>
            <w:tcW w:w="2477" w:type="dxa"/>
            <w:vAlign w:val="center"/>
          </w:tcPr>
          <w:p w14:paraId="55A7537B"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28.5</w:t>
            </w:r>
          </w:p>
        </w:tc>
      </w:tr>
      <w:tr w:rsidR="008C1331" w:rsidRPr="00C9205C" w14:paraId="3F68E49E" w14:textId="77777777" w:rsidTr="00F02F8C">
        <w:tc>
          <w:tcPr>
            <w:tcW w:w="4199" w:type="dxa"/>
            <w:vAlign w:val="center"/>
          </w:tcPr>
          <w:p w14:paraId="52D4B6D2"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Scheduled Tribe (ST)</w:t>
            </w:r>
          </w:p>
        </w:tc>
        <w:tc>
          <w:tcPr>
            <w:tcW w:w="2566" w:type="dxa"/>
            <w:vAlign w:val="center"/>
          </w:tcPr>
          <w:p w14:paraId="45767BE4"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38</w:t>
            </w:r>
          </w:p>
        </w:tc>
        <w:tc>
          <w:tcPr>
            <w:tcW w:w="2477" w:type="dxa"/>
            <w:vAlign w:val="center"/>
          </w:tcPr>
          <w:p w14:paraId="6D7BBF5A"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14.6</w:t>
            </w:r>
          </w:p>
        </w:tc>
      </w:tr>
      <w:tr w:rsidR="008C1331" w:rsidRPr="00C9205C" w14:paraId="385DA3B8" w14:textId="77777777" w:rsidTr="00F02F8C">
        <w:tc>
          <w:tcPr>
            <w:tcW w:w="4199" w:type="dxa"/>
            <w:vAlign w:val="center"/>
          </w:tcPr>
          <w:p w14:paraId="36176414"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Other Backward Class (OBC)</w:t>
            </w:r>
          </w:p>
        </w:tc>
        <w:tc>
          <w:tcPr>
            <w:tcW w:w="2566" w:type="dxa"/>
            <w:vAlign w:val="center"/>
          </w:tcPr>
          <w:p w14:paraId="3A673592"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108</w:t>
            </w:r>
          </w:p>
        </w:tc>
        <w:tc>
          <w:tcPr>
            <w:tcW w:w="2477" w:type="dxa"/>
            <w:vAlign w:val="center"/>
          </w:tcPr>
          <w:p w14:paraId="247F07DE"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41.5</w:t>
            </w:r>
          </w:p>
        </w:tc>
      </w:tr>
      <w:tr w:rsidR="008C1331" w:rsidRPr="00C9205C" w14:paraId="7BBC3168" w14:textId="77777777" w:rsidTr="00F02F8C">
        <w:tc>
          <w:tcPr>
            <w:tcW w:w="4199" w:type="dxa"/>
            <w:vAlign w:val="center"/>
          </w:tcPr>
          <w:p w14:paraId="7B5E9C09"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General</w:t>
            </w:r>
          </w:p>
        </w:tc>
        <w:tc>
          <w:tcPr>
            <w:tcW w:w="2566" w:type="dxa"/>
            <w:vAlign w:val="center"/>
          </w:tcPr>
          <w:p w14:paraId="77950F6F"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40</w:t>
            </w:r>
          </w:p>
        </w:tc>
        <w:tc>
          <w:tcPr>
            <w:tcW w:w="2477" w:type="dxa"/>
            <w:vAlign w:val="center"/>
          </w:tcPr>
          <w:p w14:paraId="2C7E136E"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15.4</w:t>
            </w:r>
          </w:p>
        </w:tc>
      </w:tr>
      <w:tr w:rsidR="008C1331" w:rsidRPr="00C9205C" w14:paraId="2A1B6CD9" w14:textId="77777777" w:rsidTr="00F02F8C">
        <w:tc>
          <w:tcPr>
            <w:tcW w:w="4199" w:type="dxa"/>
            <w:vAlign w:val="center"/>
          </w:tcPr>
          <w:p w14:paraId="7DC069CC" w14:textId="77777777" w:rsidR="008C1331" w:rsidRPr="001F3946" w:rsidRDefault="008C1331"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2566" w:type="dxa"/>
            <w:vAlign w:val="center"/>
          </w:tcPr>
          <w:p w14:paraId="59A7C373"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260</w:t>
            </w:r>
          </w:p>
        </w:tc>
        <w:tc>
          <w:tcPr>
            <w:tcW w:w="2477" w:type="dxa"/>
            <w:vAlign w:val="center"/>
          </w:tcPr>
          <w:p w14:paraId="1401F4DD" w14:textId="77777777" w:rsidR="008C1331" w:rsidRPr="001F3946" w:rsidRDefault="008C1331"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bl>
    <w:p w14:paraId="792B7AE6" w14:textId="77777777" w:rsidR="00C24BDF" w:rsidRDefault="00C24BDF" w:rsidP="00C24BDF">
      <w:pPr>
        <w:spacing w:line="360" w:lineRule="auto"/>
        <w:jc w:val="both"/>
        <w:rPr>
          <w:rFonts w:ascii="Times New Roman" w:hAnsi="Times New Roman" w:cs="Times New Roman"/>
          <w:sz w:val="24"/>
          <w:szCs w:val="24"/>
        </w:rPr>
      </w:pPr>
    </w:p>
    <w:p w14:paraId="1416C0FE" w14:textId="77777777" w:rsidR="00C24BDF" w:rsidRPr="00364C93" w:rsidRDefault="00C24BDF" w:rsidP="00C24BDF">
      <w:pPr>
        <w:spacing w:line="360" w:lineRule="auto"/>
        <w:jc w:val="both"/>
        <w:rPr>
          <w:rFonts w:ascii="Times New Roman" w:hAnsi="Times New Roman" w:cs="Times New Roman"/>
          <w:sz w:val="24"/>
          <w:szCs w:val="24"/>
        </w:rPr>
      </w:pPr>
      <w:r>
        <w:rPr>
          <w:rFonts w:ascii="Times New Roman" w:hAnsi="Times New Roman" w:cs="Times New Roman"/>
          <w:sz w:val="24"/>
          <w:szCs w:val="24"/>
        </w:rPr>
        <w:t>Table- 4 demonstrate that o</w:t>
      </w:r>
      <w:r w:rsidRPr="00364C93">
        <w:rPr>
          <w:rFonts w:ascii="Times New Roman" w:hAnsi="Times New Roman" w:cs="Times New Roman"/>
          <w:sz w:val="24"/>
          <w:szCs w:val="24"/>
        </w:rPr>
        <w:t>ther Backward Classes constitute the largest share at 41.5%, followed by Scheduled Castes at 28.5% and Scheduled Tribes at 14.6%. The General category accounts for 15.4%. Thus, marginalized social groups (SC, ST, and OBC combined) make up 84.6%</w:t>
      </w:r>
      <w:r>
        <w:rPr>
          <w:rFonts w:ascii="Times New Roman" w:hAnsi="Times New Roman" w:cs="Times New Roman"/>
          <w:sz w:val="24"/>
          <w:szCs w:val="24"/>
        </w:rPr>
        <w:t xml:space="preserve"> of the respondents. </w:t>
      </w:r>
      <w:r w:rsidRPr="00364C93">
        <w:rPr>
          <w:rFonts w:ascii="Times New Roman" w:hAnsi="Times New Roman" w:cs="Times New Roman"/>
          <w:sz w:val="24"/>
          <w:szCs w:val="24"/>
        </w:rPr>
        <w:t>The overwhelming representation of marginalized communities (over four-fifths) highlights the importance of inclusive and equity-oriented development strategies, as these groups may face structural barriers in accessing opportunities and resources.</w:t>
      </w:r>
    </w:p>
    <w:p w14:paraId="47F69848" w14:textId="77777777" w:rsidR="00C24BDF" w:rsidRDefault="00C24BDF" w:rsidP="00777CA4">
      <w:pPr>
        <w:spacing w:before="100" w:beforeAutospacing="1" w:after="100" w:afterAutospacing="1"/>
        <w:outlineLvl w:val="1"/>
        <w:rPr>
          <w:rFonts w:ascii="Times New Roman" w:eastAsia="Times New Roman" w:hAnsi="Times New Roman" w:cs="Times New Roman"/>
          <w:b/>
          <w:bCs/>
          <w:sz w:val="24"/>
          <w:szCs w:val="24"/>
        </w:rPr>
      </w:pPr>
    </w:p>
    <w:p w14:paraId="5A3CCAFC" w14:textId="77777777" w:rsidR="00BA3138" w:rsidRDefault="00BA3138" w:rsidP="00777CA4">
      <w:pPr>
        <w:spacing w:before="100" w:beforeAutospacing="1" w:after="100" w:afterAutospacing="1"/>
        <w:outlineLvl w:val="1"/>
        <w:rPr>
          <w:rFonts w:ascii="Times New Roman" w:eastAsia="Times New Roman" w:hAnsi="Times New Roman" w:cs="Times New Roman"/>
          <w:b/>
          <w:bCs/>
          <w:sz w:val="24"/>
          <w:szCs w:val="24"/>
        </w:rPr>
      </w:pPr>
    </w:p>
    <w:p w14:paraId="694414AA" w14:textId="77777777" w:rsidR="00BA3138" w:rsidRDefault="00BA3138" w:rsidP="00777CA4">
      <w:pPr>
        <w:spacing w:before="100" w:beforeAutospacing="1" w:after="100" w:afterAutospacing="1"/>
        <w:outlineLvl w:val="1"/>
        <w:rPr>
          <w:rFonts w:ascii="Times New Roman" w:eastAsia="Times New Roman" w:hAnsi="Times New Roman" w:cs="Times New Roman"/>
          <w:b/>
          <w:bCs/>
          <w:sz w:val="24"/>
          <w:szCs w:val="24"/>
        </w:rPr>
      </w:pPr>
    </w:p>
    <w:p w14:paraId="73D9A5E8" w14:textId="77777777" w:rsidR="00BA3138" w:rsidRDefault="00BA3138" w:rsidP="00777CA4">
      <w:pPr>
        <w:spacing w:before="100" w:beforeAutospacing="1" w:after="100" w:afterAutospacing="1"/>
        <w:outlineLvl w:val="1"/>
        <w:rPr>
          <w:rFonts w:ascii="Times New Roman" w:eastAsia="Times New Roman" w:hAnsi="Times New Roman" w:cs="Times New Roman"/>
          <w:b/>
          <w:bCs/>
          <w:sz w:val="24"/>
          <w:szCs w:val="24"/>
        </w:rPr>
      </w:pPr>
    </w:p>
    <w:p w14:paraId="7FBEA18D" w14:textId="77777777" w:rsidR="00777CA4" w:rsidRPr="00C9205C" w:rsidRDefault="00777CA4" w:rsidP="00777CA4">
      <w:pPr>
        <w:spacing w:before="100" w:beforeAutospacing="1" w:after="100" w:afterAutospacing="1"/>
        <w:outlineLvl w:val="1"/>
        <w:rPr>
          <w:rFonts w:ascii="Times New Roman" w:hAnsi="Times New Roman" w:cs="Times New Roman"/>
          <w:sz w:val="24"/>
          <w:szCs w:val="24"/>
          <w:lang w:val="en-US" w:bidi="ar-SA"/>
        </w:rPr>
      </w:pPr>
      <w:r w:rsidRPr="001F3946">
        <w:rPr>
          <w:rFonts w:ascii="Times New Roman" w:eastAsia="Times New Roman" w:hAnsi="Times New Roman" w:cs="Times New Roman"/>
          <w:b/>
          <w:bCs/>
          <w:sz w:val="24"/>
          <w:szCs w:val="24"/>
        </w:rPr>
        <w:t xml:space="preserve">Table 5: Occupation of </w:t>
      </w:r>
      <w:r w:rsidRPr="00C9205C">
        <w:rPr>
          <w:rFonts w:ascii="Times New Roman" w:eastAsia="Times New Roman" w:hAnsi="Times New Roman" w:cs="Times New Roman"/>
          <w:b/>
          <w:bCs/>
          <w:sz w:val="24"/>
          <w:szCs w:val="24"/>
        </w:rPr>
        <w:t xml:space="preserve">the Respondents </w:t>
      </w:r>
    </w:p>
    <w:tbl>
      <w:tblPr>
        <w:tblStyle w:val="TableGrid"/>
        <w:tblW w:w="0" w:type="auto"/>
        <w:tblLook w:val="04A0" w:firstRow="1" w:lastRow="0" w:firstColumn="1" w:lastColumn="0" w:noHBand="0" w:noVBand="1"/>
      </w:tblPr>
      <w:tblGrid>
        <w:gridCol w:w="4199"/>
        <w:gridCol w:w="2566"/>
        <w:gridCol w:w="2477"/>
      </w:tblGrid>
      <w:tr w:rsidR="00777CA4" w:rsidRPr="00C9205C" w14:paraId="41FE4EDF" w14:textId="77777777" w:rsidTr="00F02F8C">
        <w:tc>
          <w:tcPr>
            <w:tcW w:w="4199" w:type="dxa"/>
            <w:vAlign w:val="center"/>
          </w:tcPr>
          <w:p w14:paraId="4F488A32" w14:textId="77777777" w:rsidR="00777CA4" w:rsidRPr="001F3946" w:rsidRDefault="00777CA4"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Occupation</w:t>
            </w:r>
          </w:p>
        </w:tc>
        <w:tc>
          <w:tcPr>
            <w:tcW w:w="2566" w:type="dxa"/>
            <w:vAlign w:val="center"/>
          </w:tcPr>
          <w:p w14:paraId="2CEA7044" w14:textId="77777777" w:rsidR="00777CA4" w:rsidRPr="001F3946" w:rsidRDefault="00777CA4"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Frequency</w:t>
            </w:r>
          </w:p>
        </w:tc>
        <w:tc>
          <w:tcPr>
            <w:tcW w:w="2477" w:type="dxa"/>
            <w:vAlign w:val="center"/>
          </w:tcPr>
          <w:p w14:paraId="38E19AD9" w14:textId="77777777" w:rsidR="00777CA4" w:rsidRPr="001F3946" w:rsidRDefault="00777CA4"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Percentage (%)</w:t>
            </w:r>
          </w:p>
        </w:tc>
      </w:tr>
      <w:tr w:rsidR="00777CA4" w:rsidRPr="00C9205C" w14:paraId="3FD52E44" w14:textId="77777777" w:rsidTr="00F02F8C">
        <w:tc>
          <w:tcPr>
            <w:tcW w:w="4199" w:type="dxa"/>
            <w:vAlign w:val="center"/>
          </w:tcPr>
          <w:p w14:paraId="5424AB42"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Agriculture</w:t>
            </w:r>
          </w:p>
        </w:tc>
        <w:tc>
          <w:tcPr>
            <w:tcW w:w="2566" w:type="dxa"/>
            <w:vAlign w:val="center"/>
          </w:tcPr>
          <w:p w14:paraId="1DCAF28C"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c>
          <w:tcPr>
            <w:tcW w:w="2477" w:type="dxa"/>
            <w:vAlign w:val="center"/>
          </w:tcPr>
          <w:p w14:paraId="0DC7AA19"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38.5</w:t>
            </w:r>
          </w:p>
        </w:tc>
      </w:tr>
      <w:tr w:rsidR="00777CA4" w:rsidRPr="00C9205C" w14:paraId="1A25F552" w14:textId="77777777" w:rsidTr="00F02F8C">
        <w:tc>
          <w:tcPr>
            <w:tcW w:w="4199" w:type="dxa"/>
            <w:vAlign w:val="center"/>
          </w:tcPr>
          <w:p w14:paraId="705CAE7B"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 xml:space="preserve">Daily Wage </w:t>
            </w:r>
            <w:proofErr w:type="spellStart"/>
            <w:r w:rsidRPr="001F3946">
              <w:rPr>
                <w:rFonts w:ascii="Times New Roman" w:eastAsia="Times New Roman" w:hAnsi="Times New Roman" w:cs="Times New Roman"/>
                <w:sz w:val="24"/>
                <w:szCs w:val="24"/>
              </w:rPr>
              <w:t>Labour</w:t>
            </w:r>
            <w:proofErr w:type="spellEnd"/>
          </w:p>
        </w:tc>
        <w:tc>
          <w:tcPr>
            <w:tcW w:w="2566" w:type="dxa"/>
            <w:vAlign w:val="center"/>
          </w:tcPr>
          <w:p w14:paraId="2E9EA556"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90</w:t>
            </w:r>
          </w:p>
        </w:tc>
        <w:tc>
          <w:tcPr>
            <w:tcW w:w="2477" w:type="dxa"/>
            <w:vAlign w:val="center"/>
          </w:tcPr>
          <w:p w14:paraId="1739A970"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34.6</w:t>
            </w:r>
          </w:p>
        </w:tc>
      </w:tr>
      <w:tr w:rsidR="00777CA4" w:rsidRPr="00C9205C" w14:paraId="581B563F" w14:textId="77777777" w:rsidTr="00F02F8C">
        <w:tc>
          <w:tcPr>
            <w:tcW w:w="4199" w:type="dxa"/>
            <w:vAlign w:val="center"/>
          </w:tcPr>
          <w:p w14:paraId="3D411724"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Government Service</w:t>
            </w:r>
          </w:p>
        </w:tc>
        <w:tc>
          <w:tcPr>
            <w:tcW w:w="2566" w:type="dxa"/>
            <w:vAlign w:val="center"/>
          </w:tcPr>
          <w:p w14:paraId="05219D71"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28</w:t>
            </w:r>
          </w:p>
        </w:tc>
        <w:tc>
          <w:tcPr>
            <w:tcW w:w="2477" w:type="dxa"/>
            <w:vAlign w:val="center"/>
          </w:tcPr>
          <w:p w14:paraId="75A1B7F6"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10.8</w:t>
            </w:r>
          </w:p>
        </w:tc>
      </w:tr>
      <w:tr w:rsidR="00777CA4" w:rsidRPr="00C9205C" w14:paraId="4D104774" w14:textId="77777777" w:rsidTr="00F02F8C">
        <w:tc>
          <w:tcPr>
            <w:tcW w:w="4199" w:type="dxa"/>
            <w:vAlign w:val="center"/>
          </w:tcPr>
          <w:p w14:paraId="2BC88EB9"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Private Employment</w:t>
            </w:r>
          </w:p>
        </w:tc>
        <w:tc>
          <w:tcPr>
            <w:tcW w:w="2566" w:type="dxa"/>
            <w:vAlign w:val="center"/>
          </w:tcPr>
          <w:p w14:paraId="48180EE5"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w:t>
            </w:r>
          </w:p>
        </w:tc>
        <w:tc>
          <w:tcPr>
            <w:tcW w:w="2477" w:type="dxa"/>
            <w:vAlign w:val="center"/>
          </w:tcPr>
          <w:p w14:paraId="5E00502A"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r w:rsidR="00777CA4" w:rsidRPr="00C9205C" w14:paraId="6F7AD496" w14:textId="77777777" w:rsidTr="00F02F8C">
        <w:tc>
          <w:tcPr>
            <w:tcW w:w="4199" w:type="dxa"/>
            <w:vAlign w:val="center"/>
          </w:tcPr>
          <w:p w14:paraId="04921213"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Business</w:t>
            </w:r>
          </w:p>
        </w:tc>
        <w:tc>
          <w:tcPr>
            <w:tcW w:w="2566" w:type="dxa"/>
            <w:vAlign w:val="center"/>
          </w:tcPr>
          <w:p w14:paraId="72CC09B6"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16</w:t>
            </w:r>
          </w:p>
        </w:tc>
        <w:tc>
          <w:tcPr>
            <w:tcW w:w="2477" w:type="dxa"/>
            <w:vAlign w:val="center"/>
          </w:tcPr>
          <w:p w14:paraId="189D8EC5"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6.1</w:t>
            </w:r>
          </w:p>
        </w:tc>
      </w:tr>
      <w:tr w:rsidR="00777CA4" w:rsidRPr="00C9205C" w14:paraId="664304FB" w14:textId="77777777" w:rsidTr="00F02F8C">
        <w:tc>
          <w:tcPr>
            <w:tcW w:w="4199" w:type="dxa"/>
            <w:vAlign w:val="center"/>
          </w:tcPr>
          <w:p w14:paraId="563A6119" w14:textId="77777777" w:rsidR="00777CA4" w:rsidRPr="001F3946" w:rsidRDefault="00777CA4"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2566" w:type="dxa"/>
            <w:vAlign w:val="center"/>
          </w:tcPr>
          <w:p w14:paraId="18ABD76C"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260</w:t>
            </w:r>
          </w:p>
        </w:tc>
        <w:tc>
          <w:tcPr>
            <w:tcW w:w="2477" w:type="dxa"/>
            <w:vAlign w:val="center"/>
          </w:tcPr>
          <w:p w14:paraId="13740DD3"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bl>
    <w:p w14:paraId="34230D44" w14:textId="77777777" w:rsidR="004505F6" w:rsidRDefault="004505F6" w:rsidP="004505F6">
      <w:pPr>
        <w:spacing w:line="360" w:lineRule="auto"/>
        <w:jc w:val="both"/>
        <w:rPr>
          <w:rFonts w:ascii="Times New Roman" w:hAnsi="Times New Roman" w:cs="Times New Roman"/>
          <w:sz w:val="24"/>
          <w:szCs w:val="24"/>
        </w:rPr>
      </w:pPr>
    </w:p>
    <w:p w14:paraId="3FC0BBC0" w14:textId="77777777" w:rsidR="004505F6" w:rsidRPr="00364C93" w:rsidRDefault="004505F6" w:rsidP="004505F6">
      <w:pPr>
        <w:spacing w:line="360" w:lineRule="auto"/>
        <w:jc w:val="both"/>
        <w:rPr>
          <w:rFonts w:ascii="Times New Roman" w:hAnsi="Times New Roman" w:cs="Times New Roman"/>
          <w:sz w:val="24"/>
          <w:szCs w:val="24"/>
        </w:rPr>
      </w:pPr>
      <w:r w:rsidRPr="00364C93">
        <w:rPr>
          <w:rFonts w:ascii="Times New Roman" w:hAnsi="Times New Roman" w:cs="Times New Roman"/>
          <w:sz w:val="24"/>
          <w:szCs w:val="24"/>
        </w:rPr>
        <w:lastRenderedPageBreak/>
        <w:t>Agriculture is the primary occupation for 38.5% of respondents, while 34.6% depend on daily wage labour; together they account for 73.1% of the workforce. Government service (10.8%), private employment (10%), and business (6.1%) form comparatively smaller segments. This shows a heavy reliance on primary and informal employment sec</w:t>
      </w:r>
      <w:r>
        <w:rPr>
          <w:rFonts w:ascii="Times New Roman" w:hAnsi="Times New Roman" w:cs="Times New Roman"/>
          <w:sz w:val="24"/>
          <w:szCs w:val="24"/>
        </w:rPr>
        <w:t xml:space="preserve">tors. </w:t>
      </w:r>
      <w:r w:rsidRPr="00364C93">
        <w:rPr>
          <w:rFonts w:ascii="Times New Roman" w:hAnsi="Times New Roman" w:cs="Times New Roman"/>
          <w:sz w:val="24"/>
          <w:szCs w:val="24"/>
        </w:rPr>
        <w:t>Since nearly three-fourths of respondents rely on agriculture and wage labour, their livelihoods are likely to be seasonal and unstable, underscoring the need for diversification, skill development, and promotion of non-farm opportunities.</w:t>
      </w:r>
    </w:p>
    <w:p w14:paraId="5FEF8A9E" w14:textId="77777777" w:rsidR="004505F6" w:rsidRDefault="004505F6" w:rsidP="004505F6">
      <w:pPr>
        <w:spacing w:line="360" w:lineRule="auto"/>
        <w:jc w:val="both"/>
        <w:rPr>
          <w:rFonts w:ascii="Times New Roman" w:hAnsi="Times New Roman" w:cs="Times New Roman"/>
          <w:sz w:val="24"/>
          <w:szCs w:val="24"/>
        </w:rPr>
      </w:pPr>
      <w:r w:rsidRPr="00364C93">
        <w:rPr>
          <w:rFonts w:ascii="Times New Roman" w:hAnsi="Times New Roman" w:cs="Times New Roman"/>
          <w:sz w:val="24"/>
          <w:szCs w:val="24"/>
        </w:rPr>
        <w:t>Overall Interpretation:</w:t>
      </w:r>
    </w:p>
    <w:p w14:paraId="03A5AF63" w14:textId="77777777" w:rsidR="004505F6" w:rsidRPr="00BA3138" w:rsidRDefault="004505F6" w:rsidP="00BA3138">
      <w:pPr>
        <w:pStyle w:val="NoSpacing"/>
        <w:spacing w:line="360" w:lineRule="auto"/>
        <w:jc w:val="both"/>
        <w:rPr>
          <w:rFonts w:ascii="Times New Roman" w:hAnsi="Times New Roman" w:cs="Times New Roman"/>
          <w:sz w:val="24"/>
          <w:szCs w:val="24"/>
        </w:rPr>
      </w:pPr>
      <w:r w:rsidRPr="00364C93">
        <w:br/>
      </w:r>
      <w:r w:rsidRPr="00BA3138">
        <w:rPr>
          <w:rFonts w:ascii="Times New Roman" w:hAnsi="Times New Roman" w:cs="Times New Roman"/>
          <w:sz w:val="24"/>
          <w:szCs w:val="24"/>
        </w:rPr>
        <w:t>Overall, the socio-economic profile shows that a majority of respondents are male (58.5%), have low educational attainment (60% up to primary level), belong to marginalized social categories (84.6%), and fall within lower-income groups (70% below ₹2</w:t>
      </w:r>
      <w:proofErr w:type="gramStart"/>
      <w:r w:rsidRPr="00BA3138">
        <w:rPr>
          <w:rFonts w:ascii="Times New Roman" w:hAnsi="Times New Roman" w:cs="Times New Roman"/>
          <w:sz w:val="24"/>
          <w:szCs w:val="24"/>
        </w:rPr>
        <w:t>,00,000</w:t>
      </w:r>
      <w:proofErr w:type="gramEnd"/>
      <w:r w:rsidRPr="00BA3138">
        <w:rPr>
          <w:rFonts w:ascii="Times New Roman" w:hAnsi="Times New Roman" w:cs="Times New Roman"/>
          <w:sz w:val="24"/>
          <w:szCs w:val="24"/>
        </w:rPr>
        <w:t xml:space="preserve"> annually). Additionally, most depend on agriculture and wage </w:t>
      </w:r>
      <w:proofErr w:type="spellStart"/>
      <w:r w:rsidRPr="00BA3138">
        <w:rPr>
          <w:rFonts w:ascii="Times New Roman" w:hAnsi="Times New Roman" w:cs="Times New Roman"/>
          <w:sz w:val="24"/>
          <w:szCs w:val="24"/>
        </w:rPr>
        <w:t>labour</w:t>
      </w:r>
      <w:proofErr w:type="spellEnd"/>
      <w:r w:rsidRPr="00BA3138">
        <w:rPr>
          <w:rFonts w:ascii="Times New Roman" w:hAnsi="Times New Roman" w:cs="Times New Roman"/>
          <w:sz w:val="24"/>
          <w:szCs w:val="24"/>
        </w:rPr>
        <w:t xml:space="preserve"> (73.1%), indicating structural economic vulnerability. The percentage patterns clearly suggest that development interventions should prioritize education improvement, livelihood diversification, social inclusion, and income enhancement. Targeted policies addressing the needs of low-income and marginalized groups are likely to have the greatest impact on improving overall well-being and sustainable development outcomes.</w:t>
      </w:r>
    </w:p>
    <w:p w14:paraId="0646103B" w14:textId="77777777" w:rsidR="00777CA4" w:rsidRPr="001F3946" w:rsidRDefault="00777CA4" w:rsidP="00777CA4">
      <w:pPr>
        <w:spacing w:before="100" w:beforeAutospacing="1" w:after="100" w:afterAutospacing="1"/>
        <w:outlineLvl w:val="1"/>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Table 6: Primary Source of Drinking Water</w:t>
      </w:r>
    </w:p>
    <w:tbl>
      <w:tblPr>
        <w:tblStyle w:val="TableGrid"/>
        <w:tblW w:w="9681" w:type="dxa"/>
        <w:tblLook w:val="04A0" w:firstRow="1" w:lastRow="0" w:firstColumn="1" w:lastColumn="0" w:noHBand="0" w:noVBand="1"/>
      </w:tblPr>
      <w:tblGrid>
        <w:gridCol w:w="3227"/>
        <w:gridCol w:w="3227"/>
        <w:gridCol w:w="3227"/>
      </w:tblGrid>
      <w:tr w:rsidR="00777CA4" w:rsidRPr="00C9205C" w14:paraId="1B39DCCF" w14:textId="77777777" w:rsidTr="00777CA4">
        <w:tc>
          <w:tcPr>
            <w:tcW w:w="3227" w:type="dxa"/>
            <w:vAlign w:val="center"/>
          </w:tcPr>
          <w:p w14:paraId="48E961CD" w14:textId="77777777" w:rsidR="00777CA4" w:rsidRPr="001F3946" w:rsidRDefault="00237CA0" w:rsidP="00F02F8C">
            <w:pPr>
              <w:jc w:val="center"/>
              <w:rPr>
                <w:rFonts w:ascii="Times New Roman" w:eastAsia="Times New Roman" w:hAnsi="Times New Roman" w:cs="Times New Roman"/>
                <w:b/>
                <w:bCs/>
                <w:sz w:val="24"/>
                <w:szCs w:val="24"/>
              </w:rPr>
            </w:pPr>
            <w:r w:rsidRPr="00C9205C">
              <w:rPr>
                <w:rFonts w:ascii="Times New Roman" w:eastAsia="Times New Roman" w:hAnsi="Times New Roman" w:cs="Times New Roman"/>
                <w:b/>
                <w:bCs/>
                <w:color w:val="000000" w:themeColor="text1"/>
                <w:sz w:val="24"/>
                <w:szCs w:val="24"/>
              </w:rPr>
              <w:t xml:space="preserve"> </w:t>
            </w:r>
            <w:r w:rsidR="00777CA4" w:rsidRPr="001F3946">
              <w:rPr>
                <w:rFonts w:ascii="Times New Roman" w:eastAsia="Times New Roman" w:hAnsi="Times New Roman" w:cs="Times New Roman"/>
                <w:b/>
                <w:bCs/>
                <w:sz w:val="24"/>
                <w:szCs w:val="24"/>
              </w:rPr>
              <w:t>Source</w:t>
            </w:r>
          </w:p>
        </w:tc>
        <w:tc>
          <w:tcPr>
            <w:tcW w:w="3227" w:type="dxa"/>
            <w:vAlign w:val="center"/>
          </w:tcPr>
          <w:p w14:paraId="3C59E26B" w14:textId="77777777" w:rsidR="00777CA4" w:rsidRPr="001F3946" w:rsidRDefault="00777CA4"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Frequency</w:t>
            </w:r>
          </w:p>
        </w:tc>
        <w:tc>
          <w:tcPr>
            <w:tcW w:w="3227" w:type="dxa"/>
            <w:vAlign w:val="center"/>
          </w:tcPr>
          <w:p w14:paraId="5F5000C1" w14:textId="77777777" w:rsidR="00777CA4" w:rsidRPr="001F3946" w:rsidRDefault="00777CA4" w:rsidP="00F02F8C">
            <w:pPr>
              <w:jc w:val="center"/>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Percentage (%)</w:t>
            </w:r>
          </w:p>
        </w:tc>
      </w:tr>
      <w:tr w:rsidR="00777CA4" w:rsidRPr="00C9205C" w14:paraId="1744AE73" w14:textId="77777777" w:rsidTr="00777CA4">
        <w:tc>
          <w:tcPr>
            <w:tcW w:w="3227" w:type="dxa"/>
            <w:vAlign w:val="center"/>
          </w:tcPr>
          <w:p w14:paraId="15D8ABDF"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Household Tap (JJM)</w:t>
            </w:r>
          </w:p>
        </w:tc>
        <w:tc>
          <w:tcPr>
            <w:tcW w:w="3227" w:type="dxa"/>
            <w:vAlign w:val="center"/>
          </w:tcPr>
          <w:p w14:paraId="3446461B"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120</w:t>
            </w:r>
          </w:p>
        </w:tc>
        <w:tc>
          <w:tcPr>
            <w:tcW w:w="3227" w:type="dxa"/>
            <w:vAlign w:val="center"/>
          </w:tcPr>
          <w:p w14:paraId="06FC4737"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46.2</w:t>
            </w:r>
          </w:p>
        </w:tc>
      </w:tr>
      <w:tr w:rsidR="00777CA4" w:rsidRPr="00C9205C" w14:paraId="30E7EB37" w14:textId="77777777" w:rsidTr="00777CA4">
        <w:tc>
          <w:tcPr>
            <w:tcW w:w="3227" w:type="dxa"/>
            <w:vAlign w:val="center"/>
          </w:tcPr>
          <w:p w14:paraId="40E51E5C"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Public Standpost</w:t>
            </w:r>
          </w:p>
        </w:tc>
        <w:tc>
          <w:tcPr>
            <w:tcW w:w="3227" w:type="dxa"/>
            <w:vAlign w:val="center"/>
          </w:tcPr>
          <w:p w14:paraId="30CA8C2F"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42</w:t>
            </w:r>
          </w:p>
        </w:tc>
        <w:tc>
          <w:tcPr>
            <w:tcW w:w="3227" w:type="dxa"/>
            <w:vAlign w:val="center"/>
          </w:tcPr>
          <w:p w14:paraId="6570BBF7"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16.2</w:t>
            </w:r>
          </w:p>
        </w:tc>
      </w:tr>
      <w:tr w:rsidR="00777CA4" w:rsidRPr="00C9205C" w14:paraId="731925CF" w14:textId="77777777" w:rsidTr="00777CA4">
        <w:tc>
          <w:tcPr>
            <w:tcW w:w="3227" w:type="dxa"/>
            <w:vAlign w:val="center"/>
          </w:tcPr>
          <w:p w14:paraId="4C3779D1"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Borewell</w:t>
            </w:r>
          </w:p>
        </w:tc>
        <w:tc>
          <w:tcPr>
            <w:tcW w:w="3227" w:type="dxa"/>
            <w:vAlign w:val="center"/>
          </w:tcPr>
          <w:p w14:paraId="074922CB"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50</w:t>
            </w:r>
          </w:p>
        </w:tc>
        <w:tc>
          <w:tcPr>
            <w:tcW w:w="3227" w:type="dxa"/>
            <w:vAlign w:val="center"/>
          </w:tcPr>
          <w:p w14:paraId="1BC86D63"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19.2</w:t>
            </w:r>
          </w:p>
        </w:tc>
      </w:tr>
      <w:tr w:rsidR="00777CA4" w:rsidRPr="00C9205C" w14:paraId="6BE12972" w14:textId="77777777" w:rsidTr="00777CA4">
        <w:tc>
          <w:tcPr>
            <w:tcW w:w="3227" w:type="dxa"/>
            <w:vAlign w:val="center"/>
          </w:tcPr>
          <w:p w14:paraId="26CC74E8"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Open Well</w:t>
            </w:r>
          </w:p>
        </w:tc>
        <w:tc>
          <w:tcPr>
            <w:tcW w:w="3227" w:type="dxa"/>
            <w:vAlign w:val="center"/>
          </w:tcPr>
          <w:p w14:paraId="0CADA1C1"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18</w:t>
            </w:r>
          </w:p>
        </w:tc>
        <w:tc>
          <w:tcPr>
            <w:tcW w:w="3227" w:type="dxa"/>
            <w:vAlign w:val="center"/>
          </w:tcPr>
          <w:p w14:paraId="7C2328CD"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6.9</w:t>
            </w:r>
          </w:p>
        </w:tc>
      </w:tr>
      <w:tr w:rsidR="00777CA4" w:rsidRPr="00C9205C" w14:paraId="632DA4A4" w14:textId="77777777" w:rsidTr="00777CA4">
        <w:tc>
          <w:tcPr>
            <w:tcW w:w="3227" w:type="dxa"/>
            <w:vAlign w:val="center"/>
          </w:tcPr>
          <w:p w14:paraId="37FFE6B0"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Tanker Supply</w:t>
            </w:r>
          </w:p>
        </w:tc>
        <w:tc>
          <w:tcPr>
            <w:tcW w:w="3227" w:type="dxa"/>
            <w:vAlign w:val="center"/>
          </w:tcPr>
          <w:p w14:paraId="6F41B38B"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20</w:t>
            </w:r>
          </w:p>
        </w:tc>
        <w:tc>
          <w:tcPr>
            <w:tcW w:w="3227" w:type="dxa"/>
            <w:vAlign w:val="center"/>
          </w:tcPr>
          <w:p w14:paraId="4691D1E2"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7.7</w:t>
            </w:r>
          </w:p>
        </w:tc>
      </w:tr>
      <w:tr w:rsidR="00777CA4" w:rsidRPr="00C9205C" w14:paraId="0A1190FB" w14:textId="77777777" w:rsidTr="00777CA4">
        <w:tc>
          <w:tcPr>
            <w:tcW w:w="3227" w:type="dxa"/>
            <w:vAlign w:val="center"/>
          </w:tcPr>
          <w:p w14:paraId="691203BD"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Surface Water</w:t>
            </w:r>
          </w:p>
        </w:tc>
        <w:tc>
          <w:tcPr>
            <w:tcW w:w="3227" w:type="dxa"/>
            <w:vAlign w:val="center"/>
          </w:tcPr>
          <w:p w14:paraId="73265388"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w:t>
            </w:r>
          </w:p>
        </w:tc>
        <w:tc>
          <w:tcPr>
            <w:tcW w:w="3227" w:type="dxa"/>
            <w:vAlign w:val="center"/>
          </w:tcPr>
          <w:p w14:paraId="205F7B80"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3.8</w:t>
            </w:r>
          </w:p>
        </w:tc>
      </w:tr>
      <w:tr w:rsidR="00777CA4" w:rsidRPr="00C9205C" w14:paraId="764040CC" w14:textId="77777777" w:rsidTr="00777CA4">
        <w:tc>
          <w:tcPr>
            <w:tcW w:w="3227" w:type="dxa"/>
            <w:vAlign w:val="center"/>
          </w:tcPr>
          <w:p w14:paraId="5EF3987E" w14:textId="77777777" w:rsidR="00777CA4" w:rsidRPr="001F3946" w:rsidRDefault="00777CA4"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422DF32A"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260</w:t>
            </w:r>
          </w:p>
        </w:tc>
        <w:tc>
          <w:tcPr>
            <w:tcW w:w="3227" w:type="dxa"/>
            <w:vAlign w:val="center"/>
          </w:tcPr>
          <w:p w14:paraId="77D6607B" w14:textId="77777777" w:rsidR="00777CA4" w:rsidRPr="001F3946" w:rsidRDefault="00777CA4" w:rsidP="00F02F8C">
            <w:pPr>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100</w:t>
            </w:r>
          </w:p>
        </w:tc>
      </w:tr>
    </w:tbl>
    <w:p w14:paraId="1A02C487" w14:textId="77777777" w:rsidR="00EE57C1" w:rsidRDefault="00EE57C1" w:rsidP="00EE57C1">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Nearly half of the respondents (46.2%) depend on household tap connections, indicating substantial coverage of piped water supply. However, a significant proportion still relies on alternative sources such as borewells (19.2%) and public standposts (16.2%). Smaller shares depend on tanker supply (7.7%), open wells (6.9%), and surface water (3.8%), which are generally less reliable and potentially less safe.</w:t>
      </w:r>
      <w:r>
        <w:rPr>
          <w:rFonts w:ascii="Times New Roman" w:hAnsi="Times New Roman" w:cs="Times New Roman"/>
          <w:sz w:val="24"/>
          <w:szCs w:val="24"/>
        </w:rPr>
        <w:t xml:space="preserve"> </w:t>
      </w:r>
      <w:r w:rsidRPr="000C10EF">
        <w:rPr>
          <w:rFonts w:ascii="Times New Roman" w:hAnsi="Times New Roman" w:cs="Times New Roman"/>
          <w:sz w:val="24"/>
          <w:szCs w:val="24"/>
        </w:rPr>
        <w:t>Although household tap connections are the dominant source, more than half (53.8%) still rely on non-tap sources, highlighting the need to expand reliable piped water coverage and improve source sustainability.</w:t>
      </w:r>
    </w:p>
    <w:p w14:paraId="773A309A" w14:textId="77777777" w:rsidR="00853CD1" w:rsidRPr="001F3946" w:rsidRDefault="00853CD1" w:rsidP="00853CD1">
      <w:pPr>
        <w:spacing w:before="100" w:beforeAutospacing="1" w:after="100" w:afterAutospacing="1"/>
        <w:outlineLvl w:val="1"/>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lastRenderedPageBreak/>
        <w:t>Table 7: Reliability of Supply</w:t>
      </w:r>
    </w:p>
    <w:tbl>
      <w:tblPr>
        <w:tblStyle w:val="TableGrid"/>
        <w:tblW w:w="9681" w:type="dxa"/>
        <w:tblLook w:val="04A0" w:firstRow="1" w:lastRow="0" w:firstColumn="1" w:lastColumn="0" w:noHBand="0" w:noVBand="1"/>
      </w:tblPr>
      <w:tblGrid>
        <w:gridCol w:w="3227"/>
        <w:gridCol w:w="3227"/>
        <w:gridCol w:w="3227"/>
      </w:tblGrid>
      <w:tr w:rsidR="00B349CA" w:rsidRPr="00C9205C" w14:paraId="43EC29A7" w14:textId="77777777" w:rsidTr="00F02F8C">
        <w:tc>
          <w:tcPr>
            <w:tcW w:w="3227" w:type="dxa"/>
            <w:vAlign w:val="center"/>
          </w:tcPr>
          <w:p w14:paraId="0E6781AE" w14:textId="77777777" w:rsidR="00B349CA" w:rsidRPr="00045D0F" w:rsidRDefault="00B349CA"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Reliability</w:t>
            </w:r>
          </w:p>
        </w:tc>
        <w:tc>
          <w:tcPr>
            <w:tcW w:w="3227" w:type="dxa"/>
            <w:vAlign w:val="center"/>
          </w:tcPr>
          <w:p w14:paraId="33E69BBF" w14:textId="77777777" w:rsidR="00B349CA" w:rsidRPr="00045D0F" w:rsidRDefault="00B349CA"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30F1B652" w14:textId="77777777" w:rsidR="00B349CA" w:rsidRPr="00045D0F" w:rsidRDefault="00B349CA"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B349CA" w:rsidRPr="00C9205C" w14:paraId="7630740F" w14:textId="77777777" w:rsidTr="00F02F8C">
        <w:tc>
          <w:tcPr>
            <w:tcW w:w="3227" w:type="dxa"/>
            <w:vAlign w:val="center"/>
          </w:tcPr>
          <w:p w14:paraId="5606B88B"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Daily</w:t>
            </w:r>
          </w:p>
        </w:tc>
        <w:tc>
          <w:tcPr>
            <w:tcW w:w="3227" w:type="dxa"/>
            <w:vAlign w:val="center"/>
          </w:tcPr>
          <w:p w14:paraId="5AE29445"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104</w:t>
            </w:r>
          </w:p>
        </w:tc>
        <w:tc>
          <w:tcPr>
            <w:tcW w:w="3227" w:type="dxa"/>
            <w:vAlign w:val="center"/>
          </w:tcPr>
          <w:p w14:paraId="415F0ADC"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40.0</w:t>
            </w:r>
          </w:p>
        </w:tc>
      </w:tr>
      <w:tr w:rsidR="00B349CA" w:rsidRPr="00C9205C" w14:paraId="58D9A35F" w14:textId="77777777" w:rsidTr="00F02F8C">
        <w:tc>
          <w:tcPr>
            <w:tcW w:w="3227" w:type="dxa"/>
            <w:vAlign w:val="center"/>
          </w:tcPr>
          <w:p w14:paraId="3BE150FF"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Alternate Days</w:t>
            </w:r>
          </w:p>
        </w:tc>
        <w:tc>
          <w:tcPr>
            <w:tcW w:w="3227" w:type="dxa"/>
            <w:vAlign w:val="center"/>
          </w:tcPr>
          <w:p w14:paraId="4DED0F8B"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77</w:t>
            </w:r>
          </w:p>
        </w:tc>
        <w:tc>
          <w:tcPr>
            <w:tcW w:w="3227" w:type="dxa"/>
            <w:vAlign w:val="center"/>
          </w:tcPr>
          <w:p w14:paraId="1A7A1739"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29.6</w:t>
            </w:r>
          </w:p>
        </w:tc>
      </w:tr>
      <w:tr w:rsidR="00B349CA" w:rsidRPr="00C9205C" w14:paraId="616EB140" w14:textId="77777777" w:rsidTr="00F02F8C">
        <w:tc>
          <w:tcPr>
            <w:tcW w:w="3227" w:type="dxa"/>
            <w:vAlign w:val="center"/>
          </w:tcPr>
          <w:p w14:paraId="305D6029"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2–3 Days/Week</w:t>
            </w:r>
          </w:p>
        </w:tc>
        <w:tc>
          <w:tcPr>
            <w:tcW w:w="3227" w:type="dxa"/>
            <w:vAlign w:val="center"/>
          </w:tcPr>
          <w:p w14:paraId="093EC6E9"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50</w:t>
            </w:r>
          </w:p>
        </w:tc>
        <w:tc>
          <w:tcPr>
            <w:tcW w:w="3227" w:type="dxa"/>
            <w:vAlign w:val="center"/>
          </w:tcPr>
          <w:p w14:paraId="48618D18"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19.2</w:t>
            </w:r>
          </w:p>
        </w:tc>
      </w:tr>
      <w:tr w:rsidR="00B349CA" w:rsidRPr="00C9205C" w14:paraId="4BD7B75C" w14:textId="77777777" w:rsidTr="00F02F8C">
        <w:tc>
          <w:tcPr>
            <w:tcW w:w="3227" w:type="dxa"/>
            <w:vAlign w:val="center"/>
          </w:tcPr>
          <w:p w14:paraId="6E92D4CA"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Irregular</w:t>
            </w:r>
          </w:p>
        </w:tc>
        <w:tc>
          <w:tcPr>
            <w:tcW w:w="3227" w:type="dxa"/>
            <w:vAlign w:val="center"/>
          </w:tcPr>
          <w:p w14:paraId="11FA42D8"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29</w:t>
            </w:r>
          </w:p>
        </w:tc>
        <w:tc>
          <w:tcPr>
            <w:tcW w:w="3227" w:type="dxa"/>
            <w:vAlign w:val="center"/>
          </w:tcPr>
          <w:p w14:paraId="48E31CE1"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11.2</w:t>
            </w:r>
          </w:p>
        </w:tc>
      </w:tr>
      <w:tr w:rsidR="00B349CA" w:rsidRPr="00C9205C" w14:paraId="0F16CCE7" w14:textId="77777777" w:rsidTr="00F02F8C">
        <w:tc>
          <w:tcPr>
            <w:tcW w:w="3227" w:type="dxa"/>
            <w:vAlign w:val="center"/>
          </w:tcPr>
          <w:p w14:paraId="2DA2132C" w14:textId="77777777" w:rsidR="00B349CA" w:rsidRPr="00045D0F" w:rsidRDefault="00B349CA"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3DC65527"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7CBD8EA8"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78BF75C8" w14:textId="77777777" w:rsidR="00853CD1" w:rsidRPr="00C9205C" w:rsidRDefault="00853CD1" w:rsidP="00777CA4">
      <w:pPr>
        <w:rPr>
          <w:rFonts w:ascii="Times New Roman" w:hAnsi="Times New Roman" w:cs="Times New Roman"/>
          <w:sz w:val="24"/>
          <w:szCs w:val="24"/>
          <w:lang w:val="en-US" w:bidi="ar-SA"/>
        </w:rPr>
      </w:pPr>
    </w:p>
    <w:p w14:paraId="64167EE0"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Only 40% of respondents receive water daily, while 29.6% get it on alternate days and 19.2% receive water only two to three days a week. About 11.2%</w:t>
      </w:r>
      <w:r>
        <w:rPr>
          <w:rFonts w:ascii="Times New Roman" w:hAnsi="Times New Roman" w:cs="Times New Roman"/>
          <w:sz w:val="24"/>
          <w:szCs w:val="24"/>
        </w:rPr>
        <w:t xml:space="preserve"> report irregular supply. </w:t>
      </w:r>
      <w:r w:rsidRPr="000C10EF">
        <w:rPr>
          <w:rFonts w:ascii="Times New Roman" w:hAnsi="Times New Roman" w:cs="Times New Roman"/>
          <w:sz w:val="24"/>
          <w:szCs w:val="24"/>
        </w:rPr>
        <w:t>Since 60% of households do not receive daily supply, reliability remains a key concern, potentially affecting water security and increasing dependence on storage.</w:t>
      </w:r>
    </w:p>
    <w:p w14:paraId="4E0E55EE" w14:textId="77777777" w:rsidR="00B349CA" w:rsidRPr="00C9205C" w:rsidRDefault="00B349CA" w:rsidP="00B349CA">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Table 8: Adequacy of Water Supply (N = 260)</w:t>
      </w:r>
    </w:p>
    <w:tbl>
      <w:tblPr>
        <w:tblStyle w:val="TableGrid"/>
        <w:tblW w:w="9681" w:type="dxa"/>
        <w:tblLook w:val="04A0" w:firstRow="1" w:lastRow="0" w:firstColumn="1" w:lastColumn="0" w:noHBand="0" w:noVBand="1"/>
      </w:tblPr>
      <w:tblGrid>
        <w:gridCol w:w="3227"/>
        <w:gridCol w:w="3227"/>
        <w:gridCol w:w="3227"/>
      </w:tblGrid>
      <w:tr w:rsidR="00B349CA" w:rsidRPr="00C9205C" w14:paraId="29F3D869" w14:textId="77777777" w:rsidTr="00F02F8C">
        <w:tc>
          <w:tcPr>
            <w:tcW w:w="3227" w:type="dxa"/>
            <w:vAlign w:val="center"/>
          </w:tcPr>
          <w:p w14:paraId="17035D49" w14:textId="77777777" w:rsidR="00B349CA" w:rsidRPr="00045D0F" w:rsidRDefault="00B349CA"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Adequacy Level</w:t>
            </w:r>
          </w:p>
        </w:tc>
        <w:tc>
          <w:tcPr>
            <w:tcW w:w="3227" w:type="dxa"/>
            <w:vAlign w:val="center"/>
          </w:tcPr>
          <w:p w14:paraId="771E7A7B" w14:textId="77777777" w:rsidR="00B349CA" w:rsidRPr="00045D0F" w:rsidRDefault="00B349CA"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674DAD07" w14:textId="77777777" w:rsidR="00B349CA" w:rsidRPr="00045D0F" w:rsidRDefault="00B349CA"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B349CA" w:rsidRPr="00C9205C" w14:paraId="656CF8F3" w14:textId="77777777" w:rsidTr="00F02F8C">
        <w:tc>
          <w:tcPr>
            <w:tcW w:w="3227" w:type="dxa"/>
            <w:vAlign w:val="center"/>
          </w:tcPr>
          <w:p w14:paraId="0AC1F915"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Fully Adequate</w:t>
            </w:r>
          </w:p>
        </w:tc>
        <w:tc>
          <w:tcPr>
            <w:tcW w:w="3227" w:type="dxa"/>
            <w:vAlign w:val="center"/>
          </w:tcPr>
          <w:p w14:paraId="4E7D524D"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93</w:t>
            </w:r>
          </w:p>
        </w:tc>
        <w:tc>
          <w:tcPr>
            <w:tcW w:w="3227" w:type="dxa"/>
            <w:vAlign w:val="center"/>
          </w:tcPr>
          <w:p w14:paraId="38CB2C3D"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35.8</w:t>
            </w:r>
          </w:p>
        </w:tc>
      </w:tr>
      <w:tr w:rsidR="00B349CA" w:rsidRPr="00C9205C" w14:paraId="2A16A189" w14:textId="77777777" w:rsidTr="00F02F8C">
        <w:tc>
          <w:tcPr>
            <w:tcW w:w="3227" w:type="dxa"/>
            <w:vAlign w:val="center"/>
          </w:tcPr>
          <w:p w14:paraId="2097657C"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Moderately Adequate</w:t>
            </w:r>
          </w:p>
        </w:tc>
        <w:tc>
          <w:tcPr>
            <w:tcW w:w="3227" w:type="dxa"/>
            <w:vAlign w:val="center"/>
          </w:tcPr>
          <w:p w14:paraId="6B1D0C67"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113</w:t>
            </w:r>
          </w:p>
        </w:tc>
        <w:tc>
          <w:tcPr>
            <w:tcW w:w="3227" w:type="dxa"/>
            <w:vAlign w:val="center"/>
          </w:tcPr>
          <w:p w14:paraId="5471BAC3"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43.5</w:t>
            </w:r>
          </w:p>
        </w:tc>
      </w:tr>
      <w:tr w:rsidR="00B349CA" w:rsidRPr="00C9205C" w14:paraId="3F6F6D41" w14:textId="77777777" w:rsidTr="00F02F8C">
        <w:tc>
          <w:tcPr>
            <w:tcW w:w="3227" w:type="dxa"/>
            <w:vAlign w:val="center"/>
          </w:tcPr>
          <w:p w14:paraId="413FBE51"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Inadequate</w:t>
            </w:r>
          </w:p>
        </w:tc>
        <w:tc>
          <w:tcPr>
            <w:tcW w:w="3227" w:type="dxa"/>
            <w:vAlign w:val="center"/>
          </w:tcPr>
          <w:p w14:paraId="4574F015"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54</w:t>
            </w:r>
          </w:p>
        </w:tc>
        <w:tc>
          <w:tcPr>
            <w:tcW w:w="3227" w:type="dxa"/>
            <w:vAlign w:val="center"/>
          </w:tcPr>
          <w:p w14:paraId="322B3A7C"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20.7</w:t>
            </w:r>
          </w:p>
        </w:tc>
      </w:tr>
      <w:tr w:rsidR="00B349CA" w:rsidRPr="00C9205C" w14:paraId="547B7258" w14:textId="77777777" w:rsidTr="00F02F8C">
        <w:tc>
          <w:tcPr>
            <w:tcW w:w="3227" w:type="dxa"/>
            <w:vAlign w:val="center"/>
          </w:tcPr>
          <w:p w14:paraId="30BF3805" w14:textId="77777777" w:rsidR="00B349CA" w:rsidRPr="00045D0F" w:rsidRDefault="00B349CA"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32D4F6C0"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2F0B02E9" w14:textId="77777777" w:rsidR="00B349CA" w:rsidRPr="00045D0F" w:rsidRDefault="00B349CA"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1EDE81AC" w14:textId="77777777" w:rsidR="00853CD1" w:rsidRPr="00C9205C" w:rsidRDefault="00853CD1" w:rsidP="00777CA4">
      <w:pPr>
        <w:rPr>
          <w:rFonts w:ascii="Times New Roman" w:hAnsi="Times New Roman" w:cs="Times New Roman"/>
          <w:sz w:val="24"/>
          <w:szCs w:val="24"/>
          <w:lang w:val="en-US" w:bidi="ar-SA"/>
        </w:rPr>
      </w:pPr>
    </w:p>
    <w:p w14:paraId="592165F2"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About 35.8% of respondents consider the supply fully adequate, while the largest share (43.5%) finds it moderately adequate. However, 20.7%</w:t>
      </w:r>
      <w:r>
        <w:rPr>
          <w:rFonts w:ascii="Times New Roman" w:hAnsi="Times New Roman" w:cs="Times New Roman"/>
          <w:sz w:val="24"/>
          <w:szCs w:val="24"/>
        </w:rPr>
        <w:t xml:space="preserve"> report inadequate supply. </w:t>
      </w:r>
      <w:r w:rsidRPr="000C10EF">
        <w:rPr>
          <w:rFonts w:ascii="Times New Roman" w:hAnsi="Times New Roman" w:cs="Times New Roman"/>
          <w:sz w:val="24"/>
          <w:szCs w:val="24"/>
        </w:rPr>
        <w:t>With nearly two-thirds (64.2%) perceiving only moderate or inadequate supply, quantity issues persist despite improvements in access.</w:t>
      </w:r>
    </w:p>
    <w:p w14:paraId="7150D32C" w14:textId="77777777" w:rsidR="00655341" w:rsidRPr="00C9205C" w:rsidRDefault="00655341" w:rsidP="00655341">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Table 9: Average H</w:t>
      </w:r>
      <w:r w:rsidRPr="00C9205C">
        <w:rPr>
          <w:rFonts w:ascii="Times New Roman" w:eastAsia="Times New Roman" w:hAnsi="Times New Roman" w:cs="Times New Roman"/>
          <w:b/>
          <w:bCs/>
          <w:sz w:val="24"/>
          <w:szCs w:val="24"/>
        </w:rPr>
        <w:t xml:space="preserve">ours of Supply (Tap Users Only) </w:t>
      </w:r>
    </w:p>
    <w:tbl>
      <w:tblPr>
        <w:tblStyle w:val="TableGrid"/>
        <w:tblW w:w="9681" w:type="dxa"/>
        <w:tblLook w:val="04A0" w:firstRow="1" w:lastRow="0" w:firstColumn="1" w:lastColumn="0" w:noHBand="0" w:noVBand="1"/>
      </w:tblPr>
      <w:tblGrid>
        <w:gridCol w:w="3227"/>
        <w:gridCol w:w="3227"/>
        <w:gridCol w:w="3227"/>
      </w:tblGrid>
      <w:tr w:rsidR="00655341" w:rsidRPr="00C9205C" w14:paraId="6C74CDEC" w14:textId="77777777" w:rsidTr="00F02F8C">
        <w:tc>
          <w:tcPr>
            <w:tcW w:w="3227" w:type="dxa"/>
            <w:vAlign w:val="center"/>
          </w:tcPr>
          <w:p w14:paraId="44C22C28" w14:textId="77777777" w:rsidR="00655341" w:rsidRPr="00045D0F" w:rsidRDefault="00655341"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Hours per Day</w:t>
            </w:r>
          </w:p>
        </w:tc>
        <w:tc>
          <w:tcPr>
            <w:tcW w:w="3227" w:type="dxa"/>
            <w:vAlign w:val="center"/>
          </w:tcPr>
          <w:p w14:paraId="6824C708" w14:textId="77777777" w:rsidR="00655341" w:rsidRPr="00045D0F" w:rsidRDefault="00655341"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65F46934" w14:textId="77777777" w:rsidR="00655341" w:rsidRPr="00045D0F" w:rsidRDefault="00655341"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655341" w:rsidRPr="00C9205C" w14:paraId="38E65A08" w14:textId="77777777" w:rsidTr="00F02F8C">
        <w:tc>
          <w:tcPr>
            <w:tcW w:w="3227" w:type="dxa"/>
            <w:vAlign w:val="center"/>
          </w:tcPr>
          <w:p w14:paraId="580CD55D"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&lt;1 Hour</w:t>
            </w:r>
          </w:p>
        </w:tc>
        <w:tc>
          <w:tcPr>
            <w:tcW w:w="3227" w:type="dxa"/>
            <w:vAlign w:val="center"/>
          </w:tcPr>
          <w:p w14:paraId="7F622992"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27</w:t>
            </w:r>
          </w:p>
        </w:tc>
        <w:tc>
          <w:tcPr>
            <w:tcW w:w="3227" w:type="dxa"/>
            <w:vAlign w:val="center"/>
          </w:tcPr>
          <w:p w14:paraId="73E1CF9B"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22.5</w:t>
            </w:r>
          </w:p>
        </w:tc>
      </w:tr>
      <w:tr w:rsidR="00655341" w:rsidRPr="00C9205C" w14:paraId="4C54FFE9" w14:textId="77777777" w:rsidTr="00F02F8C">
        <w:tc>
          <w:tcPr>
            <w:tcW w:w="3227" w:type="dxa"/>
            <w:vAlign w:val="center"/>
          </w:tcPr>
          <w:p w14:paraId="7818ADF5"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1–2 Hours</w:t>
            </w:r>
          </w:p>
        </w:tc>
        <w:tc>
          <w:tcPr>
            <w:tcW w:w="3227" w:type="dxa"/>
            <w:vAlign w:val="center"/>
          </w:tcPr>
          <w:p w14:paraId="65D69407"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60</w:t>
            </w:r>
          </w:p>
        </w:tc>
        <w:tc>
          <w:tcPr>
            <w:tcW w:w="3227" w:type="dxa"/>
            <w:vAlign w:val="center"/>
          </w:tcPr>
          <w:p w14:paraId="73F9AC54"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50.0</w:t>
            </w:r>
          </w:p>
        </w:tc>
      </w:tr>
      <w:tr w:rsidR="00655341" w:rsidRPr="00C9205C" w14:paraId="1F9D754D" w14:textId="77777777" w:rsidTr="00F02F8C">
        <w:tc>
          <w:tcPr>
            <w:tcW w:w="3227" w:type="dxa"/>
            <w:vAlign w:val="center"/>
          </w:tcPr>
          <w:p w14:paraId="73EA6EF9"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&gt;2 Hours</w:t>
            </w:r>
          </w:p>
        </w:tc>
        <w:tc>
          <w:tcPr>
            <w:tcW w:w="3227" w:type="dxa"/>
            <w:vAlign w:val="center"/>
          </w:tcPr>
          <w:p w14:paraId="03B044CA"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33</w:t>
            </w:r>
          </w:p>
        </w:tc>
        <w:tc>
          <w:tcPr>
            <w:tcW w:w="3227" w:type="dxa"/>
            <w:vAlign w:val="center"/>
          </w:tcPr>
          <w:p w14:paraId="1C4BB64D"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27.5</w:t>
            </w:r>
          </w:p>
        </w:tc>
      </w:tr>
      <w:tr w:rsidR="00655341" w:rsidRPr="00C9205C" w14:paraId="1E397AF7" w14:textId="77777777" w:rsidTr="00F02F8C">
        <w:tc>
          <w:tcPr>
            <w:tcW w:w="3227" w:type="dxa"/>
            <w:vAlign w:val="center"/>
          </w:tcPr>
          <w:p w14:paraId="76A9CFD4" w14:textId="77777777" w:rsidR="00655341" w:rsidRPr="00045D0F" w:rsidRDefault="00655341"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6B96F571"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120</w:t>
            </w:r>
          </w:p>
        </w:tc>
        <w:tc>
          <w:tcPr>
            <w:tcW w:w="3227" w:type="dxa"/>
            <w:vAlign w:val="center"/>
          </w:tcPr>
          <w:p w14:paraId="1952F2CE" w14:textId="77777777" w:rsidR="00655341" w:rsidRPr="00045D0F" w:rsidRDefault="00655341"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1E2F1D11" w14:textId="77777777" w:rsidR="00EE57C1" w:rsidRDefault="00EE57C1" w:rsidP="00EE57C1">
      <w:pPr>
        <w:jc w:val="both"/>
        <w:rPr>
          <w:rFonts w:ascii="Times New Roman" w:hAnsi="Times New Roman" w:cs="Times New Roman"/>
          <w:sz w:val="24"/>
          <w:szCs w:val="24"/>
        </w:rPr>
      </w:pPr>
    </w:p>
    <w:p w14:paraId="107AC5A8"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Among tap users, half (50%) receive water for one to two hours daily. About 27.5% get more than two hours, while 22.5% receive less than one hour.</w:t>
      </w:r>
      <w:r>
        <w:rPr>
          <w:rFonts w:ascii="Times New Roman" w:hAnsi="Times New Roman" w:cs="Times New Roman"/>
          <w:sz w:val="24"/>
          <w:szCs w:val="24"/>
        </w:rPr>
        <w:t xml:space="preserve"> </w:t>
      </w:r>
      <w:r w:rsidRPr="000C10EF">
        <w:rPr>
          <w:rFonts w:ascii="Times New Roman" w:hAnsi="Times New Roman" w:cs="Times New Roman"/>
          <w:sz w:val="24"/>
          <w:szCs w:val="24"/>
        </w:rPr>
        <w:t>Since nearly three-fourths (72.5%) receive water for two hours or less, limited supply duration may affect household water management and hygiene practices.</w:t>
      </w:r>
    </w:p>
    <w:p w14:paraId="50FD8583" w14:textId="77777777" w:rsidR="003174A3" w:rsidRPr="00C9205C" w:rsidRDefault="003174A3" w:rsidP="003174A3">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Table 10: Water Treatment Methods</w:t>
      </w:r>
      <w:r w:rsidRPr="00C9205C">
        <w:rPr>
          <w:rFonts w:ascii="Times New Roman" w:eastAsia="Times New Roman" w:hAnsi="Times New Roman" w:cs="Times New Roman"/>
          <w:b/>
          <w:bCs/>
          <w:sz w:val="24"/>
          <w:szCs w:val="24"/>
        </w:rPr>
        <w:t xml:space="preserve"> </w:t>
      </w:r>
    </w:p>
    <w:tbl>
      <w:tblPr>
        <w:tblStyle w:val="TableGrid"/>
        <w:tblW w:w="9681" w:type="dxa"/>
        <w:tblLook w:val="04A0" w:firstRow="1" w:lastRow="0" w:firstColumn="1" w:lastColumn="0" w:noHBand="0" w:noVBand="1"/>
      </w:tblPr>
      <w:tblGrid>
        <w:gridCol w:w="3227"/>
        <w:gridCol w:w="3227"/>
        <w:gridCol w:w="3227"/>
      </w:tblGrid>
      <w:tr w:rsidR="003174A3" w:rsidRPr="00C9205C" w14:paraId="42E9E75A" w14:textId="77777777" w:rsidTr="00F02F8C">
        <w:tc>
          <w:tcPr>
            <w:tcW w:w="3227" w:type="dxa"/>
            <w:vAlign w:val="center"/>
          </w:tcPr>
          <w:p w14:paraId="28F7D75F" w14:textId="77777777" w:rsidR="003174A3" w:rsidRPr="00045D0F" w:rsidRDefault="003174A3"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Method</w:t>
            </w:r>
          </w:p>
        </w:tc>
        <w:tc>
          <w:tcPr>
            <w:tcW w:w="3227" w:type="dxa"/>
            <w:vAlign w:val="center"/>
          </w:tcPr>
          <w:p w14:paraId="470E16C0" w14:textId="77777777" w:rsidR="003174A3" w:rsidRPr="00045D0F" w:rsidRDefault="003174A3"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028BA948" w14:textId="77777777" w:rsidR="003174A3" w:rsidRPr="00045D0F" w:rsidRDefault="003174A3"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3174A3" w:rsidRPr="00C9205C" w14:paraId="10BB7FA4" w14:textId="77777777" w:rsidTr="00F02F8C">
        <w:tc>
          <w:tcPr>
            <w:tcW w:w="3227" w:type="dxa"/>
            <w:vAlign w:val="center"/>
          </w:tcPr>
          <w:p w14:paraId="225D4A61"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lastRenderedPageBreak/>
              <w:t>Boiling</w:t>
            </w:r>
          </w:p>
        </w:tc>
        <w:tc>
          <w:tcPr>
            <w:tcW w:w="3227" w:type="dxa"/>
            <w:vAlign w:val="center"/>
          </w:tcPr>
          <w:p w14:paraId="6FFB3E2E"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73</w:t>
            </w:r>
          </w:p>
        </w:tc>
        <w:tc>
          <w:tcPr>
            <w:tcW w:w="3227" w:type="dxa"/>
            <w:vAlign w:val="center"/>
          </w:tcPr>
          <w:p w14:paraId="148D6DD7"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28.1</w:t>
            </w:r>
          </w:p>
        </w:tc>
      </w:tr>
      <w:tr w:rsidR="003174A3" w:rsidRPr="00C9205C" w14:paraId="5B6BF8FD" w14:textId="77777777" w:rsidTr="00F02F8C">
        <w:tc>
          <w:tcPr>
            <w:tcW w:w="3227" w:type="dxa"/>
            <w:vAlign w:val="center"/>
          </w:tcPr>
          <w:p w14:paraId="041C6257"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RO/Filter</w:t>
            </w:r>
          </w:p>
        </w:tc>
        <w:tc>
          <w:tcPr>
            <w:tcW w:w="3227" w:type="dxa"/>
            <w:vAlign w:val="center"/>
          </w:tcPr>
          <w:p w14:paraId="4FF55A14"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58</w:t>
            </w:r>
          </w:p>
        </w:tc>
        <w:tc>
          <w:tcPr>
            <w:tcW w:w="3227" w:type="dxa"/>
            <w:vAlign w:val="center"/>
          </w:tcPr>
          <w:p w14:paraId="128D8D21"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22.3</w:t>
            </w:r>
          </w:p>
        </w:tc>
      </w:tr>
      <w:tr w:rsidR="003174A3" w:rsidRPr="00C9205C" w14:paraId="06B09F7A" w14:textId="77777777" w:rsidTr="00F02F8C">
        <w:tc>
          <w:tcPr>
            <w:tcW w:w="3227" w:type="dxa"/>
            <w:vAlign w:val="center"/>
          </w:tcPr>
          <w:p w14:paraId="583BDF1F"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Chlorination</w:t>
            </w:r>
          </w:p>
        </w:tc>
        <w:tc>
          <w:tcPr>
            <w:tcW w:w="3227" w:type="dxa"/>
            <w:vAlign w:val="center"/>
          </w:tcPr>
          <w:p w14:paraId="0BEB809B"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15</w:t>
            </w:r>
          </w:p>
        </w:tc>
        <w:tc>
          <w:tcPr>
            <w:tcW w:w="3227" w:type="dxa"/>
            <w:vAlign w:val="center"/>
          </w:tcPr>
          <w:p w14:paraId="64B173B4"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5.8</w:t>
            </w:r>
          </w:p>
        </w:tc>
      </w:tr>
      <w:tr w:rsidR="003174A3" w:rsidRPr="00C9205C" w14:paraId="616AD9B2" w14:textId="77777777" w:rsidTr="00F02F8C">
        <w:tc>
          <w:tcPr>
            <w:tcW w:w="3227" w:type="dxa"/>
            <w:vAlign w:val="center"/>
          </w:tcPr>
          <w:p w14:paraId="40E2D20E"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Cloth Straining</w:t>
            </w:r>
          </w:p>
        </w:tc>
        <w:tc>
          <w:tcPr>
            <w:tcW w:w="3227" w:type="dxa"/>
            <w:vAlign w:val="center"/>
          </w:tcPr>
          <w:p w14:paraId="58A1288B"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38</w:t>
            </w:r>
          </w:p>
        </w:tc>
        <w:tc>
          <w:tcPr>
            <w:tcW w:w="3227" w:type="dxa"/>
            <w:vAlign w:val="center"/>
          </w:tcPr>
          <w:p w14:paraId="399D44F2"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14.6</w:t>
            </w:r>
          </w:p>
        </w:tc>
      </w:tr>
      <w:tr w:rsidR="003174A3" w:rsidRPr="00C9205C" w14:paraId="12276162" w14:textId="77777777" w:rsidTr="00F02F8C">
        <w:tc>
          <w:tcPr>
            <w:tcW w:w="3227" w:type="dxa"/>
            <w:vAlign w:val="center"/>
          </w:tcPr>
          <w:p w14:paraId="5B2E5D13"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No Treatment</w:t>
            </w:r>
          </w:p>
        </w:tc>
        <w:tc>
          <w:tcPr>
            <w:tcW w:w="3227" w:type="dxa"/>
            <w:vAlign w:val="center"/>
          </w:tcPr>
          <w:p w14:paraId="1CB592D2"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76</w:t>
            </w:r>
          </w:p>
        </w:tc>
        <w:tc>
          <w:tcPr>
            <w:tcW w:w="3227" w:type="dxa"/>
            <w:vAlign w:val="center"/>
          </w:tcPr>
          <w:p w14:paraId="7CCE51DC"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29.2</w:t>
            </w:r>
          </w:p>
        </w:tc>
      </w:tr>
      <w:tr w:rsidR="003174A3" w:rsidRPr="00C9205C" w14:paraId="380FFD94" w14:textId="77777777" w:rsidTr="00F02F8C">
        <w:tc>
          <w:tcPr>
            <w:tcW w:w="3227" w:type="dxa"/>
            <w:vAlign w:val="center"/>
          </w:tcPr>
          <w:p w14:paraId="0BCF94D7" w14:textId="77777777" w:rsidR="003174A3" w:rsidRPr="00045D0F" w:rsidRDefault="003174A3"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358DC456"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1AB1F4FB" w14:textId="77777777" w:rsidR="003174A3" w:rsidRPr="00045D0F" w:rsidRDefault="003174A3"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587FD9AD" w14:textId="77777777" w:rsidR="00EE57C1" w:rsidRDefault="00EE57C1" w:rsidP="00EE57C1">
      <w:pPr>
        <w:jc w:val="both"/>
        <w:rPr>
          <w:rFonts w:ascii="Times New Roman" w:hAnsi="Times New Roman" w:cs="Times New Roman"/>
          <w:sz w:val="24"/>
          <w:szCs w:val="24"/>
        </w:rPr>
      </w:pPr>
    </w:p>
    <w:p w14:paraId="3BCEA38E"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Boiling is practiced by 28.1% of respondents and 22.3% use RO or filters, while 14.6% rely on cloth straining and 5.8% on chlorination. Notably, 29.2% do not treat water at all. With almost three in ten households not treating water, there is a potential health risk, indicating the need for awareness on safe drinking water practices.</w:t>
      </w:r>
    </w:p>
    <w:p w14:paraId="01655309" w14:textId="77777777" w:rsidR="0088509E" w:rsidRPr="00C9205C" w:rsidRDefault="0088509E" w:rsidP="0088509E">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Tabl</w:t>
      </w:r>
      <w:r w:rsidRPr="00C9205C">
        <w:rPr>
          <w:rFonts w:ascii="Times New Roman" w:eastAsia="Times New Roman" w:hAnsi="Times New Roman" w:cs="Times New Roman"/>
          <w:b/>
          <w:bCs/>
          <w:sz w:val="24"/>
          <w:szCs w:val="24"/>
        </w:rPr>
        <w:t xml:space="preserve">e 11: Storage Practice </w:t>
      </w:r>
    </w:p>
    <w:tbl>
      <w:tblPr>
        <w:tblStyle w:val="TableGrid"/>
        <w:tblW w:w="9681" w:type="dxa"/>
        <w:tblLook w:val="04A0" w:firstRow="1" w:lastRow="0" w:firstColumn="1" w:lastColumn="0" w:noHBand="0" w:noVBand="1"/>
      </w:tblPr>
      <w:tblGrid>
        <w:gridCol w:w="3227"/>
        <w:gridCol w:w="3227"/>
        <w:gridCol w:w="3227"/>
      </w:tblGrid>
      <w:tr w:rsidR="0088509E" w:rsidRPr="00C9205C" w14:paraId="2B42044E" w14:textId="77777777" w:rsidTr="00F02F8C">
        <w:tc>
          <w:tcPr>
            <w:tcW w:w="3227" w:type="dxa"/>
            <w:vAlign w:val="center"/>
          </w:tcPr>
          <w:p w14:paraId="272F2895" w14:textId="77777777" w:rsidR="0088509E" w:rsidRPr="00045D0F" w:rsidRDefault="0088509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Storage Type</w:t>
            </w:r>
          </w:p>
        </w:tc>
        <w:tc>
          <w:tcPr>
            <w:tcW w:w="3227" w:type="dxa"/>
            <w:vAlign w:val="center"/>
          </w:tcPr>
          <w:p w14:paraId="5734AB54" w14:textId="77777777" w:rsidR="0088509E" w:rsidRPr="00045D0F" w:rsidRDefault="0088509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1A9D9AA2" w14:textId="77777777" w:rsidR="0088509E" w:rsidRPr="00045D0F" w:rsidRDefault="0088509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88509E" w:rsidRPr="00C9205C" w14:paraId="54C9415B" w14:textId="77777777" w:rsidTr="00F02F8C">
        <w:tc>
          <w:tcPr>
            <w:tcW w:w="3227" w:type="dxa"/>
            <w:vAlign w:val="center"/>
          </w:tcPr>
          <w:p w14:paraId="1EABFACE"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Covered Container</w:t>
            </w:r>
          </w:p>
        </w:tc>
        <w:tc>
          <w:tcPr>
            <w:tcW w:w="3227" w:type="dxa"/>
            <w:vAlign w:val="center"/>
          </w:tcPr>
          <w:p w14:paraId="46C17BD7"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193</w:t>
            </w:r>
          </w:p>
        </w:tc>
        <w:tc>
          <w:tcPr>
            <w:tcW w:w="3227" w:type="dxa"/>
            <w:vAlign w:val="center"/>
          </w:tcPr>
          <w:p w14:paraId="07B8BA21"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74.2</w:t>
            </w:r>
          </w:p>
        </w:tc>
      </w:tr>
      <w:tr w:rsidR="0088509E" w:rsidRPr="00C9205C" w14:paraId="0B3A8490" w14:textId="77777777" w:rsidTr="00F02F8C">
        <w:tc>
          <w:tcPr>
            <w:tcW w:w="3227" w:type="dxa"/>
            <w:vAlign w:val="center"/>
          </w:tcPr>
          <w:p w14:paraId="47DD10D5"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Open Container</w:t>
            </w:r>
          </w:p>
        </w:tc>
        <w:tc>
          <w:tcPr>
            <w:tcW w:w="3227" w:type="dxa"/>
            <w:vAlign w:val="center"/>
          </w:tcPr>
          <w:p w14:paraId="06DB8DE1"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41</w:t>
            </w:r>
          </w:p>
        </w:tc>
        <w:tc>
          <w:tcPr>
            <w:tcW w:w="3227" w:type="dxa"/>
            <w:vAlign w:val="center"/>
          </w:tcPr>
          <w:p w14:paraId="2FDEA3B1"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15.8</w:t>
            </w:r>
          </w:p>
        </w:tc>
      </w:tr>
      <w:tr w:rsidR="0088509E" w:rsidRPr="00C9205C" w14:paraId="48A88B94" w14:textId="77777777" w:rsidTr="00F02F8C">
        <w:tc>
          <w:tcPr>
            <w:tcW w:w="3227" w:type="dxa"/>
            <w:vAlign w:val="center"/>
          </w:tcPr>
          <w:p w14:paraId="5EFC31D2"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Direct Tap Use</w:t>
            </w:r>
          </w:p>
        </w:tc>
        <w:tc>
          <w:tcPr>
            <w:tcW w:w="3227" w:type="dxa"/>
            <w:vAlign w:val="center"/>
          </w:tcPr>
          <w:p w14:paraId="0C103742"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w:t>
            </w:r>
          </w:p>
        </w:tc>
        <w:tc>
          <w:tcPr>
            <w:tcW w:w="3227" w:type="dxa"/>
            <w:vAlign w:val="center"/>
          </w:tcPr>
          <w:p w14:paraId="65249D04"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r w:rsidR="0088509E" w:rsidRPr="00C9205C" w14:paraId="3AEF9434" w14:textId="77777777" w:rsidTr="00F02F8C">
        <w:tc>
          <w:tcPr>
            <w:tcW w:w="3227" w:type="dxa"/>
            <w:vAlign w:val="center"/>
          </w:tcPr>
          <w:p w14:paraId="04FF808A" w14:textId="77777777" w:rsidR="0088509E" w:rsidRPr="00045D0F" w:rsidRDefault="0088509E"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58F2E474"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79332A6D" w14:textId="77777777" w:rsidR="0088509E" w:rsidRPr="00045D0F" w:rsidRDefault="0088509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14156B6E" w14:textId="77777777" w:rsidR="00EE57C1" w:rsidRDefault="00EE57C1" w:rsidP="00EE57C1">
      <w:pPr>
        <w:jc w:val="both"/>
        <w:rPr>
          <w:rFonts w:ascii="Times New Roman" w:hAnsi="Times New Roman" w:cs="Times New Roman"/>
          <w:sz w:val="24"/>
          <w:szCs w:val="24"/>
        </w:rPr>
      </w:pPr>
    </w:p>
    <w:p w14:paraId="14C71AF4"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A large majority (74.2%) store water in covered containers, while 15.8% use open containers and 10% consume water directly from taps.</w:t>
      </w:r>
      <w:r>
        <w:rPr>
          <w:rFonts w:ascii="Times New Roman" w:hAnsi="Times New Roman" w:cs="Times New Roman"/>
          <w:sz w:val="24"/>
          <w:szCs w:val="24"/>
        </w:rPr>
        <w:t xml:space="preserve"> </w:t>
      </w:r>
      <w:r w:rsidRPr="000C10EF">
        <w:rPr>
          <w:rFonts w:ascii="Times New Roman" w:hAnsi="Times New Roman" w:cs="Times New Roman"/>
          <w:sz w:val="24"/>
          <w:szCs w:val="24"/>
        </w:rPr>
        <w:t>The high prevalence of covered storage suggests generally good hygiene practices; however, the 25.8% using open storage or no storage may still face contamination risks.</w:t>
      </w:r>
    </w:p>
    <w:p w14:paraId="3561BAC3" w14:textId="77777777" w:rsidR="00162F4E" w:rsidRPr="00C9205C" w:rsidRDefault="00162F4E" w:rsidP="00162F4E">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 xml:space="preserve">Table 12: Frequency </w:t>
      </w:r>
      <w:r w:rsidRPr="00C9205C">
        <w:rPr>
          <w:rFonts w:ascii="Times New Roman" w:eastAsia="Times New Roman" w:hAnsi="Times New Roman" w:cs="Times New Roman"/>
          <w:b/>
          <w:bCs/>
          <w:sz w:val="24"/>
          <w:szCs w:val="24"/>
        </w:rPr>
        <w:t xml:space="preserve">of Cleaning Storage Containers </w:t>
      </w:r>
    </w:p>
    <w:tbl>
      <w:tblPr>
        <w:tblStyle w:val="TableGrid"/>
        <w:tblW w:w="9681" w:type="dxa"/>
        <w:tblLook w:val="04A0" w:firstRow="1" w:lastRow="0" w:firstColumn="1" w:lastColumn="0" w:noHBand="0" w:noVBand="1"/>
      </w:tblPr>
      <w:tblGrid>
        <w:gridCol w:w="3227"/>
        <w:gridCol w:w="3227"/>
        <w:gridCol w:w="3227"/>
      </w:tblGrid>
      <w:tr w:rsidR="00162F4E" w:rsidRPr="00C9205C" w14:paraId="43144392" w14:textId="77777777" w:rsidTr="00F02F8C">
        <w:tc>
          <w:tcPr>
            <w:tcW w:w="3227" w:type="dxa"/>
            <w:vAlign w:val="center"/>
          </w:tcPr>
          <w:p w14:paraId="0146A68E" w14:textId="77777777" w:rsidR="00162F4E" w:rsidRPr="00045D0F" w:rsidRDefault="00162F4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Cleaning Frequency</w:t>
            </w:r>
          </w:p>
        </w:tc>
        <w:tc>
          <w:tcPr>
            <w:tcW w:w="3227" w:type="dxa"/>
            <w:vAlign w:val="center"/>
          </w:tcPr>
          <w:p w14:paraId="0E7055A7" w14:textId="77777777" w:rsidR="00162F4E" w:rsidRPr="00045D0F" w:rsidRDefault="00162F4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0692A6C3" w14:textId="77777777" w:rsidR="00162F4E" w:rsidRPr="00045D0F" w:rsidRDefault="00162F4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162F4E" w:rsidRPr="00C9205C" w14:paraId="7BAC7CB6" w14:textId="77777777" w:rsidTr="00F02F8C">
        <w:tc>
          <w:tcPr>
            <w:tcW w:w="3227" w:type="dxa"/>
            <w:vAlign w:val="center"/>
          </w:tcPr>
          <w:p w14:paraId="7B71071F"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Daily</w:t>
            </w:r>
          </w:p>
        </w:tc>
        <w:tc>
          <w:tcPr>
            <w:tcW w:w="3227" w:type="dxa"/>
            <w:vAlign w:val="center"/>
          </w:tcPr>
          <w:p w14:paraId="3A2B3902"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84</w:t>
            </w:r>
          </w:p>
        </w:tc>
        <w:tc>
          <w:tcPr>
            <w:tcW w:w="3227" w:type="dxa"/>
            <w:vAlign w:val="center"/>
          </w:tcPr>
          <w:p w14:paraId="2736C83C"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32.3</w:t>
            </w:r>
          </w:p>
        </w:tc>
      </w:tr>
      <w:tr w:rsidR="00162F4E" w:rsidRPr="00C9205C" w14:paraId="7928B245" w14:textId="77777777" w:rsidTr="00F02F8C">
        <w:tc>
          <w:tcPr>
            <w:tcW w:w="3227" w:type="dxa"/>
            <w:vAlign w:val="center"/>
          </w:tcPr>
          <w:p w14:paraId="233946EF"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Weekly</w:t>
            </w:r>
          </w:p>
        </w:tc>
        <w:tc>
          <w:tcPr>
            <w:tcW w:w="3227" w:type="dxa"/>
            <w:vAlign w:val="center"/>
          </w:tcPr>
          <w:p w14:paraId="6762F931"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105</w:t>
            </w:r>
          </w:p>
        </w:tc>
        <w:tc>
          <w:tcPr>
            <w:tcW w:w="3227" w:type="dxa"/>
            <w:vAlign w:val="center"/>
          </w:tcPr>
          <w:p w14:paraId="5AFEB9BF"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40.4</w:t>
            </w:r>
          </w:p>
        </w:tc>
      </w:tr>
      <w:tr w:rsidR="00162F4E" w:rsidRPr="00C9205C" w14:paraId="22D14FFA" w14:textId="77777777" w:rsidTr="00F02F8C">
        <w:tc>
          <w:tcPr>
            <w:tcW w:w="3227" w:type="dxa"/>
            <w:vAlign w:val="center"/>
          </w:tcPr>
          <w:p w14:paraId="294BF1C3"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Monthly</w:t>
            </w:r>
          </w:p>
        </w:tc>
        <w:tc>
          <w:tcPr>
            <w:tcW w:w="3227" w:type="dxa"/>
            <w:vAlign w:val="center"/>
          </w:tcPr>
          <w:p w14:paraId="61868082"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47</w:t>
            </w:r>
          </w:p>
        </w:tc>
        <w:tc>
          <w:tcPr>
            <w:tcW w:w="3227" w:type="dxa"/>
            <w:vAlign w:val="center"/>
          </w:tcPr>
          <w:p w14:paraId="7FFCDDAE"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18.1</w:t>
            </w:r>
          </w:p>
        </w:tc>
      </w:tr>
      <w:tr w:rsidR="00162F4E" w:rsidRPr="00C9205C" w14:paraId="32B01030" w14:textId="77777777" w:rsidTr="00F02F8C">
        <w:tc>
          <w:tcPr>
            <w:tcW w:w="3227" w:type="dxa"/>
            <w:vAlign w:val="center"/>
          </w:tcPr>
          <w:p w14:paraId="52F5F5B9"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Rarely</w:t>
            </w:r>
          </w:p>
        </w:tc>
        <w:tc>
          <w:tcPr>
            <w:tcW w:w="3227" w:type="dxa"/>
            <w:vAlign w:val="center"/>
          </w:tcPr>
          <w:p w14:paraId="40E0941F"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24</w:t>
            </w:r>
          </w:p>
        </w:tc>
        <w:tc>
          <w:tcPr>
            <w:tcW w:w="3227" w:type="dxa"/>
            <w:vAlign w:val="center"/>
          </w:tcPr>
          <w:p w14:paraId="029F41E8"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9.2</w:t>
            </w:r>
          </w:p>
        </w:tc>
      </w:tr>
      <w:tr w:rsidR="00162F4E" w:rsidRPr="00C9205C" w14:paraId="2DCCFA02" w14:textId="77777777" w:rsidTr="00F02F8C">
        <w:tc>
          <w:tcPr>
            <w:tcW w:w="3227" w:type="dxa"/>
            <w:vAlign w:val="center"/>
          </w:tcPr>
          <w:p w14:paraId="2769D00B" w14:textId="77777777" w:rsidR="00162F4E" w:rsidRPr="00045D0F" w:rsidRDefault="00162F4E"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215EEEDE"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51FE8F51"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2B9FE190" w14:textId="77777777" w:rsidR="00EE57C1" w:rsidRDefault="00EE57C1" w:rsidP="00EE57C1">
      <w:pPr>
        <w:jc w:val="both"/>
        <w:rPr>
          <w:rFonts w:ascii="Times New Roman" w:hAnsi="Times New Roman" w:cs="Times New Roman"/>
          <w:sz w:val="24"/>
          <w:szCs w:val="24"/>
        </w:rPr>
      </w:pPr>
    </w:p>
    <w:p w14:paraId="2F9D2C0D"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About 32.3% clean containers daily and 40.4% weekly, meaning nearly 73% maintain regular cleaning. However, 18.1% clean monthly and 9.2%</w:t>
      </w:r>
      <w:r>
        <w:rPr>
          <w:rFonts w:ascii="Times New Roman" w:hAnsi="Times New Roman" w:cs="Times New Roman"/>
          <w:sz w:val="24"/>
          <w:szCs w:val="24"/>
        </w:rPr>
        <w:t xml:space="preserve"> rarely clean. </w:t>
      </w:r>
      <w:r w:rsidRPr="000C10EF">
        <w:rPr>
          <w:rFonts w:ascii="Times New Roman" w:hAnsi="Times New Roman" w:cs="Times New Roman"/>
          <w:sz w:val="24"/>
          <w:szCs w:val="24"/>
        </w:rPr>
        <w:t>While most households follow acceptable hygiene practices, about 27.3% with infrequent cleaning may be at higher risk of contamination.</w:t>
      </w:r>
    </w:p>
    <w:p w14:paraId="3BAFC74A" w14:textId="77777777" w:rsidR="00162F4E" w:rsidRPr="00C9205C" w:rsidRDefault="00162F4E" w:rsidP="00162F4E">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 xml:space="preserve">Table 13: Incidence of Waterborne Illness </w:t>
      </w:r>
    </w:p>
    <w:tbl>
      <w:tblPr>
        <w:tblStyle w:val="TableGrid"/>
        <w:tblW w:w="9681" w:type="dxa"/>
        <w:tblLook w:val="04A0" w:firstRow="1" w:lastRow="0" w:firstColumn="1" w:lastColumn="0" w:noHBand="0" w:noVBand="1"/>
      </w:tblPr>
      <w:tblGrid>
        <w:gridCol w:w="3227"/>
        <w:gridCol w:w="3227"/>
        <w:gridCol w:w="3227"/>
      </w:tblGrid>
      <w:tr w:rsidR="00162F4E" w:rsidRPr="00C9205C" w14:paraId="7DDAAEFC" w14:textId="77777777" w:rsidTr="00F02F8C">
        <w:tc>
          <w:tcPr>
            <w:tcW w:w="3227" w:type="dxa"/>
            <w:vAlign w:val="center"/>
          </w:tcPr>
          <w:p w14:paraId="617D302E" w14:textId="77777777" w:rsidR="00162F4E" w:rsidRPr="00045D0F" w:rsidRDefault="00162F4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Illness Reported</w:t>
            </w:r>
          </w:p>
        </w:tc>
        <w:tc>
          <w:tcPr>
            <w:tcW w:w="3227" w:type="dxa"/>
            <w:vAlign w:val="center"/>
          </w:tcPr>
          <w:p w14:paraId="1AAE4DCC" w14:textId="77777777" w:rsidR="00162F4E" w:rsidRPr="00045D0F" w:rsidRDefault="00162F4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2BEB52F8" w14:textId="77777777" w:rsidR="00162F4E" w:rsidRPr="00045D0F" w:rsidRDefault="00162F4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162F4E" w:rsidRPr="00C9205C" w14:paraId="42FC8E51" w14:textId="77777777" w:rsidTr="00F02F8C">
        <w:tc>
          <w:tcPr>
            <w:tcW w:w="3227" w:type="dxa"/>
            <w:vAlign w:val="center"/>
          </w:tcPr>
          <w:p w14:paraId="4977F0E8"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Yes</w:t>
            </w:r>
          </w:p>
        </w:tc>
        <w:tc>
          <w:tcPr>
            <w:tcW w:w="3227" w:type="dxa"/>
            <w:vAlign w:val="center"/>
          </w:tcPr>
          <w:p w14:paraId="1961DBC3"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77</w:t>
            </w:r>
          </w:p>
        </w:tc>
        <w:tc>
          <w:tcPr>
            <w:tcW w:w="3227" w:type="dxa"/>
            <w:vAlign w:val="center"/>
          </w:tcPr>
          <w:p w14:paraId="5A387565"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29.6</w:t>
            </w:r>
          </w:p>
        </w:tc>
      </w:tr>
      <w:tr w:rsidR="00162F4E" w:rsidRPr="00C9205C" w14:paraId="68B7D541" w14:textId="77777777" w:rsidTr="00F02F8C">
        <w:tc>
          <w:tcPr>
            <w:tcW w:w="3227" w:type="dxa"/>
            <w:vAlign w:val="center"/>
          </w:tcPr>
          <w:p w14:paraId="6DEC7F1B"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lastRenderedPageBreak/>
              <w:t>No</w:t>
            </w:r>
          </w:p>
        </w:tc>
        <w:tc>
          <w:tcPr>
            <w:tcW w:w="3227" w:type="dxa"/>
            <w:vAlign w:val="center"/>
          </w:tcPr>
          <w:p w14:paraId="24D52C2A"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183</w:t>
            </w:r>
          </w:p>
        </w:tc>
        <w:tc>
          <w:tcPr>
            <w:tcW w:w="3227" w:type="dxa"/>
            <w:vAlign w:val="center"/>
          </w:tcPr>
          <w:p w14:paraId="210C1CC1"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70.4</w:t>
            </w:r>
          </w:p>
        </w:tc>
      </w:tr>
      <w:tr w:rsidR="00162F4E" w:rsidRPr="00C9205C" w14:paraId="4EB7CC93" w14:textId="77777777" w:rsidTr="00F02F8C">
        <w:tc>
          <w:tcPr>
            <w:tcW w:w="3227" w:type="dxa"/>
            <w:vAlign w:val="center"/>
          </w:tcPr>
          <w:p w14:paraId="6F7D00D7" w14:textId="77777777" w:rsidR="00162F4E" w:rsidRPr="00045D0F" w:rsidRDefault="00162F4E"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29963D54"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03BB97B6" w14:textId="77777777" w:rsidR="00162F4E" w:rsidRPr="00045D0F" w:rsidRDefault="00162F4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7C300ABA" w14:textId="77777777" w:rsidR="00BA3138" w:rsidRDefault="00BA3138" w:rsidP="00EE57C1">
      <w:pPr>
        <w:jc w:val="both"/>
        <w:rPr>
          <w:rFonts w:ascii="Times New Roman" w:hAnsi="Times New Roman" w:cs="Times New Roman"/>
          <w:sz w:val="24"/>
          <w:szCs w:val="24"/>
        </w:rPr>
      </w:pPr>
    </w:p>
    <w:p w14:paraId="5A186DEA" w14:textId="77777777" w:rsidR="00EE57C1" w:rsidRPr="000C10EF" w:rsidRDefault="00EE57C1"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Nearly 29.6% of households reported waterborne illnesses, while 70.4% did not.</w:t>
      </w:r>
      <w:r w:rsidRPr="000C10EF">
        <w:rPr>
          <w:rFonts w:ascii="Times New Roman" w:hAnsi="Times New Roman" w:cs="Times New Roman"/>
          <w:sz w:val="24"/>
          <w:szCs w:val="24"/>
        </w:rPr>
        <w:br/>
        <w:t>Inference: The fact that almost three out of ten households experienced illness indicates that water quality and hygiene issues still persist despite improvements in access and storage.</w:t>
      </w:r>
    </w:p>
    <w:p w14:paraId="763D9CDF" w14:textId="77777777" w:rsidR="00EE57C1" w:rsidRDefault="00EE57C1" w:rsidP="00BA3138">
      <w:pPr>
        <w:spacing w:line="360" w:lineRule="auto"/>
        <w:jc w:val="both"/>
        <w:rPr>
          <w:rFonts w:ascii="Times New Roman" w:hAnsi="Times New Roman" w:cs="Times New Roman"/>
          <w:sz w:val="24"/>
          <w:szCs w:val="24"/>
        </w:rPr>
      </w:pPr>
    </w:p>
    <w:p w14:paraId="34B8024F" w14:textId="77777777" w:rsidR="00BC5236" w:rsidRPr="00045D0F" w:rsidRDefault="00BC5236" w:rsidP="00BC5236">
      <w:pPr>
        <w:spacing w:before="100" w:beforeAutospacing="1" w:after="100" w:afterAutospacing="1"/>
        <w:outlineLvl w:val="2"/>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Additional Statistical Note</w:t>
      </w:r>
    </w:p>
    <w:p w14:paraId="123D6EBD" w14:textId="77777777" w:rsidR="00BC5236" w:rsidRPr="00045D0F" w:rsidRDefault="00BC5236" w:rsidP="00BC5236">
      <w:pPr>
        <w:spacing w:before="100" w:beforeAutospacing="1" w:after="100" w:afterAutospacing="1"/>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 xml:space="preserve">A chi-square test between </w:t>
      </w:r>
      <w:r w:rsidRPr="00C9205C">
        <w:rPr>
          <w:rFonts w:ascii="Times New Roman" w:eastAsia="Times New Roman" w:hAnsi="Times New Roman" w:cs="Times New Roman"/>
          <w:b/>
          <w:bCs/>
          <w:sz w:val="24"/>
          <w:szCs w:val="24"/>
        </w:rPr>
        <w:t>water treatment practice and illness incidence</w:t>
      </w:r>
      <w:r w:rsidRPr="00045D0F">
        <w:rPr>
          <w:rFonts w:ascii="Times New Roman" w:eastAsia="Times New Roman" w:hAnsi="Times New Roman" w:cs="Times New Roman"/>
          <w:sz w:val="24"/>
          <w:szCs w:val="24"/>
        </w:rPr>
        <w:t xml:space="preserve"> shows a statistically significant association:</w:t>
      </w:r>
    </w:p>
    <w:p w14:paraId="59CDFA90" w14:textId="77777777" w:rsidR="00BC5236" w:rsidRPr="00045D0F" w:rsidRDefault="00BC5236" w:rsidP="00BC5236">
      <w:pPr>
        <w:numPr>
          <w:ilvl w:val="0"/>
          <w:numId w:val="15"/>
        </w:numPr>
        <w:spacing w:before="100" w:beforeAutospacing="1" w:after="100" w:afterAutospacing="1"/>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 xml:space="preserve">χ² (4 </w:t>
      </w:r>
      <w:proofErr w:type="spellStart"/>
      <w:r w:rsidRPr="00045D0F">
        <w:rPr>
          <w:rFonts w:ascii="Times New Roman" w:eastAsia="Times New Roman" w:hAnsi="Times New Roman" w:cs="Times New Roman"/>
          <w:sz w:val="24"/>
          <w:szCs w:val="24"/>
        </w:rPr>
        <w:t>df</w:t>
      </w:r>
      <w:proofErr w:type="spellEnd"/>
      <w:r w:rsidRPr="00045D0F">
        <w:rPr>
          <w:rFonts w:ascii="Times New Roman" w:eastAsia="Times New Roman" w:hAnsi="Times New Roman" w:cs="Times New Roman"/>
          <w:sz w:val="24"/>
          <w:szCs w:val="24"/>
        </w:rPr>
        <w:t>) = 19.82</w:t>
      </w:r>
    </w:p>
    <w:p w14:paraId="4E123F1A" w14:textId="77777777" w:rsidR="00BC5236" w:rsidRPr="00045D0F" w:rsidRDefault="00BC5236" w:rsidP="00BC5236">
      <w:pPr>
        <w:numPr>
          <w:ilvl w:val="0"/>
          <w:numId w:val="15"/>
        </w:numPr>
        <w:spacing w:before="100" w:beforeAutospacing="1" w:after="100" w:afterAutospacing="1"/>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p = 0.001</w:t>
      </w:r>
    </w:p>
    <w:p w14:paraId="2D0BABA7" w14:textId="77777777" w:rsidR="00BC5236" w:rsidRPr="00045D0F" w:rsidRDefault="00BC5236" w:rsidP="00BC5236">
      <w:pPr>
        <w:spacing w:before="100" w:beforeAutospacing="1" w:after="100" w:afterAutospacing="1"/>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This confirms that households not treating water are significantly more likely to report illness compared to those using boiling or filtration methods.</w:t>
      </w:r>
    </w:p>
    <w:p w14:paraId="33C4EC07" w14:textId="77777777" w:rsidR="00BC5236" w:rsidRPr="001F3946" w:rsidRDefault="00BC5236" w:rsidP="00BC5236">
      <w:pPr>
        <w:spacing w:before="100" w:beforeAutospacing="1" w:after="100" w:afterAutospacing="1"/>
        <w:outlineLvl w:val="2"/>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Statistical Test 1: Education vs Water Treatment Adoption</w:t>
      </w:r>
    </w:p>
    <w:p w14:paraId="249F9186" w14:textId="77777777" w:rsidR="00BC5236" w:rsidRPr="001F3946" w:rsidRDefault="00BC5236" w:rsidP="00BC5236">
      <w:pPr>
        <w:spacing w:before="100" w:beforeAutospacing="1" w:after="100" w:afterAutospacing="1"/>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Chi-square (χ²) = 21.76</w:t>
      </w:r>
      <w:r w:rsidRPr="001F3946">
        <w:rPr>
          <w:rFonts w:ascii="Times New Roman" w:eastAsia="Times New Roman" w:hAnsi="Times New Roman" w:cs="Times New Roman"/>
          <w:sz w:val="24"/>
          <w:szCs w:val="24"/>
        </w:rPr>
        <w:br/>
      </w:r>
      <w:proofErr w:type="spellStart"/>
      <w:r w:rsidRPr="001F3946">
        <w:rPr>
          <w:rFonts w:ascii="Times New Roman" w:eastAsia="Times New Roman" w:hAnsi="Times New Roman" w:cs="Times New Roman"/>
          <w:sz w:val="24"/>
          <w:szCs w:val="24"/>
        </w:rPr>
        <w:t>df</w:t>
      </w:r>
      <w:proofErr w:type="spellEnd"/>
      <w:r w:rsidRPr="001F3946">
        <w:rPr>
          <w:rFonts w:ascii="Times New Roman" w:eastAsia="Times New Roman" w:hAnsi="Times New Roman" w:cs="Times New Roman"/>
          <w:sz w:val="24"/>
          <w:szCs w:val="24"/>
        </w:rPr>
        <w:t xml:space="preserve"> = 3</w:t>
      </w:r>
      <w:r w:rsidRPr="001F3946">
        <w:rPr>
          <w:rFonts w:ascii="Times New Roman" w:eastAsia="Times New Roman" w:hAnsi="Times New Roman" w:cs="Times New Roman"/>
          <w:sz w:val="24"/>
          <w:szCs w:val="24"/>
        </w:rPr>
        <w:br/>
        <w:t>p &lt; 0.001</w:t>
      </w:r>
    </w:p>
    <w:p w14:paraId="189E9860" w14:textId="77777777" w:rsidR="00BC5236" w:rsidRPr="001F3946" w:rsidRDefault="00BC5236" w:rsidP="00BC5236">
      <w:pPr>
        <w:spacing w:before="100" w:beforeAutospacing="1" w:after="100" w:afterAutospacing="1"/>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Inference:</w:t>
      </w:r>
      <w:r w:rsidRPr="001F3946">
        <w:rPr>
          <w:rFonts w:ascii="Times New Roman" w:eastAsia="Times New Roman" w:hAnsi="Times New Roman" w:cs="Times New Roman"/>
          <w:sz w:val="24"/>
          <w:szCs w:val="24"/>
        </w:rPr>
        <w:t xml:space="preserve"> Education significantly influences adoption of safe treatment practices.</w:t>
      </w:r>
    </w:p>
    <w:p w14:paraId="1748546C" w14:textId="77777777" w:rsidR="00BC5236" w:rsidRPr="001F3946" w:rsidRDefault="00BC5236" w:rsidP="00BC5236">
      <w:pPr>
        <w:spacing w:before="100" w:beforeAutospacing="1" w:after="100" w:afterAutospacing="1"/>
        <w:outlineLvl w:val="2"/>
        <w:rPr>
          <w:rFonts w:ascii="Times New Roman" w:eastAsia="Times New Roman" w:hAnsi="Times New Roman" w:cs="Times New Roman"/>
          <w:b/>
          <w:bCs/>
          <w:sz w:val="24"/>
          <w:szCs w:val="24"/>
        </w:rPr>
      </w:pPr>
      <w:r w:rsidRPr="001F3946">
        <w:rPr>
          <w:rFonts w:ascii="Times New Roman" w:eastAsia="Times New Roman" w:hAnsi="Times New Roman" w:cs="Times New Roman"/>
          <w:b/>
          <w:bCs/>
          <w:sz w:val="24"/>
          <w:szCs w:val="24"/>
        </w:rPr>
        <w:t>Statistical Test 2: Treatment Practice vs Illness Incidence</w:t>
      </w:r>
    </w:p>
    <w:p w14:paraId="4CDB79E4" w14:textId="77777777" w:rsidR="00BC5236" w:rsidRPr="001F3946" w:rsidRDefault="00BC5236" w:rsidP="00BC5236">
      <w:pPr>
        <w:spacing w:before="100" w:beforeAutospacing="1" w:after="100" w:afterAutospacing="1"/>
        <w:rPr>
          <w:rFonts w:ascii="Times New Roman" w:eastAsia="Times New Roman" w:hAnsi="Times New Roman" w:cs="Times New Roman"/>
          <w:sz w:val="24"/>
          <w:szCs w:val="24"/>
        </w:rPr>
      </w:pPr>
      <w:r w:rsidRPr="001F3946">
        <w:rPr>
          <w:rFonts w:ascii="Times New Roman" w:eastAsia="Times New Roman" w:hAnsi="Times New Roman" w:cs="Times New Roman"/>
          <w:sz w:val="24"/>
          <w:szCs w:val="24"/>
        </w:rPr>
        <w:t>Chi-square (χ²) = 19.82</w:t>
      </w:r>
      <w:r w:rsidRPr="001F3946">
        <w:rPr>
          <w:rFonts w:ascii="Times New Roman" w:eastAsia="Times New Roman" w:hAnsi="Times New Roman" w:cs="Times New Roman"/>
          <w:sz w:val="24"/>
          <w:szCs w:val="24"/>
        </w:rPr>
        <w:br/>
      </w:r>
      <w:proofErr w:type="spellStart"/>
      <w:r w:rsidRPr="001F3946">
        <w:rPr>
          <w:rFonts w:ascii="Times New Roman" w:eastAsia="Times New Roman" w:hAnsi="Times New Roman" w:cs="Times New Roman"/>
          <w:sz w:val="24"/>
          <w:szCs w:val="24"/>
        </w:rPr>
        <w:t>df</w:t>
      </w:r>
      <w:proofErr w:type="spellEnd"/>
      <w:r w:rsidRPr="001F3946">
        <w:rPr>
          <w:rFonts w:ascii="Times New Roman" w:eastAsia="Times New Roman" w:hAnsi="Times New Roman" w:cs="Times New Roman"/>
          <w:sz w:val="24"/>
          <w:szCs w:val="24"/>
        </w:rPr>
        <w:t xml:space="preserve"> = 4</w:t>
      </w:r>
      <w:r w:rsidRPr="001F3946">
        <w:rPr>
          <w:rFonts w:ascii="Times New Roman" w:eastAsia="Times New Roman" w:hAnsi="Times New Roman" w:cs="Times New Roman"/>
          <w:sz w:val="24"/>
          <w:szCs w:val="24"/>
        </w:rPr>
        <w:br/>
        <w:t>p = 0.001</w:t>
      </w:r>
    </w:p>
    <w:p w14:paraId="1AE004AF" w14:textId="77777777" w:rsidR="00BC5236" w:rsidRPr="00C9205C" w:rsidRDefault="00BC5236" w:rsidP="00BC5236">
      <w:pPr>
        <w:spacing w:before="100" w:beforeAutospacing="1" w:after="100" w:afterAutospacing="1"/>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Inference:</w:t>
      </w:r>
      <w:r w:rsidRPr="001F3946">
        <w:rPr>
          <w:rFonts w:ascii="Times New Roman" w:eastAsia="Times New Roman" w:hAnsi="Times New Roman" w:cs="Times New Roman"/>
          <w:sz w:val="24"/>
          <w:szCs w:val="24"/>
        </w:rPr>
        <w:t xml:space="preserve"> Households not treating water show significantly higher illness incidence (46%) compared to treated water users (18%).</w:t>
      </w:r>
    </w:p>
    <w:p w14:paraId="1F2073C9" w14:textId="77777777" w:rsidR="00BA3138" w:rsidRDefault="00BA3138" w:rsidP="00BC5236">
      <w:pPr>
        <w:spacing w:before="100" w:beforeAutospacing="1" w:after="100" w:afterAutospacing="1"/>
        <w:outlineLvl w:val="1"/>
        <w:rPr>
          <w:rFonts w:ascii="Times New Roman" w:eastAsia="Times New Roman" w:hAnsi="Times New Roman" w:cs="Times New Roman"/>
          <w:b/>
          <w:bCs/>
          <w:sz w:val="24"/>
          <w:szCs w:val="24"/>
        </w:rPr>
      </w:pPr>
    </w:p>
    <w:p w14:paraId="3B06A110" w14:textId="77777777" w:rsidR="00BC5236" w:rsidRPr="00C9205C" w:rsidRDefault="00BC5236" w:rsidP="00BC5236">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 xml:space="preserve">Table 14: Awareness of Jal Jeevan Mission </w:t>
      </w:r>
    </w:p>
    <w:tbl>
      <w:tblPr>
        <w:tblStyle w:val="TableGrid"/>
        <w:tblW w:w="9039" w:type="dxa"/>
        <w:tblLook w:val="04A0" w:firstRow="1" w:lastRow="0" w:firstColumn="1" w:lastColumn="0" w:noHBand="0" w:noVBand="1"/>
      </w:tblPr>
      <w:tblGrid>
        <w:gridCol w:w="3227"/>
        <w:gridCol w:w="3227"/>
        <w:gridCol w:w="2585"/>
      </w:tblGrid>
      <w:tr w:rsidR="005F0B3E" w:rsidRPr="00C9205C" w14:paraId="6D4EB0A6" w14:textId="77777777" w:rsidTr="005F0B3E">
        <w:tc>
          <w:tcPr>
            <w:tcW w:w="3227" w:type="dxa"/>
            <w:vAlign w:val="center"/>
          </w:tcPr>
          <w:p w14:paraId="085DC1C0" w14:textId="77777777" w:rsidR="005F0B3E" w:rsidRPr="00045D0F" w:rsidRDefault="005F0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Awareness Level</w:t>
            </w:r>
          </w:p>
        </w:tc>
        <w:tc>
          <w:tcPr>
            <w:tcW w:w="3227" w:type="dxa"/>
            <w:vAlign w:val="center"/>
          </w:tcPr>
          <w:p w14:paraId="0FDE9B8D" w14:textId="77777777" w:rsidR="005F0B3E" w:rsidRPr="00045D0F" w:rsidRDefault="005F0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2585" w:type="dxa"/>
            <w:vAlign w:val="center"/>
          </w:tcPr>
          <w:p w14:paraId="6A02178F" w14:textId="77777777" w:rsidR="005F0B3E" w:rsidRPr="00045D0F" w:rsidRDefault="005F0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5F0B3E" w:rsidRPr="00C9205C" w14:paraId="67CB68A3" w14:textId="77777777" w:rsidTr="005F0B3E">
        <w:tc>
          <w:tcPr>
            <w:tcW w:w="3227" w:type="dxa"/>
            <w:vAlign w:val="center"/>
          </w:tcPr>
          <w:p w14:paraId="7EDBB920"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Fully Aware</w:t>
            </w:r>
          </w:p>
        </w:tc>
        <w:tc>
          <w:tcPr>
            <w:tcW w:w="3227" w:type="dxa"/>
            <w:vAlign w:val="center"/>
          </w:tcPr>
          <w:p w14:paraId="4E5A0553"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111</w:t>
            </w:r>
          </w:p>
        </w:tc>
        <w:tc>
          <w:tcPr>
            <w:tcW w:w="2585" w:type="dxa"/>
            <w:vAlign w:val="center"/>
          </w:tcPr>
          <w:p w14:paraId="6E8B0F00"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42.7</w:t>
            </w:r>
          </w:p>
        </w:tc>
      </w:tr>
      <w:tr w:rsidR="005F0B3E" w:rsidRPr="00C9205C" w14:paraId="72B0B495" w14:textId="77777777" w:rsidTr="005F0B3E">
        <w:tc>
          <w:tcPr>
            <w:tcW w:w="3227" w:type="dxa"/>
            <w:vAlign w:val="center"/>
          </w:tcPr>
          <w:p w14:paraId="017A15CD"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Partially Aware</w:t>
            </w:r>
          </w:p>
        </w:tc>
        <w:tc>
          <w:tcPr>
            <w:tcW w:w="3227" w:type="dxa"/>
            <w:vAlign w:val="center"/>
          </w:tcPr>
          <w:p w14:paraId="43A3121E"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87</w:t>
            </w:r>
          </w:p>
        </w:tc>
        <w:tc>
          <w:tcPr>
            <w:tcW w:w="2585" w:type="dxa"/>
            <w:vAlign w:val="center"/>
          </w:tcPr>
          <w:p w14:paraId="61FAEF06"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33.5</w:t>
            </w:r>
          </w:p>
        </w:tc>
      </w:tr>
      <w:tr w:rsidR="005F0B3E" w:rsidRPr="00C9205C" w14:paraId="423C4BBF" w14:textId="77777777" w:rsidTr="005F0B3E">
        <w:tc>
          <w:tcPr>
            <w:tcW w:w="3227" w:type="dxa"/>
            <w:vAlign w:val="center"/>
          </w:tcPr>
          <w:p w14:paraId="000CBE8E"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Not Aware</w:t>
            </w:r>
          </w:p>
        </w:tc>
        <w:tc>
          <w:tcPr>
            <w:tcW w:w="3227" w:type="dxa"/>
            <w:vAlign w:val="center"/>
          </w:tcPr>
          <w:p w14:paraId="03F6FBD2"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62</w:t>
            </w:r>
          </w:p>
        </w:tc>
        <w:tc>
          <w:tcPr>
            <w:tcW w:w="2585" w:type="dxa"/>
            <w:vAlign w:val="center"/>
          </w:tcPr>
          <w:p w14:paraId="35275D8A"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23.8</w:t>
            </w:r>
          </w:p>
        </w:tc>
      </w:tr>
      <w:tr w:rsidR="005F0B3E" w:rsidRPr="00C9205C" w14:paraId="356A33FE" w14:textId="77777777" w:rsidTr="005F0B3E">
        <w:tc>
          <w:tcPr>
            <w:tcW w:w="3227" w:type="dxa"/>
            <w:vAlign w:val="center"/>
          </w:tcPr>
          <w:p w14:paraId="1E32B32C" w14:textId="77777777" w:rsidR="005F0B3E" w:rsidRPr="00045D0F" w:rsidRDefault="005F0B3E"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1A105383"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2585" w:type="dxa"/>
            <w:vAlign w:val="center"/>
          </w:tcPr>
          <w:p w14:paraId="7F6088BA"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46596AD2" w14:textId="77777777" w:rsidR="00497572" w:rsidRDefault="00497572" w:rsidP="00497572">
      <w:pPr>
        <w:spacing w:line="360" w:lineRule="auto"/>
        <w:jc w:val="both"/>
        <w:rPr>
          <w:rFonts w:ascii="Times New Roman" w:hAnsi="Times New Roman" w:cs="Times New Roman"/>
          <w:sz w:val="24"/>
          <w:szCs w:val="24"/>
        </w:rPr>
      </w:pPr>
    </w:p>
    <w:p w14:paraId="6F63C211" w14:textId="77777777" w:rsidR="00497572" w:rsidRPr="000C10EF" w:rsidRDefault="00497572" w:rsidP="00497572">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lastRenderedPageBreak/>
        <w:t>About 42.7% of respondents are fully aware of the mission, while 33.5% are partially aware and 23.8% are not aware at all. This means nearly three-fourths (76.2%) have at least some awareness, but almost one-fourth still lack</w:t>
      </w:r>
      <w:r>
        <w:rPr>
          <w:rFonts w:ascii="Times New Roman" w:hAnsi="Times New Roman" w:cs="Times New Roman"/>
          <w:sz w:val="24"/>
          <w:szCs w:val="24"/>
        </w:rPr>
        <w:t xml:space="preserve"> knowledge about the programme. </w:t>
      </w:r>
      <w:r w:rsidRPr="000C10EF">
        <w:rPr>
          <w:rFonts w:ascii="Times New Roman" w:hAnsi="Times New Roman" w:cs="Times New Roman"/>
          <w:sz w:val="24"/>
          <w:szCs w:val="24"/>
        </w:rPr>
        <w:t>Although awareness levels are reasonably high, the 23.8% unaware population indicates the need for stronger information dissemination and community outreach to ensure universal awareness and participation.</w:t>
      </w:r>
    </w:p>
    <w:p w14:paraId="611906D3" w14:textId="77777777" w:rsidR="005F0B3E" w:rsidRPr="00C9205C" w:rsidRDefault="005F0B3E" w:rsidP="005F0B3E">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 xml:space="preserve">Table 15: Tap Connectivity Before and After JJM </w:t>
      </w:r>
    </w:p>
    <w:tbl>
      <w:tblPr>
        <w:tblStyle w:val="TableGrid"/>
        <w:tblW w:w="9681" w:type="dxa"/>
        <w:tblLook w:val="04A0" w:firstRow="1" w:lastRow="0" w:firstColumn="1" w:lastColumn="0" w:noHBand="0" w:noVBand="1"/>
      </w:tblPr>
      <w:tblGrid>
        <w:gridCol w:w="3227"/>
        <w:gridCol w:w="3227"/>
        <w:gridCol w:w="3227"/>
      </w:tblGrid>
      <w:tr w:rsidR="005F0B3E" w:rsidRPr="00C9205C" w14:paraId="3704E74F" w14:textId="77777777" w:rsidTr="00F02F8C">
        <w:tc>
          <w:tcPr>
            <w:tcW w:w="3227" w:type="dxa"/>
            <w:vAlign w:val="center"/>
          </w:tcPr>
          <w:p w14:paraId="1827C836" w14:textId="77777777" w:rsidR="005F0B3E" w:rsidRPr="00045D0F" w:rsidRDefault="005F0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Period</w:t>
            </w:r>
          </w:p>
        </w:tc>
        <w:tc>
          <w:tcPr>
            <w:tcW w:w="3227" w:type="dxa"/>
            <w:vAlign w:val="center"/>
          </w:tcPr>
          <w:p w14:paraId="49388740" w14:textId="77777777" w:rsidR="005F0B3E" w:rsidRPr="00045D0F" w:rsidRDefault="005F0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with Tap (N)</w:t>
            </w:r>
          </w:p>
        </w:tc>
        <w:tc>
          <w:tcPr>
            <w:tcW w:w="3227" w:type="dxa"/>
            <w:vAlign w:val="center"/>
          </w:tcPr>
          <w:p w14:paraId="18A96E9B" w14:textId="77777777" w:rsidR="005F0B3E" w:rsidRPr="00045D0F" w:rsidRDefault="005F0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Tap Coverage (%)</w:t>
            </w:r>
          </w:p>
        </w:tc>
      </w:tr>
      <w:tr w:rsidR="005F0B3E" w:rsidRPr="00C9205C" w14:paraId="701FAF23" w14:textId="77777777" w:rsidTr="00F02F8C">
        <w:tc>
          <w:tcPr>
            <w:tcW w:w="3227" w:type="dxa"/>
            <w:vAlign w:val="center"/>
          </w:tcPr>
          <w:p w14:paraId="522A819D"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Before JJM</w:t>
            </w:r>
          </w:p>
        </w:tc>
        <w:tc>
          <w:tcPr>
            <w:tcW w:w="3227" w:type="dxa"/>
            <w:vAlign w:val="center"/>
          </w:tcPr>
          <w:p w14:paraId="43BB3B8D"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50</w:t>
            </w:r>
          </w:p>
        </w:tc>
        <w:tc>
          <w:tcPr>
            <w:tcW w:w="3227" w:type="dxa"/>
            <w:vAlign w:val="center"/>
          </w:tcPr>
          <w:p w14:paraId="00E8700F"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19.2</w:t>
            </w:r>
          </w:p>
        </w:tc>
      </w:tr>
      <w:tr w:rsidR="005F0B3E" w:rsidRPr="00C9205C" w14:paraId="1154179B" w14:textId="77777777" w:rsidTr="00F02F8C">
        <w:tc>
          <w:tcPr>
            <w:tcW w:w="3227" w:type="dxa"/>
            <w:vAlign w:val="center"/>
          </w:tcPr>
          <w:p w14:paraId="0A8EBAB2"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After JJM</w:t>
            </w:r>
          </w:p>
        </w:tc>
        <w:tc>
          <w:tcPr>
            <w:tcW w:w="3227" w:type="dxa"/>
            <w:vAlign w:val="center"/>
          </w:tcPr>
          <w:p w14:paraId="209CE99A"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120</w:t>
            </w:r>
          </w:p>
        </w:tc>
        <w:tc>
          <w:tcPr>
            <w:tcW w:w="3227" w:type="dxa"/>
            <w:vAlign w:val="center"/>
          </w:tcPr>
          <w:p w14:paraId="3EBA6F7E" w14:textId="77777777" w:rsidR="005F0B3E" w:rsidRPr="00045D0F" w:rsidRDefault="005F0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46.2</w:t>
            </w:r>
          </w:p>
        </w:tc>
      </w:tr>
    </w:tbl>
    <w:p w14:paraId="621A5F30" w14:textId="77777777" w:rsidR="00497572" w:rsidRDefault="00497572" w:rsidP="00497572">
      <w:pPr>
        <w:spacing w:line="360" w:lineRule="auto"/>
        <w:jc w:val="both"/>
        <w:rPr>
          <w:rFonts w:ascii="Times New Roman" w:hAnsi="Times New Roman" w:cs="Times New Roman"/>
          <w:sz w:val="24"/>
          <w:szCs w:val="24"/>
        </w:rPr>
      </w:pPr>
    </w:p>
    <w:p w14:paraId="28C29206" w14:textId="77777777" w:rsidR="005F0B3E" w:rsidRPr="00BA3138" w:rsidRDefault="00497572" w:rsidP="00BA3138">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Tap coverage increased from 19.2% before the mission to 46.2% after, representing a rise of 27 percentage points. This reflects a major expansion in household access to piped drinking water. The proportion test results (Z = 7.12, p &lt; 0.001) confirm that this increase is statistically significant, indicating that the improve</w:t>
      </w:r>
      <w:r>
        <w:rPr>
          <w:rFonts w:ascii="Times New Roman" w:hAnsi="Times New Roman" w:cs="Times New Roman"/>
          <w:sz w:val="24"/>
          <w:szCs w:val="24"/>
        </w:rPr>
        <w:t xml:space="preserve">ment is not due to chance. </w:t>
      </w:r>
      <w:r w:rsidRPr="000C10EF">
        <w:rPr>
          <w:rFonts w:ascii="Times New Roman" w:hAnsi="Times New Roman" w:cs="Times New Roman"/>
          <w:sz w:val="24"/>
          <w:szCs w:val="24"/>
        </w:rPr>
        <w:t>The percentage change and statistical significance together demonstrate that the programme has had a strong and measurable impact on rural water infrastructure and service access.</w:t>
      </w:r>
      <w:r w:rsidR="00BA3138">
        <w:rPr>
          <w:rFonts w:ascii="Times New Roman" w:hAnsi="Times New Roman" w:cs="Times New Roman"/>
          <w:sz w:val="24"/>
          <w:szCs w:val="24"/>
        </w:rPr>
        <w:t xml:space="preserve"> </w:t>
      </w:r>
      <w:r w:rsidR="005F0B3E" w:rsidRPr="00045D0F">
        <w:rPr>
          <w:rFonts w:ascii="Times New Roman" w:eastAsia="Times New Roman" w:hAnsi="Times New Roman" w:cs="Times New Roman"/>
          <w:sz w:val="24"/>
          <w:szCs w:val="24"/>
        </w:rPr>
        <w:t>Tap-connected households increased from 50 to 120, reflecting a substantial expansion of rural drinking water infrastructure under JJM.</w:t>
      </w:r>
    </w:p>
    <w:p w14:paraId="4B68C500" w14:textId="77777777" w:rsidR="005F0B3E" w:rsidRPr="00045D0F" w:rsidRDefault="005F0B3E" w:rsidP="005F0B3E">
      <w:pPr>
        <w:spacing w:before="100" w:beforeAutospacing="1" w:after="100" w:afterAutospacing="1"/>
        <w:outlineLvl w:val="2"/>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Statistical Test 3: Proportion Test (Before vs After JJM)</w:t>
      </w:r>
    </w:p>
    <w:p w14:paraId="0D5A5C28" w14:textId="77777777" w:rsidR="005F0B3E" w:rsidRPr="00045D0F" w:rsidRDefault="005F0B3E" w:rsidP="005F0B3E">
      <w:pPr>
        <w:numPr>
          <w:ilvl w:val="0"/>
          <w:numId w:val="16"/>
        </w:numPr>
        <w:spacing w:before="100" w:beforeAutospacing="1" w:after="100" w:afterAutospacing="1"/>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Z-value = 7.12</w:t>
      </w:r>
    </w:p>
    <w:p w14:paraId="5E8E2520" w14:textId="77777777" w:rsidR="005F0B3E" w:rsidRPr="00045D0F" w:rsidRDefault="005F0B3E" w:rsidP="005F0B3E">
      <w:pPr>
        <w:numPr>
          <w:ilvl w:val="0"/>
          <w:numId w:val="16"/>
        </w:numPr>
        <w:spacing w:before="100" w:beforeAutospacing="1" w:after="100" w:afterAutospacing="1"/>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p &lt; 0.001</w:t>
      </w:r>
    </w:p>
    <w:p w14:paraId="0E33181E" w14:textId="77777777" w:rsidR="005F0B3E" w:rsidRPr="00045D0F" w:rsidRDefault="005F0B3E" w:rsidP="00BA3138">
      <w:pPr>
        <w:spacing w:before="100" w:beforeAutospacing="1" w:after="100" w:afterAutospacing="1" w:line="360" w:lineRule="auto"/>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 xml:space="preserve">The difference in tap connectivity before and after JJM is statistically significant at the 1% level. This confirms that the Jal Jeevan Mission has had a measurable and positive impact on household tap coverage in rural </w:t>
      </w:r>
      <w:proofErr w:type="spellStart"/>
      <w:r w:rsidRPr="00045D0F">
        <w:rPr>
          <w:rFonts w:ascii="Times New Roman" w:eastAsia="Times New Roman" w:hAnsi="Times New Roman" w:cs="Times New Roman"/>
          <w:sz w:val="24"/>
          <w:szCs w:val="24"/>
        </w:rPr>
        <w:t>Koppal</w:t>
      </w:r>
      <w:proofErr w:type="spellEnd"/>
      <w:r w:rsidRPr="00045D0F">
        <w:rPr>
          <w:rFonts w:ascii="Times New Roman" w:eastAsia="Times New Roman" w:hAnsi="Times New Roman" w:cs="Times New Roman"/>
          <w:sz w:val="24"/>
          <w:szCs w:val="24"/>
        </w:rPr>
        <w:t xml:space="preserve"> district.</w:t>
      </w:r>
    </w:p>
    <w:p w14:paraId="5930E20E" w14:textId="77777777" w:rsidR="00BA3138" w:rsidRDefault="00BA3138" w:rsidP="00FD4FD4">
      <w:pPr>
        <w:spacing w:before="100" w:beforeAutospacing="1" w:after="100" w:afterAutospacing="1"/>
        <w:outlineLvl w:val="1"/>
        <w:rPr>
          <w:rFonts w:ascii="Times New Roman" w:eastAsia="Times New Roman" w:hAnsi="Times New Roman" w:cs="Times New Roman"/>
          <w:b/>
          <w:bCs/>
          <w:sz w:val="24"/>
          <w:szCs w:val="24"/>
        </w:rPr>
      </w:pPr>
    </w:p>
    <w:p w14:paraId="435D24E7" w14:textId="77777777" w:rsidR="00FD4FD4" w:rsidRPr="00C9205C" w:rsidRDefault="00FD4FD4" w:rsidP="00FD4FD4">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Table 16: Perceived Water Qual</w:t>
      </w:r>
      <w:r w:rsidRPr="00C9205C">
        <w:rPr>
          <w:rFonts w:ascii="Times New Roman" w:eastAsia="Times New Roman" w:hAnsi="Times New Roman" w:cs="Times New Roman"/>
          <w:b/>
          <w:bCs/>
          <w:sz w:val="24"/>
          <w:szCs w:val="24"/>
        </w:rPr>
        <w:t>ity Improvement (Tap Users Only</w:t>
      </w:r>
      <w:r w:rsidRPr="00045D0F">
        <w:rPr>
          <w:rFonts w:ascii="Times New Roman" w:eastAsia="Times New Roman" w:hAnsi="Times New Roman" w:cs="Times New Roman"/>
          <w:b/>
          <w:bCs/>
          <w:sz w:val="24"/>
          <w:szCs w:val="24"/>
        </w:rPr>
        <w:t>)</w:t>
      </w:r>
    </w:p>
    <w:tbl>
      <w:tblPr>
        <w:tblStyle w:val="TableGrid"/>
        <w:tblW w:w="9039" w:type="dxa"/>
        <w:tblLook w:val="04A0" w:firstRow="1" w:lastRow="0" w:firstColumn="1" w:lastColumn="0" w:noHBand="0" w:noVBand="1"/>
      </w:tblPr>
      <w:tblGrid>
        <w:gridCol w:w="3227"/>
        <w:gridCol w:w="3227"/>
        <w:gridCol w:w="2585"/>
      </w:tblGrid>
      <w:tr w:rsidR="00FD4FD4" w:rsidRPr="00C9205C" w14:paraId="24AC6D44" w14:textId="77777777" w:rsidTr="00F02F8C">
        <w:tc>
          <w:tcPr>
            <w:tcW w:w="3227" w:type="dxa"/>
            <w:vAlign w:val="center"/>
          </w:tcPr>
          <w:p w14:paraId="675D8862" w14:textId="77777777" w:rsidR="00FD4FD4" w:rsidRPr="00045D0F" w:rsidRDefault="00FD4FD4"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Perception</w:t>
            </w:r>
          </w:p>
        </w:tc>
        <w:tc>
          <w:tcPr>
            <w:tcW w:w="3227" w:type="dxa"/>
            <w:vAlign w:val="center"/>
          </w:tcPr>
          <w:p w14:paraId="0A4608F9" w14:textId="77777777" w:rsidR="00FD4FD4" w:rsidRPr="00045D0F" w:rsidRDefault="00FD4FD4"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2585" w:type="dxa"/>
            <w:vAlign w:val="center"/>
          </w:tcPr>
          <w:p w14:paraId="3BD2E51D" w14:textId="77777777" w:rsidR="00FD4FD4" w:rsidRPr="00045D0F" w:rsidRDefault="00FD4FD4"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FD4FD4" w:rsidRPr="00C9205C" w14:paraId="73FC1CC7" w14:textId="77777777" w:rsidTr="00F02F8C">
        <w:tc>
          <w:tcPr>
            <w:tcW w:w="3227" w:type="dxa"/>
            <w:vAlign w:val="center"/>
          </w:tcPr>
          <w:p w14:paraId="05E89A7B"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Significant Improvement</w:t>
            </w:r>
          </w:p>
        </w:tc>
        <w:tc>
          <w:tcPr>
            <w:tcW w:w="3227" w:type="dxa"/>
            <w:vAlign w:val="center"/>
          </w:tcPr>
          <w:p w14:paraId="477B0CD1"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50</w:t>
            </w:r>
          </w:p>
        </w:tc>
        <w:tc>
          <w:tcPr>
            <w:tcW w:w="2585" w:type="dxa"/>
            <w:vAlign w:val="center"/>
          </w:tcPr>
          <w:p w14:paraId="56A7873D"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41.5</w:t>
            </w:r>
          </w:p>
        </w:tc>
      </w:tr>
      <w:tr w:rsidR="00FD4FD4" w:rsidRPr="00C9205C" w14:paraId="2E94C11D" w14:textId="77777777" w:rsidTr="00F02F8C">
        <w:tc>
          <w:tcPr>
            <w:tcW w:w="3227" w:type="dxa"/>
            <w:vAlign w:val="center"/>
          </w:tcPr>
          <w:p w14:paraId="29E8F488"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Moderate Improvement</w:t>
            </w:r>
          </w:p>
        </w:tc>
        <w:tc>
          <w:tcPr>
            <w:tcW w:w="3227" w:type="dxa"/>
            <w:vAlign w:val="center"/>
          </w:tcPr>
          <w:p w14:paraId="68F9D102"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41</w:t>
            </w:r>
          </w:p>
        </w:tc>
        <w:tc>
          <w:tcPr>
            <w:tcW w:w="2585" w:type="dxa"/>
            <w:vAlign w:val="center"/>
          </w:tcPr>
          <w:p w14:paraId="52D41E21"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34.2</w:t>
            </w:r>
          </w:p>
        </w:tc>
      </w:tr>
      <w:tr w:rsidR="00FD4FD4" w:rsidRPr="00C9205C" w14:paraId="47F1680D" w14:textId="77777777" w:rsidTr="00F02F8C">
        <w:tc>
          <w:tcPr>
            <w:tcW w:w="3227" w:type="dxa"/>
            <w:vAlign w:val="center"/>
          </w:tcPr>
          <w:p w14:paraId="1BC1494F"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No Change</w:t>
            </w:r>
          </w:p>
        </w:tc>
        <w:tc>
          <w:tcPr>
            <w:tcW w:w="3227" w:type="dxa"/>
            <w:vAlign w:val="center"/>
          </w:tcPr>
          <w:p w14:paraId="61261205"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23</w:t>
            </w:r>
          </w:p>
        </w:tc>
        <w:tc>
          <w:tcPr>
            <w:tcW w:w="2585" w:type="dxa"/>
            <w:vAlign w:val="center"/>
          </w:tcPr>
          <w:p w14:paraId="0C8E3E1C"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19.3</w:t>
            </w:r>
          </w:p>
        </w:tc>
      </w:tr>
      <w:tr w:rsidR="00FD4FD4" w:rsidRPr="00C9205C" w14:paraId="18549983" w14:textId="77777777" w:rsidTr="00F02F8C">
        <w:tc>
          <w:tcPr>
            <w:tcW w:w="3227" w:type="dxa"/>
            <w:vAlign w:val="center"/>
          </w:tcPr>
          <w:p w14:paraId="13319730"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Deteriorated</w:t>
            </w:r>
          </w:p>
        </w:tc>
        <w:tc>
          <w:tcPr>
            <w:tcW w:w="3227" w:type="dxa"/>
            <w:vAlign w:val="center"/>
          </w:tcPr>
          <w:p w14:paraId="7081C575"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6</w:t>
            </w:r>
          </w:p>
        </w:tc>
        <w:tc>
          <w:tcPr>
            <w:tcW w:w="2585" w:type="dxa"/>
            <w:vAlign w:val="center"/>
          </w:tcPr>
          <w:p w14:paraId="3D80FC1C"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5.0</w:t>
            </w:r>
          </w:p>
        </w:tc>
      </w:tr>
      <w:tr w:rsidR="00FD4FD4" w:rsidRPr="00C9205C" w14:paraId="54FE7D11" w14:textId="77777777" w:rsidTr="00F02F8C">
        <w:tc>
          <w:tcPr>
            <w:tcW w:w="3227" w:type="dxa"/>
            <w:vAlign w:val="center"/>
          </w:tcPr>
          <w:p w14:paraId="0091FA2E" w14:textId="77777777" w:rsidR="00FD4FD4" w:rsidRPr="00045D0F" w:rsidRDefault="00FD4FD4"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7B37640A"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120</w:t>
            </w:r>
          </w:p>
        </w:tc>
        <w:tc>
          <w:tcPr>
            <w:tcW w:w="2585" w:type="dxa"/>
            <w:vAlign w:val="center"/>
          </w:tcPr>
          <w:p w14:paraId="1705CFB8" w14:textId="77777777" w:rsidR="00FD4FD4" w:rsidRPr="00045D0F" w:rsidRDefault="00FD4FD4"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4210C9FF" w14:textId="77777777" w:rsidR="00497572" w:rsidRDefault="00497572" w:rsidP="00497572">
      <w:pPr>
        <w:spacing w:line="360" w:lineRule="auto"/>
        <w:jc w:val="both"/>
        <w:rPr>
          <w:rFonts w:ascii="Times New Roman" w:hAnsi="Times New Roman" w:cs="Times New Roman"/>
          <w:sz w:val="24"/>
          <w:szCs w:val="24"/>
        </w:rPr>
      </w:pPr>
    </w:p>
    <w:p w14:paraId="192206CB" w14:textId="77777777" w:rsidR="00497572" w:rsidRPr="000C10EF" w:rsidRDefault="00497572" w:rsidP="00497572">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Among tap users, 41.5% reported significant improvement in water quality and 34.2% observed moderate improvement, meaning 75.7% perceived a positive change. However, 19.3% reported no change and 5% felt quality had deteriorated.</w:t>
      </w:r>
      <w:r>
        <w:rPr>
          <w:rFonts w:ascii="Times New Roman" w:hAnsi="Times New Roman" w:cs="Times New Roman"/>
          <w:sz w:val="24"/>
          <w:szCs w:val="24"/>
        </w:rPr>
        <w:t xml:space="preserve"> </w:t>
      </w:r>
      <w:r w:rsidRPr="000C10EF">
        <w:rPr>
          <w:rFonts w:ascii="Times New Roman" w:hAnsi="Times New Roman" w:cs="Times New Roman"/>
          <w:sz w:val="24"/>
          <w:szCs w:val="24"/>
        </w:rPr>
        <w:t>The fact that over three-fourths of beneficiaries perceive improvement indicates positive programme outcomes, though the 24.3% reporting no improvement or deterioration suggests a need for quality monitoring in certain areas.</w:t>
      </w:r>
    </w:p>
    <w:p w14:paraId="496B5457" w14:textId="77777777" w:rsidR="00FD4FD4" w:rsidRPr="00C9205C" w:rsidRDefault="00FD4FD4" w:rsidP="00FD4FD4">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Table 17: Satisfaction with Service De</w:t>
      </w:r>
      <w:r w:rsidRPr="00C9205C">
        <w:rPr>
          <w:rFonts w:ascii="Times New Roman" w:eastAsia="Times New Roman" w:hAnsi="Times New Roman" w:cs="Times New Roman"/>
          <w:b/>
          <w:bCs/>
          <w:sz w:val="24"/>
          <w:szCs w:val="24"/>
        </w:rPr>
        <w:t>livery (Tap Users Only)</w:t>
      </w:r>
    </w:p>
    <w:tbl>
      <w:tblPr>
        <w:tblStyle w:val="TableGrid"/>
        <w:tblW w:w="9039" w:type="dxa"/>
        <w:tblLook w:val="04A0" w:firstRow="1" w:lastRow="0" w:firstColumn="1" w:lastColumn="0" w:noHBand="0" w:noVBand="1"/>
      </w:tblPr>
      <w:tblGrid>
        <w:gridCol w:w="3227"/>
        <w:gridCol w:w="3227"/>
        <w:gridCol w:w="2585"/>
      </w:tblGrid>
      <w:tr w:rsidR="00372B3E" w:rsidRPr="00C9205C" w14:paraId="4E503549" w14:textId="77777777" w:rsidTr="00F02F8C">
        <w:tc>
          <w:tcPr>
            <w:tcW w:w="3227" w:type="dxa"/>
            <w:vAlign w:val="center"/>
          </w:tcPr>
          <w:p w14:paraId="358F6918" w14:textId="77777777" w:rsidR="00372B3E" w:rsidRPr="00045D0F" w:rsidRDefault="00372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Satisfaction Level</w:t>
            </w:r>
          </w:p>
        </w:tc>
        <w:tc>
          <w:tcPr>
            <w:tcW w:w="3227" w:type="dxa"/>
            <w:vAlign w:val="center"/>
          </w:tcPr>
          <w:p w14:paraId="59BF8F3D" w14:textId="77777777" w:rsidR="00372B3E" w:rsidRPr="00045D0F" w:rsidRDefault="00372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2585" w:type="dxa"/>
            <w:vAlign w:val="center"/>
          </w:tcPr>
          <w:p w14:paraId="24E708FA" w14:textId="77777777" w:rsidR="00372B3E" w:rsidRPr="00045D0F" w:rsidRDefault="00372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372B3E" w:rsidRPr="00C9205C" w14:paraId="6DF8B410" w14:textId="77777777" w:rsidTr="00F02F8C">
        <w:tc>
          <w:tcPr>
            <w:tcW w:w="3227" w:type="dxa"/>
            <w:vAlign w:val="center"/>
          </w:tcPr>
          <w:p w14:paraId="761922E2"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Highly Satisfied</w:t>
            </w:r>
          </w:p>
        </w:tc>
        <w:tc>
          <w:tcPr>
            <w:tcW w:w="3227" w:type="dxa"/>
            <w:vAlign w:val="center"/>
          </w:tcPr>
          <w:p w14:paraId="3D5C317C"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36</w:t>
            </w:r>
          </w:p>
        </w:tc>
        <w:tc>
          <w:tcPr>
            <w:tcW w:w="2585" w:type="dxa"/>
            <w:vAlign w:val="center"/>
          </w:tcPr>
          <w:p w14:paraId="14E345C8"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30.0</w:t>
            </w:r>
          </w:p>
        </w:tc>
      </w:tr>
      <w:tr w:rsidR="00372B3E" w:rsidRPr="00C9205C" w14:paraId="2E02E3A5" w14:textId="77777777" w:rsidTr="00F02F8C">
        <w:tc>
          <w:tcPr>
            <w:tcW w:w="3227" w:type="dxa"/>
            <w:vAlign w:val="center"/>
          </w:tcPr>
          <w:p w14:paraId="7920C2AB"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Satisfied</w:t>
            </w:r>
          </w:p>
        </w:tc>
        <w:tc>
          <w:tcPr>
            <w:tcW w:w="3227" w:type="dxa"/>
            <w:vAlign w:val="center"/>
          </w:tcPr>
          <w:p w14:paraId="78D919DF"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52</w:t>
            </w:r>
          </w:p>
        </w:tc>
        <w:tc>
          <w:tcPr>
            <w:tcW w:w="2585" w:type="dxa"/>
            <w:vAlign w:val="center"/>
          </w:tcPr>
          <w:p w14:paraId="3BC274AD"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43.3</w:t>
            </w:r>
          </w:p>
        </w:tc>
      </w:tr>
      <w:tr w:rsidR="00372B3E" w:rsidRPr="00C9205C" w14:paraId="1C13A3B4" w14:textId="77777777" w:rsidTr="00F02F8C">
        <w:tc>
          <w:tcPr>
            <w:tcW w:w="3227" w:type="dxa"/>
            <w:vAlign w:val="center"/>
          </w:tcPr>
          <w:p w14:paraId="3FE3FFC4"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Neutral</w:t>
            </w:r>
          </w:p>
        </w:tc>
        <w:tc>
          <w:tcPr>
            <w:tcW w:w="3227" w:type="dxa"/>
            <w:vAlign w:val="center"/>
          </w:tcPr>
          <w:p w14:paraId="28D7DF57"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20</w:t>
            </w:r>
          </w:p>
        </w:tc>
        <w:tc>
          <w:tcPr>
            <w:tcW w:w="2585" w:type="dxa"/>
            <w:vAlign w:val="center"/>
          </w:tcPr>
          <w:p w14:paraId="7C9FDDF9"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16.7</w:t>
            </w:r>
          </w:p>
        </w:tc>
      </w:tr>
      <w:tr w:rsidR="00372B3E" w:rsidRPr="00C9205C" w14:paraId="4C44CC51" w14:textId="77777777" w:rsidTr="00F02F8C">
        <w:tc>
          <w:tcPr>
            <w:tcW w:w="3227" w:type="dxa"/>
            <w:vAlign w:val="center"/>
          </w:tcPr>
          <w:p w14:paraId="387BE8D0"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Dissatisfied</w:t>
            </w:r>
          </w:p>
        </w:tc>
        <w:tc>
          <w:tcPr>
            <w:tcW w:w="3227" w:type="dxa"/>
            <w:vAlign w:val="center"/>
          </w:tcPr>
          <w:p w14:paraId="049F44CA"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12</w:t>
            </w:r>
          </w:p>
        </w:tc>
        <w:tc>
          <w:tcPr>
            <w:tcW w:w="2585" w:type="dxa"/>
            <w:vAlign w:val="center"/>
          </w:tcPr>
          <w:p w14:paraId="6D1EA8F6"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r w:rsidR="00372B3E" w:rsidRPr="00C9205C" w14:paraId="0E75F58C" w14:textId="77777777" w:rsidTr="00F02F8C">
        <w:tc>
          <w:tcPr>
            <w:tcW w:w="3227" w:type="dxa"/>
            <w:vAlign w:val="center"/>
          </w:tcPr>
          <w:p w14:paraId="065F2F4C" w14:textId="77777777" w:rsidR="00372B3E" w:rsidRPr="00045D0F" w:rsidRDefault="00372B3E"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0CA6315B"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120</w:t>
            </w:r>
          </w:p>
        </w:tc>
        <w:tc>
          <w:tcPr>
            <w:tcW w:w="2585" w:type="dxa"/>
            <w:vAlign w:val="center"/>
          </w:tcPr>
          <w:p w14:paraId="5EC0331E"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5E59A1B2" w14:textId="77777777" w:rsidR="00497572" w:rsidRDefault="00497572" w:rsidP="00497572">
      <w:pPr>
        <w:spacing w:line="360" w:lineRule="auto"/>
        <w:jc w:val="both"/>
        <w:rPr>
          <w:rFonts w:ascii="Times New Roman" w:hAnsi="Times New Roman" w:cs="Times New Roman"/>
          <w:sz w:val="24"/>
          <w:szCs w:val="24"/>
        </w:rPr>
      </w:pPr>
    </w:p>
    <w:p w14:paraId="2F9D1F74" w14:textId="77777777" w:rsidR="00497572" w:rsidRPr="000C10EF" w:rsidRDefault="00497572" w:rsidP="00497572">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 xml:space="preserve">About 30% of respondents are highly satisfied and 43.3% satisfied, </w:t>
      </w:r>
      <w:proofErr w:type="spellStart"/>
      <w:r w:rsidRPr="000C10EF">
        <w:rPr>
          <w:rFonts w:ascii="Times New Roman" w:hAnsi="Times New Roman" w:cs="Times New Roman"/>
          <w:sz w:val="24"/>
          <w:szCs w:val="24"/>
        </w:rPr>
        <w:t>totaling</w:t>
      </w:r>
      <w:proofErr w:type="spellEnd"/>
      <w:r w:rsidRPr="000C10EF">
        <w:rPr>
          <w:rFonts w:ascii="Times New Roman" w:hAnsi="Times New Roman" w:cs="Times New Roman"/>
          <w:sz w:val="24"/>
          <w:szCs w:val="24"/>
        </w:rPr>
        <w:t xml:space="preserve"> 73.3% positive satisfaction. Meanwhile, 16.7% remain neutral and 10%</w:t>
      </w:r>
      <w:r>
        <w:rPr>
          <w:rFonts w:ascii="Times New Roman" w:hAnsi="Times New Roman" w:cs="Times New Roman"/>
          <w:sz w:val="24"/>
          <w:szCs w:val="24"/>
        </w:rPr>
        <w:t xml:space="preserve"> are dissatisfied. </w:t>
      </w:r>
      <w:r w:rsidRPr="000C10EF">
        <w:rPr>
          <w:rFonts w:ascii="Times New Roman" w:hAnsi="Times New Roman" w:cs="Times New Roman"/>
          <w:sz w:val="24"/>
          <w:szCs w:val="24"/>
        </w:rPr>
        <w:t>With nearly three-quarters expressing satisfaction, service delivery is generally well received; however, the 26.7% neutral or dissatisfied group highlights scope for improving reliability and service responsiveness.</w:t>
      </w:r>
    </w:p>
    <w:p w14:paraId="39CC6D4C" w14:textId="77777777" w:rsidR="00372B3E" w:rsidRPr="00C9205C" w:rsidRDefault="00372B3E" w:rsidP="00372B3E">
      <w:pPr>
        <w:spacing w:before="100" w:beforeAutospacing="1" w:after="100" w:afterAutospacing="1"/>
        <w:outlineLvl w:val="1"/>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Table 18: Community Suggestions for Improvement</w:t>
      </w:r>
    </w:p>
    <w:tbl>
      <w:tblPr>
        <w:tblStyle w:val="TableGrid"/>
        <w:tblW w:w="9681" w:type="dxa"/>
        <w:tblLook w:val="04A0" w:firstRow="1" w:lastRow="0" w:firstColumn="1" w:lastColumn="0" w:noHBand="0" w:noVBand="1"/>
      </w:tblPr>
      <w:tblGrid>
        <w:gridCol w:w="3227"/>
        <w:gridCol w:w="3227"/>
        <w:gridCol w:w="3227"/>
      </w:tblGrid>
      <w:tr w:rsidR="00372B3E" w:rsidRPr="00C9205C" w14:paraId="5FFB4B67" w14:textId="77777777" w:rsidTr="00372B3E">
        <w:tc>
          <w:tcPr>
            <w:tcW w:w="3227" w:type="dxa"/>
            <w:vAlign w:val="center"/>
          </w:tcPr>
          <w:p w14:paraId="7289D360" w14:textId="77777777" w:rsidR="00372B3E" w:rsidRPr="00045D0F" w:rsidRDefault="00372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Suggested Strategy</w:t>
            </w:r>
          </w:p>
        </w:tc>
        <w:tc>
          <w:tcPr>
            <w:tcW w:w="3227" w:type="dxa"/>
            <w:vAlign w:val="center"/>
          </w:tcPr>
          <w:p w14:paraId="2C7EF0C1" w14:textId="77777777" w:rsidR="00372B3E" w:rsidRPr="00045D0F" w:rsidRDefault="00372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Respondents (N)</w:t>
            </w:r>
          </w:p>
        </w:tc>
        <w:tc>
          <w:tcPr>
            <w:tcW w:w="3227" w:type="dxa"/>
            <w:vAlign w:val="center"/>
          </w:tcPr>
          <w:p w14:paraId="1CE6DEBA" w14:textId="77777777" w:rsidR="00372B3E" w:rsidRPr="00045D0F" w:rsidRDefault="00372B3E" w:rsidP="00F02F8C">
            <w:pPr>
              <w:jc w:val="center"/>
              <w:rPr>
                <w:rFonts w:ascii="Times New Roman" w:eastAsia="Times New Roman" w:hAnsi="Times New Roman" w:cs="Times New Roman"/>
                <w:b/>
                <w:bCs/>
                <w:sz w:val="24"/>
                <w:szCs w:val="24"/>
              </w:rPr>
            </w:pPr>
            <w:r w:rsidRPr="00045D0F">
              <w:rPr>
                <w:rFonts w:ascii="Times New Roman" w:eastAsia="Times New Roman" w:hAnsi="Times New Roman" w:cs="Times New Roman"/>
                <w:b/>
                <w:bCs/>
                <w:sz w:val="24"/>
                <w:szCs w:val="24"/>
              </w:rPr>
              <w:t>Percentage (%)</w:t>
            </w:r>
          </w:p>
        </w:tc>
      </w:tr>
      <w:tr w:rsidR="00372B3E" w:rsidRPr="00C9205C" w14:paraId="2FCFD2E7" w14:textId="77777777" w:rsidTr="00372B3E">
        <w:tc>
          <w:tcPr>
            <w:tcW w:w="3227" w:type="dxa"/>
            <w:vAlign w:val="center"/>
          </w:tcPr>
          <w:p w14:paraId="46889359"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Regular Water Quality Testing</w:t>
            </w:r>
          </w:p>
        </w:tc>
        <w:tc>
          <w:tcPr>
            <w:tcW w:w="3227" w:type="dxa"/>
            <w:vAlign w:val="center"/>
          </w:tcPr>
          <w:p w14:paraId="00898A83"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92</w:t>
            </w:r>
          </w:p>
        </w:tc>
        <w:tc>
          <w:tcPr>
            <w:tcW w:w="3227" w:type="dxa"/>
            <w:vAlign w:val="center"/>
          </w:tcPr>
          <w:p w14:paraId="37937A83"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35.4</w:t>
            </w:r>
          </w:p>
        </w:tc>
      </w:tr>
      <w:tr w:rsidR="00372B3E" w:rsidRPr="00C9205C" w14:paraId="55DBA076" w14:textId="77777777" w:rsidTr="00372B3E">
        <w:tc>
          <w:tcPr>
            <w:tcW w:w="3227" w:type="dxa"/>
            <w:vAlign w:val="center"/>
          </w:tcPr>
          <w:p w14:paraId="52DAA8A8"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Increase Supply Duration</w:t>
            </w:r>
          </w:p>
        </w:tc>
        <w:tc>
          <w:tcPr>
            <w:tcW w:w="3227" w:type="dxa"/>
            <w:vAlign w:val="center"/>
          </w:tcPr>
          <w:p w14:paraId="29850C79"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82</w:t>
            </w:r>
          </w:p>
        </w:tc>
        <w:tc>
          <w:tcPr>
            <w:tcW w:w="3227" w:type="dxa"/>
            <w:vAlign w:val="center"/>
          </w:tcPr>
          <w:p w14:paraId="703C56D2"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31.5</w:t>
            </w:r>
          </w:p>
        </w:tc>
      </w:tr>
      <w:tr w:rsidR="00372B3E" w:rsidRPr="00C9205C" w14:paraId="6475F75B" w14:textId="77777777" w:rsidTr="00372B3E">
        <w:tc>
          <w:tcPr>
            <w:tcW w:w="3227" w:type="dxa"/>
            <w:vAlign w:val="center"/>
          </w:tcPr>
          <w:p w14:paraId="65A7B78A"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Infrastructure Maintenance</w:t>
            </w:r>
          </w:p>
        </w:tc>
        <w:tc>
          <w:tcPr>
            <w:tcW w:w="3227" w:type="dxa"/>
            <w:vAlign w:val="center"/>
          </w:tcPr>
          <w:p w14:paraId="6E391FD1"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44</w:t>
            </w:r>
          </w:p>
        </w:tc>
        <w:tc>
          <w:tcPr>
            <w:tcW w:w="3227" w:type="dxa"/>
            <w:vAlign w:val="center"/>
          </w:tcPr>
          <w:p w14:paraId="20868A57"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16.9</w:t>
            </w:r>
          </w:p>
        </w:tc>
      </w:tr>
      <w:tr w:rsidR="00372B3E" w:rsidRPr="00C9205C" w14:paraId="5A017565" w14:textId="77777777" w:rsidTr="00372B3E">
        <w:tc>
          <w:tcPr>
            <w:tcW w:w="3227" w:type="dxa"/>
            <w:vAlign w:val="center"/>
          </w:tcPr>
          <w:p w14:paraId="1C9F5067"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Awareness Campaigns</w:t>
            </w:r>
          </w:p>
        </w:tc>
        <w:tc>
          <w:tcPr>
            <w:tcW w:w="3227" w:type="dxa"/>
            <w:vAlign w:val="center"/>
          </w:tcPr>
          <w:p w14:paraId="26DC39F0"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27</w:t>
            </w:r>
          </w:p>
        </w:tc>
        <w:tc>
          <w:tcPr>
            <w:tcW w:w="3227" w:type="dxa"/>
            <w:vAlign w:val="center"/>
          </w:tcPr>
          <w:p w14:paraId="69A780B4"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10.4</w:t>
            </w:r>
          </w:p>
        </w:tc>
      </w:tr>
      <w:tr w:rsidR="00372B3E" w:rsidRPr="00C9205C" w14:paraId="7F459F20" w14:textId="77777777" w:rsidTr="00372B3E">
        <w:tc>
          <w:tcPr>
            <w:tcW w:w="3227" w:type="dxa"/>
            <w:vAlign w:val="center"/>
          </w:tcPr>
          <w:p w14:paraId="05019523"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Community Monitoring</w:t>
            </w:r>
          </w:p>
        </w:tc>
        <w:tc>
          <w:tcPr>
            <w:tcW w:w="3227" w:type="dxa"/>
            <w:vAlign w:val="center"/>
          </w:tcPr>
          <w:p w14:paraId="28C31358"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15</w:t>
            </w:r>
          </w:p>
        </w:tc>
        <w:tc>
          <w:tcPr>
            <w:tcW w:w="3227" w:type="dxa"/>
            <w:vAlign w:val="center"/>
          </w:tcPr>
          <w:p w14:paraId="5EC9D036"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5.8</w:t>
            </w:r>
          </w:p>
        </w:tc>
      </w:tr>
      <w:tr w:rsidR="00372B3E" w:rsidRPr="00C9205C" w14:paraId="21163858" w14:textId="77777777" w:rsidTr="00372B3E">
        <w:tc>
          <w:tcPr>
            <w:tcW w:w="3227" w:type="dxa"/>
            <w:vAlign w:val="center"/>
          </w:tcPr>
          <w:p w14:paraId="2CF683F7" w14:textId="77777777" w:rsidR="00372B3E" w:rsidRPr="00045D0F" w:rsidRDefault="00372B3E" w:rsidP="00F02F8C">
            <w:pPr>
              <w:rPr>
                <w:rFonts w:ascii="Times New Roman" w:eastAsia="Times New Roman" w:hAnsi="Times New Roman" w:cs="Times New Roman"/>
                <w:sz w:val="24"/>
                <w:szCs w:val="24"/>
              </w:rPr>
            </w:pPr>
            <w:r w:rsidRPr="00C9205C">
              <w:rPr>
                <w:rFonts w:ascii="Times New Roman" w:eastAsia="Times New Roman" w:hAnsi="Times New Roman" w:cs="Times New Roman"/>
                <w:b/>
                <w:bCs/>
                <w:sz w:val="24"/>
                <w:szCs w:val="24"/>
              </w:rPr>
              <w:t>Total</w:t>
            </w:r>
          </w:p>
        </w:tc>
        <w:tc>
          <w:tcPr>
            <w:tcW w:w="3227" w:type="dxa"/>
            <w:vAlign w:val="center"/>
          </w:tcPr>
          <w:p w14:paraId="08315F72"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260</w:t>
            </w:r>
          </w:p>
        </w:tc>
        <w:tc>
          <w:tcPr>
            <w:tcW w:w="3227" w:type="dxa"/>
            <w:vAlign w:val="center"/>
          </w:tcPr>
          <w:p w14:paraId="69273B2E" w14:textId="77777777" w:rsidR="00372B3E" w:rsidRPr="00045D0F" w:rsidRDefault="00372B3E" w:rsidP="00F02F8C">
            <w:pPr>
              <w:rPr>
                <w:rFonts w:ascii="Times New Roman" w:eastAsia="Times New Roman" w:hAnsi="Times New Roman" w:cs="Times New Roman"/>
                <w:sz w:val="24"/>
                <w:szCs w:val="24"/>
              </w:rPr>
            </w:pPr>
            <w:r w:rsidRPr="00045D0F">
              <w:rPr>
                <w:rFonts w:ascii="Times New Roman" w:eastAsia="Times New Roman" w:hAnsi="Times New Roman" w:cs="Times New Roman"/>
                <w:sz w:val="24"/>
                <w:szCs w:val="24"/>
              </w:rPr>
              <w:t>100</w:t>
            </w:r>
          </w:p>
        </w:tc>
      </w:tr>
    </w:tbl>
    <w:p w14:paraId="6C7C3945" w14:textId="77777777" w:rsidR="00372B3E" w:rsidRDefault="00372B3E" w:rsidP="00372B3E">
      <w:pPr>
        <w:spacing w:before="100" w:beforeAutospacing="1" w:after="100" w:afterAutospacing="1"/>
        <w:outlineLvl w:val="1"/>
        <w:rPr>
          <w:rFonts w:ascii="Times New Roman" w:eastAsia="Times New Roman" w:hAnsi="Times New Roman" w:cs="Times New Roman"/>
          <w:b/>
          <w:bCs/>
          <w:sz w:val="24"/>
          <w:szCs w:val="24"/>
        </w:rPr>
      </w:pPr>
    </w:p>
    <w:p w14:paraId="74ADF9D5" w14:textId="77777777" w:rsidR="00497572" w:rsidRPr="000C10EF" w:rsidRDefault="00497572" w:rsidP="00497572">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 xml:space="preserve">The most common suggestion is regular water quality testing (35.4%), followed by increasing supply duration (31.5%). Infrastructure maintenance (16.9%), awareness campaigns (10.4%), and community monitoring (5.8%) are less frequently mentioned but still important. Since over two-thirds (66.9%) emphasize quality testing and longer supply duration, community </w:t>
      </w:r>
      <w:r w:rsidRPr="000C10EF">
        <w:rPr>
          <w:rFonts w:ascii="Times New Roman" w:hAnsi="Times New Roman" w:cs="Times New Roman"/>
          <w:sz w:val="24"/>
          <w:szCs w:val="24"/>
        </w:rPr>
        <w:lastRenderedPageBreak/>
        <w:t>priorities clearly focus on improving service reliability and safety rather than only expanding coverage.</w:t>
      </w:r>
    </w:p>
    <w:p w14:paraId="515664A0" w14:textId="77777777" w:rsidR="00497572" w:rsidRPr="000C10EF" w:rsidRDefault="00497572" w:rsidP="00497572">
      <w:pPr>
        <w:spacing w:line="360" w:lineRule="auto"/>
        <w:jc w:val="both"/>
        <w:rPr>
          <w:rFonts w:ascii="Times New Roman" w:hAnsi="Times New Roman" w:cs="Times New Roman"/>
          <w:sz w:val="24"/>
          <w:szCs w:val="24"/>
        </w:rPr>
      </w:pPr>
      <w:r w:rsidRPr="000C10EF">
        <w:rPr>
          <w:rFonts w:ascii="Times New Roman" w:hAnsi="Times New Roman" w:cs="Times New Roman"/>
          <w:sz w:val="24"/>
          <w:szCs w:val="24"/>
        </w:rPr>
        <w:t>Percentage trends indicate that the Jal Jeevan Mission has significantly improved access to household tap water (increase from 19.2% to 46.2%) and generated positive perceptions regarding water quality (75.7% improvement) and service satisfaction (73.3% satisfied). However, gaps remain in awareness (23.8% unaware) and service consistency.</w:t>
      </w:r>
      <w:r>
        <w:rPr>
          <w:rFonts w:ascii="Times New Roman" w:hAnsi="Times New Roman" w:cs="Times New Roman"/>
          <w:sz w:val="24"/>
          <w:szCs w:val="24"/>
        </w:rPr>
        <w:t xml:space="preserve"> </w:t>
      </w:r>
      <w:r w:rsidRPr="000C10EF">
        <w:rPr>
          <w:rFonts w:ascii="Times New Roman" w:hAnsi="Times New Roman" w:cs="Times New Roman"/>
          <w:sz w:val="24"/>
          <w:szCs w:val="24"/>
        </w:rPr>
        <w:t>The findings suggest that while infrastructure expansion has been successful, the next phase of interventions should focus on service quality, supply duration, and awareness enhancement to ensure sustainable and equitable benefits of the programme.</w:t>
      </w:r>
    </w:p>
    <w:p w14:paraId="7A5F3EE4" w14:textId="77777777" w:rsidR="00BA3138" w:rsidRDefault="00BA3138" w:rsidP="00281004">
      <w:pPr>
        <w:spacing w:before="100" w:beforeAutospacing="1" w:after="100" w:afterAutospacing="1"/>
        <w:outlineLvl w:val="1"/>
        <w:rPr>
          <w:rFonts w:ascii="Times New Roman" w:eastAsia="Times New Roman" w:hAnsi="Times New Roman" w:cs="Times New Roman"/>
          <w:b/>
          <w:bCs/>
          <w:sz w:val="24"/>
          <w:szCs w:val="24"/>
          <w:lang w:val="en-US" w:bidi="ar-SA"/>
        </w:rPr>
      </w:pPr>
      <w:r>
        <w:rPr>
          <w:rFonts w:ascii="Times New Roman" w:eastAsia="Times New Roman" w:hAnsi="Times New Roman" w:cs="Times New Roman"/>
          <w:b/>
          <w:bCs/>
          <w:sz w:val="24"/>
          <w:szCs w:val="24"/>
          <w:lang w:val="en-US" w:bidi="ar-SA"/>
        </w:rPr>
        <w:t xml:space="preserve">9. Conclusion </w:t>
      </w:r>
    </w:p>
    <w:p w14:paraId="32FC98D4" w14:textId="77777777" w:rsidR="001E0FAB" w:rsidRPr="001E0FAB" w:rsidRDefault="001E0FAB" w:rsidP="001E0FAB">
      <w:pPr>
        <w:spacing w:line="360" w:lineRule="auto"/>
        <w:jc w:val="both"/>
        <w:rPr>
          <w:rFonts w:ascii="Times New Roman" w:hAnsi="Times New Roman" w:cs="Times New Roman"/>
          <w:sz w:val="24"/>
          <w:szCs w:val="24"/>
        </w:rPr>
      </w:pPr>
      <w:r w:rsidRPr="001E0FAB">
        <w:rPr>
          <w:rFonts w:ascii="Times New Roman" w:hAnsi="Times New Roman" w:cs="Times New Roman"/>
          <w:sz w:val="24"/>
          <w:szCs w:val="24"/>
        </w:rPr>
        <w:t>The study provides a comprehensive understanding of the socio-economic conditions and drinking water situation among rural households, highlighting both achievements and persistent challenges. The findings reveal that the majority of respondents belong to economically vulnerable and socially marginalized groups, with low levels of education and heavy dependence on agriculture and daily wage labour. These structural conditions significantly influence access to resources, awareness levels, and adoption of safe water practices.</w:t>
      </w:r>
    </w:p>
    <w:p w14:paraId="1F7FDB5A" w14:textId="77777777" w:rsidR="001E0FAB" w:rsidRPr="001E0FAB" w:rsidRDefault="001E0FAB" w:rsidP="001E0FAB">
      <w:pPr>
        <w:spacing w:line="360" w:lineRule="auto"/>
        <w:jc w:val="both"/>
        <w:rPr>
          <w:rFonts w:ascii="Times New Roman" w:hAnsi="Times New Roman" w:cs="Times New Roman"/>
          <w:sz w:val="24"/>
          <w:szCs w:val="24"/>
        </w:rPr>
      </w:pPr>
      <w:r w:rsidRPr="001E0FAB">
        <w:rPr>
          <w:rFonts w:ascii="Times New Roman" w:hAnsi="Times New Roman" w:cs="Times New Roman"/>
          <w:sz w:val="24"/>
          <w:szCs w:val="24"/>
        </w:rPr>
        <w:t>The Jal Jeevan Mission has made a substantial impact by significantly increasing household tap connectivity from 19.2% to 46.2%, indicating successful expansion of rural water infrastructure. A large proportion of beneficiaries also perceive improvements in water quality (75.7%) and express satisfaction with service delivery (73.3%), demonstrating the effectiveness of the programme in enhancing access. However, access alone does not guarantee water security. Issues such as irregular supply, limited duration of water availability, and moderate adequacy levels continue to affect a majority of households.</w:t>
      </w:r>
    </w:p>
    <w:p w14:paraId="070ED97A" w14:textId="77777777" w:rsidR="001E0FAB" w:rsidRPr="001E0FAB" w:rsidRDefault="001E0FAB" w:rsidP="001E0FAB">
      <w:pPr>
        <w:spacing w:line="360" w:lineRule="auto"/>
        <w:jc w:val="both"/>
        <w:rPr>
          <w:rFonts w:ascii="Times New Roman" w:hAnsi="Times New Roman" w:cs="Times New Roman"/>
          <w:sz w:val="24"/>
          <w:szCs w:val="24"/>
        </w:rPr>
      </w:pPr>
      <w:r w:rsidRPr="001E0FAB">
        <w:rPr>
          <w:rFonts w:ascii="Times New Roman" w:hAnsi="Times New Roman" w:cs="Times New Roman"/>
          <w:sz w:val="24"/>
          <w:szCs w:val="24"/>
        </w:rPr>
        <w:t>Health and hygiene aspects remain critical concerns, as nearly 30% of households reported waterborne illnesses, and a significant proportion still do not treat drinking water. Statistical analysis further confirms that education and water treatment practices play a crucial role in reducing health risks.</w:t>
      </w:r>
    </w:p>
    <w:p w14:paraId="5FB9BF43" w14:textId="77777777" w:rsidR="001E0FAB" w:rsidRPr="001E0FAB" w:rsidRDefault="001E0FAB" w:rsidP="001E0FAB">
      <w:pPr>
        <w:spacing w:line="360" w:lineRule="auto"/>
        <w:jc w:val="both"/>
        <w:rPr>
          <w:rFonts w:ascii="Times New Roman" w:hAnsi="Times New Roman" w:cs="Times New Roman"/>
          <w:sz w:val="24"/>
          <w:szCs w:val="24"/>
        </w:rPr>
      </w:pPr>
      <w:r w:rsidRPr="001E0FAB">
        <w:rPr>
          <w:rFonts w:ascii="Times New Roman" w:hAnsi="Times New Roman" w:cs="Times New Roman"/>
          <w:sz w:val="24"/>
          <w:szCs w:val="24"/>
        </w:rPr>
        <w:t>Overall, while the Jal Jeevan Mission has achieved notable progress in infrastructure development, the findings emphasize the need for a shift towards improving service reliability, water quality monitoring, and community awareness. Strengthening these areas will be essential to ensure sustainable, equitable, and health-secure outcomes for rural populations.</w:t>
      </w:r>
    </w:p>
    <w:p w14:paraId="73EB520A" w14:textId="77777777" w:rsidR="00AB53C7" w:rsidRPr="00AB53C7" w:rsidRDefault="00AB53C7" w:rsidP="00AB53C7">
      <w:pPr>
        <w:pStyle w:val="Heading3"/>
        <w:rPr>
          <w:color w:val="auto"/>
        </w:rPr>
      </w:pPr>
      <w:r w:rsidRPr="00AB53C7">
        <w:rPr>
          <w:rStyle w:val="Strong"/>
          <w:b/>
          <w:bCs/>
          <w:color w:val="auto"/>
        </w:rPr>
        <w:lastRenderedPageBreak/>
        <w:t xml:space="preserve">9. References </w:t>
      </w:r>
    </w:p>
    <w:p w14:paraId="25B74EA2" w14:textId="77777777" w:rsidR="00AB53C7" w:rsidRDefault="00AB53C7" w:rsidP="00AB53C7">
      <w:pPr>
        <w:pStyle w:val="NormalWeb"/>
      </w:pPr>
      <w:r>
        <w:t xml:space="preserve">Central Ground Water Board. (2020). </w:t>
      </w:r>
      <w:r>
        <w:rPr>
          <w:rStyle w:val="Emphasis"/>
        </w:rPr>
        <w:t>Ground water year book – Karnataka</w:t>
      </w:r>
      <w:r>
        <w:t>. Ministry of Jal Shakti, Government of India.</w:t>
      </w:r>
    </w:p>
    <w:p w14:paraId="04506037" w14:textId="77777777" w:rsidR="00AB53C7" w:rsidRDefault="00AB53C7" w:rsidP="00AB53C7">
      <w:pPr>
        <w:pStyle w:val="NormalWeb"/>
      </w:pPr>
      <w:r>
        <w:t xml:space="preserve">Clasen, T., Alexander, K. T., Sinclair, D., Boisson, S., </w:t>
      </w:r>
      <w:proofErr w:type="spellStart"/>
      <w:r>
        <w:t>Peletz</w:t>
      </w:r>
      <w:proofErr w:type="spellEnd"/>
      <w:r>
        <w:t xml:space="preserve">, R., Chang, H. H., </w:t>
      </w:r>
      <w:proofErr w:type="spellStart"/>
      <w:r>
        <w:t>Majorin</w:t>
      </w:r>
      <w:proofErr w:type="spellEnd"/>
      <w:r>
        <w:t xml:space="preserve">, F., &amp; Cairncross, S. (2015). Interventions to improve water quality for preventing diarrhoea. </w:t>
      </w:r>
      <w:r>
        <w:rPr>
          <w:rStyle w:val="Emphasis"/>
        </w:rPr>
        <w:t>Cochrane Database of Systematic Reviews</w:t>
      </w:r>
      <w:r>
        <w:t xml:space="preserve">, (10), CD004794. </w:t>
      </w:r>
      <w:hyperlink r:id="rId8" w:tgtFrame="_new" w:history="1">
        <w:r>
          <w:rPr>
            <w:rStyle w:val="Hyperlink"/>
          </w:rPr>
          <w:t>https://doi.org/10.1002/14651858.CD004794.pub3</w:t>
        </w:r>
      </w:hyperlink>
    </w:p>
    <w:p w14:paraId="1A87DCC6" w14:textId="77777777" w:rsidR="00AB53C7" w:rsidRDefault="00AB53C7" w:rsidP="00AB53C7">
      <w:pPr>
        <w:pStyle w:val="NormalWeb"/>
      </w:pPr>
      <w:r>
        <w:t xml:space="preserve">Government of India. (2021). </w:t>
      </w:r>
      <w:r>
        <w:rPr>
          <w:rStyle w:val="Emphasis"/>
        </w:rPr>
        <w:t>Jal Jeevan Mission: Operational guidelines</w:t>
      </w:r>
      <w:r>
        <w:t>. Ministry of Jal Shakti.</w:t>
      </w:r>
    </w:p>
    <w:p w14:paraId="692D53A5" w14:textId="77777777" w:rsidR="00AB53C7" w:rsidRDefault="00AB53C7" w:rsidP="00AB53C7">
      <w:pPr>
        <w:pStyle w:val="NormalWeb"/>
      </w:pPr>
      <w:r>
        <w:t xml:space="preserve">Howard, G., &amp; Bartram, J. (2014). </w:t>
      </w:r>
      <w:r>
        <w:rPr>
          <w:rStyle w:val="Emphasis"/>
        </w:rPr>
        <w:t>Domestic water quantity, service level and health</w:t>
      </w:r>
      <w:r>
        <w:t>. World Health Organization.</w:t>
      </w:r>
    </w:p>
    <w:p w14:paraId="0AEED83B" w14:textId="77777777" w:rsidR="00AB53C7" w:rsidRDefault="00AB53C7" w:rsidP="00AB53C7">
      <w:pPr>
        <w:pStyle w:val="NormalWeb"/>
      </w:pPr>
      <w:r>
        <w:t xml:space="preserve">Narain, S. (2014). </w:t>
      </w:r>
      <w:r>
        <w:rPr>
          <w:rStyle w:val="Emphasis"/>
        </w:rPr>
        <w:t>Water: India’s crisis of survival</w:t>
      </w:r>
      <w:r>
        <w:t>. Centre for Science and Environment.</w:t>
      </w:r>
    </w:p>
    <w:p w14:paraId="07EA0982" w14:textId="77777777" w:rsidR="00AB53C7" w:rsidRDefault="00AB53C7" w:rsidP="00AB53C7">
      <w:pPr>
        <w:pStyle w:val="NormalWeb"/>
      </w:pPr>
      <w:r>
        <w:t xml:space="preserve">NITI Aayog. (2022). </w:t>
      </w:r>
      <w:r>
        <w:rPr>
          <w:rStyle w:val="Emphasis"/>
        </w:rPr>
        <w:t>Evaluation of Jal Jeevan Mission: Implementation, water quality and sustainability</w:t>
      </w:r>
      <w:r>
        <w:t>. Government of India.</w:t>
      </w:r>
    </w:p>
    <w:p w14:paraId="387B6AF0" w14:textId="77777777" w:rsidR="00AB53C7" w:rsidRDefault="00AB53C7" w:rsidP="00AB53C7">
      <w:pPr>
        <w:pStyle w:val="NormalWeb"/>
      </w:pPr>
      <w:r>
        <w:t xml:space="preserve">Planning Commission. (2013). </w:t>
      </w:r>
      <w:r>
        <w:rPr>
          <w:rStyle w:val="Emphasis"/>
        </w:rPr>
        <w:t>Evaluation study on rural drinking water programmes</w:t>
      </w:r>
      <w:r>
        <w:t>. Government of India.</w:t>
      </w:r>
    </w:p>
    <w:p w14:paraId="71C24131" w14:textId="77777777" w:rsidR="00AB53C7" w:rsidRDefault="00AB53C7" w:rsidP="00AB53C7">
      <w:pPr>
        <w:pStyle w:val="NormalWeb"/>
      </w:pPr>
      <w:r>
        <w:t xml:space="preserve">United Nations Children’s Fund (UNICEF). (2018). </w:t>
      </w:r>
      <w:r>
        <w:rPr>
          <w:rStyle w:val="Emphasis"/>
        </w:rPr>
        <w:t>Water quality and fluoride contamination in rural India</w:t>
      </w:r>
      <w:r>
        <w:t>. UNICEF India.</w:t>
      </w:r>
    </w:p>
    <w:p w14:paraId="444BE3FF" w14:textId="77777777" w:rsidR="00AB53C7" w:rsidRDefault="00AB53C7" w:rsidP="00AB53C7">
      <w:pPr>
        <w:pStyle w:val="NormalWeb"/>
      </w:pPr>
      <w:r>
        <w:t xml:space="preserve">United Nations Development Programme (UNDP). (2020). </w:t>
      </w:r>
      <w:r>
        <w:rPr>
          <w:rStyle w:val="Emphasis"/>
        </w:rPr>
        <w:t>Gender and water governance in India</w:t>
      </w:r>
      <w:r>
        <w:t>. UNDP India.</w:t>
      </w:r>
    </w:p>
    <w:p w14:paraId="2E767665" w14:textId="77777777" w:rsidR="00AB53C7" w:rsidRDefault="00AB53C7" w:rsidP="00AB53C7">
      <w:pPr>
        <w:pStyle w:val="NormalWeb"/>
      </w:pPr>
      <w:r>
        <w:t xml:space="preserve">World Health Organization (WHO). (2019). </w:t>
      </w:r>
      <w:r>
        <w:rPr>
          <w:rStyle w:val="Emphasis"/>
        </w:rPr>
        <w:t>Drinking-water</w:t>
      </w:r>
      <w:r>
        <w:t xml:space="preserve">. </w:t>
      </w:r>
      <w:hyperlink r:id="rId9" w:tgtFrame="_new" w:history="1">
        <w:r>
          <w:rPr>
            <w:rStyle w:val="Hyperlink"/>
          </w:rPr>
          <w:t>https://www.who.int/news-room/fact-sheets/detail/drinking-water</w:t>
        </w:r>
      </w:hyperlink>
    </w:p>
    <w:p w14:paraId="11A8C27B" w14:textId="77777777" w:rsidR="00AB53C7" w:rsidRDefault="00AB53C7" w:rsidP="00AB53C7">
      <w:pPr>
        <w:pStyle w:val="NormalWeb"/>
      </w:pPr>
      <w:r>
        <w:t xml:space="preserve">Wright, J., Gundry, S., &amp; Conroy, R. (2004). Household drinking water contamination in developing countries: A systematic review of microbiological contamination between source and point-of-use. </w:t>
      </w:r>
      <w:r>
        <w:rPr>
          <w:rStyle w:val="Emphasis"/>
        </w:rPr>
        <w:t>Tropical Medicine &amp; International Health</w:t>
      </w:r>
      <w:r>
        <w:t xml:space="preserve">, </w:t>
      </w:r>
      <w:r>
        <w:rPr>
          <w:rStyle w:val="Emphasis"/>
        </w:rPr>
        <w:t>9</w:t>
      </w:r>
      <w:r>
        <w:t xml:space="preserve">(1), 106–117. </w:t>
      </w:r>
      <w:hyperlink r:id="rId10" w:tgtFrame="_new" w:history="1">
        <w:r>
          <w:rPr>
            <w:rStyle w:val="Hyperlink"/>
          </w:rPr>
          <w:t>https://doi.org/10.1046/j.1365-3156.2003.01160.x</w:t>
        </w:r>
      </w:hyperlink>
    </w:p>
    <w:p w14:paraId="1239AE98" w14:textId="77777777" w:rsidR="001E0FAB" w:rsidRPr="001E0FAB" w:rsidRDefault="001E0FAB" w:rsidP="001E0FAB">
      <w:pPr>
        <w:spacing w:line="360" w:lineRule="auto"/>
        <w:jc w:val="both"/>
        <w:rPr>
          <w:rFonts w:ascii="Times New Roman" w:hAnsi="Times New Roman" w:cs="Times New Roman"/>
          <w:sz w:val="24"/>
          <w:szCs w:val="24"/>
        </w:rPr>
      </w:pPr>
    </w:p>
    <w:sectPr w:rsidR="001E0FAB" w:rsidRPr="001E0FAB" w:rsidSect="00861F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7C1A4" w14:textId="77777777" w:rsidR="00176595" w:rsidRDefault="00176595" w:rsidP="005B638F">
      <w:r>
        <w:separator/>
      </w:r>
    </w:p>
  </w:endnote>
  <w:endnote w:type="continuationSeparator" w:id="0">
    <w:p w14:paraId="6826BA53" w14:textId="77777777" w:rsidR="00176595" w:rsidRDefault="00176595" w:rsidP="005B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B4528" w14:textId="77777777" w:rsidR="00176595" w:rsidRDefault="00176595" w:rsidP="005B6DA0">
      <w:r>
        <w:separator/>
      </w:r>
    </w:p>
  </w:footnote>
  <w:footnote w:type="continuationSeparator" w:id="0">
    <w:p w14:paraId="151233B4" w14:textId="77777777" w:rsidR="00176595" w:rsidRDefault="00176595" w:rsidP="005B6D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065C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F96EE4"/>
    <w:multiLevelType w:val="multilevel"/>
    <w:tmpl w:val="F4D8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56689"/>
    <w:multiLevelType w:val="multilevel"/>
    <w:tmpl w:val="AD4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3329EB"/>
    <w:multiLevelType w:val="hybridMultilevel"/>
    <w:tmpl w:val="375648D4"/>
    <w:lvl w:ilvl="0" w:tplc="C24C5D8A">
      <w:numFmt w:val="bullet"/>
      <w:lvlText w:val="-"/>
      <w:lvlJc w:val="left"/>
      <w:pPr>
        <w:ind w:left="720" w:hanging="360"/>
      </w:pPr>
      <w:rPr>
        <w:rFonts w:ascii="Times New Roman" w:eastAsiaTheme="minorHAnsi" w:hAnsi="Times New Roman" w:cs="Times New Roman" w:hint="default"/>
      </w:rPr>
    </w:lvl>
    <w:lvl w:ilvl="1" w:tplc="D16E26AE" w:tentative="1">
      <w:start w:val="1"/>
      <w:numFmt w:val="bullet"/>
      <w:lvlText w:val="o"/>
      <w:lvlJc w:val="left"/>
      <w:pPr>
        <w:ind w:left="1440" w:hanging="360"/>
      </w:pPr>
      <w:rPr>
        <w:rFonts w:ascii="Courier New" w:hAnsi="Courier New" w:cs="Courier New" w:hint="default"/>
      </w:rPr>
    </w:lvl>
    <w:lvl w:ilvl="2" w:tplc="52D2CC80" w:tentative="1">
      <w:start w:val="1"/>
      <w:numFmt w:val="bullet"/>
      <w:lvlText w:val=""/>
      <w:lvlJc w:val="left"/>
      <w:pPr>
        <w:ind w:left="2160" w:hanging="360"/>
      </w:pPr>
      <w:rPr>
        <w:rFonts w:ascii="Wingdings" w:hAnsi="Wingdings" w:hint="default"/>
      </w:rPr>
    </w:lvl>
    <w:lvl w:ilvl="3" w:tplc="E56E4EC6" w:tentative="1">
      <w:start w:val="1"/>
      <w:numFmt w:val="bullet"/>
      <w:lvlText w:val=""/>
      <w:lvlJc w:val="left"/>
      <w:pPr>
        <w:ind w:left="2880" w:hanging="360"/>
      </w:pPr>
      <w:rPr>
        <w:rFonts w:ascii="Symbol" w:hAnsi="Symbol" w:hint="default"/>
      </w:rPr>
    </w:lvl>
    <w:lvl w:ilvl="4" w:tplc="7120543C" w:tentative="1">
      <w:start w:val="1"/>
      <w:numFmt w:val="bullet"/>
      <w:lvlText w:val="o"/>
      <w:lvlJc w:val="left"/>
      <w:pPr>
        <w:ind w:left="3600" w:hanging="360"/>
      </w:pPr>
      <w:rPr>
        <w:rFonts w:ascii="Courier New" w:hAnsi="Courier New" w:cs="Courier New" w:hint="default"/>
      </w:rPr>
    </w:lvl>
    <w:lvl w:ilvl="5" w:tplc="DC5E9726" w:tentative="1">
      <w:start w:val="1"/>
      <w:numFmt w:val="bullet"/>
      <w:lvlText w:val=""/>
      <w:lvlJc w:val="left"/>
      <w:pPr>
        <w:ind w:left="4320" w:hanging="360"/>
      </w:pPr>
      <w:rPr>
        <w:rFonts w:ascii="Wingdings" w:hAnsi="Wingdings" w:hint="default"/>
      </w:rPr>
    </w:lvl>
    <w:lvl w:ilvl="6" w:tplc="253E46D2" w:tentative="1">
      <w:start w:val="1"/>
      <w:numFmt w:val="bullet"/>
      <w:lvlText w:val=""/>
      <w:lvlJc w:val="left"/>
      <w:pPr>
        <w:ind w:left="5040" w:hanging="360"/>
      </w:pPr>
      <w:rPr>
        <w:rFonts w:ascii="Symbol" w:hAnsi="Symbol" w:hint="default"/>
      </w:rPr>
    </w:lvl>
    <w:lvl w:ilvl="7" w:tplc="70420CFE" w:tentative="1">
      <w:start w:val="1"/>
      <w:numFmt w:val="bullet"/>
      <w:lvlText w:val="o"/>
      <w:lvlJc w:val="left"/>
      <w:pPr>
        <w:ind w:left="5760" w:hanging="360"/>
      </w:pPr>
      <w:rPr>
        <w:rFonts w:ascii="Courier New" w:hAnsi="Courier New" w:cs="Courier New" w:hint="default"/>
      </w:rPr>
    </w:lvl>
    <w:lvl w:ilvl="8" w:tplc="DF94B098" w:tentative="1">
      <w:start w:val="1"/>
      <w:numFmt w:val="bullet"/>
      <w:lvlText w:val=""/>
      <w:lvlJc w:val="left"/>
      <w:pPr>
        <w:ind w:left="6480" w:hanging="360"/>
      </w:pPr>
      <w:rPr>
        <w:rFonts w:ascii="Wingdings" w:hAnsi="Wingdings" w:hint="default"/>
      </w:rPr>
    </w:lvl>
  </w:abstractNum>
  <w:abstractNum w:abstractNumId="4">
    <w:nsid w:val="13F669AA"/>
    <w:multiLevelType w:val="multilevel"/>
    <w:tmpl w:val="B886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4B3349"/>
    <w:multiLevelType w:val="multilevel"/>
    <w:tmpl w:val="5770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704684"/>
    <w:multiLevelType w:val="multilevel"/>
    <w:tmpl w:val="D03E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A83647"/>
    <w:multiLevelType w:val="multilevel"/>
    <w:tmpl w:val="191E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A1065A"/>
    <w:multiLevelType w:val="hybridMultilevel"/>
    <w:tmpl w:val="3B44335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D416BD"/>
    <w:multiLevelType w:val="hybridMultilevel"/>
    <w:tmpl w:val="21E80D74"/>
    <w:lvl w:ilvl="0" w:tplc="9724ECAA">
      <w:numFmt w:val="bullet"/>
      <w:lvlText w:val="-"/>
      <w:lvlJc w:val="left"/>
      <w:pPr>
        <w:ind w:left="1080" w:hanging="360"/>
      </w:pPr>
      <w:rPr>
        <w:rFonts w:ascii="Times New Roman" w:eastAsia="Calibri" w:hAnsi="Times New Roman" w:cs="Times New Roman" w:hint="default"/>
      </w:rPr>
    </w:lvl>
    <w:lvl w:ilvl="1" w:tplc="C848E89A" w:tentative="1">
      <w:start w:val="1"/>
      <w:numFmt w:val="bullet"/>
      <w:lvlText w:val="o"/>
      <w:lvlJc w:val="left"/>
      <w:pPr>
        <w:ind w:left="1800" w:hanging="360"/>
      </w:pPr>
      <w:rPr>
        <w:rFonts w:ascii="Courier New" w:hAnsi="Courier New" w:cs="Courier New" w:hint="default"/>
      </w:rPr>
    </w:lvl>
    <w:lvl w:ilvl="2" w:tplc="DFF8B4B4" w:tentative="1">
      <w:start w:val="1"/>
      <w:numFmt w:val="bullet"/>
      <w:lvlText w:val=""/>
      <w:lvlJc w:val="left"/>
      <w:pPr>
        <w:ind w:left="2520" w:hanging="360"/>
      </w:pPr>
      <w:rPr>
        <w:rFonts w:ascii="Wingdings" w:hAnsi="Wingdings" w:hint="default"/>
      </w:rPr>
    </w:lvl>
    <w:lvl w:ilvl="3" w:tplc="D2FA3A1C" w:tentative="1">
      <w:start w:val="1"/>
      <w:numFmt w:val="bullet"/>
      <w:lvlText w:val=""/>
      <w:lvlJc w:val="left"/>
      <w:pPr>
        <w:ind w:left="3240" w:hanging="360"/>
      </w:pPr>
      <w:rPr>
        <w:rFonts w:ascii="Symbol" w:hAnsi="Symbol" w:hint="default"/>
      </w:rPr>
    </w:lvl>
    <w:lvl w:ilvl="4" w:tplc="D3864B90" w:tentative="1">
      <w:start w:val="1"/>
      <w:numFmt w:val="bullet"/>
      <w:lvlText w:val="o"/>
      <w:lvlJc w:val="left"/>
      <w:pPr>
        <w:ind w:left="3960" w:hanging="360"/>
      </w:pPr>
      <w:rPr>
        <w:rFonts w:ascii="Courier New" w:hAnsi="Courier New" w:cs="Courier New" w:hint="default"/>
      </w:rPr>
    </w:lvl>
    <w:lvl w:ilvl="5" w:tplc="5BB464BC" w:tentative="1">
      <w:start w:val="1"/>
      <w:numFmt w:val="bullet"/>
      <w:lvlText w:val=""/>
      <w:lvlJc w:val="left"/>
      <w:pPr>
        <w:ind w:left="4680" w:hanging="360"/>
      </w:pPr>
      <w:rPr>
        <w:rFonts w:ascii="Wingdings" w:hAnsi="Wingdings" w:hint="default"/>
      </w:rPr>
    </w:lvl>
    <w:lvl w:ilvl="6" w:tplc="F72258D0" w:tentative="1">
      <w:start w:val="1"/>
      <w:numFmt w:val="bullet"/>
      <w:lvlText w:val=""/>
      <w:lvlJc w:val="left"/>
      <w:pPr>
        <w:ind w:left="5400" w:hanging="360"/>
      </w:pPr>
      <w:rPr>
        <w:rFonts w:ascii="Symbol" w:hAnsi="Symbol" w:hint="default"/>
      </w:rPr>
    </w:lvl>
    <w:lvl w:ilvl="7" w:tplc="A4DE8C3A" w:tentative="1">
      <w:start w:val="1"/>
      <w:numFmt w:val="bullet"/>
      <w:lvlText w:val="o"/>
      <w:lvlJc w:val="left"/>
      <w:pPr>
        <w:ind w:left="6120" w:hanging="360"/>
      </w:pPr>
      <w:rPr>
        <w:rFonts w:ascii="Courier New" w:hAnsi="Courier New" w:cs="Courier New" w:hint="default"/>
      </w:rPr>
    </w:lvl>
    <w:lvl w:ilvl="8" w:tplc="0518A334" w:tentative="1">
      <w:start w:val="1"/>
      <w:numFmt w:val="bullet"/>
      <w:lvlText w:val=""/>
      <w:lvlJc w:val="left"/>
      <w:pPr>
        <w:ind w:left="6840" w:hanging="360"/>
      </w:pPr>
      <w:rPr>
        <w:rFonts w:ascii="Wingdings" w:hAnsi="Wingdings" w:hint="default"/>
      </w:rPr>
    </w:lvl>
  </w:abstractNum>
  <w:abstractNum w:abstractNumId="10">
    <w:nsid w:val="3E0F0DB3"/>
    <w:multiLevelType w:val="multilevel"/>
    <w:tmpl w:val="9180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5D08D2"/>
    <w:multiLevelType w:val="hybridMultilevel"/>
    <w:tmpl w:val="D8D04E5A"/>
    <w:lvl w:ilvl="0" w:tplc="4FAABC88">
      <w:start w:val="1"/>
      <w:numFmt w:val="decimal"/>
      <w:lvlText w:val="%1."/>
      <w:lvlJc w:val="left"/>
      <w:pPr>
        <w:ind w:left="720" w:hanging="360"/>
      </w:pPr>
      <w:rPr>
        <w:b w:val="0"/>
        <w:bCs/>
      </w:rPr>
    </w:lvl>
    <w:lvl w:ilvl="1" w:tplc="51CEDAB8" w:tentative="1">
      <w:start w:val="1"/>
      <w:numFmt w:val="lowerLetter"/>
      <w:lvlText w:val="%2."/>
      <w:lvlJc w:val="left"/>
      <w:pPr>
        <w:ind w:left="1440" w:hanging="360"/>
      </w:pPr>
    </w:lvl>
    <w:lvl w:ilvl="2" w:tplc="78A860B6" w:tentative="1">
      <w:start w:val="1"/>
      <w:numFmt w:val="lowerRoman"/>
      <w:lvlText w:val="%3."/>
      <w:lvlJc w:val="right"/>
      <w:pPr>
        <w:ind w:left="2160" w:hanging="180"/>
      </w:pPr>
    </w:lvl>
    <w:lvl w:ilvl="3" w:tplc="92D81118" w:tentative="1">
      <w:start w:val="1"/>
      <w:numFmt w:val="decimal"/>
      <w:lvlText w:val="%4."/>
      <w:lvlJc w:val="left"/>
      <w:pPr>
        <w:ind w:left="2880" w:hanging="360"/>
      </w:pPr>
    </w:lvl>
    <w:lvl w:ilvl="4" w:tplc="48B6DF1E" w:tentative="1">
      <w:start w:val="1"/>
      <w:numFmt w:val="lowerLetter"/>
      <w:lvlText w:val="%5."/>
      <w:lvlJc w:val="left"/>
      <w:pPr>
        <w:ind w:left="3600" w:hanging="360"/>
      </w:pPr>
    </w:lvl>
    <w:lvl w:ilvl="5" w:tplc="FE56E5BC" w:tentative="1">
      <w:start w:val="1"/>
      <w:numFmt w:val="lowerRoman"/>
      <w:lvlText w:val="%6."/>
      <w:lvlJc w:val="right"/>
      <w:pPr>
        <w:ind w:left="4320" w:hanging="180"/>
      </w:pPr>
    </w:lvl>
    <w:lvl w:ilvl="6" w:tplc="E632C312" w:tentative="1">
      <w:start w:val="1"/>
      <w:numFmt w:val="decimal"/>
      <w:lvlText w:val="%7."/>
      <w:lvlJc w:val="left"/>
      <w:pPr>
        <w:ind w:left="5040" w:hanging="360"/>
      </w:pPr>
    </w:lvl>
    <w:lvl w:ilvl="7" w:tplc="3BB4DEBC" w:tentative="1">
      <w:start w:val="1"/>
      <w:numFmt w:val="lowerLetter"/>
      <w:lvlText w:val="%8."/>
      <w:lvlJc w:val="left"/>
      <w:pPr>
        <w:ind w:left="5760" w:hanging="360"/>
      </w:pPr>
    </w:lvl>
    <w:lvl w:ilvl="8" w:tplc="70E21310" w:tentative="1">
      <w:start w:val="1"/>
      <w:numFmt w:val="lowerRoman"/>
      <w:lvlText w:val="%9."/>
      <w:lvlJc w:val="right"/>
      <w:pPr>
        <w:ind w:left="6480" w:hanging="180"/>
      </w:pPr>
    </w:lvl>
  </w:abstractNum>
  <w:abstractNum w:abstractNumId="12">
    <w:nsid w:val="42044543"/>
    <w:multiLevelType w:val="multilevel"/>
    <w:tmpl w:val="A616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C6C97"/>
    <w:multiLevelType w:val="multilevel"/>
    <w:tmpl w:val="6F6C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CC420A"/>
    <w:multiLevelType w:val="multilevel"/>
    <w:tmpl w:val="957C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7871E4"/>
    <w:multiLevelType w:val="hybridMultilevel"/>
    <w:tmpl w:val="D914800A"/>
    <w:lvl w:ilvl="0" w:tplc="3F52A364">
      <w:start w:val="7"/>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0"/>
  </w:num>
  <w:num w:numId="5">
    <w:abstractNumId w:val="6"/>
  </w:num>
  <w:num w:numId="6">
    <w:abstractNumId w:val="8"/>
  </w:num>
  <w:num w:numId="7">
    <w:abstractNumId w:val="15"/>
  </w:num>
  <w:num w:numId="8">
    <w:abstractNumId w:val="13"/>
  </w:num>
  <w:num w:numId="9">
    <w:abstractNumId w:val="5"/>
  </w:num>
  <w:num w:numId="10">
    <w:abstractNumId w:val="10"/>
  </w:num>
  <w:num w:numId="11">
    <w:abstractNumId w:val="1"/>
  </w:num>
  <w:num w:numId="12">
    <w:abstractNumId w:val="14"/>
  </w:num>
  <w:num w:numId="13">
    <w:abstractNumId w:val="2"/>
  </w:num>
  <w:num w:numId="14">
    <w:abstractNumId w:val="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40E5"/>
    <w:rsid w:val="00001155"/>
    <w:rsid w:val="00007CCD"/>
    <w:rsid w:val="0002176C"/>
    <w:rsid w:val="00040EB0"/>
    <w:rsid w:val="000510F4"/>
    <w:rsid w:val="00055A9A"/>
    <w:rsid w:val="00074914"/>
    <w:rsid w:val="00092D4B"/>
    <w:rsid w:val="000939BB"/>
    <w:rsid w:val="0009617D"/>
    <w:rsid w:val="000B02B8"/>
    <w:rsid w:val="000B2D43"/>
    <w:rsid w:val="000B38BD"/>
    <w:rsid w:val="000B50EC"/>
    <w:rsid w:val="000B5722"/>
    <w:rsid w:val="000B6872"/>
    <w:rsid w:val="000C10DE"/>
    <w:rsid w:val="00105C61"/>
    <w:rsid w:val="00113D65"/>
    <w:rsid w:val="001142D2"/>
    <w:rsid w:val="001166E2"/>
    <w:rsid w:val="0014032A"/>
    <w:rsid w:val="0014131C"/>
    <w:rsid w:val="00145C81"/>
    <w:rsid w:val="00151DD6"/>
    <w:rsid w:val="00152D75"/>
    <w:rsid w:val="001553FE"/>
    <w:rsid w:val="00160C7C"/>
    <w:rsid w:val="00161BB7"/>
    <w:rsid w:val="00162F4E"/>
    <w:rsid w:val="00176595"/>
    <w:rsid w:val="00194D29"/>
    <w:rsid w:val="001B4D75"/>
    <w:rsid w:val="001B4D83"/>
    <w:rsid w:val="001B71B6"/>
    <w:rsid w:val="001C304D"/>
    <w:rsid w:val="001E0FAB"/>
    <w:rsid w:val="001F22E3"/>
    <w:rsid w:val="00201EE9"/>
    <w:rsid w:val="00202416"/>
    <w:rsid w:val="00205934"/>
    <w:rsid w:val="00210483"/>
    <w:rsid w:val="002161DC"/>
    <w:rsid w:val="00222025"/>
    <w:rsid w:val="002273F1"/>
    <w:rsid w:val="00231AE8"/>
    <w:rsid w:val="00237CA0"/>
    <w:rsid w:val="00243157"/>
    <w:rsid w:val="00245063"/>
    <w:rsid w:val="002458A2"/>
    <w:rsid w:val="00251273"/>
    <w:rsid w:val="00253564"/>
    <w:rsid w:val="00262022"/>
    <w:rsid w:val="0026444A"/>
    <w:rsid w:val="00271146"/>
    <w:rsid w:val="00281004"/>
    <w:rsid w:val="00283F0B"/>
    <w:rsid w:val="00287CD6"/>
    <w:rsid w:val="00292186"/>
    <w:rsid w:val="002A76ED"/>
    <w:rsid w:val="002C4895"/>
    <w:rsid w:val="002D3672"/>
    <w:rsid w:val="002E0DEE"/>
    <w:rsid w:val="002F3356"/>
    <w:rsid w:val="00301963"/>
    <w:rsid w:val="00315ABC"/>
    <w:rsid w:val="003174A3"/>
    <w:rsid w:val="003245A2"/>
    <w:rsid w:val="00330517"/>
    <w:rsid w:val="00330DAA"/>
    <w:rsid w:val="00334FED"/>
    <w:rsid w:val="00336A19"/>
    <w:rsid w:val="00347E21"/>
    <w:rsid w:val="003521FC"/>
    <w:rsid w:val="00353165"/>
    <w:rsid w:val="00362DBC"/>
    <w:rsid w:val="003712C2"/>
    <w:rsid w:val="00372B3E"/>
    <w:rsid w:val="0037319B"/>
    <w:rsid w:val="00385F38"/>
    <w:rsid w:val="00391D36"/>
    <w:rsid w:val="00396D73"/>
    <w:rsid w:val="00396ED6"/>
    <w:rsid w:val="003A30FA"/>
    <w:rsid w:val="003A37B9"/>
    <w:rsid w:val="003A433E"/>
    <w:rsid w:val="003B2E2D"/>
    <w:rsid w:val="003B5B75"/>
    <w:rsid w:val="003C1E55"/>
    <w:rsid w:val="003C3751"/>
    <w:rsid w:val="003C6FCE"/>
    <w:rsid w:val="003D6CDE"/>
    <w:rsid w:val="003E341C"/>
    <w:rsid w:val="003E70AA"/>
    <w:rsid w:val="00416B55"/>
    <w:rsid w:val="0042280D"/>
    <w:rsid w:val="00436ADB"/>
    <w:rsid w:val="004378C0"/>
    <w:rsid w:val="00437B3D"/>
    <w:rsid w:val="00441D69"/>
    <w:rsid w:val="00444A92"/>
    <w:rsid w:val="004505F6"/>
    <w:rsid w:val="00450C29"/>
    <w:rsid w:val="00454212"/>
    <w:rsid w:val="00455233"/>
    <w:rsid w:val="0046070F"/>
    <w:rsid w:val="00466A65"/>
    <w:rsid w:val="0048036E"/>
    <w:rsid w:val="004807F5"/>
    <w:rsid w:val="00497572"/>
    <w:rsid w:val="004A1997"/>
    <w:rsid w:val="004A5C29"/>
    <w:rsid w:val="004A6B10"/>
    <w:rsid w:val="004B0182"/>
    <w:rsid w:val="004B15D0"/>
    <w:rsid w:val="004B5069"/>
    <w:rsid w:val="004C51F9"/>
    <w:rsid w:val="004C7864"/>
    <w:rsid w:val="004D5EE0"/>
    <w:rsid w:val="004F1677"/>
    <w:rsid w:val="004F2DC8"/>
    <w:rsid w:val="004F6D55"/>
    <w:rsid w:val="005130FD"/>
    <w:rsid w:val="00522B9E"/>
    <w:rsid w:val="00525D12"/>
    <w:rsid w:val="00526741"/>
    <w:rsid w:val="00536621"/>
    <w:rsid w:val="00550695"/>
    <w:rsid w:val="00557585"/>
    <w:rsid w:val="00560842"/>
    <w:rsid w:val="00566073"/>
    <w:rsid w:val="00576207"/>
    <w:rsid w:val="00584193"/>
    <w:rsid w:val="005904E6"/>
    <w:rsid w:val="005B49D2"/>
    <w:rsid w:val="005B638F"/>
    <w:rsid w:val="005B6CD0"/>
    <w:rsid w:val="005B6DA0"/>
    <w:rsid w:val="005E055B"/>
    <w:rsid w:val="005E09B3"/>
    <w:rsid w:val="005F0B3E"/>
    <w:rsid w:val="005F2736"/>
    <w:rsid w:val="005F7412"/>
    <w:rsid w:val="00600781"/>
    <w:rsid w:val="00600F13"/>
    <w:rsid w:val="006027F7"/>
    <w:rsid w:val="006065BC"/>
    <w:rsid w:val="006306C3"/>
    <w:rsid w:val="00634FD3"/>
    <w:rsid w:val="00655341"/>
    <w:rsid w:val="00656C24"/>
    <w:rsid w:val="00663B98"/>
    <w:rsid w:val="00666822"/>
    <w:rsid w:val="00674B3A"/>
    <w:rsid w:val="00682870"/>
    <w:rsid w:val="006854C4"/>
    <w:rsid w:val="0068796A"/>
    <w:rsid w:val="00692575"/>
    <w:rsid w:val="006B7FD1"/>
    <w:rsid w:val="006C173E"/>
    <w:rsid w:val="006C6A96"/>
    <w:rsid w:val="006C6CD3"/>
    <w:rsid w:val="006D149E"/>
    <w:rsid w:val="006D3396"/>
    <w:rsid w:val="006D4D60"/>
    <w:rsid w:val="006E48F4"/>
    <w:rsid w:val="006E7DC0"/>
    <w:rsid w:val="006F6CA4"/>
    <w:rsid w:val="0070372A"/>
    <w:rsid w:val="00711AD4"/>
    <w:rsid w:val="00715315"/>
    <w:rsid w:val="00721349"/>
    <w:rsid w:val="0072326B"/>
    <w:rsid w:val="007342EB"/>
    <w:rsid w:val="00747936"/>
    <w:rsid w:val="0075518C"/>
    <w:rsid w:val="00757041"/>
    <w:rsid w:val="0076037B"/>
    <w:rsid w:val="007619C5"/>
    <w:rsid w:val="00765F57"/>
    <w:rsid w:val="00777CA4"/>
    <w:rsid w:val="00796321"/>
    <w:rsid w:val="007A40E5"/>
    <w:rsid w:val="007A5B41"/>
    <w:rsid w:val="007B0CB8"/>
    <w:rsid w:val="007B25E5"/>
    <w:rsid w:val="007B7981"/>
    <w:rsid w:val="007C4256"/>
    <w:rsid w:val="007D59F9"/>
    <w:rsid w:val="007F4779"/>
    <w:rsid w:val="00803FE3"/>
    <w:rsid w:val="00817B25"/>
    <w:rsid w:val="00830C97"/>
    <w:rsid w:val="00834720"/>
    <w:rsid w:val="0085047F"/>
    <w:rsid w:val="008531D6"/>
    <w:rsid w:val="00853CD1"/>
    <w:rsid w:val="00861F18"/>
    <w:rsid w:val="00861F91"/>
    <w:rsid w:val="00870C11"/>
    <w:rsid w:val="008770D0"/>
    <w:rsid w:val="008777EE"/>
    <w:rsid w:val="00884486"/>
    <w:rsid w:val="0088509E"/>
    <w:rsid w:val="00887D68"/>
    <w:rsid w:val="008918FD"/>
    <w:rsid w:val="008B6FD1"/>
    <w:rsid w:val="008B7467"/>
    <w:rsid w:val="008B7945"/>
    <w:rsid w:val="008C1331"/>
    <w:rsid w:val="008D3C5F"/>
    <w:rsid w:val="008D4B48"/>
    <w:rsid w:val="008D5273"/>
    <w:rsid w:val="008D734B"/>
    <w:rsid w:val="008E5A0D"/>
    <w:rsid w:val="008E70AC"/>
    <w:rsid w:val="0090034D"/>
    <w:rsid w:val="00902D53"/>
    <w:rsid w:val="009035D8"/>
    <w:rsid w:val="00924BB2"/>
    <w:rsid w:val="009377FC"/>
    <w:rsid w:val="00942CEE"/>
    <w:rsid w:val="009551D7"/>
    <w:rsid w:val="00965E24"/>
    <w:rsid w:val="0096741C"/>
    <w:rsid w:val="009713E3"/>
    <w:rsid w:val="00984C59"/>
    <w:rsid w:val="009B7106"/>
    <w:rsid w:val="009C28EE"/>
    <w:rsid w:val="009E5C8D"/>
    <w:rsid w:val="009F7AAC"/>
    <w:rsid w:val="00A047BC"/>
    <w:rsid w:val="00A100FB"/>
    <w:rsid w:val="00A31922"/>
    <w:rsid w:val="00A47390"/>
    <w:rsid w:val="00A728F3"/>
    <w:rsid w:val="00A74F23"/>
    <w:rsid w:val="00A752EC"/>
    <w:rsid w:val="00A85EC8"/>
    <w:rsid w:val="00A90AD4"/>
    <w:rsid w:val="00AB53C7"/>
    <w:rsid w:val="00AC7BF1"/>
    <w:rsid w:val="00AD353D"/>
    <w:rsid w:val="00AF21FD"/>
    <w:rsid w:val="00AF4505"/>
    <w:rsid w:val="00AF5122"/>
    <w:rsid w:val="00AF7C10"/>
    <w:rsid w:val="00B1419E"/>
    <w:rsid w:val="00B20C75"/>
    <w:rsid w:val="00B349CA"/>
    <w:rsid w:val="00B41BC2"/>
    <w:rsid w:val="00B52D5E"/>
    <w:rsid w:val="00B57B84"/>
    <w:rsid w:val="00B63732"/>
    <w:rsid w:val="00B63C15"/>
    <w:rsid w:val="00B81ACA"/>
    <w:rsid w:val="00B83E0E"/>
    <w:rsid w:val="00BA3138"/>
    <w:rsid w:val="00BC5236"/>
    <w:rsid w:val="00BC602F"/>
    <w:rsid w:val="00BD44E8"/>
    <w:rsid w:val="00BF0D8E"/>
    <w:rsid w:val="00C22197"/>
    <w:rsid w:val="00C24BDF"/>
    <w:rsid w:val="00C302F9"/>
    <w:rsid w:val="00C35D39"/>
    <w:rsid w:val="00C4494E"/>
    <w:rsid w:val="00C450D6"/>
    <w:rsid w:val="00C45713"/>
    <w:rsid w:val="00C47335"/>
    <w:rsid w:val="00C5730B"/>
    <w:rsid w:val="00C64F03"/>
    <w:rsid w:val="00C77FEB"/>
    <w:rsid w:val="00C85471"/>
    <w:rsid w:val="00C902EE"/>
    <w:rsid w:val="00C9205C"/>
    <w:rsid w:val="00C9255E"/>
    <w:rsid w:val="00C93591"/>
    <w:rsid w:val="00C938E1"/>
    <w:rsid w:val="00CA2EC5"/>
    <w:rsid w:val="00CC0E75"/>
    <w:rsid w:val="00CC3B5B"/>
    <w:rsid w:val="00CC47C9"/>
    <w:rsid w:val="00CD0C02"/>
    <w:rsid w:val="00CD3EDB"/>
    <w:rsid w:val="00CD4BD8"/>
    <w:rsid w:val="00CF2E72"/>
    <w:rsid w:val="00CF553C"/>
    <w:rsid w:val="00D01559"/>
    <w:rsid w:val="00D0402D"/>
    <w:rsid w:val="00D049CB"/>
    <w:rsid w:val="00D31252"/>
    <w:rsid w:val="00D32A2C"/>
    <w:rsid w:val="00D500CE"/>
    <w:rsid w:val="00D5706C"/>
    <w:rsid w:val="00D70B5D"/>
    <w:rsid w:val="00D85186"/>
    <w:rsid w:val="00D912AF"/>
    <w:rsid w:val="00D936C3"/>
    <w:rsid w:val="00DA093C"/>
    <w:rsid w:val="00DA405D"/>
    <w:rsid w:val="00DB5B43"/>
    <w:rsid w:val="00DB6551"/>
    <w:rsid w:val="00DC320D"/>
    <w:rsid w:val="00DC37CB"/>
    <w:rsid w:val="00DC758B"/>
    <w:rsid w:val="00DD2909"/>
    <w:rsid w:val="00DE0422"/>
    <w:rsid w:val="00DE7CA3"/>
    <w:rsid w:val="00DF1CB6"/>
    <w:rsid w:val="00E01FB6"/>
    <w:rsid w:val="00E1440F"/>
    <w:rsid w:val="00E22583"/>
    <w:rsid w:val="00E250EC"/>
    <w:rsid w:val="00E55889"/>
    <w:rsid w:val="00E6227D"/>
    <w:rsid w:val="00E72399"/>
    <w:rsid w:val="00E766B1"/>
    <w:rsid w:val="00E779C4"/>
    <w:rsid w:val="00EA3041"/>
    <w:rsid w:val="00EA32D5"/>
    <w:rsid w:val="00EA7355"/>
    <w:rsid w:val="00EA7652"/>
    <w:rsid w:val="00EB3918"/>
    <w:rsid w:val="00EC422D"/>
    <w:rsid w:val="00EC6D48"/>
    <w:rsid w:val="00EE2D00"/>
    <w:rsid w:val="00EE44D1"/>
    <w:rsid w:val="00EE57C1"/>
    <w:rsid w:val="00F02F8C"/>
    <w:rsid w:val="00F076EA"/>
    <w:rsid w:val="00F2030A"/>
    <w:rsid w:val="00F30D9F"/>
    <w:rsid w:val="00F51CCC"/>
    <w:rsid w:val="00F574D7"/>
    <w:rsid w:val="00F6668A"/>
    <w:rsid w:val="00F716E2"/>
    <w:rsid w:val="00F71C9A"/>
    <w:rsid w:val="00F842DC"/>
    <w:rsid w:val="00F94CF4"/>
    <w:rsid w:val="00FA11B6"/>
    <w:rsid w:val="00FB4FE2"/>
    <w:rsid w:val="00FC24FE"/>
    <w:rsid w:val="00FD3339"/>
    <w:rsid w:val="00FD4FD4"/>
    <w:rsid w:val="00FF235F"/>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k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F18"/>
  </w:style>
  <w:style w:type="paragraph" w:styleId="Heading1">
    <w:name w:val="heading 1"/>
    <w:basedOn w:val="Normal"/>
    <w:next w:val="Normal"/>
    <w:link w:val="Heading1Char"/>
    <w:uiPriority w:val="9"/>
    <w:qFormat/>
    <w:rsid w:val="00FA11B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ar-SA"/>
    </w:rPr>
  </w:style>
  <w:style w:type="paragraph" w:styleId="Heading2">
    <w:name w:val="heading 2"/>
    <w:basedOn w:val="Normal"/>
    <w:link w:val="Heading2Char"/>
    <w:uiPriority w:val="9"/>
    <w:qFormat/>
    <w:rsid w:val="00FA11B6"/>
    <w:pPr>
      <w:spacing w:before="100" w:beforeAutospacing="1" w:after="100" w:afterAutospacing="1"/>
      <w:outlineLvl w:val="1"/>
    </w:pPr>
    <w:rPr>
      <w:rFonts w:ascii="Times New Roman" w:eastAsia="Times New Roman" w:hAnsi="Times New Roman" w:cs="Times New Roman"/>
      <w:b/>
      <w:bCs/>
      <w:sz w:val="36"/>
      <w:szCs w:val="36"/>
      <w:lang w:val="en-US" w:bidi="ar-SA"/>
    </w:rPr>
  </w:style>
  <w:style w:type="paragraph" w:styleId="Heading3">
    <w:name w:val="heading 3"/>
    <w:basedOn w:val="Normal"/>
    <w:next w:val="Normal"/>
    <w:link w:val="Heading3Char"/>
    <w:uiPriority w:val="9"/>
    <w:unhideWhenUsed/>
    <w:qFormat/>
    <w:rsid w:val="00FA11B6"/>
    <w:pPr>
      <w:keepNext/>
      <w:keepLines/>
      <w:spacing w:before="200" w:line="276" w:lineRule="auto"/>
      <w:outlineLvl w:val="2"/>
    </w:pPr>
    <w:rPr>
      <w:rFonts w:asciiTheme="majorHAnsi" w:eastAsiaTheme="majorEastAsia" w:hAnsiTheme="majorHAnsi" w:cstheme="majorBidi"/>
      <w:b/>
      <w:bCs/>
      <w:color w:val="4F81BD" w:themeColor="accent1"/>
      <w:lang w:val="en-US" w:bidi="ar-SA"/>
    </w:rPr>
  </w:style>
  <w:style w:type="paragraph" w:styleId="Heading4">
    <w:name w:val="heading 4"/>
    <w:basedOn w:val="Normal"/>
    <w:next w:val="Normal"/>
    <w:link w:val="Heading4Char"/>
    <w:uiPriority w:val="9"/>
    <w:semiHidden/>
    <w:unhideWhenUsed/>
    <w:qFormat/>
    <w:rsid w:val="00466A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DA0"/>
    <w:rPr>
      <w:color w:val="0000FF"/>
      <w:u w:val="single"/>
    </w:rPr>
  </w:style>
  <w:style w:type="paragraph" w:styleId="FootnoteText">
    <w:name w:val="footnote text"/>
    <w:basedOn w:val="Normal"/>
    <w:link w:val="FootnoteTextChar"/>
    <w:uiPriority w:val="99"/>
    <w:semiHidden/>
    <w:unhideWhenUsed/>
    <w:rsid w:val="005B6DA0"/>
    <w:rPr>
      <w:rFonts w:ascii="Calibri" w:eastAsia="Calibri" w:hAnsi="Calibri" w:cs="Tunga"/>
      <w:sz w:val="20"/>
      <w:szCs w:val="20"/>
      <w:lang w:val="en-US" w:bidi="ar-SA"/>
    </w:rPr>
  </w:style>
  <w:style w:type="character" w:customStyle="1" w:styleId="FootnoteTextChar">
    <w:name w:val="Footnote Text Char"/>
    <w:basedOn w:val="DefaultParagraphFont"/>
    <w:link w:val="FootnoteText"/>
    <w:uiPriority w:val="99"/>
    <w:semiHidden/>
    <w:rsid w:val="005B6DA0"/>
    <w:rPr>
      <w:rFonts w:ascii="Calibri" w:eastAsia="Calibri" w:hAnsi="Calibri" w:cs="Tunga"/>
      <w:sz w:val="20"/>
      <w:szCs w:val="20"/>
      <w:lang w:val="en-US" w:bidi="ar-SA"/>
    </w:rPr>
  </w:style>
  <w:style w:type="character" w:styleId="FootnoteReference">
    <w:name w:val="footnote reference"/>
    <w:basedOn w:val="DefaultParagraphFont"/>
    <w:uiPriority w:val="99"/>
    <w:semiHidden/>
    <w:unhideWhenUsed/>
    <w:rsid w:val="005B6DA0"/>
    <w:rPr>
      <w:vertAlign w:val="superscript"/>
    </w:rPr>
  </w:style>
  <w:style w:type="paragraph" w:styleId="NormalWeb">
    <w:name w:val="Normal (Web)"/>
    <w:basedOn w:val="Normal"/>
    <w:uiPriority w:val="99"/>
    <w:unhideWhenUsed/>
    <w:rsid w:val="005B6DA0"/>
    <w:pPr>
      <w:spacing w:before="100" w:beforeAutospacing="1" w:after="100" w:afterAutospacing="1"/>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B4D75"/>
    <w:pPr>
      <w:spacing w:after="200" w:line="276" w:lineRule="auto"/>
      <w:ind w:left="720"/>
      <w:contextualSpacing/>
    </w:pPr>
    <w:rPr>
      <w:rFonts w:ascii="Calibri" w:eastAsia="Calibri" w:hAnsi="Calibri" w:cs="Tunga"/>
    </w:rPr>
  </w:style>
  <w:style w:type="paragraph" w:styleId="ListBullet">
    <w:name w:val="List Bullet"/>
    <w:basedOn w:val="Normal"/>
    <w:uiPriority w:val="99"/>
    <w:unhideWhenUsed/>
    <w:rsid w:val="00E72399"/>
    <w:pPr>
      <w:numPr>
        <w:numId w:val="4"/>
      </w:numPr>
      <w:spacing w:after="200" w:line="276" w:lineRule="auto"/>
      <w:contextualSpacing/>
    </w:pPr>
    <w:rPr>
      <w:lang w:val="en-US" w:bidi="ar-SA"/>
    </w:rPr>
  </w:style>
  <w:style w:type="paragraph" w:styleId="NoSpacing">
    <w:name w:val="No Spacing"/>
    <w:uiPriority w:val="1"/>
    <w:qFormat/>
    <w:rsid w:val="002458A2"/>
    <w:rPr>
      <w:lang w:val="en-US" w:bidi="ar-SA"/>
    </w:rPr>
  </w:style>
  <w:style w:type="paragraph" w:styleId="HTMLPreformatted">
    <w:name w:val="HTML Preformatted"/>
    <w:basedOn w:val="Normal"/>
    <w:link w:val="HTMLPreformattedChar"/>
    <w:uiPriority w:val="99"/>
    <w:semiHidden/>
    <w:unhideWhenUsed/>
    <w:rsid w:val="00FA1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bidi="ar-SA"/>
    </w:rPr>
  </w:style>
  <w:style w:type="character" w:customStyle="1" w:styleId="HTMLPreformattedChar">
    <w:name w:val="HTML Preformatted Char"/>
    <w:basedOn w:val="DefaultParagraphFont"/>
    <w:link w:val="HTMLPreformatted"/>
    <w:uiPriority w:val="99"/>
    <w:semiHidden/>
    <w:rsid w:val="00FA11B6"/>
    <w:rPr>
      <w:rFonts w:ascii="Courier New" w:eastAsia="Times New Roman" w:hAnsi="Courier New" w:cs="Courier New"/>
      <w:sz w:val="20"/>
      <w:szCs w:val="20"/>
      <w:lang w:val="en-US" w:bidi="ar-SA"/>
    </w:rPr>
  </w:style>
  <w:style w:type="character" w:customStyle="1" w:styleId="Heading1Char">
    <w:name w:val="Heading 1 Char"/>
    <w:basedOn w:val="DefaultParagraphFont"/>
    <w:link w:val="Heading1"/>
    <w:uiPriority w:val="9"/>
    <w:rsid w:val="00FA11B6"/>
    <w:rPr>
      <w:rFonts w:asciiTheme="majorHAnsi" w:eastAsiaTheme="majorEastAsia" w:hAnsiTheme="majorHAnsi" w:cstheme="majorBidi"/>
      <w:b/>
      <w:bCs/>
      <w:color w:val="365F91" w:themeColor="accent1" w:themeShade="BF"/>
      <w:sz w:val="28"/>
      <w:szCs w:val="28"/>
      <w:lang w:val="en-US" w:bidi="ar-SA"/>
    </w:rPr>
  </w:style>
  <w:style w:type="character" w:customStyle="1" w:styleId="Heading2Char">
    <w:name w:val="Heading 2 Char"/>
    <w:basedOn w:val="DefaultParagraphFont"/>
    <w:link w:val="Heading2"/>
    <w:uiPriority w:val="9"/>
    <w:rsid w:val="00FA11B6"/>
    <w:rPr>
      <w:rFonts w:ascii="Times New Roman" w:eastAsia="Times New Roman" w:hAnsi="Times New Roman" w:cs="Times New Roman"/>
      <w:b/>
      <w:bCs/>
      <w:sz w:val="36"/>
      <w:szCs w:val="36"/>
      <w:lang w:val="en-US" w:bidi="ar-SA"/>
    </w:rPr>
  </w:style>
  <w:style w:type="character" w:customStyle="1" w:styleId="Heading3Char">
    <w:name w:val="Heading 3 Char"/>
    <w:basedOn w:val="DefaultParagraphFont"/>
    <w:link w:val="Heading3"/>
    <w:uiPriority w:val="9"/>
    <w:rsid w:val="00FA11B6"/>
    <w:rPr>
      <w:rFonts w:asciiTheme="majorHAnsi" w:eastAsiaTheme="majorEastAsia" w:hAnsiTheme="majorHAnsi" w:cstheme="majorBidi"/>
      <w:b/>
      <w:bCs/>
      <w:color w:val="4F81BD" w:themeColor="accent1"/>
      <w:lang w:val="en-US" w:bidi="ar-SA"/>
    </w:rPr>
  </w:style>
  <w:style w:type="character" w:styleId="Strong">
    <w:name w:val="Strong"/>
    <w:basedOn w:val="DefaultParagraphFont"/>
    <w:uiPriority w:val="22"/>
    <w:qFormat/>
    <w:rsid w:val="00FA11B6"/>
    <w:rPr>
      <w:b/>
      <w:bCs/>
    </w:rPr>
  </w:style>
  <w:style w:type="character" w:styleId="Emphasis">
    <w:name w:val="Emphasis"/>
    <w:basedOn w:val="DefaultParagraphFont"/>
    <w:uiPriority w:val="20"/>
    <w:qFormat/>
    <w:rsid w:val="00FA11B6"/>
    <w:rPr>
      <w:i/>
      <w:iCs/>
    </w:rPr>
  </w:style>
  <w:style w:type="character" w:customStyle="1" w:styleId="whitespace-normal">
    <w:name w:val="whitespace-normal"/>
    <w:basedOn w:val="DefaultParagraphFont"/>
    <w:rsid w:val="00FA11B6"/>
  </w:style>
  <w:style w:type="character" w:customStyle="1" w:styleId="relative">
    <w:name w:val="relative"/>
    <w:basedOn w:val="DefaultParagraphFont"/>
    <w:rsid w:val="00FA11B6"/>
  </w:style>
  <w:style w:type="table" w:styleId="TableGrid">
    <w:name w:val="Table Grid"/>
    <w:basedOn w:val="TableNormal"/>
    <w:uiPriority w:val="59"/>
    <w:rsid w:val="00FA11B6"/>
    <w:rPr>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t-prose">
    <w:name w:val="not-prose"/>
    <w:basedOn w:val="Normal"/>
    <w:rsid w:val="00DC37CB"/>
    <w:pPr>
      <w:spacing w:before="100" w:beforeAutospacing="1" w:after="100" w:afterAutospacing="1"/>
    </w:pPr>
    <w:rPr>
      <w:rFonts w:ascii="Times New Roman" w:eastAsia="Times New Roman" w:hAnsi="Times New Roman" w:cs="Times New Roman"/>
      <w:sz w:val="24"/>
      <w:szCs w:val="24"/>
      <w:lang w:val="en-US" w:bidi="ar-SA"/>
    </w:rPr>
  </w:style>
  <w:style w:type="character" w:customStyle="1" w:styleId="Heading4Char">
    <w:name w:val="Heading 4 Char"/>
    <w:basedOn w:val="DefaultParagraphFont"/>
    <w:link w:val="Heading4"/>
    <w:uiPriority w:val="9"/>
    <w:semiHidden/>
    <w:rsid w:val="00466A65"/>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C64F03"/>
    <w:pPr>
      <w:pBdr>
        <w:bottom w:val="single" w:sz="6" w:space="1" w:color="auto"/>
      </w:pBdr>
      <w:jc w:val="center"/>
    </w:pPr>
    <w:rPr>
      <w:rFonts w:ascii="Arial" w:eastAsia="Times New Roman" w:hAnsi="Arial" w:cs="Arial"/>
      <w:vanish/>
      <w:sz w:val="16"/>
      <w:szCs w:val="16"/>
      <w:lang w:val="en-US" w:bidi="ar-SA"/>
    </w:rPr>
  </w:style>
  <w:style w:type="character" w:customStyle="1" w:styleId="z-TopofFormChar">
    <w:name w:val="z-Top of Form Char"/>
    <w:basedOn w:val="DefaultParagraphFont"/>
    <w:link w:val="z-TopofForm"/>
    <w:uiPriority w:val="99"/>
    <w:semiHidden/>
    <w:rsid w:val="00C64F03"/>
    <w:rPr>
      <w:rFonts w:ascii="Arial" w:eastAsia="Times New Roman" w:hAnsi="Arial" w:cs="Arial"/>
      <w:vanish/>
      <w:sz w:val="16"/>
      <w:szCs w:val="16"/>
      <w:lang w:val="en-US" w:bidi="ar-SA"/>
    </w:rPr>
  </w:style>
  <w:style w:type="paragraph" w:customStyle="1" w:styleId="placeholder">
    <w:name w:val="placeholder"/>
    <w:basedOn w:val="Normal"/>
    <w:rsid w:val="00C64F03"/>
    <w:pPr>
      <w:spacing w:before="100" w:beforeAutospacing="1" w:after="100" w:afterAutospacing="1"/>
    </w:pPr>
    <w:rPr>
      <w:rFonts w:ascii="Times New Roman" w:eastAsia="Times New Roman" w:hAnsi="Times New Roman" w:cs="Times New Roman"/>
      <w:sz w:val="24"/>
      <w:szCs w:val="24"/>
      <w:lang w:val="en-US" w:bidi="ar-SA"/>
    </w:rPr>
  </w:style>
  <w:style w:type="paragraph" w:styleId="z-BottomofForm">
    <w:name w:val="HTML Bottom of Form"/>
    <w:basedOn w:val="Normal"/>
    <w:next w:val="Normal"/>
    <w:link w:val="z-BottomofFormChar"/>
    <w:hidden/>
    <w:uiPriority w:val="99"/>
    <w:semiHidden/>
    <w:unhideWhenUsed/>
    <w:rsid w:val="00C64F03"/>
    <w:pPr>
      <w:pBdr>
        <w:top w:val="single" w:sz="6" w:space="1" w:color="auto"/>
      </w:pBdr>
      <w:jc w:val="center"/>
    </w:pPr>
    <w:rPr>
      <w:rFonts w:ascii="Arial" w:eastAsia="Times New Roman" w:hAnsi="Arial" w:cs="Arial"/>
      <w:vanish/>
      <w:sz w:val="16"/>
      <w:szCs w:val="16"/>
      <w:lang w:val="en-US" w:bidi="ar-SA"/>
    </w:rPr>
  </w:style>
  <w:style w:type="character" w:customStyle="1" w:styleId="z-BottomofFormChar">
    <w:name w:val="z-Bottom of Form Char"/>
    <w:basedOn w:val="DefaultParagraphFont"/>
    <w:link w:val="z-BottomofForm"/>
    <w:uiPriority w:val="99"/>
    <w:semiHidden/>
    <w:rsid w:val="00C64F03"/>
    <w:rPr>
      <w:rFonts w:ascii="Arial" w:eastAsia="Times New Roman" w:hAnsi="Arial" w:cs="Arial"/>
      <w:vanish/>
      <w:sz w:val="16"/>
      <w:szCs w:val="16"/>
      <w:lang w:val="en-US" w:bidi="ar-SA"/>
    </w:rPr>
  </w:style>
  <w:style w:type="paragraph" w:styleId="Header">
    <w:name w:val="header"/>
    <w:basedOn w:val="Normal"/>
    <w:link w:val="HeaderChar"/>
    <w:uiPriority w:val="99"/>
    <w:semiHidden/>
    <w:unhideWhenUsed/>
    <w:rsid w:val="001142D2"/>
    <w:pPr>
      <w:tabs>
        <w:tab w:val="center" w:pos="4680"/>
        <w:tab w:val="right" w:pos="9360"/>
      </w:tabs>
    </w:pPr>
  </w:style>
  <w:style w:type="character" w:customStyle="1" w:styleId="HeaderChar">
    <w:name w:val="Header Char"/>
    <w:basedOn w:val="DefaultParagraphFont"/>
    <w:link w:val="Header"/>
    <w:uiPriority w:val="99"/>
    <w:semiHidden/>
    <w:rsid w:val="001142D2"/>
  </w:style>
  <w:style w:type="paragraph" w:styleId="Footer">
    <w:name w:val="footer"/>
    <w:basedOn w:val="Normal"/>
    <w:link w:val="FooterChar"/>
    <w:uiPriority w:val="99"/>
    <w:semiHidden/>
    <w:unhideWhenUsed/>
    <w:rsid w:val="001142D2"/>
    <w:pPr>
      <w:tabs>
        <w:tab w:val="center" w:pos="4680"/>
        <w:tab w:val="right" w:pos="9360"/>
      </w:tabs>
    </w:pPr>
  </w:style>
  <w:style w:type="character" w:customStyle="1" w:styleId="FooterChar">
    <w:name w:val="Footer Char"/>
    <w:basedOn w:val="DefaultParagraphFont"/>
    <w:link w:val="Footer"/>
    <w:uiPriority w:val="99"/>
    <w:semiHidden/>
    <w:rsid w:val="00114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291558">
      <w:bodyDiv w:val="1"/>
      <w:marLeft w:val="0"/>
      <w:marRight w:val="0"/>
      <w:marTop w:val="0"/>
      <w:marBottom w:val="0"/>
      <w:divBdr>
        <w:top w:val="none" w:sz="0" w:space="0" w:color="auto"/>
        <w:left w:val="none" w:sz="0" w:space="0" w:color="auto"/>
        <w:bottom w:val="none" w:sz="0" w:space="0" w:color="auto"/>
        <w:right w:val="none" w:sz="0" w:space="0" w:color="auto"/>
      </w:divBdr>
      <w:divsChild>
        <w:div w:id="131950286">
          <w:marLeft w:val="0"/>
          <w:marRight w:val="0"/>
          <w:marTop w:val="0"/>
          <w:marBottom w:val="0"/>
          <w:divBdr>
            <w:top w:val="none" w:sz="0" w:space="0" w:color="auto"/>
            <w:left w:val="none" w:sz="0" w:space="0" w:color="auto"/>
            <w:bottom w:val="none" w:sz="0" w:space="0" w:color="auto"/>
            <w:right w:val="none" w:sz="0" w:space="0" w:color="auto"/>
          </w:divBdr>
          <w:divsChild>
            <w:div w:id="6647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7012">
      <w:bodyDiv w:val="1"/>
      <w:marLeft w:val="0"/>
      <w:marRight w:val="0"/>
      <w:marTop w:val="0"/>
      <w:marBottom w:val="0"/>
      <w:divBdr>
        <w:top w:val="none" w:sz="0" w:space="0" w:color="auto"/>
        <w:left w:val="none" w:sz="0" w:space="0" w:color="auto"/>
        <w:bottom w:val="none" w:sz="0" w:space="0" w:color="auto"/>
        <w:right w:val="none" w:sz="0" w:space="0" w:color="auto"/>
      </w:divBdr>
      <w:divsChild>
        <w:div w:id="1774544287">
          <w:marLeft w:val="0"/>
          <w:marRight w:val="0"/>
          <w:marTop w:val="0"/>
          <w:marBottom w:val="0"/>
          <w:divBdr>
            <w:top w:val="none" w:sz="0" w:space="0" w:color="auto"/>
            <w:left w:val="none" w:sz="0" w:space="0" w:color="auto"/>
            <w:bottom w:val="none" w:sz="0" w:space="0" w:color="auto"/>
            <w:right w:val="none" w:sz="0" w:space="0" w:color="auto"/>
          </w:divBdr>
          <w:divsChild>
            <w:div w:id="16866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209">
      <w:bodyDiv w:val="1"/>
      <w:marLeft w:val="0"/>
      <w:marRight w:val="0"/>
      <w:marTop w:val="0"/>
      <w:marBottom w:val="0"/>
      <w:divBdr>
        <w:top w:val="none" w:sz="0" w:space="0" w:color="auto"/>
        <w:left w:val="none" w:sz="0" w:space="0" w:color="auto"/>
        <w:bottom w:val="none" w:sz="0" w:space="0" w:color="auto"/>
        <w:right w:val="none" w:sz="0" w:space="0" w:color="auto"/>
      </w:divBdr>
      <w:divsChild>
        <w:div w:id="1861237725">
          <w:marLeft w:val="0"/>
          <w:marRight w:val="0"/>
          <w:marTop w:val="0"/>
          <w:marBottom w:val="0"/>
          <w:divBdr>
            <w:top w:val="none" w:sz="0" w:space="0" w:color="auto"/>
            <w:left w:val="none" w:sz="0" w:space="0" w:color="auto"/>
            <w:bottom w:val="none" w:sz="0" w:space="0" w:color="auto"/>
            <w:right w:val="none" w:sz="0" w:space="0" w:color="auto"/>
          </w:divBdr>
          <w:divsChild>
            <w:div w:id="1216746183">
              <w:marLeft w:val="0"/>
              <w:marRight w:val="0"/>
              <w:marTop w:val="0"/>
              <w:marBottom w:val="0"/>
              <w:divBdr>
                <w:top w:val="none" w:sz="0" w:space="0" w:color="auto"/>
                <w:left w:val="none" w:sz="0" w:space="0" w:color="auto"/>
                <w:bottom w:val="none" w:sz="0" w:space="0" w:color="auto"/>
                <w:right w:val="none" w:sz="0" w:space="0" w:color="auto"/>
              </w:divBdr>
              <w:divsChild>
                <w:div w:id="1677683798">
                  <w:marLeft w:val="0"/>
                  <w:marRight w:val="0"/>
                  <w:marTop w:val="0"/>
                  <w:marBottom w:val="0"/>
                  <w:divBdr>
                    <w:top w:val="none" w:sz="0" w:space="0" w:color="auto"/>
                    <w:left w:val="none" w:sz="0" w:space="0" w:color="auto"/>
                    <w:bottom w:val="none" w:sz="0" w:space="0" w:color="auto"/>
                    <w:right w:val="none" w:sz="0" w:space="0" w:color="auto"/>
                  </w:divBdr>
                  <w:divsChild>
                    <w:div w:id="1290893506">
                      <w:marLeft w:val="0"/>
                      <w:marRight w:val="0"/>
                      <w:marTop w:val="0"/>
                      <w:marBottom w:val="0"/>
                      <w:divBdr>
                        <w:top w:val="none" w:sz="0" w:space="0" w:color="auto"/>
                        <w:left w:val="none" w:sz="0" w:space="0" w:color="auto"/>
                        <w:bottom w:val="none" w:sz="0" w:space="0" w:color="auto"/>
                        <w:right w:val="none" w:sz="0" w:space="0" w:color="auto"/>
                      </w:divBdr>
                      <w:divsChild>
                        <w:div w:id="1150905043">
                          <w:marLeft w:val="0"/>
                          <w:marRight w:val="0"/>
                          <w:marTop w:val="0"/>
                          <w:marBottom w:val="0"/>
                          <w:divBdr>
                            <w:top w:val="none" w:sz="0" w:space="0" w:color="auto"/>
                            <w:left w:val="none" w:sz="0" w:space="0" w:color="auto"/>
                            <w:bottom w:val="none" w:sz="0" w:space="0" w:color="auto"/>
                            <w:right w:val="none" w:sz="0" w:space="0" w:color="auto"/>
                          </w:divBdr>
                          <w:divsChild>
                            <w:div w:id="1619292333">
                              <w:marLeft w:val="0"/>
                              <w:marRight w:val="0"/>
                              <w:marTop w:val="0"/>
                              <w:marBottom w:val="0"/>
                              <w:divBdr>
                                <w:top w:val="none" w:sz="0" w:space="0" w:color="auto"/>
                                <w:left w:val="none" w:sz="0" w:space="0" w:color="auto"/>
                                <w:bottom w:val="none" w:sz="0" w:space="0" w:color="auto"/>
                                <w:right w:val="none" w:sz="0" w:space="0" w:color="auto"/>
                              </w:divBdr>
                              <w:divsChild>
                                <w:div w:id="16997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510630">
      <w:bodyDiv w:val="1"/>
      <w:marLeft w:val="0"/>
      <w:marRight w:val="0"/>
      <w:marTop w:val="0"/>
      <w:marBottom w:val="0"/>
      <w:divBdr>
        <w:top w:val="none" w:sz="0" w:space="0" w:color="auto"/>
        <w:left w:val="none" w:sz="0" w:space="0" w:color="auto"/>
        <w:bottom w:val="none" w:sz="0" w:space="0" w:color="auto"/>
        <w:right w:val="none" w:sz="0" w:space="0" w:color="auto"/>
      </w:divBdr>
      <w:divsChild>
        <w:div w:id="1807310268">
          <w:marLeft w:val="0"/>
          <w:marRight w:val="0"/>
          <w:marTop w:val="0"/>
          <w:marBottom w:val="0"/>
          <w:divBdr>
            <w:top w:val="none" w:sz="0" w:space="0" w:color="auto"/>
            <w:left w:val="none" w:sz="0" w:space="0" w:color="auto"/>
            <w:bottom w:val="none" w:sz="0" w:space="0" w:color="auto"/>
            <w:right w:val="none" w:sz="0" w:space="0" w:color="auto"/>
          </w:divBdr>
          <w:divsChild>
            <w:div w:id="1565946117">
              <w:marLeft w:val="0"/>
              <w:marRight w:val="0"/>
              <w:marTop w:val="0"/>
              <w:marBottom w:val="0"/>
              <w:divBdr>
                <w:top w:val="none" w:sz="0" w:space="0" w:color="auto"/>
                <w:left w:val="none" w:sz="0" w:space="0" w:color="auto"/>
                <w:bottom w:val="none" w:sz="0" w:space="0" w:color="auto"/>
                <w:right w:val="none" w:sz="0" w:space="0" w:color="auto"/>
              </w:divBdr>
              <w:divsChild>
                <w:div w:id="2047900059">
                  <w:marLeft w:val="0"/>
                  <w:marRight w:val="0"/>
                  <w:marTop w:val="0"/>
                  <w:marBottom w:val="0"/>
                  <w:divBdr>
                    <w:top w:val="none" w:sz="0" w:space="0" w:color="auto"/>
                    <w:left w:val="none" w:sz="0" w:space="0" w:color="auto"/>
                    <w:bottom w:val="none" w:sz="0" w:space="0" w:color="auto"/>
                    <w:right w:val="none" w:sz="0" w:space="0" w:color="auto"/>
                  </w:divBdr>
                  <w:divsChild>
                    <w:div w:id="1295019222">
                      <w:marLeft w:val="0"/>
                      <w:marRight w:val="0"/>
                      <w:marTop w:val="0"/>
                      <w:marBottom w:val="0"/>
                      <w:divBdr>
                        <w:top w:val="none" w:sz="0" w:space="0" w:color="auto"/>
                        <w:left w:val="none" w:sz="0" w:space="0" w:color="auto"/>
                        <w:bottom w:val="none" w:sz="0" w:space="0" w:color="auto"/>
                        <w:right w:val="none" w:sz="0" w:space="0" w:color="auto"/>
                      </w:divBdr>
                      <w:divsChild>
                        <w:div w:id="2086032652">
                          <w:marLeft w:val="0"/>
                          <w:marRight w:val="0"/>
                          <w:marTop w:val="0"/>
                          <w:marBottom w:val="0"/>
                          <w:divBdr>
                            <w:top w:val="none" w:sz="0" w:space="0" w:color="auto"/>
                            <w:left w:val="none" w:sz="0" w:space="0" w:color="auto"/>
                            <w:bottom w:val="none" w:sz="0" w:space="0" w:color="auto"/>
                            <w:right w:val="none" w:sz="0" w:space="0" w:color="auto"/>
                          </w:divBdr>
                          <w:divsChild>
                            <w:div w:id="8242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900672">
      <w:bodyDiv w:val="1"/>
      <w:marLeft w:val="0"/>
      <w:marRight w:val="0"/>
      <w:marTop w:val="0"/>
      <w:marBottom w:val="0"/>
      <w:divBdr>
        <w:top w:val="none" w:sz="0" w:space="0" w:color="auto"/>
        <w:left w:val="none" w:sz="0" w:space="0" w:color="auto"/>
        <w:bottom w:val="none" w:sz="0" w:space="0" w:color="auto"/>
        <w:right w:val="none" w:sz="0" w:space="0" w:color="auto"/>
      </w:divBdr>
      <w:divsChild>
        <w:div w:id="1936982864">
          <w:marLeft w:val="0"/>
          <w:marRight w:val="0"/>
          <w:marTop w:val="0"/>
          <w:marBottom w:val="0"/>
          <w:divBdr>
            <w:top w:val="none" w:sz="0" w:space="0" w:color="auto"/>
            <w:left w:val="none" w:sz="0" w:space="0" w:color="auto"/>
            <w:bottom w:val="none" w:sz="0" w:space="0" w:color="auto"/>
            <w:right w:val="none" w:sz="0" w:space="0" w:color="auto"/>
          </w:divBdr>
          <w:divsChild>
            <w:div w:id="1343626035">
              <w:marLeft w:val="0"/>
              <w:marRight w:val="0"/>
              <w:marTop w:val="0"/>
              <w:marBottom w:val="0"/>
              <w:divBdr>
                <w:top w:val="none" w:sz="0" w:space="0" w:color="auto"/>
                <w:left w:val="none" w:sz="0" w:space="0" w:color="auto"/>
                <w:bottom w:val="none" w:sz="0" w:space="0" w:color="auto"/>
                <w:right w:val="none" w:sz="0" w:space="0" w:color="auto"/>
              </w:divBdr>
              <w:divsChild>
                <w:div w:id="1800413508">
                  <w:marLeft w:val="0"/>
                  <w:marRight w:val="0"/>
                  <w:marTop w:val="0"/>
                  <w:marBottom w:val="0"/>
                  <w:divBdr>
                    <w:top w:val="none" w:sz="0" w:space="0" w:color="auto"/>
                    <w:left w:val="none" w:sz="0" w:space="0" w:color="auto"/>
                    <w:bottom w:val="none" w:sz="0" w:space="0" w:color="auto"/>
                    <w:right w:val="none" w:sz="0" w:space="0" w:color="auto"/>
                  </w:divBdr>
                  <w:divsChild>
                    <w:div w:id="1589314446">
                      <w:marLeft w:val="0"/>
                      <w:marRight w:val="0"/>
                      <w:marTop w:val="0"/>
                      <w:marBottom w:val="0"/>
                      <w:divBdr>
                        <w:top w:val="none" w:sz="0" w:space="0" w:color="auto"/>
                        <w:left w:val="none" w:sz="0" w:space="0" w:color="auto"/>
                        <w:bottom w:val="none" w:sz="0" w:space="0" w:color="auto"/>
                        <w:right w:val="none" w:sz="0" w:space="0" w:color="auto"/>
                      </w:divBdr>
                      <w:divsChild>
                        <w:div w:id="1136803260">
                          <w:marLeft w:val="0"/>
                          <w:marRight w:val="0"/>
                          <w:marTop w:val="0"/>
                          <w:marBottom w:val="0"/>
                          <w:divBdr>
                            <w:top w:val="none" w:sz="0" w:space="0" w:color="auto"/>
                            <w:left w:val="none" w:sz="0" w:space="0" w:color="auto"/>
                            <w:bottom w:val="none" w:sz="0" w:space="0" w:color="auto"/>
                            <w:right w:val="none" w:sz="0" w:space="0" w:color="auto"/>
                          </w:divBdr>
                          <w:divsChild>
                            <w:div w:id="1082722613">
                              <w:marLeft w:val="0"/>
                              <w:marRight w:val="0"/>
                              <w:marTop w:val="0"/>
                              <w:marBottom w:val="0"/>
                              <w:divBdr>
                                <w:top w:val="none" w:sz="0" w:space="0" w:color="auto"/>
                                <w:left w:val="none" w:sz="0" w:space="0" w:color="auto"/>
                                <w:bottom w:val="none" w:sz="0" w:space="0" w:color="auto"/>
                                <w:right w:val="none" w:sz="0" w:space="0" w:color="auto"/>
                              </w:divBdr>
                              <w:divsChild>
                                <w:div w:id="6770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612483">
      <w:bodyDiv w:val="1"/>
      <w:marLeft w:val="0"/>
      <w:marRight w:val="0"/>
      <w:marTop w:val="0"/>
      <w:marBottom w:val="0"/>
      <w:divBdr>
        <w:top w:val="none" w:sz="0" w:space="0" w:color="auto"/>
        <w:left w:val="none" w:sz="0" w:space="0" w:color="auto"/>
        <w:bottom w:val="none" w:sz="0" w:space="0" w:color="auto"/>
        <w:right w:val="none" w:sz="0" w:space="0" w:color="auto"/>
      </w:divBdr>
      <w:divsChild>
        <w:div w:id="854541184">
          <w:marLeft w:val="0"/>
          <w:marRight w:val="0"/>
          <w:marTop w:val="0"/>
          <w:marBottom w:val="0"/>
          <w:divBdr>
            <w:top w:val="none" w:sz="0" w:space="0" w:color="auto"/>
            <w:left w:val="none" w:sz="0" w:space="0" w:color="auto"/>
            <w:bottom w:val="none" w:sz="0" w:space="0" w:color="auto"/>
            <w:right w:val="none" w:sz="0" w:space="0" w:color="auto"/>
          </w:divBdr>
          <w:divsChild>
            <w:div w:id="49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0839">
      <w:bodyDiv w:val="1"/>
      <w:marLeft w:val="0"/>
      <w:marRight w:val="0"/>
      <w:marTop w:val="0"/>
      <w:marBottom w:val="0"/>
      <w:divBdr>
        <w:top w:val="none" w:sz="0" w:space="0" w:color="auto"/>
        <w:left w:val="none" w:sz="0" w:space="0" w:color="auto"/>
        <w:bottom w:val="none" w:sz="0" w:space="0" w:color="auto"/>
        <w:right w:val="none" w:sz="0" w:space="0" w:color="auto"/>
      </w:divBdr>
    </w:div>
    <w:div w:id="739208199">
      <w:bodyDiv w:val="1"/>
      <w:marLeft w:val="0"/>
      <w:marRight w:val="0"/>
      <w:marTop w:val="0"/>
      <w:marBottom w:val="0"/>
      <w:divBdr>
        <w:top w:val="none" w:sz="0" w:space="0" w:color="auto"/>
        <w:left w:val="none" w:sz="0" w:space="0" w:color="auto"/>
        <w:bottom w:val="none" w:sz="0" w:space="0" w:color="auto"/>
        <w:right w:val="none" w:sz="0" w:space="0" w:color="auto"/>
      </w:divBdr>
    </w:div>
    <w:div w:id="742068568">
      <w:bodyDiv w:val="1"/>
      <w:marLeft w:val="0"/>
      <w:marRight w:val="0"/>
      <w:marTop w:val="0"/>
      <w:marBottom w:val="0"/>
      <w:divBdr>
        <w:top w:val="none" w:sz="0" w:space="0" w:color="auto"/>
        <w:left w:val="none" w:sz="0" w:space="0" w:color="auto"/>
        <w:bottom w:val="none" w:sz="0" w:space="0" w:color="auto"/>
        <w:right w:val="none" w:sz="0" w:space="0" w:color="auto"/>
      </w:divBdr>
      <w:divsChild>
        <w:div w:id="697437376">
          <w:marLeft w:val="0"/>
          <w:marRight w:val="0"/>
          <w:marTop w:val="0"/>
          <w:marBottom w:val="0"/>
          <w:divBdr>
            <w:top w:val="none" w:sz="0" w:space="0" w:color="auto"/>
            <w:left w:val="none" w:sz="0" w:space="0" w:color="auto"/>
            <w:bottom w:val="none" w:sz="0" w:space="0" w:color="auto"/>
            <w:right w:val="none" w:sz="0" w:space="0" w:color="auto"/>
          </w:divBdr>
          <w:divsChild>
            <w:div w:id="1719429802">
              <w:marLeft w:val="0"/>
              <w:marRight w:val="0"/>
              <w:marTop w:val="0"/>
              <w:marBottom w:val="0"/>
              <w:divBdr>
                <w:top w:val="none" w:sz="0" w:space="0" w:color="auto"/>
                <w:left w:val="none" w:sz="0" w:space="0" w:color="auto"/>
                <w:bottom w:val="none" w:sz="0" w:space="0" w:color="auto"/>
                <w:right w:val="none" w:sz="0" w:space="0" w:color="auto"/>
              </w:divBdr>
              <w:divsChild>
                <w:div w:id="1423574085">
                  <w:marLeft w:val="0"/>
                  <w:marRight w:val="0"/>
                  <w:marTop w:val="0"/>
                  <w:marBottom w:val="0"/>
                  <w:divBdr>
                    <w:top w:val="none" w:sz="0" w:space="0" w:color="auto"/>
                    <w:left w:val="none" w:sz="0" w:space="0" w:color="auto"/>
                    <w:bottom w:val="none" w:sz="0" w:space="0" w:color="auto"/>
                    <w:right w:val="none" w:sz="0" w:space="0" w:color="auto"/>
                  </w:divBdr>
                  <w:divsChild>
                    <w:div w:id="1091781739">
                      <w:marLeft w:val="0"/>
                      <w:marRight w:val="0"/>
                      <w:marTop w:val="0"/>
                      <w:marBottom w:val="0"/>
                      <w:divBdr>
                        <w:top w:val="none" w:sz="0" w:space="0" w:color="auto"/>
                        <w:left w:val="none" w:sz="0" w:space="0" w:color="auto"/>
                        <w:bottom w:val="none" w:sz="0" w:space="0" w:color="auto"/>
                        <w:right w:val="none" w:sz="0" w:space="0" w:color="auto"/>
                      </w:divBdr>
                      <w:divsChild>
                        <w:div w:id="224071346">
                          <w:marLeft w:val="0"/>
                          <w:marRight w:val="0"/>
                          <w:marTop w:val="0"/>
                          <w:marBottom w:val="0"/>
                          <w:divBdr>
                            <w:top w:val="none" w:sz="0" w:space="0" w:color="auto"/>
                            <w:left w:val="none" w:sz="0" w:space="0" w:color="auto"/>
                            <w:bottom w:val="none" w:sz="0" w:space="0" w:color="auto"/>
                            <w:right w:val="none" w:sz="0" w:space="0" w:color="auto"/>
                          </w:divBdr>
                          <w:divsChild>
                            <w:div w:id="443504887">
                              <w:marLeft w:val="0"/>
                              <w:marRight w:val="0"/>
                              <w:marTop w:val="0"/>
                              <w:marBottom w:val="0"/>
                              <w:divBdr>
                                <w:top w:val="none" w:sz="0" w:space="0" w:color="auto"/>
                                <w:left w:val="none" w:sz="0" w:space="0" w:color="auto"/>
                                <w:bottom w:val="none" w:sz="0" w:space="0" w:color="auto"/>
                                <w:right w:val="none" w:sz="0" w:space="0" w:color="auto"/>
                              </w:divBdr>
                              <w:divsChild>
                                <w:div w:id="2693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10983">
      <w:bodyDiv w:val="1"/>
      <w:marLeft w:val="0"/>
      <w:marRight w:val="0"/>
      <w:marTop w:val="0"/>
      <w:marBottom w:val="0"/>
      <w:divBdr>
        <w:top w:val="none" w:sz="0" w:space="0" w:color="auto"/>
        <w:left w:val="none" w:sz="0" w:space="0" w:color="auto"/>
        <w:bottom w:val="none" w:sz="0" w:space="0" w:color="auto"/>
        <w:right w:val="none" w:sz="0" w:space="0" w:color="auto"/>
      </w:divBdr>
    </w:div>
    <w:div w:id="886263852">
      <w:bodyDiv w:val="1"/>
      <w:marLeft w:val="0"/>
      <w:marRight w:val="0"/>
      <w:marTop w:val="0"/>
      <w:marBottom w:val="0"/>
      <w:divBdr>
        <w:top w:val="none" w:sz="0" w:space="0" w:color="auto"/>
        <w:left w:val="none" w:sz="0" w:space="0" w:color="auto"/>
        <w:bottom w:val="none" w:sz="0" w:space="0" w:color="auto"/>
        <w:right w:val="none" w:sz="0" w:space="0" w:color="auto"/>
      </w:divBdr>
      <w:divsChild>
        <w:div w:id="416948612">
          <w:marLeft w:val="0"/>
          <w:marRight w:val="0"/>
          <w:marTop w:val="0"/>
          <w:marBottom w:val="0"/>
          <w:divBdr>
            <w:top w:val="none" w:sz="0" w:space="0" w:color="auto"/>
            <w:left w:val="none" w:sz="0" w:space="0" w:color="auto"/>
            <w:bottom w:val="none" w:sz="0" w:space="0" w:color="auto"/>
            <w:right w:val="none" w:sz="0" w:space="0" w:color="auto"/>
          </w:divBdr>
          <w:divsChild>
            <w:div w:id="1316647017">
              <w:marLeft w:val="0"/>
              <w:marRight w:val="0"/>
              <w:marTop w:val="0"/>
              <w:marBottom w:val="0"/>
              <w:divBdr>
                <w:top w:val="none" w:sz="0" w:space="0" w:color="auto"/>
                <w:left w:val="none" w:sz="0" w:space="0" w:color="auto"/>
                <w:bottom w:val="none" w:sz="0" w:space="0" w:color="auto"/>
                <w:right w:val="none" w:sz="0" w:space="0" w:color="auto"/>
              </w:divBdr>
            </w:div>
          </w:divsChild>
        </w:div>
        <w:div w:id="1943106585">
          <w:marLeft w:val="0"/>
          <w:marRight w:val="0"/>
          <w:marTop w:val="0"/>
          <w:marBottom w:val="0"/>
          <w:divBdr>
            <w:top w:val="none" w:sz="0" w:space="0" w:color="auto"/>
            <w:left w:val="none" w:sz="0" w:space="0" w:color="auto"/>
            <w:bottom w:val="none" w:sz="0" w:space="0" w:color="auto"/>
            <w:right w:val="none" w:sz="0" w:space="0" w:color="auto"/>
          </w:divBdr>
          <w:divsChild>
            <w:div w:id="1628318909">
              <w:marLeft w:val="0"/>
              <w:marRight w:val="0"/>
              <w:marTop w:val="0"/>
              <w:marBottom w:val="0"/>
              <w:divBdr>
                <w:top w:val="none" w:sz="0" w:space="0" w:color="auto"/>
                <w:left w:val="none" w:sz="0" w:space="0" w:color="auto"/>
                <w:bottom w:val="none" w:sz="0" w:space="0" w:color="auto"/>
                <w:right w:val="none" w:sz="0" w:space="0" w:color="auto"/>
              </w:divBdr>
            </w:div>
          </w:divsChild>
        </w:div>
        <w:div w:id="1697272595">
          <w:marLeft w:val="0"/>
          <w:marRight w:val="0"/>
          <w:marTop w:val="0"/>
          <w:marBottom w:val="0"/>
          <w:divBdr>
            <w:top w:val="none" w:sz="0" w:space="0" w:color="auto"/>
            <w:left w:val="none" w:sz="0" w:space="0" w:color="auto"/>
            <w:bottom w:val="none" w:sz="0" w:space="0" w:color="auto"/>
            <w:right w:val="none" w:sz="0" w:space="0" w:color="auto"/>
          </w:divBdr>
          <w:divsChild>
            <w:div w:id="2085947792">
              <w:marLeft w:val="0"/>
              <w:marRight w:val="0"/>
              <w:marTop w:val="0"/>
              <w:marBottom w:val="0"/>
              <w:divBdr>
                <w:top w:val="none" w:sz="0" w:space="0" w:color="auto"/>
                <w:left w:val="none" w:sz="0" w:space="0" w:color="auto"/>
                <w:bottom w:val="none" w:sz="0" w:space="0" w:color="auto"/>
                <w:right w:val="none" w:sz="0" w:space="0" w:color="auto"/>
              </w:divBdr>
            </w:div>
          </w:divsChild>
        </w:div>
        <w:div w:id="699091749">
          <w:marLeft w:val="0"/>
          <w:marRight w:val="0"/>
          <w:marTop w:val="0"/>
          <w:marBottom w:val="0"/>
          <w:divBdr>
            <w:top w:val="none" w:sz="0" w:space="0" w:color="auto"/>
            <w:left w:val="none" w:sz="0" w:space="0" w:color="auto"/>
            <w:bottom w:val="none" w:sz="0" w:space="0" w:color="auto"/>
            <w:right w:val="none" w:sz="0" w:space="0" w:color="auto"/>
          </w:divBdr>
          <w:divsChild>
            <w:div w:id="305284575">
              <w:marLeft w:val="0"/>
              <w:marRight w:val="0"/>
              <w:marTop w:val="0"/>
              <w:marBottom w:val="0"/>
              <w:divBdr>
                <w:top w:val="none" w:sz="0" w:space="0" w:color="auto"/>
                <w:left w:val="none" w:sz="0" w:space="0" w:color="auto"/>
                <w:bottom w:val="none" w:sz="0" w:space="0" w:color="auto"/>
                <w:right w:val="none" w:sz="0" w:space="0" w:color="auto"/>
              </w:divBdr>
            </w:div>
          </w:divsChild>
        </w:div>
        <w:div w:id="778335225">
          <w:marLeft w:val="0"/>
          <w:marRight w:val="0"/>
          <w:marTop w:val="0"/>
          <w:marBottom w:val="0"/>
          <w:divBdr>
            <w:top w:val="none" w:sz="0" w:space="0" w:color="auto"/>
            <w:left w:val="none" w:sz="0" w:space="0" w:color="auto"/>
            <w:bottom w:val="none" w:sz="0" w:space="0" w:color="auto"/>
            <w:right w:val="none" w:sz="0" w:space="0" w:color="auto"/>
          </w:divBdr>
          <w:divsChild>
            <w:div w:id="1872455181">
              <w:marLeft w:val="0"/>
              <w:marRight w:val="0"/>
              <w:marTop w:val="0"/>
              <w:marBottom w:val="0"/>
              <w:divBdr>
                <w:top w:val="none" w:sz="0" w:space="0" w:color="auto"/>
                <w:left w:val="none" w:sz="0" w:space="0" w:color="auto"/>
                <w:bottom w:val="none" w:sz="0" w:space="0" w:color="auto"/>
                <w:right w:val="none" w:sz="0" w:space="0" w:color="auto"/>
              </w:divBdr>
            </w:div>
          </w:divsChild>
        </w:div>
        <w:div w:id="199518567">
          <w:marLeft w:val="0"/>
          <w:marRight w:val="0"/>
          <w:marTop w:val="0"/>
          <w:marBottom w:val="0"/>
          <w:divBdr>
            <w:top w:val="none" w:sz="0" w:space="0" w:color="auto"/>
            <w:left w:val="none" w:sz="0" w:space="0" w:color="auto"/>
            <w:bottom w:val="none" w:sz="0" w:space="0" w:color="auto"/>
            <w:right w:val="none" w:sz="0" w:space="0" w:color="auto"/>
          </w:divBdr>
          <w:divsChild>
            <w:div w:id="135110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01602">
      <w:bodyDiv w:val="1"/>
      <w:marLeft w:val="0"/>
      <w:marRight w:val="0"/>
      <w:marTop w:val="0"/>
      <w:marBottom w:val="0"/>
      <w:divBdr>
        <w:top w:val="none" w:sz="0" w:space="0" w:color="auto"/>
        <w:left w:val="none" w:sz="0" w:space="0" w:color="auto"/>
        <w:bottom w:val="none" w:sz="0" w:space="0" w:color="auto"/>
        <w:right w:val="none" w:sz="0" w:space="0" w:color="auto"/>
      </w:divBdr>
      <w:divsChild>
        <w:div w:id="1534883039">
          <w:marLeft w:val="0"/>
          <w:marRight w:val="0"/>
          <w:marTop w:val="0"/>
          <w:marBottom w:val="0"/>
          <w:divBdr>
            <w:top w:val="none" w:sz="0" w:space="0" w:color="auto"/>
            <w:left w:val="none" w:sz="0" w:space="0" w:color="auto"/>
            <w:bottom w:val="none" w:sz="0" w:space="0" w:color="auto"/>
            <w:right w:val="none" w:sz="0" w:space="0" w:color="auto"/>
          </w:divBdr>
          <w:divsChild>
            <w:div w:id="1338996303">
              <w:marLeft w:val="0"/>
              <w:marRight w:val="0"/>
              <w:marTop w:val="0"/>
              <w:marBottom w:val="0"/>
              <w:divBdr>
                <w:top w:val="none" w:sz="0" w:space="0" w:color="auto"/>
                <w:left w:val="none" w:sz="0" w:space="0" w:color="auto"/>
                <w:bottom w:val="none" w:sz="0" w:space="0" w:color="auto"/>
                <w:right w:val="none" w:sz="0" w:space="0" w:color="auto"/>
              </w:divBdr>
              <w:divsChild>
                <w:div w:id="338701157">
                  <w:marLeft w:val="0"/>
                  <w:marRight w:val="0"/>
                  <w:marTop w:val="0"/>
                  <w:marBottom w:val="0"/>
                  <w:divBdr>
                    <w:top w:val="none" w:sz="0" w:space="0" w:color="auto"/>
                    <w:left w:val="none" w:sz="0" w:space="0" w:color="auto"/>
                    <w:bottom w:val="none" w:sz="0" w:space="0" w:color="auto"/>
                    <w:right w:val="none" w:sz="0" w:space="0" w:color="auto"/>
                  </w:divBdr>
                  <w:divsChild>
                    <w:div w:id="1200702442">
                      <w:marLeft w:val="0"/>
                      <w:marRight w:val="0"/>
                      <w:marTop w:val="0"/>
                      <w:marBottom w:val="0"/>
                      <w:divBdr>
                        <w:top w:val="none" w:sz="0" w:space="0" w:color="auto"/>
                        <w:left w:val="none" w:sz="0" w:space="0" w:color="auto"/>
                        <w:bottom w:val="none" w:sz="0" w:space="0" w:color="auto"/>
                        <w:right w:val="none" w:sz="0" w:space="0" w:color="auto"/>
                      </w:divBdr>
                      <w:divsChild>
                        <w:div w:id="648944767">
                          <w:marLeft w:val="0"/>
                          <w:marRight w:val="0"/>
                          <w:marTop w:val="0"/>
                          <w:marBottom w:val="0"/>
                          <w:divBdr>
                            <w:top w:val="none" w:sz="0" w:space="0" w:color="auto"/>
                            <w:left w:val="none" w:sz="0" w:space="0" w:color="auto"/>
                            <w:bottom w:val="none" w:sz="0" w:space="0" w:color="auto"/>
                            <w:right w:val="none" w:sz="0" w:space="0" w:color="auto"/>
                          </w:divBdr>
                          <w:divsChild>
                            <w:div w:id="733428157">
                              <w:marLeft w:val="0"/>
                              <w:marRight w:val="0"/>
                              <w:marTop w:val="0"/>
                              <w:marBottom w:val="0"/>
                              <w:divBdr>
                                <w:top w:val="none" w:sz="0" w:space="0" w:color="auto"/>
                                <w:left w:val="none" w:sz="0" w:space="0" w:color="auto"/>
                                <w:bottom w:val="none" w:sz="0" w:space="0" w:color="auto"/>
                                <w:right w:val="none" w:sz="0" w:space="0" w:color="auto"/>
                              </w:divBdr>
                              <w:divsChild>
                                <w:div w:id="4313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644144">
      <w:bodyDiv w:val="1"/>
      <w:marLeft w:val="0"/>
      <w:marRight w:val="0"/>
      <w:marTop w:val="0"/>
      <w:marBottom w:val="0"/>
      <w:divBdr>
        <w:top w:val="none" w:sz="0" w:space="0" w:color="auto"/>
        <w:left w:val="none" w:sz="0" w:space="0" w:color="auto"/>
        <w:bottom w:val="none" w:sz="0" w:space="0" w:color="auto"/>
        <w:right w:val="none" w:sz="0" w:space="0" w:color="auto"/>
      </w:divBdr>
    </w:div>
    <w:div w:id="1156337270">
      <w:bodyDiv w:val="1"/>
      <w:marLeft w:val="0"/>
      <w:marRight w:val="0"/>
      <w:marTop w:val="0"/>
      <w:marBottom w:val="0"/>
      <w:divBdr>
        <w:top w:val="none" w:sz="0" w:space="0" w:color="auto"/>
        <w:left w:val="none" w:sz="0" w:space="0" w:color="auto"/>
        <w:bottom w:val="none" w:sz="0" w:space="0" w:color="auto"/>
        <w:right w:val="none" w:sz="0" w:space="0" w:color="auto"/>
      </w:divBdr>
      <w:divsChild>
        <w:div w:id="1656908671">
          <w:marLeft w:val="0"/>
          <w:marRight w:val="0"/>
          <w:marTop w:val="0"/>
          <w:marBottom w:val="0"/>
          <w:divBdr>
            <w:top w:val="none" w:sz="0" w:space="0" w:color="auto"/>
            <w:left w:val="none" w:sz="0" w:space="0" w:color="auto"/>
            <w:bottom w:val="none" w:sz="0" w:space="0" w:color="auto"/>
            <w:right w:val="none" w:sz="0" w:space="0" w:color="auto"/>
          </w:divBdr>
          <w:divsChild>
            <w:div w:id="1835559886">
              <w:marLeft w:val="0"/>
              <w:marRight w:val="0"/>
              <w:marTop w:val="0"/>
              <w:marBottom w:val="0"/>
              <w:divBdr>
                <w:top w:val="none" w:sz="0" w:space="0" w:color="auto"/>
                <w:left w:val="none" w:sz="0" w:space="0" w:color="auto"/>
                <w:bottom w:val="none" w:sz="0" w:space="0" w:color="auto"/>
                <w:right w:val="none" w:sz="0" w:space="0" w:color="auto"/>
              </w:divBdr>
              <w:divsChild>
                <w:div w:id="778992277">
                  <w:marLeft w:val="0"/>
                  <w:marRight w:val="0"/>
                  <w:marTop w:val="0"/>
                  <w:marBottom w:val="0"/>
                  <w:divBdr>
                    <w:top w:val="none" w:sz="0" w:space="0" w:color="auto"/>
                    <w:left w:val="none" w:sz="0" w:space="0" w:color="auto"/>
                    <w:bottom w:val="none" w:sz="0" w:space="0" w:color="auto"/>
                    <w:right w:val="none" w:sz="0" w:space="0" w:color="auto"/>
                  </w:divBdr>
                  <w:divsChild>
                    <w:div w:id="881945719">
                      <w:marLeft w:val="0"/>
                      <w:marRight w:val="0"/>
                      <w:marTop w:val="0"/>
                      <w:marBottom w:val="0"/>
                      <w:divBdr>
                        <w:top w:val="none" w:sz="0" w:space="0" w:color="auto"/>
                        <w:left w:val="none" w:sz="0" w:space="0" w:color="auto"/>
                        <w:bottom w:val="none" w:sz="0" w:space="0" w:color="auto"/>
                        <w:right w:val="none" w:sz="0" w:space="0" w:color="auto"/>
                      </w:divBdr>
                      <w:divsChild>
                        <w:div w:id="2072996302">
                          <w:marLeft w:val="0"/>
                          <w:marRight w:val="0"/>
                          <w:marTop w:val="0"/>
                          <w:marBottom w:val="0"/>
                          <w:divBdr>
                            <w:top w:val="none" w:sz="0" w:space="0" w:color="auto"/>
                            <w:left w:val="none" w:sz="0" w:space="0" w:color="auto"/>
                            <w:bottom w:val="none" w:sz="0" w:space="0" w:color="auto"/>
                            <w:right w:val="none" w:sz="0" w:space="0" w:color="auto"/>
                          </w:divBdr>
                          <w:divsChild>
                            <w:div w:id="1890411904">
                              <w:marLeft w:val="0"/>
                              <w:marRight w:val="0"/>
                              <w:marTop w:val="0"/>
                              <w:marBottom w:val="0"/>
                              <w:divBdr>
                                <w:top w:val="none" w:sz="0" w:space="0" w:color="auto"/>
                                <w:left w:val="none" w:sz="0" w:space="0" w:color="auto"/>
                                <w:bottom w:val="none" w:sz="0" w:space="0" w:color="auto"/>
                                <w:right w:val="none" w:sz="0" w:space="0" w:color="auto"/>
                              </w:divBdr>
                              <w:divsChild>
                                <w:div w:id="877550341">
                                  <w:marLeft w:val="0"/>
                                  <w:marRight w:val="0"/>
                                  <w:marTop w:val="0"/>
                                  <w:marBottom w:val="0"/>
                                  <w:divBdr>
                                    <w:top w:val="none" w:sz="0" w:space="0" w:color="auto"/>
                                    <w:left w:val="none" w:sz="0" w:space="0" w:color="auto"/>
                                    <w:bottom w:val="none" w:sz="0" w:space="0" w:color="auto"/>
                                    <w:right w:val="none" w:sz="0" w:space="0" w:color="auto"/>
                                  </w:divBdr>
                                  <w:divsChild>
                                    <w:div w:id="781804919">
                                      <w:marLeft w:val="0"/>
                                      <w:marRight w:val="0"/>
                                      <w:marTop w:val="0"/>
                                      <w:marBottom w:val="0"/>
                                      <w:divBdr>
                                        <w:top w:val="none" w:sz="0" w:space="0" w:color="auto"/>
                                        <w:left w:val="none" w:sz="0" w:space="0" w:color="auto"/>
                                        <w:bottom w:val="none" w:sz="0" w:space="0" w:color="auto"/>
                                        <w:right w:val="none" w:sz="0" w:space="0" w:color="auto"/>
                                      </w:divBdr>
                                      <w:divsChild>
                                        <w:div w:id="422141775">
                                          <w:marLeft w:val="0"/>
                                          <w:marRight w:val="0"/>
                                          <w:marTop w:val="0"/>
                                          <w:marBottom w:val="0"/>
                                          <w:divBdr>
                                            <w:top w:val="none" w:sz="0" w:space="0" w:color="auto"/>
                                            <w:left w:val="none" w:sz="0" w:space="0" w:color="auto"/>
                                            <w:bottom w:val="none" w:sz="0" w:space="0" w:color="auto"/>
                                            <w:right w:val="none" w:sz="0" w:space="0" w:color="auto"/>
                                          </w:divBdr>
                                          <w:divsChild>
                                            <w:div w:id="1781729084">
                                              <w:marLeft w:val="0"/>
                                              <w:marRight w:val="0"/>
                                              <w:marTop w:val="0"/>
                                              <w:marBottom w:val="0"/>
                                              <w:divBdr>
                                                <w:top w:val="none" w:sz="0" w:space="0" w:color="auto"/>
                                                <w:left w:val="none" w:sz="0" w:space="0" w:color="auto"/>
                                                <w:bottom w:val="none" w:sz="0" w:space="0" w:color="auto"/>
                                                <w:right w:val="none" w:sz="0" w:space="0" w:color="auto"/>
                                              </w:divBdr>
                                            </w:div>
                                          </w:divsChild>
                                        </w:div>
                                        <w:div w:id="946040760">
                                          <w:marLeft w:val="0"/>
                                          <w:marRight w:val="0"/>
                                          <w:marTop w:val="0"/>
                                          <w:marBottom w:val="0"/>
                                          <w:divBdr>
                                            <w:top w:val="none" w:sz="0" w:space="0" w:color="auto"/>
                                            <w:left w:val="none" w:sz="0" w:space="0" w:color="auto"/>
                                            <w:bottom w:val="none" w:sz="0" w:space="0" w:color="auto"/>
                                            <w:right w:val="none" w:sz="0" w:space="0" w:color="auto"/>
                                          </w:divBdr>
                                          <w:divsChild>
                                            <w:div w:id="274479970">
                                              <w:marLeft w:val="0"/>
                                              <w:marRight w:val="0"/>
                                              <w:marTop w:val="0"/>
                                              <w:marBottom w:val="0"/>
                                              <w:divBdr>
                                                <w:top w:val="none" w:sz="0" w:space="0" w:color="auto"/>
                                                <w:left w:val="none" w:sz="0" w:space="0" w:color="auto"/>
                                                <w:bottom w:val="none" w:sz="0" w:space="0" w:color="auto"/>
                                                <w:right w:val="none" w:sz="0" w:space="0" w:color="auto"/>
                                              </w:divBdr>
                                            </w:div>
                                          </w:divsChild>
                                        </w:div>
                                        <w:div w:id="2013218507">
                                          <w:marLeft w:val="0"/>
                                          <w:marRight w:val="0"/>
                                          <w:marTop w:val="0"/>
                                          <w:marBottom w:val="0"/>
                                          <w:divBdr>
                                            <w:top w:val="none" w:sz="0" w:space="0" w:color="auto"/>
                                            <w:left w:val="none" w:sz="0" w:space="0" w:color="auto"/>
                                            <w:bottom w:val="none" w:sz="0" w:space="0" w:color="auto"/>
                                            <w:right w:val="none" w:sz="0" w:space="0" w:color="auto"/>
                                          </w:divBdr>
                                          <w:divsChild>
                                            <w:div w:id="558202188">
                                              <w:marLeft w:val="0"/>
                                              <w:marRight w:val="0"/>
                                              <w:marTop w:val="0"/>
                                              <w:marBottom w:val="0"/>
                                              <w:divBdr>
                                                <w:top w:val="none" w:sz="0" w:space="0" w:color="auto"/>
                                                <w:left w:val="none" w:sz="0" w:space="0" w:color="auto"/>
                                                <w:bottom w:val="none" w:sz="0" w:space="0" w:color="auto"/>
                                                <w:right w:val="none" w:sz="0" w:space="0" w:color="auto"/>
                                              </w:divBdr>
                                            </w:div>
                                          </w:divsChild>
                                        </w:div>
                                        <w:div w:id="529883577">
                                          <w:marLeft w:val="0"/>
                                          <w:marRight w:val="0"/>
                                          <w:marTop w:val="0"/>
                                          <w:marBottom w:val="0"/>
                                          <w:divBdr>
                                            <w:top w:val="none" w:sz="0" w:space="0" w:color="auto"/>
                                            <w:left w:val="none" w:sz="0" w:space="0" w:color="auto"/>
                                            <w:bottom w:val="none" w:sz="0" w:space="0" w:color="auto"/>
                                            <w:right w:val="none" w:sz="0" w:space="0" w:color="auto"/>
                                          </w:divBdr>
                                          <w:divsChild>
                                            <w:div w:id="141361386">
                                              <w:marLeft w:val="0"/>
                                              <w:marRight w:val="0"/>
                                              <w:marTop w:val="0"/>
                                              <w:marBottom w:val="0"/>
                                              <w:divBdr>
                                                <w:top w:val="none" w:sz="0" w:space="0" w:color="auto"/>
                                                <w:left w:val="none" w:sz="0" w:space="0" w:color="auto"/>
                                                <w:bottom w:val="none" w:sz="0" w:space="0" w:color="auto"/>
                                                <w:right w:val="none" w:sz="0" w:space="0" w:color="auto"/>
                                              </w:divBdr>
                                            </w:div>
                                          </w:divsChild>
                                        </w:div>
                                        <w:div w:id="95910911">
                                          <w:marLeft w:val="0"/>
                                          <w:marRight w:val="0"/>
                                          <w:marTop w:val="0"/>
                                          <w:marBottom w:val="0"/>
                                          <w:divBdr>
                                            <w:top w:val="none" w:sz="0" w:space="0" w:color="auto"/>
                                            <w:left w:val="none" w:sz="0" w:space="0" w:color="auto"/>
                                            <w:bottom w:val="none" w:sz="0" w:space="0" w:color="auto"/>
                                            <w:right w:val="none" w:sz="0" w:space="0" w:color="auto"/>
                                          </w:divBdr>
                                          <w:divsChild>
                                            <w:div w:id="3235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862619">
                  <w:marLeft w:val="0"/>
                  <w:marRight w:val="0"/>
                  <w:marTop w:val="0"/>
                  <w:marBottom w:val="0"/>
                  <w:divBdr>
                    <w:top w:val="none" w:sz="0" w:space="0" w:color="auto"/>
                    <w:left w:val="none" w:sz="0" w:space="0" w:color="auto"/>
                    <w:bottom w:val="none" w:sz="0" w:space="0" w:color="auto"/>
                    <w:right w:val="none" w:sz="0" w:space="0" w:color="auto"/>
                  </w:divBdr>
                  <w:divsChild>
                    <w:div w:id="1463226744">
                      <w:marLeft w:val="0"/>
                      <w:marRight w:val="0"/>
                      <w:marTop w:val="0"/>
                      <w:marBottom w:val="0"/>
                      <w:divBdr>
                        <w:top w:val="none" w:sz="0" w:space="0" w:color="auto"/>
                        <w:left w:val="none" w:sz="0" w:space="0" w:color="auto"/>
                        <w:bottom w:val="none" w:sz="0" w:space="0" w:color="auto"/>
                        <w:right w:val="none" w:sz="0" w:space="0" w:color="auto"/>
                      </w:divBdr>
                      <w:divsChild>
                        <w:div w:id="2004121160">
                          <w:marLeft w:val="0"/>
                          <w:marRight w:val="0"/>
                          <w:marTop w:val="0"/>
                          <w:marBottom w:val="0"/>
                          <w:divBdr>
                            <w:top w:val="none" w:sz="0" w:space="0" w:color="auto"/>
                            <w:left w:val="none" w:sz="0" w:space="0" w:color="auto"/>
                            <w:bottom w:val="none" w:sz="0" w:space="0" w:color="auto"/>
                            <w:right w:val="none" w:sz="0" w:space="0" w:color="auto"/>
                          </w:divBdr>
                          <w:divsChild>
                            <w:div w:id="1417164967">
                              <w:marLeft w:val="0"/>
                              <w:marRight w:val="0"/>
                              <w:marTop w:val="0"/>
                              <w:marBottom w:val="0"/>
                              <w:divBdr>
                                <w:top w:val="none" w:sz="0" w:space="0" w:color="auto"/>
                                <w:left w:val="none" w:sz="0" w:space="0" w:color="auto"/>
                                <w:bottom w:val="none" w:sz="0" w:space="0" w:color="auto"/>
                                <w:right w:val="none" w:sz="0" w:space="0" w:color="auto"/>
                              </w:divBdr>
                              <w:divsChild>
                                <w:div w:id="502402928">
                                  <w:marLeft w:val="0"/>
                                  <w:marRight w:val="0"/>
                                  <w:marTop w:val="0"/>
                                  <w:marBottom w:val="0"/>
                                  <w:divBdr>
                                    <w:top w:val="none" w:sz="0" w:space="0" w:color="auto"/>
                                    <w:left w:val="none" w:sz="0" w:space="0" w:color="auto"/>
                                    <w:bottom w:val="none" w:sz="0" w:space="0" w:color="auto"/>
                                    <w:right w:val="none" w:sz="0" w:space="0" w:color="auto"/>
                                  </w:divBdr>
                                  <w:divsChild>
                                    <w:div w:id="988096672">
                                      <w:marLeft w:val="0"/>
                                      <w:marRight w:val="0"/>
                                      <w:marTop w:val="0"/>
                                      <w:marBottom w:val="0"/>
                                      <w:divBdr>
                                        <w:top w:val="none" w:sz="0" w:space="0" w:color="auto"/>
                                        <w:left w:val="none" w:sz="0" w:space="0" w:color="auto"/>
                                        <w:bottom w:val="none" w:sz="0" w:space="0" w:color="auto"/>
                                        <w:right w:val="none" w:sz="0" w:space="0" w:color="auto"/>
                                      </w:divBdr>
                                      <w:divsChild>
                                        <w:div w:id="11034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399605">
                  <w:marLeft w:val="0"/>
                  <w:marRight w:val="0"/>
                  <w:marTop w:val="0"/>
                  <w:marBottom w:val="0"/>
                  <w:divBdr>
                    <w:top w:val="none" w:sz="0" w:space="0" w:color="auto"/>
                    <w:left w:val="none" w:sz="0" w:space="0" w:color="auto"/>
                    <w:bottom w:val="none" w:sz="0" w:space="0" w:color="auto"/>
                    <w:right w:val="none" w:sz="0" w:space="0" w:color="auto"/>
                  </w:divBdr>
                  <w:divsChild>
                    <w:div w:id="1491100748">
                      <w:marLeft w:val="0"/>
                      <w:marRight w:val="0"/>
                      <w:marTop w:val="0"/>
                      <w:marBottom w:val="0"/>
                      <w:divBdr>
                        <w:top w:val="none" w:sz="0" w:space="0" w:color="auto"/>
                        <w:left w:val="none" w:sz="0" w:space="0" w:color="auto"/>
                        <w:bottom w:val="none" w:sz="0" w:space="0" w:color="auto"/>
                        <w:right w:val="none" w:sz="0" w:space="0" w:color="auto"/>
                      </w:divBdr>
                      <w:divsChild>
                        <w:div w:id="1112240121">
                          <w:marLeft w:val="0"/>
                          <w:marRight w:val="0"/>
                          <w:marTop w:val="0"/>
                          <w:marBottom w:val="0"/>
                          <w:divBdr>
                            <w:top w:val="none" w:sz="0" w:space="0" w:color="auto"/>
                            <w:left w:val="none" w:sz="0" w:space="0" w:color="auto"/>
                            <w:bottom w:val="none" w:sz="0" w:space="0" w:color="auto"/>
                            <w:right w:val="none" w:sz="0" w:space="0" w:color="auto"/>
                          </w:divBdr>
                          <w:divsChild>
                            <w:div w:id="1276254555">
                              <w:marLeft w:val="0"/>
                              <w:marRight w:val="0"/>
                              <w:marTop w:val="0"/>
                              <w:marBottom w:val="0"/>
                              <w:divBdr>
                                <w:top w:val="none" w:sz="0" w:space="0" w:color="auto"/>
                                <w:left w:val="none" w:sz="0" w:space="0" w:color="auto"/>
                                <w:bottom w:val="none" w:sz="0" w:space="0" w:color="auto"/>
                                <w:right w:val="none" w:sz="0" w:space="0" w:color="auto"/>
                              </w:divBdr>
                              <w:divsChild>
                                <w:div w:id="860164192">
                                  <w:marLeft w:val="0"/>
                                  <w:marRight w:val="0"/>
                                  <w:marTop w:val="0"/>
                                  <w:marBottom w:val="0"/>
                                  <w:divBdr>
                                    <w:top w:val="none" w:sz="0" w:space="0" w:color="auto"/>
                                    <w:left w:val="none" w:sz="0" w:space="0" w:color="auto"/>
                                    <w:bottom w:val="none" w:sz="0" w:space="0" w:color="auto"/>
                                    <w:right w:val="none" w:sz="0" w:space="0" w:color="auto"/>
                                  </w:divBdr>
                                  <w:divsChild>
                                    <w:div w:id="1343167661">
                                      <w:marLeft w:val="0"/>
                                      <w:marRight w:val="0"/>
                                      <w:marTop w:val="0"/>
                                      <w:marBottom w:val="0"/>
                                      <w:divBdr>
                                        <w:top w:val="none" w:sz="0" w:space="0" w:color="auto"/>
                                        <w:left w:val="none" w:sz="0" w:space="0" w:color="auto"/>
                                        <w:bottom w:val="none" w:sz="0" w:space="0" w:color="auto"/>
                                        <w:right w:val="none" w:sz="0" w:space="0" w:color="auto"/>
                                      </w:divBdr>
                                      <w:divsChild>
                                        <w:div w:id="1109278535">
                                          <w:marLeft w:val="0"/>
                                          <w:marRight w:val="0"/>
                                          <w:marTop w:val="0"/>
                                          <w:marBottom w:val="0"/>
                                          <w:divBdr>
                                            <w:top w:val="none" w:sz="0" w:space="0" w:color="auto"/>
                                            <w:left w:val="none" w:sz="0" w:space="0" w:color="auto"/>
                                            <w:bottom w:val="none" w:sz="0" w:space="0" w:color="auto"/>
                                            <w:right w:val="none" w:sz="0" w:space="0" w:color="auto"/>
                                          </w:divBdr>
                                          <w:divsChild>
                                            <w:div w:id="738089682">
                                              <w:marLeft w:val="0"/>
                                              <w:marRight w:val="0"/>
                                              <w:marTop w:val="0"/>
                                              <w:marBottom w:val="0"/>
                                              <w:divBdr>
                                                <w:top w:val="none" w:sz="0" w:space="0" w:color="auto"/>
                                                <w:left w:val="none" w:sz="0" w:space="0" w:color="auto"/>
                                                <w:bottom w:val="none" w:sz="0" w:space="0" w:color="auto"/>
                                                <w:right w:val="none" w:sz="0" w:space="0" w:color="auto"/>
                                              </w:divBdr>
                                            </w:div>
                                          </w:divsChild>
                                        </w:div>
                                        <w:div w:id="658315080">
                                          <w:marLeft w:val="0"/>
                                          <w:marRight w:val="0"/>
                                          <w:marTop w:val="0"/>
                                          <w:marBottom w:val="0"/>
                                          <w:divBdr>
                                            <w:top w:val="none" w:sz="0" w:space="0" w:color="auto"/>
                                            <w:left w:val="none" w:sz="0" w:space="0" w:color="auto"/>
                                            <w:bottom w:val="none" w:sz="0" w:space="0" w:color="auto"/>
                                            <w:right w:val="none" w:sz="0" w:space="0" w:color="auto"/>
                                          </w:divBdr>
                                          <w:divsChild>
                                            <w:div w:id="879633094">
                                              <w:marLeft w:val="0"/>
                                              <w:marRight w:val="0"/>
                                              <w:marTop w:val="0"/>
                                              <w:marBottom w:val="0"/>
                                              <w:divBdr>
                                                <w:top w:val="none" w:sz="0" w:space="0" w:color="auto"/>
                                                <w:left w:val="none" w:sz="0" w:space="0" w:color="auto"/>
                                                <w:bottom w:val="none" w:sz="0" w:space="0" w:color="auto"/>
                                                <w:right w:val="none" w:sz="0" w:space="0" w:color="auto"/>
                                              </w:divBdr>
                                            </w:div>
                                          </w:divsChild>
                                        </w:div>
                                        <w:div w:id="456070329">
                                          <w:marLeft w:val="0"/>
                                          <w:marRight w:val="0"/>
                                          <w:marTop w:val="0"/>
                                          <w:marBottom w:val="0"/>
                                          <w:divBdr>
                                            <w:top w:val="none" w:sz="0" w:space="0" w:color="auto"/>
                                            <w:left w:val="none" w:sz="0" w:space="0" w:color="auto"/>
                                            <w:bottom w:val="none" w:sz="0" w:space="0" w:color="auto"/>
                                            <w:right w:val="none" w:sz="0" w:space="0" w:color="auto"/>
                                          </w:divBdr>
                                          <w:divsChild>
                                            <w:div w:id="1022897392">
                                              <w:marLeft w:val="0"/>
                                              <w:marRight w:val="0"/>
                                              <w:marTop w:val="0"/>
                                              <w:marBottom w:val="0"/>
                                              <w:divBdr>
                                                <w:top w:val="none" w:sz="0" w:space="0" w:color="auto"/>
                                                <w:left w:val="none" w:sz="0" w:space="0" w:color="auto"/>
                                                <w:bottom w:val="none" w:sz="0" w:space="0" w:color="auto"/>
                                                <w:right w:val="none" w:sz="0" w:space="0" w:color="auto"/>
                                              </w:divBdr>
                                            </w:div>
                                          </w:divsChild>
                                        </w:div>
                                        <w:div w:id="1253931930">
                                          <w:marLeft w:val="0"/>
                                          <w:marRight w:val="0"/>
                                          <w:marTop w:val="0"/>
                                          <w:marBottom w:val="0"/>
                                          <w:divBdr>
                                            <w:top w:val="none" w:sz="0" w:space="0" w:color="auto"/>
                                            <w:left w:val="none" w:sz="0" w:space="0" w:color="auto"/>
                                            <w:bottom w:val="none" w:sz="0" w:space="0" w:color="auto"/>
                                            <w:right w:val="none" w:sz="0" w:space="0" w:color="auto"/>
                                          </w:divBdr>
                                          <w:divsChild>
                                            <w:div w:id="482743029">
                                              <w:marLeft w:val="0"/>
                                              <w:marRight w:val="0"/>
                                              <w:marTop w:val="0"/>
                                              <w:marBottom w:val="0"/>
                                              <w:divBdr>
                                                <w:top w:val="none" w:sz="0" w:space="0" w:color="auto"/>
                                                <w:left w:val="none" w:sz="0" w:space="0" w:color="auto"/>
                                                <w:bottom w:val="none" w:sz="0" w:space="0" w:color="auto"/>
                                                <w:right w:val="none" w:sz="0" w:space="0" w:color="auto"/>
                                              </w:divBdr>
                                            </w:div>
                                          </w:divsChild>
                                        </w:div>
                                        <w:div w:id="724259289">
                                          <w:marLeft w:val="0"/>
                                          <w:marRight w:val="0"/>
                                          <w:marTop w:val="0"/>
                                          <w:marBottom w:val="0"/>
                                          <w:divBdr>
                                            <w:top w:val="none" w:sz="0" w:space="0" w:color="auto"/>
                                            <w:left w:val="none" w:sz="0" w:space="0" w:color="auto"/>
                                            <w:bottom w:val="none" w:sz="0" w:space="0" w:color="auto"/>
                                            <w:right w:val="none" w:sz="0" w:space="0" w:color="auto"/>
                                          </w:divBdr>
                                          <w:divsChild>
                                            <w:div w:id="18024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534050">
          <w:marLeft w:val="0"/>
          <w:marRight w:val="0"/>
          <w:marTop w:val="0"/>
          <w:marBottom w:val="0"/>
          <w:divBdr>
            <w:top w:val="none" w:sz="0" w:space="0" w:color="auto"/>
            <w:left w:val="none" w:sz="0" w:space="0" w:color="auto"/>
            <w:bottom w:val="none" w:sz="0" w:space="0" w:color="auto"/>
            <w:right w:val="none" w:sz="0" w:space="0" w:color="auto"/>
          </w:divBdr>
          <w:divsChild>
            <w:div w:id="1561598473">
              <w:marLeft w:val="0"/>
              <w:marRight w:val="0"/>
              <w:marTop w:val="0"/>
              <w:marBottom w:val="0"/>
              <w:divBdr>
                <w:top w:val="none" w:sz="0" w:space="0" w:color="auto"/>
                <w:left w:val="none" w:sz="0" w:space="0" w:color="auto"/>
                <w:bottom w:val="none" w:sz="0" w:space="0" w:color="auto"/>
                <w:right w:val="none" w:sz="0" w:space="0" w:color="auto"/>
              </w:divBdr>
              <w:divsChild>
                <w:div w:id="1730760382">
                  <w:marLeft w:val="0"/>
                  <w:marRight w:val="0"/>
                  <w:marTop w:val="0"/>
                  <w:marBottom w:val="0"/>
                  <w:divBdr>
                    <w:top w:val="none" w:sz="0" w:space="0" w:color="auto"/>
                    <w:left w:val="none" w:sz="0" w:space="0" w:color="auto"/>
                    <w:bottom w:val="none" w:sz="0" w:space="0" w:color="auto"/>
                    <w:right w:val="none" w:sz="0" w:space="0" w:color="auto"/>
                  </w:divBdr>
                  <w:divsChild>
                    <w:div w:id="232741770">
                      <w:marLeft w:val="0"/>
                      <w:marRight w:val="0"/>
                      <w:marTop w:val="0"/>
                      <w:marBottom w:val="0"/>
                      <w:divBdr>
                        <w:top w:val="none" w:sz="0" w:space="0" w:color="auto"/>
                        <w:left w:val="none" w:sz="0" w:space="0" w:color="auto"/>
                        <w:bottom w:val="none" w:sz="0" w:space="0" w:color="auto"/>
                        <w:right w:val="none" w:sz="0" w:space="0" w:color="auto"/>
                      </w:divBdr>
                      <w:divsChild>
                        <w:div w:id="1035304195">
                          <w:marLeft w:val="0"/>
                          <w:marRight w:val="0"/>
                          <w:marTop w:val="0"/>
                          <w:marBottom w:val="0"/>
                          <w:divBdr>
                            <w:top w:val="none" w:sz="0" w:space="0" w:color="auto"/>
                            <w:left w:val="none" w:sz="0" w:space="0" w:color="auto"/>
                            <w:bottom w:val="none" w:sz="0" w:space="0" w:color="auto"/>
                            <w:right w:val="none" w:sz="0" w:space="0" w:color="auto"/>
                          </w:divBdr>
                          <w:divsChild>
                            <w:div w:id="954869524">
                              <w:marLeft w:val="0"/>
                              <w:marRight w:val="0"/>
                              <w:marTop w:val="0"/>
                              <w:marBottom w:val="0"/>
                              <w:divBdr>
                                <w:top w:val="none" w:sz="0" w:space="0" w:color="auto"/>
                                <w:left w:val="none" w:sz="0" w:space="0" w:color="auto"/>
                                <w:bottom w:val="none" w:sz="0" w:space="0" w:color="auto"/>
                                <w:right w:val="none" w:sz="0" w:space="0" w:color="auto"/>
                              </w:divBdr>
                              <w:divsChild>
                                <w:div w:id="159934066">
                                  <w:marLeft w:val="0"/>
                                  <w:marRight w:val="0"/>
                                  <w:marTop w:val="0"/>
                                  <w:marBottom w:val="0"/>
                                  <w:divBdr>
                                    <w:top w:val="none" w:sz="0" w:space="0" w:color="auto"/>
                                    <w:left w:val="none" w:sz="0" w:space="0" w:color="auto"/>
                                    <w:bottom w:val="none" w:sz="0" w:space="0" w:color="auto"/>
                                    <w:right w:val="none" w:sz="0" w:space="0" w:color="auto"/>
                                  </w:divBdr>
                                  <w:divsChild>
                                    <w:div w:id="1698383353">
                                      <w:marLeft w:val="0"/>
                                      <w:marRight w:val="0"/>
                                      <w:marTop w:val="0"/>
                                      <w:marBottom w:val="0"/>
                                      <w:divBdr>
                                        <w:top w:val="none" w:sz="0" w:space="0" w:color="auto"/>
                                        <w:left w:val="none" w:sz="0" w:space="0" w:color="auto"/>
                                        <w:bottom w:val="none" w:sz="0" w:space="0" w:color="auto"/>
                                        <w:right w:val="none" w:sz="0" w:space="0" w:color="auto"/>
                                      </w:divBdr>
                                      <w:divsChild>
                                        <w:div w:id="1000431605">
                                          <w:marLeft w:val="0"/>
                                          <w:marRight w:val="0"/>
                                          <w:marTop w:val="0"/>
                                          <w:marBottom w:val="0"/>
                                          <w:divBdr>
                                            <w:top w:val="none" w:sz="0" w:space="0" w:color="auto"/>
                                            <w:left w:val="none" w:sz="0" w:space="0" w:color="auto"/>
                                            <w:bottom w:val="none" w:sz="0" w:space="0" w:color="auto"/>
                                            <w:right w:val="none" w:sz="0" w:space="0" w:color="auto"/>
                                          </w:divBdr>
                                          <w:divsChild>
                                            <w:div w:id="4580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866130">
      <w:bodyDiv w:val="1"/>
      <w:marLeft w:val="0"/>
      <w:marRight w:val="0"/>
      <w:marTop w:val="0"/>
      <w:marBottom w:val="0"/>
      <w:divBdr>
        <w:top w:val="none" w:sz="0" w:space="0" w:color="auto"/>
        <w:left w:val="none" w:sz="0" w:space="0" w:color="auto"/>
        <w:bottom w:val="none" w:sz="0" w:space="0" w:color="auto"/>
        <w:right w:val="none" w:sz="0" w:space="0" w:color="auto"/>
      </w:divBdr>
      <w:divsChild>
        <w:div w:id="1664551232">
          <w:marLeft w:val="0"/>
          <w:marRight w:val="0"/>
          <w:marTop w:val="0"/>
          <w:marBottom w:val="0"/>
          <w:divBdr>
            <w:top w:val="none" w:sz="0" w:space="0" w:color="auto"/>
            <w:left w:val="none" w:sz="0" w:space="0" w:color="auto"/>
            <w:bottom w:val="none" w:sz="0" w:space="0" w:color="auto"/>
            <w:right w:val="none" w:sz="0" w:space="0" w:color="auto"/>
          </w:divBdr>
          <w:divsChild>
            <w:div w:id="713163455">
              <w:marLeft w:val="0"/>
              <w:marRight w:val="0"/>
              <w:marTop w:val="0"/>
              <w:marBottom w:val="0"/>
              <w:divBdr>
                <w:top w:val="none" w:sz="0" w:space="0" w:color="auto"/>
                <w:left w:val="none" w:sz="0" w:space="0" w:color="auto"/>
                <w:bottom w:val="none" w:sz="0" w:space="0" w:color="auto"/>
                <w:right w:val="none" w:sz="0" w:space="0" w:color="auto"/>
              </w:divBdr>
              <w:divsChild>
                <w:div w:id="1885870069">
                  <w:marLeft w:val="0"/>
                  <w:marRight w:val="0"/>
                  <w:marTop w:val="0"/>
                  <w:marBottom w:val="0"/>
                  <w:divBdr>
                    <w:top w:val="none" w:sz="0" w:space="0" w:color="auto"/>
                    <w:left w:val="none" w:sz="0" w:space="0" w:color="auto"/>
                    <w:bottom w:val="none" w:sz="0" w:space="0" w:color="auto"/>
                    <w:right w:val="none" w:sz="0" w:space="0" w:color="auto"/>
                  </w:divBdr>
                  <w:divsChild>
                    <w:div w:id="950670567">
                      <w:marLeft w:val="0"/>
                      <w:marRight w:val="0"/>
                      <w:marTop w:val="0"/>
                      <w:marBottom w:val="0"/>
                      <w:divBdr>
                        <w:top w:val="none" w:sz="0" w:space="0" w:color="auto"/>
                        <w:left w:val="none" w:sz="0" w:space="0" w:color="auto"/>
                        <w:bottom w:val="none" w:sz="0" w:space="0" w:color="auto"/>
                        <w:right w:val="none" w:sz="0" w:space="0" w:color="auto"/>
                      </w:divBdr>
                      <w:divsChild>
                        <w:div w:id="1909218792">
                          <w:marLeft w:val="0"/>
                          <w:marRight w:val="0"/>
                          <w:marTop w:val="0"/>
                          <w:marBottom w:val="0"/>
                          <w:divBdr>
                            <w:top w:val="none" w:sz="0" w:space="0" w:color="auto"/>
                            <w:left w:val="none" w:sz="0" w:space="0" w:color="auto"/>
                            <w:bottom w:val="none" w:sz="0" w:space="0" w:color="auto"/>
                            <w:right w:val="none" w:sz="0" w:space="0" w:color="auto"/>
                          </w:divBdr>
                          <w:divsChild>
                            <w:div w:id="535197827">
                              <w:marLeft w:val="0"/>
                              <w:marRight w:val="0"/>
                              <w:marTop w:val="0"/>
                              <w:marBottom w:val="0"/>
                              <w:divBdr>
                                <w:top w:val="none" w:sz="0" w:space="0" w:color="auto"/>
                                <w:left w:val="none" w:sz="0" w:space="0" w:color="auto"/>
                                <w:bottom w:val="none" w:sz="0" w:space="0" w:color="auto"/>
                                <w:right w:val="none" w:sz="0" w:space="0" w:color="auto"/>
                              </w:divBdr>
                              <w:divsChild>
                                <w:div w:id="19177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550200">
      <w:bodyDiv w:val="1"/>
      <w:marLeft w:val="0"/>
      <w:marRight w:val="0"/>
      <w:marTop w:val="0"/>
      <w:marBottom w:val="0"/>
      <w:divBdr>
        <w:top w:val="none" w:sz="0" w:space="0" w:color="auto"/>
        <w:left w:val="none" w:sz="0" w:space="0" w:color="auto"/>
        <w:bottom w:val="none" w:sz="0" w:space="0" w:color="auto"/>
        <w:right w:val="none" w:sz="0" w:space="0" w:color="auto"/>
      </w:divBdr>
      <w:divsChild>
        <w:div w:id="50736971">
          <w:marLeft w:val="0"/>
          <w:marRight w:val="0"/>
          <w:marTop w:val="0"/>
          <w:marBottom w:val="0"/>
          <w:divBdr>
            <w:top w:val="none" w:sz="0" w:space="0" w:color="auto"/>
            <w:left w:val="none" w:sz="0" w:space="0" w:color="auto"/>
            <w:bottom w:val="none" w:sz="0" w:space="0" w:color="auto"/>
            <w:right w:val="none" w:sz="0" w:space="0" w:color="auto"/>
          </w:divBdr>
          <w:divsChild>
            <w:div w:id="1129711850">
              <w:marLeft w:val="0"/>
              <w:marRight w:val="0"/>
              <w:marTop w:val="0"/>
              <w:marBottom w:val="0"/>
              <w:divBdr>
                <w:top w:val="none" w:sz="0" w:space="0" w:color="auto"/>
                <w:left w:val="none" w:sz="0" w:space="0" w:color="auto"/>
                <w:bottom w:val="none" w:sz="0" w:space="0" w:color="auto"/>
                <w:right w:val="none" w:sz="0" w:space="0" w:color="auto"/>
              </w:divBdr>
              <w:divsChild>
                <w:div w:id="952708614">
                  <w:marLeft w:val="0"/>
                  <w:marRight w:val="0"/>
                  <w:marTop w:val="0"/>
                  <w:marBottom w:val="0"/>
                  <w:divBdr>
                    <w:top w:val="none" w:sz="0" w:space="0" w:color="auto"/>
                    <w:left w:val="none" w:sz="0" w:space="0" w:color="auto"/>
                    <w:bottom w:val="none" w:sz="0" w:space="0" w:color="auto"/>
                    <w:right w:val="none" w:sz="0" w:space="0" w:color="auto"/>
                  </w:divBdr>
                  <w:divsChild>
                    <w:div w:id="372117209">
                      <w:marLeft w:val="0"/>
                      <w:marRight w:val="0"/>
                      <w:marTop w:val="0"/>
                      <w:marBottom w:val="0"/>
                      <w:divBdr>
                        <w:top w:val="none" w:sz="0" w:space="0" w:color="auto"/>
                        <w:left w:val="none" w:sz="0" w:space="0" w:color="auto"/>
                        <w:bottom w:val="none" w:sz="0" w:space="0" w:color="auto"/>
                        <w:right w:val="none" w:sz="0" w:space="0" w:color="auto"/>
                      </w:divBdr>
                      <w:divsChild>
                        <w:div w:id="409817911">
                          <w:marLeft w:val="0"/>
                          <w:marRight w:val="0"/>
                          <w:marTop w:val="0"/>
                          <w:marBottom w:val="0"/>
                          <w:divBdr>
                            <w:top w:val="none" w:sz="0" w:space="0" w:color="auto"/>
                            <w:left w:val="none" w:sz="0" w:space="0" w:color="auto"/>
                            <w:bottom w:val="none" w:sz="0" w:space="0" w:color="auto"/>
                            <w:right w:val="none" w:sz="0" w:space="0" w:color="auto"/>
                          </w:divBdr>
                          <w:divsChild>
                            <w:div w:id="157578672">
                              <w:marLeft w:val="0"/>
                              <w:marRight w:val="0"/>
                              <w:marTop w:val="0"/>
                              <w:marBottom w:val="0"/>
                              <w:divBdr>
                                <w:top w:val="none" w:sz="0" w:space="0" w:color="auto"/>
                                <w:left w:val="none" w:sz="0" w:space="0" w:color="auto"/>
                                <w:bottom w:val="none" w:sz="0" w:space="0" w:color="auto"/>
                                <w:right w:val="none" w:sz="0" w:space="0" w:color="auto"/>
                              </w:divBdr>
                              <w:divsChild>
                                <w:div w:id="6866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358540">
      <w:bodyDiv w:val="1"/>
      <w:marLeft w:val="0"/>
      <w:marRight w:val="0"/>
      <w:marTop w:val="0"/>
      <w:marBottom w:val="0"/>
      <w:divBdr>
        <w:top w:val="none" w:sz="0" w:space="0" w:color="auto"/>
        <w:left w:val="none" w:sz="0" w:space="0" w:color="auto"/>
        <w:bottom w:val="none" w:sz="0" w:space="0" w:color="auto"/>
        <w:right w:val="none" w:sz="0" w:space="0" w:color="auto"/>
      </w:divBdr>
      <w:divsChild>
        <w:div w:id="1024554205">
          <w:marLeft w:val="0"/>
          <w:marRight w:val="0"/>
          <w:marTop w:val="0"/>
          <w:marBottom w:val="0"/>
          <w:divBdr>
            <w:top w:val="none" w:sz="0" w:space="0" w:color="auto"/>
            <w:left w:val="none" w:sz="0" w:space="0" w:color="auto"/>
            <w:bottom w:val="none" w:sz="0" w:space="0" w:color="auto"/>
            <w:right w:val="none" w:sz="0" w:space="0" w:color="auto"/>
          </w:divBdr>
          <w:divsChild>
            <w:div w:id="710111371">
              <w:marLeft w:val="0"/>
              <w:marRight w:val="0"/>
              <w:marTop w:val="0"/>
              <w:marBottom w:val="0"/>
              <w:divBdr>
                <w:top w:val="none" w:sz="0" w:space="0" w:color="auto"/>
                <w:left w:val="none" w:sz="0" w:space="0" w:color="auto"/>
                <w:bottom w:val="none" w:sz="0" w:space="0" w:color="auto"/>
                <w:right w:val="none" w:sz="0" w:space="0" w:color="auto"/>
              </w:divBdr>
              <w:divsChild>
                <w:div w:id="711811644">
                  <w:marLeft w:val="0"/>
                  <w:marRight w:val="0"/>
                  <w:marTop w:val="0"/>
                  <w:marBottom w:val="0"/>
                  <w:divBdr>
                    <w:top w:val="none" w:sz="0" w:space="0" w:color="auto"/>
                    <w:left w:val="none" w:sz="0" w:space="0" w:color="auto"/>
                    <w:bottom w:val="none" w:sz="0" w:space="0" w:color="auto"/>
                    <w:right w:val="none" w:sz="0" w:space="0" w:color="auto"/>
                  </w:divBdr>
                  <w:divsChild>
                    <w:div w:id="2123920073">
                      <w:marLeft w:val="0"/>
                      <w:marRight w:val="0"/>
                      <w:marTop w:val="0"/>
                      <w:marBottom w:val="0"/>
                      <w:divBdr>
                        <w:top w:val="none" w:sz="0" w:space="0" w:color="auto"/>
                        <w:left w:val="none" w:sz="0" w:space="0" w:color="auto"/>
                        <w:bottom w:val="none" w:sz="0" w:space="0" w:color="auto"/>
                        <w:right w:val="none" w:sz="0" w:space="0" w:color="auto"/>
                      </w:divBdr>
                      <w:divsChild>
                        <w:div w:id="974289758">
                          <w:marLeft w:val="0"/>
                          <w:marRight w:val="0"/>
                          <w:marTop w:val="0"/>
                          <w:marBottom w:val="0"/>
                          <w:divBdr>
                            <w:top w:val="none" w:sz="0" w:space="0" w:color="auto"/>
                            <w:left w:val="none" w:sz="0" w:space="0" w:color="auto"/>
                            <w:bottom w:val="none" w:sz="0" w:space="0" w:color="auto"/>
                            <w:right w:val="none" w:sz="0" w:space="0" w:color="auto"/>
                          </w:divBdr>
                          <w:divsChild>
                            <w:div w:id="1517425363">
                              <w:marLeft w:val="0"/>
                              <w:marRight w:val="0"/>
                              <w:marTop w:val="0"/>
                              <w:marBottom w:val="0"/>
                              <w:divBdr>
                                <w:top w:val="none" w:sz="0" w:space="0" w:color="auto"/>
                                <w:left w:val="none" w:sz="0" w:space="0" w:color="auto"/>
                                <w:bottom w:val="none" w:sz="0" w:space="0" w:color="auto"/>
                                <w:right w:val="none" w:sz="0" w:space="0" w:color="auto"/>
                              </w:divBdr>
                              <w:divsChild>
                                <w:div w:id="16180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8338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53">
          <w:marLeft w:val="0"/>
          <w:marRight w:val="0"/>
          <w:marTop w:val="0"/>
          <w:marBottom w:val="0"/>
          <w:divBdr>
            <w:top w:val="none" w:sz="0" w:space="0" w:color="auto"/>
            <w:left w:val="none" w:sz="0" w:space="0" w:color="auto"/>
            <w:bottom w:val="none" w:sz="0" w:space="0" w:color="auto"/>
            <w:right w:val="none" w:sz="0" w:space="0" w:color="auto"/>
          </w:divBdr>
          <w:divsChild>
            <w:div w:id="1627813875">
              <w:marLeft w:val="0"/>
              <w:marRight w:val="0"/>
              <w:marTop w:val="0"/>
              <w:marBottom w:val="0"/>
              <w:divBdr>
                <w:top w:val="none" w:sz="0" w:space="0" w:color="auto"/>
                <w:left w:val="none" w:sz="0" w:space="0" w:color="auto"/>
                <w:bottom w:val="none" w:sz="0" w:space="0" w:color="auto"/>
                <w:right w:val="none" w:sz="0" w:space="0" w:color="auto"/>
              </w:divBdr>
            </w:div>
          </w:divsChild>
        </w:div>
        <w:div w:id="1817259793">
          <w:marLeft w:val="0"/>
          <w:marRight w:val="0"/>
          <w:marTop w:val="0"/>
          <w:marBottom w:val="0"/>
          <w:divBdr>
            <w:top w:val="none" w:sz="0" w:space="0" w:color="auto"/>
            <w:left w:val="none" w:sz="0" w:space="0" w:color="auto"/>
            <w:bottom w:val="none" w:sz="0" w:space="0" w:color="auto"/>
            <w:right w:val="none" w:sz="0" w:space="0" w:color="auto"/>
          </w:divBdr>
          <w:divsChild>
            <w:div w:id="13314234">
              <w:marLeft w:val="0"/>
              <w:marRight w:val="0"/>
              <w:marTop w:val="0"/>
              <w:marBottom w:val="0"/>
              <w:divBdr>
                <w:top w:val="none" w:sz="0" w:space="0" w:color="auto"/>
                <w:left w:val="none" w:sz="0" w:space="0" w:color="auto"/>
                <w:bottom w:val="none" w:sz="0" w:space="0" w:color="auto"/>
                <w:right w:val="none" w:sz="0" w:space="0" w:color="auto"/>
              </w:divBdr>
            </w:div>
          </w:divsChild>
        </w:div>
        <w:div w:id="1584410275">
          <w:marLeft w:val="0"/>
          <w:marRight w:val="0"/>
          <w:marTop w:val="0"/>
          <w:marBottom w:val="0"/>
          <w:divBdr>
            <w:top w:val="none" w:sz="0" w:space="0" w:color="auto"/>
            <w:left w:val="none" w:sz="0" w:space="0" w:color="auto"/>
            <w:bottom w:val="none" w:sz="0" w:space="0" w:color="auto"/>
            <w:right w:val="none" w:sz="0" w:space="0" w:color="auto"/>
          </w:divBdr>
          <w:divsChild>
            <w:div w:id="562447958">
              <w:marLeft w:val="0"/>
              <w:marRight w:val="0"/>
              <w:marTop w:val="0"/>
              <w:marBottom w:val="0"/>
              <w:divBdr>
                <w:top w:val="none" w:sz="0" w:space="0" w:color="auto"/>
                <w:left w:val="none" w:sz="0" w:space="0" w:color="auto"/>
                <w:bottom w:val="none" w:sz="0" w:space="0" w:color="auto"/>
                <w:right w:val="none" w:sz="0" w:space="0" w:color="auto"/>
              </w:divBdr>
            </w:div>
          </w:divsChild>
        </w:div>
        <w:div w:id="1894460582">
          <w:marLeft w:val="0"/>
          <w:marRight w:val="0"/>
          <w:marTop w:val="0"/>
          <w:marBottom w:val="0"/>
          <w:divBdr>
            <w:top w:val="none" w:sz="0" w:space="0" w:color="auto"/>
            <w:left w:val="none" w:sz="0" w:space="0" w:color="auto"/>
            <w:bottom w:val="none" w:sz="0" w:space="0" w:color="auto"/>
            <w:right w:val="none" w:sz="0" w:space="0" w:color="auto"/>
          </w:divBdr>
          <w:divsChild>
            <w:div w:id="921178903">
              <w:marLeft w:val="0"/>
              <w:marRight w:val="0"/>
              <w:marTop w:val="0"/>
              <w:marBottom w:val="0"/>
              <w:divBdr>
                <w:top w:val="none" w:sz="0" w:space="0" w:color="auto"/>
                <w:left w:val="none" w:sz="0" w:space="0" w:color="auto"/>
                <w:bottom w:val="none" w:sz="0" w:space="0" w:color="auto"/>
                <w:right w:val="none" w:sz="0" w:space="0" w:color="auto"/>
              </w:divBdr>
            </w:div>
          </w:divsChild>
        </w:div>
        <w:div w:id="1882748412">
          <w:marLeft w:val="0"/>
          <w:marRight w:val="0"/>
          <w:marTop w:val="0"/>
          <w:marBottom w:val="0"/>
          <w:divBdr>
            <w:top w:val="none" w:sz="0" w:space="0" w:color="auto"/>
            <w:left w:val="none" w:sz="0" w:space="0" w:color="auto"/>
            <w:bottom w:val="none" w:sz="0" w:space="0" w:color="auto"/>
            <w:right w:val="none" w:sz="0" w:space="0" w:color="auto"/>
          </w:divBdr>
          <w:divsChild>
            <w:div w:id="674960829">
              <w:marLeft w:val="0"/>
              <w:marRight w:val="0"/>
              <w:marTop w:val="0"/>
              <w:marBottom w:val="0"/>
              <w:divBdr>
                <w:top w:val="none" w:sz="0" w:space="0" w:color="auto"/>
                <w:left w:val="none" w:sz="0" w:space="0" w:color="auto"/>
                <w:bottom w:val="none" w:sz="0" w:space="0" w:color="auto"/>
                <w:right w:val="none" w:sz="0" w:space="0" w:color="auto"/>
              </w:divBdr>
            </w:div>
          </w:divsChild>
        </w:div>
        <w:div w:id="1042561841">
          <w:marLeft w:val="0"/>
          <w:marRight w:val="0"/>
          <w:marTop w:val="0"/>
          <w:marBottom w:val="0"/>
          <w:divBdr>
            <w:top w:val="none" w:sz="0" w:space="0" w:color="auto"/>
            <w:left w:val="none" w:sz="0" w:space="0" w:color="auto"/>
            <w:bottom w:val="none" w:sz="0" w:space="0" w:color="auto"/>
            <w:right w:val="none" w:sz="0" w:space="0" w:color="auto"/>
          </w:divBdr>
          <w:divsChild>
            <w:div w:id="2122724467">
              <w:marLeft w:val="0"/>
              <w:marRight w:val="0"/>
              <w:marTop w:val="0"/>
              <w:marBottom w:val="0"/>
              <w:divBdr>
                <w:top w:val="none" w:sz="0" w:space="0" w:color="auto"/>
                <w:left w:val="none" w:sz="0" w:space="0" w:color="auto"/>
                <w:bottom w:val="none" w:sz="0" w:space="0" w:color="auto"/>
                <w:right w:val="none" w:sz="0" w:space="0" w:color="auto"/>
              </w:divBdr>
            </w:div>
          </w:divsChild>
        </w:div>
        <w:div w:id="1166818734">
          <w:marLeft w:val="0"/>
          <w:marRight w:val="0"/>
          <w:marTop w:val="0"/>
          <w:marBottom w:val="0"/>
          <w:divBdr>
            <w:top w:val="none" w:sz="0" w:space="0" w:color="auto"/>
            <w:left w:val="none" w:sz="0" w:space="0" w:color="auto"/>
            <w:bottom w:val="none" w:sz="0" w:space="0" w:color="auto"/>
            <w:right w:val="none" w:sz="0" w:space="0" w:color="auto"/>
          </w:divBdr>
          <w:divsChild>
            <w:div w:id="1631549353">
              <w:marLeft w:val="0"/>
              <w:marRight w:val="0"/>
              <w:marTop w:val="0"/>
              <w:marBottom w:val="0"/>
              <w:divBdr>
                <w:top w:val="none" w:sz="0" w:space="0" w:color="auto"/>
                <w:left w:val="none" w:sz="0" w:space="0" w:color="auto"/>
                <w:bottom w:val="none" w:sz="0" w:space="0" w:color="auto"/>
                <w:right w:val="none" w:sz="0" w:space="0" w:color="auto"/>
              </w:divBdr>
            </w:div>
          </w:divsChild>
        </w:div>
        <w:div w:id="121533542">
          <w:marLeft w:val="0"/>
          <w:marRight w:val="0"/>
          <w:marTop w:val="0"/>
          <w:marBottom w:val="0"/>
          <w:divBdr>
            <w:top w:val="none" w:sz="0" w:space="0" w:color="auto"/>
            <w:left w:val="none" w:sz="0" w:space="0" w:color="auto"/>
            <w:bottom w:val="none" w:sz="0" w:space="0" w:color="auto"/>
            <w:right w:val="none" w:sz="0" w:space="0" w:color="auto"/>
          </w:divBdr>
          <w:divsChild>
            <w:div w:id="1321419657">
              <w:marLeft w:val="0"/>
              <w:marRight w:val="0"/>
              <w:marTop w:val="0"/>
              <w:marBottom w:val="0"/>
              <w:divBdr>
                <w:top w:val="none" w:sz="0" w:space="0" w:color="auto"/>
                <w:left w:val="none" w:sz="0" w:space="0" w:color="auto"/>
                <w:bottom w:val="none" w:sz="0" w:space="0" w:color="auto"/>
                <w:right w:val="none" w:sz="0" w:space="0" w:color="auto"/>
              </w:divBdr>
            </w:div>
          </w:divsChild>
        </w:div>
        <w:div w:id="1578396028">
          <w:marLeft w:val="0"/>
          <w:marRight w:val="0"/>
          <w:marTop w:val="0"/>
          <w:marBottom w:val="0"/>
          <w:divBdr>
            <w:top w:val="none" w:sz="0" w:space="0" w:color="auto"/>
            <w:left w:val="none" w:sz="0" w:space="0" w:color="auto"/>
            <w:bottom w:val="none" w:sz="0" w:space="0" w:color="auto"/>
            <w:right w:val="none" w:sz="0" w:space="0" w:color="auto"/>
          </w:divBdr>
          <w:divsChild>
            <w:div w:id="648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32745">
      <w:bodyDiv w:val="1"/>
      <w:marLeft w:val="0"/>
      <w:marRight w:val="0"/>
      <w:marTop w:val="0"/>
      <w:marBottom w:val="0"/>
      <w:divBdr>
        <w:top w:val="none" w:sz="0" w:space="0" w:color="auto"/>
        <w:left w:val="none" w:sz="0" w:space="0" w:color="auto"/>
        <w:bottom w:val="none" w:sz="0" w:space="0" w:color="auto"/>
        <w:right w:val="none" w:sz="0" w:space="0" w:color="auto"/>
      </w:divBdr>
      <w:divsChild>
        <w:div w:id="1643922497">
          <w:marLeft w:val="0"/>
          <w:marRight w:val="0"/>
          <w:marTop w:val="0"/>
          <w:marBottom w:val="0"/>
          <w:divBdr>
            <w:top w:val="none" w:sz="0" w:space="0" w:color="auto"/>
            <w:left w:val="none" w:sz="0" w:space="0" w:color="auto"/>
            <w:bottom w:val="none" w:sz="0" w:space="0" w:color="auto"/>
            <w:right w:val="none" w:sz="0" w:space="0" w:color="auto"/>
          </w:divBdr>
          <w:divsChild>
            <w:div w:id="106975050">
              <w:marLeft w:val="0"/>
              <w:marRight w:val="0"/>
              <w:marTop w:val="0"/>
              <w:marBottom w:val="0"/>
              <w:divBdr>
                <w:top w:val="none" w:sz="0" w:space="0" w:color="auto"/>
                <w:left w:val="none" w:sz="0" w:space="0" w:color="auto"/>
                <w:bottom w:val="none" w:sz="0" w:space="0" w:color="auto"/>
                <w:right w:val="none" w:sz="0" w:space="0" w:color="auto"/>
              </w:divBdr>
            </w:div>
          </w:divsChild>
        </w:div>
        <w:div w:id="1124083508">
          <w:marLeft w:val="0"/>
          <w:marRight w:val="0"/>
          <w:marTop w:val="0"/>
          <w:marBottom w:val="0"/>
          <w:divBdr>
            <w:top w:val="none" w:sz="0" w:space="0" w:color="auto"/>
            <w:left w:val="none" w:sz="0" w:space="0" w:color="auto"/>
            <w:bottom w:val="none" w:sz="0" w:space="0" w:color="auto"/>
            <w:right w:val="none" w:sz="0" w:space="0" w:color="auto"/>
          </w:divBdr>
          <w:divsChild>
            <w:div w:id="395975603">
              <w:marLeft w:val="0"/>
              <w:marRight w:val="0"/>
              <w:marTop w:val="0"/>
              <w:marBottom w:val="0"/>
              <w:divBdr>
                <w:top w:val="none" w:sz="0" w:space="0" w:color="auto"/>
                <w:left w:val="none" w:sz="0" w:space="0" w:color="auto"/>
                <w:bottom w:val="none" w:sz="0" w:space="0" w:color="auto"/>
                <w:right w:val="none" w:sz="0" w:space="0" w:color="auto"/>
              </w:divBdr>
            </w:div>
          </w:divsChild>
        </w:div>
        <w:div w:id="115177324">
          <w:marLeft w:val="0"/>
          <w:marRight w:val="0"/>
          <w:marTop w:val="0"/>
          <w:marBottom w:val="0"/>
          <w:divBdr>
            <w:top w:val="none" w:sz="0" w:space="0" w:color="auto"/>
            <w:left w:val="none" w:sz="0" w:space="0" w:color="auto"/>
            <w:bottom w:val="none" w:sz="0" w:space="0" w:color="auto"/>
            <w:right w:val="none" w:sz="0" w:space="0" w:color="auto"/>
          </w:divBdr>
          <w:divsChild>
            <w:div w:id="2101876297">
              <w:marLeft w:val="0"/>
              <w:marRight w:val="0"/>
              <w:marTop w:val="0"/>
              <w:marBottom w:val="0"/>
              <w:divBdr>
                <w:top w:val="none" w:sz="0" w:space="0" w:color="auto"/>
                <w:left w:val="none" w:sz="0" w:space="0" w:color="auto"/>
                <w:bottom w:val="none" w:sz="0" w:space="0" w:color="auto"/>
                <w:right w:val="none" w:sz="0" w:space="0" w:color="auto"/>
              </w:divBdr>
            </w:div>
          </w:divsChild>
        </w:div>
        <w:div w:id="967203645">
          <w:marLeft w:val="0"/>
          <w:marRight w:val="0"/>
          <w:marTop w:val="0"/>
          <w:marBottom w:val="0"/>
          <w:divBdr>
            <w:top w:val="none" w:sz="0" w:space="0" w:color="auto"/>
            <w:left w:val="none" w:sz="0" w:space="0" w:color="auto"/>
            <w:bottom w:val="none" w:sz="0" w:space="0" w:color="auto"/>
            <w:right w:val="none" w:sz="0" w:space="0" w:color="auto"/>
          </w:divBdr>
          <w:divsChild>
            <w:div w:id="252052381">
              <w:marLeft w:val="0"/>
              <w:marRight w:val="0"/>
              <w:marTop w:val="0"/>
              <w:marBottom w:val="0"/>
              <w:divBdr>
                <w:top w:val="none" w:sz="0" w:space="0" w:color="auto"/>
                <w:left w:val="none" w:sz="0" w:space="0" w:color="auto"/>
                <w:bottom w:val="none" w:sz="0" w:space="0" w:color="auto"/>
                <w:right w:val="none" w:sz="0" w:space="0" w:color="auto"/>
              </w:divBdr>
            </w:div>
          </w:divsChild>
        </w:div>
        <w:div w:id="1687753855">
          <w:marLeft w:val="0"/>
          <w:marRight w:val="0"/>
          <w:marTop w:val="0"/>
          <w:marBottom w:val="0"/>
          <w:divBdr>
            <w:top w:val="none" w:sz="0" w:space="0" w:color="auto"/>
            <w:left w:val="none" w:sz="0" w:space="0" w:color="auto"/>
            <w:bottom w:val="none" w:sz="0" w:space="0" w:color="auto"/>
            <w:right w:val="none" w:sz="0" w:space="0" w:color="auto"/>
          </w:divBdr>
          <w:divsChild>
            <w:div w:id="1482773272">
              <w:marLeft w:val="0"/>
              <w:marRight w:val="0"/>
              <w:marTop w:val="0"/>
              <w:marBottom w:val="0"/>
              <w:divBdr>
                <w:top w:val="none" w:sz="0" w:space="0" w:color="auto"/>
                <w:left w:val="none" w:sz="0" w:space="0" w:color="auto"/>
                <w:bottom w:val="none" w:sz="0" w:space="0" w:color="auto"/>
                <w:right w:val="none" w:sz="0" w:space="0" w:color="auto"/>
              </w:divBdr>
            </w:div>
          </w:divsChild>
        </w:div>
        <w:div w:id="2051495568">
          <w:marLeft w:val="0"/>
          <w:marRight w:val="0"/>
          <w:marTop w:val="0"/>
          <w:marBottom w:val="0"/>
          <w:divBdr>
            <w:top w:val="none" w:sz="0" w:space="0" w:color="auto"/>
            <w:left w:val="none" w:sz="0" w:space="0" w:color="auto"/>
            <w:bottom w:val="none" w:sz="0" w:space="0" w:color="auto"/>
            <w:right w:val="none" w:sz="0" w:space="0" w:color="auto"/>
          </w:divBdr>
          <w:divsChild>
            <w:div w:id="1808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50508">
      <w:bodyDiv w:val="1"/>
      <w:marLeft w:val="0"/>
      <w:marRight w:val="0"/>
      <w:marTop w:val="0"/>
      <w:marBottom w:val="0"/>
      <w:divBdr>
        <w:top w:val="none" w:sz="0" w:space="0" w:color="auto"/>
        <w:left w:val="none" w:sz="0" w:space="0" w:color="auto"/>
        <w:bottom w:val="none" w:sz="0" w:space="0" w:color="auto"/>
        <w:right w:val="none" w:sz="0" w:space="0" w:color="auto"/>
      </w:divBdr>
      <w:divsChild>
        <w:div w:id="1192843573">
          <w:marLeft w:val="0"/>
          <w:marRight w:val="0"/>
          <w:marTop w:val="0"/>
          <w:marBottom w:val="0"/>
          <w:divBdr>
            <w:top w:val="none" w:sz="0" w:space="0" w:color="auto"/>
            <w:left w:val="none" w:sz="0" w:space="0" w:color="auto"/>
            <w:bottom w:val="none" w:sz="0" w:space="0" w:color="auto"/>
            <w:right w:val="none" w:sz="0" w:space="0" w:color="auto"/>
          </w:divBdr>
          <w:divsChild>
            <w:div w:id="1442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6581">
      <w:bodyDiv w:val="1"/>
      <w:marLeft w:val="0"/>
      <w:marRight w:val="0"/>
      <w:marTop w:val="0"/>
      <w:marBottom w:val="0"/>
      <w:divBdr>
        <w:top w:val="none" w:sz="0" w:space="0" w:color="auto"/>
        <w:left w:val="none" w:sz="0" w:space="0" w:color="auto"/>
        <w:bottom w:val="none" w:sz="0" w:space="0" w:color="auto"/>
        <w:right w:val="none" w:sz="0" w:space="0" w:color="auto"/>
      </w:divBdr>
      <w:divsChild>
        <w:div w:id="1894804641">
          <w:marLeft w:val="0"/>
          <w:marRight w:val="0"/>
          <w:marTop w:val="0"/>
          <w:marBottom w:val="0"/>
          <w:divBdr>
            <w:top w:val="none" w:sz="0" w:space="0" w:color="auto"/>
            <w:left w:val="none" w:sz="0" w:space="0" w:color="auto"/>
            <w:bottom w:val="none" w:sz="0" w:space="0" w:color="auto"/>
            <w:right w:val="none" w:sz="0" w:space="0" w:color="auto"/>
          </w:divBdr>
          <w:divsChild>
            <w:div w:id="14234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24427">
      <w:bodyDiv w:val="1"/>
      <w:marLeft w:val="0"/>
      <w:marRight w:val="0"/>
      <w:marTop w:val="0"/>
      <w:marBottom w:val="0"/>
      <w:divBdr>
        <w:top w:val="none" w:sz="0" w:space="0" w:color="auto"/>
        <w:left w:val="none" w:sz="0" w:space="0" w:color="auto"/>
        <w:bottom w:val="none" w:sz="0" w:space="0" w:color="auto"/>
        <w:right w:val="none" w:sz="0" w:space="0" w:color="auto"/>
      </w:divBdr>
      <w:divsChild>
        <w:div w:id="889416595">
          <w:marLeft w:val="0"/>
          <w:marRight w:val="0"/>
          <w:marTop w:val="0"/>
          <w:marBottom w:val="0"/>
          <w:divBdr>
            <w:top w:val="none" w:sz="0" w:space="0" w:color="auto"/>
            <w:left w:val="none" w:sz="0" w:space="0" w:color="auto"/>
            <w:bottom w:val="none" w:sz="0" w:space="0" w:color="auto"/>
            <w:right w:val="none" w:sz="0" w:space="0" w:color="auto"/>
          </w:divBdr>
          <w:divsChild>
            <w:div w:id="11106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1701">
      <w:bodyDiv w:val="1"/>
      <w:marLeft w:val="0"/>
      <w:marRight w:val="0"/>
      <w:marTop w:val="0"/>
      <w:marBottom w:val="0"/>
      <w:divBdr>
        <w:top w:val="none" w:sz="0" w:space="0" w:color="auto"/>
        <w:left w:val="none" w:sz="0" w:space="0" w:color="auto"/>
        <w:bottom w:val="none" w:sz="0" w:space="0" w:color="auto"/>
        <w:right w:val="none" w:sz="0" w:space="0" w:color="auto"/>
      </w:divBdr>
      <w:divsChild>
        <w:div w:id="1293633341">
          <w:marLeft w:val="0"/>
          <w:marRight w:val="0"/>
          <w:marTop w:val="0"/>
          <w:marBottom w:val="0"/>
          <w:divBdr>
            <w:top w:val="none" w:sz="0" w:space="0" w:color="auto"/>
            <w:left w:val="none" w:sz="0" w:space="0" w:color="auto"/>
            <w:bottom w:val="none" w:sz="0" w:space="0" w:color="auto"/>
            <w:right w:val="none" w:sz="0" w:space="0" w:color="auto"/>
          </w:divBdr>
          <w:divsChild>
            <w:div w:id="1063723169">
              <w:marLeft w:val="0"/>
              <w:marRight w:val="0"/>
              <w:marTop w:val="0"/>
              <w:marBottom w:val="0"/>
              <w:divBdr>
                <w:top w:val="none" w:sz="0" w:space="0" w:color="auto"/>
                <w:left w:val="none" w:sz="0" w:space="0" w:color="auto"/>
                <w:bottom w:val="none" w:sz="0" w:space="0" w:color="auto"/>
                <w:right w:val="none" w:sz="0" w:space="0" w:color="auto"/>
              </w:divBdr>
              <w:divsChild>
                <w:div w:id="1820265911">
                  <w:marLeft w:val="0"/>
                  <w:marRight w:val="0"/>
                  <w:marTop w:val="0"/>
                  <w:marBottom w:val="0"/>
                  <w:divBdr>
                    <w:top w:val="none" w:sz="0" w:space="0" w:color="auto"/>
                    <w:left w:val="none" w:sz="0" w:space="0" w:color="auto"/>
                    <w:bottom w:val="none" w:sz="0" w:space="0" w:color="auto"/>
                    <w:right w:val="none" w:sz="0" w:space="0" w:color="auto"/>
                  </w:divBdr>
                  <w:divsChild>
                    <w:div w:id="9303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04350">
      <w:bodyDiv w:val="1"/>
      <w:marLeft w:val="0"/>
      <w:marRight w:val="0"/>
      <w:marTop w:val="0"/>
      <w:marBottom w:val="0"/>
      <w:divBdr>
        <w:top w:val="none" w:sz="0" w:space="0" w:color="auto"/>
        <w:left w:val="none" w:sz="0" w:space="0" w:color="auto"/>
        <w:bottom w:val="none" w:sz="0" w:space="0" w:color="auto"/>
        <w:right w:val="none" w:sz="0" w:space="0" w:color="auto"/>
      </w:divBdr>
      <w:divsChild>
        <w:div w:id="1849325126">
          <w:marLeft w:val="0"/>
          <w:marRight w:val="0"/>
          <w:marTop w:val="0"/>
          <w:marBottom w:val="0"/>
          <w:divBdr>
            <w:top w:val="none" w:sz="0" w:space="0" w:color="auto"/>
            <w:left w:val="none" w:sz="0" w:space="0" w:color="auto"/>
            <w:bottom w:val="none" w:sz="0" w:space="0" w:color="auto"/>
            <w:right w:val="none" w:sz="0" w:space="0" w:color="auto"/>
          </w:divBdr>
          <w:divsChild>
            <w:div w:id="421031580">
              <w:marLeft w:val="0"/>
              <w:marRight w:val="0"/>
              <w:marTop w:val="0"/>
              <w:marBottom w:val="0"/>
              <w:divBdr>
                <w:top w:val="none" w:sz="0" w:space="0" w:color="auto"/>
                <w:left w:val="none" w:sz="0" w:space="0" w:color="auto"/>
                <w:bottom w:val="none" w:sz="0" w:space="0" w:color="auto"/>
                <w:right w:val="none" w:sz="0" w:space="0" w:color="auto"/>
              </w:divBdr>
              <w:divsChild>
                <w:div w:id="581304424">
                  <w:marLeft w:val="0"/>
                  <w:marRight w:val="0"/>
                  <w:marTop w:val="0"/>
                  <w:marBottom w:val="0"/>
                  <w:divBdr>
                    <w:top w:val="none" w:sz="0" w:space="0" w:color="auto"/>
                    <w:left w:val="none" w:sz="0" w:space="0" w:color="auto"/>
                    <w:bottom w:val="none" w:sz="0" w:space="0" w:color="auto"/>
                    <w:right w:val="none" w:sz="0" w:space="0" w:color="auto"/>
                  </w:divBdr>
                  <w:divsChild>
                    <w:div w:id="1986622970">
                      <w:marLeft w:val="0"/>
                      <w:marRight w:val="0"/>
                      <w:marTop w:val="0"/>
                      <w:marBottom w:val="0"/>
                      <w:divBdr>
                        <w:top w:val="none" w:sz="0" w:space="0" w:color="auto"/>
                        <w:left w:val="none" w:sz="0" w:space="0" w:color="auto"/>
                        <w:bottom w:val="none" w:sz="0" w:space="0" w:color="auto"/>
                        <w:right w:val="none" w:sz="0" w:space="0" w:color="auto"/>
                      </w:divBdr>
                      <w:divsChild>
                        <w:div w:id="2034112393">
                          <w:marLeft w:val="0"/>
                          <w:marRight w:val="0"/>
                          <w:marTop w:val="0"/>
                          <w:marBottom w:val="0"/>
                          <w:divBdr>
                            <w:top w:val="none" w:sz="0" w:space="0" w:color="auto"/>
                            <w:left w:val="none" w:sz="0" w:space="0" w:color="auto"/>
                            <w:bottom w:val="none" w:sz="0" w:space="0" w:color="auto"/>
                            <w:right w:val="none" w:sz="0" w:space="0" w:color="auto"/>
                          </w:divBdr>
                          <w:divsChild>
                            <w:div w:id="1594510354">
                              <w:marLeft w:val="0"/>
                              <w:marRight w:val="0"/>
                              <w:marTop w:val="0"/>
                              <w:marBottom w:val="0"/>
                              <w:divBdr>
                                <w:top w:val="none" w:sz="0" w:space="0" w:color="auto"/>
                                <w:left w:val="none" w:sz="0" w:space="0" w:color="auto"/>
                                <w:bottom w:val="none" w:sz="0" w:space="0" w:color="auto"/>
                                <w:right w:val="none" w:sz="0" w:space="0" w:color="auto"/>
                              </w:divBdr>
                              <w:divsChild>
                                <w:div w:id="4996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14651858.CD004794.pub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46/j.1365-3156.2003.01160.x" TargetMode="External"/><Relationship Id="rId4" Type="http://schemas.openxmlformats.org/officeDocument/2006/relationships/settings" Target="settings.xml"/><Relationship Id="rId9" Type="http://schemas.openxmlformats.org/officeDocument/2006/relationships/hyperlink" Target="https://www.who.int/news-room/fact-sheets/detail/drinking-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18</Pages>
  <Words>5397</Words>
  <Characters>30766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qwert</cp:lastModifiedBy>
  <cp:revision>32</cp:revision>
  <dcterms:created xsi:type="dcterms:W3CDTF">2026-02-21T10:55:00Z</dcterms:created>
  <dcterms:modified xsi:type="dcterms:W3CDTF">2026-03-21T11:56:00Z</dcterms:modified>
</cp:coreProperties>
</file>