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BD00" w14:textId="7A661684" w:rsidR="00BE3456" w:rsidRPr="004614AA" w:rsidRDefault="00BE3456" w:rsidP="00BE3456">
      <w:pPr>
        <w:spacing w:line="276" w:lineRule="auto"/>
        <w:rPr>
          <w:rFonts w:ascii="Times New Roman" w:eastAsia="Aptos" w:hAnsi="Times New Roman" w:cs="Times New Roman"/>
          <w:b/>
          <w:bCs/>
        </w:rPr>
      </w:pPr>
    </w:p>
    <w:p w14:paraId="0D88DE7C" w14:textId="3FF678B5" w:rsidR="004614AA" w:rsidRPr="004614AA" w:rsidRDefault="004614AA" w:rsidP="004614AA">
      <w:pPr>
        <w:spacing w:line="360" w:lineRule="auto"/>
        <w:jc w:val="center"/>
        <w:rPr>
          <w:rFonts w:ascii="Times New Roman" w:eastAsia="Aptos" w:hAnsi="Times New Roman" w:cs="Times New Roman"/>
        </w:rPr>
      </w:pPr>
      <w:r w:rsidRPr="004614AA">
        <w:rPr>
          <w:rFonts w:ascii="Times New Roman" w:eastAsia="Aptos" w:hAnsi="Times New Roman" w:cs="Times New Roman"/>
        </w:rPr>
        <w:t>Solar-Powered Innovation for PACDA Elementary School: Sustaining Learning Amid Brownouts and Securing Nighttime Safety</w:t>
      </w:r>
    </w:p>
    <w:p w14:paraId="56CC0407" w14:textId="77777777" w:rsidR="004614AA" w:rsidRPr="004614AA" w:rsidRDefault="004614AA" w:rsidP="004614AA">
      <w:pPr>
        <w:spacing w:line="360" w:lineRule="auto"/>
        <w:jc w:val="center"/>
        <w:rPr>
          <w:rFonts w:ascii="Times New Roman" w:eastAsia="Aptos" w:hAnsi="Times New Roman" w:cs="Times New Roman"/>
        </w:rPr>
      </w:pPr>
    </w:p>
    <w:p w14:paraId="506A2B02" w14:textId="77777777" w:rsidR="004614AA" w:rsidRDefault="004614AA" w:rsidP="004614AA">
      <w:pPr>
        <w:spacing w:line="276" w:lineRule="auto"/>
        <w:jc w:val="center"/>
        <w:rPr>
          <w:rFonts w:ascii="Times New Roman" w:eastAsia="Aptos" w:hAnsi="Times New Roman" w:cs="Times New Roman"/>
        </w:rPr>
      </w:pPr>
    </w:p>
    <w:p w14:paraId="75E54369" w14:textId="4F56EB8F" w:rsidR="004D419F" w:rsidRPr="00D44FE5" w:rsidRDefault="004D419F" w:rsidP="00790C7A">
      <w:pPr>
        <w:spacing w:line="360" w:lineRule="auto"/>
        <w:jc w:val="center"/>
        <w:rPr>
          <w:rFonts w:ascii="Times New Roman" w:hAnsi="Times New Roman" w:cs="Times New Roman"/>
          <w:b/>
          <w:bCs/>
        </w:rPr>
      </w:pPr>
      <w:r w:rsidRPr="00D44FE5">
        <w:rPr>
          <w:rFonts w:ascii="Times New Roman" w:hAnsi="Times New Roman" w:cs="Times New Roman"/>
          <w:b/>
          <w:bCs/>
        </w:rPr>
        <w:t>Abstract</w:t>
      </w:r>
    </w:p>
    <w:p w14:paraId="2F9ACC5D" w14:textId="77777777" w:rsidR="00F63DE2" w:rsidRPr="00D44FE5" w:rsidRDefault="00F63DE2" w:rsidP="00F63DE2">
      <w:pPr>
        <w:spacing w:line="360" w:lineRule="auto"/>
        <w:ind w:firstLine="720"/>
        <w:rPr>
          <w:rFonts w:ascii="Times New Roman" w:hAnsi="Times New Roman" w:cs="Times New Roman"/>
        </w:rPr>
      </w:pPr>
      <w:r w:rsidRPr="00D44FE5">
        <w:rPr>
          <w:rFonts w:ascii="Times New Roman" w:hAnsi="Times New Roman" w:cs="Times New Roman"/>
        </w:rPr>
        <w:t>Frequent brownouts in rural communities create substantial obstacles to educational continuity and compromise safety. At PACDA Elementary School in Mankayan, Benguet, recurring power interruptions hinder classroom instruction and weaken nighttime security. This study examines the feasibility, sustainability, and broader impact of a solar-powered innovation designed to maintain learning activities during brownouts while strengthening safety measures after dark. Specifically, the research explores the integration of solar photovoltaic systems with energy-efficient lighting and backup power solutions customized to the school’s operational needs. Employing a mixed-methods approach, data were gathered from teachers, learners, and community stakeholders to evaluate the effectiveness of solar energy in addressing both educational and safety concerns. Findings demonstrate that solar-powered systems substantially minimize disruptions in teaching, enhance student engagement, and ensure dependable illumination for evening programs, extracurricular activities, and security patrols. Beyond technical advantages, the project cultivates environmental awareness, promotes sustainable practices, and encourages active community participation, positioning PACDA Elementary as a pioneering model for sustainable rural education. These results highlight the critical role of renewable energy in bridging educational gaps, ensuring safety in resource-constrained settings, and inspiring replication in similar communities. This manuscript contributes meaningfully to the discourse on sustainable school innovations, underscoring solar energy as a practical and transformative solution for rural institutions facing infrastructural challenges.</w:t>
      </w:r>
    </w:p>
    <w:p w14:paraId="239A466C" w14:textId="609EE28D" w:rsidR="004D419F" w:rsidRPr="00D44FE5" w:rsidRDefault="00F63DE2" w:rsidP="00F63DE2">
      <w:pPr>
        <w:spacing w:line="360" w:lineRule="auto"/>
        <w:rPr>
          <w:rFonts w:ascii="Times New Roman" w:hAnsi="Times New Roman" w:cs="Times New Roman"/>
        </w:rPr>
      </w:pPr>
      <w:r w:rsidRPr="00D44FE5">
        <w:rPr>
          <w:rFonts w:ascii="Times New Roman" w:hAnsi="Times New Roman" w:cs="Times New Roman"/>
          <w:b/>
          <w:bCs/>
        </w:rPr>
        <w:t>Keywords:</w:t>
      </w:r>
      <w:r w:rsidRPr="00D44FE5">
        <w:rPr>
          <w:rFonts w:ascii="Times New Roman" w:hAnsi="Times New Roman" w:cs="Times New Roman"/>
        </w:rPr>
        <w:t xml:space="preserve"> Solar energy, rural education, brownouts, safety, sustainability, innovation, community participation, renewable energy</w:t>
      </w:r>
    </w:p>
    <w:p w14:paraId="7A4B1A7D" w14:textId="77777777" w:rsidR="00ED1A28" w:rsidRPr="00D44FE5" w:rsidRDefault="00ED1A28" w:rsidP="00F63DE2">
      <w:pPr>
        <w:spacing w:line="360" w:lineRule="auto"/>
        <w:rPr>
          <w:rFonts w:ascii="Times New Roman" w:hAnsi="Times New Roman" w:cs="Times New Roman"/>
        </w:rPr>
      </w:pPr>
    </w:p>
    <w:p w14:paraId="070443E4" w14:textId="77777777" w:rsidR="00ED1A28" w:rsidRPr="00D44FE5" w:rsidRDefault="00ED1A28" w:rsidP="00F63DE2">
      <w:pPr>
        <w:spacing w:line="360" w:lineRule="auto"/>
        <w:rPr>
          <w:rFonts w:ascii="Times New Roman" w:hAnsi="Times New Roman" w:cs="Times New Roman"/>
        </w:rPr>
      </w:pPr>
    </w:p>
    <w:p w14:paraId="1616552C" w14:textId="77777777" w:rsidR="00ED1A28" w:rsidRPr="00D44FE5" w:rsidRDefault="00ED1A28" w:rsidP="00F63DE2">
      <w:pPr>
        <w:spacing w:line="360" w:lineRule="auto"/>
        <w:rPr>
          <w:rFonts w:ascii="Times New Roman" w:hAnsi="Times New Roman" w:cs="Times New Roman"/>
        </w:rPr>
      </w:pPr>
    </w:p>
    <w:p w14:paraId="1063BBD3" w14:textId="77777777" w:rsidR="00ED1A28" w:rsidRPr="00D44FE5" w:rsidRDefault="00ED1A28" w:rsidP="00F63DE2">
      <w:pPr>
        <w:spacing w:line="360" w:lineRule="auto"/>
        <w:rPr>
          <w:rFonts w:ascii="Times New Roman" w:hAnsi="Times New Roman" w:cs="Times New Roman"/>
        </w:rPr>
      </w:pPr>
    </w:p>
    <w:p w14:paraId="11A06D14" w14:textId="77777777" w:rsidR="00ED1A28" w:rsidRPr="00D44FE5" w:rsidRDefault="00ED1A28" w:rsidP="00F63DE2">
      <w:pPr>
        <w:spacing w:line="360" w:lineRule="auto"/>
        <w:rPr>
          <w:rFonts w:ascii="Times New Roman" w:hAnsi="Times New Roman" w:cs="Times New Roman"/>
        </w:rPr>
      </w:pPr>
    </w:p>
    <w:p w14:paraId="607235C7" w14:textId="77777777" w:rsidR="00ED1A28" w:rsidRPr="00D44FE5" w:rsidRDefault="00ED1A28" w:rsidP="00F63DE2">
      <w:pPr>
        <w:spacing w:line="360" w:lineRule="auto"/>
        <w:rPr>
          <w:rFonts w:ascii="Times New Roman" w:hAnsi="Times New Roman" w:cs="Times New Roman"/>
        </w:rPr>
      </w:pPr>
    </w:p>
    <w:p w14:paraId="708C50A2" w14:textId="3B46D0D3" w:rsidR="004D419F" w:rsidRPr="00D44FE5" w:rsidRDefault="004D419F" w:rsidP="00790C7A">
      <w:pPr>
        <w:spacing w:line="360" w:lineRule="auto"/>
        <w:jc w:val="center"/>
        <w:rPr>
          <w:rFonts w:ascii="Times New Roman" w:hAnsi="Times New Roman" w:cs="Times New Roman"/>
          <w:b/>
          <w:bCs/>
        </w:rPr>
      </w:pPr>
      <w:r w:rsidRPr="00D44FE5">
        <w:rPr>
          <w:rFonts w:ascii="Times New Roman" w:hAnsi="Times New Roman" w:cs="Times New Roman"/>
          <w:b/>
          <w:bCs/>
        </w:rPr>
        <w:t xml:space="preserve">Introduction </w:t>
      </w:r>
    </w:p>
    <w:p w14:paraId="1712C757"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Electricity is a fundamental requirement for modern education. In the Philippines, particularly in rural and mountainous regions such as Benguet, power interruptions remain a persistent challenge. PACDA Elementary School, located in Mankayan, is emblematic of this reality. Brownouts occur frequently, disrupting classroom instruction, limiting access to digital learning tools, and creating unsafe conditions during evening school activities. For learners and teachers alike, these interruptions compromise not only academic performance but also the holistic development of children who rely on consistent access to light and technology.</w:t>
      </w:r>
    </w:p>
    <w:p w14:paraId="467610C6"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problem of unreliable electricity is not unique to PACDA Elementary. Across the archipelago, rural schools face similar challenges. The Department of Education has long recognized the need for infrastructure support, yet the pace of electrification in remote areas remains slow. In this context, renewable energy solutions, particularly solar power, emerge as viable alternatives. The Philippines, being a tropical country, receives abundant sunlight throughout the year, making solar energy both practical and sustainable. Harnessing this resource for educational institutions offers a pathway to resilience, sustainability, and improved learning outcomes.</w:t>
      </w:r>
    </w:p>
    <w:p w14:paraId="3A6E504D" w14:textId="72CED271"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Solar energy is more than a technical solution; it is a transformative innovation that intersects with education, community development, and environmental stewardship. By integrating solar photovoltaic systems into PACDA Elementary, the school can ensure uninterrupted learning even during brownouts. Moreover, solar-powered lighting enhances nighttime safety, reducing risks of accidents and enabling secure evening activities such as community meetings, remedial classes, and security patrols. This dual function</w:t>
      </w:r>
      <w:r w:rsidR="00F63DE2" w:rsidRPr="00D44FE5">
        <w:rPr>
          <w:rFonts w:ascii="Times New Roman" w:hAnsi="Times New Roman" w:cs="Times New Roman"/>
        </w:rPr>
        <w:t xml:space="preserve">, such as </w:t>
      </w:r>
      <w:r w:rsidRPr="00D44FE5">
        <w:rPr>
          <w:rFonts w:ascii="Times New Roman" w:hAnsi="Times New Roman" w:cs="Times New Roman"/>
        </w:rPr>
        <w:t>sustaining learning and securing safety</w:t>
      </w:r>
      <w:r w:rsidR="00F63DE2" w:rsidRPr="00D44FE5">
        <w:rPr>
          <w:rFonts w:ascii="Times New Roman" w:hAnsi="Times New Roman" w:cs="Times New Roman"/>
        </w:rPr>
        <w:t xml:space="preserve">, </w:t>
      </w:r>
      <w:r w:rsidRPr="00D44FE5">
        <w:rPr>
          <w:rFonts w:ascii="Times New Roman" w:hAnsi="Times New Roman" w:cs="Times New Roman"/>
        </w:rPr>
        <w:t>positions solar innovation as a holistic intervention.</w:t>
      </w:r>
    </w:p>
    <w:p w14:paraId="350B61AE"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lastRenderedPageBreak/>
        <w:t>The significance of this research lies in its alignment with broader national and global priorities. At the national level, the Philippine Department of Energy has emphasized renewable energy adoption as part of its long-term energy roadmap. At the global level, the United Nations’ Sustainable Development Goals (SDGs) highlight the importance of quality education (Goal 4) and affordable, clean energy (Goal 7). This study contributes to these goals by demonstrating how solar innovation can directly benefit rural schools, ensuring equitable access to education while promoting environmental responsibility.</w:t>
      </w:r>
    </w:p>
    <w:p w14:paraId="10AF2389"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objectives of this research are threefold: first, to assess the impact of solar-powered systems on sustaining learning during brownouts; second, to evaluate the role of solar energy in securing nighttime safety within school premises; and third, to explore community perceptions and participation in renewable energy adoption. These objectives are grounded in the belief that education is not only about academic instruction but also about creating safe, sustainable environments where learners can thrive.</w:t>
      </w:r>
    </w:p>
    <w:p w14:paraId="29F2F1A6"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theoretical framework guiding this study draws from sustainable development theory and educational resilience. Sustainable development emphasizes meeting present needs without compromising future generations, while educational resilience highlights the capacity of schools to adapt and thrive despite challenges. Solar innovation embodies both principles: it provides immediate solutions to power interruptions while fostering long-term sustainability and resilience.</w:t>
      </w:r>
    </w:p>
    <w:p w14:paraId="212FC768" w14:textId="682D2D9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scope of this study is limited to PACDA Elementary School, yet its implications extend to other rural institutions facing similar challenges. While budget constraints and reliance on community participation present limitations, the findings offer valuable insights into how renewable energy can be integrated into educational settings. Ultimately, this research seeks to position PACDA Elementary as a model for sustainable rural education, demonstrating that innovation and community collaboration can overcome infrastructural barriers.</w:t>
      </w:r>
    </w:p>
    <w:p w14:paraId="7613B14F" w14:textId="77777777" w:rsidR="004D419F" w:rsidRPr="00D44FE5" w:rsidRDefault="004D419F" w:rsidP="00790C7A">
      <w:pPr>
        <w:spacing w:line="360" w:lineRule="auto"/>
        <w:rPr>
          <w:rFonts w:ascii="Times New Roman" w:hAnsi="Times New Roman" w:cs="Times New Roman"/>
        </w:rPr>
      </w:pPr>
    </w:p>
    <w:p w14:paraId="67766589" w14:textId="77777777" w:rsidR="00ED1A28" w:rsidRPr="00D44FE5" w:rsidRDefault="00ED1A28" w:rsidP="00790C7A">
      <w:pPr>
        <w:spacing w:line="360" w:lineRule="auto"/>
        <w:rPr>
          <w:rFonts w:ascii="Times New Roman" w:hAnsi="Times New Roman" w:cs="Times New Roman"/>
        </w:rPr>
      </w:pPr>
    </w:p>
    <w:p w14:paraId="6D0ADB7E" w14:textId="77777777" w:rsidR="00ED1A28" w:rsidRPr="00D44FE5" w:rsidRDefault="00ED1A28" w:rsidP="00790C7A">
      <w:pPr>
        <w:spacing w:line="360" w:lineRule="auto"/>
        <w:rPr>
          <w:rFonts w:ascii="Times New Roman" w:hAnsi="Times New Roman" w:cs="Times New Roman"/>
        </w:rPr>
      </w:pPr>
    </w:p>
    <w:p w14:paraId="35AD0C3A" w14:textId="77777777" w:rsidR="00ED1A28" w:rsidRPr="00D44FE5" w:rsidRDefault="00ED1A28" w:rsidP="00790C7A">
      <w:pPr>
        <w:spacing w:line="360" w:lineRule="auto"/>
        <w:rPr>
          <w:rFonts w:ascii="Times New Roman" w:hAnsi="Times New Roman" w:cs="Times New Roman"/>
        </w:rPr>
      </w:pPr>
    </w:p>
    <w:p w14:paraId="7C568B8D" w14:textId="77777777" w:rsidR="00ED1A28" w:rsidRPr="00D44FE5" w:rsidRDefault="00ED1A28" w:rsidP="00790C7A">
      <w:pPr>
        <w:spacing w:line="360" w:lineRule="auto"/>
        <w:rPr>
          <w:rFonts w:ascii="Times New Roman" w:hAnsi="Times New Roman" w:cs="Times New Roman"/>
        </w:rPr>
      </w:pPr>
    </w:p>
    <w:p w14:paraId="3EA8420A" w14:textId="77777777" w:rsidR="00ED1A28" w:rsidRPr="00D44FE5" w:rsidRDefault="00ED1A28" w:rsidP="00790C7A">
      <w:pPr>
        <w:spacing w:line="360" w:lineRule="auto"/>
        <w:rPr>
          <w:rFonts w:ascii="Times New Roman" w:hAnsi="Times New Roman" w:cs="Times New Roman"/>
        </w:rPr>
      </w:pPr>
    </w:p>
    <w:p w14:paraId="3AABABC2" w14:textId="77777777" w:rsidR="00ED1A28" w:rsidRPr="00D44FE5" w:rsidRDefault="00ED1A28" w:rsidP="00790C7A">
      <w:pPr>
        <w:spacing w:line="360" w:lineRule="auto"/>
        <w:rPr>
          <w:rFonts w:ascii="Times New Roman" w:hAnsi="Times New Roman" w:cs="Times New Roman"/>
        </w:rPr>
      </w:pPr>
    </w:p>
    <w:p w14:paraId="134A6C49" w14:textId="77777777" w:rsidR="00ED1A28" w:rsidRPr="00D44FE5" w:rsidRDefault="00ED1A28" w:rsidP="00790C7A">
      <w:pPr>
        <w:spacing w:line="360" w:lineRule="auto"/>
        <w:rPr>
          <w:rFonts w:ascii="Times New Roman" w:hAnsi="Times New Roman" w:cs="Times New Roman"/>
        </w:rPr>
      </w:pPr>
    </w:p>
    <w:p w14:paraId="20962644" w14:textId="77777777" w:rsidR="00ED1A28" w:rsidRPr="00D44FE5" w:rsidRDefault="00ED1A28" w:rsidP="00790C7A">
      <w:pPr>
        <w:spacing w:line="360" w:lineRule="auto"/>
        <w:rPr>
          <w:rFonts w:ascii="Times New Roman" w:hAnsi="Times New Roman" w:cs="Times New Roman"/>
        </w:rPr>
      </w:pPr>
    </w:p>
    <w:p w14:paraId="6C862360" w14:textId="2B2105B9"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t>Literature Review</w:t>
      </w:r>
    </w:p>
    <w:p w14:paraId="06156269"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Solar Energy in Education</w:t>
      </w:r>
    </w:p>
    <w:p w14:paraId="7D6D1887"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Globally, solar energy has been recognized as a transformative force in education. Studies in Africa and South Asia demonstrate that solar-powered schools experience fewer disruptions, improved student performance, and enhanced teacher morale. Anderson and Leach (2004) highlight case studies where solar installations provided reliable electricity for classrooms, enabling the use of digital tools and extending study hours. These findings underscore the potential of solar energy to bridge educational gaps in resource-constrained settings.</w:t>
      </w:r>
    </w:p>
    <w:p w14:paraId="5D52F0B2" w14:textId="77777777" w:rsidR="004D419F" w:rsidRPr="00D44FE5" w:rsidRDefault="004D419F" w:rsidP="00ED1A28">
      <w:pPr>
        <w:spacing w:line="360" w:lineRule="auto"/>
        <w:rPr>
          <w:rFonts w:ascii="Times New Roman" w:hAnsi="Times New Roman" w:cs="Times New Roman"/>
          <w:b/>
          <w:bCs/>
        </w:rPr>
      </w:pPr>
      <w:r w:rsidRPr="00D44FE5">
        <w:rPr>
          <w:rFonts w:ascii="Times New Roman" w:hAnsi="Times New Roman" w:cs="Times New Roman"/>
          <w:b/>
          <w:bCs/>
        </w:rPr>
        <w:t>Brownouts and Learning Disruptions</w:t>
      </w:r>
    </w:p>
    <w:p w14:paraId="74E60CEE" w14:textId="26C60B7E" w:rsidR="007B4548"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Brownouts significantly affect learning outcomes. Research by Sovacool (2017) indicates that power interruptions reduce instructional time, limit access to educational technology, and increase stress among teachers and students. In the Philippine context, brownouts are particularly detrimental in rural areas where alternative power sources are scarce. The World Bank (2018) notes that unreliable electricity contributes to lower academic performance and reduced competitiveness of rural schools. Addressing this issue is therefore critical to ensuring educational equity.</w:t>
      </w:r>
    </w:p>
    <w:p w14:paraId="6B34DBE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Safety and Security in Schools</w:t>
      </w:r>
    </w:p>
    <w:p w14:paraId="65E5F6D3"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 xml:space="preserve">Safety is a fundamental aspect of education. Adequate lighting reduces accidents, deters crime, and fosters a sense of security among learners. Chaurey and Kandpal (2010) emphasize that energy access is directly linked to safety, particularly in rural schools where evening activities are common. Solar-powered lighting provides a reliable solution, ensuring that school </w:t>
      </w:r>
      <w:r w:rsidRPr="00D44FE5">
        <w:rPr>
          <w:rFonts w:ascii="Times New Roman" w:hAnsi="Times New Roman" w:cs="Times New Roman"/>
        </w:rPr>
        <w:lastRenderedPageBreak/>
        <w:t>premises remain illuminated even during power outages. This not only enhances safety but also enables schools to host community events and extend learning opportunities beyond daylight hours.</w:t>
      </w:r>
    </w:p>
    <w:p w14:paraId="0298C96F" w14:textId="77777777" w:rsidR="00ED1A28" w:rsidRPr="00D44FE5" w:rsidRDefault="00ED1A28" w:rsidP="00ED1A28">
      <w:pPr>
        <w:spacing w:line="360" w:lineRule="auto"/>
        <w:ind w:firstLine="720"/>
        <w:rPr>
          <w:rFonts w:ascii="Times New Roman" w:hAnsi="Times New Roman" w:cs="Times New Roman"/>
        </w:rPr>
      </w:pPr>
    </w:p>
    <w:p w14:paraId="1D4D9654" w14:textId="77777777" w:rsidR="00ED1A28" w:rsidRPr="00D44FE5" w:rsidRDefault="00ED1A28" w:rsidP="00ED1A28">
      <w:pPr>
        <w:spacing w:line="360" w:lineRule="auto"/>
        <w:ind w:firstLine="720"/>
        <w:rPr>
          <w:rFonts w:ascii="Times New Roman" w:hAnsi="Times New Roman" w:cs="Times New Roman"/>
        </w:rPr>
      </w:pPr>
    </w:p>
    <w:p w14:paraId="6C36BB06" w14:textId="77777777" w:rsidR="00ED1A28" w:rsidRPr="00D44FE5" w:rsidRDefault="00ED1A28" w:rsidP="00ED1A28">
      <w:pPr>
        <w:spacing w:line="360" w:lineRule="auto"/>
        <w:ind w:firstLine="720"/>
        <w:rPr>
          <w:rFonts w:ascii="Times New Roman" w:hAnsi="Times New Roman" w:cs="Times New Roman"/>
        </w:rPr>
      </w:pPr>
    </w:p>
    <w:p w14:paraId="423AF3D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Community-Based Renewable Projects</w:t>
      </w:r>
    </w:p>
    <w:p w14:paraId="6AAA3EBF"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Community participation is essential for the success of renewable energy initiatives. Yadoo and Cruickshank (2012) argue that community-based projects foster ownership, sustainability, and social cohesion. In rural settings, schools often serve as community hubs, making them ideal sites for renewable energy adoption. Garcia and Santos (2021) document how solar-powered innovations in Philippine rural schools were sustained through active involvement of parents, teachers, and local leaders. Such participation ensures that projects are maintained and that benefits extend beyond the school to the wider community.</w:t>
      </w:r>
    </w:p>
    <w:p w14:paraId="203620F2"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Philippine Context</w:t>
      </w:r>
    </w:p>
    <w:p w14:paraId="78B7AD35" w14:textId="579AAB8B"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The Philippines has made strides in renewable energy adoption, yet challenges remain. The Department of Energy (2020) outlines a roadmap for increasing renewable energy capacity, with solar power playing a central role. However, implementation in rural schools has been slow due to budget constraints and logistical challenges. UNESCO (2015) emphasizes the need for innovative approaches to integrate sustainability into education. PACDA Elementary’s solar innovation aligns with these priorities, offering a practical model for rural electrification and educational resilience.</w:t>
      </w:r>
    </w:p>
    <w:p w14:paraId="5A1EC82B" w14:textId="77777777" w:rsidR="004D419F" w:rsidRPr="00D44FE5" w:rsidRDefault="004D419F" w:rsidP="00790C7A">
      <w:pPr>
        <w:spacing w:line="360" w:lineRule="auto"/>
        <w:rPr>
          <w:rFonts w:ascii="Times New Roman" w:hAnsi="Times New Roman" w:cs="Times New Roman"/>
        </w:rPr>
      </w:pPr>
    </w:p>
    <w:p w14:paraId="0A8A7178" w14:textId="77777777" w:rsidR="007B4548" w:rsidRPr="00D44FE5" w:rsidRDefault="007B4548" w:rsidP="00790C7A">
      <w:pPr>
        <w:spacing w:line="360" w:lineRule="auto"/>
        <w:rPr>
          <w:rFonts w:ascii="Times New Roman" w:hAnsi="Times New Roman" w:cs="Times New Roman"/>
        </w:rPr>
      </w:pPr>
    </w:p>
    <w:p w14:paraId="4E856DC1" w14:textId="77777777" w:rsidR="007B4548" w:rsidRPr="00D44FE5" w:rsidRDefault="007B4548" w:rsidP="00790C7A">
      <w:pPr>
        <w:spacing w:line="360" w:lineRule="auto"/>
        <w:rPr>
          <w:rFonts w:ascii="Times New Roman" w:hAnsi="Times New Roman" w:cs="Times New Roman"/>
        </w:rPr>
      </w:pPr>
    </w:p>
    <w:p w14:paraId="278CCBAD" w14:textId="77777777" w:rsidR="007B4548" w:rsidRPr="00D44FE5" w:rsidRDefault="007B4548" w:rsidP="00790C7A">
      <w:pPr>
        <w:spacing w:line="360" w:lineRule="auto"/>
        <w:rPr>
          <w:rFonts w:ascii="Times New Roman" w:hAnsi="Times New Roman" w:cs="Times New Roman"/>
        </w:rPr>
      </w:pPr>
    </w:p>
    <w:p w14:paraId="609681E7" w14:textId="77777777" w:rsidR="00ED1A28" w:rsidRPr="00D44FE5" w:rsidRDefault="00ED1A28" w:rsidP="00790C7A">
      <w:pPr>
        <w:spacing w:line="360" w:lineRule="auto"/>
        <w:rPr>
          <w:rFonts w:ascii="Times New Roman" w:hAnsi="Times New Roman" w:cs="Times New Roman"/>
        </w:rPr>
      </w:pPr>
    </w:p>
    <w:p w14:paraId="3BAAEEEE" w14:textId="77777777" w:rsidR="00ED1A28" w:rsidRPr="00D44FE5" w:rsidRDefault="00ED1A28" w:rsidP="00790C7A">
      <w:pPr>
        <w:spacing w:line="360" w:lineRule="auto"/>
        <w:rPr>
          <w:rFonts w:ascii="Times New Roman" w:hAnsi="Times New Roman" w:cs="Times New Roman"/>
        </w:rPr>
      </w:pPr>
    </w:p>
    <w:p w14:paraId="4C778AEE" w14:textId="77777777" w:rsidR="00ED1A28" w:rsidRPr="00D44FE5" w:rsidRDefault="00ED1A28" w:rsidP="00790C7A">
      <w:pPr>
        <w:spacing w:line="360" w:lineRule="auto"/>
        <w:rPr>
          <w:rFonts w:ascii="Times New Roman" w:hAnsi="Times New Roman" w:cs="Times New Roman"/>
        </w:rPr>
      </w:pPr>
    </w:p>
    <w:p w14:paraId="6E83DB5C" w14:textId="77777777" w:rsidR="00ED1A28" w:rsidRPr="00D44FE5" w:rsidRDefault="00ED1A28" w:rsidP="00790C7A">
      <w:pPr>
        <w:spacing w:line="360" w:lineRule="auto"/>
        <w:rPr>
          <w:rFonts w:ascii="Times New Roman" w:hAnsi="Times New Roman" w:cs="Times New Roman"/>
        </w:rPr>
      </w:pPr>
    </w:p>
    <w:p w14:paraId="6F39B753" w14:textId="77777777" w:rsidR="00ED1A28" w:rsidRPr="00D44FE5" w:rsidRDefault="00ED1A28" w:rsidP="00790C7A">
      <w:pPr>
        <w:spacing w:line="360" w:lineRule="auto"/>
        <w:rPr>
          <w:rFonts w:ascii="Times New Roman" w:hAnsi="Times New Roman" w:cs="Times New Roman"/>
        </w:rPr>
      </w:pPr>
    </w:p>
    <w:p w14:paraId="2ED7A842" w14:textId="77777777" w:rsidR="00ED1A28" w:rsidRPr="00D44FE5" w:rsidRDefault="00ED1A28" w:rsidP="00790C7A">
      <w:pPr>
        <w:spacing w:line="360" w:lineRule="auto"/>
        <w:rPr>
          <w:rFonts w:ascii="Times New Roman" w:hAnsi="Times New Roman" w:cs="Times New Roman"/>
        </w:rPr>
      </w:pPr>
    </w:p>
    <w:p w14:paraId="38D70E83" w14:textId="44B465BC"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t>Methodology</w:t>
      </w:r>
    </w:p>
    <w:p w14:paraId="2D5495DA"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Research Design</w:t>
      </w:r>
    </w:p>
    <w:p w14:paraId="21059301" w14:textId="7777777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This study employed a mixed-methods design, combining quantitative surveys with qualitative interviews and observations. The rationale for this approach was to capture both measurable outcomes of solar-powered innovation and the lived experiences of stakeholders at PACDA Elementary School. Quantitative data provided statistical evidence of improvements in learning continuity and safety, while qualitative insights enriched the analysis by highlighting perceptions, attitudes, and community engagement.</w:t>
      </w:r>
    </w:p>
    <w:p w14:paraId="6DE559CA"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Participants</w:t>
      </w:r>
    </w:p>
    <w:p w14:paraId="12B27EB7"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The participants included three groups:</w:t>
      </w:r>
    </w:p>
    <w:p w14:paraId="64B3EE59" w14:textId="08117E59"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Teachers (</w:t>
      </w:r>
      <w:r w:rsidR="002E102C" w:rsidRPr="00D44FE5">
        <w:rPr>
          <w:rFonts w:ascii="Times New Roman" w:hAnsi="Times New Roman" w:cs="Times New Roman"/>
        </w:rPr>
        <w:t>5</w:t>
      </w:r>
      <w:r w:rsidRPr="00D44FE5">
        <w:rPr>
          <w:rFonts w:ascii="Times New Roman" w:hAnsi="Times New Roman" w:cs="Times New Roman"/>
        </w:rPr>
        <w:t>): Selected to provide insights into instructional challenges during brownouts and the impact of solar systems on teaching practices.</w:t>
      </w:r>
    </w:p>
    <w:p w14:paraId="65CBAB30" w14:textId="416C697B"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Students (</w:t>
      </w:r>
      <w:r w:rsidR="002E102C" w:rsidRPr="00D44FE5">
        <w:rPr>
          <w:rFonts w:ascii="Times New Roman" w:hAnsi="Times New Roman" w:cs="Times New Roman"/>
        </w:rPr>
        <w:t>45</w:t>
      </w:r>
      <w:r w:rsidRPr="00D44FE5">
        <w:rPr>
          <w:rFonts w:ascii="Times New Roman" w:hAnsi="Times New Roman" w:cs="Times New Roman"/>
        </w:rPr>
        <w:t>): Representing different grade levels, they shared experiences of learning disruptions and perceptions of safety.</w:t>
      </w:r>
    </w:p>
    <w:p w14:paraId="51734EFE" w14:textId="50AED326"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Parents and community leaders (</w:t>
      </w:r>
      <w:r w:rsidR="002E102C" w:rsidRPr="00D44FE5">
        <w:rPr>
          <w:rFonts w:ascii="Times New Roman" w:hAnsi="Times New Roman" w:cs="Times New Roman"/>
        </w:rPr>
        <w:t>40</w:t>
      </w:r>
      <w:r w:rsidRPr="00D44FE5">
        <w:rPr>
          <w:rFonts w:ascii="Times New Roman" w:hAnsi="Times New Roman" w:cs="Times New Roman"/>
        </w:rPr>
        <w:t>): Engaged to assess community involvement and sustainability of the project.</w:t>
      </w:r>
    </w:p>
    <w:p w14:paraId="4FAA3818"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Purposive sampling was used to ensure representation from key stakeholders directly affected by the innovation.</w:t>
      </w:r>
    </w:p>
    <w:p w14:paraId="5036D80B"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Data Collection</w:t>
      </w:r>
    </w:p>
    <w:p w14:paraId="630B0A57"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Data collection involved three methods:</w:t>
      </w:r>
    </w:p>
    <w:p w14:paraId="39989E79"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lastRenderedPageBreak/>
        <w:t xml:space="preserve">1. </w:t>
      </w:r>
      <w:r w:rsidRPr="00D44FE5">
        <w:rPr>
          <w:rFonts w:ascii="Times New Roman" w:hAnsi="Times New Roman" w:cs="Times New Roman"/>
        </w:rPr>
        <w:tab/>
        <w:t>Surveys: Structured questionnaires measured frequency of classroom disruptions, student engagement, and safety incidents before and after solar installation.</w:t>
      </w:r>
    </w:p>
    <w:p w14:paraId="2F044CE4"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2. </w:t>
      </w:r>
      <w:r w:rsidRPr="00D44FE5">
        <w:rPr>
          <w:rFonts w:ascii="Times New Roman" w:hAnsi="Times New Roman" w:cs="Times New Roman"/>
        </w:rPr>
        <w:tab/>
        <w:t>Interviews: Semi-structured interviews with teachers and administrators explored qualitative aspects of solar adoption, including challenges and benefits.</w:t>
      </w:r>
    </w:p>
    <w:p w14:paraId="5306A4DD"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3. </w:t>
      </w:r>
      <w:r w:rsidRPr="00D44FE5">
        <w:rPr>
          <w:rFonts w:ascii="Times New Roman" w:hAnsi="Times New Roman" w:cs="Times New Roman"/>
        </w:rPr>
        <w:tab/>
        <w:t>Observation: Direct observation of solar system performance during brownouts and nighttime activities provided contextual evidence of effectiveness.</w:t>
      </w:r>
    </w:p>
    <w:p w14:paraId="40EF8A8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Data Analysis</w:t>
      </w:r>
    </w:p>
    <w:p w14:paraId="40A31C03" w14:textId="7777777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Quantitative data were analyzed using descriptive statistics, comparing pre- and post-installation indicators. Qualitative data were transcribed, coded, and analyzed thematically to identify recurring patterns related to resilience, safety, and community participation. Triangulation was employed to validate findings across data sources.</w:t>
      </w:r>
    </w:p>
    <w:p w14:paraId="4C76824B"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Ethical Considerations</w:t>
      </w:r>
    </w:p>
    <w:p w14:paraId="079382FB" w14:textId="797163F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Ethical protocols were strictly observed. Informed consent was obtained from all participants, with parental consent secured for student respondents. Confidentiality was maintained by anonymizing responses. The research adhered to principles of respect, beneficence, and justice, ensuring that participation was voluntary and that findings would benefit the school community.</w:t>
      </w:r>
    </w:p>
    <w:p w14:paraId="1EC2880D" w14:textId="77777777" w:rsidR="004D419F" w:rsidRPr="00D44FE5" w:rsidRDefault="004D419F" w:rsidP="00790C7A">
      <w:pPr>
        <w:spacing w:line="360" w:lineRule="auto"/>
        <w:rPr>
          <w:rFonts w:ascii="Times New Roman" w:hAnsi="Times New Roman" w:cs="Times New Roman"/>
        </w:rPr>
      </w:pPr>
    </w:p>
    <w:p w14:paraId="0D2B17E7" w14:textId="77777777" w:rsidR="00210158" w:rsidRPr="00D44FE5" w:rsidRDefault="00210158" w:rsidP="00790C7A">
      <w:pPr>
        <w:spacing w:line="360" w:lineRule="auto"/>
        <w:rPr>
          <w:rFonts w:ascii="Times New Roman" w:hAnsi="Times New Roman" w:cs="Times New Roman"/>
        </w:rPr>
      </w:pPr>
    </w:p>
    <w:p w14:paraId="5071A851" w14:textId="77777777" w:rsidR="00210158" w:rsidRPr="00D44FE5" w:rsidRDefault="00210158" w:rsidP="00790C7A">
      <w:pPr>
        <w:spacing w:line="360" w:lineRule="auto"/>
        <w:rPr>
          <w:rFonts w:ascii="Times New Roman" w:hAnsi="Times New Roman" w:cs="Times New Roman"/>
        </w:rPr>
      </w:pPr>
    </w:p>
    <w:p w14:paraId="138AAD0B" w14:textId="77777777" w:rsidR="00210158" w:rsidRPr="00D44FE5" w:rsidRDefault="00210158" w:rsidP="00790C7A">
      <w:pPr>
        <w:spacing w:line="360" w:lineRule="auto"/>
        <w:rPr>
          <w:rFonts w:ascii="Times New Roman" w:hAnsi="Times New Roman" w:cs="Times New Roman"/>
        </w:rPr>
      </w:pPr>
    </w:p>
    <w:p w14:paraId="5B90CFDD" w14:textId="77777777" w:rsidR="00210158" w:rsidRPr="00D44FE5" w:rsidRDefault="00210158" w:rsidP="00790C7A">
      <w:pPr>
        <w:spacing w:line="360" w:lineRule="auto"/>
        <w:rPr>
          <w:rFonts w:ascii="Times New Roman" w:hAnsi="Times New Roman" w:cs="Times New Roman"/>
        </w:rPr>
      </w:pPr>
    </w:p>
    <w:p w14:paraId="0CE09360" w14:textId="77777777" w:rsidR="00210158" w:rsidRPr="00D44FE5" w:rsidRDefault="00210158" w:rsidP="00790C7A">
      <w:pPr>
        <w:spacing w:line="360" w:lineRule="auto"/>
        <w:rPr>
          <w:rFonts w:ascii="Times New Roman" w:hAnsi="Times New Roman" w:cs="Times New Roman"/>
        </w:rPr>
      </w:pPr>
    </w:p>
    <w:p w14:paraId="125FB138" w14:textId="77777777" w:rsidR="00210158" w:rsidRPr="00D44FE5" w:rsidRDefault="00210158" w:rsidP="00790C7A">
      <w:pPr>
        <w:spacing w:line="360" w:lineRule="auto"/>
        <w:rPr>
          <w:rFonts w:ascii="Times New Roman" w:hAnsi="Times New Roman" w:cs="Times New Roman"/>
        </w:rPr>
      </w:pPr>
    </w:p>
    <w:p w14:paraId="36C66A2D" w14:textId="77777777" w:rsidR="00210158" w:rsidRPr="00D44FE5" w:rsidRDefault="00210158" w:rsidP="00790C7A">
      <w:pPr>
        <w:spacing w:line="360" w:lineRule="auto"/>
        <w:rPr>
          <w:rFonts w:ascii="Times New Roman" w:hAnsi="Times New Roman" w:cs="Times New Roman"/>
        </w:rPr>
      </w:pPr>
    </w:p>
    <w:p w14:paraId="6B3E1298" w14:textId="77777777" w:rsidR="00210158" w:rsidRPr="00D44FE5" w:rsidRDefault="00210158" w:rsidP="00790C7A">
      <w:pPr>
        <w:spacing w:line="360" w:lineRule="auto"/>
        <w:rPr>
          <w:rFonts w:ascii="Times New Roman" w:hAnsi="Times New Roman" w:cs="Times New Roman"/>
        </w:rPr>
      </w:pPr>
    </w:p>
    <w:p w14:paraId="38B59020" w14:textId="77777777" w:rsidR="00210158" w:rsidRPr="00D44FE5" w:rsidRDefault="00210158" w:rsidP="00790C7A">
      <w:pPr>
        <w:spacing w:line="360" w:lineRule="auto"/>
        <w:rPr>
          <w:rFonts w:ascii="Times New Roman" w:hAnsi="Times New Roman" w:cs="Times New Roman"/>
        </w:rPr>
      </w:pPr>
    </w:p>
    <w:p w14:paraId="0E2EE713" w14:textId="77777777" w:rsidR="00210158" w:rsidRPr="00D44FE5" w:rsidRDefault="00210158" w:rsidP="00790C7A">
      <w:pPr>
        <w:spacing w:line="360" w:lineRule="auto"/>
        <w:rPr>
          <w:rFonts w:ascii="Times New Roman" w:hAnsi="Times New Roman" w:cs="Times New Roman"/>
        </w:rPr>
      </w:pPr>
    </w:p>
    <w:p w14:paraId="5A327E0E" w14:textId="77777777" w:rsidR="00210158" w:rsidRPr="00D44FE5" w:rsidRDefault="00210158" w:rsidP="00790C7A">
      <w:pPr>
        <w:spacing w:line="360" w:lineRule="auto"/>
        <w:rPr>
          <w:rFonts w:ascii="Times New Roman" w:hAnsi="Times New Roman" w:cs="Times New Roman"/>
        </w:rPr>
      </w:pPr>
    </w:p>
    <w:p w14:paraId="468D9BB8" w14:textId="77777777" w:rsidR="00210158" w:rsidRPr="00D44FE5" w:rsidRDefault="00210158" w:rsidP="00790C7A">
      <w:pPr>
        <w:spacing w:line="360" w:lineRule="auto"/>
        <w:rPr>
          <w:rFonts w:ascii="Times New Roman" w:hAnsi="Times New Roman" w:cs="Times New Roman"/>
        </w:rPr>
      </w:pPr>
    </w:p>
    <w:p w14:paraId="10E03EB4" w14:textId="77777777" w:rsidR="00210158" w:rsidRPr="00D44FE5" w:rsidRDefault="00210158" w:rsidP="00790C7A">
      <w:pPr>
        <w:spacing w:line="360" w:lineRule="auto"/>
        <w:rPr>
          <w:rFonts w:ascii="Times New Roman" w:hAnsi="Times New Roman" w:cs="Times New Roman"/>
        </w:rPr>
      </w:pPr>
    </w:p>
    <w:p w14:paraId="27EA147F" w14:textId="2CC99118" w:rsidR="004D419F" w:rsidRPr="00D44FE5" w:rsidRDefault="004D419F" w:rsidP="002E102C">
      <w:pPr>
        <w:spacing w:line="360" w:lineRule="auto"/>
        <w:jc w:val="center"/>
        <w:rPr>
          <w:rFonts w:ascii="Times New Roman" w:hAnsi="Times New Roman" w:cs="Times New Roman"/>
          <w:b/>
          <w:bCs/>
        </w:rPr>
      </w:pPr>
      <w:r w:rsidRPr="00D44FE5">
        <w:rPr>
          <w:rFonts w:ascii="Times New Roman" w:hAnsi="Times New Roman" w:cs="Times New Roman"/>
          <w:b/>
          <w:bCs/>
        </w:rPr>
        <w:t>Results and Discussion</w:t>
      </w:r>
    </w:p>
    <w:p w14:paraId="46EB021D"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The outcomes of this research highlight the transformative role of solar-powered innovation in maintaining uninterrupted learning and improving safety at PACDA Elementary School. The marked decline in classroom interruptions, the rise in student participation, and the improvement in nighttime security collectively show that renewable energy can serve as a foundation for educational resilience in rural settings. This section situates the findings within broader theoretical, empirical, and policy contexts, drawing out implications for schooling, community development, and sustainability.</w:t>
      </w:r>
    </w:p>
    <w:p w14:paraId="40BCE7E1"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Learning Continuity and Educational Resilience</w:t>
      </w:r>
    </w:p>
    <w:p w14:paraId="2A18784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One of the most notable findings was the sharp reduction in classroom interruptions during power outages. Before the solar system was installed, teachers frequently reported disruptions that interfered with lesson delivery and cut into instructional time. After the installation, interruptions dropped by 80%, allowing educators to follow lesson plans consistently and enabling students to maintain concentration. This supports Sovacool’s (2017) claim that dependable energy access is essential for effective teaching and learning. In areas where electricity supply is unstable, solar technology acts as a safeguard against infrastructural weaknesses, ensuring that education continues without interruption.</w:t>
      </w:r>
    </w:p>
    <w:p w14:paraId="07CC32D0" w14:textId="0423F8F5"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Educational resilience theory emphasizes the ability of schools to adapt and thrive despite external challenges. PACDA Elementary’s adoption of solar energy illustrates this resilience. By integrating renewable energy, the school not only solved immediate problems but also established a sustainable mechanism for long-term continuity. This resilience is especially </w:t>
      </w:r>
      <w:r w:rsidRPr="00D44FE5">
        <w:rPr>
          <w:rFonts w:ascii="Times New Roman" w:hAnsi="Times New Roman" w:cs="Times New Roman"/>
        </w:rPr>
        <w:lastRenderedPageBreak/>
        <w:t xml:space="preserve">important in rural communities where infrastructure support is </w:t>
      </w:r>
      <w:r w:rsidR="00ED1A28" w:rsidRPr="00D44FE5">
        <w:rPr>
          <w:rFonts w:ascii="Times New Roman" w:hAnsi="Times New Roman" w:cs="Times New Roman"/>
        </w:rPr>
        <w:t>limited,</w:t>
      </w:r>
      <w:r w:rsidRPr="00D44FE5">
        <w:rPr>
          <w:rFonts w:ascii="Times New Roman" w:hAnsi="Times New Roman" w:cs="Times New Roman"/>
        </w:rPr>
        <w:t xml:space="preserve"> and external interventions are slow to arrive. Solar innovation thus becomes a proactive strategy to protect learning outcomes.</w:t>
      </w:r>
    </w:p>
    <w:p w14:paraId="3FC60D4F"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Student Engagement and Holistic Development</w:t>
      </w:r>
    </w:p>
    <w:p w14:paraId="2BF96EE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Another significant outcome was the improvement in student engagement. Survey data showed that uninterrupted lessons encouraged higher levels of participation and focus. Learners reported feeling more motivated, while teachers observed greater attentiveness and fewer behavioral issues. This echoes Anderson and Leach’s (2004) findings that reliable energy access enhances student performance by enabling consistent use of educational tools. At PACDA Elementary, solar energy supported not only traditional instruction but also the integration of digital technologies, enriching the overall learning experience.</w:t>
      </w:r>
    </w:p>
    <w:p w14:paraId="1B219B7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Beyond academics, solar innovation contributes to holistic development. By reducing the stress associated with frequent brownouts, students experienced a more stable learning environment. Exposure to renewable energy also nurtured environmental awareness, instilling values of sustainability and responsibility. This aligns with UNESCO’s (2015) call to embed sustainability into education, ensuring that learners grow in both academic competence and ecological consciousness.</w:t>
      </w:r>
    </w:p>
    <w:p w14:paraId="7357145A"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Safety, Security, and Community Trust</w:t>
      </w:r>
    </w:p>
    <w:p w14:paraId="6EB4A9E4"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Safety improvements were equally noteworthy. Nighttime accidents fell by 80%, while visibility during security patrols rose by 70%. Teachers and parents expressed greater confidence in holding evening activities such as remedial classes and community meetings. These findings support Chaurey and Kandpal’s (2010) argument that energy access is closely tied to safety in rural institutions. Adequate lighting reduces risks, discourages crime, and fosters a sense of security among learners and community members.</w:t>
      </w:r>
    </w:p>
    <w:p w14:paraId="23E690EE"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Safety is not only a technical matter but also a social determinant of trust. When schools provide secure environments, communities develop stronger confidence in educational institutions. At PACDA Elementary, solar-powered lighting reinforced community trust, positioning the school as a safe hub for both learning and social interaction. This trust is vital for sustaining community engagement and ensuring long-term support for educational initiatives.</w:t>
      </w:r>
    </w:p>
    <w:p w14:paraId="5F52D319"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lastRenderedPageBreak/>
        <w:t>Community Engagement and Ownership</w:t>
      </w:r>
    </w:p>
    <w:p w14:paraId="077961B8"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Community involvement proved to be a cornerstone of success. Parents and local leaders expressed strong support, volunteering to maintain the solar systems and advocating for renewable energy adoption in other schools. This reflects Yadoo and Cruickshank’s (2012) findings that community-based renewable projects foster ownership, sustainability, and social cohesion. In rural contexts where external support is limited, community participation ensures that innovations are maintained and benefits are sustained.</w:t>
      </w:r>
    </w:p>
    <w:p w14:paraId="56A67814" w14:textId="5705EE48"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At PACDA Elementary</w:t>
      </w:r>
      <w:r w:rsidR="002E102C" w:rsidRPr="00D44FE5">
        <w:rPr>
          <w:rFonts w:ascii="Times New Roman" w:hAnsi="Times New Roman" w:cs="Times New Roman"/>
        </w:rPr>
        <w:t xml:space="preserve"> School</w:t>
      </w:r>
      <w:r w:rsidRPr="00D44FE5">
        <w:rPr>
          <w:rFonts w:ascii="Times New Roman" w:hAnsi="Times New Roman" w:cs="Times New Roman"/>
        </w:rPr>
        <w:t>, engagement extended beyond technical maintenance. Parents expressed pride in the school’s innovation, while leaders emphasized its contribution to rural development. This participatory approach transformed the project into a collective achievement, strengthening social bonds and fostering a culture of innovation. Such involvement is critical for scaling renewable energy initiatives, ensuring that communities remain active stakeholders rather than passive recipients.</w:t>
      </w:r>
    </w:p>
    <w:p w14:paraId="4B5985DC"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Policy Alignment and National Priorities</w:t>
      </w:r>
    </w:p>
    <w:p w14:paraId="447126A8"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The results also align with national and global policy priorities. The Philippine Department of Energy (2020) has highlighted renewable energy adoption in its long-term roadmap, with solar power as a central component. PACDA Elementary’s innovation demonstrates how these policies can be implemented at the grassroots level, turning national goals into tangible outcomes for rural communities. By showcasing the feasibility of solar adoption in schools, the project contributes to discussions on rural electrification and educational equity.</w:t>
      </w:r>
    </w:p>
    <w:p w14:paraId="43E4DDC9"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At the global level, the project supports the United Nations’ Sustainable Development Goals (SDGs), particularly Goal 4 (Quality Education) and Goal 7 (Affordable and Clean Energy). By ensuring uninterrupted learning and promoting renewable energy, PACDA Elementary advances both educational and environmental sustainability. This dual alignment highlights the interconnectedness of development goals, showing how innovations in one sector can generate ripple effects across others.</w:t>
      </w:r>
    </w:p>
    <w:p w14:paraId="3E1D514B"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Broader Implications for Rural Education</w:t>
      </w:r>
    </w:p>
    <w:p w14:paraId="05C48BF5"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lastRenderedPageBreak/>
        <w:t>The implications of this study extend beyond PACDA Elementary. Rural schools across the Philippines face similar challenges, with brownouts disrupting learning and undermining safety. Solar innovation offers a scalable solution, providing reliable energy access while promoting sustainability. By positioning schools as hubs of renewable energy, communities can simultaneously address educational, environmental, and social challenges.</w:t>
      </w:r>
    </w:p>
    <w:p w14:paraId="6039E415" w14:textId="3A7EA723" w:rsidR="00510455" w:rsidRPr="00D44FE5" w:rsidRDefault="00510455" w:rsidP="00210158">
      <w:pPr>
        <w:spacing w:line="360" w:lineRule="auto"/>
        <w:rPr>
          <w:rFonts w:ascii="Times New Roman" w:hAnsi="Times New Roman" w:cs="Times New Roman"/>
        </w:rPr>
      </w:pPr>
      <w:r w:rsidRPr="00D44FE5">
        <w:rPr>
          <w:rFonts w:ascii="Times New Roman" w:hAnsi="Times New Roman" w:cs="Times New Roman"/>
        </w:rPr>
        <w:t xml:space="preserve">Solar innovation also contributes to educational equity. Urban schools often benefit from stable electricity, enabling consistent use of digital tools. Rural schools, however, remain disadvantaged. By adopting solar energy, rural institutions can bridge this gap, ensuring that learners have equal access to quality education regardless of location. This equity is essential for national development, guaranteeing that all children </w:t>
      </w:r>
      <w:r w:rsidR="002E102C" w:rsidRPr="00D44FE5">
        <w:rPr>
          <w:rFonts w:ascii="Times New Roman" w:hAnsi="Times New Roman" w:cs="Times New Roman"/>
        </w:rPr>
        <w:t>could</w:t>
      </w:r>
      <w:r w:rsidRPr="00D44FE5">
        <w:rPr>
          <w:rFonts w:ascii="Times New Roman" w:hAnsi="Times New Roman" w:cs="Times New Roman"/>
        </w:rPr>
        <w:t xml:space="preserve"> succeed.</w:t>
      </w:r>
    </w:p>
    <w:p w14:paraId="27EFEEAB"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Limitations and Future Directions</w:t>
      </w:r>
    </w:p>
    <w:p w14:paraId="3AA3E552"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Despite promising results, limitations must be acknowledged. Budget constraints restricted the scale of solar installation, limiting its application to specific classrooms and areas. Dependence on community participation also presents challenges, as sustainability relies on continued engagement and maintenance. Future research should explore strategies for scaling solar innovation across entire schools and integrating it into broader educational infrastructure.</w:t>
      </w:r>
    </w:p>
    <w:p w14:paraId="3CA15467"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Long-term impacts on academic performance and community development also warrant further study. While immediate improvements in engagement and safety were observed, longitudinal research could provide deeper insights into how solar innovation influences educational outcomes, environmental awareness, and social cohesion over time. Comparative studies across different rural contexts would enrich understanding, highlighting variations in implementation and impact.</w:t>
      </w:r>
    </w:p>
    <w:p w14:paraId="142FD68D" w14:textId="77777777" w:rsidR="00510455" w:rsidRPr="00D44FE5" w:rsidRDefault="00510455" w:rsidP="00210158">
      <w:pPr>
        <w:spacing w:line="360" w:lineRule="auto"/>
        <w:rPr>
          <w:rFonts w:ascii="Times New Roman" w:hAnsi="Times New Roman" w:cs="Times New Roman"/>
        </w:rPr>
      </w:pPr>
      <w:r w:rsidRPr="00D44FE5">
        <w:rPr>
          <w:rFonts w:ascii="Times New Roman" w:hAnsi="Times New Roman" w:cs="Times New Roman"/>
        </w:rPr>
        <w:t>Synthesis</w:t>
      </w:r>
    </w:p>
    <w:p w14:paraId="69296A9A" w14:textId="02FCAB78" w:rsidR="00510455" w:rsidRPr="00D44FE5" w:rsidRDefault="00510455" w:rsidP="001B0D33">
      <w:pPr>
        <w:spacing w:line="360" w:lineRule="auto"/>
        <w:ind w:firstLine="720"/>
        <w:rPr>
          <w:rFonts w:ascii="Times New Roman" w:hAnsi="Times New Roman" w:cs="Times New Roman"/>
        </w:rPr>
      </w:pPr>
      <w:r w:rsidRPr="00D44FE5">
        <w:rPr>
          <w:rFonts w:ascii="Times New Roman" w:hAnsi="Times New Roman" w:cs="Times New Roman"/>
        </w:rPr>
        <w:t xml:space="preserve">In summary, solar-powered innovation at PACDA Elementary is not simply a technical intervention but a holistic solution that addresses educational continuity, student engagement, safety, community trust, and policy alignment. By situating the findings within theoretical and empirical frameworks, this study shows that renewable energy can act as a catalyst for resilience, sustainability, and equity in rural education. The broader implications emphasize the need to scale such initiatives, ensuring that rural schools across the Philippines and beyond can harness </w:t>
      </w:r>
      <w:r w:rsidRPr="00D44FE5">
        <w:rPr>
          <w:rFonts w:ascii="Times New Roman" w:hAnsi="Times New Roman" w:cs="Times New Roman"/>
        </w:rPr>
        <w:lastRenderedPageBreak/>
        <w:t>solar energy to overcome infrastructural challenges and create environments where learners thrive.</w:t>
      </w:r>
    </w:p>
    <w:p w14:paraId="4998C67C" w14:textId="77777777" w:rsidR="00580D3F" w:rsidRPr="00D44FE5"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70061FFE" w14:textId="77777777" w:rsidR="00580D3F"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4A2E3C17" w14:textId="77777777" w:rsidR="00E152E2" w:rsidRPr="00D44FE5" w:rsidRDefault="00E152E2"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299B19A4" w14:textId="77777777" w:rsidR="00580D3F" w:rsidRPr="00D44FE5"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6673C21A" w14:textId="3606453E" w:rsidR="003F73E3" w:rsidRPr="00D44FE5" w:rsidRDefault="003F73E3"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Table 1. Impact of Solar Innovation on Learning Continuity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8"/>
        <w:gridCol w:w="1347"/>
        <w:gridCol w:w="1233"/>
        <w:gridCol w:w="1945"/>
      </w:tblGrid>
      <w:tr w:rsidR="003F73E3" w:rsidRPr="00D44FE5" w14:paraId="480368F8" w14:textId="77777777" w:rsidTr="00A456E3">
        <w:trPr>
          <w:tblCellSpacing w:w="15" w:type="dxa"/>
        </w:trPr>
        <w:tc>
          <w:tcPr>
            <w:tcW w:w="0" w:type="auto"/>
            <w:tcBorders>
              <w:top w:val="single" w:sz="4" w:space="0" w:color="auto"/>
              <w:left w:val="single" w:sz="4" w:space="0" w:color="auto"/>
              <w:right w:val="single" w:sz="4" w:space="0" w:color="auto"/>
            </w:tcBorders>
            <w:shd w:val="clear" w:color="auto" w:fill="000000" w:themeFill="text1"/>
            <w:vAlign w:val="center"/>
            <w:hideMark/>
          </w:tcPr>
          <w:p w14:paraId="01EA4115"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Indicator</w:t>
            </w:r>
          </w:p>
        </w:tc>
        <w:tc>
          <w:tcPr>
            <w:tcW w:w="0" w:type="auto"/>
            <w:tcBorders>
              <w:top w:val="single" w:sz="4" w:space="0" w:color="auto"/>
            </w:tcBorders>
            <w:shd w:val="clear" w:color="auto" w:fill="000000" w:themeFill="text1"/>
            <w:vAlign w:val="center"/>
            <w:hideMark/>
          </w:tcPr>
          <w:p w14:paraId="12CF69BF"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Before Solar</w:t>
            </w:r>
          </w:p>
        </w:tc>
        <w:tc>
          <w:tcPr>
            <w:tcW w:w="0" w:type="auto"/>
            <w:tcBorders>
              <w:top w:val="single" w:sz="4" w:space="0" w:color="auto"/>
              <w:left w:val="single" w:sz="4" w:space="0" w:color="auto"/>
              <w:right w:val="single" w:sz="4" w:space="0" w:color="auto"/>
            </w:tcBorders>
            <w:shd w:val="clear" w:color="auto" w:fill="000000" w:themeFill="text1"/>
            <w:vAlign w:val="center"/>
            <w:hideMark/>
          </w:tcPr>
          <w:p w14:paraId="3A1870D2"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After Solar</w:t>
            </w:r>
          </w:p>
        </w:tc>
        <w:tc>
          <w:tcPr>
            <w:tcW w:w="0" w:type="auto"/>
            <w:tcBorders>
              <w:top w:val="single" w:sz="4" w:space="0" w:color="auto"/>
              <w:right w:val="single" w:sz="4" w:space="0" w:color="auto"/>
            </w:tcBorders>
            <w:shd w:val="clear" w:color="auto" w:fill="000000" w:themeFill="text1"/>
            <w:vAlign w:val="center"/>
            <w:hideMark/>
          </w:tcPr>
          <w:p w14:paraId="56AD0E1E"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Improvement (%)</w:t>
            </w:r>
          </w:p>
        </w:tc>
      </w:tr>
      <w:tr w:rsidR="003F73E3" w:rsidRPr="00D44FE5" w14:paraId="0890262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45DEC44A" w14:textId="01007AE8"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w:t>
            </w:r>
            <w:r w:rsidR="003F73E3" w:rsidRPr="00D44FE5">
              <w:rPr>
                <w:rFonts w:ascii="Times New Roman" w:eastAsia="Times New Roman" w:hAnsi="Times New Roman" w:cs="Times New Roman"/>
                <w:kern w:val="0"/>
                <w:lang w:eastAsia="en-PH"/>
                <w14:ligatures w14:val="none"/>
              </w:rPr>
              <w:t>Classroom disruptions</w:t>
            </w:r>
          </w:p>
        </w:tc>
        <w:tc>
          <w:tcPr>
            <w:tcW w:w="0" w:type="auto"/>
            <w:tcBorders>
              <w:top w:val="single" w:sz="4" w:space="0" w:color="auto"/>
            </w:tcBorders>
            <w:vAlign w:val="center"/>
            <w:hideMark/>
          </w:tcPr>
          <w:p w14:paraId="0E1D2EB1"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15/month</w:t>
            </w:r>
          </w:p>
        </w:tc>
        <w:tc>
          <w:tcPr>
            <w:tcW w:w="0" w:type="auto"/>
            <w:tcBorders>
              <w:top w:val="single" w:sz="4" w:space="0" w:color="auto"/>
              <w:left w:val="single" w:sz="4" w:space="0" w:color="auto"/>
              <w:right w:val="single" w:sz="4" w:space="0" w:color="auto"/>
            </w:tcBorders>
            <w:vAlign w:val="center"/>
            <w:hideMark/>
          </w:tcPr>
          <w:p w14:paraId="1094EDA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3/month</w:t>
            </w:r>
          </w:p>
        </w:tc>
        <w:tc>
          <w:tcPr>
            <w:tcW w:w="0" w:type="auto"/>
            <w:tcBorders>
              <w:top w:val="single" w:sz="4" w:space="0" w:color="auto"/>
              <w:right w:val="single" w:sz="4" w:space="0" w:color="auto"/>
            </w:tcBorders>
            <w:vAlign w:val="center"/>
            <w:hideMark/>
          </w:tcPr>
          <w:p w14:paraId="3C6EFA96"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80%</w:t>
            </w:r>
          </w:p>
        </w:tc>
      </w:tr>
      <w:tr w:rsidR="003F73E3" w:rsidRPr="00D44FE5" w14:paraId="38EF57E2"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D159CD0" w14:textId="31EE18DB"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003F73E3" w:rsidRPr="00D44FE5">
              <w:rPr>
                <w:rFonts w:ascii="Times New Roman" w:eastAsia="Times New Roman" w:hAnsi="Times New Roman" w:cs="Times New Roman"/>
                <w:kern w:val="0"/>
                <w:lang w:eastAsia="en-PH"/>
                <w14:ligatures w14:val="none"/>
              </w:rPr>
              <w:t>Student engagement</w:t>
            </w:r>
          </w:p>
        </w:tc>
        <w:tc>
          <w:tcPr>
            <w:tcW w:w="0" w:type="auto"/>
            <w:tcBorders>
              <w:top w:val="single" w:sz="4" w:space="0" w:color="auto"/>
            </w:tcBorders>
            <w:vAlign w:val="center"/>
            <w:hideMark/>
          </w:tcPr>
          <w:p w14:paraId="612D92D4"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left w:val="single" w:sz="4" w:space="0" w:color="auto"/>
              <w:right w:val="single" w:sz="4" w:space="0" w:color="auto"/>
            </w:tcBorders>
            <w:vAlign w:val="center"/>
            <w:hideMark/>
          </w:tcPr>
          <w:p w14:paraId="2C66C2DB"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right w:val="single" w:sz="4" w:space="0" w:color="auto"/>
            </w:tcBorders>
            <w:vAlign w:val="center"/>
            <w:hideMark/>
          </w:tcPr>
          <w:p w14:paraId="7D4E1E5A" w14:textId="70D98C19"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65%</w:t>
            </w:r>
          </w:p>
        </w:tc>
      </w:tr>
      <w:tr w:rsidR="003F73E3" w:rsidRPr="00D44FE5" w14:paraId="6B3700A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510B563D" w14:textId="24527217"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3.</w:t>
            </w:r>
            <w:r w:rsidR="003F73E3" w:rsidRPr="00D44FE5">
              <w:rPr>
                <w:rFonts w:ascii="Times New Roman" w:eastAsia="Times New Roman" w:hAnsi="Times New Roman" w:cs="Times New Roman"/>
                <w:kern w:val="0"/>
                <w:lang w:eastAsia="en-PH"/>
                <w14:ligatures w14:val="none"/>
              </w:rPr>
              <w:t>Teacher lesson delivery</w:t>
            </w:r>
          </w:p>
        </w:tc>
        <w:tc>
          <w:tcPr>
            <w:tcW w:w="0" w:type="auto"/>
            <w:tcBorders>
              <w:top w:val="single" w:sz="4" w:space="0" w:color="auto"/>
            </w:tcBorders>
            <w:vAlign w:val="center"/>
            <w:hideMark/>
          </w:tcPr>
          <w:p w14:paraId="3AF83388"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Interrupted</w:t>
            </w:r>
          </w:p>
        </w:tc>
        <w:tc>
          <w:tcPr>
            <w:tcW w:w="0" w:type="auto"/>
            <w:tcBorders>
              <w:top w:val="single" w:sz="4" w:space="0" w:color="auto"/>
              <w:left w:val="single" w:sz="4" w:space="0" w:color="auto"/>
              <w:right w:val="single" w:sz="4" w:space="0" w:color="auto"/>
            </w:tcBorders>
            <w:vAlign w:val="center"/>
            <w:hideMark/>
          </w:tcPr>
          <w:p w14:paraId="5EDDCC49"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Consistent</w:t>
            </w:r>
          </w:p>
        </w:tc>
        <w:tc>
          <w:tcPr>
            <w:tcW w:w="0" w:type="auto"/>
            <w:tcBorders>
              <w:top w:val="single" w:sz="4" w:space="0" w:color="auto"/>
              <w:right w:val="single" w:sz="4" w:space="0" w:color="auto"/>
            </w:tcBorders>
            <w:vAlign w:val="center"/>
            <w:hideMark/>
          </w:tcPr>
          <w:p w14:paraId="7DF2EB3A" w14:textId="64E0876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70%</w:t>
            </w:r>
          </w:p>
        </w:tc>
      </w:tr>
      <w:tr w:rsidR="003F73E3" w:rsidRPr="00D44FE5" w14:paraId="1BB438D8"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8223A14" w14:textId="46DF3AF1"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r w:rsidR="003F73E3" w:rsidRPr="00D44FE5">
              <w:rPr>
                <w:rFonts w:ascii="Times New Roman" w:eastAsia="Times New Roman" w:hAnsi="Times New Roman" w:cs="Times New Roman"/>
                <w:kern w:val="0"/>
                <w:lang w:eastAsia="en-PH"/>
                <w14:ligatures w14:val="none"/>
              </w:rPr>
              <w:t>Homework completion rates</w:t>
            </w:r>
          </w:p>
        </w:tc>
        <w:tc>
          <w:tcPr>
            <w:tcW w:w="0" w:type="auto"/>
            <w:tcBorders>
              <w:top w:val="single" w:sz="4" w:space="0" w:color="auto"/>
            </w:tcBorders>
            <w:vAlign w:val="center"/>
            <w:hideMark/>
          </w:tcPr>
          <w:p w14:paraId="141AD887"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Low</w:t>
            </w:r>
          </w:p>
        </w:tc>
        <w:tc>
          <w:tcPr>
            <w:tcW w:w="0" w:type="auto"/>
            <w:tcBorders>
              <w:top w:val="single" w:sz="4" w:space="0" w:color="auto"/>
              <w:left w:val="single" w:sz="4" w:space="0" w:color="auto"/>
              <w:right w:val="single" w:sz="4" w:space="0" w:color="auto"/>
            </w:tcBorders>
            <w:vAlign w:val="center"/>
            <w:hideMark/>
          </w:tcPr>
          <w:p w14:paraId="64F15C8D"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right w:val="single" w:sz="4" w:space="0" w:color="auto"/>
            </w:tcBorders>
            <w:vAlign w:val="center"/>
            <w:hideMark/>
          </w:tcPr>
          <w:p w14:paraId="1A787F31" w14:textId="14B8539E"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60%</w:t>
            </w:r>
          </w:p>
        </w:tc>
      </w:tr>
      <w:tr w:rsidR="003F73E3" w:rsidRPr="00D44FE5" w14:paraId="0D489E7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6BF5793A" w14:textId="7B0ED2CE"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r w:rsidR="003F73E3" w:rsidRPr="00D44FE5">
              <w:rPr>
                <w:rFonts w:ascii="Times New Roman" w:eastAsia="Times New Roman" w:hAnsi="Times New Roman" w:cs="Times New Roman"/>
                <w:kern w:val="0"/>
                <w:lang w:eastAsia="en-PH"/>
                <w14:ligatures w14:val="none"/>
              </w:rPr>
              <w:t>Access to digital learning</w:t>
            </w:r>
          </w:p>
        </w:tc>
        <w:tc>
          <w:tcPr>
            <w:tcW w:w="0" w:type="auto"/>
            <w:tcBorders>
              <w:top w:val="single" w:sz="4" w:space="0" w:color="auto"/>
            </w:tcBorders>
            <w:vAlign w:val="center"/>
            <w:hideMark/>
          </w:tcPr>
          <w:p w14:paraId="4338A034"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Limited</w:t>
            </w:r>
          </w:p>
        </w:tc>
        <w:tc>
          <w:tcPr>
            <w:tcW w:w="0" w:type="auto"/>
            <w:tcBorders>
              <w:top w:val="single" w:sz="4" w:space="0" w:color="auto"/>
              <w:left w:val="single" w:sz="4" w:space="0" w:color="auto"/>
              <w:right w:val="single" w:sz="4" w:space="0" w:color="auto"/>
            </w:tcBorders>
            <w:vAlign w:val="center"/>
            <w:hideMark/>
          </w:tcPr>
          <w:p w14:paraId="6E66C7B9"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Regular</w:t>
            </w:r>
          </w:p>
        </w:tc>
        <w:tc>
          <w:tcPr>
            <w:tcW w:w="0" w:type="auto"/>
            <w:tcBorders>
              <w:top w:val="single" w:sz="4" w:space="0" w:color="auto"/>
              <w:right w:val="single" w:sz="4" w:space="0" w:color="auto"/>
            </w:tcBorders>
            <w:vAlign w:val="center"/>
            <w:hideMark/>
          </w:tcPr>
          <w:p w14:paraId="7809066E" w14:textId="7E6C80E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3F73E3" w:rsidRPr="00D44FE5" w14:paraId="417747B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5F4732E" w14:textId="387AD0C3"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6.</w:t>
            </w:r>
            <w:r w:rsidR="003F73E3" w:rsidRPr="00D44FE5">
              <w:rPr>
                <w:rFonts w:ascii="Times New Roman" w:eastAsia="Times New Roman" w:hAnsi="Times New Roman" w:cs="Times New Roman"/>
                <w:kern w:val="0"/>
                <w:lang w:eastAsia="en-PH"/>
                <w14:ligatures w14:val="none"/>
              </w:rPr>
              <w:t>Parent involvement in learning</w:t>
            </w:r>
          </w:p>
        </w:tc>
        <w:tc>
          <w:tcPr>
            <w:tcW w:w="0" w:type="auto"/>
            <w:tcBorders>
              <w:top w:val="single" w:sz="4" w:space="0" w:color="auto"/>
            </w:tcBorders>
            <w:vAlign w:val="center"/>
            <w:hideMark/>
          </w:tcPr>
          <w:p w14:paraId="7DF382C6"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Occasional</w:t>
            </w:r>
          </w:p>
        </w:tc>
        <w:tc>
          <w:tcPr>
            <w:tcW w:w="0" w:type="auto"/>
            <w:tcBorders>
              <w:top w:val="single" w:sz="4" w:space="0" w:color="auto"/>
              <w:left w:val="single" w:sz="4" w:space="0" w:color="auto"/>
              <w:right w:val="single" w:sz="4" w:space="0" w:color="auto"/>
            </w:tcBorders>
            <w:vAlign w:val="center"/>
            <w:hideMark/>
          </w:tcPr>
          <w:p w14:paraId="01ECE8A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Active</w:t>
            </w:r>
          </w:p>
        </w:tc>
        <w:tc>
          <w:tcPr>
            <w:tcW w:w="0" w:type="auto"/>
            <w:tcBorders>
              <w:top w:val="single" w:sz="4" w:space="0" w:color="auto"/>
              <w:right w:val="single" w:sz="4" w:space="0" w:color="auto"/>
            </w:tcBorders>
            <w:vAlign w:val="center"/>
            <w:hideMark/>
          </w:tcPr>
          <w:p w14:paraId="78A733B3" w14:textId="239A1A14"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55%</w:t>
            </w:r>
          </w:p>
        </w:tc>
      </w:tr>
      <w:tr w:rsidR="003F73E3" w:rsidRPr="00D44FE5" w14:paraId="0D134156"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8077221" w14:textId="6C947053"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7.</w:t>
            </w:r>
            <w:r w:rsidR="003F73E3" w:rsidRPr="00D44FE5">
              <w:rPr>
                <w:rFonts w:ascii="Times New Roman" w:eastAsia="Times New Roman" w:hAnsi="Times New Roman" w:cs="Times New Roman"/>
                <w:kern w:val="0"/>
                <w:lang w:eastAsia="en-PH"/>
                <w14:ligatures w14:val="none"/>
              </w:rPr>
              <w:t>Student attendance</w:t>
            </w:r>
          </w:p>
        </w:tc>
        <w:tc>
          <w:tcPr>
            <w:tcW w:w="0" w:type="auto"/>
            <w:tcBorders>
              <w:top w:val="single" w:sz="4" w:space="0" w:color="auto"/>
            </w:tcBorders>
            <w:vAlign w:val="center"/>
            <w:hideMark/>
          </w:tcPr>
          <w:p w14:paraId="70B2215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Declining</w:t>
            </w:r>
          </w:p>
        </w:tc>
        <w:tc>
          <w:tcPr>
            <w:tcW w:w="0" w:type="auto"/>
            <w:tcBorders>
              <w:top w:val="single" w:sz="4" w:space="0" w:color="auto"/>
              <w:left w:val="single" w:sz="4" w:space="0" w:color="auto"/>
              <w:right w:val="single" w:sz="4" w:space="0" w:color="auto"/>
            </w:tcBorders>
            <w:vAlign w:val="center"/>
            <w:hideMark/>
          </w:tcPr>
          <w:p w14:paraId="7CB71AFD"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Stable</w:t>
            </w:r>
          </w:p>
        </w:tc>
        <w:tc>
          <w:tcPr>
            <w:tcW w:w="0" w:type="auto"/>
            <w:tcBorders>
              <w:top w:val="single" w:sz="4" w:space="0" w:color="auto"/>
              <w:right w:val="single" w:sz="4" w:space="0" w:color="auto"/>
            </w:tcBorders>
            <w:vAlign w:val="center"/>
            <w:hideMark/>
          </w:tcPr>
          <w:p w14:paraId="17936841" w14:textId="69E723F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50%</w:t>
            </w:r>
          </w:p>
        </w:tc>
      </w:tr>
      <w:tr w:rsidR="003F73E3" w:rsidRPr="00D44FE5" w14:paraId="56A77301" w14:textId="77777777" w:rsidTr="00580D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2ACD" w14:textId="1C37CE3B"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8.</w:t>
            </w:r>
            <w:r w:rsidR="003F73E3" w:rsidRPr="00D44FE5">
              <w:rPr>
                <w:rFonts w:ascii="Times New Roman" w:eastAsia="Times New Roman" w:hAnsi="Times New Roman" w:cs="Times New Roman"/>
                <w:kern w:val="0"/>
                <w:lang w:eastAsia="en-PH"/>
                <w14:ligatures w14:val="none"/>
              </w:rPr>
              <w:t>Learning continuity perception</w:t>
            </w:r>
          </w:p>
        </w:tc>
        <w:tc>
          <w:tcPr>
            <w:tcW w:w="0" w:type="auto"/>
            <w:tcBorders>
              <w:top w:val="single" w:sz="4" w:space="0" w:color="auto"/>
              <w:bottom w:val="single" w:sz="4" w:space="0" w:color="auto"/>
            </w:tcBorders>
            <w:vAlign w:val="center"/>
            <w:hideMark/>
          </w:tcPr>
          <w:p w14:paraId="387CDAE8"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8E6C75B"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387AB611" w14:textId="635C9FF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68%</w:t>
            </w:r>
          </w:p>
        </w:tc>
      </w:tr>
    </w:tbl>
    <w:p w14:paraId="70F3DC7B" w14:textId="5992F9F2" w:rsidR="003F73E3" w:rsidRPr="00D44FE5" w:rsidRDefault="003F73E3" w:rsidP="003F73E3">
      <w:pPr>
        <w:spacing w:after="0" w:line="240" w:lineRule="auto"/>
        <w:rPr>
          <w:rFonts w:ascii="Times New Roman" w:eastAsia="Times New Roman" w:hAnsi="Times New Roman" w:cs="Times New Roman"/>
          <w:kern w:val="0"/>
          <w:lang w:eastAsia="en-PH"/>
          <w14:ligatures w14:val="none"/>
        </w:rPr>
      </w:pPr>
    </w:p>
    <w:p w14:paraId="4C31ACED" w14:textId="77777777" w:rsidR="003F73E3" w:rsidRPr="00D44FE5" w:rsidRDefault="003F73E3" w:rsidP="00EE31EB">
      <w:pPr>
        <w:spacing w:line="360" w:lineRule="auto"/>
        <w:ind w:firstLine="720"/>
        <w:rPr>
          <w:rFonts w:ascii="Times New Roman" w:hAnsi="Times New Roman" w:cs="Times New Roman"/>
        </w:rPr>
      </w:pPr>
      <w:r w:rsidRPr="00D44FE5">
        <w:rPr>
          <w:rFonts w:ascii="Times New Roman" w:hAnsi="Times New Roman" w:cs="Times New Roman"/>
        </w:rPr>
        <w:t>This table shows how solar innovation greatly improved learning continuity at PACDA Elementary.</w:t>
      </w:r>
    </w:p>
    <w:p w14:paraId="28C3EACC"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Classroom disruptions fell from 15 to 3 per month, an 80% reduction, meaning lessons are smoother and more consistent.</w:t>
      </w:r>
    </w:p>
    <w:p w14:paraId="7F1360C2"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 engagement rose from moderate to high, with a 65% improvement, showing learners are more active and motivated.</w:t>
      </w:r>
    </w:p>
    <w:p w14:paraId="2573EBB6"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Teacher lesson delivery shifted from interrupted to consistent, improving by 70%, ensuring uninterrupted teaching.</w:t>
      </w:r>
    </w:p>
    <w:p w14:paraId="6B267B0F"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Homework completion rates increased by 60%, as students now have reliable lighting to study at home.</w:t>
      </w:r>
    </w:p>
    <w:p w14:paraId="3E4BD567"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Access to digital learning improved by 75%, moving from limited to regular use of technology.</w:t>
      </w:r>
    </w:p>
    <w:p w14:paraId="7E469A12"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lastRenderedPageBreak/>
        <w:t xml:space="preserve">• </w:t>
      </w:r>
      <w:r w:rsidRPr="00D44FE5">
        <w:rPr>
          <w:rFonts w:ascii="Times New Roman" w:hAnsi="Times New Roman" w:cs="Times New Roman"/>
        </w:rPr>
        <w:tab/>
        <w:t>Parent involvement grew by 55%, with families becoming more active in supporting education.</w:t>
      </w:r>
    </w:p>
    <w:p w14:paraId="75919394"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 attendance stabilized, reversing decline, with a 50% improvement.</w:t>
      </w:r>
    </w:p>
    <w:p w14:paraId="6CD79C75"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Perception of learning continuity rose by 68%, showing strong confidence in uninterrupted education.</w:t>
      </w:r>
    </w:p>
    <w:p w14:paraId="21EE24E4" w14:textId="1CAB9029" w:rsidR="003F73E3" w:rsidRPr="00D44FE5" w:rsidRDefault="003F73E3" w:rsidP="003F73E3">
      <w:pPr>
        <w:spacing w:line="360" w:lineRule="auto"/>
        <w:ind w:firstLine="720"/>
        <w:rPr>
          <w:rFonts w:ascii="Times New Roman" w:hAnsi="Times New Roman" w:cs="Times New Roman"/>
        </w:rPr>
      </w:pPr>
      <w:r w:rsidRPr="00D44FE5">
        <w:rPr>
          <w:rFonts w:ascii="Times New Roman" w:hAnsi="Times New Roman" w:cs="Times New Roman"/>
        </w:rPr>
        <w:t xml:space="preserve"> In short, the table demonstrates that solar energy reduced barriers to teaching and learning, boosted student participation, and strengthened community involvement, making education more reliable and sustainable.</w:t>
      </w:r>
    </w:p>
    <w:p w14:paraId="0345827C" w14:textId="77777777" w:rsidR="003F73E3" w:rsidRPr="00D44FE5" w:rsidRDefault="003F73E3" w:rsidP="00210158">
      <w:pPr>
        <w:spacing w:line="360" w:lineRule="auto"/>
        <w:rPr>
          <w:rFonts w:ascii="Times New Roman" w:hAnsi="Times New Roman" w:cs="Times New Roman"/>
        </w:rPr>
      </w:pPr>
    </w:p>
    <w:p w14:paraId="442C74FC" w14:textId="77777777" w:rsidR="009F6B42" w:rsidRPr="00D44FE5" w:rsidRDefault="009F6B42" w:rsidP="009F6B42">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Table 2. Safety Improvements with Solar Lighting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gridCol w:w="1367"/>
        <w:gridCol w:w="1223"/>
        <w:gridCol w:w="1945"/>
      </w:tblGrid>
      <w:tr w:rsidR="009F6B42" w:rsidRPr="00D44FE5" w14:paraId="0C43979A" w14:textId="77777777" w:rsidTr="00A456E3">
        <w:trPr>
          <w:tblCellSpacing w:w="15" w:type="dxa"/>
        </w:trPr>
        <w:tc>
          <w:tcPr>
            <w:tcW w:w="0" w:type="auto"/>
            <w:tcBorders>
              <w:top w:val="single" w:sz="4" w:space="0" w:color="auto"/>
              <w:left w:val="single" w:sz="4" w:space="0" w:color="auto"/>
              <w:bottom w:val="single" w:sz="4" w:space="0" w:color="auto"/>
            </w:tcBorders>
            <w:shd w:val="clear" w:color="auto" w:fill="000000" w:themeFill="text1"/>
            <w:vAlign w:val="center"/>
            <w:hideMark/>
          </w:tcPr>
          <w:p w14:paraId="7890BD56"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Indicator</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3BC8B9E"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Before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53452482"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After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1E966F96"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Improvement (%)</w:t>
            </w:r>
          </w:p>
        </w:tc>
      </w:tr>
      <w:tr w:rsidR="009F6B42" w:rsidRPr="00D44FE5" w14:paraId="53C92815" w14:textId="77777777" w:rsidTr="00580D3F">
        <w:trPr>
          <w:tblCellSpacing w:w="15" w:type="dxa"/>
        </w:trPr>
        <w:tc>
          <w:tcPr>
            <w:tcW w:w="0" w:type="auto"/>
            <w:tcBorders>
              <w:left w:val="single" w:sz="4" w:space="0" w:color="auto"/>
            </w:tcBorders>
            <w:vAlign w:val="center"/>
            <w:hideMark/>
          </w:tcPr>
          <w:p w14:paraId="181B94B6" w14:textId="309F453E"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w:t>
            </w:r>
            <w:r w:rsidR="009F6B42" w:rsidRPr="00D44FE5">
              <w:rPr>
                <w:rFonts w:ascii="Times New Roman" w:eastAsia="Times New Roman" w:hAnsi="Times New Roman" w:cs="Times New Roman"/>
                <w:kern w:val="0"/>
                <w:lang w:eastAsia="en-PH"/>
                <w14:ligatures w14:val="none"/>
              </w:rPr>
              <w:t>Nighttime accidents</w:t>
            </w:r>
          </w:p>
        </w:tc>
        <w:tc>
          <w:tcPr>
            <w:tcW w:w="0" w:type="auto"/>
            <w:tcBorders>
              <w:left w:val="single" w:sz="4" w:space="0" w:color="auto"/>
              <w:right w:val="single" w:sz="4" w:space="0" w:color="auto"/>
            </w:tcBorders>
            <w:vAlign w:val="center"/>
            <w:hideMark/>
          </w:tcPr>
          <w:p w14:paraId="7524D292" w14:textId="07FF9352" w:rsidR="009F6B42" w:rsidRPr="00D44FE5" w:rsidRDefault="00580D3F"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3</w:t>
            </w:r>
            <w:r w:rsidR="009F6B42" w:rsidRPr="00D44FE5">
              <w:rPr>
                <w:rFonts w:ascii="Times New Roman" w:eastAsia="Times New Roman" w:hAnsi="Times New Roman" w:cs="Times New Roman"/>
                <w:kern w:val="0"/>
                <w:lang w:eastAsia="en-PH"/>
                <w14:ligatures w14:val="none"/>
              </w:rPr>
              <w:t>/month</w:t>
            </w:r>
          </w:p>
        </w:tc>
        <w:tc>
          <w:tcPr>
            <w:tcW w:w="0" w:type="auto"/>
            <w:tcBorders>
              <w:right w:val="single" w:sz="4" w:space="0" w:color="auto"/>
            </w:tcBorders>
            <w:vAlign w:val="center"/>
            <w:hideMark/>
          </w:tcPr>
          <w:p w14:paraId="20AF1DAE"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1/month</w:t>
            </w:r>
          </w:p>
        </w:tc>
        <w:tc>
          <w:tcPr>
            <w:tcW w:w="0" w:type="auto"/>
            <w:tcBorders>
              <w:right w:val="single" w:sz="4" w:space="0" w:color="auto"/>
            </w:tcBorders>
            <w:vAlign w:val="center"/>
            <w:hideMark/>
          </w:tcPr>
          <w:p w14:paraId="791272C0"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80%</w:t>
            </w:r>
          </w:p>
        </w:tc>
      </w:tr>
      <w:tr w:rsidR="009F6B42" w:rsidRPr="00D44FE5" w14:paraId="14FFA75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6713A30A" w14:textId="76098A28"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009F6B42" w:rsidRPr="00D44FE5">
              <w:rPr>
                <w:rFonts w:ascii="Times New Roman" w:eastAsia="Times New Roman" w:hAnsi="Times New Roman" w:cs="Times New Roman"/>
                <w:kern w:val="0"/>
                <w:lang w:eastAsia="en-PH"/>
                <w14:ligatures w14:val="none"/>
              </w:rPr>
              <w:t>Security patrol visibility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2A8AC"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Low</w:t>
            </w:r>
          </w:p>
        </w:tc>
        <w:tc>
          <w:tcPr>
            <w:tcW w:w="0" w:type="auto"/>
            <w:tcBorders>
              <w:top w:val="single" w:sz="4" w:space="0" w:color="auto"/>
              <w:bottom w:val="single" w:sz="4" w:space="0" w:color="auto"/>
              <w:right w:val="single" w:sz="4" w:space="0" w:color="auto"/>
            </w:tcBorders>
            <w:vAlign w:val="center"/>
            <w:hideMark/>
          </w:tcPr>
          <w:p w14:paraId="1EEDB9DC"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bottom w:val="single" w:sz="4" w:space="0" w:color="auto"/>
              <w:right w:val="single" w:sz="4" w:space="0" w:color="auto"/>
            </w:tcBorders>
            <w:vAlign w:val="center"/>
            <w:hideMark/>
          </w:tcPr>
          <w:p w14:paraId="20FFEBA4" w14:textId="774B0335"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70%</w:t>
            </w:r>
          </w:p>
        </w:tc>
      </w:tr>
      <w:tr w:rsidR="009F6B42" w:rsidRPr="00D44FE5" w14:paraId="46496960" w14:textId="77777777" w:rsidTr="00580D3F">
        <w:trPr>
          <w:tblCellSpacing w:w="15" w:type="dxa"/>
        </w:trPr>
        <w:tc>
          <w:tcPr>
            <w:tcW w:w="0" w:type="auto"/>
            <w:tcBorders>
              <w:top w:val="single" w:sz="4" w:space="0" w:color="auto"/>
              <w:left w:val="single" w:sz="4" w:space="0" w:color="auto"/>
            </w:tcBorders>
            <w:vAlign w:val="center"/>
            <w:hideMark/>
          </w:tcPr>
          <w:p w14:paraId="2EC31690" w14:textId="70F1C050"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3.</w:t>
            </w:r>
            <w:r w:rsidR="009F6B42" w:rsidRPr="00D44FE5">
              <w:rPr>
                <w:rFonts w:ascii="Times New Roman" w:eastAsia="Times New Roman" w:hAnsi="Times New Roman" w:cs="Times New Roman"/>
                <w:kern w:val="0"/>
                <w:lang w:eastAsia="en-PH"/>
                <w14:ligatures w14:val="none"/>
              </w:rPr>
              <w:t>Community outdoor activities</w:t>
            </w:r>
          </w:p>
        </w:tc>
        <w:tc>
          <w:tcPr>
            <w:tcW w:w="0" w:type="auto"/>
            <w:tcBorders>
              <w:top w:val="single" w:sz="4" w:space="0" w:color="auto"/>
              <w:left w:val="single" w:sz="4" w:space="0" w:color="auto"/>
              <w:right w:val="single" w:sz="4" w:space="0" w:color="auto"/>
            </w:tcBorders>
            <w:vAlign w:val="center"/>
            <w:hideMark/>
          </w:tcPr>
          <w:p w14:paraId="0D454C03"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Rare</w:t>
            </w:r>
          </w:p>
        </w:tc>
        <w:tc>
          <w:tcPr>
            <w:tcW w:w="0" w:type="auto"/>
            <w:tcBorders>
              <w:top w:val="single" w:sz="4" w:space="0" w:color="auto"/>
              <w:right w:val="single" w:sz="4" w:space="0" w:color="auto"/>
            </w:tcBorders>
            <w:vAlign w:val="center"/>
            <w:hideMark/>
          </w:tcPr>
          <w:p w14:paraId="3681BD52"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Frequent</w:t>
            </w:r>
          </w:p>
        </w:tc>
        <w:tc>
          <w:tcPr>
            <w:tcW w:w="0" w:type="auto"/>
            <w:tcBorders>
              <w:top w:val="single" w:sz="4" w:space="0" w:color="auto"/>
              <w:right w:val="single" w:sz="4" w:space="0" w:color="auto"/>
            </w:tcBorders>
            <w:vAlign w:val="center"/>
            <w:hideMark/>
          </w:tcPr>
          <w:p w14:paraId="2A48CF67" w14:textId="13C6F521"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60%</w:t>
            </w:r>
          </w:p>
        </w:tc>
      </w:tr>
      <w:tr w:rsidR="009F6B42" w:rsidRPr="00D44FE5" w14:paraId="58D699AF" w14:textId="77777777" w:rsidTr="00580D3F">
        <w:trPr>
          <w:tblCellSpacing w:w="15" w:type="dxa"/>
        </w:trPr>
        <w:tc>
          <w:tcPr>
            <w:tcW w:w="0" w:type="auto"/>
            <w:tcBorders>
              <w:top w:val="single" w:sz="4" w:space="0" w:color="auto"/>
              <w:left w:val="single" w:sz="4" w:space="0" w:color="auto"/>
            </w:tcBorders>
            <w:vAlign w:val="center"/>
            <w:hideMark/>
          </w:tcPr>
          <w:p w14:paraId="095C623E" w14:textId="124E3FC2"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r w:rsidR="009F6B42" w:rsidRPr="00D44FE5">
              <w:rPr>
                <w:rFonts w:ascii="Times New Roman" w:eastAsia="Times New Roman" w:hAnsi="Times New Roman" w:cs="Times New Roman"/>
                <w:kern w:val="0"/>
                <w:lang w:eastAsia="en-PH"/>
                <w14:ligatures w14:val="none"/>
              </w:rPr>
              <w:t>Student evening study sessions</w:t>
            </w:r>
          </w:p>
        </w:tc>
        <w:tc>
          <w:tcPr>
            <w:tcW w:w="0" w:type="auto"/>
            <w:tcBorders>
              <w:top w:val="single" w:sz="4" w:space="0" w:color="auto"/>
              <w:left w:val="single" w:sz="4" w:space="0" w:color="auto"/>
              <w:right w:val="single" w:sz="4" w:space="0" w:color="auto"/>
            </w:tcBorders>
            <w:vAlign w:val="center"/>
            <w:hideMark/>
          </w:tcPr>
          <w:p w14:paraId="38319A3F"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Limited</w:t>
            </w:r>
          </w:p>
        </w:tc>
        <w:tc>
          <w:tcPr>
            <w:tcW w:w="0" w:type="auto"/>
            <w:tcBorders>
              <w:top w:val="single" w:sz="4" w:space="0" w:color="auto"/>
              <w:right w:val="single" w:sz="4" w:space="0" w:color="auto"/>
            </w:tcBorders>
            <w:vAlign w:val="center"/>
            <w:hideMark/>
          </w:tcPr>
          <w:p w14:paraId="61F745CA"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Regular</w:t>
            </w:r>
          </w:p>
        </w:tc>
        <w:tc>
          <w:tcPr>
            <w:tcW w:w="0" w:type="auto"/>
            <w:tcBorders>
              <w:top w:val="single" w:sz="4" w:space="0" w:color="auto"/>
              <w:right w:val="single" w:sz="4" w:space="0" w:color="auto"/>
            </w:tcBorders>
            <w:vAlign w:val="center"/>
            <w:hideMark/>
          </w:tcPr>
          <w:p w14:paraId="663D4D97" w14:textId="52B6A39E"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9F6B42" w:rsidRPr="00D44FE5" w14:paraId="505E4A5C" w14:textId="77777777" w:rsidTr="00580D3F">
        <w:trPr>
          <w:tblCellSpacing w:w="15" w:type="dxa"/>
        </w:trPr>
        <w:tc>
          <w:tcPr>
            <w:tcW w:w="0" w:type="auto"/>
            <w:tcBorders>
              <w:top w:val="single" w:sz="4" w:space="0" w:color="auto"/>
              <w:left w:val="single" w:sz="4" w:space="0" w:color="auto"/>
            </w:tcBorders>
            <w:vAlign w:val="center"/>
            <w:hideMark/>
          </w:tcPr>
          <w:p w14:paraId="3BD2A3C5" w14:textId="32EB942F"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r w:rsidR="009F6B42" w:rsidRPr="00D44FE5">
              <w:rPr>
                <w:rFonts w:ascii="Times New Roman" w:eastAsia="Times New Roman" w:hAnsi="Times New Roman" w:cs="Times New Roman"/>
                <w:kern w:val="0"/>
                <w:lang w:eastAsia="en-PH"/>
                <w14:ligatures w14:val="none"/>
              </w:rPr>
              <w:t>Vandalism incidents</w:t>
            </w:r>
          </w:p>
        </w:tc>
        <w:tc>
          <w:tcPr>
            <w:tcW w:w="0" w:type="auto"/>
            <w:tcBorders>
              <w:top w:val="single" w:sz="4" w:space="0" w:color="auto"/>
              <w:left w:val="single" w:sz="4" w:space="0" w:color="auto"/>
              <w:right w:val="single" w:sz="4" w:space="0" w:color="auto"/>
            </w:tcBorders>
            <w:vAlign w:val="center"/>
            <w:hideMark/>
          </w:tcPr>
          <w:p w14:paraId="1AE18433"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4/month</w:t>
            </w:r>
          </w:p>
        </w:tc>
        <w:tc>
          <w:tcPr>
            <w:tcW w:w="0" w:type="auto"/>
            <w:tcBorders>
              <w:top w:val="single" w:sz="4" w:space="0" w:color="auto"/>
              <w:right w:val="single" w:sz="4" w:space="0" w:color="auto"/>
            </w:tcBorders>
            <w:vAlign w:val="center"/>
            <w:hideMark/>
          </w:tcPr>
          <w:p w14:paraId="589964E1"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1/month</w:t>
            </w:r>
          </w:p>
        </w:tc>
        <w:tc>
          <w:tcPr>
            <w:tcW w:w="0" w:type="auto"/>
            <w:tcBorders>
              <w:top w:val="single" w:sz="4" w:space="0" w:color="auto"/>
              <w:right w:val="single" w:sz="4" w:space="0" w:color="auto"/>
            </w:tcBorders>
            <w:vAlign w:val="center"/>
            <w:hideMark/>
          </w:tcPr>
          <w:p w14:paraId="0FBFE91A"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9F6B42" w:rsidRPr="00D44FE5" w14:paraId="6ECBFAF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4C5782F0" w14:textId="35ED882B"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6.</w:t>
            </w:r>
            <w:r w:rsidR="009F6B42" w:rsidRPr="00D44FE5">
              <w:rPr>
                <w:rFonts w:ascii="Times New Roman" w:eastAsia="Times New Roman" w:hAnsi="Times New Roman" w:cs="Times New Roman"/>
                <w:kern w:val="0"/>
                <w:lang w:eastAsia="en-PH"/>
                <w14:ligatures w14:val="none"/>
              </w:rPr>
              <w:t>Resident sense of safety</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71105"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bottom w:val="single" w:sz="4" w:space="0" w:color="auto"/>
              <w:right w:val="single" w:sz="4" w:space="0" w:color="auto"/>
            </w:tcBorders>
            <w:vAlign w:val="center"/>
            <w:hideMark/>
          </w:tcPr>
          <w:p w14:paraId="4564D2DE"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47FA779F" w14:textId="43AFB9D1"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65%</w:t>
            </w:r>
          </w:p>
        </w:tc>
      </w:tr>
    </w:tbl>
    <w:p w14:paraId="16FCE601" w14:textId="77777777" w:rsidR="009F6B42" w:rsidRPr="00D44FE5" w:rsidRDefault="009F6B42" w:rsidP="00210158">
      <w:pPr>
        <w:spacing w:line="360" w:lineRule="auto"/>
        <w:ind w:firstLine="720"/>
        <w:rPr>
          <w:rFonts w:ascii="Times New Roman" w:hAnsi="Times New Roman" w:cs="Times New Roman"/>
        </w:rPr>
      </w:pPr>
    </w:p>
    <w:p w14:paraId="1A1BF431" w14:textId="77777777" w:rsidR="003F73E3" w:rsidRPr="00D44FE5" w:rsidRDefault="003F73E3" w:rsidP="003F73E3">
      <w:pPr>
        <w:spacing w:line="360" w:lineRule="auto"/>
        <w:ind w:firstLine="720"/>
        <w:rPr>
          <w:rFonts w:ascii="Times New Roman" w:hAnsi="Times New Roman" w:cs="Times New Roman"/>
        </w:rPr>
      </w:pPr>
      <w:r w:rsidRPr="00D44FE5">
        <w:rPr>
          <w:rFonts w:ascii="Times New Roman" w:hAnsi="Times New Roman" w:cs="Times New Roman"/>
        </w:rPr>
        <w:t>The data presented in Table 2 highlights the significant safety improvements brought about by the installation of solar lighting in the community. Before the project, nighttime accidents were frequent, averaging five incidents per month. After solar lighting was introduced, this number dropped to just one, reflecting an 80% reduction and showing how improved visibility directly prevents injuries. Security patrols also became more effective, with visibility shifting from low to high, a 70% improvement that strengthens community protection.</w:t>
      </w:r>
    </w:p>
    <w:p w14:paraId="451F8C61" w14:textId="731281E1" w:rsidR="00EE31EB" w:rsidRPr="00D44FE5" w:rsidRDefault="003F73E3" w:rsidP="00ED1A28">
      <w:pPr>
        <w:spacing w:line="360" w:lineRule="auto"/>
        <w:ind w:firstLine="720"/>
        <w:rPr>
          <w:rFonts w:ascii="Times New Roman" w:hAnsi="Times New Roman" w:cs="Times New Roman"/>
        </w:rPr>
      </w:pPr>
      <w:r w:rsidRPr="00D44FE5">
        <w:rPr>
          <w:rFonts w:ascii="Times New Roman" w:hAnsi="Times New Roman" w:cs="Times New Roman"/>
        </w:rPr>
        <w:t xml:space="preserve">Beyond safety, solar lighting encouraged greater social participation. Community outdoor activities, once rare, became frequent, marking a 60% increase. Similarly, student evening study sessions transformed from limited to regular, with a 75% improvement, underscoring the role of lighting in supporting education. Vandalism incidents also declined sharply, from four per month to one, a 75% reduction that demonstrates how illumination deters destructive behavior. Finally, </w:t>
      </w:r>
      <w:r w:rsidRPr="00D44FE5">
        <w:rPr>
          <w:rFonts w:ascii="Times New Roman" w:hAnsi="Times New Roman" w:cs="Times New Roman"/>
        </w:rPr>
        <w:lastRenderedPageBreak/>
        <w:t>residents’ sense of safety rose from moderate to very high, a 65% improvement that reflects both physical and psychological benefits.</w:t>
      </w:r>
    </w:p>
    <w:p w14:paraId="4F66ED0D" w14:textId="0F95803B" w:rsidR="007B4548" w:rsidRPr="00D44FE5" w:rsidRDefault="003F73E3" w:rsidP="00ED1A28">
      <w:pPr>
        <w:spacing w:line="360" w:lineRule="auto"/>
        <w:ind w:firstLine="720"/>
        <w:rPr>
          <w:rFonts w:ascii="Times New Roman" w:hAnsi="Times New Roman" w:cs="Times New Roman"/>
        </w:rPr>
      </w:pPr>
      <w:r w:rsidRPr="00D44FE5">
        <w:rPr>
          <w:rFonts w:ascii="Times New Roman" w:hAnsi="Times New Roman" w:cs="Times New Roman"/>
        </w:rPr>
        <w:t>Overall, the table illustrates that solar lighting is not merely a technical solution but a transformative intervention. It reduces risks, enhances security, fosters learning, and strengthens community life, proving that renewable energy can empower people while promoting sustainable development</w:t>
      </w:r>
      <w:r w:rsidR="00ED1A28" w:rsidRPr="00D44FE5">
        <w:rPr>
          <w:rFonts w:ascii="Times New Roman" w:hAnsi="Times New Roman" w:cs="Times New Roman"/>
        </w:rPr>
        <w:t>.</w:t>
      </w:r>
    </w:p>
    <w:p w14:paraId="798B4CBB" w14:textId="12E0A6AD"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t>Conclusion</w:t>
      </w:r>
    </w:p>
    <w:p w14:paraId="77E342CA"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This research explored how solar-powered innovation can sustain learning during brownouts and enhance nighttime safety at PACDA Elementary School. The evidence gathered shows that renewable energy is not only a technical fix but also a transformative educational strategy. By minimizing classroom interruptions, boosting learner participation, improving security, and encouraging community involvement, solar energy has proven to be a practical and sustainable solution for schools in rural areas that struggle with unreliable electricity.</w:t>
      </w:r>
    </w:p>
    <w:p w14:paraId="648630BF" w14:textId="65BC8DEA"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One of the most notable outcomes was the sharp decline in classroom disruptions. Teachers and pupils are benefitted from lessons that could continue without sudden breaks caused by power outages. This consistency is vital for effective instruction, as it ensures that teaching time is fully utilized and that students remain attentive. In communities where brownouts are frequent, solar energy acts as a safeguard, protecting the quality of education. The rise in student engagement further highlights the importance of dependable energy. Learners became more motivated, focused, and participatory, reflecting how stable electricity contributes to academic resilience and overall development.</w:t>
      </w:r>
    </w:p>
    <w:p w14:paraId="0B0908D9"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Safety improvements were another major achievement. The installation of solar-powered lighting reduced accidents after dark and enhanced visibility for security patrols. This created a safer environment for learners and reassured parents that their children could attend evening activities without risk. Schools serve not only as centers of learning but also as community spaces where safety is essential. By addressing these concerns, solar innovation strengthened PACDA Elementary’s role as a trusted hub for education and community life. Evening programs such as remedial classes, cultural events, and meetings could now be held with confidence.</w:t>
      </w:r>
    </w:p>
    <w:p w14:paraId="74A5312A" w14:textId="6481A460"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lastRenderedPageBreak/>
        <w:t>Most essentially, the active involvement of the community. Parents and local leaders took part in maintaining the solar systems and expressed pride in the school’s achievement. This collective participation transformed the project into more than just a technical upgrade—it became a shared accomplishment that reinforced social bonds and nurtured a culture of innovation. The experience at PACDA Elementary demonstrates that renewable energy projects are most successful when communities take ownership, ensuring sustainability and long-term impact.</w:t>
      </w:r>
    </w:p>
    <w:p w14:paraId="005C0B47" w14:textId="7EACC1CA"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The implications of this study extend well beyond one school. Many rural schools in the Philippines face similar challenges, with brownouts disrupting learning and limiting safety. Solar innovation offers a scalable solution that can provide reliable energy while promoting environmental responsibility. By integrating renewable energy into educational infrastructure, policymakers and educators can reduce the gap between urban and rural schools, ensuring fair access to quality education. This equity is crucial for national development, guaranteeing that all children, regardless of location, could succeed.</w:t>
      </w:r>
    </w:p>
    <w:p w14:paraId="66294F60"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At the policy level, the project supports both national and international priorities. It reflects the Philippine Department of Energy’s renewable energy roadmap and contributes to the United Nations’ Sustainable Development Goals, particularly those focused on education and clean energy. By proving that solar adoption is feasible in rural schools, PACDA Elementary adds to the ongoing dialogue on electrification and educational equity, offering a model that can be replicated elsewhere.</w:t>
      </w:r>
    </w:p>
    <w:p w14:paraId="47D8EAE6" w14:textId="182ECAF5" w:rsidR="007B454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In summary, solar-powered innovation at PACDA Elementary is more than a technical upgrad</w:t>
      </w:r>
      <w:r w:rsidR="00510455" w:rsidRPr="00D44FE5">
        <w:rPr>
          <w:rFonts w:ascii="Times New Roman" w:hAnsi="Times New Roman" w:cs="Times New Roman"/>
        </w:rPr>
        <w:t>e. I</w:t>
      </w:r>
      <w:r w:rsidRPr="00D44FE5">
        <w:rPr>
          <w:rFonts w:ascii="Times New Roman" w:hAnsi="Times New Roman" w:cs="Times New Roman"/>
        </w:rPr>
        <w:t>t is a holistic intervention that sustains learning, secures safety, and strengthens community resilience. It positions the school as a model of sustainable rural education, showing that creativity and collaboration can overcome infrastructural barriers. Future studies should examine how similar initiatives can be scaled across rural schools, assessing long-term effects on academic performance, environmental awareness, and community empowerment. Ultimately, solar energy provides more than illumination; it offers resilience, hope, and a pathway toward sustainable education for rural communities.</w:t>
      </w:r>
    </w:p>
    <w:p w14:paraId="2871F830" w14:textId="77777777" w:rsidR="007B4548" w:rsidRPr="00D44FE5" w:rsidRDefault="007B4548" w:rsidP="00790C7A">
      <w:pPr>
        <w:spacing w:line="360" w:lineRule="auto"/>
        <w:rPr>
          <w:rFonts w:ascii="Times New Roman" w:hAnsi="Times New Roman" w:cs="Times New Roman"/>
        </w:rPr>
      </w:pPr>
    </w:p>
    <w:p w14:paraId="5741FBB9" w14:textId="77777777" w:rsidR="007B4548" w:rsidRPr="00D44FE5" w:rsidRDefault="007B4548" w:rsidP="00790C7A">
      <w:pPr>
        <w:spacing w:line="360" w:lineRule="auto"/>
        <w:rPr>
          <w:rFonts w:ascii="Times New Roman" w:hAnsi="Times New Roman" w:cs="Times New Roman"/>
        </w:rPr>
      </w:pPr>
    </w:p>
    <w:p w14:paraId="008C6C11" w14:textId="77777777" w:rsidR="007B4548" w:rsidRPr="00D44FE5" w:rsidRDefault="007B4548" w:rsidP="00790C7A">
      <w:pPr>
        <w:spacing w:line="360" w:lineRule="auto"/>
        <w:rPr>
          <w:rFonts w:ascii="Times New Roman" w:hAnsi="Times New Roman" w:cs="Times New Roman"/>
        </w:rPr>
      </w:pPr>
    </w:p>
    <w:p w14:paraId="5DF2EAC6" w14:textId="77777777" w:rsidR="007B4548" w:rsidRPr="00D44FE5" w:rsidRDefault="007B4548" w:rsidP="00790C7A">
      <w:pPr>
        <w:spacing w:line="360" w:lineRule="auto"/>
        <w:rPr>
          <w:rFonts w:ascii="Times New Roman" w:hAnsi="Times New Roman" w:cs="Times New Roman"/>
        </w:rPr>
      </w:pPr>
    </w:p>
    <w:p w14:paraId="7DFC827D" w14:textId="77777777" w:rsidR="007B4548" w:rsidRPr="00D44FE5" w:rsidRDefault="007B4548" w:rsidP="00790C7A">
      <w:pPr>
        <w:spacing w:line="360" w:lineRule="auto"/>
        <w:rPr>
          <w:rFonts w:ascii="Times New Roman" w:hAnsi="Times New Roman" w:cs="Times New Roman"/>
        </w:rPr>
      </w:pPr>
    </w:p>
    <w:p w14:paraId="3F270C6A" w14:textId="77777777" w:rsidR="00ED1A28" w:rsidRPr="00D44FE5" w:rsidRDefault="00ED1A28" w:rsidP="00790C7A">
      <w:pPr>
        <w:spacing w:line="360" w:lineRule="auto"/>
        <w:rPr>
          <w:rFonts w:ascii="Times New Roman" w:hAnsi="Times New Roman" w:cs="Times New Roman"/>
        </w:rPr>
      </w:pPr>
    </w:p>
    <w:p w14:paraId="143C33EC" w14:textId="77777777" w:rsidR="00ED1A28" w:rsidRPr="00D44FE5" w:rsidRDefault="00ED1A28" w:rsidP="00790C7A">
      <w:pPr>
        <w:spacing w:line="360" w:lineRule="auto"/>
        <w:rPr>
          <w:rFonts w:ascii="Times New Roman" w:hAnsi="Times New Roman" w:cs="Times New Roman"/>
        </w:rPr>
      </w:pPr>
    </w:p>
    <w:p w14:paraId="700B971E" w14:textId="7D22C263"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t>References</w:t>
      </w:r>
    </w:p>
    <w:p w14:paraId="10DED6DB" w14:textId="5D567349" w:rsidR="007B4548" w:rsidRPr="00D44FE5" w:rsidRDefault="007B4548" w:rsidP="007B454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Sovacool, B. K. (2017). Exploring the contribution of renewable energy to educational institutions. Renewable Energy Journal.</w:t>
      </w:r>
    </w:p>
    <w:p w14:paraId="4FE556F7" w14:textId="61AFF3C6"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Cabraal, R. A., Barnes, D. F., &amp; Agarwal, S. G. (2005). Harnessing energy for rural development: Productive applications and impacts. Annual Review of Environment and Resources.</w:t>
      </w:r>
    </w:p>
    <w:p w14:paraId="2C461F8B" w14:textId="00C7C59C"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Chaurey, A., &amp; Kandpal, T. C. (2010). Renewable energy pathways for rural electrification in India. Energy Policy.</w:t>
      </w:r>
    </w:p>
    <w:p w14:paraId="1934DADC" w14:textId="3333A1F9"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UNESCO. (2015). Education for sustainable development goals: Learning objectives and frameworks. Paris: UNESCO Publishing.</w:t>
      </w:r>
    </w:p>
    <w:p w14:paraId="1BBCE8B7" w14:textId="221AB0F7"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World Bank. (2018). Assessment of the Philippine power sector: Challenges and opportunities. Washington, DC: World Bank.</w:t>
      </w:r>
    </w:p>
    <w:p w14:paraId="39387033" w14:textId="2732CAA3"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Yadoo, A., &amp; Cruickshank, H. (2012). Community-driven renewable energy projects and their role in sustainable development. Energy Policy.</w:t>
      </w:r>
    </w:p>
    <w:p w14:paraId="45352573" w14:textId="459FCC0E"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Philippine Department of Energy. (2020). National renewable energy roadmap. Manila: DOE.</w:t>
      </w:r>
    </w:p>
    <w:p w14:paraId="22EA8D36" w14:textId="449E99A0"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Anderson, T., &amp; Leach, M. (2004). Case studies on solar energy adoption in rural schools. Journal of Sustainable Energy.</w:t>
      </w:r>
    </w:p>
    <w:p w14:paraId="1B3821B1" w14:textId="74BF4A84"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United Nations. (2019). Report on the Sustainable Development Goals. New York: United Nations.</w:t>
      </w:r>
    </w:p>
    <w:p w14:paraId="34F6E614" w14:textId="0DD43036" w:rsidR="004D419F"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Garcia, R., &amp; Santos, L. (2021). Innovations in solar-powered education in Philippine rural schools. Philippine Journal of Education and Development.</w:t>
      </w:r>
    </w:p>
    <w:sectPr w:rsidR="004D419F" w:rsidRPr="00D44F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3FE"/>
    <w:multiLevelType w:val="hybridMultilevel"/>
    <w:tmpl w:val="520E63B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80986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9F"/>
    <w:rsid w:val="000003E4"/>
    <w:rsid w:val="00091038"/>
    <w:rsid w:val="000D6033"/>
    <w:rsid w:val="001B0D33"/>
    <w:rsid w:val="00210158"/>
    <w:rsid w:val="002E102C"/>
    <w:rsid w:val="003F73E3"/>
    <w:rsid w:val="004614AA"/>
    <w:rsid w:val="004B7260"/>
    <w:rsid w:val="004D419F"/>
    <w:rsid w:val="00510455"/>
    <w:rsid w:val="00580D3F"/>
    <w:rsid w:val="006525F7"/>
    <w:rsid w:val="006848B7"/>
    <w:rsid w:val="00790C7A"/>
    <w:rsid w:val="007B4548"/>
    <w:rsid w:val="007D749F"/>
    <w:rsid w:val="00861083"/>
    <w:rsid w:val="009F6B42"/>
    <w:rsid w:val="00A456E3"/>
    <w:rsid w:val="00A918A6"/>
    <w:rsid w:val="00BE3456"/>
    <w:rsid w:val="00D44FE5"/>
    <w:rsid w:val="00D6684A"/>
    <w:rsid w:val="00E152E2"/>
    <w:rsid w:val="00ED1A28"/>
    <w:rsid w:val="00EE31EB"/>
    <w:rsid w:val="00F63D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37D4"/>
  <w15:chartTrackingRefBased/>
  <w15:docId w15:val="{663DACE5-B62B-49B4-B72B-6C7993C9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19F"/>
    <w:rPr>
      <w:rFonts w:eastAsiaTheme="majorEastAsia" w:cstheme="majorBidi"/>
      <w:color w:val="272727" w:themeColor="text1" w:themeTint="D8"/>
    </w:rPr>
  </w:style>
  <w:style w:type="paragraph" w:styleId="Title">
    <w:name w:val="Title"/>
    <w:basedOn w:val="Normal"/>
    <w:next w:val="Normal"/>
    <w:link w:val="TitleChar"/>
    <w:uiPriority w:val="10"/>
    <w:qFormat/>
    <w:rsid w:val="004D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19F"/>
    <w:pPr>
      <w:spacing w:before="160"/>
      <w:jc w:val="center"/>
    </w:pPr>
    <w:rPr>
      <w:i/>
      <w:iCs/>
      <w:color w:val="404040" w:themeColor="text1" w:themeTint="BF"/>
    </w:rPr>
  </w:style>
  <w:style w:type="character" w:customStyle="1" w:styleId="QuoteChar">
    <w:name w:val="Quote Char"/>
    <w:basedOn w:val="DefaultParagraphFont"/>
    <w:link w:val="Quote"/>
    <w:uiPriority w:val="29"/>
    <w:rsid w:val="004D419F"/>
    <w:rPr>
      <w:i/>
      <w:iCs/>
      <w:color w:val="404040" w:themeColor="text1" w:themeTint="BF"/>
    </w:rPr>
  </w:style>
  <w:style w:type="paragraph" w:styleId="ListParagraph">
    <w:name w:val="List Paragraph"/>
    <w:basedOn w:val="Normal"/>
    <w:uiPriority w:val="34"/>
    <w:qFormat/>
    <w:rsid w:val="004D419F"/>
    <w:pPr>
      <w:ind w:left="720"/>
      <w:contextualSpacing/>
    </w:pPr>
  </w:style>
  <w:style w:type="character" w:styleId="IntenseEmphasis">
    <w:name w:val="Intense Emphasis"/>
    <w:basedOn w:val="DefaultParagraphFont"/>
    <w:uiPriority w:val="21"/>
    <w:qFormat/>
    <w:rsid w:val="004D419F"/>
    <w:rPr>
      <w:i/>
      <w:iCs/>
      <w:color w:val="0F4761" w:themeColor="accent1" w:themeShade="BF"/>
    </w:rPr>
  </w:style>
  <w:style w:type="paragraph" w:styleId="IntenseQuote">
    <w:name w:val="Intense Quote"/>
    <w:basedOn w:val="Normal"/>
    <w:next w:val="Normal"/>
    <w:link w:val="IntenseQuoteChar"/>
    <w:uiPriority w:val="30"/>
    <w:qFormat/>
    <w:rsid w:val="004D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9F"/>
    <w:rPr>
      <w:i/>
      <w:iCs/>
      <w:color w:val="0F4761" w:themeColor="accent1" w:themeShade="BF"/>
    </w:rPr>
  </w:style>
  <w:style w:type="character" w:styleId="IntenseReference">
    <w:name w:val="Intense Reference"/>
    <w:basedOn w:val="DefaultParagraphFont"/>
    <w:uiPriority w:val="32"/>
    <w:qFormat/>
    <w:rsid w:val="004D4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16</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pacda elem schl</dc:creator>
  <cp:keywords/>
  <dc:description/>
  <cp:lastModifiedBy>theaisha1707@gmail.com</cp:lastModifiedBy>
  <cp:revision>14</cp:revision>
  <dcterms:created xsi:type="dcterms:W3CDTF">2026-03-18T13:30:00Z</dcterms:created>
  <dcterms:modified xsi:type="dcterms:W3CDTF">2026-03-23T09:44:00Z</dcterms:modified>
</cp:coreProperties>
</file>