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A42E" w14:textId="77777777" w:rsidR="003D228F" w:rsidRDefault="003D228F" w:rsidP="003D228F">
      <w:pPr>
        <w:pStyle w:val="Title"/>
        <w:spacing w:line="242" w:lineRule="auto"/>
        <w:jc w:val="center"/>
        <w:rPr>
          <w:rFonts w:ascii="Times New Roman" w:hAnsi="Times New Roman" w:cs="Times New Roman"/>
          <w:sz w:val="48"/>
          <w:szCs w:val="48"/>
        </w:rPr>
      </w:pPr>
      <w:r w:rsidRPr="003D228F">
        <w:rPr>
          <w:rFonts w:ascii="Times New Roman" w:hAnsi="Times New Roman" w:cs="Times New Roman"/>
          <w:sz w:val="48"/>
          <w:szCs w:val="48"/>
        </w:rPr>
        <w:t xml:space="preserve">AI Chatbot for Legal Assistance: </w:t>
      </w:r>
    </w:p>
    <w:tbl>
      <w:tblPr>
        <w:tblpPr w:leftFromText="180" w:rightFromText="180" w:vertAnchor="page" w:horzAnchor="margin" w:tblpY="2827"/>
        <w:tblW w:w="3574" w:type="dxa"/>
        <w:tblBorders>
          <w:top w:val="nil"/>
          <w:left w:val="nil"/>
          <w:bottom w:val="nil"/>
          <w:right w:val="nil"/>
          <w:insideH w:val="nil"/>
          <w:insideV w:val="nil"/>
        </w:tblBorders>
        <w:tblLook w:val="04A0" w:firstRow="1" w:lastRow="0" w:firstColumn="1" w:lastColumn="0" w:noHBand="0" w:noVBand="1"/>
      </w:tblPr>
      <w:tblGrid>
        <w:gridCol w:w="3574"/>
      </w:tblGrid>
      <w:tr w:rsidR="00F572C8" w14:paraId="4CDD0CDA" w14:textId="77777777" w:rsidTr="00F572C8">
        <w:trPr>
          <w:trHeight w:val="1484"/>
        </w:trPr>
        <w:tc>
          <w:tcPr>
            <w:tcW w:w="3574" w:type="dxa"/>
          </w:tcPr>
          <w:p w14:paraId="3848687B" w14:textId="77777777" w:rsidR="00F572C8" w:rsidRDefault="00F572C8" w:rsidP="006045C3">
            <w:pPr>
              <w:spacing w:after="0" w:line="240" w:lineRule="auto"/>
              <w:jc w:val="center"/>
            </w:pPr>
          </w:p>
        </w:tc>
      </w:tr>
    </w:tbl>
    <w:p w14:paraId="5742DCB0" w14:textId="77777777" w:rsidR="003D228F" w:rsidRPr="003D228F" w:rsidRDefault="003D228F" w:rsidP="003D228F">
      <w:pPr>
        <w:pStyle w:val="Title"/>
        <w:spacing w:line="242" w:lineRule="auto"/>
        <w:jc w:val="center"/>
        <w:rPr>
          <w:rFonts w:ascii="Times New Roman" w:hAnsi="Times New Roman" w:cs="Times New Roman"/>
          <w:sz w:val="48"/>
          <w:szCs w:val="48"/>
        </w:rPr>
      </w:pPr>
      <w:r w:rsidRPr="003D228F">
        <w:rPr>
          <w:rFonts w:ascii="Times New Roman" w:hAnsi="Times New Roman" w:cs="Times New Roman"/>
          <w:sz w:val="48"/>
          <w:szCs w:val="48"/>
        </w:rPr>
        <w:t>Leveraging Retrieval-Augmented Generation and Transformer Models for the Indian Judiciar</w:t>
      </w:r>
      <w:r w:rsidR="006045C3">
        <w:rPr>
          <w:rFonts w:ascii="Times New Roman" w:hAnsi="Times New Roman" w:cs="Times New Roman"/>
          <w:sz w:val="48"/>
          <w:szCs w:val="48"/>
        </w:rPr>
        <w:t>y</w:t>
      </w:r>
    </w:p>
    <w:p w14:paraId="3B192F71" w14:textId="77777777" w:rsidR="006045C3" w:rsidRDefault="006045C3" w:rsidP="006045C3">
      <w:pPr>
        <w:rPr>
          <w:rFonts w:ascii="Times New Roman" w:hAnsi="Times New Roman" w:cs="Times New Roman"/>
        </w:rPr>
      </w:pPr>
    </w:p>
    <w:p w14:paraId="5305D2D9" w14:textId="60BB575E" w:rsidR="00430AB5" w:rsidRDefault="00430AB5" w:rsidP="006045C3">
      <w:pPr>
        <w:rPr>
          <w:rFonts w:ascii="Times New Roman" w:hAnsi="Times New Roman" w:cs="Times New Roman"/>
        </w:rPr>
      </w:pPr>
    </w:p>
    <w:p w14:paraId="38CCC815" w14:textId="77777777" w:rsidR="002C0857" w:rsidRDefault="002C0857" w:rsidP="006045C3">
      <w:pPr>
        <w:rPr>
          <w:rFonts w:ascii="Times New Roman" w:hAnsi="Times New Roman" w:cs="Times New Roman"/>
        </w:rPr>
        <w:sectPr w:rsidR="002C0857" w:rsidSect="00695617">
          <w:type w:val="continuous"/>
          <w:pgSz w:w="11906" w:h="16838"/>
          <w:pgMar w:top="567" w:right="707" w:bottom="1440" w:left="567" w:header="708" w:footer="708" w:gutter="0"/>
          <w:cols w:space="708"/>
          <w:docGrid w:linePitch="360"/>
        </w:sectPr>
      </w:pPr>
    </w:p>
    <w:p w14:paraId="67A571DF" w14:textId="4AF20B9E"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t>Abstract</w:t>
      </w:r>
      <w:r w:rsidRPr="00505268">
        <w:rPr>
          <w:rFonts w:ascii="Times New Roman" w:hAnsi="Times New Roman" w:cs="Times New Roman"/>
          <w:iCs/>
          <w:sz w:val="20"/>
          <w:szCs w:val="20"/>
        </w:rPr>
        <w:t xml:space="preserve">— In India, massive case backlogs, high consultation costs, and low public legal literacy create a severe justice gap. Navigating the system is practically impossible for the average citizen without expensive representation. To address this, we built an AI legal chatbot designed to provide automated, factually grounded legal information. Because general-purpose large language models (LLMs) struggle with complex legal reasoning and tend to hallucinate, we developed a multi-stage pipeline pairing LLMs with Retrieval-Augmented Generation (RAG). The system relies on document ingestion and vector-based retrieval using FAISS to pull relevant context before generating a response. We also fine-tuned the models on domain-specific Indian legal data, specifically the Indian Penal Code (IPC) and the </w:t>
      </w:r>
      <w:r w:rsidR="00E66A18" w:rsidRPr="00505268">
        <w:rPr>
          <w:rFonts w:ascii="Times New Roman" w:hAnsi="Times New Roman" w:cs="Times New Roman"/>
          <w:iCs/>
          <w:sz w:val="20"/>
          <w:szCs w:val="20"/>
        </w:rPr>
        <w:t>All-India</w:t>
      </w:r>
      <w:r w:rsidRPr="00505268">
        <w:rPr>
          <w:rFonts w:ascii="Times New Roman" w:hAnsi="Times New Roman" w:cs="Times New Roman"/>
          <w:iCs/>
          <w:sz w:val="20"/>
          <w:szCs w:val="20"/>
        </w:rPr>
        <w:t xml:space="preserve"> Bar Examination (AIBE). Our evaluations show this domain-specific RAG approach works. The proposed system scored 60.08% on the AIBE benchmarks, directly outperforming baselines like GPT-3.5 and Mistral-7B on targeted legal reasoning tasks. Finally, we discuss the practical limitations of deploying this architecture. We specifically examine user data privacy, ongoing methods for hallucination mitigation, and the broader ethical concerns of applying generative AI within the judiciary.</w:t>
      </w:r>
    </w:p>
    <w:p w14:paraId="510E681B" w14:textId="77777777"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t>Index Terms</w:t>
      </w:r>
      <w:r w:rsidRPr="00505268">
        <w:rPr>
          <w:rFonts w:ascii="Times New Roman" w:hAnsi="Times New Roman" w:cs="Times New Roman"/>
          <w:iCs/>
          <w:sz w:val="20"/>
          <w:szCs w:val="20"/>
        </w:rPr>
        <w:t>— Artificial Intelligence, Legal Chatbot, Natural Language Processing, Retrieval-Augmented Generation (RAG), Large Language Models (LLM), Indian Penal Code (IPC), AIBE.</w:t>
      </w:r>
    </w:p>
    <w:p w14:paraId="1B481EA8" w14:textId="06EF4946" w:rsidR="002C0857" w:rsidRDefault="008F3A05" w:rsidP="00CD26B8">
      <w:pPr>
        <w:jc w:val="center"/>
        <w:rPr>
          <w:rFonts w:ascii="Times New Roman" w:hAnsi="Times New Roman" w:cs="Times New Roman"/>
          <w:b/>
          <w:bCs/>
          <w:iCs/>
          <w:sz w:val="20"/>
          <w:szCs w:val="20"/>
        </w:rPr>
      </w:pPr>
      <w:r w:rsidRPr="00263D30">
        <w:rPr>
          <w:rFonts w:ascii="Times New Roman" w:hAnsi="Times New Roman" w:cs="Times New Roman"/>
          <w:b/>
          <w:bCs/>
          <w:iCs/>
          <w:sz w:val="20"/>
          <w:szCs w:val="20"/>
        </w:rPr>
        <w:t xml:space="preserve">I. </w:t>
      </w:r>
      <w:r w:rsidR="001B1E62" w:rsidRPr="00263D30">
        <w:rPr>
          <w:rFonts w:ascii="Times New Roman" w:hAnsi="Times New Roman" w:cs="Times New Roman"/>
          <w:b/>
          <w:bCs/>
          <w:iCs/>
          <w:sz w:val="20"/>
          <w:szCs w:val="20"/>
        </w:rPr>
        <w:t>INTRODUCTION</w:t>
      </w:r>
    </w:p>
    <w:p w14:paraId="0F8E87C7" w14:textId="39E7E725" w:rsidR="0099372E" w:rsidRPr="0099372E" w:rsidRDefault="00CE5960" w:rsidP="0099372E">
      <w:pPr>
        <w:ind w:left="142"/>
        <w:jc w:val="both"/>
        <w:rPr>
          <w:rFonts w:ascii="Times New Roman" w:hAnsi="Times New Roman" w:cs="Times New Roman"/>
          <w:b/>
          <w:bCs/>
          <w:iCs/>
          <w:sz w:val="20"/>
          <w:szCs w:val="20"/>
        </w:rPr>
      </w:pPr>
      <w:r w:rsidRPr="00CE5960">
        <w:rPr>
          <w:rFonts w:ascii="Times New Roman" w:hAnsi="Times New Roman" w:cs="Times New Roman"/>
          <w:iCs/>
          <w:sz w:val="20"/>
          <w:szCs w:val="20"/>
        </w:rPr>
        <w:t xml:space="preserve">The Indian legal system is currently dealing with a backlog of over 40 million pending cases. This volume alone creates a massive bottleneck. However, the problem goes beyond just court delays. Professional legal services are prohibitively expensive, and basic legal literacy remains low among the general public. These factors combine to create a severe justice gap. People from marginalized backgrounds or rural areas are disproportionately affected. For these individuals, getting timely and affordable advice on everyday legal issues—such as property disputes, </w:t>
      </w:r>
      <w:r w:rsidR="007E52F9" w:rsidRPr="00CE5960">
        <w:rPr>
          <w:rFonts w:ascii="Times New Roman" w:hAnsi="Times New Roman" w:cs="Times New Roman"/>
          <w:iCs/>
          <w:sz w:val="20"/>
          <w:szCs w:val="20"/>
        </w:rPr>
        <w:t>labour</w:t>
      </w:r>
      <w:r w:rsidR="0099372E">
        <w:rPr>
          <w:rFonts w:ascii="Times New Roman" w:hAnsi="Times New Roman" w:cs="Times New Roman"/>
          <w:iCs/>
          <w:sz w:val="20"/>
          <w:szCs w:val="20"/>
        </w:rPr>
        <w:t xml:space="preserve"> </w:t>
      </w:r>
      <w:r w:rsidRPr="00CE5960">
        <w:rPr>
          <w:rFonts w:ascii="Times New Roman" w:hAnsi="Times New Roman" w:cs="Times New Roman"/>
          <w:iCs/>
          <w:sz w:val="20"/>
          <w:szCs w:val="20"/>
        </w:rPr>
        <w:t>rights, or basic statutory interpretation—is practically impossible.</w:t>
      </w:r>
      <w:r w:rsidR="0099372E">
        <w:rPr>
          <w:rFonts w:ascii="Times New Roman" w:hAnsi="Times New Roman" w:cs="Times New Roman"/>
          <w:b/>
          <w:bCs/>
          <w:iCs/>
          <w:sz w:val="20"/>
          <w:szCs w:val="20"/>
        </w:rPr>
        <w:t xml:space="preserve"> </w:t>
      </w:r>
      <w:r w:rsidR="0099372E" w:rsidRPr="0099372E">
        <w:rPr>
          <w:rFonts w:ascii="Times New Roman" w:hAnsi="Times New Roman" w:cs="Times New Roman"/>
          <w:iCs/>
          <w:sz w:val="20"/>
          <w:szCs w:val="20"/>
        </w:rPr>
        <w:t xml:space="preserve">AI and natural language processing offer a practical way to address these bottlenecks. While large language models (LLMs) are clearly capable of parsing and simplifying complex text, using them directly for legal advice introduces significant risk. Legal applications demand strict factual accuracy. Off-the-shelf </w:t>
      </w:r>
      <w:r w:rsidR="0099372E" w:rsidRPr="0099372E">
        <w:rPr>
          <w:rFonts w:ascii="Times New Roman" w:hAnsi="Times New Roman" w:cs="Times New Roman"/>
          <w:iCs/>
          <w:sz w:val="20"/>
          <w:szCs w:val="20"/>
        </w:rPr>
        <w:t>generative models frequently hallucinate, producing text that looks legally valid but is entirely fabricated. In a legal context, relying on these fabrications can be disastrous.</w:t>
      </w:r>
    </w:p>
    <w:p w14:paraId="69FBA572" w14:textId="2E8C6C8D" w:rsidR="0099372E" w:rsidRDefault="0099372E" w:rsidP="0099372E">
      <w:pPr>
        <w:ind w:left="142"/>
        <w:jc w:val="both"/>
        <w:rPr>
          <w:rFonts w:ascii="Times New Roman" w:hAnsi="Times New Roman" w:cs="Times New Roman"/>
          <w:iCs/>
          <w:sz w:val="20"/>
          <w:szCs w:val="20"/>
        </w:rPr>
      </w:pPr>
      <w:r w:rsidRPr="0099372E">
        <w:rPr>
          <w:rFonts w:ascii="Times New Roman" w:hAnsi="Times New Roman" w:cs="Times New Roman"/>
          <w:iCs/>
          <w:sz w:val="20"/>
          <w:szCs w:val="20"/>
        </w:rPr>
        <w:t xml:space="preserve">To get around this problem, we built an AI legal assistant using a Retrieval-Augmented Generation (RAG) architecture. RAG systems do not just rely on their pre-trained weights. Instead, our pipeline queries a verified database of legal texts—such as statutes, judgments, and FAQs—before generating a response. This forces the model to ground its outputs in actual, authorized documentation. For this study, we focused heavily on the Indian legal framework. We used the Indian Penal Code (IPC) and the </w:t>
      </w:r>
      <w:r w:rsidR="007E52F9" w:rsidRPr="0099372E">
        <w:rPr>
          <w:rFonts w:ascii="Times New Roman" w:hAnsi="Times New Roman" w:cs="Times New Roman"/>
          <w:iCs/>
          <w:sz w:val="20"/>
          <w:szCs w:val="20"/>
        </w:rPr>
        <w:t>All-India</w:t>
      </w:r>
      <w:r w:rsidRPr="0099372E">
        <w:rPr>
          <w:rFonts w:ascii="Times New Roman" w:hAnsi="Times New Roman" w:cs="Times New Roman"/>
          <w:iCs/>
          <w:sz w:val="20"/>
          <w:szCs w:val="20"/>
        </w:rPr>
        <w:t xml:space="preserve"> Bar Examination (AIBE) datasets to fine-tune the models and evaluate their performance.</w:t>
      </w:r>
    </w:p>
    <w:p w14:paraId="4C7DB784" w14:textId="77777777" w:rsidR="007A6C3B" w:rsidRPr="007A6C3B" w:rsidRDefault="007A6C3B" w:rsidP="007A6C3B">
      <w:pPr>
        <w:ind w:left="142"/>
        <w:jc w:val="both"/>
        <w:rPr>
          <w:rFonts w:ascii="Times New Roman" w:hAnsi="Times New Roman" w:cs="Times New Roman"/>
          <w:iCs/>
          <w:sz w:val="20"/>
          <w:szCs w:val="20"/>
        </w:rPr>
      </w:pPr>
      <w:r w:rsidRPr="007A6C3B">
        <w:rPr>
          <w:rFonts w:ascii="Times New Roman" w:hAnsi="Times New Roman" w:cs="Times New Roman"/>
          <w:iCs/>
          <w:sz w:val="20"/>
          <w:szCs w:val="20"/>
        </w:rPr>
        <w:t>The main contributions of this study are as follows:</w:t>
      </w:r>
    </w:p>
    <w:p w14:paraId="0DF61441"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Architectural Design:</w:t>
      </w:r>
      <w:r w:rsidRPr="007A6C3B">
        <w:rPr>
          <w:rFonts w:ascii="Times New Roman" w:hAnsi="Times New Roman" w:cs="Times New Roman"/>
          <w:iCs/>
          <w:sz w:val="20"/>
          <w:szCs w:val="20"/>
        </w:rPr>
        <w:t xml:space="preserve"> We propose a multi-stage retrieval-augmented generation (RAG) pipeline specifically for Indian legal assistance. The system integrates dense retrieval with context-sensitive generation to improve information relevance.</w:t>
      </w:r>
    </w:p>
    <w:p w14:paraId="3473B82A"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Domain Adaptation:</w:t>
      </w:r>
      <w:r w:rsidRPr="007A6C3B">
        <w:rPr>
          <w:rFonts w:ascii="Times New Roman" w:hAnsi="Times New Roman" w:cs="Times New Roman"/>
          <w:iCs/>
          <w:sz w:val="20"/>
          <w:szCs w:val="20"/>
        </w:rPr>
        <w:t xml:space="preserve"> We evaluate Parameter-Efficient Fine-Tuning (PEFT) using LoRA on legal corpora, including AIBE and IPC datasets, showing that task-specific adaptation improves model performance without extensive computational cost.</w:t>
      </w:r>
    </w:p>
    <w:p w14:paraId="566CDFB9"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Comparative Analysis:</w:t>
      </w:r>
      <w:r w:rsidRPr="007A6C3B">
        <w:rPr>
          <w:rFonts w:ascii="Times New Roman" w:hAnsi="Times New Roman" w:cs="Times New Roman"/>
          <w:iCs/>
          <w:sz w:val="20"/>
          <w:szCs w:val="20"/>
        </w:rPr>
        <w:t xml:space="preserve"> We conduct a detailed comparison of leading large language models, including Mistral, Llama, and GPT, in the context of legal reasoning. The results highlight differences in reasoning accuracy and domain alignment.</w:t>
      </w:r>
    </w:p>
    <w:p w14:paraId="29CFAC74"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Ethical Framework:</w:t>
      </w:r>
      <w:r w:rsidRPr="007A6C3B">
        <w:rPr>
          <w:rFonts w:ascii="Times New Roman" w:hAnsi="Times New Roman" w:cs="Times New Roman"/>
          <w:iCs/>
          <w:sz w:val="20"/>
          <w:szCs w:val="20"/>
        </w:rPr>
        <w:t xml:space="preserve"> We address privacy concerns, data sovereignty, and potential algorithmic bias in judicial applications, outlining strategies for mitigation and responsible deployment.</w:t>
      </w:r>
    </w:p>
    <w:p w14:paraId="68921D76" w14:textId="008F4DA1" w:rsidR="00067BF3" w:rsidRDefault="007A6C3B" w:rsidP="00384B45">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Multilingual Integration:</w:t>
      </w:r>
      <w:r w:rsidRPr="007A6C3B">
        <w:rPr>
          <w:rFonts w:ascii="Times New Roman" w:hAnsi="Times New Roman" w:cs="Times New Roman"/>
          <w:iCs/>
          <w:sz w:val="20"/>
          <w:szCs w:val="20"/>
        </w:rPr>
        <w:t xml:space="preserve"> We explore support for regional Indian languages to increase accessibility, acknowledging that this is an initial step toward broader inclusion.</w:t>
      </w:r>
    </w:p>
    <w:p w14:paraId="20859748" w14:textId="1F134894" w:rsidR="00384B45" w:rsidRDefault="001F7F1D" w:rsidP="00572886">
      <w:pPr>
        <w:jc w:val="center"/>
        <w:rPr>
          <w:rFonts w:ascii="Times New Roman" w:hAnsi="Times New Roman" w:cs="Times New Roman"/>
          <w:b/>
          <w:bCs/>
          <w:iCs/>
          <w:sz w:val="20"/>
          <w:szCs w:val="20"/>
        </w:rPr>
      </w:pPr>
      <w:r w:rsidRPr="00572886">
        <w:rPr>
          <w:rFonts w:ascii="Times New Roman" w:hAnsi="Times New Roman" w:cs="Times New Roman"/>
          <w:b/>
          <w:bCs/>
          <w:iCs/>
          <w:sz w:val="20"/>
          <w:szCs w:val="20"/>
        </w:rPr>
        <w:t xml:space="preserve">II. </w:t>
      </w:r>
      <w:r w:rsidR="00572886" w:rsidRPr="00572886">
        <w:rPr>
          <w:rFonts w:ascii="Times New Roman" w:hAnsi="Times New Roman" w:cs="Times New Roman"/>
          <w:b/>
          <w:bCs/>
          <w:iCs/>
          <w:sz w:val="20"/>
          <w:szCs w:val="20"/>
        </w:rPr>
        <w:t>RELATED WORK</w:t>
      </w:r>
    </w:p>
    <w:p w14:paraId="709564B0" w14:textId="09FAF902" w:rsidR="00572886" w:rsidRDefault="00572886" w:rsidP="00572886">
      <w:pPr>
        <w:ind w:left="142"/>
        <w:jc w:val="both"/>
        <w:rPr>
          <w:rFonts w:ascii="Times New Roman" w:hAnsi="Times New Roman" w:cs="Times New Roman"/>
          <w:iCs/>
          <w:sz w:val="20"/>
          <w:szCs w:val="20"/>
        </w:rPr>
      </w:pPr>
      <w:r w:rsidRPr="00572886">
        <w:rPr>
          <w:rFonts w:ascii="Times New Roman" w:hAnsi="Times New Roman" w:cs="Times New Roman"/>
          <w:iCs/>
          <w:sz w:val="20"/>
          <w:szCs w:val="20"/>
        </w:rPr>
        <w:t>Legal AI has moved from early rule-based expert systems to modern transformer-based approaches. This section summarizes recent progress in legal NLP, retrieval-augmented generation (RAG), and domain-specific benchmarks.</w:t>
      </w:r>
    </w:p>
    <w:p w14:paraId="59BD317C" w14:textId="54E43EEF" w:rsidR="0081737B" w:rsidRDefault="0081737B" w:rsidP="00572886">
      <w:pPr>
        <w:ind w:left="142"/>
        <w:jc w:val="both"/>
        <w:rPr>
          <w:rFonts w:ascii="Times New Roman" w:hAnsi="Times New Roman" w:cs="Times New Roman"/>
          <w:b/>
          <w:bCs/>
          <w:iCs/>
          <w:sz w:val="20"/>
          <w:szCs w:val="20"/>
        </w:rPr>
      </w:pPr>
      <w:r w:rsidRPr="008C2F9D">
        <w:rPr>
          <w:rFonts w:ascii="Times New Roman" w:hAnsi="Times New Roman" w:cs="Times New Roman"/>
          <w:b/>
          <w:bCs/>
          <w:iCs/>
          <w:sz w:val="20"/>
          <w:szCs w:val="20"/>
        </w:rPr>
        <w:lastRenderedPageBreak/>
        <w:t>A. Transformer Models and Legal NLP</w:t>
      </w:r>
    </w:p>
    <w:p w14:paraId="2F67589E" w14:textId="77777777" w:rsidR="008F096A" w:rsidRPr="008F096A" w:rsidRDefault="008F096A" w:rsidP="008F096A">
      <w:pPr>
        <w:ind w:left="142"/>
        <w:jc w:val="both"/>
        <w:rPr>
          <w:rFonts w:ascii="Times New Roman" w:hAnsi="Times New Roman" w:cs="Times New Roman"/>
          <w:iCs/>
          <w:sz w:val="20"/>
          <w:szCs w:val="20"/>
        </w:rPr>
      </w:pPr>
      <w:r w:rsidRPr="008F096A">
        <w:rPr>
          <w:rFonts w:ascii="Times New Roman" w:hAnsi="Times New Roman" w:cs="Times New Roman"/>
          <w:iCs/>
          <w:sz w:val="20"/>
          <w:szCs w:val="20"/>
        </w:rPr>
        <w:t>Transformer architectures have changed NLP by allowing models to capture long-range dependencies and complex semantic patterns. In legal applications, pre-trained transformers are usually fine-tuned to understand specialized terminology and the nuances of “legalese.” For example, Gupta et al. [1] proposed “Legal Assist AI,” a system based on transformers fine-tuned on Indian legal datasets. Their results show that adapting models to domain-specific data is crucial for tasks like statutory interpretation. Pushpa et al. [2] extended this work by using specialized legal encoders to improve the retrieval of relevant precedents from large judicial databases. Their experiments indicate that encoding legal context explicitly can boost retrieval accuracy.</w:t>
      </w:r>
    </w:p>
    <w:p w14:paraId="13A9C91B" w14:textId="1236DBA2" w:rsidR="008F096A" w:rsidRDefault="005934E5" w:rsidP="00572886">
      <w:pPr>
        <w:ind w:left="142"/>
        <w:jc w:val="both"/>
        <w:rPr>
          <w:rFonts w:ascii="Times New Roman" w:hAnsi="Times New Roman" w:cs="Times New Roman"/>
          <w:b/>
          <w:bCs/>
          <w:iCs/>
          <w:sz w:val="20"/>
          <w:szCs w:val="20"/>
        </w:rPr>
      </w:pPr>
      <w:r w:rsidRPr="005934E5">
        <w:rPr>
          <w:rFonts w:ascii="Times New Roman" w:hAnsi="Times New Roman" w:cs="Times New Roman"/>
          <w:b/>
          <w:bCs/>
          <w:iCs/>
          <w:sz w:val="20"/>
          <w:szCs w:val="20"/>
        </w:rPr>
        <w:t>B. Retrieval-Augmented Generation (RAG)</w:t>
      </w:r>
    </w:p>
    <w:p w14:paraId="2335FCF5" w14:textId="1EDE4972" w:rsidR="005934E5" w:rsidRDefault="00693EE3" w:rsidP="00572886">
      <w:pPr>
        <w:ind w:left="142"/>
        <w:jc w:val="both"/>
        <w:rPr>
          <w:rFonts w:ascii="Times New Roman" w:hAnsi="Times New Roman" w:cs="Times New Roman"/>
          <w:iCs/>
          <w:sz w:val="20"/>
          <w:szCs w:val="20"/>
        </w:rPr>
      </w:pPr>
      <w:r w:rsidRPr="00693EE3">
        <w:rPr>
          <w:rFonts w:ascii="Times New Roman" w:hAnsi="Times New Roman" w:cs="Times New Roman"/>
          <w:iCs/>
          <w:sz w:val="20"/>
          <w:szCs w:val="20"/>
        </w:rPr>
        <w:t>Combining retrieval mechanisms with generative models, known as retrieval-augmented generation (RAG), has become an important approach for improving factual accuracy. Panchal et al. [3] proposed “</w:t>
      </w:r>
      <w:r w:rsidR="0017641D" w:rsidRPr="00693EE3">
        <w:rPr>
          <w:rFonts w:ascii="Times New Roman" w:hAnsi="Times New Roman" w:cs="Times New Roman"/>
          <w:iCs/>
          <w:sz w:val="20"/>
          <w:szCs w:val="20"/>
        </w:rPr>
        <w:t>Law Pal</w:t>
      </w:r>
      <w:r w:rsidRPr="00693EE3">
        <w:rPr>
          <w:rFonts w:ascii="Times New Roman" w:hAnsi="Times New Roman" w:cs="Times New Roman"/>
          <w:iCs/>
          <w:sz w:val="20"/>
          <w:szCs w:val="20"/>
        </w:rPr>
        <w:t>,” a system aimed at increasing legal accessibility in India using a RAG pipeline. Their work shows that grounding language models in verified statutes can significantly reduce hallucinations. More recently, Li et al. [4] introduced “</w:t>
      </w:r>
      <w:r w:rsidR="0017641D" w:rsidRPr="00693EE3">
        <w:rPr>
          <w:rFonts w:ascii="Times New Roman" w:hAnsi="Times New Roman" w:cs="Times New Roman"/>
          <w:iCs/>
          <w:sz w:val="20"/>
          <w:szCs w:val="20"/>
        </w:rPr>
        <w:t>Lex RAG</w:t>
      </w:r>
      <w:r w:rsidRPr="00693EE3">
        <w:rPr>
          <w:rFonts w:ascii="Times New Roman" w:hAnsi="Times New Roman" w:cs="Times New Roman"/>
          <w:iCs/>
          <w:sz w:val="20"/>
          <w:szCs w:val="20"/>
        </w:rPr>
        <w:t>,” a benchmark for multi-turn legal consultations. Their results indicate that the accuracy of the retrieval step is still a major bottleneck in building reliable conversational legal systems.</w:t>
      </w:r>
    </w:p>
    <w:p w14:paraId="1F02F08A" w14:textId="10E805A7" w:rsidR="00693EE3" w:rsidRDefault="007658A0" w:rsidP="00572886">
      <w:pPr>
        <w:ind w:left="142"/>
        <w:jc w:val="both"/>
        <w:rPr>
          <w:rFonts w:ascii="Times New Roman" w:hAnsi="Times New Roman" w:cs="Times New Roman"/>
          <w:iCs/>
          <w:sz w:val="20"/>
          <w:szCs w:val="20"/>
        </w:rPr>
      </w:pPr>
      <w:r w:rsidRPr="007658A0">
        <w:rPr>
          <w:rFonts w:ascii="Times New Roman" w:hAnsi="Times New Roman" w:cs="Times New Roman"/>
          <w:b/>
          <w:bCs/>
          <w:iCs/>
          <w:sz w:val="20"/>
          <w:szCs w:val="20"/>
        </w:rPr>
        <w:t>C. India-Specific Legal AI Research</w:t>
      </w:r>
    </w:p>
    <w:p w14:paraId="6568EBC7" w14:textId="16206D1A" w:rsidR="007658A0" w:rsidRDefault="00072F81" w:rsidP="00572886">
      <w:pPr>
        <w:ind w:left="142"/>
        <w:jc w:val="both"/>
        <w:rPr>
          <w:rFonts w:ascii="Times New Roman" w:hAnsi="Times New Roman" w:cs="Times New Roman"/>
          <w:iCs/>
          <w:sz w:val="20"/>
          <w:szCs w:val="20"/>
        </w:rPr>
      </w:pPr>
      <w:r w:rsidRPr="00072F81">
        <w:rPr>
          <w:rFonts w:ascii="Times New Roman" w:hAnsi="Times New Roman" w:cs="Times New Roman"/>
          <w:iCs/>
          <w:sz w:val="20"/>
          <w:szCs w:val="20"/>
        </w:rPr>
        <w:t>Some studies have focused on the Indian Penal Code (IPC) and other local laws. Dutta et al. [5] developed an AI assistant for the IPC that links user queries to specific articles using a combination of keyword matching and semantic search. Shaikh et al. [6] proposed “Chat Kanoon,” a system that combines intent detection with RAG to generate more structured responses for legal assistance in India. These works highlight the importance of adapting AI methods to the specific requirements and language of Indian statutes.</w:t>
      </w:r>
    </w:p>
    <w:p w14:paraId="01EB6F41" w14:textId="62006422" w:rsidR="004E046F" w:rsidRDefault="004E046F" w:rsidP="00572886">
      <w:pPr>
        <w:ind w:left="142"/>
        <w:jc w:val="both"/>
        <w:rPr>
          <w:rFonts w:ascii="Times New Roman" w:hAnsi="Times New Roman" w:cs="Times New Roman"/>
          <w:b/>
          <w:bCs/>
          <w:iCs/>
          <w:sz w:val="20"/>
          <w:szCs w:val="20"/>
        </w:rPr>
      </w:pPr>
      <w:r w:rsidRPr="004E046F">
        <w:rPr>
          <w:rFonts w:ascii="Times New Roman" w:hAnsi="Times New Roman" w:cs="Times New Roman"/>
          <w:b/>
          <w:bCs/>
          <w:iCs/>
          <w:sz w:val="20"/>
          <w:szCs w:val="20"/>
        </w:rPr>
        <w:t>D. Benchmarking and Evaluation</w:t>
      </w:r>
    </w:p>
    <w:p w14:paraId="221C6856" w14:textId="6EBC4ADD" w:rsidR="004E046F" w:rsidRDefault="005314A9" w:rsidP="00572886">
      <w:pPr>
        <w:ind w:left="142"/>
        <w:jc w:val="both"/>
        <w:rPr>
          <w:rFonts w:ascii="Times New Roman" w:hAnsi="Times New Roman" w:cs="Times New Roman"/>
          <w:iCs/>
          <w:sz w:val="20"/>
          <w:szCs w:val="20"/>
        </w:rPr>
      </w:pPr>
      <w:r w:rsidRPr="005314A9">
        <w:rPr>
          <w:rFonts w:ascii="Times New Roman" w:hAnsi="Times New Roman" w:cs="Times New Roman"/>
          <w:iCs/>
          <w:sz w:val="20"/>
          <w:szCs w:val="20"/>
        </w:rPr>
        <w:t>Evaluating legal AI systems remains challenging. Common NLP metrics, such as ROUGE or BLEU, do not fully capture legal correctness. Wyawahare et al. [7] compared generative and intent-based designs, showing that generative models perform well in fluency, but intent-based systems are better at strictly following legal rules. Karthick et al. [8] tested several large language models on the AIBE dataset and observed that even advanced models like GPT-4 need careful prompting and sufficient context to succeed in professional legal exams. Jacob et al. [9] introduced “</w:t>
      </w:r>
      <w:r w:rsidR="0017641D" w:rsidRPr="005314A9">
        <w:rPr>
          <w:rFonts w:ascii="Times New Roman" w:hAnsi="Times New Roman" w:cs="Times New Roman"/>
          <w:iCs/>
          <w:sz w:val="20"/>
          <w:szCs w:val="20"/>
        </w:rPr>
        <w:t>Legal Link</w:t>
      </w:r>
      <w:r w:rsidRPr="005314A9">
        <w:rPr>
          <w:rFonts w:ascii="Times New Roman" w:hAnsi="Times New Roman" w:cs="Times New Roman"/>
          <w:iCs/>
          <w:sz w:val="20"/>
          <w:szCs w:val="20"/>
        </w:rPr>
        <w:t>,” highlighting design and usability are critical for public-facing legal chatbots.</w:t>
      </w:r>
    </w:p>
    <w:p w14:paraId="2DE78555" w14:textId="4C45CCB3" w:rsidR="00A45E0F" w:rsidRDefault="000D71A2" w:rsidP="00502DBF">
      <w:pPr>
        <w:ind w:left="142"/>
        <w:jc w:val="center"/>
        <w:rPr>
          <w:rFonts w:ascii="Times New Roman" w:hAnsi="Times New Roman" w:cs="Times New Roman"/>
          <w:b/>
          <w:bCs/>
          <w:iCs/>
          <w:sz w:val="20"/>
          <w:szCs w:val="20"/>
        </w:rPr>
      </w:pPr>
      <w:r w:rsidRPr="00502DBF">
        <w:rPr>
          <w:rFonts w:ascii="Times New Roman" w:hAnsi="Times New Roman" w:cs="Times New Roman"/>
          <w:b/>
          <w:bCs/>
          <w:iCs/>
          <w:sz w:val="20"/>
          <w:szCs w:val="20"/>
        </w:rPr>
        <w:t>III. M</w:t>
      </w:r>
      <w:r w:rsidR="00092D11" w:rsidRPr="00502DBF">
        <w:rPr>
          <w:rFonts w:ascii="Times New Roman" w:hAnsi="Times New Roman" w:cs="Times New Roman"/>
          <w:b/>
          <w:bCs/>
          <w:iCs/>
          <w:sz w:val="20"/>
          <w:szCs w:val="20"/>
        </w:rPr>
        <w:t>ETHO</w:t>
      </w:r>
      <w:r w:rsidR="007206DF" w:rsidRPr="00502DBF">
        <w:rPr>
          <w:rFonts w:ascii="Times New Roman" w:hAnsi="Times New Roman" w:cs="Times New Roman"/>
          <w:b/>
          <w:bCs/>
          <w:iCs/>
          <w:sz w:val="20"/>
          <w:szCs w:val="20"/>
        </w:rPr>
        <w:t>DOLOGY</w:t>
      </w:r>
    </w:p>
    <w:p w14:paraId="377024DA" w14:textId="4A859C4F" w:rsidR="00502DBF" w:rsidRDefault="00415BA9" w:rsidP="006B3254">
      <w:pPr>
        <w:ind w:left="142"/>
        <w:jc w:val="both"/>
        <w:rPr>
          <w:rFonts w:ascii="Times New Roman" w:hAnsi="Times New Roman" w:cs="Times New Roman"/>
          <w:iCs/>
          <w:sz w:val="20"/>
          <w:szCs w:val="20"/>
        </w:rPr>
      </w:pPr>
      <w:r w:rsidRPr="00415BA9">
        <w:rPr>
          <w:rFonts w:ascii="Times New Roman" w:hAnsi="Times New Roman" w:cs="Times New Roman"/>
          <w:iCs/>
          <w:sz w:val="20"/>
          <w:szCs w:val="20"/>
        </w:rPr>
        <w:t>This section describes how the system was built — from raw data collection through to deployment. The overall approach combines corpus curation, retrieval-augmented generation, and quantized model inference.</w:t>
      </w:r>
    </w:p>
    <w:p w14:paraId="3E52B954" w14:textId="09640033" w:rsidR="00415BA9" w:rsidRPr="006B3254" w:rsidRDefault="006B3254" w:rsidP="00502DBF">
      <w:pPr>
        <w:ind w:left="142"/>
        <w:rPr>
          <w:rFonts w:ascii="Times New Roman" w:hAnsi="Times New Roman" w:cs="Times New Roman"/>
          <w:iCs/>
          <w:sz w:val="20"/>
          <w:szCs w:val="20"/>
        </w:rPr>
      </w:pPr>
      <w:r w:rsidRPr="006B3254">
        <w:rPr>
          <w:rFonts w:ascii="Times New Roman" w:hAnsi="Times New Roman" w:cs="Times New Roman"/>
          <w:b/>
          <w:bCs/>
          <w:iCs/>
          <w:sz w:val="20"/>
          <w:szCs w:val="20"/>
        </w:rPr>
        <w:t>A. Data Sources and Curation</w:t>
      </w:r>
    </w:p>
    <w:p w14:paraId="4E482F76" w14:textId="7C6EA35E"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Three datasets make up the core knowledge base.</w:t>
      </w:r>
      <w:r w:rsidR="000F0E2A">
        <w:rPr>
          <w:rFonts w:ascii="Times New Roman" w:hAnsi="Times New Roman" w:cs="Times New Roman"/>
          <w:iCs/>
          <w:sz w:val="20"/>
          <w:szCs w:val="20"/>
        </w:rPr>
        <w:t xml:space="preserve"> </w:t>
      </w:r>
      <w:r w:rsidRPr="006B3254">
        <w:rPr>
          <w:rFonts w:ascii="Times New Roman" w:hAnsi="Times New Roman" w:cs="Times New Roman"/>
          <w:iCs/>
          <w:sz w:val="20"/>
          <w:szCs w:val="20"/>
        </w:rPr>
        <w:t>The first is the Indian Penal Code — the full digitized text, covering all sections, crime definitions, and prescribed punishments. The second is a collection of All India Bar Examination (AIBE) questions spanning ten years, across subjects including Constitutional Law, Torts, and Criminal Procedure. The third is a set of Supreme Court judgment summaries. These were included because statutory text alone is often insufficient for realistic legal queries — a user asking about bail conditions, for example, needs case-derived reasoning, not just what the IPC says on paper.</w:t>
      </w:r>
    </w:p>
    <w:p w14:paraId="42519D0E" w14:textId="77777777"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Curation was not glamorous work. It involved deduplication, normalization of inconsistent formatting, and spot-checking random samples from the digitized IPC for OCR errors, which were more common than expected in older section text.</w:t>
      </w:r>
    </w:p>
    <w:p w14:paraId="62B2F74A" w14:textId="3AC66CD8" w:rsidR="006B3254" w:rsidRDefault="00301A74" w:rsidP="00502DBF">
      <w:pPr>
        <w:ind w:left="142"/>
        <w:rPr>
          <w:rFonts w:ascii="Times New Roman" w:hAnsi="Times New Roman" w:cs="Times New Roman"/>
          <w:iCs/>
          <w:sz w:val="20"/>
          <w:szCs w:val="20"/>
        </w:rPr>
      </w:pPr>
      <w:r w:rsidRPr="00301A74">
        <w:rPr>
          <w:rFonts w:ascii="Times New Roman" w:hAnsi="Times New Roman" w:cs="Times New Roman"/>
          <w:b/>
          <w:bCs/>
          <w:iCs/>
          <w:sz w:val="20"/>
          <w:szCs w:val="20"/>
        </w:rPr>
        <w:t>B. System Architecture</w:t>
      </w:r>
    </w:p>
    <w:p w14:paraId="27F1787B" w14:textId="1F311287" w:rsidR="00301A74" w:rsidRDefault="00301A74" w:rsidP="005A7496">
      <w:pPr>
        <w:ind w:left="142"/>
        <w:jc w:val="both"/>
        <w:rPr>
          <w:rFonts w:ascii="Times New Roman" w:hAnsi="Times New Roman" w:cs="Times New Roman"/>
          <w:iCs/>
          <w:sz w:val="20"/>
          <w:szCs w:val="20"/>
        </w:rPr>
      </w:pPr>
      <w:r w:rsidRPr="00301A74">
        <w:rPr>
          <w:rFonts w:ascii="Times New Roman" w:hAnsi="Times New Roman" w:cs="Times New Roman"/>
          <w:iCs/>
          <w:sz w:val="20"/>
          <w:szCs w:val="20"/>
        </w:rPr>
        <w:t>The architecture has four components. The ingestion layer handles parsing of PDF and HTML documents, cleans out formatting noise, and splits content into overlapping fixed-size chunks. These chunks are then passed to the embedding layer, which maps each one into a 1536-dimensional vector using either text-embedding-3-small or BGE-M3 — we tested both and found performance differences were task-dependent. The resulting vectors are stored and indexed in FAISS. At query time, the reasoning layer takes whatever the retrieval step returns and passes it to an LLM to produce a final response.</w:t>
      </w:r>
    </w:p>
    <w:p w14:paraId="76209FEE" w14:textId="5319F012" w:rsidR="004B2361" w:rsidRDefault="004B2361" w:rsidP="00502DBF">
      <w:pPr>
        <w:ind w:left="142"/>
        <w:rPr>
          <w:rFonts w:ascii="Times New Roman" w:hAnsi="Times New Roman" w:cs="Times New Roman"/>
          <w:iCs/>
          <w:sz w:val="20"/>
          <w:szCs w:val="20"/>
        </w:rPr>
      </w:pPr>
      <w:r w:rsidRPr="004B2361">
        <w:rPr>
          <w:rFonts w:ascii="Times New Roman" w:hAnsi="Times New Roman" w:cs="Times New Roman"/>
          <w:b/>
          <w:bCs/>
          <w:iCs/>
          <w:sz w:val="20"/>
          <w:szCs w:val="20"/>
        </w:rPr>
        <w:t>C. Retrieval-Augmented Generation Pipeline</w:t>
      </w:r>
    </w:p>
    <w:p w14:paraId="35BB2AD4"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 xml:space="preserve">When a query comes in, it gets embedded and matched against the FAISS index. The top-5 chunks by cosine similarity are retrieved. These are then passed through a cross-encoder reranker, which re-scores each chunk against the query more carefully than the initial vector search can. In practice, this step makes a noticeable difference — the reranker regularly promotes chunks that raw similarity search ranked third or fourth. The top-3 chunks after reranking are concatenated and handed to the LLM with a constrained prompt: </w:t>
      </w:r>
      <w:r w:rsidRPr="005A7496">
        <w:rPr>
          <w:rFonts w:ascii="Times New Roman" w:hAnsi="Times New Roman" w:cs="Times New Roman"/>
          <w:i/>
          <w:iCs/>
          <w:sz w:val="20"/>
          <w:szCs w:val="20"/>
        </w:rPr>
        <w:t>"Answer the following question ONLY using the provided context. If the answer is not in the context, say you don't know."</w:t>
      </w:r>
    </w:p>
    <w:p w14:paraId="6866E007"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That constraint is deliberate. In legal contexts, a confident wrong answer is worse than an admitted knowledge gap.</w:t>
      </w:r>
    </w:p>
    <w:p w14:paraId="613DECA0" w14:textId="4DAF0385" w:rsidR="004B2361" w:rsidRDefault="00F419FE" w:rsidP="00502DBF">
      <w:pPr>
        <w:ind w:left="142"/>
        <w:rPr>
          <w:rFonts w:ascii="Times New Roman" w:hAnsi="Times New Roman" w:cs="Times New Roman"/>
          <w:iCs/>
          <w:sz w:val="20"/>
          <w:szCs w:val="20"/>
        </w:rPr>
      </w:pPr>
      <w:r w:rsidRPr="00F419FE">
        <w:rPr>
          <w:rFonts w:ascii="Times New Roman" w:hAnsi="Times New Roman" w:cs="Times New Roman"/>
          <w:b/>
          <w:bCs/>
          <w:iCs/>
          <w:sz w:val="20"/>
          <w:szCs w:val="20"/>
        </w:rPr>
        <w:t>D. Scalability</w:t>
      </w:r>
    </w:p>
    <w:p w14:paraId="7C65A650" w14:textId="13CC64ED"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iCs/>
          <w:sz w:val="20"/>
          <w:szCs w:val="20"/>
        </w:rPr>
        <w:t>Brute-force nearest-neighbor search stops being viable somewhere around a few hundred thousand documents. To get ahead of that, we use HNSW indexing inside FAISS, which keeps search time logarithmic as the index grows. We also use hybrid retrieval — a combination of semantic vector search and BM25 keyword matching. The motivation here is specific to legal text. A query containing "Section 302" or "Writ of Mandamus" needs to match on those exact terms, not just on semantic proximity. Dense embeddings handle meaning well but can be imprecise on specific legal identifiers. BM25 handles the token-matching side. Together they work better than either alone.</w:t>
      </w:r>
    </w:p>
    <w:p w14:paraId="2E1C0D78" w14:textId="310439A6"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b/>
          <w:bCs/>
          <w:iCs/>
          <w:sz w:val="20"/>
          <w:szCs w:val="20"/>
        </w:rPr>
        <w:lastRenderedPageBreak/>
        <w:t>E. Quantization and Deployment</w:t>
      </w:r>
    </w:p>
    <w:p w14:paraId="2E35C22A" w14:textId="77777777" w:rsidR="00954D42" w:rsidRPr="00954D42" w:rsidRDefault="00954D42" w:rsidP="00954D42">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Mistral-7B in full precision requires around 14 GB of GPU memory, which rules out most realistic deployment environments. Applying 4-bit NormalFloat (NF4) quantization brings that down to roughly 5 GB, which fits on a mid-range consumer GPU and, with some patience, on a high-end CPU. Quality degradation from NF4 quantization was minimal on our evaluation queries, though we acknowledge this deserves more systematic testing across edge cases.</w:t>
      </w:r>
    </w:p>
    <w:p w14:paraId="7EE05D8C" w14:textId="5DEB941F" w:rsidR="009042DB" w:rsidRPr="00954D42" w:rsidRDefault="00954D42" w:rsidP="00AA5A98">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The inference server uses continuous batching, so concurrent requests don't pile up in a queue. This is less of a concern for research demos and more of a hard requirement if the system is deployed in something like a legal aid clinic or a court help desk, where multiple users might be querying simultaneously and wait time directly affects usability.</w:t>
      </w:r>
    </w:p>
    <w:p w14:paraId="21E0EC55" w14:textId="7EDC2968" w:rsidR="00966EF1" w:rsidRDefault="005100B7" w:rsidP="00C32540">
      <w:pPr>
        <w:ind w:left="142"/>
        <w:jc w:val="center"/>
        <w:rPr>
          <w:rFonts w:ascii="Times New Roman" w:hAnsi="Times New Roman" w:cs="Times New Roman"/>
          <w:b/>
          <w:bCs/>
          <w:iCs/>
          <w:sz w:val="20"/>
          <w:szCs w:val="20"/>
        </w:rPr>
      </w:pPr>
      <w:r w:rsidRPr="00C32540">
        <w:rPr>
          <w:rFonts w:ascii="Times New Roman" w:hAnsi="Times New Roman" w:cs="Times New Roman"/>
          <w:b/>
          <w:bCs/>
          <w:iCs/>
          <w:sz w:val="20"/>
          <w:szCs w:val="20"/>
        </w:rPr>
        <w:t xml:space="preserve">IV. </w:t>
      </w:r>
      <w:r w:rsidR="00154105" w:rsidRPr="00C32540">
        <w:rPr>
          <w:rFonts w:ascii="Times New Roman" w:hAnsi="Times New Roman" w:cs="Times New Roman"/>
          <w:b/>
          <w:bCs/>
          <w:iCs/>
          <w:sz w:val="20"/>
          <w:szCs w:val="20"/>
        </w:rPr>
        <w:t>SYSTEM</w:t>
      </w:r>
      <w:r w:rsidR="00D01BC4">
        <w:rPr>
          <w:rFonts w:ascii="Times New Roman" w:hAnsi="Times New Roman" w:cs="Times New Roman"/>
          <w:b/>
          <w:bCs/>
          <w:iCs/>
          <w:sz w:val="20"/>
          <w:szCs w:val="20"/>
        </w:rPr>
        <w:t xml:space="preserve"> </w:t>
      </w:r>
      <w:r w:rsidR="00696E22" w:rsidRPr="00C32540">
        <w:rPr>
          <w:rFonts w:ascii="Times New Roman" w:hAnsi="Times New Roman" w:cs="Times New Roman"/>
          <w:b/>
          <w:bCs/>
          <w:iCs/>
          <w:sz w:val="20"/>
          <w:szCs w:val="20"/>
        </w:rPr>
        <w:t>IMPLEMENT</w:t>
      </w:r>
      <w:r w:rsidR="00653495" w:rsidRPr="00C32540">
        <w:rPr>
          <w:rFonts w:ascii="Times New Roman" w:hAnsi="Times New Roman" w:cs="Times New Roman"/>
          <w:b/>
          <w:bCs/>
          <w:iCs/>
          <w:sz w:val="20"/>
          <w:szCs w:val="20"/>
        </w:rPr>
        <w:t>ATION</w:t>
      </w:r>
      <w:r w:rsidR="00D01BC4">
        <w:rPr>
          <w:rFonts w:ascii="Times New Roman" w:hAnsi="Times New Roman" w:cs="Times New Roman"/>
          <w:b/>
          <w:bCs/>
          <w:iCs/>
          <w:sz w:val="20"/>
          <w:szCs w:val="20"/>
        </w:rPr>
        <w:t>S</w:t>
      </w:r>
    </w:p>
    <w:p w14:paraId="66F5F3B4" w14:textId="2E2FD7EC" w:rsidR="00E45585" w:rsidRDefault="00E45585" w:rsidP="00E45585">
      <w:pPr>
        <w:ind w:left="142"/>
        <w:rPr>
          <w:rFonts w:ascii="Times New Roman" w:hAnsi="Times New Roman" w:cs="Times New Roman"/>
          <w:b/>
          <w:bCs/>
          <w:iCs/>
          <w:sz w:val="20"/>
          <w:szCs w:val="20"/>
        </w:rPr>
      </w:pPr>
      <w:r w:rsidRPr="00E45585">
        <w:rPr>
          <w:rFonts w:ascii="Times New Roman" w:hAnsi="Times New Roman" w:cs="Times New Roman"/>
          <w:b/>
          <w:bCs/>
          <w:iCs/>
          <w:sz w:val="20"/>
          <w:szCs w:val="20"/>
        </w:rPr>
        <w:t>A. Hardware</w:t>
      </w:r>
    </w:p>
    <w:p w14:paraId="43CB06C8"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Development and inference ran on different machines, which is worth noting because the hardware gap between the two is significant and has practical implications for anyone trying to replicate this setup.</w:t>
      </w:r>
    </w:p>
    <w:p w14:paraId="5ECFF39B"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Fine-tuning was done on a server with an NVIDIA A100 (40GB), an Intel Xeon Gold processor with 16 cores, 64GB of DDR4 RAM, and a 1TB NVMe SSD. The SSD matters more than it sounds — document ingestion and vector index operations are surprisingly I/O-heavy, and a slow disk creates a real bottleneck early in the pipeline.</w:t>
      </w:r>
    </w:p>
    <w:p w14:paraId="6AC1700D" w14:textId="77777777" w:rsid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Inference was tested on an NVIDIA RTX 3090, which is considerably more accessible than an A100. With 4-bit quantization applied, this worked fine. We deliberately wanted to see how far down the hardware stack the system could go before quality degraded meaningfully.</w:t>
      </w:r>
    </w:p>
    <w:p w14:paraId="01BA75C4" w14:textId="32B0AEEC" w:rsidR="00330A74" w:rsidRDefault="00330A74" w:rsidP="00330A74">
      <w:pPr>
        <w:ind w:left="142"/>
        <w:jc w:val="both"/>
        <w:rPr>
          <w:rFonts w:ascii="Times New Roman" w:hAnsi="Times New Roman" w:cs="Times New Roman"/>
          <w:b/>
          <w:bCs/>
          <w:iCs/>
          <w:sz w:val="20"/>
          <w:szCs w:val="20"/>
        </w:rPr>
      </w:pPr>
      <w:r w:rsidRPr="00330A74">
        <w:rPr>
          <w:rFonts w:ascii="Times New Roman" w:hAnsi="Times New Roman" w:cs="Times New Roman"/>
          <w:b/>
          <w:bCs/>
          <w:iCs/>
          <w:sz w:val="20"/>
          <w:szCs w:val="20"/>
        </w:rPr>
        <w:t>B. Software Stack</w:t>
      </w:r>
    </w:p>
    <w:p w14:paraId="754EB1E2"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The implementation is Python 3.10 throughout. LangChain handles orchestration — chaining together the retrieval, reranking, and generation steps. The frontend is built in Streamlit, which is not the most polished option but gets a working interface up quickly, which suited our priorities at this stage. FAISS handles vector storage and indexing. For model loading and inference, we used Hugging Face Transformers alongside vLLM, which manages batching and throughput more efficiently than a naive inference loop would.</w:t>
      </w:r>
    </w:p>
    <w:p w14:paraId="670B1C64"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No particularly exotic dependencies. The full environment can be reproduced from a standard requirements file.</w:t>
      </w:r>
    </w:p>
    <w:p w14:paraId="7F3909B7" w14:textId="0A04C886" w:rsidR="00330A74" w:rsidRDefault="00A93081" w:rsidP="00330A74">
      <w:pPr>
        <w:ind w:left="142"/>
        <w:jc w:val="both"/>
        <w:rPr>
          <w:rFonts w:ascii="Times New Roman" w:hAnsi="Times New Roman" w:cs="Times New Roman"/>
          <w:b/>
          <w:bCs/>
          <w:iCs/>
          <w:sz w:val="20"/>
          <w:szCs w:val="20"/>
        </w:rPr>
      </w:pPr>
      <w:r w:rsidRPr="00A93081">
        <w:rPr>
          <w:rFonts w:ascii="Times New Roman" w:hAnsi="Times New Roman" w:cs="Times New Roman"/>
          <w:b/>
          <w:bCs/>
          <w:iCs/>
          <w:sz w:val="20"/>
          <w:szCs w:val="20"/>
        </w:rPr>
        <w:t>C. Retrieval Algorithm</w:t>
      </w:r>
    </w:p>
    <w:p w14:paraId="29BBE735" w14:textId="77777777" w:rsidR="008B4638" w:rsidRP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retrieval process at inference time runs as follows:</w:t>
      </w:r>
    </w:p>
    <w:p w14:paraId="28A19A4C"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user query is passed through the embedding model to produce a dense vector.</w:t>
      </w:r>
    </w:p>
    <w:p w14:paraId="5AA9185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That vector is compared against the FAISS index using approximate nearest-neighbor search (HNSW).</w:t>
      </w:r>
    </w:p>
    <w:p w14:paraId="2418C8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top-5 candidates by cosine similarity are returned.</w:t>
      </w:r>
    </w:p>
    <w:p w14:paraId="65C84ED7"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A cross-encoder reranker scores each of the 5 chunks directly against the query.</w:t>
      </w:r>
    </w:p>
    <w:p w14:paraId="50858265"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top-3 chunks after reranking are concatenated into a context block.</w:t>
      </w:r>
    </w:p>
    <w:p w14:paraId="2CE832E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context block and query are passed to the LLM with the constrained prompt described in Section III-C.</w:t>
      </w:r>
    </w:p>
    <w:p w14:paraId="62F6D7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generated response is returned to the user, along with source references so the answer can be traced back to specific sections or judgments.</w:t>
      </w:r>
    </w:p>
    <w:p w14:paraId="32ADEAE8" w14:textId="77777777" w:rsid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whole pipeline — from query submission to response — runs in under 100ms for retrieval and roughly 2–4 seconds end-to-end depending on response length and server load.</w:t>
      </w:r>
    </w:p>
    <w:p w14:paraId="3EDF621E" w14:textId="43B8E867" w:rsidR="001C1DC5" w:rsidRDefault="001C1DC5" w:rsidP="008B4638">
      <w:pPr>
        <w:spacing w:line="240" w:lineRule="auto"/>
        <w:ind w:left="142"/>
        <w:jc w:val="both"/>
        <w:rPr>
          <w:rFonts w:ascii="Times New Roman" w:hAnsi="Times New Roman" w:cs="Times New Roman"/>
          <w:b/>
          <w:bCs/>
          <w:iCs/>
          <w:sz w:val="20"/>
          <w:szCs w:val="20"/>
        </w:rPr>
      </w:pPr>
      <w:r w:rsidRPr="001C1DC5">
        <w:rPr>
          <w:rFonts w:ascii="Times New Roman" w:hAnsi="Times New Roman" w:cs="Times New Roman"/>
          <w:b/>
          <w:bCs/>
          <w:iCs/>
          <w:sz w:val="20"/>
          <w:szCs w:val="20"/>
        </w:rPr>
        <w:t>D. Implementation Notes</w:t>
      </w:r>
    </w:p>
    <w:p w14:paraId="453A0724" w14:textId="77777777" w:rsidR="001C1DC5" w:rsidRPr="001C1DC5" w:rsidRDefault="001C1DC5" w:rsidP="001C1DC5">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The backend was deployed on the high-compute server described above. Vector index loading at startup takes a few seconds but is cached in RAM for the duration of the session, so per-query latency stays stable. Inference uses the quantized 4-bit weights throughout — we did not find a compelling reason to run full-precision inference given the marginal quality difference and the substantial memory cost.</w:t>
      </w:r>
    </w:p>
    <w:p w14:paraId="5B721FF7" w14:textId="032F48BB" w:rsidR="009B4829" w:rsidRDefault="001C1DC5" w:rsidP="009422A7">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One thing that caused unexpected friction was prompt formatting. Small changes to how context chunks were presented to the model — spacing, delimiter style, chunk ordering — produced noticeable differences in output quality. This is not something that shows up cleanly in benchmark numbers but matters in practice.</w:t>
      </w:r>
    </w:p>
    <w:p w14:paraId="14097601" w14:textId="1F1C9E92" w:rsidR="009B4829" w:rsidRDefault="009B4829" w:rsidP="001C1DC5">
      <w:pPr>
        <w:spacing w:line="240" w:lineRule="auto"/>
        <w:ind w:left="142"/>
        <w:jc w:val="both"/>
        <w:rPr>
          <w:rFonts w:ascii="Times New Roman" w:hAnsi="Times New Roman" w:cs="Times New Roman"/>
          <w:b/>
          <w:bCs/>
          <w:iCs/>
          <w:sz w:val="20"/>
          <w:szCs w:val="20"/>
        </w:rPr>
      </w:pPr>
      <w:r w:rsidRPr="009B4829">
        <w:rPr>
          <w:rFonts w:ascii="Times New Roman" w:hAnsi="Times New Roman" w:cs="Times New Roman"/>
          <w:b/>
          <w:bCs/>
          <w:iCs/>
          <w:sz w:val="20"/>
          <w:szCs w:val="20"/>
        </w:rPr>
        <w:t>E. Quantitative Results</w:t>
      </w:r>
    </w:p>
    <w:p w14:paraId="17287D2F" w14:textId="0079B1C3" w:rsidR="009B4829" w:rsidRDefault="00A14A79" w:rsidP="001C1DC5">
      <w:pPr>
        <w:spacing w:line="240" w:lineRule="auto"/>
        <w:ind w:left="142"/>
        <w:jc w:val="both"/>
        <w:rPr>
          <w:rFonts w:ascii="Times New Roman" w:hAnsi="Times New Roman" w:cs="Times New Roman"/>
          <w:iCs/>
          <w:sz w:val="20"/>
          <w:szCs w:val="20"/>
        </w:rPr>
      </w:pPr>
      <w:r w:rsidRPr="00A14A79">
        <w:rPr>
          <w:rFonts w:ascii="Times New Roman" w:hAnsi="Times New Roman" w:cs="Times New Roman"/>
          <w:iCs/>
          <w:sz w:val="20"/>
          <w:szCs w:val="20"/>
        </w:rPr>
        <w:t>We evaluated the system on the AIBE benchmark, comparing against several baselines. The results are in Table I.</w:t>
      </w:r>
    </w:p>
    <w:p w14:paraId="12F9385B" w14:textId="2AD307BA" w:rsidR="0053544B" w:rsidRDefault="0053544B" w:rsidP="001C1DC5">
      <w:pPr>
        <w:spacing w:line="240" w:lineRule="auto"/>
        <w:ind w:left="142"/>
        <w:jc w:val="both"/>
        <w:rPr>
          <w:rFonts w:ascii="Times New Roman" w:hAnsi="Times New Roman" w:cs="Times New Roman"/>
          <w:iCs/>
          <w:sz w:val="20"/>
          <w:szCs w:val="20"/>
        </w:rPr>
      </w:pPr>
      <w:r w:rsidRPr="0053544B">
        <w:rPr>
          <w:rFonts w:ascii="Times New Roman" w:hAnsi="Times New Roman" w:cs="Times New Roman"/>
          <w:iCs/>
          <w:sz w:val="20"/>
          <w:szCs w:val="20"/>
        </w:rPr>
        <w:t>TABLE I — Comparative Performance on AIBE Benchmark</w:t>
      </w:r>
    </w:p>
    <w:tbl>
      <w:tblPr>
        <w:tblW w:w="0" w:type="auto"/>
        <w:tblInd w:w="67" w:type="dxa"/>
        <w:tblLayout w:type="fixed"/>
        <w:tblCellMar>
          <w:left w:w="0" w:type="dxa"/>
          <w:right w:w="0" w:type="dxa"/>
        </w:tblCellMar>
        <w:tblLook w:val="01E0" w:firstRow="1" w:lastRow="1" w:firstColumn="1" w:lastColumn="1" w:noHBand="0" w:noVBand="0"/>
      </w:tblPr>
      <w:tblGrid>
        <w:gridCol w:w="1876"/>
        <w:gridCol w:w="1319"/>
        <w:gridCol w:w="1599"/>
      </w:tblGrid>
      <w:tr w:rsidR="00580144" w:rsidRPr="00580144" w14:paraId="7898DD60" w14:textId="77777777" w:rsidTr="00580144">
        <w:trPr>
          <w:trHeight w:val="281"/>
        </w:trPr>
        <w:tc>
          <w:tcPr>
            <w:tcW w:w="1876" w:type="dxa"/>
            <w:tcBorders>
              <w:bottom w:val="single" w:sz="4" w:space="0" w:color="000000"/>
            </w:tcBorders>
          </w:tcPr>
          <w:p w14:paraId="7519451F" w14:textId="77777777" w:rsidR="00580144" w:rsidRPr="00580144" w:rsidRDefault="00580144" w:rsidP="001A648F">
            <w:pPr>
              <w:pStyle w:val="TableParagraph"/>
              <w:spacing w:before="3" w:line="240" w:lineRule="auto"/>
              <w:ind w:left="119" w:right="0"/>
              <w:jc w:val="left"/>
              <w:rPr>
                <w:b/>
                <w:sz w:val="20"/>
                <w:szCs w:val="20"/>
              </w:rPr>
            </w:pPr>
            <w:r w:rsidRPr="00580144">
              <w:rPr>
                <w:b/>
                <w:spacing w:val="-2"/>
                <w:sz w:val="20"/>
                <w:szCs w:val="20"/>
              </w:rPr>
              <w:t>Model</w:t>
            </w:r>
          </w:p>
        </w:tc>
        <w:tc>
          <w:tcPr>
            <w:tcW w:w="1319" w:type="dxa"/>
            <w:tcBorders>
              <w:bottom w:val="single" w:sz="4" w:space="0" w:color="000000"/>
            </w:tcBorders>
          </w:tcPr>
          <w:p w14:paraId="657DAB73" w14:textId="77777777" w:rsidR="00580144" w:rsidRPr="00580144" w:rsidRDefault="00580144" w:rsidP="001A648F">
            <w:pPr>
              <w:pStyle w:val="TableParagraph"/>
              <w:spacing w:before="3" w:line="240" w:lineRule="auto"/>
              <w:rPr>
                <w:b/>
                <w:sz w:val="20"/>
                <w:szCs w:val="20"/>
              </w:rPr>
            </w:pPr>
            <w:r w:rsidRPr="00580144">
              <w:rPr>
                <w:b/>
                <w:spacing w:val="-2"/>
                <w:sz w:val="20"/>
                <w:szCs w:val="20"/>
              </w:rPr>
              <w:t>Technique</w:t>
            </w:r>
          </w:p>
        </w:tc>
        <w:tc>
          <w:tcPr>
            <w:tcW w:w="1599" w:type="dxa"/>
            <w:tcBorders>
              <w:bottom w:val="single" w:sz="4" w:space="0" w:color="000000"/>
            </w:tcBorders>
          </w:tcPr>
          <w:p w14:paraId="212737EA" w14:textId="77777777" w:rsidR="00580144" w:rsidRPr="00580144" w:rsidRDefault="00580144" w:rsidP="001A648F">
            <w:pPr>
              <w:pStyle w:val="TableParagraph"/>
              <w:spacing w:before="3" w:line="240" w:lineRule="auto"/>
              <w:rPr>
                <w:b/>
                <w:sz w:val="20"/>
                <w:szCs w:val="20"/>
              </w:rPr>
            </w:pPr>
            <w:r w:rsidRPr="00580144">
              <w:rPr>
                <w:b/>
                <w:sz w:val="20"/>
                <w:szCs w:val="20"/>
              </w:rPr>
              <w:t>Accuracy</w:t>
            </w:r>
            <w:r w:rsidRPr="00580144">
              <w:rPr>
                <w:b/>
                <w:spacing w:val="12"/>
                <w:sz w:val="20"/>
                <w:szCs w:val="20"/>
              </w:rPr>
              <w:t xml:space="preserve"> </w:t>
            </w:r>
            <w:r w:rsidRPr="00580144">
              <w:rPr>
                <w:b/>
                <w:spacing w:val="-5"/>
                <w:sz w:val="20"/>
                <w:szCs w:val="20"/>
              </w:rPr>
              <w:t>(%)</w:t>
            </w:r>
          </w:p>
        </w:tc>
      </w:tr>
      <w:tr w:rsidR="00580144" w:rsidRPr="00580144" w14:paraId="1A899D0E" w14:textId="77777777" w:rsidTr="00580144">
        <w:trPr>
          <w:trHeight w:val="258"/>
        </w:trPr>
        <w:tc>
          <w:tcPr>
            <w:tcW w:w="1876" w:type="dxa"/>
            <w:tcBorders>
              <w:top w:val="single" w:sz="4" w:space="0" w:color="000000"/>
            </w:tcBorders>
          </w:tcPr>
          <w:p w14:paraId="1B71B61F" w14:textId="77777777" w:rsidR="00580144" w:rsidRPr="00580144" w:rsidRDefault="00580144" w:rsidP="001A648F">
            <w:pPr>
              <w:pStyle w:val="TableParagraph"/>
              <w:spacing w:before="34" w:line="168" w:lineRule="exact"/>
              <w:ind w:left="119" w:right="0"/>
              <w:jc w:val="left"/>
              <w:rPr>
                <w:sz w:val="20"/>
                <w:szCs w:val="20"/>
              </w:rPr>
            </w:pPr>
            <w:r w:rsidRPr="00580144">
              <w:rPr>
                <w:spacing w:val="-2"/>
                <w:sz w:val="20"/>
                <w:szCs w:val="20"/>
              </w:rPr>
              <w:t>GPT-3.5</w:t>
            </w:r>
            <w:r w:rsidRPr="00580144">
              <w:rPr>
                <w:spacing w:val="8"/>
                <w:sz w:val="20"/>
                <w:szCs w:val="20"/>
              </w:rPr>
              <w:t xml:space="preserve"> </w:t>
            </w:r>
            <w:r w:rsidRPr="00580144">
              <w:rPr>
                <w:spacing w:val="-4"/>
                <w:sz w:val="20"/>
                <w:szCs w:val="20"/>
              </w:rPr>
              <w:t>Turbo</w:t>
            </w:r>
          </w:p>
        </w:tc>
        <w:tc>
          <w:tcPr>
            <w:tcW w:w="1319" w:type="dxa"/>
            <w:tcBorders>
              <w:top w:val="single" w:sz="4" w:space="0" w:color="000000"/>
            </w:tcBorders>
          </w:tcPr>
          <w:p w14:paraId="74647BAE" w14:textId="77777777" w:rsidR="00580144" w:rsidRPr="00580144" w:rsidRDefault="00580144" w:rsidP="001A648F">
            <w:pPr>
              <w:pStyle w:val="TableParagraph"/>
              <w:spacing w:before="34" w:line="168" w:lineRule="exact"/>
              <w:rPr>
                <w:sz w:val="20"/>
                <w:szCs w:val="20"/>
              </w:rPr>
            </w:pPr>
            <w:r w:rsidRPr="00580144">
              <w:rPr>
                <w:spacing w:val="-2"/>
                <w:sz w:val="20"/>
                <w:szCs w:val="20"/>
              </w:rPr>
              <w:t>Zero-</w:t>
            </w:r>
            <w:r w:rsidRPr="00580144">
              <w:rPr>
                <w:spacing w:val="-4"/>
                <w:sz w:val="20"/>
                <w:szCs w:val="20"/>
              </w:rPr>
              <w:t>shot</w:t>
            </w:r>
          </w:p>
        </w:tc>
        <w:tc>
          <w:tcPr>
            <w:tcW w:w="1599" w:type="dxa"/>
            <w:tcBorders>
              <w:top w:val="single" w:sz="4" w:space="0" w:color="000000"/>
            </w:tcBorders>
          </w:tcPr>
          <w:p w14:paraId="4DE9B9CC" w14:textId="77777777" w:rsidR="00580144" w:rsidRPr="00580144" w:rsidRDefault="00580144" w:rsidP="001A648F">
            <w:pPr>
              <w:pStyle w:val="TableParagraph"/>
              <w:spacing w:before="34" w:line="168" w:lineRule="exact"/>
              <w:rPr>
                <w:sz w:val="20"/>
                <w:szCs w:val="20"/>
              </w:rPr>
            </w:pPr>
            <w:r w:rsidRPr="00580144">
              <w:rPr>
                <w:spacing w:val="-2"/>
                <w:sz w:val="20"/>
                <w:szCs w:val="20"/>
              </w:rPr>
              <w:t>48.2%</w:t>
            </w:r>
          </w:p>
        </w:tc>
      </w:tr>
      <w:tr w:rsidR="00580144" w:rsidRPr="00580144" w14:paraId="31A6BAE6" w14:textId="77777777" w:rsidTr="00580144">
        <w:trPr>
          <w:trHeight w:val="208"/>
        </w:trPr>
        <w:tc>
          <w:tcPr>
            <w:tcW w:w="1876" w:type="dxa"/>
          </w:tcPr>
          <w:p w14:paraId="2C5AE2AD" w14:textId="77777777" w:rsidR="00580144" w:rsidRPr="00580144" w:rsidRDefault="00580144" w:rsidP="001A648F">
            <w:pPr>
              <w:pStyle w:val="TableParagraph"/>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5B6D05A" w14:textId="77777777" w:rsidR="00580144" w:rsidRPr="00580144" w:rsidRDefault="00580144" w:rsidP="001A648F">
            <w:pPr>
              <w:pStyle w:val="TableParagraph"/>
              <w:rPr>
                <w:sz w:val="20"/>
                <w:szCs w:val="20"/>
              </w:rPr>
            </w:pPr>
            <w:r w:rsidRPr="00580144">
              <w:rPr>
                <w:spacing w:val="-2"/>
                <w:sz w:val="20"/>
                <w:szCs w:val="20"/>
              </w:rPr>
              <w:t>Zero-</w:t>
            </w:r>
            <w:r w:rsidRPr="00580144">
              <w:rPr>
                <w:spacing w:val="-4"/>
                <w:sz w:val="20"/>
                <w:szCs w:val="20"/>
              </w:rPr>
              <w:t>shot</w:t>
            </w:r>
          </w:p>
        </w:tc>
        <w:tc>
          <w:tcPr>
            <w:tcW w:w="1599" w:type="dxa"/>
          </w:tcPr>
          <w:p w14:paraId="4163EDCD" w14:textId="77777777" w:rsidR="00580144" w:rsidRPr="00580144" w:rsidRDefault="00580144" w:rsidP="001A648F">
            <w:pPr>
              <w:pStyle w:val="TableParagraph"/>
              <w:rPr>
                <w:sz w:val="20"/>
                <w:szCs w:val="20"/>
              </w:rPr>
            </w:pPr>
            <w:r w:rsidRPr="00580144">
              <w:rPr>
                <w:spacing w:val="-2"/>
                <w:sz w:val="20"/>
                <w:szCs w:val="20"/>
              </w:rPr>
              <w:t>44.5%</w:t>
            </w:r>
          </w:p>
        </w:tc>
      </w:tr>
      <w:tr w:rsidR="00580144" w:rsidRPr="00580144" w14:paraId="2D0257C3" w14:textId="77777777" w:rsidTr="00580144">
        <w:trPr>
          <w:trHeight w:val="208"/>
        </w:trPr>
        <w:tc>
          <w:tcPr>
            <w:tcW w:w="1876" w:type="dxa"/>
          </w:tcPr>
          <w:p w14:paraId="645CD2D5" w14:textId="77777777" w:rsidR="00580144" w:rsidRPr="00580144" w:rsidRDefault="00580144" w:rsidP="001A648F">
            <w:pPr>
              <w:pStyle w:val="TableParagraph"/>
              <w:ind w:left="119" w:right="0"/>
              <w:jc w:val="left"/>
              <w:rPr>
                <w:sz w:val="20"/>
                <w:szCs w:val="20"/>
              </w:rPr>
            </w:pPr>
            <w:r w:rsidRPr="00580144">
              <w:rPr>
                <w:spacing w:val="-2"/>
                <w:sz w:val="20"/>
                <w:szCs w:val="20"/>
              </w:rPr>
              <w:t>Llama-2-</w:t>
            </w:r>
            <w:r w:rsidRPr="00580144">
              <w:rPr>
                <w:spacing w:val="-5"/>
                <w:sz w:val="20"/>
                <w:szCs w:val="20"/>
              </w:rPr>
              <w:t>13B</w:t>
            </w:r>
          </w:p>
        </w:tc>
        <w:tc>
          <w:tcPr>
            <w:tcW w:w="1319" w:type="dxa"/>
          </w:tcPr>
          <w:p w14:paraId="581127F1" w14:textId="77777777" w:rsidR="00580144" w:rsidRPr="00580144" w:rsidRDefault="00580144" w:rsidP="001A648F">
            <w:pPr>
              <w:pStyle w:val="TableParagraph"/>
              <w:rPr>
                <w:sz w:val="20"/>
                <w:szCs w:val="20"/>
              </w:rPr>
            </w:pPr>
            <w:r w:rsidRPr="00580144">
              <w:rPr>
                <w:spacing w:val="-5"/>
                <w:sz w:val="20"/>
                <w:szCs w:val="20"/>
              </w:rPr>
              <w:t>RAG</w:t>
            </w:r>
          </w:p>
        </w:tc>
        <w:tc>
          <w:tcPr>
            <w:tcW w:w="1599" w:type="dxa"/>
          </w:tcPr>
          <w:p w14:paraId="25363E57" w14:textId="77777777" w:rsidR="00580144" w:rsidRPr="00580144" w:rsidRDefault="00580144" w:rsidP="001A648F">
            <w:pPr>
              <w:pStyle w:val="TableParagraph"/>
              <w:rPr>
                <w:sz w:val="20"/>
                <w:szCs w:val="20"/>
              </w:rPr>
            </w:pPr>
            <w:r w:rsidRPr="00580144">
              <w:rPr>
                <w:spacing w:val="-2"/>
                <w:sz w:val="20"/>
                <w:szCs w:val="20"/>
              </w:rPr>
              <w:t>51.3%</w:t>
            </w:r>
          </w:p>
        </w:tc>
      </w:tr>
      <w:tr w:rsidR="00580144" w:rsidRPr="00580144" w14:paraId="52B2B7AF" w14:textId="77777777" w:rsidTr="00580144">
        <w:trPr>
          <w:trHeight w:val="205"/>
        </w:trPr>
        <w:tc>
          <w:tcPr>
            <w:tcW w:w="1876" w:type="dxa"/>
          </w:tcPr>
          <w:p w14:paraId="4DEDAA9B" w14:textId="77777777" w:rsidR="00580144" w:rsidRPr="00580144" w:rsidRDefault="00580144" w:rsidP="001A648F">
            <w:pPr>
              <w:pStyle w:val="TableParagraph"/>
              <w:spacing w:line="156" w:lineRule="exact"/>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1B6E330" w14:textId="77777777" w:rsidR="00580144" w:rsidRPr="00580144" w:rsidRDefault="00580144" w:rsidP="001A648F">
            <w:pPr>
              <w:pStyle w:val="TableParagraph"/>
              <w:spacing w:line="156" w:lineRule="exact"/>
              <w:rPr>
                <w:sz w:val="20"/>
                <w:szCs w:val="20"/>
              </w:rPr>
            </w:pPr>
            <w:r w:rsidRPr="00580144">
              <w:rPr>
                <w:spacing w:val="-5"/>
                <w:sz w:val="20"/>
                <w:szCs w:val="20"/>
              </w:rPr>
              <w:t>RAG</w:t>
            </w:r>
          </w:p>
        </w:tc>
        <w:tc>
          <w:tcPr>
            <w:tcW w:w="1599" w:type="dxa"/>
          </w:tcPr>
          <w:p w14:paraId="50366AF9" w14:textId="77777777" w:rsidR="00580144" w:rsidRPr="00580144" w:rsidRDefault="00580144" w:rsidP="001A648F">
            <w:pPr>
              <w:pStyle w:val="TableParagraph"/>
              <w:spacing w:line="156" w:lineRule="exact"/>
              <w:rPr>
                <w:sz w:val="20"/>
                <w:szCs w:val="20"/>
              </w:rPr>
            </w:pPr>
            <w:r w:rsidRPr="00580144">
              <w:rPr>
                <w:spacing w:val="-2"/>
                <w:sz w:val="20"/>
                <w:szCs w:val="20"/>
              </w:rPr>
              <w:t>54.1%</w:t>
            </w:r>
          </w:p>
        </w:tc>
      </w:tr>
      <w:tr w:rsidR="00580144" w:rsidRPr="00580144" w14:paraId="46856CD5" w14:textId="77777777" w:rsidTr="00580144">
        <w:trPr>
          <w:trHeight w:val="269"/>
        </w:trPr>
        <w:tc>
          <w:tcPr>
            <w:tcW w:w="1876" w:type="dxa"/>
            <w:tcBorders>
              <w:bottom w:val="single" w:sz="8" w:space="0" w:color="000000"/>
            </w:tcBorders>
          </w:tcPr>
          <w:p w14:paraId="2D3D9DA0" w14:textId="77777777" w:rsidR="00580144" w:rsidRPr="00580144" w:rsidRDefault="00580144" w:rsidP="001A648F">
            <w:pPr>
              <w:pStyle w:val="TableParagraph"/>
              <w:spacing w:line="178" w:lineRule="exact"/>
              <w:ind w:left="119" w:right="0"/>
              <w:jc w:val="left"/>
              <w:rPr>
                <w:b/>
                <w:sz w:val="20"/>
                <w:szCs w:val="20"/>
              </w:rPr>
            </w:pPr>
            <w:r w:rsidRPr="00580144">
              <w:rPr>
                <w:b/>
                <w:sz w:val="20"/>
                <w:szCs w:val="20"/>
              </w:rPr>
              <w:t>Proposed</w:t>
            </w:r>
            <w:r w:rsidRPr="00580144">
              <w:rPr>
                <w:b/>
                <w:spacing w:val="9"/>
                <w:sz w:val="20"/>
                <w:szCs w:val="20"/>
              </w:rPr>
              <w:t xml:space="preserve"> </w:t>
            </w:r>
            <w:r w:rsidRPr="00580144">
              <w:rPr>
                <w:b/>
                <w:spacing w:val="-2"/>
                <w:sz w:val="20"/>
                <w:szCs w:val="20"/>
              </w:rPr>
              <w:t>System</w:t>
            </w:r>
          </w:p>
        </w:tc>
        <w:tc>
          <w:tcPr>
            <w:tcW w:w="1319" w:type="dxa"/>
            <w:tcBorders>
              <w:bottom w:val="single" w:sz="8" w:space="0" w:color="000000"/>
            </w:tcBorders>
          </w:tcPr>
          <w:p w14:paraId="2FD4CFEE" w14:textId="77777777" w:rsidR="00580144" w:rsidRPr="00580144" w:rsidRDefault="00580144" w:rsidP="001A648F">
            <w:pPr>
              <w:pStyle w:val="TableParagraph"/>
              <w:spacing w:line="178" w:lineRule="exact"/>
              <w:rPr>
                <w:b/>
                <w:sz w:val="20"/>
                <w:szCs w:val="20"/>
              </w:rPr>
            </w:pPr>
            <w:r w:rsidRPr="00580144">
              <w:rPr>
                <w:b/>
                <w:sz w:val="20"/>
                <w:szCs w:val="20"/>
              </w:rPr>
              <w:t>FT</w:t>
            </w:r>
            <w:r w:rsidRPr="00580144">
              <w:rPr>
                <w:b/>
                <w:spacing w:val="17"/>
                <w:sz w:val="20"/>
                <w:szCs w:val="20"/>
              </w:rPr>
              <w:t xml:space="preserve"> </w:t>
            </w:r>
            <w:r w:rsidRPr="00580144">
              <w:rPr>
                <w:b/>
                <w:sz w:val="20"/>
                <w:szCs w:val="20"/>
              </w:rPr>
              <w:t>+</w:t>
            </w:r>
            <w:r w:rsidRPr="00580144">
              <w:rPr>
                <w:b/>
                <w:spacing w:val="18"/>
                <w:sz w:val="20"/>
                <w:szCs w:val="20"/>
              </w:rPr>
              <w:t xml:space="preserve"> </w:t>
            </w:r>
            <w:r w:rsidRPr="00580144">
              <w:rPr>
                <w:b/>
                <w:spacing w:val="-5"/>
                <w:sz w:val="20"/>
                <w:szCs w:val="20"/>
              </w:rPr>
              <w:t>RAG</w:t>
            </w:r>
          </w:p>
        </w:tc>
        <w:tc>
          <w:tcPr>
            <w:tcW w:w="1599" w:type="dxa"/>
            <w:tcBorders>
              <w:bottom w:val="single" w:sz="8" w:space="0" w:color="000000"/>
            </w:tcBorders>
          </w:tcPr>
          <w:p w14:paraId="123997E8" w14:textId="77777777" w:rsidR="00580144" w:rsidRPr="00580144" w:rsidRDefault="00580144" w:rsidP="001A648F">
            <w:pPr>
              <w:pStyle w:val="TableParagraph"/>
              <w:spacing w:line="178" w:lineRule="exact"/>
              <w:ind w:left="1"/>
              <w:rPr>
                <w:b/>
                <w:sz w:val="20"/>
                <w:szCs w:val="20"/>
              </w:rPr>
            </w:pPr>
            <w:r w:rsidRPr="00580144">
              <w:rPr>
                <w:b/>
                <w:spacing w:val="-2"/>
                <w:sz w:val="20"/>
                <w:szCs w:val="20"/>
              </w:rPr>
              <w:t>60.08%</w:t>
            </w:r>
          </w:p>
        </w:tc>
      </w:tr>
    </w:tbl>
    <w:p w14:paraId="1A6D5717" w14:textId="77777777" w:rsidR="003A4A20" w:rsidRDefault="003A4A20" w:rsidP="003A4A20">
      <w:pPr>
        <w:spacing w:line="240" w:lineRule="auto"/>
        <w:ind w:left="142"/>
        <w:jc w:val="both"/>
        <w:rPr>
          <w:rFonts w:ascii="Times New Roman" w:hAnsi="Times New Roman" w:cs="Times New Roman"/>
          <w:iCs/>
          <w:sz w:val="20"/>
          <w:szCs w:val="20"/>
        </w:rPr>
      </w:pPr>
    </w:p>
    <w:p w14:paraId="1C983829" w14:textId="38CFE412"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A few things stand out here. First, zero-shot GPT-3.5 actually outperforms zero-shot Mistral-7B despite the latter being a newer architecture — this is expected given the parameter gap and GPT-3.5's broader pretraining. Second, adding RAG to Mistral-7B alone brings it from 44.5% to 54.1%, which is a meaningful jump and confirms that grounding the model in retrieved context helps significantly on domain-specific legal questions. The proposed system — fine-tuned Mistral-7B with RAG — reaches 60.08%, the highest of any configuration tested. The gap between RAG-only and fine-tuning+RAG suggests the two techniques are genuinely complementary rather than redundant. Fine-tuning helps the model understand legal language and reasoning patterns; RAG keeps the answers factually grounded. Neither alone gets you there.</w:t>
      </w:r>
    </w:p>
    <w:p w14:paraId="16AF2E5A" w14:textId="77777777"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 xml:space="preserve">We want to be careful not to over-interpret a single benchmark. AIBE is a useful proxy but it does not capture everything that </w:t>
      </w:r>
      <w:r w:rsidRPr="003A4A20">
        <w:rPr>
          <w:rFonts w:ascii="Times New Roman" w:hAnsi="Times New Roman" w:cs="Times New Roman"/>
          <w:iCs/>
          <w:sz w:val="20"/>
          <w:szCs w:val="20"/>
        </w:rPr>
        <w:lastRenderedPageBreak/>
        <w:t>matters in a real legal assistance setting — ambiguous queries, multi-hop reasoning, or cases where the correct answer is "this is unclear under current law."</w:t>
      </w:r>
    </w:p>
    <w:p w14:paraId="1D4A7A8F" w14:textId="5829E165" w:rsidR="00E45585" w:rsidRDefault="001912F6" w:rsidP="00E45585">
      <w:pPr>
        <w:ind w:left="142"/>
        <w:rPr>
          <w:rFonts w:ascii="Times New Roman" w:hAnsi="Times New Roman" w:cs="Times New Roman"/>
          <w:b/>
          <w:bCs/>
          <w:iCs/>
          <w:sz w:val="20"/>
          <w:szCs w:val="20"/>
        </w:rPr>
      </w:pPr>
      <w:r w:rsidRPr="001912F6">
        <w:rPr>
          <w:rFonts w:ascii="Times New Roman" w:hAnsi="Times New Roman" w:cs="Times New Roman"/>
          <w:b/>
          <w:bCs/>
          <w:iCs/>
          <w:sz w:val="20"/>
          <w:szCs w:val="20"/>
        </w:rPr>
        <w:t>F. Qualitative Output</w:t>
      </w:r>
    </w:p>
    <w:p w14:paraId="71B36314" w14:textId="77777777" w:rsidR="001912F6" w:rsidRPr="001912F6" w:rsidRDefault="001912F6" w:rsidP="009422A7">
      <w:pPr>
        <w:ind w:left="142"/>
        <w:jc w:val="both"/>
        <w:rPr>
          <w:rFonts w:ascii="Times New Roman" w:hAnsi="Times New Roman" w:cs="Times New Roman"/>
          <w:iCs/>
          <w:sz w:val="20"/>
          <w:szCs w:val="20"/>
        </w:rPr>
      </w:pPr>
      <w:r w:rsidRPr="001912F6">
        <w:rPr>
          <w:rFonts w:ascii="Times New Roman" w:hAnsi="Times New Roman" w:cs="Times New Roman"/>
          <w:iCs/>
          <w:sz w:val="20"/>
          <w:szCs w:val="20"/>
        </w:rPr>
        <w:t>Figure 1 shows a sample interaction with the deployed interface. The user asks a question about the definition of murder, and the system correctly identifies Section 300 IPC, walks through the essential ingredients of the offence, and explains the statutory exceptions — in plain English, without reproducing raw legislative text verbatim.</w:t>
      </w:r>
    </w:p>
    <w:p w14:paraId="589CEA73" w14:textId="77777777" w:rsidR="00D167EB" w:rsidRDefault="001912F6" w:rsidP="009422A7">
      <w:pPr>
        <w:spacing w:before="154" w:line="232" w:lineRule="auto"/>
        <w:ind w:left="142"/>
        <w:jc w:val="both"/>
        <w:rPr>
          <w:noProof/>
        </w:rPr>
      </w:pPr>
      <w:r w:rsidRPr="001912F6">
        <w:rPr>
          <w:rFonts w:ascii="Times New Roman" w:hAnsi="Times New Roman" w:cs="Times New Roman"/>
          <w:iCs/>
          <w:sz w:val="20"/>
          <w:szCs w:val="20"/>
        </w:rPr>
        <w:t>This is actually harder than it sounds. Early versions of the system would either quote the section directly (not useful for a layperson) or paraphrase so loosely that legal precision was lost. The fine-tuning step helped considerably here — the model learned to explain legal concepts at an accessible level while preserving the distinctions that matter.</w:t>
      </w:r>
      <w:r w:rsidR="007412B1" w:rsidRPr="007412B1">
        <w:rPr>
          <w:noProof/>
        </w:rPr>
        <w:t xml:space="preserve"> </w:t>
      </w:r>
      <w:r w:rsidR="007412B1">
        <w:rPr>
          <w:noProof/>
        </w:rPr>
        <w:drawing>
          <wp:anchor distT="0" distB="0" distL="0" distR="0" simplePos="0" relativeHeight="251658240" behindDoc="1" locked="0" layoutInCell="1" allowOverlap="1" wp14:anchorId="7501F8AC" wp14:editId="67ADCE20">
            <wp:simplePos x="0" y="0"/>
            <wp:positionH relativeFrom="page">
              <wp:posOffset>450215</wp:posOffset>
            </wp:positionH>
            <wp:positionV relativeFrom="paragraph">
              <wp:posOffset>1049655</wp:posOffset>
            </wp:positionV>
            <wp:extent cx="3200400" cy="17982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3200400" cy="1798224"/>
                    </a:xfrm>
                    <a:prstGeom prst="rect">
                      <a:avLst/>
                    </a:prstGeom>
                  </pic:spPr>
                </pic:pic>
              </a:graphicData>
            </a:graphic>
          </wp:anchor>
        </w:drawing>
      </w:r>
    </w:p>
    <w:p w14:paraId="22E7BEDE" w14:textId="77777777" w:rsid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 xml:space="preserve"> </w:t>
      </w:r>
    </w:p>
    <w:p w14:paraId="3C30843D" w14:textId="4805D5CC" w:rsidR="00D167EB" w:rsidRP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Fig. 1.</w:t>
      </w:r>
      <w:r w:rsidRPr="009422A7">
        <w:rPr>
          <w:rFonts w:ascii="Times New Roman" w:hAnsi="Times New Roman" w:cs="Times New Roman"/>
          <w:spacing w:val="40"/>
          <w:sz w:val="16"/>
        </w:rPr>
        <w:t xml:space="preserve"> </w:t>
      </w:r>
      <w:r w:rsidRPr="009422A7">
        <w:rPr>
          <w:rFonts w:ascii="Times New Roman" w:hAnsi="Times New Roman" w:cs="Times New Roman"/>
          <w:sz w:val="16"/>
        </w:rPr>
        <w:t>Experimental result showing the AI legal assistant providing statutory</w:t>
      </w:r>
      <w:r w:rsidRPr="009422A7">
        <w:rPr>
          <w:rFonts w:ascii="Times New Roman" w:hAnsi="Times New Roman" w:cs="Times New Roman"/>
          <w:spacing w:val="40"/>
          <w:sz w:val="16"/>
        </w:rPr>
        <w:t xml:space="preserve"> </w:t>
      </w:r>
      <w:r w:rsidRPr="009422A7">
        <w:rPr>
          <w:rFonts w:ascii="Times New Roman" w:hAnsi="Times New Roman" w:cs="Times New Roman"/>
          <w:sz w:val="16"/>
        </w:rPr>
        <w:t>advice with citations from the indexed knowledge base.</w:t>
      </w:r>
    </w:p>
    <w:p w14:paraId="77FE1F7C" w14:textId="2C4DE483" w:rsidR="007412B1" w:rsidRDefault="007412B1" w:rsidP="007412B1">
      <w:pPr>
        <w:ind w:left="142"/>
        <w:rPr>
          <w:rFonts w:ascii="Times New Roman" w:hAnsi="Times New Roman" w:cs="Times New Roman"/>
          <w:iCs/>
          <w:sz w:val="20"/>
          <w:szCs w:val="20"/>
        </w:rPr>
      </w:pPr>
    </w:p>
    <w:p w14:paraId="6CF6B48A" w14:textId="7AF57F0C" w:rsidR="00756CC5" w:rsidRDefault="00756CC5" w:rsidP="007412B1">
      <w:pPr>
        <w:ind w:left="142"/>
        <w:rPr>
          <w:rFonts w:ascii="Times New Roman" w:hAnsi="Times New Roman" w:cs="Times New Roman"/>
          <w:iCs/>
          <w:sz w:val="20"/>
          <w:szCs w:val="20"/>
        </w:rPr>
      </w:pPr>
      <w:r w:rsidRPr="00756CC5">
        <w:rPr>
          <w:rFonts w:ascii="Times New Roman" w:hAnsi="Times New Roman" w:cs="Times New Roman"/>
          <w:b/>
          <w:bCs/>
          <w:iCs/>
          <w:sz w:val="20"/>
          <w:szCs w:val="20"/>
        </w:rPr>
        <w:t>G. Error Analysis</w:t>
      </w:r>
    </w:p>
    <w:p w14:paraId="2E377715"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To get a clearer picture of failure modes, we manually audited 200 system responses. Not a huge sample, but enough to identify patterns.</w:t>
      </w:r>
    </w:p>
    <w:p w14:paraId="20E028A3"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Errors broke down into three categories. Retrieval failures accounted for 4% of cases — situations where the correct statute existed in the index but the retriever did not surface it in the top-3. This usually happened with queries that used informal language far removed from the statutory phrasing. Reasoning errors were slightly less common at 3%, and these were the more concerning ones — the LLM retrieved the right chunk but misread a legal exception or applied a condition incorrectly. Format errors were rare at 1%, mostly minor markdown issues in how citations were rendered.</w:t>
      </w:r>
    </w:p>
    <w:p w14:paraId="5283BE0B" w14:textId="77777777" w:rsid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The 3% reasoning error rate is lower than we expected going in. Our interpretation is that RAG grounding is doing real work here — because the model is generating from retrieved text rather than recalling legal facts from weights, the surface area for hallucination is smaller. That said, the errors that did occur in this category were not trivial. A misread exception under Section 300, for instance, is not a minor mistake in a legal context. This is an area that needs more work before any serious deployment.</w:t>
      </w:r>
    </w:p>
    <w:p w14:paraId="335DE0DE" w14:textId="77777777" w:rsidR="00AA5A98" w:rsidRPr="00AA5A98" w:rsidRDefault="00AA5A98" w:rsidP="00AA5A98">
      <w:pPr>
        <w:ind w:left="142"/>
        <w:jc w:val="center"/>
        <w:rPr>
          <w:rFonts w:ascii="Times New Roman" w:hAnsi="Times New Roman" w:cs="Times New Roman"/>
          <w:iCs/>
          <w:sz w:val="20"/>
          <w:szCs w:val="20"/>
        </w:rPr>
      </w:pPr>
      <w:r w:rsidRPr="00AA5A98">
        <w:rPr>
          <w:rFonts w:ascii="Times New Roman" w:hAnsi="Times New Roman" w:cs="Times New Roman"/>
          <w:b/>
          <w:bCs/>
          <w:iCs/>
          <w:sz w:val="20"/>
          <w:szCs w:val="20"/>
        </w:rPr>
        <w:t>V. DISCUSSION</w:t>
      </w:r>
    </w:p>
    <w:p w14:paraId="3388802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A. Impact on Legal Accessibility</w:t>
      </w:r>
    </w:p>
    <w:p w14:paraId="16A8903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India has a lawyer-to-population ratio that makes individual legal consultation inaccessible for most people, particularly in rural areas or lower income brackets. What this system tries to address — even partially — is the gap between having a legal question and having any realistic way to get it answered.</w:t>
      </w:r>
    </w:p>
    <w:p w14:paraId="5BB23F9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framing we would use is "first point of contact." Someone who receives a police notice, or is unsure whether a landlord's actions are legal, or wants to understand what a particular IPC section actually says — these people are not well served by existing options. A web search returns unreliable results. Calling a lawyer costs money they may not have. This system does not replace legal counsel, and we want to be clear about that. What it can do is help a person walk into a consultation already knowing what Section 498A says, or what the difference between cognizable and non-cognizable offences is. That shift in baseline knowledge matters.</w:t>
      </w:r>
    </w:p>
    <w:p w14:paraId="603F4080"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B. Technical Limitations</w:t>
      </w:r>
    </w:p>
    <w:p w14:paraId="759A5FD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There are real constraints worth being upfront about.</w:t>
      </w:r>
    </w:p>
    <w:p w14:paraId="3E5C9AA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most immediate is the context window. Long Supreme Court judgments — some run to dozens of pages — cannot always be fully represented in a single retrieval pass. Chunking helps but it introduces its own problems, particularly when a critical legal condition spans a chunk boundary. This is a known limitation of RAG-based systems generally, not unique to ours, but it shows up more acutely with legal text than with most other domains.</w:t>
      </w:r>
    </w:p>
    <w:p w14:paraId="01A675D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more serious long-term issue is that law changes. Statutes are amended, new judgments alter how existing provisions are interpreted, and the vector database reflects only what was indexed at a given point in time. Without regular synchronization with official gazettes and updated court records, the system will gradually drift out of date. This is not a hard technical problem but it requires ongoing maintenance that is easy to underestimate when building a research prototype.</w:t>
      </w:r>
    </w:p>
    <w:p w14:paraId="6A03FCF7"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C. Multilingual Challenges</w:t>
      </w:r>
    </w:p>
    <w:p w14:paraId="360C8898"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This is probably the hardest unsolved problem for a system targeting Indian users specifically. A significant portion of the population is more comfortable in Hindi, Tamil, Telugu, Bengali, or any number of other regional languages — not English. Legal text compounds this because even users who speak Hindi fluently may struggle with legal Hindi, which borrows heavily from Sanskrit and Urdu in ways that are not intuitive.</w:t>
      </w:r>
    </w:p>
    <w:p w14:paraId="19E0EDA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 xml:space="preserve">We have not solved this. Current retrieval works in English, and queries in other languages produce degraded results. The path forward we are exploring is NLLB-based cross-lingual retrieval, where queries in regional languages are mapped into a shared embedding space alongside English documents. Whether legal meaning survives that translation faithfully enough to be useful is an open question — and honestly, one </w:t>
      </w:r>
      <w:r w:rsidRPr="00AA5A98">
        <w:rPr>
          <w:rFonts w:ascii="Times New Roman" w:hAnsi="Times New Roman" w:cs="Times New Roman"/>
          <w:iCs/>
          <w:sz w:val="20"/>
          <w:szCs w:val="20"/>
        </w:rPr>
        <w:lastRenderedPageBreak/>
        <w:t>that needs people with both NLP and legal domain expertise to evaluate properly. Getting the grammar right in Tamil is not the same as getting the legal meaning right.</w:t>
      </w:r>
    </w:p>
    <w:p w14:paraId="11394BC3"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VI. CHALLENGES AND ETHICAL CONSIDERATIONS</w:t>
      </w:r>
    </w:p>
    <w:p w14:paraId="5E1C2EC3"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Using AI in legal settings brings up issues that go beyond accuracy scores or benchmark numbers. Here, we focus on three areas that we think need an honest discussion instead of standard reassurances.</w:t>
      </w:r>
    </w:p>
    <w:p w14:paraId="7A3ACE25"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A. Data Privacy and Sovereignty</w:t>
      </w:r>
    </w:p>
    <w:p w14:paraId="3D036371"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Legal questions aren’t the same as normal web searches. Someone asking about bail, domestic violence, or property disputes is sharing sensitive personal info, often while stressed. That context matters for how the system handles data.</w:t>
      </w:r>
    </w:p>
    <w:p w14:paraId="460AC59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Where possible, the system runs on-premise so queries never leave the organization’s infrastructure. Data is encrypted at rest and in transit. That’s not optional—it’s the baseline. The system is also designed to follow India’s new Digital Personal Data Protection (DPDP) Act. We don’t claim full legal compliance yet—that would need a proper audit—but the architecture makes some deliberate choices: local inference, no query logging by default, no third-party calls for sensitive data. It’s about trying to get privacy right from day one rather than fixing it later.</w:t>
      </w:r>
    </w:p>
    <w:p w14:paraId="264AD5AC"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B. Algorithmic Bias</w:t>
      </w:r>
    </w:p>
    <w:p w14:paraId="1FF3FA95"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Bias is trickier. Language models pick up patterns from the data they were trained on, and legal texts reflect historical inequalities across caste, gender, class, and religion in India. Fine-tuning on legal corpora does not erase these biases, and we can’t fully know what the base model learned.</w:t>
      </w:r>
    </w:p>
    <w:p w14:paraId="6DE0EA7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What we can do is put in processes. Outputs get reviewed regularly by legal professionals, focusing on queries involving marginalized groups or disputed laws. Whether that’s enough? That’s a fair question. Bias detection in legal AI is still an open problem. We’ve tried to reduce risk by grounding responses in retrieved statutes instead of relying on the model’s memory, but we don’t claim the problem is solved.</w:t>
      </w:r>
    </w:p>
    <w:p w14:paraId="688FA3E1"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C. Accountability and Legal Liability</w:t>
      </w:r>
    </w:p>
    <w:p w14:paraId="698EE80C"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If the system gives wrong information and someone acts on it, who is responsible? This isn’t theoretical.</w:t>
      </w:r>
    </w:p>
    <w:p w14:paraId="2A68F11F"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The system is explicitly a decision-support tool, not a legal advisor. Every response carries a disclaimer: this is not legal advice, and users should consult a qualified lawyer before acting. That framing matters—ethically and practically. It sets expectations and clarifies responsibility.</w:t>
      </w:r>
    </w:p>
    <w:p w14:paraId="16F70729"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Still, disclaimers have limits. A person in a rural area with no access to a lawyer may treat the output as authoritative simply because it’s the only source available. That tension doesn’t disappear by adding “not legal advice” at the bottom of every response. It’s something future deployments need to handle carefully, especially where users already face power imbalances in the legal system.</w:t>
      </w:r>
    </w:p>
    <w:p w14:paraId="07C49086"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 Future Work</w:t>
      </w:r>
    </w:p>
    <w:p w14:paraId="1AE91383"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see several immediate directions for expanding this system:</w:t>
      </w:r>
    </w:p>
    <w:p w14:paraId="7A9E5038"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Automated Document Generation:</w:t>
      </w:r>
      <w:r w:rsidRPr="00565070">
        <w:rPr>
          <w:rFonts w:ascii="Times New Roman" w:hAnsi="Times New Roman" w:cs="Times New Roman"/>
          <w:iCs/>
          <w:sz w:val="20"/>
          <w:szCs w:val="20"/>
        </w:rPr>
        <w:t xml:space="preserve"> Moving beyond answering queries to actually drafting routine legal paperwork, such as basic notices and affidavits.</w:t>
      </w:r>
    </w:p>
    <w:p w14:paraId="26786710"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e-Courts Integration:</w:t>
      </w:r>
      <w:r w:rsidRPr="00565070">
        <w:rPr>
          <w:rFonts w:ascii="Times New Roman" w:hAnsi="Times New Roman" w:cs="Times New Roman"/>
          <w:iCs/>
          <w:sz w:val="20"/>
          <w:szCs w:val="20"/>
        </w:rPr>
        <w:t xml:space="preserve"> Connecting the assistant's backend directly to the Indian e-Courts API. This would allow users to pull real-time case statuses without having to navigate the current, often confusing, web portal.</w:t>
      </w:r>
    </w:p>
    <w:p w14:paraId="741687E2"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Voice Interfaces:</w:t>
      </w:r>
      <w:r w:rsidRPr="00565070">
        <w:rPr>
          <w:rFonts w:ascii="Times New Roman" w:hAnsi="Times New Roman" w:cs="Times New Roman"/>
          <w:iCs/>
          <w:sz w:val="20"/>
          <w:szCs w:val="20"/>
        </w:rPr>
        <w:t xml:space="preserve"> Text-based chat still excludes illiterate and visually impaired populations. Integrating local Automatic Speech Recognition (ASR) is a necessary next step for genuine accessibility.</w:t>
      </w:r>
    </w:p>
    <w:p w14:paraId="1F67D659"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VIII. Conclusion</w:t>
      </w:r>
    </w:p>
    <w:p w14:paraId="6D96E7E0"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This paper details a working AI legal assistant designed specifically for the Indian legal framework. We showed that standard, off-the-shelf LLMs are inadequate for legal advice due to high hallucination rates. By combining Retrieval-Augmented Generation (RAG) with models explicitly fine-tuned on IPC and AIBE datasets, we significantly reduced these errors. The resulting system is measurably more accurate and reliable than general-purpose baselines. We recognize that substantial engineering challenges remain—particularly regarding user data privacy and handling the nuances of regional Indian languages. However, the architecture we proposed demonstrates that providing automated, factually grounded legal information at scale is a solvable problem. It offers a practical technical foundation for addressing the ongoing justice gap.</w:t>
      </w:r>
    </w:p>
    <w:p w14:paraId="514A6A85"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b/>
          <w:bCs/>
          <w:iCs/>
          <w:sz w:val="20"/>
          <w:szCs w:val="20"/>
        </w:rPr>
        <w:t>Acknowledgment</w:t>
      </w:r>
    </w:p>
    <w:p w14:paraId="2EE54AC2"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thank Karpagam College of Engineering for providing the necessary computational resources and institutional support to carry out this work.</w:t>
      </w:r>
    </w:p>
    <w:p w14:paraId="76CFDD98" w14:textId="77777777" w:rsidR="00D60548" w:rsidRPr="00D60548" w:rsidRDefault="00D60548" w:rsidP="00D60548">
      <w:pPr>
        <w:ind w:left="142"/>
        <w:jc w:val="center"/>
        <w:rPr>
          <w:rFonts w:ascii="Times New Roman" w:hAnsi="Times New Roman" w:cs="Times New Roman"/>
          <w:iCs/>
          <w:sz w:val="20"/>
          <w:szCs w:val="20"/>
        </w:rPr>
      </w:pPr>
      <w:r w:rsidRPr="00D60548">
        <w:rPr>
          <w:rFonts w:ascii="Times New Roman" w:hAnsi="Times New Roman" w:cs="Times New Roman"/>
          <w:b/>
          <w:bCs/>
          <w:iCs/>
          <w:sz w:val="20"/>
          <w:szCs w:val="20"/>
        </w:rPr>
        <w:t>REFERENCES</w:t>
      </w:r>
    </w:p>
    <w:p w14:paraId="1F750615" w14:textId="12C3D82F"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[1] J. Gupta, A. Sharma, S. Singhania, and et al., "Legal Assist AI: Leveraging Transformer Based Model for Effective Legal Assistance," 2024.</w:t>
      </w:r>
    </w:p>
    <w:p w14:paraId="677722D3"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[2] R. N. Pushpa, S. G. Walke, and D. Sharadhi, "AI Powered Legal Querying System using NLP," </w:t>
      </w:r>
      <w:r w:rsidRPr="00D60548">
        <w:rPr>
          <w:rFonts w:ascii="Times New Roman" w:hAnsi="Times New Roman" w:cs="Times New Roman"/>
          <w:i/>
          <w:iCs/>
          <w:sz w:val="20"/>
          <w:szCs w:val="20"/>
        </w:rPr>
        <w:t>Int. J. Res. Appl. Sci. Eng. Technol.</w:t>
      </w:r>
      <w:r w:rsidRPr="00D60548">
        <w:rPr>
          <w:rFonts w:ascii="Times New Roman" w:hAnsi="Times New Roman" w:cs="Times New Roman"/>
          <w:iCs/>
          <w:sz w:val="20"/>
          <w:szCs w:val="20"/>
        </w:rPr>
        <w:t>, 2024, doi: 10.22214/ijraset.2024.65895.</w:t>
      </w:r>
    </w:p>
    <w:p w14:paraId="607FF8A1"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[3] D. Panchal, A. Gole, and V. Narute, "LawPal: A Retrieval Augmented Generation Based System for Enhanced Legal Accessibility in India," </w:t>
      </w:r>
      <w:r w:rsidRPr="00D60548">
        <w:rPr>
          <w:rFonts w:ascii="Times New Roman" w:hAnsi="Times New Roman" w:cs="Times New Roman"/>
          <w:i/>
          <w:iCs/>
          <w:sz w:val="20"/>
          <w:szCs w:val="20"/>
        </w:rPr>
        <w:t>arXiv preprint</w:t>
      </w:r>
      <w:r w:rsidRPr="00D60548">
        <w:rPr>
          <w:rFonts w:ascii="Times New Roman" w:hAnsi="Times New Roman" w:cs="Times New Roman"/>
          <w:iCs/>
          <w:sz w:val="20"/>
          <w:szCs w:val="20"/>
        </w:rPr>
        <w:t>, arXiv:2502.16573, Feb. 2025.</w:t>
      </w:r>
    </w:p>
    <w:p w14:paraId="28721B9F"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[4] H. Li, Y. Chen, and Y. Hu, "LexRAG: Benchmarking Retrieval-Augmented Generation in Multi-Turn Legal Consultation Conversation," </w:t>
      </w:r>
      <w:r w:rsidRPr="00D60548">
        <w:rPr>
          <w:rFonts w:ascii="Times New Roman" w:hAnsi="Times New Roman" w:cs="Times New Roman"/>
          <w:i/>
          <w:iCs/>
          <w:sz w:val="20"/>
          <w:szCs w:val="20"/>
        </w:rPr>
        <w:t>arXiv preprint</w:t>
      </w:r>
      <w:r w:rsidRPr="00D60548">
        <w:rPr>
          <w:rFonts w:ascii="Times New Roman" w:hAnsi="Times New Roman" w:cs="Times New Roman"/>
          <w:iCs/>
          <w:sz w:val="20"/>
          <w:szCs w:val="20"/>
        </w:rPr>
        <w:t>, arXiv:2502.20640, Feb. 2025.</w:t>
      </w:r>
    </w:p>
    <w:p w14:paraId="3C9A6227"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lastRenderedPageBreak/>
        <w:t xml:space="preserve">[5] A. Dutta, K. K. Sarma, and Y. S. P., "AI Legal Assistant for IPC," in </w:t>
      </w:r>
      <w:r w:rsidRPr="00D60548">
        <w:rPr>
          <w:rFonts w:ascii="Times New Roman" w:hAnsi="Times New Roman" w:cs="Times New Roman"/>
          <w:i/>
          <w:iCs/>
          <w:sz w:val="20"/>
          <w:szCs w:val="20"/>
        </w:rPr>
        <w:t>Proc. IEEE Int. Conf. Comput. Syst. Inf. Technol. Sustain. Solut. (CSITSS)</w:t>
      </w:r>
      <w:r w:rsidRPr="00D60548">
        <w:rPr>
          <w:rFonts w:ascii="Times New Roman" w:hAnsi="Times New Roman" w:cs="Times New Roman"/>
          <w:iCs/>
          <w:sz w:val="20"/>
          <w:szCs w:val="20"/>
        </w:rPr>
        <w:t>, 2024, doi: 10.1109/csitss64042.2024.10817061.</w:t>
      </w:r>
    </w:p>
    <w:p w14:paraId="09B43F46"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[6] A. J. Shaikh, Z. Mirza, and F. J. Parkar, "Chat Kanoon: A Novel Approach to Legal Assistance in India," </w:t>
      </w:r>
      <w:r w:rsidRPr="00D60548">
        <w:rPr>
          <w:rFonts w:ascii="Times New Roman" w:hAnsi="Times New Roman" w:cs="Times New Roman"/>
          <w:i/>
          <w:iCs/>
          <w:sz w:val="20"/>
          <w:szCs w:val="20"/>
        </w:rPr>
        <w:t>J. Electr. Syst.</w:t>
      </w:r>
      <w:r w:rsidRPr="00D60548">
        <w:rPr>
          <w:rFonts w:ascii="Times New Roman" w:hAnsi="Times New Roman" w:cs="Times New Roman"/>
          <w:iCs/>
          <w:sz w:val="20"/>
          <w:szCs w:val="20"/>
        </w:rPr>
        <w:t>, vol. 20, 2024, doi: 10.52783/jes.3000.</w:t>
      </w:r>
    </w:p>
    <w:p w14:paraId="62EC1062"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[7] M. Wyawahare, S. Roy, and S. Zanwar, "Generative vs Intent-based Chatbot for Judicial Advice," in </w:t>
      </w:r>
      <w:r w:rsidRPr="00D60548">
        <w:rPr>
          <w:rFonts w:ascii="Times New Roman" w:hAnsi="Times New Roman" w:cs="Times New Roman"/>
          <w:i/>
          <w:iCs/>
          <w:sz w:val="20"/>
          <w:szCs w:val="20"/>
        </w:rPr>
        <w:t>Proc. IEEE Int. Conf. Intell. Advanc. Technol. Multidiscip. Soc. Interact. (IATMSI)</w:t>
      </w:r>
      <w:r w:rsidRPr="00D60548">
        <w:rPr>
          <w:rFonts w:ascii="Times New Roman" w:hAnsi="Times New Roman" w:cs="Times New Roman"/>
          <w:iCs/>
          <w:sz w:val="20"/>
          <w:szCs w:val="20"/>
        </w:rPr>
        <w:t>, 2024, doi: 10.1109/iatmsi60426.2024.10502550.</w:t>
      </w:r>
    </w:p>
    <w:p w14:paraId="153D6309"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[8] K. Karthick, T. Pooja, and V. G. Oviya, "Interactive Legal Assistance System using Large Language Models," in </w:t>
      </w:r>
      <w:r w:rsidRPr="00D60548">
        <w:rPr>
          <w:rFonts w:ascii="Times New Roman" w:hAnsi="Times New Roman" w:cs="Times New Roman"/>
          <w:i/>
          <w:iCs/>
          <w:sz w:val="20"/>
          <w:szCs w:val="20"/>
        </w:rPr>
        <w:t>Proc. IEEE Int. Conf. I-SMAC</w:t>
      </w:r>
      <w:r w:rsidRPr="00D60548">
        <w:rPr>
          <w:rFonts w:ascii="Times New Roman" w:hAnsi="Times New Roman" w:cs="Times New Roman"/>
          <w:iCs/>
          <w:sz w:val="20"/>
          <w:szCs w:val="20"/>
        </w:rPr>
        <w:t>, 2024, doi: 10.1109/i-smac61858.2024.10714868.</w:t>
      </w:r>
    </w:p>
    <w:p w14:paraId="6F0D052B"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[9] S. Jacob, P. M. Jacob, and J. Cheriyan, "Legal Assistance Redefined: Transforming Legal Access with AI-Powered LegalLink," in </w:t>
      </w:r>
      <w:r w:rsidRPr="00D60548">
        <w:rPr>
          <w:rFonts w:ascii="Times New Roman" w:hAnsi="Times New Roman" w:cs="Times New Roman"/>
          <w:i/>
          <w:iCs/>
          <w:sz w:val="20"/>
          <w:szCs w:val="20"/>
        </w:rPr>
        <w:t>Proc. IEEE Int. Conf. Signal Process. Intell. Comput. Energy Syst. (SPICES)</w:t>
      </w:r>
      <w:r w:rsidRPr="00D60548">
        <w:rPr>
          <w:rFonts w:ascii="Times New Roman" w:hAnsi="Times New Roman" w:cs="Times New Roman"/>
          <w:iCs/>
          <w:sz w:val="20"/>
          <w:szCs w:val="20"/>
        </w:rPr>
        <w:t>, 2024, doi: 10.1109/spices62143.2024.10779909.</w:t>
      </w:r>
    </w:p>
    <w:p w14:paraId="5B5B01FC" w14:textId="5380E59D" w:rsidR="00756CC5"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[10] "LegalMind: A Fine-Tuned Gemma-2-Based Legal Assistant for Indian Judiciary with RAG and Embedding Integration," </w:t>
      </w:r>
      <w:r w:rsidRPr="00D60548">
        <w:rPr>
          <w:rFonts w:ascii="Times New Roman" w:hAnsi="Times New Roman" w:cs="Times New Roman"/>
          <w:i/>
          <w:iCs/>
          <w:sz w:val="20"/>
          <w:szCs w:val="20"/>
        </w:rPr>
        <w:t>ITEGAM-JETIA</w:t>
      </w:r>
      <w:r w:rsidRPr="00D60548">
        <w:rPr>
          <w:rFonts w:ascii="Times New Roman" w:hAnsi="Times New Roman" w:cs="Times New Roman"/>
          <w:iCs/>
          <w:sz w:val="20"/>
          <w:szCs w:val="20"/>
        </w:rPr>
        <w:t>, 2024.</w:t>
      </w:r>
    </w:p>
    <w:p w14:paraId="744A54A6"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[11] P. Lewis, E. Perez, A. Piktus, and et al., "Retrieval-Augmented Generation for Knowledge-Intensive NLP Tasks," in </w:t>
      </w:r>
      <w:r w:rsidRPr="008433AE">
        <w:rPr>
          <w:rFonts w:ascii="Times New Roman" w:hAnsi="Times New Roman" w:cs="Times New Roman"/>
          <w:i/>
          <w:iCs/>
          <w:sz w:val="20"/>
          <w:szCs w:val="20"/>
        </w:rPr>
        <w:t>Proc. Adv. Neural Inf. Process. Syst. (NeurIPS)</w:t>
      </w:r>
      <w:r w:rsidRPr="008433AE">
        <w:rPr>
          <w:rFonts w:ascii="Times New Roman" w:hAnsi="Times New Roman" w:cs="Times New Roman"/>
          <w:iCs/>
          <w:sz w:val="20"/>
          <w:szCs w:val="20"/>
        </w:rPr>
        <w:t>, 2020, pp. 9459–9474.</w:t>
      </w:r>
    </w:p>
    <w:p w14:paraId="629E67B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[12] H. Touvron, L. Martin, K. Stone, and et al., "Llama 2: Open Foundation and Fine-Tuned Chat Models," </w:t>
      </w:r>
      <w:r w:rsidRPr="008433AE">
        <w:rPr>
          <w:rFonts w:ascii="Times New Roman" w:hAnsi="Times New Roman" w:cs="Times New Roman"/>
          <w:i/>
          <w:iCs/>
          <w:sz w:val="20"/>
          <w:szCs w:val="20"/>
        </w:rPr>
        <w:t>arXiv preprint</w:t>
      </w:r>
      <w:r w:rsidRPr="008433AE">
        <w:rPr>
          <w:rFonts w:ascii="Times New Roman" w:hAnsi="Times New Roman" w:cs="Times New Roman"/>
          <w:iCs/>
          <w:sz w:val="20"/>
          <w:szCs w:val="20"/>
        </w:rPr>
        <w:t>, arXiv:2307.09288, Jul. 2023.</w:t>
      </w:r>
    </w:p>
    <w:p w14:paraId="71FE3B7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[13] A. Q. Jiang, A. Sablayrolles, A. Mensch, and et al., "Mistral 7B," </w:t>
      </w:r>
      <w:r w:rsidRPr="008433AE">
        <w:rPr>
          <w:rFonts w:ascii="Times New Roman" w:hAnsi="Times New Roman" w:cs="Times New Roman"/>
          <w:i/>
          <w:iCs/>
          <w:sz w:val="20"/>
          <w:szCs w:val="20"/>
        </w:rPr>
        <w:t>arXiv preprint</w:t>
      </w:r>
      <w:r w:rsidRPr="008433AE">
        <w:rPr>
          <w:rFonts w:ascii="Times New Roman" w:hAnsi="Times New Roman" w:cs="Times New Roman"/>
          <w:iCs/>
          <w:sz w:val="20"/>
          <w:szCs w:val="20"/>
        </w:rPr>
        <w:t>, arXiv:2310.06825, Oct. 2023.</w:t>
      </w:r>
    </w:p>
    <w:p w14:paraId="413CF9F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[14] N. Reimers and I. Gurevych, "Sentence-BERT: Sentence Embeddings using Siamese BERT-Networks," in </w:t>
      </w:r>
      <w:r w:rsidRPr="008433AE">
        <w:rPr>
          <w:rFonts w:ascii="Times New Roman" w:hAnsi="Times New Roman" w:cs="Times New Roman"/>
          <w:i/>
          <w:iCs/>
          <w:sz w:val="20"/>
          <w:szCs w:val="20"/>
        </w:rPr>
        <w:t>Proc. Conf. Empirical Methods Natural Lang. Process. (EMNLP)</w:t>
      </w:r>
      <w:r w:rsidRPr="008433AE">
        <w:rPr>
          <w:rFonts w:ascii="Times New Roman" w:hAnsi="Times New Roman" w:cs="Times New Roman"/>
          <w:iCs/>
          <w:sz w:val="20"/>
          <w:szCs w:val="20"/>
        </w:rPr>
        <w:t>, 2019, pp. 3982–3992.</w:t>
      </w:r>
    </w:p>
    <w:p w14:paraId="5B4F0EC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[15] J. Johnson, M. Douze, and H. Jégou, "Billion-Scale Similarity Search with GPUs," </w:t>
      </w:r>
      <w:r w:rsidRPr="008433AE">
        <w:rPr>
          <w:rFonts w:ascii="Times New Roman" w:hAnsi="Times New Roman" w:cs="Times New Roman"/>
          <w:i/>
          <w:iCs/>
          <w:sz w:val="20"/>
          <w:szCs w:val="20"/>
        </w:rPr>
        <w:t>IEEE Trans. Big Data</w:t>
      </w:r>
      <w:r w:rsidRPr="008433AE">
        <w:rPr>
          <w:rFonts w:ascii="Times New Roman" w:hAnsi="Times New Roman" w:cs="Times New Roman"/>
          <w:iCs/>
          <w:sz w:val="20"/>
          <w:szCs w:val="20"/>
        </w:rPr>
        <w:t>, vol. 7, no. 3, pp. 535–547, Sep. 2021, doi: 10.1109/TBDATA.2019.2921572.</w:t>
      </w:r>
    </w:p>
    <w:p w14:paraId="02F737D9"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[16] I. Chalkidis, M. Fergadiotis, P. Malakasiotis, N. Aletras, and I. Androutsopoulos, "LEGAL-BERT: The Muppets Straight out of Law School," in </w:t>
      </w:r>
      <w:r w:rsidRPr="008433AE">
        <w:rPr>
          <w:rFonts w:ascii="Times New Roman" w:hAnsi="Times New Roman" w:cs="Times New Roman"/>
          <w:i/>
          <w:iCs/>
          <w:sz w:val="20"/>
          <w:szCs w:val="20"/>
        </w:rPr>
        <w:t>Findings of EMNLP</w:t>
      </w:r>
      <w:r w:rsidRPr="008433AE">
        <w:rPr>
          <w:rFonts w:ascii="Times New Roman" w:hAnsi="Times New Roman" w:cs="Times New Roman"/>
          <w:iCs/>
          <w:sz w:val="20"/>
          <w:szCs w:val="20"/>
        </w:rPr>
        <w:t>, 2020, pp. 2898–2904.</w:t>
      </w:r>
    </w:p>
    <w:p w14:paraId="612638D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[17] E. J. Hu, Y. Shen, P. Wallis, and et al., "LoRA: Low-Rank Adaptation of Large Language Models," in </w:t>
      </w:r>
      <w:r w:rsidRPr="008433AE">
        <w:rPr>
          <w:rFonts w:ascii="Times New Roman" w:hAnsi="Times New Roman" w:cs="Times New Roman"/>
          <w:i/>
          <w:iCs/>
          <w:sz w:val="20"/>
          <w:szCs w:val="20"/>
        </w:rPr>
        <w:t>Proc. Int. Conf. Learn. Representations (ICLR)</w:t>
      </w:r>
      <w:r w:rsidRPr="008433AE">
        <w:rPr>
          <w:rFonts w:ascii="Times New Roman" w:hAnsi="Times New Roman" w:cs="Times New Roman"/>
          <w:iCs/>
          <w:sz w:val="20"/>
          <w:szCs w:val="20"/>
        </w:rPr>
        <w:t>, 2022.</w:t>
      </w:r>
    </w:p>
    <w:p w14:paraId="125FE5CE"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[18] T. Dettmers, A. Pagnoni, A. Holtzman, and L. Zettlemoyer, "QLoRA: Efficient Finetuning of Quantized LLMs," in </w:t>
      </w:r>
      <w:r w:rsidRPr="008433AE">
        <w:rPr>
          <w:rFonts w:ascii="Times New Roman" w:hAnsi="Times New Roman" w:cs="Times New Roman"/>
          <w:i/>
          <w:iCs/>
          <w:sz w:val="20"/>
          <w:szCs w:val="20"/>
        </w:rPr>
        <w:t>Proc. Adv. Neural Inf. Process. Syst. (NeurIPS)</w:t>
      </w:r>
      <w:r w:rsidRPr="008433AE">
        <w:rPr>
          <w:rFonts w:ascii="Times New Roman" w:hAnsi="Times New Roman" w:cs="Times New Roman"/>
          <w:iCs/>
          <w:sz w:val="20"/>
          <w:szCs w:val="20"/>
        </w:rPr>
        <w:t>, 2023.</w:t>
      </w:r>
    </w:p>
    <w:p w14:paraId="03FFDBD1"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[19] S. Robertson and H. Zaragoza, "The Probabilistic Relevance Framework: BM25 and Beyond," </w:t>
      </w:r>
      <w:r w:rsidRPr="008433AE">
        <w:rPr>
          <w:rFonts w:ascii="Times New Roman" w:hAnsi="Times New Roman" w:cs="Times New Roman"/>
          <w:i/>
          <w:iCs/>
          <w:sz w:val="20"/>
          <w:szCs w:val="20"/>
        </w:rPr>
        <w:t>Found. Trends Inf. Retr.</w:t>
      </w:r>
      <w:r w:rsidRPr="008433AE">
        <w:rPr>
          <w:rFonts w:ascii="Times New Roman" w:hAnsi="Times New Roman" w:cs="Times New Roman"/>
          <w:iCs/>
          <w:sz w:val="20"/>
          <w:szCs w:val="20"/>
        </w:rPr>
        <w:t>, vol. 3, no. 4, pp. 333–389, 2009, doi: 10.1561/1500000019.</w:t>
      </w:r>
    </w:p>
    <w:p w14:paraId="09A09B73"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[20] R. Nogueira and K. Cho, "Passage Re-ranking with BERT," </w:t>
      </w:r>
      <w:r w:rsidRPr="008433AE">
        <w:rPr>
          <w:rFonts w:ascii="Times New Roman" w:hAnsi="Times New Roman" w:cs="Times New Roman"/>
          <w:i/>
          <w:iCs/>
          <w:sz w:val="20"/>
          <w:szCs w:val="20"/>
        </w:rPr>
        <w:t>arXiv preprint</w:t>
      </w:r>
      <w:r w:rsidRPr="008433AE">
        <w:rPr>
          <w:rFonts w:ascii="Times New Roman" w:hAnsi="Times New Roman" w:cs="Times New Roman"/>
          <w:iCs/>
          <w:sz w:val="20"/>
          <w:szCs w:val="20"/>
        </w:rPr>
        <w:t>, arXiv:1901.04085, Jan. 2019.</w:t>
      </w:r>
    </w:p>
    <w:p w14:paraId="1D6EAE61" w14:textId="77777777" w:rsidR="008433AE" w:rsidRPr="00756CC5" w:rsidRDefault="008433AE" w:rsidP="00D60548">
      <w:pPr>
        <w:ind w:left="142"/>
        <w:jc w:val="both"/>
        <w:rPr>
          <w:rFonts w:ascii="Times New Roman" w:hAnsi="Times New Roman" w:cs="Times New Roman"/>
          <w:iCs/>
          <w:sz w:val="20"/>
          <w:szCs w:val="20"/>
        </w:rPr>
      </w:pPr>
    </w:p>
    <w:sectPr w:rsidR="008433AE" w:rsidRPr="00756CC5" w:rsidSect="002D1EC1">
      <w:type w:val="continuous"/>
      <w:pgSz w:w="11906" w:h="16838"/>
      <w:pgMar w:top="567" w:right="849" w:bottom="1440" w:left="709"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94F"/>
    <w:multiLevelType w:val="hybridMultilevel"/>
    <w:tmpl w:val="94C828DA"/>
    <w:lvl w:ilvl="0" w:tplc="B1E04F5A">
      <w:start w:val="1"/>
      <w:numFmt w:val="upp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E2A6BA2"/>
    <w:multiLevelType w:val="hybridMultilevel"/>
    <w:tmpl w:val="83A01BBE"/>
    <w:lvl w:ilvl="0" w:tplc="43FA4026">
      <w:start w:val="1"/>
      <w:numFmt w:val="upp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2" w15:restartNumberingAfterBreak="0">
    <w:nsid w:val="45865897"/>
    <w:multiLevelType w:val="multilevel"/>
    <w:tmpl w:val="B58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50973"/>
    <w:multiLevelType w:val="multilevel"/>
    <w:tmpl w:val="4C8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9105F7"/>
    <w:multiLevelType w:val="multilevel"/>
    <w:tmpl w:val="06E2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699002">
    <w:abstractNumId w:val="0"/>
  </w:num>
  <w:num w:numId="2" w16cid:durableId="296835618">
    <w:abstractNumId w:val="1"/>
  </w:num>
  <w:num w:numId="3" w16cid:durableId="1275407827">
    <w:abstractNumId w:val="4"/>
  </w:num>
  <w:num w:numId="4" w16cid:durableId="439179486">
    <w:abstractNumId w:val="3"/>
  </w:num>
  <w:num w:numId="5" w16cid:durableId="37644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8F"/>
    <w:rsid w:val="0003128D"/>
    <w:rsid w:val="0006525A"/>
    <w:rsid w:val="00067BF3"/>
    <w:rsid w:val="00072F81"/>
    <w:rsid w:val="00092D11"/>
    <w:rsid w:val="000D71A2"/>
    <w:rsid w:val="000F0E2A"/>
    <w:rsid w:val="00154105"/>
    <w:rsid w:val="0017641D"/>
    <w:rsid w:val="001879BC"/>
    <w:rsid w:val="001912F6"/>
    <w:rsid w:val="001B1E62"/>
    <w:rsid w:val="001C1DC5"/>
    <w:rsid w:val="001E3089"/>
    <w:rsid w:val="001F7F1D"/>
    <w:rsid w:val="00263D30"/>
    <w:rsid w:val="002C0857"/>
    <w:rsid w:val="002D1EC1"/>
    <w:rsid w:val="00301A74"/>
    <w:rsid w:val="00330A74"/>
    <w:rsid w:val="00373A9F"/>
    <w:rsid w:val="00384B45"/>
    <w:rsid w:val="003A4A20"/>
    <w:rsid w:val="003D228F"/>
    <w:rsid w:val="00415BA9"/>
    <w:rsid w:val="00430AB5"/>
    <w:rsid w:val="004B2361"/>
    <w:rsid w:val="004E046F"/>
    <w:rsid w:val="00502DBF"/>
    <w:rsid w:val="00505268"/>
    <w:rsid w:val="005100B7"/>
    <w:rsid w:val="005314A9"/>
    <w:rsid w:val="0053544B"/>
    <w:rsid w:val="00565070"/>
    <w:rsid w:val="00572886"/>
    <w:rsid w:val="00580144"/>
    <w:rsid w:val="005934E5"/>
    <w:rsid w:val="005A7496"/>
    <w:rsid w:val="005E6B08"/>
    <w:rsid w:val="005F1E5D"/>
    <w:rsid w:val="006045C3"/>
    <w:rsid w:val="00625E9F"/>
    <w:rsid w:val="00653495"/>
    <w:rsid w:val="00693EE3"/>
    <w:rsid w:val="00695617"/>
    <w:rsid w:val="00696E22"/>
    <w:rsid w:val="006B3254"/>
    <w:rsid w:val="00706D16"/>
    <w:rsid w:val="007206DF"/>
    <w:rsid w:val="007412B1"/>
    <w:rsid w:val="00756CC5"/>
    <w:rsid w:val="007658A0"/>
    <w:rsid w:val="007A6C3B"/>
    <w:rsid w:val="007E17E6"/>
    <w:rsid w:val="007E52F9"/>
    <w:rsid w:val="00804B7C"/>
    <w:rsid w:val="0081737B"/>
    <w:rsid w:val="008433AE"/>
    <w:rsid w:val="008561A7"/>
    <w:rsid w:val="008B4638"/>
    <w:rsid w:val="008B7480"/>
    <w:rsid w:val="008C2F9D"/>
    <w:rsid w:val="008F096A"/>
    <w:rsid w:val="008F3A05"/>
    <w:rsid w:val="009042DB"/>
    <w:rsid w:val="009422A7"/>
    <w:rsid w:val="00954D42"/>
    <w:rsid w:val="00966EF1"/>
    <w:rsid w:val="0099372E"/>
    <w:rsid w:val="009B4829"/>
    <w:rsid w:val="00A14A79"/>
    <w:rsid w:val="00A24156"/>
    <w:rsid w:val="00A27D7D"/>
    <w:rsid w:val="00A45E0F"/>
    <w:rsid w:val="00A72087"/>
    <w:rsid w:val="00A93081"/>
    <w:rsid w:val="00AA5A98"/>
    <w:rsid w:val="00B52397"/>
    <w:rsid w:val="00C32540"/>
    <w:rsid w:val="00C915B5"/>
    <w:rsid w:val="00CD26B8"/>
    <w:rsid w:val="00CE5960"/>
    <w:rsid w:val="00CE5B94"/>
    <w:rsid w:val="00D01BC4"/>
    <w:rsid w:val="00D167EB"/>
    <w:rsid w:val="00D34ACC"/>
    <w:rsid w:val="00D60136"/>
    <w:rsid w:val="00D60548"/>
    <w:rsid w:val="00E45585"/>
    <w:rsid w:val="00E66A18"/>
    <w:rsid w:val="00E84DAE"/>
    <w:rsid w:val="00ED6AEA"/>
    <w:rsid w:val="00F419FE"/>
    <w:rsid w:val="00F572C8"/>
    <w:rsid w:val="00FB0C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0FBB"/>
  <w15:chartTrackingRefBased/>
  <w15:docId w15:val="{485FBB7A-FB4B-47FF-995B-1465AE2D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8F"/>
    <w:rPr>
      <w:rFonts w:eastAsiaTheme="majorEastAsia" w:cstheme="majorBidi"/>
      <w:color w:val="272727" w:themeColor="text1" w:themeTint="D8"/>
    </w:rPr>
  </w:style>
  <w:style w:type="paragraph" w:styleId="Title">
    <w:name w:val="Title"/>
    <w:basedOn w:val="Normal"/>
    <w:next w:val="Normal"/>
    <w:link w:val="TitleChar"/>
    <w:uiPriority w:val="10"/>
    <w:qFormat/>
    <w:rsid w:val="003D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8F"/>
    <w:pPr>
      <w:spacing w:before="160"/>
      <w:jc w:val="center"/>
    </w:pPr>
    <w:rPr>
      <w:i/>
      <w:iCs/>
      <w:color w:val="404040" w:themeColor="text1" w:themeTint="BF"/>
    </w:rPr>
  </w:style>
  <w:style w:type="character" w:customStyle="1" w:styleId="QuoteChar">
    <w:name w:val="Quote Char"/>
    <w:basedOn w:val="DefaultParagraphFont"/>
    <w:link w:val="Quote"/>
    <w:uiPriority w:val="29"/>
    <w:rsid w:val="003D228F"/>
    <w:rPr>
      <w:i/>
      <w:iCs/>
      <w:color w:val="404040" w:themeColor="text1" w:themeTint="BF"/>
    </w:rPr>
  </w:style>
  <w:style w:type="paragraph" w:styleId="ListParagraph">
    <w:name w:val="List Paragraph"/>
    <w:basedOn w:val="Normal"/>
    <w:uiPriority w:val="34"/>
    <w:qFormat/>
    <w:rsid w:val="003D228F"/>
    <w:pPr>
      <w:ind w:left="720"/>
      <w:contextualSpacing/>
    </w:pPr>
  </w:style>
  <w:style w:type="character" w:styleId="IntenseEmphasis">
    <w:name w:val="Intense Emphasis"/>
    <w:basedOn w:val="DefaultParagraphFont"/>
    <w:uiPriority w:val="21"/>
    <w:qFormat/>
    <w:rsid w:val="003D228F"/>
    <w:rPr>
      <w:i/>
      <w:iCs/>
      <w:color w:val="2F5496" w:themeColor="accent1" w:themeShade="BF"/>
    </w:rPr>
  </w:style>
  <w:style w:type="paragraph" w:styleId="IntenseQuote">
    <w:name w:val="Intense Quote"/>
    <w:basedOn w:val="Normal"/>
    <w:next w:val="Normal"/>
    <w:link w:val="IntenseQuoteChar"/>
    <w:uiPriority w:val="30"/>
    <w:qFormat/>
    <w:rsid w:val="003D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8F"/>
    <w:rPr>
      <w:i/>
      <w:iCs/>
      <w:color w:val="2F5496" w:themeColor="accent1" w:themeShade="BF"/>
    </w:rPr>
  </w:style>
  <w:style w:type="character" w:styleId="IntenseReference">
    <w:name w:val="Intense Reference"/>
    <w:basedOn w:val="DefaultParagraphFont"/>
    <w:uiPriority w:val="32"/>
    <w:qFormat/>
    <w:rsid w:val="003D228F"/>
    <w:rPr>
      <w:b/>
      <w:bCs/>
      <w:smallCaps/>
      <w:color w:val="2F5496" w:themeColor="accent1" w:themeShade="BF"/>
      <w:spacing w:val="5"/>
    </w:rPr>
  </w:style>
  <w:style w:type="paragraph" w:styleId="BodyText">
    <w:name w:val="Body Text"/>
    <w:basedOn w:val="Normal"/>
    <w:link w:val="BodyTextChar"/>
    <w:uiPriority w:val="1"/>
    <w:qFormat/>
    <w:rsid w:val="003D228F"/>
    <w:pPr>
      <w:widowControl w:val="0"/>
      <w:autoSpaceDE w:val="0"/>
      <w:autoSpaceDN w:val="0"/>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3D228F"/>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6045C3"/>
    <w:rPr>
      <w:color w:val="0563C1" w:themeColor="hyperlink"/>
      <w:u w:val="single"/>
    </w:rPr>
  </w:style>
  <w:style w:type="character" w:styleId="UnresolvedMention">
    <w:name w:val="Unresolved Mention"/>
    <w:basedOn w:val="DefaultParagraphFont"/>
    <w:uiPriority w:val="99"/>
    <w:semiHidden/>
    <w:unhideWhenUsed/>
    <w:rsid w:val="006045C3"/>
    <w:rPr>
      <w:color w:val="605E5C"/>
      <w:shd w:val="clear" w:color="auto" w:fill="E1DFDD"/>
    </w:rPr>
  </w:style>
  <w:style w:type="paragraph" w:customStyle="1" w:styleId="TableParagraph">
    <w:name w:val="Table Paragraph"/>
    <w:basedOn w:val="Normal"/>
    <w:uiPriority w:val="1"/>
    <w:qFormat/>
    <w:rsid w:val="00580144"/>
    <w:pPr>
      <w:widowControl w:val="0"/>
      <w:autoSpaceDE w:val="0"/>
      <w:autoSpaceDN w:val="0"/>
      <w:spacing w:after="0" w:line="159" w:lineRule="exact"/>
      <w:ind w:right="1"/>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Sithaarth Maheshwaran</dc:creator>
  <cp:keywords/>
  <dc:description/>
  <cp:lastModifiedBy>theaisha1707@gmail.com</cp:lastModifiedBy>
  <cp:revision>3</cp:revision>
  <dcterms:created xsi:type="dcterms:W3CDTF">2026-03-23T11:56:00Z</dcterms:created>
  <dcterms:modified xsi:type="dcterms:W3CDTF">2026-03-24T05:20:00Z</dcterms:modified>
</cp:coreProperties>
</file>