
<file path=[Content_Types].xml><?xml version="1.0" encoding="utf-8"?>
<Types xmlns="http://schemas.openxmlformats.org/package/2006/content-types">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5AFBAF" w14:textId="77777777" w:rsidR="000420D9" w:rsidRPr="000420D9" w:rsidRDefault="000420D9" w:rsidP="000420D9">
      <w:pPr>
        <w:spacing w:before="100" w:beforeAutospacing="1" w:after="100" w:afterAutospacing="1" w:line="240" w:lineRule="auto"/>
        <w:jc w:val="center"/>
        <w:outlineLvl w:val="0"/>
        <w:rPr>
          <w:rFonts w:ascii="Times New Roman" w:eastAsia="Times New Roman" w:hAnsi="Times New Roman" w:cs="Times New Roman"/>
          <w:b/>
          <w:bCs/>
          <w:kern w:val="36"/>
          <w:sz w:val="28"/>
          <w:szCs w:val="28"/>
          <w:lang w:eastAsia="en-GB"/>
        </w:rPr>
      </w:pPr>
      <w:r w:rsidRPr="000420D9">
        <w:rPr>
          <w:rFonts w:ascii="Times New Roman" w:eastAsia="Times New Roman" w:hAnsi="Times New Roman" w:cs="Times New Roman"/>
          <w:b/>
          <w:bCs/>
          <w:kern w:val="36"/>
          <w:sz w:val="28"/>
          <w:szCs w:val="28"/>
          <w:lang w:eastAsia="en-GB"/>
        </w:rPr>
        <w:t>DETERMINATION OF HEAVY METAL LEVELS IN HYBRID AND INDIGENOUS KAMBA MAIZE SEED VARIETIES FROM FARMS IN MASII, MACHAKOS COUNTY</w:t>
      </w:r>
    </w:p>
    <w:p w14:paraId="26D88DFF" w14:textId="77777777" w:rsidR="000420D9" w:rsidRPr="000420D9" w:rsidRDefault="000420D9" w:rsidP="000F0C56">
      <w:pPr>
        <w:pBdr>
          <w:bottom w:val="single" w:sz="4" w:space="1" w:color="auto"/>
        </w:pBdr>
        <w:spacing w:after="0" w:line="240" w:lineRule="auto"/>
        <w:rPr>
          <w:rFonts w:ascii="Times New Roman" w:eastAsia="Times New Roman" w:hAnsi="Times New Roman" w:cs="Times New Roman"/>
          <w:sz w:val="24"/>
          <w:szCs w:val="24"/>
          <w:lang w:eastAsia="en-GB"/>
        </w:rPr>
      </w:pPr>
    </w:p>
    <w:p w14:paraId="5CCC4355" w14:textId="77777777" w:rsidR="00EF4C45" w:rsidRDefault="00EF4C45" w:rsidP="000420D9">
      <w:pPr>
        <w:spacing w:before="100" w:beforeAutospacing="1" w:after="100" w:afterAutospacing="1" w:line="240" w:lineRule="auto"/>
        <w:outlineLvl w:val="1"/>
        <w:rPr>
          <w:rFonts w:ascii="Times New Roman" w:eastAsia="Times New Roman" w:hAnsi="Times New Roman" w:cs="Times New Roman"/>
          <w:b/>
          <w:bCs/>
          <w:sz w:val="36"/>
          <w:szCs w:val="36"/>
          <w:lang w:eastAsia="en-GB"/>
        </w:rPr>
        <w:sectPr w:rsidR="00EF4C45">
          <w:headerReference w:type="default" r:id="rId8"/>
          <w:footerReference w:type="default" r:id="rId9"/>
          <w:pgSz w:w="11906" w:h="16838"/>
          <w:pgMar w:top="1440" w:right="1440" w:bottom="1440" w:left="1440" w:header="708" w:footer="708" w:gutter="0"/>
          <w:cols w:space="708"/>
          <w:docGrid w:linePitch="360"/>
        </w:sectPr>
      </w:pPr>
    </w:p>
    <w:p w14:paraId="233FE999" w14:textId="77777777" w:rsidR="000420D9" w:rsidRPr="000420D9" w:rsidRDefault="000420D9" w:rsidP="00011E3D">
      <w:pPr>
        <w:pBdr>
          <w:bottom w:val="single" w:sz="4" w:space="1" w:color="auto"/>
        </w:pBdr>
        <w:spacing w:before="100" w:beforeAutospacing="1" w:after="100" w:afterAutospacing="1" w:line="240" w:lineRule="auto"/>
        <w:outlineLvl w:val="1"/>
        <w:rPr>
          <w:rFonts w:ascii="Times New Roman" w:eastAsia="Times New Roman" w:hAnsi="Times New Roman" w:cs="Times New Roman"/>
          <w:b/>
          <w:bCs/>
          <w:sz w:val="24"/>
          <w:szCs w:val="24"/>
          <w:lang w:eastAsia="en-GB"/>
        </w:rPr>
      </w:pPr>
      <w:r w:rsidRPr="000420D9">
        <w:rPr>
          <w:rFonts w:ascii="Times New Roman" w:eastAsia="Times New Roman" w:hAnsi="Times New Roman" w:cs="Times New Roman"/>
          <w:b/>
          <w:bCs/>
          <w:sz w:val="24"/>
          <w:szCs w:val="24"/>
          <w:lang w:eastAsia="en-GB"/>
        </w:rPr>
        <w:t>ARTICLE INFO</w:t>
      </w:r>
    </w:p>
    <w:p w14:paraId="65F164A0" w14:textId="15A9E6A0" w:rsidR="000420D9" w:rsidRPr="000420D9" w:rsidRDefault="000420D9" w:rsidP="00011E3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b/>
          <w:bCs/>
          <w:sz w:val="24"/>
          <w:szCs w:val="24"/>
          <w:lang w:eastAsia="en-GB"/>
        </w:rPr>
        <w:t>Keywords:</w:t>
      </w:r>
      <w:r w:rsidRPr="000420D9">
        <w:rPr>
          <w:rFonts w:ascii="Times New Roman" w:eastAsia="Times New Roman" w:hAnsi="Times New Roman" w:cs="Times New Roman"/>
          <w:sz w:val="24"/>
          <w:szCs w:val="24"/>
          <w:lang w:eastAsia="en-GB"/>
        </w:rPr>
        <w:t xml:space="preserve"> Heavy metals, Maize seeds, Atomic Absorption Spectroscopy, SC Duma 43, SC Sungura 301, Indigenous Kamba maize, Lead, Cadmium, Food safety, Machakos County</w:t>
      </w:r>
      <w:r w:rsidR="00F057F5">
        <w:rPr>
          <w:rFonts w:ascii="Times New Roman" w:eastAsia="Times New Roman" w:hAnsi="Times New Roman" w:cs="Times New Roman"/>
          <w:sz w:val="24"/>
          <w:szCs w:val="24"/>
          <w:lang w:eastAsia="en-GB"/>
        </w:rPr>
        <w:t>.</w:t>
      </w:r>
    </w:p>
    <w:p w14:paraId="78AE4A5A" w14:textId="77777777" w:rsidR="000420D9" w:rsidRPr="000420D9" w:rsidRDefault="000420D9" w:rsidP="00011E3D">
      <w:pPr>
        <w:pBdr>
          <w:bottom w:val="single" w:sz="4" w:space="1" w:color="auto"/>
        </w:pBdr>
        <w:spacing w:after="0" w:line="240" w:lineRule="auto"/>
        <w:rPr>
          <w:rFonts w:ascii="Times New Roman" w:eastAsia="Times New Roman" w:hAnsi="Times New Roman" w:cs="Times New Roman"/>
          <w:sz w:val="24"/>
          <w:szCs w:val="24"/>
          <w:lang w:eastAsia="en-GB"/>
        </w:rPr>
      </w:pPr>
    </w:p>
    <w:p w14:paraId="5167650A" w14:textId="77777777" w:rsidR="000420D9" w:rsidRPr="000420D9" w:rsidRDefault="00011E3D" w:rsidP="00665BAD">
      <w:pPr>
        <w:pBdr>
          <w:bottom w:val="single" w:sz="4" w:space="1" w:color="auto"/>
        </w:pBdr>
        <w:spacing w:before="100" w:beforeAutospacing="1" w:after="100" w:afterAutospacing="1" w:line="240" w:lineRule="auto"/>
        <w:outlineLvl w:val="1"/>
        <w:rPr>
          <w:rFonts w:ascii="Times New Roman" w:eastAsia="Times New Roman" w:hAnsi="Times New Roman" w:cs="Times New Roman"/>
          <w:b/>
          <w:bCs/>
          <w:sz w:val="24"/>
          <w:szCs w:val="24"/>
          <w:lang w:eastAsia="en-GB"/>
        </w:rPr>
      </w:pPr>
      <w:r>
        <w:rPr>
          <w:rFonts w:ascii="Times New Roman" w:eastAsia="Times New Roman" w:hAnsi="Times New Roman" w:cs="Times New Roman"/>
          <w:b/>
          <w:bCs/>
          <w:sz w:val="36"/>
          <w:szCs w:val="36"/>
          <w:lang w:eastAsia="en-GB"/>
        </w:rPr>
        <w:br w:type="column"/>
      </w:r>
      <w:r w:rsidR="000420D9" w:rsidRPr="000420D9">
        <w:rPr>
          <w:rFonts w:ascii="Times New Roman" w:eastAsia="Times New Roman" w:hAnsi="Times New Roman" w:cs="Times New Roman"/>
          <w:b/>
          <w:bCs/>
          <w:sz w:val="24"/>
          <w:szCs w:val="24"/>
          <w:lang w:eastAsia="en-GB"/>
        </w:rPr>
        <w:t>ABSTRACT</w:t>
      </w:r>
    </w:p>
    <w:p w14:paraId="069C24B3" w14:textId="77777777" w:rsidR="009E53C3" w:rsidRDefault="000420D9" w:rsidP="00665BA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sz w:val="24"/>
          <w:szCs w:val="24"/>
          <w:lang w:eastAsia="en-GB"/>
        </w:rPr>
        <w:t xml:space="preserve">Maize is a staple food consumed by millions of people in Kenya, yet heavy metal contamination in maize seeds poses significant health risks to consumers. This study was designed to determine the levels of lead (Pb), cadmium (Cd), zinc (Zn), copper (Cu), and manganese (Mn) in three maize seed varieties harvested from </w:t>
      </w:r>
      <w:proofErr w:type="spellStart"/>
      <w:r w:rsidRPr="000420D9">
        <w:rPr>
          <w:rFonts w:ascii="Times New Roman" w:eastAsia="Times New Roman" w:hAnsi="Times New Roman" w:cs="Times New Roman"/>
          <w:sz w:val="24"/>
          <w:szCs w:val="24"/>
          <w:lang w:eastAsia="en-GB"/>
        </w:rPr>
        <w:t>Masii</w:t>
      </w:r>
      <w:proofErr w:type="spellEnd"/>
      <w:r w:rsidRPr="000420D9">
        <w:rPr>
          <w:rFonts w:ascii="Times New Roman" w:eastAsia="Times New Roman" w:hAnsi="Times New Roman" w:cs="Times New Roman"/>
          <w:sz w:val="24"/>
          <w:szCs w:val="24"/>
          <w:lang w:eastAsia="en-GB"/>
        </w:rPr>
        <w:t xml:space="preserve"> Location, Mwala Sub-County, Machakos County, Kenya. Fresh and dry samples of SC Duma 43 and SC Sungura 301 hybrids, along with the Indigenous Kamba (</w:t>
      </w:r>
      <w:proofErr w:type="spellStart"/>
      <w:r w:rsidRPr="000420D9">
        <w:rPr>
          <w:rFonts w:ascii="Times New Roman" w:eastAsia="Times New Roman" w:hAnsi="Times New Roman" w:cs="Times New Roman"/>
          <w:sz w:val="24"/>
          <w:szCs w:val="24"/>
          <w:lang w:eastAsia="en-GB"/>
        </w:rPr>
        <w:t>Kinyaanya</w:t>
      </w:r>
      <w:proofErr w:type="spellEnd"/>
      <w:r w:rsidRPr="000420D9">
        <w:rPr>
          <w:rFonts w:ascii="Times New Roman" w:eastAsia="Times New Roman" w:hAnsi="Times New Roman" w:cs="Times New Roman"/>
          <w:sz w:val="24"/>
          <w:szCs w:val="24"/>
          <w:lang w:eastAsia="en-GB"/>
        </w:rPr>
        <w:t xml:space="preserve">) maize seeds, were collected from selected farms in </w:t>
      </w:r>
      <w:proofErr w:type="spellStart"/>
      <w:r w:rsidRPr="000420D9">
        <w:rPr>
          <w:rFonts w:ascii="Times New Roman" w:eastAsia="Times New Roman" w:hAnsi="Times New Roman" w:cs="Times New Roman"/>
          <w:sz w:val="24"/>
          <w:szCs w:val="24"/>
          <w:lang w:eastAsia="en-GB"/>
        </w:rPr>
        <w:t>Mbaani</w:t>
      </w:r>
      <w:proofErr w:type="spellEnd"/>
      <w:r w:rsidRPr="000420D9">
        <w:rPr>
          <w:rFonts w:ascii="Times New Roman" w:eastAsia="Times New Roman" w:hAnsi="Times New Roman" w:cs="Times New Roman"/>
          <w:sz w:val="24"/>
          <w:szCs w:val="24"/>
          <w:lang w:eastAsia="en-GB"/>
        </w:rPr>
        <w:t xml:space="preserve">, </w:t>
      </w:r>
      <w:proofErr w:type="spellStart"/>
      <w:r w:rsidRPr="000420D9">
        <w:rPr>
          <w:rFonts w:ascii="Times New Roman" w:eastAsia="Times New Roman" w:hAnsi="Times New Roman" w:cs="Times New Roman"/>
          <w:sz w:val="24"/>
          <w:szCs w:val="24"/>
          <w:lang w:eastAsia="en-GB"/>
        </w:rPr>
        <w:t>Kathama</w:t>
      </w:r>
      <w:proofErr w:type="spellEnd"/>
      <w:r w:rsidRPr="000420D9">
        <w:rPr>
          <w:rFonts w:ascii="Times New Roman" w:eastAsia="Times New Roman" w:hAnsi="Times New Roman" w:cs="Times New Roman"/>
          <w:sz w:val="24"/>
          <w:szCs w:val="24"/>
          <w:lang w:eastAsia="en-GB"/>
        </w:rPr>
        <w:t xml:space="preserve">, and </w:t>
      </w:r>
      <w:proofErr w:type="spellStart"/>
      <w:r w:rsidRPr="000420D9">
        <w:rPr>
          <w:rFonts w:ascii="Times New Roman" w:eastAsia="Times New Roman" w:hAnsi="Times New Roman" w:cs="Times New Roman"/>
          <w:sz w:val="24"/>
          <w:szCs w:val="24"/>
          <w:lang w:eastAsia="en-GB"/>
        </w:rPr>
        <w:t>Muthei</w:t>
      </w:r>
      <w:proofErr w:type="spellEnd"/>
      <w:r w:rsidRPr="000420D9">
        <w:rPr>
          <w:rFonts w:ascii="Times New Roman" w:eastAsia="Times New Roman" w:hAnsi="Times New Roman" w:cs="Times New Roman"/>
          <w:sz w:val="24"/>
          <w:szCs w:val="24"/>
          <w:lang w:eastAsia="en-GB"/>
        </w:rPr>
        <w:t xml:space="preserve"> Wards. The samples were transported to the Department of Chemistry, University of Nairobi, where they were dried, ground, and digested using an optimized acid mixture (2.5:0.75:0.5 ratio of HNO₃, </w:t>
      </w:r>
      <w:proofErr w:type="spellStart"/>
      <w:r w:rsidRPr="000420D9">
        <w:rPr>
          <w:rFonts w:ascii="Times New Roman" w:eastAsia="Times New Roman" w:hAnsi="Times New Roman" w:cs="Times New Roman"/>
          <w:sz w:val="24"/>
          <w:szCs w:val="24"/>
          <w:lang w:eastAsia="en-GB"/>
        </w:rPr>
        <w:t>HClO</w:t>
      </w:r>
      <w:proofErr w:type="spellEnd"/>
      <w:r w:rsidRPr="000420D9">
        <w:rPr>
          <w:rFonts w:ascii="Times New Roman" w:eastAsia="Times New Roman" w:hAnsi="Times New Roman" w:cs="Times New Roman"/>
          <w:sz w:val="24"/>
          <w:szCs w:val="24"/>
          <w:lang w:eastAsia="en-GB"/>
        </w:rPr>
        <w:t xml:space="preserve">₄, and H₂O₂) at 105°C for 2 hours 30 minutes. Heavy metal analysis was performed using Atomic Absorption Spectroscopy (AAS). Results showed that zinc levels ranged from 0.343 ± 0.0505 mg/g to 0.389 ± 0.0007 mg/g, cadmium from 0.562 ± 0.217 mg/g to 1.998 ± 0.110 mg/g, copper from 0.700 ± 0.0380 mg/g to 0.756 ± 0.101 mg/g, manganese from 0.270 ± 0.0586 mg/g to 2.745 ± 0.851 mg/g, and lead from 8.247 ± 0.798 mg/g to 10.449 ± 0.398 mg/g. While zinc, copper, and manganese levels were below the recommended limits set by the World Health Organization (WHO), Food and Agriculture Organization (FAO), and Kenya Bureau of Standards (KEBS), their presence warrants attention due to potential bioaccumulation effects. Critically, cadmium and lead concentrations exceeded the permissible limits of 0.1-0.5 mg/g, with lead showing particularly alarming levels across all three varieties. These findings indicate that the </w:t>
      </w:r>
      <w:proofErr w:type="spellStart"/>
      <w:r w:rsidRPr="000420D9">
        <w:rPr>
          <w:rFonts w:ascii="Times New Roman" w:eastAsia="Times New Roman" w:hAnsi="Times New Roman" w:cs="Times New Roman"/>
          <w:sz w:val="24"/>
          <w:szCs w:val="24"/>
          <w:lang w:eastAsia="en-GB"/>
        </w:rPr>
        <w:t>analyzed</w:t>
      </w:r>
      <w:proofErr w:type="spellEnd"/>
      <w:r w:rsidRPr="000420D9">
        <w:rPr>
          <w:rFonts w:ascii="Times New Roman" w:eastAsia="Times New Roman" w:hAnsi="Times New Roman" w:cs="Times New Roman"/>
          <w:sz w:val="24"/>
          <w:szCs w:val="24"/>
          <w:lang w:eastAsia="en-GB"/>
        </w:rPr>
        <w:t xml:space="preserve"> maize seeds pose serious health risks and are not safe for human consumption. The study highlights the urgent need for regular monitoring of heavy metal contamination in food crops and implementation of remediation strategies to protect public health in Machakos County a</w:t>
      </w:r>
      <w:r w:rsidR="000F0C56">
        <w:rPr>
          <w:rFonts w:ascii="Times New Roman" w:eastAsia="Times New Roman" w:hAnsi="Times New Roman" w:cs="Times New Roman"/>
          <w:sz w:val="24"/>
          <w:szCs w:val="24"/>
          <w:lang w:eastAsia="en-GB"/>
        </w:rPr>
        <w:t>nd similar agricultural regions</w:t>
      </w:r>
    </w:p>
    <w:p w14:paraId="2F38A85E" w14:textId="77777777" w:rsidR="007C5034" w:rsidRDefault="007C5034" w:rsidP="00011E3D">
      <w:pPr>
        <w:spacing w:before="100" w:beforeAutospacing="1" w:after="100" w:afterAutospacing="1" w:line="240" w:lineRule="auto"/>
        <w:jc w:val="both"/>
        <w:rPr>
          <w:rFonts w:ascii="Times New Roman" w:eastAsia="Times New Roman" w:hAnsi="Times New Roman" w:cs="Times New Roman"/>
          <w:sz w:val="24"/>
          <w:szCs w:val="24"/>
          <w:lang w:eastAsia="en-GB"/>
        </w:rPr>
      </w:pPr>
    </w:p>
    <w:p w14:paraId="2B9FE09D" w14:textId="77777777" w:rsidR="007C5034" w:rsidRDefault="007C5034" w:rsidP="00011E3D">
      <w:pPr>
        <w:spacing w:before="100" w:beforeAutospacing="1" w:after="100" w:afterAutospacing="1" w:line="240" w:lineRule="auto"/>
        <w:jc w:val="both"/>
        <w:rPr>
          <w:rFonts w:ascii="Times New Roman" w:eastAsia="Times New Roman" w:hAnsi="Times New Roman" w:cs="Times New Roman"/>
          <w:sz w:val="24"/>
          <w:szCs w:val="24"/>
          <w:lang w:eastAsia="en-GB"/>
        </w:rPr>
        <w:sectPr w:rsidR="007C5034" w:rsidSect="007C5034">
          <w:type w:val="continuous"/>
          <w:pgSz w:w="11906" w:h="16838"/>
          <w:pgMar w:top="1440" w:right="1440" w:bottom="1440" w:left="1440" w:header="708" w:footer="708" w:gutter="0"/>
          <w:cols w:num="2" w:space="385" w:equalWidth="0">
            <w:col w:w="2642" w:space="385"/>
            <w:col w:w="5999"/>
          </w:cols>
          <w:docGrid w:linePitch="360"/>
        </w:sectPr>
      </w:pPr>
    </w:p>
    <w:p w14:paraId="2F789EEF" w14:textId="77777777" w:rsidR="000420D9" w:rsidRPr="000420D9" w:rsidRDefault="000420D9" w:rsidP="0038231D">
      <w:pPr>
        <w:spacing w:before="100" w:beforeAutospacing="1" w:after="100" w:afterAutospacing="1" w:line="240" w:lineRule="auto"/>
        <w:jc w:val="both"/>
        <w:outlineLvl w:val="1"/>
        <w:rPr>
          <w:rFonts w:ascii="Times New Roman" w:eastAsia="Times New Roman" w:hAnsi="Times New Roman" w:cs="Times New Roman"/>
          <w:b/>
          <w:bCs/>
          <w:sz w:val="24"/>
          <w:szCs w:val="24"/>
          <w:lang w:eastAsia="en-GB"/>
        </w:rPr>
      </w:pPr>
      <w:r w:rsidRPr="000420D9">
        <w:rPr>
          <w:rFonts w:ascii="Times New Roman" w:eastAsia="Times New Roman" w:hAnsi="Times New Roman" w:cs="Times New Roman"/>
          <w:b/>
          <w:bCs/>
          <w:sz w:val="24"/>
          <w:szCs w:val="24"/>
          <w:lang w:eastAsia="en-GB"/>
        </w:rPr>
        <w:lastRenderedPageBreak/>
        <w:t>1.0 INTRODUCTION</w:t>
      </w:r>
    </w:p>
    <w:p w14:paraId="4175FDA2" w14:textId="77777777" w:rsidR="000420D9" w:rsidRPr="000420D9" w:rsidRDefault="000420D9" w:rsidP="0038231D">
      <w:pPr>
        <w:spacing w:before="100" w:beforeAutospacing="1" w:after="100" w:afterAutospacing="1" w:line="240" w:lineRule="auto"/>
        <w:jc w:val="both"/>
        <w:outlineLvl w:val="2"/>
        <w:rPr>
          <w:rFonts w:ascii="Times New Roman" w:eastAsia="Times New Roman" w:hAnsi="Times New Roman" w:cs="Times New Roman"/>
          <w:b/>
          <w:bCs/>
          <w:sz w:val="27"/>
          <w:szCs w:val="27"/>
          <w:lang w:eastAsia="en-GB"/>
        </w:rPr>
      </w:pPr>
      <w:r w:rsidRPr="000420D9">
        <w:rPr>
          <w:rFonts w:ascii="Times New Roman" w:eastAsia="Times New Roman" w:hAnsi="Times New Roman" w:cs="Times New Roman"/>
          <w:b/>
          <w:bCs/>
          <w:sz w:val="27"/>
          <w:szCs w:val="27"/>
          <w:lang w:eastAsia="en-GB"/>
        </w:rPr>
        <w:t xml:space="preserve">1.1 </w:t>
      </w:r>
      <w:r w:rsidRPr="000420D9">
        <w:rPr>
          <w:rFonts w:ascii="Times New Roman" w:eastAsia="Times New Roman" w:hAnsi="Times New Roman" w:cs="Times New Roman"/>
          <w:b/>
          <w:bCs/>
          <w:sz w:val="24"/>
          <w:szCs w:val="24"/>
          <w:lang w:eastAsia="en-GB"/>
        </w:rPr>
        <w:t>Background of the Study</w:t>
      </w:r>
    </w:p>
    <w:p w14:paraId="668FFC47" w14:textId="77777777" w:rsidR="000420D9" w:rsidRPr="000420D9" w:rsidRDefault="000420D9"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sz w:val="24"/>
          <w:szCs w:val="24"/>
          <w:lang w:eastAsia="en-GB"/>
        </w:rPr>
        <w:t>Maize (Zea mays L.) stands as one of the most important cereal crops worldwide and serves as a primary staple food for billions of people, particularly in sub-Saharan Africa. In Kenya, maize occupies a central position in food security, with the majority of households depending on it as their main source of calories and nutrition. The crop is cultivated across diverse agro-ecological zones in the country, with Machakos County being one of the significant production areas. However, the safety and nutritional quality of maize can be compromised by the presence of heavy metal contaminants, which pose substantial risks to human health and environmental integrity.</w:t>
      </w:r>
    </w:p>
    <w:p w14:paraId="3CCE141F" w14:textId="77777777" w:rsidR="000420D9" w:rsidRPr="000420D9" w:rsidRDefault="000420D9"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sz w:val="24"/>
          <w:szCs w:val="24"/>
          <w:lang w:eastAsia="en-GB"/>
        </w:rPr>
        <w:t>Heavy metals are defined as chemical elements with relatively high atomic weights and densities that exhibit strong toxic effects even at low concentrations. These metallic elements are persistent in the environment, non-biodegradable, and have a tendency to bioaccumulate in living organisms, making them particularly dangerous environmental pollutants. The primary heavy metals of concern in agricultural systems include lead (Pb), cadmium (Cd), zinc (Zn), copper (Cu), and manganese (Mn), among others. Their presence in agricultural soils and subsequently in food crops has become a matter of increasing concern among researchers, public health officials, and policymakers worldwide.</w:t>
      </w:r>
    </w:p>
    <w:p w14:paraId="48E6CB6B" w14:textId="77777777" w:rsidR="000420D9" w:rsidRPr="000420D9" w:rsidRDefault="000420D9"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sz w:val="24"/>
          <w:szCs w:val="24"/>
          <w:lang w:eastAsia="en-GB"/>
        </w:rPr>
        <w:t xml:space="preserve">The contamination of agricultural soils with heavy metals occurs through various anthropogenic and natural pathways. Industrial activities such as mining, smelting, and manufacturing release substantial amounts of heavy metals into the environment, contaminating both soil and water resources used for irrigation. Agricultural practices themselves </w:t>
      </w:r>
      <w:r w:rsidRPr="000420D9">
        <w:rPr>
          <w:rFonts w:ascii="Times New Roman" w:eastAsia="Times New Roman" w:hAnsi="Times New Roman" w:cs="Times New Roman"/>
          <w:sz w:val="24"/>
          <w:szCs w:val="24"/>
          <w:lang w:eastAsia="en-GB"/>
        </w:rPr>
        <w:t xml:space="preserve">contribute to this problem through the long-term application of phosphate fertilizers, which often contain heavy metal impurities, the use of pesticides with metallic components, and the application of sewage sludge as soil amendment. Additionally, atmospheric deposition from vehicle emissions and industrial discharges introduces heavy metals into farmlands, particularly in areas close to urban </w:t>
      </w:r>
      <w:proofErr w:type="spellStart"/>
      <w:r w:rsidRPr="000420D9">
        <w:rPr>
          <w:rFonts w:ascii="Times New Roman" w:eastAsia="Times New Roman" w:hAnsi="Times New Roman" w:cs="Times New Roman"/>
          <w:sz w:val="24"/>
          <w:szCs w:val="24"/>
          <w:lang w:eastAsia="en-GB"/>
        </w:rPr>
        <w:t>centers</w:t>
      </w:r>
      <w:proofErr w:type="spellEnd"/>
      <w:r w:rsidRPr="000420D9">
        <w:rPr>
          <w:rFonts w:ascii="Times New Roman" w:eastAsia="Times New Roman" w:hAnsi="Times New Roman" w:cs="Times New Roman"/>
          <w:sz w:val="24"/>
          <w:szCs w:val="24"/>
          <w:lang w:eastAsia="en-GB"/>
        </w:rPr>
        <w:t xml:space="preserve"> or industrial zones. Natural geological formations in certain regions may also contribute elevated levels of specific heavy metals to the soil.</w:t>
      </w:r>
    </w:p>
    <w:p w14:paraId="59169FC3" w14:textId="77777777" w:rsidR="000420D9" w:rsidRPr="000420D9" w:rsidRDefault="000420D9"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sz w:val="24"/>
          <w:szCs w:val="24"/>
          <w:lang w:eastAsia="en-GB"/>
        </w:rPr>
        <w:t>Maize plants are known to be sensitive to heavy metal stress and can absorb these contaminants from the soil through their root systems. Once absorbed, heavy metals are transported to various plant parts, including the grains, where they accumulate to varying degrees. The extent of accumulation depends on multiple factors including the concentration of metals in the soil, the specific metal type, the maize variety, soil pH, organic matter content, and prevailing environmental conditions. Research has demonstrated that different maize varieties exhibit varying capacities for heavy metal uptake and accumulation, with some cultivars showing higher susceptibility than others. Understanding these varietal differences is essential for developing appropriate mitigation strategies and breeding programs aimed at reducing heavy metal accumulation in edible portions of the crop.</w:t>
      </w:r>
    </w:p>
    <w:p w14:paraId="53FBD827" w14:textId="77777777" w:rsidR="000420D9" w:rsidRPr="000420D9" w:rsidRDefault="000420D9"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sz w:val="24"/>
          <w:szCs w:val="24"/>
          <w:lang w:eastAsia="en-GB"/>
        </w:rPr>
        <w:t xml:space="preserve">The health implications of consuming heavy metal-contaminated maize are severe and multifaceted. Lead exposure, even at relatively low levels, has been associated with neurodevelopmental problems in children, including reduced intelligence quotient (IQ), learning disabilities, and </w:t>
      </w:r>
      <w:proofErr w:type="spellStart"/>
      <w:r w:rsidRPr="000420D9">
        <w:rPr>
          <w:rFonts w:ascii="Times New Roman" w:eastAsia="Times New Roman" w:hAnsi="Times New Roman" w:cs="Times New Roman"/>
          <w:sz w:val="24"/>
          <w:szCs w:val="24"/>
          <w:lang w:eastAsia="en-GB"/>
        </w:rPr>
        <w:t>behavioral</w:t>
      </w:r>
      <w:proofErr w:type="spellEnd"/>
      <w:r w:rsidRPr="000420D9">
        <w:rPr>
          <w:rFonts w:ascii="Times New Roman" w:eastAsia="Times New Roman" w:hAnsi="Times New Roman" w:cs="Times New Roman"/>
          <w:sz w:val="24"/>
          <w:szCs w:val="24"/>
          <w:lang w:eastAsia="en-GB"/>
        </w:rPr>
        <w:t xml:space="preserve"> disorders. In adults, chronic lead exposure can lead to hypertension, cardiovascular disease, kidney damage, and reproductive problems. Cadmium, classified as a human carcinogen by </w:t>
      </w:r>
      <w:r w:rsidRPr="000420D9">
        <w:rPr>
          <w:rFonts w:ascii="Times New Roman" w:eastAsia="Times New Roman" w:hAnsi="Times New Roman" w:cs="Times New Roman"/>
          <w:sz w:val="24"/>
          <w:szCs w:val="24"/>
          <w:lang w:eastAsia="en-GB"/>
        </w:rPr>
        <w:lastRenderedPageBreak/>
        <w:t>international health agencies, accumulates primarily in the kidneys and liver, causing nephrotoxicity, hepatotoxicity, and bone disease. It interferes with calcium metabolism and can lead to osteoporosis and skeletal damage. Both lead and cadmium have been shown to induce oxidative stress, damage deoxyribonucleic acid (DNA), and disrupt multiple physiological systems including the endocrine, cardiovascular, and reproductive systems.</w:t>
      </w:r>
    </w:p>
    <w:p w14:paraId="7FA0219D" w14:textId="77777777" w:rsidR="000420D9" w:rsidRPr="000420D9" w:rsidRDefault="000420D9"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sz w:val="24"/>
          <w:szCs w:val="24"/>
          <w:lang w:eastAsia="en-GB"/>
        </w:rPr>
        <w:t xml:space="preserve">While zinc, copper, and manganese are essential micronutrients required for normal physiological functions, their presence in excessive amounts can be equally harmful. Zinc toxicity manifests as gastrointestinal distress, including nausea, vomiting, and </w:t>
      </w:r>
      <w:proofErr w:type="spellStart"/>
      <w:r w:rsidRPr="000420D9">
        <w:rPr>
          <w:rFonts w:ascii="Times New Roman" w:eastAsia="Times New Roman" w:hAnsi="Times New Roman" w:cs="Times New Roman"/>
          <w:sz w:val="24"/>
          <w:szCs w:val="24"/>
          <w:lang w:eastAsia="en-GB"/>
        </w:rPr>
        <w:t>diarrhea</w:t>
      </w:r>
      <w:proofErr w:type="spellEnd"/>
      <w:r w:rsidRPr="000420D9">
        <w:rPr>
          <w:rFonts w:ascii="Times New Roman" w:eastAsia="Times New Roman" w:hAnsi="Times New Roman" w:cs="Times New Roman"/>
          <w:sz w:val="24"/>
          <w:szCs w:val="24"/>
          <w:lang w:eastAsia="en-GB"/>
        </w:rPr>
        <w:t>, and can interfere with the absorption of other essential minerals such as iron and copper, leading to secondary deficiencies. Excessive copper intake causes liver damage, neurological problems, and can trigger Wilson's disease-like symptoms. Manganese toxicity primarily affects the central nervous system, potentially causing a condition resembling Parkinson's disease, characterized by tremors, difficulty walking, and facial muscle spasms.</w:t>
      </w:r>
    </w:p>
    <w:p w14:paraId="3D366EE2" w14:textId="77777777" w:rsidR="000420D9" w:rsidRPr="000420D9" w:rsidRDefault="000420D9"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sz w:val="24"/>
          <w:szCs w:val="24"/>
          <w:lang w:eastAsia="en-GB"/>
        </w:rPr>
        <w:t xml:space="preserve">This research aligns with several United Nations Sustainable Development Goals (SDGs), demonstrating its broader significance beyond immediate health concerns. SDG 2, which focuses on achieving zero hunger and ensuring access to safe and nutritious food, is directly addressed through this study's emphasis on food safety and the identification of contamination risks. SDG 3, promoting good health and wellbeing, is supported by efforts to prevent both acute and chronic health issues arising from heavy metal exposure. The study contributes to SDG 6 on clean water and sanitation by highlighting how contaminated irrigation water can affect food safety. Furthermore, it supports SDG 12 on responsible </w:t>
      </w:r>
      <w:r w:rsidRPr="000420D9">
        <w:rPr>
          <w:rFonts w:ascii="Times New Roman" w:eastAsia="Times New Roman" w:hAnsi="Times New Roman" w:cs="Times New Roman"/>
          <w:sz w:val="24"/>
          <w:szCs w:val="24"/>
          <w:lang w:eastAsia="en-GB"/>
        </w:rPr>
        <w:t>consumption and production by encouraging safer agricultural practices, including judicious use of fertilizers and pesticides. SDG 13 on climate action is relevant because climate change can influence heavy metal bioavailability in soils, and SDG 15 on life on land is addressed through the promotion of sustainable land use practices that minimize soil contamination.</w:t>
      </w:r>
    </w:p>
    <w:p w14:paraId="6C48AED6" w14:textId="77777777" w:rsidR="000420D9" w:rsidRPr="000420D9" w:rsidRDefault="000420D9"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sz w:val="24"/>
          <w:szCs w:val="24"/>
          <w:lang w:eastAsia="en-GB"/>
        </w:rPr>
        <w:t>Despite the growing body of research on heavy metal contamination in food crops globally, there remains a significant knowledge gap regarding the levels and distribution of these contaminants in Kenyan maize, particularly in specific agricultural regions like Machakos County. Most existing studies have been conducted in other countries, particularly Nigeria and other West African nations, leaving East African contexts understudied. Additionally, limited analytical capacity in terms of laboratory infrastructure and sophisticated instrumentation has hindered comprehensive food safety monitoring in Kenya. There is also insufficient public awareness regarding heavy metal contamination risks among farming communities and consumers, which perpetuates unsafe agricultural practices and consumption patterns.</w:t>
      </w:r>
    </w:p>
    <w:p w14:paraId="3B6846AC" w14:textId="77777777" w:rsidR="000420D9" w:rsidRPr="000420D9" w:rsidRDefault="000420D9"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sz w:val="24"/>
          <w:szCs w:val="24"/>
          <w:lang w:eastAsia="en-GB"/>
        </w:rPr>
        <w:t xml:space="preserve">The present study was therefore designed to address these gaps by determining the concentrations of lead, cadmium, zinc, copper, and manganese in three commonly cultivated maize varieties in </w:t>
      </w:r>
      <w:proofErr w:type="spellStart"/>
      <w:r w:rsidRPr="000420D9">
        <w:rPr>
          <w:rFonts w:ascii="Times New Roman" w:eastAsia="Times New Roman" w:hAnsi="Times New Roman" w:cs="Times New Roman"/>
          <w:sz w:val="24"/>
          <w:szCs w:val="24"/>
          <w:lang w:eastAsia="en-GB"/>
        </w:rPr>
        <w:t>Masii</w:t>
      </w:r>
      <w:proofErr w:type="spellEnd"/>
      <w:r w:rsidRPr="000420D9">
        <w:rPr>
          <w:rFonts w:ascii="Times New Roman" w:eastAsia="Times New Roman" w:hAnsi="Times New Roman" w:cs="Times New Roman"/>
          <w:sz w:val="24"/>
          <w:szCs w:val="24"/>
          <w:lang w:eastAsia="en-GB"/>
        </w:rPr>
        <w:t xml:space="preserve"> Location, Machakos County. By comparing hybrid varieties (SC Duma 43 and SC Sungura 301) with the traditional Indigenous Kamba (</w:t>
      </w:r>
      <w:proofErr w:type="spellStart"/>
      <w:r w:rsidRPr="000420D9">
        <w:rPr>
          <w:rFonts w:ascii="Times New Roman" w:eastAsia="Times New Roman" w:hAnsi="Times New Roman" w:cs="Times New Roman"/>
          <w:sz w:val="24"/>
          <w:szCs w:val="24"/>
          <w:lang w:eastAsia="en-GB"/>
        </w:rPr>
        <w:t>Kinyaanya</w:t>
      </w:r>
      <w:proofErr w:type="spellEnd"/>
      <w:r w:rsidRPr="000420D9">
        <w:rPr>
          <w:rFonts w:ascii="Times New Roman" w:eastAsia="Times New Roman" w:hAnsi="Times New Roman" w:cs="Times New Roman"/>
          <w:sz w:val="24"/>
          <w:szCs w:val="24"/>
          <w:lang w:eastAsia="en-GB"/>
        </w:rPr>
        <w:t xml:space="preserve">) maize, the research provides valuable insights into how different genetic backgrounds influence heavy metal accumulation. Furthermore, by comparing measured levels against the Maximum Residue Limits (MRL) established by WHO, FAO, and KEBS, the study offers a direct assessment </w:t>
      </w:r>
      <w:r w:rsidRPr="000420D9">
        <w:rPr>
          <w:rFonts w:ascii="Times New Roman" w:eastAsia="Times New Roman" w:hAnsi="Times New Roman" w:cs="Times New Roman"/>
          <w:sz w:val="24"/>
          <w:szCs w:val="24"/>
          <w:lang w:eastAsia="en-GB"/>
        </w:rPr>
        <w:lastRenderedPageBreak/>
        <w:t>of food safety status and potential health risks to consumers.</w:t>
      </w:r>
    </w:p>
    <w:p w14:paraId="2A6C02F0" w14:textId="77777777" w:rsidR="000420D9" w:rsidRPr="000420D9" w:rsidRDefault="000420D9" w:rsidP="0038231D">
      <w:pPr>
        <w:spacing w:before="100" w:beforeAutospacing="1" w:after="100" w:afterAutospacing="1" w:line="240" w:lineRule="auto"/>
        <w:jc w:val="both"/>
        <w:outlineLvl w:val="2"/>
        <w:rPr>
          <w:rFonts w:ascii="Times New Roman" w:eastAsia="Times New Roman" w:hAnsi="Times New Roman" w:cs="Times New Roman"/>
          <w:b/>
          <w:bCs/>
          <w:sz w:val="24"/>
          <w:szCs w:val="24"/>
          <w:lang w:eastAsia="en-GB"/>
        </w:rPr>
      </w:pPr>
      <w:r w:rsidRPr="000420D9">
        <w:rPr>
          <w:rFonts w:ascii="Times New Roman" w:eastAsia="Times New Roman" w:hAnsi="Times New Roman" w:cs="Times New Roman"/>
          <w:b/>
          <w:bCs/>
          <w:sz w:val="24"/>
          <w:szCs w:val="24"/>
          <w:lang w:eastAsia="en-GB"/>
        </w:rPr>
        <w:t>1.2 Statement of the Problem</w:t>
      </w:r>
    </w:p>
    <w:p w14:paraId="0CB96B7C" w14:textId="77777777" w:rsidR="000420D9" w:rsidRPr="000420D9" w:rsidRDefault="000420D9"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sz w:val="24"/>
          <w:szCs w:val="24"/>
          <w:lang w:eastAsia="en-GB"/>
        </w:rPr>
        <w:t xml:space="preserve">Maize constitutes the primary staple food for the majority of Kenyan households, with particularly high consumption rates in rural and peri-urban communities. However, the potential for heavy metal accumulation in maize grains from contaminated agricultural soils presents a serious but often overlooked public health threat. In Machakos County, farmers cultivate maize in areas that may be exposed to various sources of heavy metal contamination, including long-term use of synthetic fertilizers, proximity to urban </w:t>
      </w:r>
      <w:proofErr w:type="spellStart"/>
      <w:r w:rsidRPr="000420D9">
        <w:rPr>
          <w:rFonts w:ascii="Times New Roman" w:eastAsia="Times New Roman" w:hAnsi="Times New Roman" w:cs="Times New Roman"/>
          <w:sz w:val="24"/>
          <w:szCs w:val="24"/>
          <w:lang w:eastAsia="en-GB"/>
        </w:rPr>
        <w:t>centers</w:t>
      </w:r>
      <w:proofErr w:type="spellEnd"/>
      <w:r w:rsidRPr="000420D9">
        <w:rPr>
          <w:rFonts w:ascii="Times New Roman" w:eastAsia="Times New Roman" w:hAnsi="Times New Roman" w:cs="Times New Roman"/>
          <w:sz w:val="24"/>
          <w:szCs w:val="24"/>
          <w:lang w:eastAsia="en-GB"/>
        </w:rPr>
        <w:t xml:space="preserve"> with industrial activities, and irrigation with potentially contaminated water sources.</w:t>
      </w:r>
    </w:p>
    <w:p w14:paraId="405D33A9" w14:textId="77777777" w:rsidR="000420D9" w:rsidRPr="000420D9" w:rsidRDefault="000420D9"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sz w:val="24"/>
          <w:szCs w:val="24"/>
          <w:lang w:eastAsia="en-GB"/>
        </w:rPr>
        <w:t>Reports of unexplained health problems among local populations have emerged, yet these ailments have not been systematically investigated or linked to specific causal agents. While some preliminary studies have suggested associations between heavy metal-contaminated food consumption and various health conditions, comprehensive research specifically focused on maize from Machakos County has not been conducted. This knowledge gap is particularly concerning given that heavy metals such as lead, cadmium, copper, zinc, and manganese can cause devastating health effects ranging from neurological damage and developmental delays in children to cardiovascular disease, kidney failure, and cancer in adults.</w:t>
      </w:r>
    </w:p>
    <w:p w14:paraId="5293BC66" w14:textId="77777777" w:rsidR="000420D9" w:rsidRPr="000420D9" w:rsidRDefault="000420D9"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sz w:val="24"/>
          <w:szCs w:val="24"/>
          <w:lang w:eastAsia="en-GB"/>
        </w:rPr>
        <w:t xml:space="preserve">The situation is further complicated by the fact that different maize varieties may accumulate heavy metals at different rates, meaning that some commonly planted hybrids or traditional varieties could pose greater risks than others. Without adequate data on heavy metal levels in locally consumed maize varieties, it is impossible to make informed decisions about food </w:t>
      </w:r>
      <w:r w:rsidRPr="000420D9">
        <w:rPr>
          <w:rFonts w:ascii="Times New Roman" w:eastAsia="Times New Roman" w:hAnsi="Times New Roman" w:cs="Times New Roman"/>
          <w:sz w:val="24"/>
          <w:szCs w:val="24"/>
          <w:lang w:eastAsia="en-GB"/>
        </w:rPr>
        <w:t>safety, implement appropriate interventions, or provide evidence-based guidance to farming communities. There is therefore an urgent need to conduct detailed assessments of heavy metal contamination in maize seeds from Machakos County to protect public health and inform agricultural and food safety policies.</w:t>
      </w:r>
    </w:p>
    <w:p w14:paraId="08AF8560" w14:textId="77777777" w:rsidR="000420D9" w:rsidRPr="000420D9" w:rsidRDefault="000420D9" w:rsidP="0038231D">
      <w:pPr>
        <w:spacing w:before="100" w:beforeAutospacing="1" w:after="100" w:afterAutospacing="1" w:line="240" w:lineRule="auto"/>
        <w:jc w:val="both"/>
        <w:outlineLvl w:val="2"/>
        <w:rPr>
          <w:rFonts w:ascii="Times New Roman" w:eastAsia="Times New Roman" w:hAnsi="Times New Roman" w:cs="Times New Roman"/>
          <w:b/>
          <w:bCs/>
          <w:sz w:val="27"/>
          <w:szCs w:val="27"/>
          <w:lang w:eastAsia="en-GB"/>
        </w:rPr>
      </w:pPr>
      <w:r w:rsidRPr="000420D9">
        <w:rPr>
          <w:rFonts w:ascii="Times New Roman" w:eastAsia="Times New Roman" w:hAnsi="Times New Roman" w:cs="Times New Roman"/>
          <w:b/>
          <w:bCs/>
          <w:sz w:val="27"/>
          <w:szCs w:val="27"/>
          <w:lang w:eastAsia="en-GB"/>
        </w:rPr>
        <w:t xml:space="preserve">1.3 </w:t>
      </w:r>
      <w:r w:rsidRPr="000420D9">
        <w:rPr>
          <w:rFonts w:ascii="Times New Roman" w:eastAsia="Times New Roman" w:hAnsi="Times New Roman" w:cs="Times New Roman"/>
          <w:b/>
          <w:bCs/>
          <w:sz w:val="24"/>
          <w:szCs w:val="24"/>
          <w:lang w:eastAsia="en-GB"/>
        </w:rPr>
        <w:t>Research Questions</w:t>
      </w:r>
    </w:p>
    <w:p w14:paraId="509C7211" w14:textId="77777777" w:rsidR="000420D9" w:rsidRPr="000420D9" w:rsidRDefault="000420D9"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sz w:val="24"/>
          <w:szCs w:val="24"/>
          <w:lang w:eastAsia="en-GB"/>
        </w:rPr>
        <w:t>This study sought to answer the following research questions:</w:t>
      </w:r>
    </w:p>
    <w:p w14:paraId="1CD0C6E0" w14:textId="77777777" w:rsidR="000420D9" w:rsidRPr="000420D9" w:rsidRDefault="000420D9"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proofErr w:type="spellStart"/>
      <w:r w:rsidRPr="000420D9">
        <w:rPr>
          <w:rFonts w:ascii="Times New Roman" w:eastAsia="Times New Roman" w:hAnsi="Times New Roman" w:cs="Times New Roman"/>
          <w:sz w:val="24"/>
          <w:szCs w:val="24"/>
          <w:lang w:eastAsia="en-GB"/>
        </w:rPr>
        <w:t>i</w:t>
      </w:r>
      <w:proofErr w:type="spellEnd"/>
      <w:r w:rsidRPr="000420D9">
        <w:rPr>
          <w:rFonts w:ascii="Times New Roman" w:eastAsia="Times New Roman" w:hAnsi="Times New Roman" w:cs="Times New Roman"/>
          <w:sz w:val="24"/>
          <w:szCs w:val="24"/>
          <w:lang w:eastAsia="en-GB"/>
        </w:rPr>
        <w:t xml:space="preserve">. What are the levels of heavy metals (lead, cadmium, zinc, copper, and manganese) present in SC Duma 43, SC Sungura 301 hybrid maize, and Indigenous Kamba maize seeds from </w:t>
      </w:r>
      <w:proofErr w:type="spellStart"/>
      <w:r w:rsidRPr="000420D9">
        <w:rPr>
          <w:rFonts w:ascii="Times New Roman" w:eastAsia="Times New Roman" w:hAnsi="Times New Roman" w:cs="Times New Roman"/>
          <w:sz w:val="24"/>
          <w:szCs w:val="24"/>
          <w:lang w:eastAsia="en-GB"/>
        </w:rPr>
        <w:t>Masii</w:t>
      </w:r>
      <w:proofErr w:type="spellEnd"/>
      <w:r w:rsidRPr="000420D9">
        <w:rPr>
          <w:rFonts w:ascii="Times New Roman" w:eastAsia="Times New Roman" w:hAnsi="Times New Roman" w:cs="Times New Roman"/>
          <w:sz w:val="24"/>
          <w:szCs w:val="24"/>
          <w:lang w:eastAsia="en-GB"/>
        </w:rPr>
        <w:t xml:space="preserve"> Location?</w:t>
      </w:r>
    </w:p>
    <w:p w14:paraId="106A4AE8" w14:textId="77777777" w:rsidR="000420D9" w:rsidRPr="000420D9" w:rsidRDefault="000420D9"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sz w:val="24"/>
          <w:szCs w:val="24"/>
          <w:lang w:eastAsia="en-GB"/>
        </w:rPr>
        <w:t>ii. How do heavy metal concentrations compare among the three different maize seed varieties?</w:t>
      </w:r>
    </w:p>
    <w:p w14:paraId="58C85D5A" w14:textId="77777777" w:rsidR="000420D9" w:rsidRPr="000420D9" w:rsidRDefault="000420D9"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sz w:val="24"/>
          <w:szCs w:val="24"/>
          <w:lang w:eastAsia="en-GB"/>
        </w:rPr>
        <w:t>iii. Do the measured heavy metal levels exceed the Maximum Residue Limits stipulated by WHO, FAO, and KEBS?</w:t>
      </w:r>
    </w:p>
    <w:p w14:paraId="19B232F2" w14:textId="77777777" w:rsidR="000420D9" w:rsidRPr="000420D9" w:rsidRDefault="000420D9"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sz w:val="24"/>
          <w:szCs w:val="24"/>
          <w:lang w:eastAsia="en-GB"/>
        </w:rPr>
        <w:t>iv. What are the potential health risks associated with consumption of maize with the observed heavy metal levels?</w:t>
      </w:r>
    </w:p>
    <w:p w14:paraId="64591AF2" w14:textId="77777777" w:rsidR="000420D9" w:rsidRPr="000420D9" w:rsidRDefault="000420D9"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sz w:val="24"/>
          <w:szCs w:val="24"/>
          <w:lang w:eastAsia="en-GB"/>
        </w:rPr>
        <w:t>v. What are the possible pathways through which heavy metals contaminate maize seeds in the study area?</w:t>
      </w:r>
    </w:p>
    <w:p w14:paraId="496B961F" w14:textId="77777777" w:rsidR="000420D9" w:rsidRPr="000420D9" w:rsidRDefault="000420D9" w:rsidP="0038231D">
      <w:pPr>
        <w:spacing w:before="100" w:beforeAutospacing="1" w:after="100" w:afterAutospacing="1" w:line="240" w:lineRule="auto"/>
        <w:jc w:val="both"/>
        <w:outlineLvl w:val="2"/>
        <w:rPr>
          <w:rFonts w:ascii="Times New Roman" w:eastAsia="Times New Roman" w:hAnsi="Times New Roman" w:cs="Times New Roman"/>
          <w:b/>
          <w:bCs/>
          <w:sz w:val="24"/>
          <w:szCs w:val="24"/>
          <w:lang w:eastAsia="en-GB"/>
        </w:rPr>
      </w:pPr>
      <w:r w:rsidRPr="000420D9">
        <w:rPr>
          <w:rFonts w:ascii="Times New Roman" w:eastAsia="Times New Roman" w:hAnsi="Times New Roman" w:cs="Times New Roman"/>
          <w:b/>
          <w:bCs/>
          <w:sz w:val="24"/>
          <w:szCs w:val="24"/>
          <w:lang w:eastAsia="en-GB"/>
        </w:rPr>
        <w:t>1.4 General Objective</w:t>
      </w:r>
    </w:p>
    <w:p w14:paraId="3F6B05CB" w14:textId="77777777" w:rsidR="000420D9" w:rsidRPr="000420D9" w:rsidRDefault="000420D9"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sz w:val="24"/>
          <w:szCs w:val="24"/>
          <w:lang w:eastAsia="en-GB"/>
        </w:rPr>
        <w:t>The general objective of this study was to determine the levels of heavy metals in SC Duma 43, SC Sungura 301 hybrid maize, and Indigenous Kamba (</w:t>
      </w:r>
      <w:proofErr w:type="spellStart"/>
      <w:r w:rsidRPr="000420D9">
        <w:rPr>
          <w:rFonts w:ascii="Times New Roman" w:eastAsia="Times New Roman" w:hAnsi="Times New Roman" w:cs="Times New Roman"/>
          <w:sz w:val="24"/>
          <w:szCs w:val="24"/>
          <w:lang w:eastAsia="en-GB"/>
        </w:rPr>
        <w:t>Kinyaanya</w:t>
      </w:r>
      <w:proofErr w:type="spellEnd"/>
      <w:r w:rsidRPr="000420D9">
        <w:rPr>
          <w:rFonts w:ascii="Times New Roman" w:eastAsia="Times New Roman" w:hAnsi="Times New Roman" w:cs="Times New Roman"/>
          <w:sz w:val="24"/>
          <w:szCs w:val="24"/>
          <w:lang w:eastAsia="en-GB"/>
        </w:rPr>
        <w:t xml:space="preserve">) maize seeds obtained from farms in </w:t>
      </w:r>
      <w:proofErr w:type="spellStart"/>
      <w:r w:rsidRPr="000420D9">
        <w:rPr>
          <w:rFonts w:ascii="Times New Roman" w:eastAsia="Times New Roman" w:hAnsi="Times New Roman" w:cs="Times New Roman"/>
          <w:sz w:val="24"/>
          <w:szCs w:val="24"/>
          <w:lang w:eastAsia="en-GB"/>
        </w:rPr>
        <w:t>Masii</w:t>
      </w:r>
      <w:proofErr w:type="spellEnd"/>
      <w:r w:rsidRPr="000420D9">
        <w:rPr>
          <w:rFonts w:ascii="Times New Roman" w:eastAsia="Times New Roman" w:hAnsi="Times New Roman" w:cs="Times New Roman"/>
          <w:sz w:val="24"/>
          <w:szCs w:val="24"/>
          <w:lang w:eastAsia="en-GB"/>
        </w:rPr>
        <w:t xml:space="preserve"> Location, Mwala Sub-County, Machakos County, Kenya.</w:t>
      </w:r>
    </w:p>
    <w:p w14:paraId="07CA111E" w14:textId="77777777" w:rsidR="000420D9" w:rsidRPr="000420D9" w:rsidRDefault="000420D9" w:rsidP="0038231D">
      <w:pPr>
        <w:spacing w:before="100" w:beforeAutospacing="1" w:after="100" w:afterAutospacing="1" w:line="240" w:lineRule="auto"/>
        <w:jc w:val="both"/>
        <w:outlineLvl w:val="3"/>
        <w:rPr>
          <w:rFonts w:ascii="Times New Roman" w:eastAsia="Times New Roman" w:hAnsi="Times New Roman" w:cs="Times New Roman"/>
          <w:b/>
          <w:bCs/>
          <w:sz w:val="24"/>
          <w:szCs w:val="24"/>
          <w:lang w:eastAsia="en-GB"/>
        </w:rPr>
      </w:pPr>
      <w:r w:rsidRPr="000420D9">
        <w:rPr>
          <w:rFonts w:ascii="Times New Roman" w:eastAsia="Times New Roman" w:hAnsi="Times New Roman" w:cs="Times New Roman"/>
          <w:b/>
          <w:bCs/>
          <w:sz w:val="24"/>
          <w:szCs w:val="24"/>
          <w:lang w:eastAsia="en-GB"/>
        </w:rPr>
        <w:t>1.4.1 Specific Objectives</w:t>
      </w:r>
    </w:p>
    <w:p w14:paraId="6DFF739A" w14:textId="77777777" w:rsidR="000420D9" w:rsidRPr="000420D9" w:rsidRDefault="000420D9"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sz w:val="24"/>
          <w:szCs w:val="24"/>
          <w:lang w:eastAsia="en-GB"/>
        </w:rPr>
        <w:t>The specific objectives of this study were to:</w:t>
      </w:r>
    </w:p>
    <w:p w14:paraId="7C02D4A0" w14:textId="77777777" w:rsidR="000420D9" w:rsidRPr="000420D9" w:rsidRDefault="000420D9"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proofErr w:type="spellStart"/>
      <w:r w:rsidRPr="000420D9">
        <w:rPr>
          <w:rFonts w:ascii="Times New Roman" w:eastAsia="Times New Roman" w:hAnsi="Times New Roman" w:cs="Times New Roman"/>
          <w:sz w:val="24"/>
          <w:szCs w:val="24"/>
          <w:lang w:eastAsia="en-GB"/>
        </w:rPr>
        <w:lastRenderedPageBreak/>
        <w:t>i</w:t>
      </w:r>
      <w:proofErr w:type="spellEnd"/>
      <w:r w:rsidRPr="000420D9">
        <w:rPr>
          <w:rFonts w:ascii="Times New Roman" w:eastAsia="Times New Roman" w:hAnsi="Times New Roman" w:cs="Times New Roman"/>
          <w:sz w:val="24"/>
          <w:szCs w:val="24"/>
          <w:lang w:eastAsia="en-GB"/>
        </w:rPr>
        <w:t>. Determine the concentrations of lead, cadmium, zinc, copper, and manganese in SC Duma 43, SC Sungura 301 hybrid maize, and Indigenous Kamba (</w:t>
      </w:r>
      <w:proofErr w:type="spellStart"/>
      <w:r w:rsidRPr="000420D9">
        <w:rPr>
          <w:rFonts w:ascii="Times New Roman" w:eastAsia="Times New Roman" w:hAnsi="Times New Roman" w:cs="Times New Roman"/>
          <w:sz w:val="24"/>
          <w:szCs w:val="24"/>
          <w:lang w:eastAsia="en-GB"/>
        </w:rPr>
        <w:t>Kinyaanya</w:t>
      </w:r>
      <w:proofErr w:type="spellEnd"/>
      <w:r w:rsidRPr="000420D9">
        <w:rPr>
          <w:rFonts w:ascii="Times New Roman" w:eastAsia="Times New Roman" w:hAnsi="Times New Roman" w:cs="Times New Roman"/>
          <w:sz w:val="24"/>
          <w:szCs w:val="24"/>
          <w:lang w:eastAsia="en-GB"/>
        </w:rPr>
        <w:t xml:space="preserve">) maize seeds from selected farms in </w:t>
      </w:r>
      <w:proofErr w:type="spellStart"/>
      <w:r w:rsidRPr="000420D9">
        <w:rPr>
          <w:rFonts w:ascii="Times New Roman" w:eastAsia="Times New Roman" w:hAnsi="Times New Roman" w:cs="Times New Roman"/>
          <w:sz w:val="24"/>
          <w:szCs w:val="24"/>
          <w:lang w:eastAsia="en-GB"/>
        </w:rPr>
        <w:t>Masii</w:t>
      </w:r>
      <w:proofErr w:type="spellEnd"/>
      <w:r w:rsidRPr="000420D9">
        <w:rPr>
          <w:rFonts w:ascii="Times New Roman" w:eastAsia="Times New Roman" w:hAnsi="Times New Roman" w:cs="Times New Roman"/>
          <w:sz w:val="24"/>
          <w:szCs w:val="24"/>
          <w:lang w:eastAsia="en-GB"/>
        </w:rPr>
        <w:t xml:space="preserve"> Location, Machakos County.</w:t>
      </w:r>
    </w:p>
    <w:p w14:paraId="13A3FDBB" w14:textId="77777777" w:rsidR="000420D9" w:rsidRPr="000420D9" w:rsidRDefault="000420D9"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sz w:val="24"/>
          <w:szCs w:val="24"/>
          <w:lang w:eastAsia="en-GB"/>
        </w:rPr>
        <w:t>ii. Compare the heavy metal levels among the three different maize seed varieties to identify varietal differences in metal accumulation.</w:t>
      </w:r>
    </w:p>
    <w:p w14:paraId="1549AF4D" w14:textId="77777777" w:rsidR="000420D9" w:rsidRPr="000420D9" w:rsidRDefault="000420D9"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sz w:val="24"/>
          <w:szCs w:val="24"/>
          <w:lang w:eastAsia="en-GB"/>
        </w:rPr>
        <w:t>iii. Compare the measured heavy metal concentrations with the Maximum Residue Limits (MRL) stipulated by the World Health Organization (WHO), Kenya Bureau of Standards (KEBS), and Food and Agriculture Organization (FAO) to assess food safety status.</w:t>
      </w:r>
    </w:p>
    <w:p w14:paraId="46D6D192" w14:textId="77777777" w:rsidR="000420D9" w:rsidRPr="000420D9" w:rsidRDefault="000420D9"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sz w:val="24"/>
          <w:szCs w:val="24"/>
          <w:lang w:eastAsia="en-GB"/>
        </w:rPr>
        <w:t xml:space="preserve">iv. Evaluate the potential health risks associated with consumption of the </w:t>
      </w:r>
      <w:proofErr w:type="spellStart"/>
      <w:r w:rsidRPr="000420D9">
        <w:rPr>
          <w:rFonts w:ascii="Times New Roman" w:eastAsia="Times New Roman" w:hAnsi="Times New Roman" w:cs="Times New Roman"/>
          <w:sz w:val="24"/>
          <w:szCs w:val="24"/>
          <w:lang w:eastAsia="en-GB"/>
        </w:rPr>
        <w:t>analyzed</w:t>
      </w:r>
      <w:proofErr w:type="spellEnd"/>
      <w:r w:rsidRPr="000420D9">
        <w:rPr>
          <w:rFonts w:ascii="Times New Roman" w:eastAsia="Times New Roman" w:hAnsi="Times New Roman" w:cs="Times New Roman"/>
          <w:sz w:val="24"/>
          <w:szCs w:val="24"/>
          <w:lang w:eastAsia="en-GB"/>
        </w:rPr>
        <w:t xml:space="preserve"> maize varieties based on their heavy metal content.</w:t>
      </w:r>
    </w:p>
    <w:p w14:paraId="3A32BB83" w14:textId="77777777" w:rsidR="000420D9" w:rsidRPr="000420D9" w:rsidRDefault="000420D9" w:rsidP="0038231D">
      <w:pPr>
        <w:spacing w:before="100" w:beforeAutospacing="1" w:after="100" w:afterAutospacing="1" w:line="240" w:lineRule="auto"/>
        <w:jc w:val="both"/>
        <w:outlineLvl w:val="2"/>
        <w:rPr>
          <w:rFonts w:ascii="Times New Roman" w:eastAsia="Times New Roman" w:hAnsi="Times New Roman" w:cs="Times New Roman"/>
          <w:b/>
          <w:bCs/>
          <w:sz w:val="24"/>
          <w:szCs w:val="24"/>
          <w:lang w:eastAsia="en-GB"/>
        </w:rPr>
      </w:pPr>
      <w:r w:rsidRPr="000420D9">
        <w:rPr>
          <w:rFonts w:ascii="Times New Roman" w:eastAsia="Times New Roman" w:hAnsi="Times New Roman" w:cs="Times New Roman"/>
          <w:b/>
          <w:bCs/>
          <w:sz w:val="24"/>
          <w:szCs w:val="24"/>
          <w:lang w:eastAsia="en-GB"/>
        </w:rPr>
        <w:t>1.5 Justification of the Study</w:t>
      </w:r>
    </w:p>
    <w:p w14:paraId="47505287" w14:textId="77777777" w:rsidR="000420D9" w:rsidRPr="000420D9" w:rsidRDefault="000420D9"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sz w:val="24"/>
          <w:szCs w:val="24"/>
          <w:lang w:eastAsia="en-GB"/>
        </w:rPr>
        <w:t xml:space="preserve">This study addresses a critical knowledge gap regarding food safety and heavy metal contamination in one of Kenya's important maize-producing regions. The findings provide essential baseline data on the levels of toxic heavy metals in commonly consumed maize varieties, information that is currently lacking for Machakos County and similar agricultural areas in Kenya. By </w:t>
      </w:r>
      <w:proofErr w:type="spellStart"/>
      <w:r w:rsidRPr="000420D9">
        <w:rPr>
          <w:rFonts w:ascii="Times New Roman" w:eastAsia="Times New Roman" w:hAnsi="Times New Roman" w:cs="Times New Roman"/>
          <w:sz w:val="24"/>
          <w:szCs w:val="24"/>
          <w:lang w:eastAsia="en-GB"/>
        </w:rPr>
        <w:t>analyzing</w:t>
      </w:r>
      <w:proofErr w:type="spellEnd"/>
      <w:r w:rsidRPr="000420D9">
        <w:rPr>
          <w:rFonts w:ascii="Times New Roman" w:eastAsia="Times New Roman" w:hAnsi="Times New Roman" w:cs="Times New Roman"/>
          <w:sz w:val="24"/>
          <w:szCs w:val="24"/>
          <w:lang w:eastAsia="en-GB"/>
        </w:rPr>
        <w:t xml:space="preserve"> both modern hybrid varieties and traditional indigenous maize, the study offers insights relevant to diverse farming communities with different varietal preferences.</w:t>
      </w:r>
    </w:p>
    <w:p w14:paraId="6F7AD8E3" w14:textId="77777777" w:rsidR="000420D9" w:rsidRPr="000420D9" w:rsidRDefault="000420D9"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sz w:val="24"/>
          <w:szCs w:val="24"/>
          <w:lang w:eastAsia="en-GB"/>
        </w:rPr>
        <w:t xml:space="preserve">The research has significant implications for public health protection in </w:t>
      </w:r>
      <w:proofErr w:type="spellStart"/>
      <w:r w:rsidRPr="000420D9">
        <w:rPr>
          <w:rFonts w:ascii="Times New Roman" w:eastAsia="Times New Roman" w:hAnsi="Times New Roman" w:cs="Times New Roman"/>
          <w:sz w:val="24"/>
          <w:szCs w:val="24"/>
          <w:lang w:eastAsia="en-GB"/>
        </w:rPr>
        <w:t>Masii</w:t>
      </w:r>
      <w:proofErr w:type="spellEnd"/>
      <w:r w:rsidRPr="000420D9">
        <w:rPr>
          <w:rFonts w:ascii="Times New Roman" w:eastAsia="Times New Roman" w:hAnsi="Times New Roman" w:cs="Times New Roman"/>
          <w:sz w:val="24"/>
          <w:szCs w:val="24"/>
          <w:lang w:eastAsia="en-GB"/>
        </w:rPr>
        <w:t xml:space="preserve"> Location and the broader Machakos County region. By identifying maize varieties with excessive heavy metal levels, the study enables targeted interventions and informed decision-making by consumers, farmers, and health authorities. The comparison with </w:t>
      </w:r>
      <w:r w:rsidRPr="000420D9">
        <w:rPr>
          <w:rFonts w:ascii="Times New Roman" w:eastAsia="Times New Roman" w:hAnsi="Times New Roman" w:cs="Times New Roman"/>
          <w:sz w:val="24"/>
          <w:szCs w:val="24"/>
          <w:lang w:eastAsia="en-GB"/>
        </w:rPr>
        <w:t>international and national safety standards provides a clear framework for assessing food safety risks and determining which maize varieties may pose health hazards.</w:t>
      </w:r>
    </w:p>
    <w:p w14:paraId="56DF601E" w14:textId="77777777" w:rsidR="000420D9" w:rsidRPr="000420D9" w:rsidRDefault="000420D9"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sz w:val="24"/>
          <w:szCs w:val="24"/>
          <w:lang w:eastAsia="en-GB"/>
        </w:rPr>
        <w:t>From a policy perspective, the study generates evidence that can inform agricultural extension services, food safety regulations, and public health campaigns. The findings can guide recommendations on safe farming practices, appropriate fertilizer use, and water quality management to minimize heavy metal accumulation in food crops. Additionally, the data supports broader efforts to achieve food safety and nutritional security aligned with Kenya's national development agenda and international sustainable development goals.</w:t>
      </w:r>
    </w:p>
    <w:p w14:paraId="52774F37" w14:textId="77777777" w:rsidR="000420D9" w:rsidRPr="000420D9" w:rsidRDefault="000420D9"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sz w:val="24"/>
          <w:szCs w:val="24"/>
          <w:lang w:eastAsia="en-GB"/>
        </w:rPr>
        <w:t>The research methodology developed through this study, particularly the optimized acid digestion protocol, contributes to analytical chemistry practices and can be adapted for future monitoring programs. By demonstrating the application of Atomic Absorption Spectroscopy for heavy metal analysis in maize, the study strengthens local analytical capacity and provides a template for similar investigations in other regions.</w:t>
      </w:r>
    </w:p>
    <w:p w14:paraId="4626D589" w14:textId="77777777" w:rsidR="000420D9" w:rsidRPr="000420D9" w:rsidRDefault="000420D9"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sz w:val="24"/>
          <w:szCs w:val="24"/>
          <w:lang w:eastAsia="en-GB"/>
        </w:rPr>
        <w:t>Finally, the study serves an important educational function by raising awareness among farming communities about heavy metal contamination risks. By sharing findings with local stakeholders, the research empowers communities to make informed choices about crop production and consumption, ultimately contributing to improved health outcomes and sustainable agricultural development in Machakos County.</w:t>
      </w:r>
    </w:p>
    <w:p w14:paraId="5ADAB977" w14:textId="77777777" w:rsidR="000420D9" w:rsidRPr="000420D9" w:rsidRDefault="000420D9" w:rsidP="0038231D">
      <w:pPr>
        <w:spacing w:after="0" w:line="240" w:lineRule="auto"/>
        <w:jc w:val="both"/>
        <w:rPr>
          <w:rFonts w:ascii="Times New Roman" w:eastAsia="Times New Roman" w:hAnsi="Times New Roman" w:cs="Times New Roman"/>
          <w:sz w:val="24"/>
          <w:szCs w:val="24"/>
          <w:lang w:eastAsia="en-GB"/>
        </w:rPr>
      </w:pPr>
    </w:p>
    <w:p w14:paraId="1409FC20" w14:textId="77777777" w:rsidR="000420D9" w:rsidRPr="000420D9" w:rsidRDefault="000420D9" w:rsidP="0038231D">
      <w:pPr>
        <w:spacing w:before="100" w:beforeAutospacing="1" w:after="100" w:afterAutospacing="1" w:line="240" w:lineRule="auto"/>
        <w:jc w:val="both"/>
        <w:outlineLvl w:val="1"/>
        <w:rPr>
          <w:rFonts w:ascii="Times New Roman" w:eastAsia="Times New Roman" w:hAnsi="Times New Roman" w:cs="Times New Roman"/>
          <w:b/>
          <w:bCs/>
          <w:sz w:val="24"/>
          <w:szCs w:val="24"/>
          <w:lang w:eastAsia="en-GB"/>
        </w:rPr>
      </w:pPr>
      <w:r w:rsidRPr="000420D9">
        <w:rPr>
          <w:rFonts w:ascii="Times New Roman" w:eastAsia="Times New Roman" w:hAnsi="Times New Roman" w:cs="Times New Roman"/>
          <w:b/>
          <w:bCs/>
          <w:sz w:val="24"/>
          <w:szCs w:val="24"/>
          <w:lang w:eastAsia="en-GB"/>
        </w:rPr>
        <w:t>2.0 LITERATURE REVIEW</w:t>
      </w:r>
    </w:p>
    <w:p w14:paraId="5E1A0EB2" w14:textId="77777777" w:rsidR="000420D9" w:rsidRPr="000420D9" w:rsidRDefault="000420D9" w:rsidP="0038231D">
      <w:pPr>
        <w:spacing w:before="100" w:beforeAutospacing="1" w:after="100" w:afterAutospacing="1" w:line="240" w:lineRule="auto"/>
        <w:jc w:val="both"/>
        <w:outlineLvl w:val="2"/>
        <w:rPr>
          <w:rFonts w:ascii="Times New Roman" w:eastAsia="Times New Roman" w:hAnsi="Times New Roman" w:cs="Times New Roman"/>
          <w:b/>
          <w:bCs/>
          <w:sz w:val="24"/>
          <w:szCs w:val="24"/>
          <w:lang w:eastAsia="en-GB"/>
        </w:rPr>
      </w:pPr>
      <w:r w:rsidRPr="000420D9">
        <w:rPr>
          <w:rFonts w:ascii="Times New Roman" w:eastAsia="Times New Roman" w:hAnsi="Times New Roman" w:cs="Times New Roman"/>
          <w:b/>
          <w:bCs/>
          <w:sz w:val="24"/>
          <w:szCs w:val="24"/>
          <w:lang w:eastAsia="en-GB"/>
        </w:rPr>
        <w:t>2.1 Heavy Metals: Sources and Pathways of Contamination</w:t>
      </w:r>
    </w:p>
    <w:p w14:paraId="28B2AFE9" w14:textId="77777777" w:rsidR="000420D9" w:rsidRPr="000420D9" w:rsidRDefault="000420D9"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sz w:val="24"/>
          <w:szCs w:val="24"/>
          <w:lang w:eastAsia="en-GB"/>
        </w:rPr>
        <w:lastRenderedPageBreak/>
        <w:t>Heavy metals represent a class of environmental contaminants that have garnered increasing attention from the scientific community due to their persistence, toxicity, and potential for bioaccumulation in food chains. These metallic elements are defined by their relatively high atomic weights and densities, typically exceeding 5 g/cm³, and their ability to exert toxic effects on living organisms even at trace concentrations. The contamination of agricultural systems with heavy metals has become a global concern, affecting food security and public health across both developed and developing nations.</w:t>
      </w:r>
    </w:p>
    <w:p w14:paraId="6A13510A" w14:textId="77777777" w:rsidR="000420D9" w:rsidRPr="000420D9" w:rsidRDefault="000420D9"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sz w:val="24"/>
          <w:szCs w:val="24"/>
          <w:lang w:eastAsia="en-GB"/>
        </w:rPr>
        <w:t xml:space="preserve">The pathways through which heavy metals enter agricultural soils are diverse and often interconnected. Industrial activities stand as major contributors to environmental heavy metal loading. Mining operations, particularly those involving extraction of metal ores, release substantial quantities of heavy metals into surrounding environments through both atmospheric emissions and water discharge. Smelting facilities and manufacturing plants processing metallic materials emit particulate matter containing various heavy metals, which subsequently deposit on agricultural lands through atmospheric fallout. In regions with significant industrial activity, this atmospheric deposition can become a primary source of soil contamination, affecting farmlands located several </w:t>
      </w:r>
      <w:proofErr w:type="spellStart"/>
      <w:r w:rsidRPr="000420D9">
        <w:rPr>
          <w:rFonts w:ascii="Times New Roman" w:eastAsia="Times New Roman" w:hAnsi="Times New Roman" w:cs="Times New Roman"/>
          <w:sz w:val="24"/>
          <w:szCs w:val="24"/>
          <w:lang w:eastAsia="en-GB"/>
        </w:rPr>
        <w:t>kilometers</w:t>
      </w:r>
      <w:proofErr w:type="spellEnd"/>
      <w:r w:rsidRPr="000420D9">
        <w:rPr>
          <w:rFonts w:ascii="Times New Roman" w:eastAsia="Times New Roman" w:hAnsi="Times New Roman" w:cs="Times New Roman"/>
          <w:sz w:val="24"/>
          <w:szCs w:val="24"/>
          <w:lang w:eastAsia="en-GB"/>
        </w:rPr>
        <w:t xml:space="preserve"> away from the emission sources.</w:t>
      </w:r>
    </w:p>
    <w:p w14:paraId="0218CCD8" w14:textId="77777777" w:rsidR="000420D9" w:rsidRPr="000420D9" w:rsidRDefault="000420D9"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sz w:val="24"/>
          <w:szCs w:val="24"/>
          <w:lang w:eastAsia="en-GB"/>
        </w:rPr>
        <w:t xml:space="preserve">Agricultural practices themselves, while intended to enhance crop productivity, can inadvertently introduce heavy metals into farming systems. Phosphate fertilizers, widely used to supply essential phosphorus to crops, often contain significant concentrations of cadmium and other heavy metals as natural impurities derived from phosphate rock deposits. Long-term and intensive application of these fertilizers leads to gradual accumulation of heavy </w:t>
      </w:r>
      <w:r w:rsidRPr="000420D9">
        <w:rPr>
          <w:rFonts w:ascii="Times New Roman" w:eastAsia="Times New Roman" w:hAnsi="Times New Roman" w:cs="Times New Roman"/>
          <w:sz w:val="24"/>
          <w:szCs w:val="24"/>
          <w:lang w:eastAsia="en-GB"/>
        </w:rPr>
        <w:t>metals in topsoil. Similarly, pesticides formulated with metallic compounds, though less common in modern agriculture, have historically contributed to copper, lead, and arsenic accumulation in soils. The practice of applying sewage sludge and industrial waste as soil amendments, while potentially beneficial for soil organic matter content, carries the risk of introducing multiple heavy metals if the waste materials are not adequately treated or monitored.</w:t>
      </w:r>
    </w:p>
    <w:p w14:paraId="0C7736A4" w14:textId="77777777" w:rsidR="000420D9" w:rsidRPr="000420D9" w:rsidRDefault="000420D9"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sz w:val="24"/>
          <w:szCs w:val="24"/>
          <w:lang w:eastAsia="en-GB"/>
        </w:rPr>
        <w:t>Urban and peri-urban agriculture faces particular challenges related to heavy metal contamination. Vehicle emissions from nearby roads contribute lead and other metals through exhaust fumes and tire wear particles. Industrial facilities in or near urban areas release various metallic contaminants through their operations. Additionally, improper waste disposal and the use of contaminated wastewater for irrigation in water-scarce regions can introduce heavy metals directly into the soil-water-plant system.</w:t>
      </w:r>
    </w:p>
    <w:p w14:paraId="5477DF96" w14:textId="77777777" w:rsidR="000420D9" w:rsidRPr="000420D9" w:rsidRDefault="000420D9"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sz w:val="24"/>
          <w:szCs w:val="24"/>
          <w:lang w:eastAsia="en-GB"/>
        </w:rPr>
        <w:t>Natural geological factors also play a role in determining background heavy metal levels in agricultural soils. Certain geological formations naturally contain elevated concentrations of specific metals, and weathering of these parent materials can release metals into the soil profile. Volcanic soils, for instance, may exhibit naturally high levels of certain heavy metals, though these are often bound in relatively stable forms with limited bioavailability.</w:t>
      </w:r>
    </w:p>
    <w:p w14:paraId="15C95C32" w14:textId="77777777" w:rsidR="000420D9" w:rsidRPr="000420D9" w:rsidRDefault="000420D9" w:rsidP="0038231D">
      <w:pPr>
        <w:spacing w:before="100" w:beforeAutospacing="1" w:after="100" w:afterAutospacing="1" w:line="240" w:lineRule="auto"/>
        <w:jc w:val="both"/>
        <w:outlineLvl w:val="2"/>
        <w:rPr>
          <w:rFonts w:ascii="Times New Roman" w:eastAsia="Times New Roman" w:hAnsi="Times New Roman" w:cs="Times New Roman"/>
          <w:b/>
          <w:bCs/>
          <w:sz w:val="24"/>
          <w:szCs w:val="24"/>
          <w:lang w:eastAsia="en-GB"/>
        </w:rPr>
      </w:pPr>
      <w:r w:rsidRPr="000420D9">
        <w:rPr>
          <w:rFonts w:ascii="Times New Roman" w:eastAsia="Times New Roman" w:hAnsi="Times New Roman" w:cs="Times New Roman"/>
          <w:b/>
          <w:bCs/>
          <w:sz w:val="24"/>
          <w:szCs w:val="24"/>
          <w:lang w:eastAsia="en-GB"/>
        </w:rPr>
        <w:t>2.2 Heavy Metal Uptake and Accumulation in Maize Plants</w:t>
      </w:r>
    </w:p>
    <w:p w14:paraId="68E2A521" w14:textId="77777777" w:rsidR="000420D9" w:rsidRPr="000420D9" w:rsidRDefault="000420D9"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sz w:val="24"/>
          <w:szCs w:val="24"/>
          <w:lang w:eastAsia="en-GB"/>
        </w:rPr>
        <w:t>Maize plants, like other crops, absorb heavy metals from contaminated soils through their extensive root systems. The mechanisms of heavy metal uptake in maize involve both passive and active transport processes. Passive uptake occurs when metals enter root cells along with water and nutrients during transpiration-</w:t>
      </w:r>
      <w:r w:rsidRPr="000420D9">
        <w:rPr>
          <w:rFonts w:ascii="Times New Roman" w:eastAsia="Times New Roman" w:hAnsi="Times New Roman" w:cs="Times New Roman"/>
          <w:sz w:val="24"/>
          <w:szCs w:val="24"/>
          <w:lang w:eastAsia="en-GB"/>
        </w:rPr>
        <w:lastRenderedPageBreak/>
        <w:t>driven mass flow and diffusion processes. This non-selective pathway allows various metal ions to cross root membranes without specific regulation. Active uptake, conversely, involves specific transporter proteins located in root cell membranes that facilitate the movement of metal ions against concentration gradients, utilizing cellular energy. While these transporters primarily evolved to facilitate uptake of essential mineral nutrients, they can also inadvertently transport toxic heavy metals that share chemical similarities with essential elements.</w:t>
      </w:r>
    </w:p>
    <w:p w14:paraId="59E5E151" w14:textId="77777777" w:rsidR="000420D9" w:rsidRPr="000420D9" w:rsidRDefault="000420D9"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sz w:val="24"/>
          <w:szCs w:val="24"/>
          <w:lang w:eastAsia="en-GB"/>
        </w:rPr>
        <w:t>The bioavailability of heavy metals in soil, which determines how readily plants can absorb them, depends on multiple soil properties. Soil pH plays a crucial role, with most heavy metals becoming more mobile and bioavailable under acidic conditions and less available in alkaline soils. Soil organic matter content influences metal speciation and binding, generally reducing bioavailability by forming stable organo-metallic complexes. Clay content and mineral composition affect metal retention and release through sorption and desorption processes. Redox conditions, particularly in waterlogged soils, can dramatically alter metal speciation and mobility.</w:t>
      </w:r>
    </w:p>
    <w:p w14:paraId="6301C3B4" w14:textId="77777777" w:rsidR="000420D9" w:rsidRPr="000420D9" w:rsidRDefault="000420D9"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sz w:val="24"/>
          <w:szCs w:val="24"/>
          <w:lang w:eastAsia="en-GB"/>
        </w:rPr>
        <w:t xml:space="preserve">Once absorbed by roots, heavy metals are translocated to various plant tissues through the xylem, driven by transpiration. However, different metals exhibit varying patterns of distribution within plants. Some metals, like cadmium, are readily transported to aerial parts and grains, while others, like lead, tend to accumulate primarily in root tissues with limited translocation to shoots. This differential </w:t>
      </w:r>
      <w:proofErr w:type="spellStart"/>
      <w:r w:rsidRPr="000420D9">
        <w:rPr>
          <w:rFonts w:ascii="Times New Roman" w:eastAsia="Times New Roman" w:hAnsi="Times New Roman" w:cs="Times New Roman"/>
          <w:sz w:val="24"/>
          <w:szCs w:val="24"/>
          <w:lang w:eastAsia="en-GB"/>
        </w:rPr>
        <w:t>behavior</w:t>
      </w:r>
      <w:proofErr w:type="spellEnd"/>
      <w:r w:rsidRPr="000420D9">
        <w:rPr>
          <w:rFonts w:ascii="Times New Roman" w:eastAsia="Times New Roman" w:hAnsi="Times New Roman" w:cs="Times New Roman"/>
          <w:sz w:val="24"/>
          <w:szCs w:val="24"/>
          <w:lang w:eastAsia="en-GB"/>
        </w:rPr>
        <w:t xml:space="preserve"> is influenced by metal-specific binding to cellular components, formation of metal-organic acid complexes, and sequestration in vacuoles.</w:t>
      </w:r>
    </w:p>
    <w:p w14:paraId="55BDC414" w14:textId="77777777" w:rsidR="000420D9" w:rsidRPr="000420D9" w:rsidRDefault="000420D9"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sz w:val="24"/>
          <w:szCs w:val="24"/>
          <w:lang w:eastAsia="en-GB"/>
        </w:rPr>
        <w:t xml:space="preserve">Research has demonstrated significant varietal differences in heavy metal accumulation among maize cultivars. A </w:t>
      </w:r>
      <w:r w:rsidRPr="000420D9">
        <w:rPr>
          <w:rFonts w:ascii="Times New Roman" w:eastAsia="Times New Roman" w:hAnsi="Times New Roman" w:cs="Times New Roman"/>
          <w:sz w:val="24"/>
          <w:szCs w:val="24"/>
          <w:lang w:eastAsia="en-GB"/>
        </w:rPr>
        <w:t>study by Nura and colleagues in 2024 showed that certain maize varieties, including QJN3 and JN20, exhibited higher metal accumulation capacities compared to other varieties. The QJN3 variety absorbed cadmium at concentrations reaching 2.72 mg/kg and lead at 0.474 mg/kg, levels that raised concerns about food safety. Abdullahi et al. (2024) reported that cadmium had the most pronounced impact on maize plant growth and heavy metal accumulation patterns, with measured levels ranging between 1.147-1.613 mg/kg for cadmium and 0.193-1.793 mg/kg for lead across different varieties.</w:t>
      </w:r>
    </w:p>
    <w:p w14:paraId="6C181E7C" w14:textId="77777777" w:rsidR="000420D9" w:rsidRPr="000420D9" w:rsidRDefault="000420D9"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sz w:val="24"/>
          <w:szCs w:val="24"/>
          <w:lang w:eastAsia="en-GB"/>
        </w:rPr>
        <w:t xml:space="preserve">The presence of heavy metals in soil above certain threshold levels triggers stress responses in maize plants. When lead concentrations exceed 300 mg/kg or zinc exceeds 1200 mg/kg in soil, maize plants exhibit reduced growth rates, chlorosis, and overall </w:t>
      </w:r>
      <w:proofErr w:type="spellStart"/>
      <w:r w:rsidRPr="000420D9">
        <w:rPr>
          <w:rFonts w:ascii="Times New Roman" w:eastAsia="Times New Roman" w:hAnsi="Times New Roman" w:cs="Times New Roman"/>
          <w:sz w:val="24"/>
          <w:szCs w:val="24"/>
          <w:lang w:eastAsia="en-GB"/>
        </w:rPr>
        <w:t>vigor</w:t>
      </w:r>
      <w:proofErr w:type="spellEnd"/>
      <w:r w:rsidRPr="000420D9">
        <w:rPr>
          <w:rFonts w:ascii="Times New Roman" w:eastAsia="Times New Roman" w:hAnsi="Times New Roman" w:cs="Times New Roman"/>
          <w:sz w:val="24"/>
          <w:szCs w:val="24"/>
          <w:lang w:eastAsia="en-GB"/>
        </w:rPr>
        <w:t xml:space="preserve"> decline. These metals also negatively impact beneficial soil microorganisms, indirectly affecting plant health and nutrient acquisition. Interestingly, maize plants demonstrate adaptive mechanisms to cope with heavy metal stress, including modifications to root architecture such as altered root length and diameter, changes that may represent strategies to either avoid contaminated soil zones or enhance metal sequestration capacity.</w:t>
      </w:r>
    </w:p>
    <w:p w14:paraId="74567879" w14:textId="77777777" w:rsidR="000420D9" w:rsidRPr="000420D9" w:rsidRDefault="000420D9" w:rsidP="0038231D">
      <w:pPr>
        <w:spacing w:before="100" w:beforeAutospacing="1" w:after="100" w:afterAutospacing="1" w:line="240" w:lineRule="auto"/>
        <w:jc w:val="both"/>
        <w:outlineLvl w:val="2"/>
        <w:rPr>
          <w:rFonts w:ascii="Times New Roman" w:eastAsia="Times New Roman" w:hAnsi="Times New Roman" w:cs="Times New Roman"/>
          <w:b/>
          <w:bCs/>
          <w:sz w:val="24"/>
          <w:szCs w:val="24"/>
          <w:lang w:eastAsia="en-GB"/>
        </w:rPr>
      </w:pPr>
      <w:r w:rsidRPr="000420D9">
        <w:rPr>
          <w:rFonts w:ascii="Times New Roman" w:eastAsia="Times New Roman" w:hAnsi="Times New Roman" w:cs="Times New Roman"/>
          <w:b/>
          <w:bCs/>
          <w:sz w:val="24"/>
          <w:szCs w:val="24"/>
          <w:lang w:eastAsia="en-GB"/>
        </w:rPr>
        <w:t>2.3 Health Effects of Heavy Metals in Humans</w:t>
      </w:r>
    </w:p>
    <w:p w14:paraId="3458BCDC" w14:textId="77777777" w:rsidR="000420D9" w:rsidRPr="000420D9" w:rsidRDefault="000420D9"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sz w:val="24"/>
          <w:szCs w:val="24"/>
          <w:lang w:eastAsia="en-GB"/>
        </w:rPr>
        <w:t>The health implications of heavy metal exposure through food consumption are extensive and well-documented in scientific literature. Different heavy metals exert their toxic effects through distinct mechanisms, though many share common pathways involving oxidative stress, enzyme inhibition, and disruption of cellular processes.</w:t>
      </w:r>
    </w:p>
    <w:p w14:paraId="4B5203FC" w14:textId="77777777" w:rsidR="000420D9" w:rsidRPr="000420D9" w:rsidRDefault="000420D9" w:rsidP="0038231D">
      <w:pPr>
        <w:spacing w:before="100" w:beforeAutospacing="1" w:after="100" w:afterAutospacing="1" w:line="240" w:lineRule="auto"/>
        <w:jc w:val="both"/>
        <w:outlineLvl w:val="3"/>
        <w:rPr>
          <w:rFonts w:ascii="Times New Roman" w:eastAsia="Times New Roman" w:hAnsi="Times New Roman" w:cs="Times New Roman"/>
          <w:b/>
          <w:bCs/>
          <w:sz w:val="24"/>
          <w:szCs w:val="24"/>
          <w:lang w:eastAsia="en-GB"/>
        </w:rPr>
      </w:pPr>
      <w:r w:rsidRPr="000420D9">
        <w:rPr>
          <w:rFonts w:ascii="Times New Roman" w:eastAsia="Times New Roman" w:hAnsi="Times New Roman" w:cs="Times New Roman"/>
          <w:b/>
          <w:bCs/>
          <w:sz w:val="24"/>
          <w:szCs w:val="24"/>
          <w:lang w:eastAsia="en-GB"/>
        </w:rPr>
        <w:t>2.3.1 Lead (Pb) Toxicity</w:t>
      </w:r>
    </w:p>
    <w:p w14:paraId="246FC000" w14:textId="77777777" w:rsidR="000420D9" w:rsidRPr="000420D9" w:rsidRDefault="000420D9"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sz w:val="24"/>
          <w:szCs w:val="24"/>
          <w:lang w:eastAsia="en-GB"/>
        </w:rPr>
        <w:lastRenderedPageBreak/>
        <w:t xml:space="preserve">Lead stands among the most thoroughly studied environmental toxicants, with effects documented across multiple organ systems. The metal exerts its toxicity primarily through interference with normal calcium metabolism and enzyme function. In the nervous system, lead disrupts neurotransmitter release, damages myelin sheaths, and interferes with neuronal development and function. Children are particularly vulnerable to lead neurotoxicity, with exposure associated with reduced intelligence quotient (IQ), learning disabilities, attention deficit disorders, and </w:t>
      </w:r>
      <w:proofErr w:type="spellStart"/>
      <w:r w:rsidRPr="000420D9">
        <w:rPr>
          <w:rFonts w:ascii="Times New Roman" w:eastAsia="Times New Roman" w:hAnsi="Times New Roman" w:cs="Times New Roman"/>
          <w:sz w:val="24"/>
          <w:szCs w:val="24"/>
          <w:lang w:eastAsia="en-GB"/>
        </w:rPr>
        <w:t>behavioral</w:t>
      </w:r>
      <w:proofErr w:type="spellEnd"/>
      <w:r w:rsidRPr="000420D9">
        <w:rPr>
          <w:rFonts w:ascii="Times New Roman" w:eastAsia="Times New Roman" w:hAnsi="Times New Roman" w:cs="Times New Roman"/>
          <w:sz w:val="24"/>
          <w:szCs w:val="24"/>
          <w:lang w:eastAsia="en-GB"/>
        </w:rPr>
        <w:t xml:space="preserve"> problems. These neurodevelopmental impacts can persist throughout life, even after exposure cessation.</w:t>
      </w:r>
    </w:p>
    <w:p w14:paraId="6E259797" w14:textId="77777777" w:rsidR="000420D9" w:rsidRPr="000420D9" w:rsidRDefault="000420D9"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sz w:val="24"/>
          <w:szCs w:val="24"/>
          <w:lang w:eastAsia="en-GB"/>
        </w:rPr>
        <w:t xml:space="preserve">In adults, chronic lead exposure contributes to hypertension and cardiovascular disease through multiple mechanisms including direct effects on vascular smooth muscle, interference with nitric oxide </w:t>
      </w:r>
      <w:proofErr w:type="spellStart"/>
      <w:r w:rsidRPr="000420D9">
        <w:rPr>
          <w:rFonts w:ascii="Times New Roman" w:eastAsia="Times New Roman" w:hAnsi="Times New Roman" w:cs="Times New Roman"/>
          <w:sz w:val="24"/>
          <w:szCs w:val="24"/>
          <w:lang w:eastAsia="en-GB"/>
        </w:rPr>
        <w:t>signaling</w:t>
      </w:r>
      <w:proofErr w:type="spellEnd"/>
      <w:r w:rsidRPr="000420D9">
        <w:rPr>
          <w:rFonts w:ascii="Times New Roman" w:eastAsia="Times New Roman" w:hAnsi="Times New Roman" w:cs="Times New Roman"/>
          <w:sz w:val="24"/>
          <w:szCs w:val="24"/>
          <w:lang w:eastAsia="en-GB"/>
        </w:rPr>
        <w:t>, and promotion of oxidative stress. Lead nephrotoxicity manifests initially as proximal tubular dysfunction, sometimes presenting as Fanconi-like syndrome with glucosuria, phosphaturia, and aminoaciduria. Prolonged exposure leads to chronic interstitial nephritis, tubular atrophy, and eventually chronic kidney disease and renal failure.</w:t>
      </w:r>
    </w:p>
    <w:p w14:paraId="333562A8" w14:textId="77777777" w:rsidR="000420D9" w:rsidRPr="000420D9" w:rsidRDefault="000420D9"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sz w:val="24"/>
          <w:szCs w:val="24"/>
          <w:lang w:eastAsia="en-GB"/>
        </w:rPr>
        <w:t xml:space="preserve">Lead also impairs reproductive function in both males and females, affecting sperm quality, hormone production, and pregnancy outcomes. The metal crosses the placental barrier readily, exposing developing </w:t>
      </w:r>
      <w:proofErr w:type="spellStart"/>
      <w:r w:rsidRPr="000420D9">
        <w:rPr>
          <w:rFonts w:ascii="Times New Roman" w:eastAsia="Times New Roman" w:hAnsi="Times New Roman" w:cs="Times New Roman"/>
          <w:sz w:val="24"/>
          <w:szCs w:val="24"/>
          <w:lang w:eastAsia="en-GB"/>
        </w:rPr>
        <w:t>fetuses</w:t>
      </w:r>
      <w:proofErr w:type="spellEnd"/>
      <w:r w:rsidRPr="000420D9">
        <w:rPr>
          <w:rFonts w:ascii="Times New Roman" w:eastAsia="Times New Roman" w:hAnsi="Times New Roman" w:cs="Times New Roman"/>
          <w:sz w:val="24"/>
          <w:szCs w:val="24"/>
          <w:lang w:eastAsia="en-GB"/>
        </w:rPr>
        <w:t xml:space="preserve"> to its neurotoxic effects. Furthermore, lead exhibits carcinogenic properties, damaging DNA repair mechanisms, disrupting cell cycle regulation, and promoting chromosomal aberrations through generation of reactive oxygen species (ROS).</w:t>
      </w:r>
    </w:p>
    <w:p w14:paraId="2216A8F7" w14:textId="77777777" w:rsidR="000420D9" w:rsidRPr="000420D9" w:rsidRDefault="000420D9" w:rsidP="0038231D">
      <w:pPr>
        <w:spacing w:before="100" w:beforeAutospacing="1" w:after="100" w:afterAutospacing="1" w:line="240" w:lineRule="auto"/>
        <w:jc w:val="both"/>
        <w:outlineLvl w:val="3"/>
        <w:rPr>
          <w:rFonts w:ascii="Times New Roman" w:eastAsia="Times New Roman" w:hAnsi="Times New Roman" w:cs="Times New Roman"/>
          <w:b/>
          <w:bCs/>
          <w:sz w:val="24"/>
          <w:szCs w:val="24"/>
          <w:lang w:eastAsia="en-GB"/>
        </w:rPr>
      </w:pPr>
      <w:r w:rsidRPr="000420D9">
        <w:rPr>
          <w:rFonts w:ascii="Times New Roman" w:eastAsia="Times New Roman" w:hAnsi="Times New Roman" w:cs="Times New Roman"/>
          <w:b/>
          <w:bCs/>
          <w:sz w:val="24"/>
          <w:szCs w:val="24"/>
          <w:lang w:eastAsia="en-GB"/>
        </w:rPr>
        <w:t>2.3.2 Cadmium (Cd) Toxicity</w:t>
      </w:r>
    </w:p>
    <w:p w14:paraId="5A5CCEB7" w14:textId="77777777" w:rsidR="000420D9" w:rsidRPr="000420D9" w:rsidRDefault="000420D9"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sz w:val="24"/>
          <w:szCs w:val="24"/>
          <w:lang w:eastAsia="en-GB"/>
        </w:rPr>
        <w:t>Cadmium is classified as a Group 1 carcinogen by the International Agency for Research on Cancer, with sufficient evidence for carcinogenicity in humans. The metal accumulates primarily in the kidneys and liver, where it persists with an extremely long biological half-life exceeding 10-30 years. This prolonged retention results in progressive organ damage even after exposure cessation.</w:t>
      </w:r>
    </w:p>
    <w:p w14:paraId="35732B28" w14:textId="77777777" w:rsidR="000420D9" w:rsidRPr="000420D9" w:rsidRDefault="000420D9"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sz w:val="24"/>
          <w:szCs w:val="24"/>
          <w:lang w:eastAsia="en-GB"/>
        </w:rPr>
        <w:t>Cadmium nephrotoxicity represents the most characteristic manifestation of chronic exposure. The metal damages proximal tubular cells, interfering with reabsorption processes and leading to low-molecular-weight proteinuria, particularly β2-microglobulinuria. Advanced cadmium nephropathy presents with generalized proximal tubular dysfunction (Fanconi syndrome), characterized by glucosuria, phosphaturia, aminoaciduria, and impaired acid-base regulation. These tubular defects lead to excessive urinary losses of calcium and phosphate, contributing to skeletal effects.</w:t>
      </w:r>
    </w:p>
    <w:p w14:paraId="1E4B6DDB" w14:textId="77777777" w:rsidR="000420D9" w:rsidRPr="000420D9" w:rsidRDefault="000420D9"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sz w:val="24"/>
          <w:szCs w:val="24"/>
          <w:lang w:eastAsia="en-GB"/>
        </w:rPr>
        <w:t xml:space="preserve">The skeletal manifestations of cadmium toxicity include </w:t>
      </w:r>
      <w:proofErr w:type="spellStart"/>
      <w:r w:rsidRPr="000420D9">
        <w:rPr>
          <w:rFonts w:ascii="Times New Roman" w:eastAsia="Times New Roman" w:hAnsi="Times New Roman" w:cs="Times New Roman"/>
          <w:sz w:val="24"/>
          <w:szCs w:val="24"/>
          <w:lang w:eastAsia="en-GB"/>
        </w:rPr>
        <w:t>osteomalacia</w:t>
      </w:r>
      <w:proofErr w:type="spellEnd"/>
      <w:r w:rsidRPr="000420D9">
        <w:rPr>
          <w:rFonts w:ascii="Times New Roman" w:eastAsia="Times New Roman" w:hAnsi="Times New Roman" w:cs="Times New Roman"/>
          <w:sz w:val="24"/>
          <w:szCs w:val="24"/>
          <w:lang w:eastAsia="en-GB"/>
        </w:rPr>
        <w:t xml:space="preserve">, osteoporosis, and in severe cases, a painful condition known as </w:t>
      </w:r>
      <w:proofErr w:type="spellStart"/>
      <w:r w:rsidRPr="000420D9">
        <w:rPr>
          <w:rFonts w:ascii="Times New Roman" w:eastAsia="Times New Roman" w:hAnsi="Times New Roman" w:cs="Times New Roman"/>
          <w:sz w:val="24"/>
          <w:szCs w:val="24"/>
          <w:lang w:eastAsia="en-GB"/>
        </w:rPr>
        <w:t>itai-itai</w:t>
      </w:r>
      <w:proofErr w:type="spellEnd"/>
      <w:r w:rsidRPr="000420D9">
        <w:rPr>
          <w:rFonts w:ascii="Times New Roman" w:eastAsia="Times New Roman" w:hAnsi="Times New Roman" w:cs="Times New Roman"/>
          <w:sz w:val="24"/>
          <w:szCs w:val="24"/>
          <w:lang w:eastAsia="en-GB"/>
        </w:rPr>
        <w:t xml:space="preserve"> disease, first described in Japan. Cadmium interferes with vitamin D metabolism, disrupts calcium-phosphate homeostasis, and directly damages bone cells. The resulting bone demineralization leads to increased fracture risk and chronic pain.</w:t>
      </w:r>
    </w:p>
    <w:p w14:paraId="4EC2399B" w14:textId="77777777" w:rsidR="000420D9" w:rsidRPr="000420D9" w:rsidRDefault="000420D9"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sz w:val="24"/>
          <w:szCs w:val="24"/>
          <w:lang w:eastAsia="en-GB"/>
        </w:rPr>
        <w:t xml:space="preserve">Beyond its effects on kidneys and bones, cadmium induces hepatotoxicity, manifesting as elevated liver enzymes, steatosis, and in severe cases, liver fibrosis. The metal generates oxidative stress through depletion of cellular antioxidants, particularly glutathione, and through Fenton reaction-mediated production of reactive oxygen species. Cadmium also demonstrates neurotoxic properties, affecting both central and peripheral nervous systems, with documented impacts </w:t>
      </w:r>
      <w:r w:rsidRPr="000420D9">
        <w:rPr>
          <w:rFonts w:ascii="Times New Roman" w:eastAsia="Times New Roman" w:hAnsi="Times New Roman" w:cs="Times New Roman"/>
          <w:sz w:val="24"/>
          <w:szCs w:val="24"/>
          <w:lang w:eastAsia="en-GB"/>
        </w:rPr>
        <w:lastRenderedPageBreak/>
        <w:t xml:space="preserve">including olfactory dysfunction, learning disabilities, </w:t>
      </w:r>
      <w:proofErr w:type="spellStart"/>
      <w:r w:rsidRPr="000420D9">
        <w:rPr>
          <w:rFonts w:ascii="Times New Roman" w:eastAsia="Times New Roman" w:hAnsi="Times New Roman" w:cs="Times New Roman"/>
          <w:sz w:val="24"/>
          <w:szCs w:val="24"/>
          <w:lang w:eastAsia="en-GB"/>
        </w:rPr>
        <w:t>behavioral</w:t>
      </w:r>
      <w:proofErr w:type="spellEnd"/>
      <w:r w:rsidRPr="000420D9">
        <w:rPr>
          <w:rFonts w:ascii="Times New Roman" w:eastAsia="Times New Roman" w:hAnsi="Times New Roman" w:cs="Times New Roman"/>
          <w:sz w:val="24"/>
          <w:szCs w:val="24"/>
          <w:lang w:eastAsia="en-GB"/>
        </w:rPr>
        <w:t xml:space="preserve"> changes, and motor function impairment. As reported by Jaishankar et al. (2015), these neurological effects can manifest in both adults and children following chronic exposure.</w:t>
      </w:r>
    </w:p>
    <w:p w14:paraId="0C28E15A" w14:textId="77777777" w:rsidR="000420D9" w:rsidRPr="000420D9" w:rsidRDefault="000420D9" w:rsidP="0038231D">
      <w:pPr>
        <w:spacing w:before="100" w:beforeAutospacing="1" w:after="100" w:afterAutospacing="1" w:line="240" w:lineRule="auto"/>
        <w:jc w:val="both"/>
        <w:outlineLvl w:val="3"/>
        <w:rPr>
          <w:rFonts w:ascii="Times New Roman" w:eastAsia="Times New Roman" w:hAnsi="Times New Roman" w:cs="Times New Roman"/>
          <w:b/>
          <w:bCs/>
          <w:sz w:val="24"/>
          <w:szCs w:val="24"/>
          <w:lang w:eastAsia="en-GB"/>
        </w:rPr>
      </w:pPr>
      <w:r w:rsidRPr="000420D9">
        <w:rPr>
          <w:rFonts w:ascii="Times New Roman" w:eastAsia="Times New Roman" w:hAnsi="Times New Roman" w:cs="Times New Roman"/>
          <w:b/>
          <w:bCs/>
          <w:sz w:val="24"/>
          <w:szCs w:val="24"/>
          <w:lang w:eastAsia="en-GB"/>
        </w:rPr>
        <w:t>2.3.3 Zinc (Zn) Toxicity</w:t>
      </w:r>
    </w:p>
    <w:p w14:paraId="1759FEB5" w14:textId="77777777" w:rsidR="000420D9" w:rsidRPr="000420D9" w:rsidRDefault="000420D9"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sz w:val="24"/>
          <w:szCs w:val="24"/>
          <w:lang w:eastAsia="en-GB"/>
        </w:rPr>
        <w:t xml:space="preserve">While zinc is an essential micronutrient required for numerous physiological functions including immune response, wound healing, and DNA synthesis, excessive intake can produce adverse health effects. Acute zinc toxicity, typically resulting from ingestion of large doses, causes gastrointestinal irritation with symptoms including nausea, vomiting, abdominal cramps, and </w:t>
      </w:r>
      <w:proofErr w:type="spellStart"/>
      <w:r w:rsidRPr="000420D9">
        <w:rPr>
          <w:rFonts w:ascii="Times New Roman" w:eastAsia="Times New Roman" w:hAnsi="Times New Roman" w:cs="Times New Roman"/>
          <w:sz w:val="24"/>
          <w:szCs w:val="24"/>
          <w:lang w:eastAsia="en-GB"/>
        </w:rPr>
        <w:t>diarrhea</w:t>
      </w:r>
      <w:proofErr w:type="spellEnd"/>
      <w:r w:rsidRPr="000420D9">
        <w:rPr>
          <w:rFonts w:ascii="Times New Roman" w:eastAsia="Times New Roman" w:hAnsi="Times New Roman" w:cs="Times New Roman"/>
          <w:sz w:val="24"/>
          <w:szCs w:val="24"/>
          <w:lang w:eastAsia="en-GB"/>
        </w:rPr>
        <w:t>. These symptoms usually appear when zinc intake exceeds 100 mg per day for extended periods.</w:t>
      </w:r>
    </w:p>
    <w:p w14:paraId="728D2464" w14:textId="77777777" w:rsidR="000420D9" w:rsidRPr="000420D9" w:rsidRDefault="000420D9"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sz w:val="24"/>
          <w:szCs w:val="24"/>
          <w:lang w:eastAsia="en-GB"/>
        </w:rPr>
        <w:t xml:space="preserve">Chronic excessive zinc consumption, particularly above 95 mg/g in food sources, can lead to copper deficiency through competitive inhibition of copper absorption in the gastrointestinal tract. This induced copper deficiency manifests as </w:t>
      </w:r>
      <w:proofErr w:type="spellStart"/>
      <w:r w:rsidRPr="000420D9">
        <w:rPr>
          <w:rFonts w:ascii="Times New Roman" w:eastAsia="Times New Roman" w:hAnsi="Times New Roman" w:cs="Times New Roman"/>
          <w:sz w:val="24"/>
          <w:szCs w:val="24"/>
          <w:lang w:eastAsia="en-GB"/>
        </w:rPr>
        <w:t>anemia</w:t>
      </w:r>
      <w:proofErr w:type="spellEnd"/>
      <w:r w:rsidRPr="000420D9">
        <w:rPr>
          <w:rFonts w:ascii="Times New Roman" w:eastAsia="Times New Roman" w:hAnsi="Times New Roman" w:cs="Times New Roman"/>
          <w:sz w:val="24"/>
          <w:szCs w:val="24"/>
          <w:lang w:eastAsia="en-GB"/>
        </w:rPr>
        <w:t xml:space="preserve">, neutropenia, and neurological problems including myelopathy and peripheral neuropathy. Additionally, very high zinc levels can suppress immune function paradoxically, despite zinc's essential role in immunity at appropriate levels. The metal can also interfere with iron absorption, potentially contributing to iron deficiency </w:t>
      </w:r>
      <w:proofErr w:type="spellStart"/>
      <w:r w:rsidRPr="000420D9">
        <w:rPr>
          <w:rFonts w:ascii="Times New Roman" w:eastAsia="Times New Roman" w:hAnsi="Times New Roman" w:cs="Times New Roman"/>
          <w:sz w:val="24"/>
          <w:szCs w:val="24"/>
          <w:lang w:eastAsia="en-GB"/>
        </w:rPr>
        <w:t>anemia</w:t>
      </w:r>
      <w:proofErr w:type="spellEnd"/>
      <w:r w:rsidRPr="000420D9">
        <w:rPr>
          <w:rFonts w:ascii="Times New Roman" w:eastAsia="Times New Roman" w:hAnsi="Times New Roman" w:cs="Times New Roman"/>
          <w:sz w:val="24"/>
          <w:szCs w:val="24"/>
          <w:lang w:eastAsia="en-GB"/>
        </w:rPr>
        <w:t>.</w:t>
      </w:r>
    </w:p>
    <w:p w14:paraId="2BBA0AD6" w14:textId="77777777" w:rsidR="000420D9" w:rsidRPr="000420D9" w:rsidRDefault="000420D9"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sz w:val="24"/>
          <w:szCs w:val="24"/>
          <w:lang w:eastAsia="en-GB"/>
        </w:rPr>
        <w:t xml:space="preserve">In animal studies, zinc toxicity in birds manifests as </w:t>
      </w:r>
      <w:proofErr w:type="spellStart"/>
      <w:r w:rsidRPr="000420D9">
        <w:rPr>
          <w:rFonts w:ascii="Times New Roman" w:eastAsia="Times New Roman" w:hAnsi="Times New Roman" w:cs="Times New Roman"/>
          <w:sz w:val="24"/>
          <w:szCs w:val="24"/>
          <w:lang w:eastAsia="en-GB"/>
        </w:rPr>
        <w:t>hemolytic</w:t>
      </w:r>
      <w:proofErr w:type="spellEnd"/>
      <w:r w:rsidRPr="000420D9">
        <w:rPr>
          <w:rFonts w:ascii="Times New Roman" w:eastAsia="Times New Roman" w:hAnsi="Times New Roman" w:cs="Times New Roman"/>
          <w:sz w:val="24"/>
          <w:szCs w:val="24"/>
          <w:lang w:eastAsia="en-GB"/>
        </w:rPr>
        <w:t xml:space="preserve"> </w:t>
      </w:r>
      <w:proofErr w:type="spellStart"/>
      <w:r w:rsidRPr="000420D9">
        <w:rPr>
          <w:rFonts w:ascii="Times New Roman" w:eastAsia="Times New Roman" w:hAnsi="Times New Roman" w:cs="Times New Roman"/>
          <w:sz w:val="24"/>
          <w:szCs w:val="24"/>
          <w:lang w:eastAsia="en-GB"/>
        </w:rPr>
        <w:t>anemia</w:t>
      </w:r>
      <w:proofErr w:type="spellEnd"/>
      <w:r w:rsidRPr="000420D9">
        <w:rPr>
          <w:rFonts w:ascii="Times New Roman" w:eastAsia="Times New Roman" w:hAnsi="Times New Roman" w:cs="Times New Roman"/>
          <w:sz w:val="24"/>
          <w:szCs w:val="24"/>
          <w:lang w:eastAsia="en-GB"/>
        </w:rPr>
        <w:t>, pancreatic damage, and immune system suppression at levels exceeding 100 mg/g. Aquatic organisms experience gill damage, hepatotoxicity, and nephrotoxicity when exposed to zinc concentrations above 100 mg/L, as documented by Khan et al. (2023).</w:t>
      </w:r>
    </w:p>
    <w:p w14:paraId="1B3E8CFC" w14:textId="77777777" w:rsidR="000420D9" w:rsidRPr="000420D9" w:rsidRDefault="000420D9" w:rsidP="0038231D">
      <w:pPr>
        <w:spacing w:before="100" w:beforeAutospacing="1" w:after="100" w:afterAutospacing="1" w:line="240" w:lineRule="auto"/>
        <w:jc w:val="both"/>
        <w:outlineLvl w:val="3"/>
        <w:rPr>
          <w:rFonts w:ascii="Times New Roman" w:eastAsia="Times New Roman" w:hAnsi="Times New Roman" w:cs="Times New Roman"/>
          <w:b/>
          <w:bCs/>
          <w:sz w:val="24"/>
          <w:szCs w:val="24"/>
          <w:lang w:eastAsia="en-GB"/>
        </w:rPr>
      </w:pPr>
      <w:r w:rsidRPr="000420D9">
        <w:rPr>
          <w:rFonts w:ascii="Times New Roman" w:eastAsia="Times New Roman" w:hAnsi="Times New Roman" w:cs="Times New Roman"/>
          <w:b/>
          <w:bCs/>
          <w:sz w:val="24"/>
          <w:szCs w:val="24"/>
          <w:lang w:eastAsia="en-GB"/>
        </w:rPr>
        <w:t>2.3.4 Copper (Cu) Toxicity</w:t>
      </w:r>
    </w:p>
    <w:p w14:paraId="49B35FD6" w14:textId="77777777" w:rsidR="000420D9" w:rsidRPr="000420D9" w:rsidRDefault="000420D9"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sz w:val="24"/>
          <w:szCs w:val="24"/>
          <w:lang w:eastAsia="en-GB"/>
        </w:rPr>
        <w:t xml:space="preserve">Copper, another essential trace element, becomes toxic when present in excessive amounts. Acute copper poisoning, which can occur from ingestion of large quantities, produces severe gastrointestinal symptoms including nausea, vomiting, abdominal pain, and </w:t>
      </w:r>
      <w:proofErr w:type="spellStart"/>
      <w:r w:rsidRPr="000420D9">
        <w:rPr>
          <w:rFonts w:ascii="Times New Roman" w:eastAsia="Times New Roman" w:hAnsi="Times New Roman" w:cs="Times New Roman"/>
          <w:sz w:val="24"/>
          <w:szCs w:val="24"/>
          <w:lang w:eastAsia="en-GB"/>
        </w:rPr>
        <w:t>diarrhea</w:t>
      </w:r>
      <w:proofErr w:type="spellEnd"/>
      <w:r w:rsidRPr="000420D9">
        <w:rPr>
          <w:rFonts w:ascii="Times New Roman" w:eastAsia="Times New Roman" w:hAnsi="Times New Roman" w:cs="Times New Roman"/>
          <w:sz w:val="24"/>
          <w:szCs w:val="24"/>
          <w:lang w:eastAsia="en-GB"/>
        </w:rPr>
        <w:t xml:space="preserve">. In severe cases, acute copper toxicity can progress to </w:t>
      </w:r>
      <w:proofErr w:type="spellStart"/>
      <w:r w:rsidRPr="000420D9">
        <w:rPr>
          <w:rFonts w:ascii="Times New Roman" w:eastAsia="Times New Roman" w:hAnsi="Times New Roman" w:cs="Times New Roman"/>
          <w:sz w:val="24"/>
          <w:szCs w:val="24"/>
          <w:lang w:eastAsia="en-GB"/>
        </w:rPr>
        <w:t>hemolytic</w:t>
      </w:r>
      <w:proofErr w:type="spellEnd"/>
      <w:r w:rsidRPr="000420D9">
        <w:rPr>
          <w:rFonts w:ascii="Times New Roman" w:eastAsia="Times New Roman" w:hAnsi="Times New Roman" w:cs="Times New Roman"/>
          <w:sz w:val="24"/>
          <w:szCs w:val="24"/>
          <w:lang w:eastAsia="en-GB"/>
        </w:rPr>
        <w:t xml:space="preserve"> </w:t>
      </w:r>
      <w:proofErr w:type="spellStart"/>
      <w:r w:rsidRPr="000420D9">
        <w:rPr>
          <w:rFonts w:ascii="Times New Roman" w:eastAsia="Times New Roman" w:hAnsi="Times New Roman" w:cs="Times New Roman"/>
          <w:sz w:val="24"/>
          <w:szCs w:val="24"/>
          <w:lang w:eastAsia="en-GB"/>
        </w:rPr>
        <w:t>anemia</w:t>
      </w:r>
      <w:proofErr w:type="spellEnd"/>
      <w:r w:rsidRPr="000420D9">
        <w:rPr>
          <w:rFonts w:ascii="Times New Roman" w:eastAsia="Times New Roman" w:hAnsi="Times New Roman" w:cs="Times New Roman"/>
          <w:sz w:val="24"/>
          <w:szCs w:val="24"/>
          <w:lang w:eastAsia="en-GB"/>
        </w:rPr>
        <w:t>, hepatic necrosis, renal failure, seizures, and even death.</w:t>
      </w:r>
    </w:p>
    <w:p w14:paraId="017068BE" w14:textId="77777777" w:rsidR="000420D9" w:rsidRPr="000420D9" w:rsidRDefault="000420D9"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sz w:val="24"/>
          <w:szCs w:val="24"/>
          <w:lang w:eastAsia="en-GB"/>
        </w:rPr>
        <w:t>Chronic copper toxicity develops from prolonged exposure to elevated copper levels and primarily affects the liver. The metal accumulates in hepatocytes, causing oxidative stress, mitochondrial dysfunction, and eventually cirrhosis. Chronic exposure can also lead to neurological manifestations similar to Wilson's disease, a genetic disorder of copper metabolism. These neurological effects include tremors, dystonia, dysarthria, and cognitive impairment.</w:t>
      </w:r>
    </w:p>
    <w:p w14:paraId="506EE5E3" w14:textId="77777777" w:rsidR="000420D9" w:rsidRPr="000420D9" w:rsidRDefault="000420D9"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sz w:val="24"/>
          <w:szCs w:val="24"/>
          <w:lang w:eastAsia="en-GB"/>
        </w:rPr>
        <w:t>Research by Briffa et al. (2020) documented that copper toxicity affects multiple systems, including induction of oxidative stress, disruption of cellular redox balance, and interference with other mineral homeostasis. In wildlife, copper levels above 21.5 mg/L cause liver and kidney damage in fish, while birds experience damage to brain tissue, feathers, and lungs following high copper exposure.</w:t>
      </w:r>
    </w:p>
    <w:p w14:paraId="49761D64" w14:textId="77777777" w:rsidR="000420D9" w:rsidRPr="000420D9" w:rsidRDefault="000420D9" w:rsidP="0038231D">
      <w:pPr>
        <w:spacing w:before="100" w:beforeAutospacing="1" w:after="100" w:afterAutospacing="1" w:line="240" w:lineRule="auto"/>
        <w:jc w:val="both"/>
        <w:outlineLvl w:val="3"/>
        <w:rPr>
          <w:rFonts w:ascii="Times New Roman" w:eastAsia="Times New Roman" w:hAnsi="Times New Roman" w:cs="Times New Roman"/>
          <w:b/>
          <w:bCs/>
          <w:sz w:val="24"/>
          <w:szCs w:val="24"/>
          <w:lang w:eastAsia="en-GB"/>
        </w:rPr>
      </w:pPr>
      <w:r w:rsidRPr="000420D9">
        <w:rPr>
          <w:rFonts w:ascii="Times New Roman" w:eastAsia="Times New Roman" w:hAnsi="Times New Roman" w:cs="Times New Roman"/>
          <w:b/>
          <w:bCs/>
          <w:sz w:val="24"/>
          <w:szCs w:val="24"/>
          <w:lang w:eastAsia="en-GB"/>
        </w:rPr>
        <w:t>2.3.5 Manganese (Mn) Toxicity</w:t>
      </w:r>
    </w:p>
    <w:p w14:paraId="53526828" w14:textId="77777777" w:rsidR="000420D9" w:rsidRPr="000420D9" w:rsidRDefault="000420D9"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sz w:val="24"/>
          <w:szCs w:val="24"/>
          <w:lang w:eastAsia="en-GB"/>
        </w:rPr>
        <w:t xml:space="preserve">Manganese is an essential mineral required for bone formation, amino acid metabolism, and antioxidant </w:t>
      </w:r>
      <w:proofErr w:type="spellStart"/>
      <w:r w:rsidRPr="000420D9">
        <w:rPr>
          <w:rFonts w:ascii="Times New Roman" w:eastAsia="Times New Roman" w:hAnsi="Times New Roman" w:cs="Times New Roman"/>
          <w:sz w:val="24"/>
          <w:szCs w:val="24"/>
          <w:lang w:eastAsia="en-GB"/>
        </w:rPr>
        <w:t>defense</w:t>
      </w:r>
      <w:proofErr w:type="spellEnd"/>
      <w:r w:rsidRPr="000420D9">
        <w:rPr>
          <w:rFonts w:ascii="Times New Roman" w:eastAsia="Times New Roman" w:hAnsi="Times New Roman" w:cs="Times New Roman"/>
          <w:sz w:val="24"/>
          <w:szCs w:val="24"/>
          <w:lang w:eastAsia="en-GB"/>
        </w:rPr>
        <w:t xml:space="preserve"> through manganese superoxide dismutase. However, excessive manganese exposure, particularly when levels exceed 20 mg/L in food or water, can cause serious health problems. The most concerning manifestation of manganese toxicity is </w:t>
      </w:r>
      <w:proofErr w:type="spellStart"/>
      <w:r w:rsidRPr="000420D9">
        <w:rPr>
          <w:rFonts w:ascii="Times New Roman" w:eastAsia="Times New Roman" w:hAnsi="Times New Roman" w:cs="Times New Roman"/>
          <w:sz w:val="24"/>
          <w:szCs w:val="24"/>
          <w:lang w:eastAsia="en-GB"/>
        </w:rPr>
        <w:t>manganism</w:t>
      </w:r>
      <w:proofErr w:type="spellEnd"/>
      <w:r w:rsidRPr="000420D9">
        <w:rPr>
          <w:rFonts w:ascii="Times New Roman" w:eastAsia="Times New Roman" w:hAnsi="Times New Roman" w:cs="Times New Roman"/>
          <w:sz w:val="24"/>
          <w:szCs w:val="24"/>
          <w:lang w:eastAsia="en-GB"/>
        </w:rPr>
        <w:t>, a neurological disorder resembling Parkinson's disease.</w:t>
      </w:r>
    </w:p>
    <w:p w14:paraId="1B72B6C7" w14:textId="77777777" w:rsidR="000420D9" w:rsidRPr="000420D9" w:rsidRDefault="000420D9"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sz w:val="24"/>
          <w:szCs w:val="24"/>
          <w:lang w:eastAsia="en-GB"/>
        </w:rPr>
        <w:t xml:space="preserve">Manganese preferentially accumulates in the basal ganglia of the brain, particularly </w:t>
      </w:r>
      <w:r w:rsidRPr="000420D9">
        <w:rPr>
          <w:rFonts w:ascii="Times New Roman" w:eastAsia="Times New Roman" w:hAnsi="Times New Roman" w:cs="Times New Roman"/>
          <w:sz w:val="24"/>
          <w:szCs w:val="24"/>
          <w:lang w:eastAsia="en-GB"/>
        </w:rPr>
        <w:lastRenderedPageBreak/>
        <w:t xml:space="preserve">the globus pallidus and striatum. This accumulation disrupts dopaminergic neurotransmission and causes oxidative damage to neurons. The clinical presentation of </w:t>
      </w:r>
      <w:proofErr w:type="spellStart"/>
      <w:r w:rsidRPr="000420D9">
        <w:rPr>
          <w:rFonts w:ascii="Times New Roman" w:eastAsia="Times New Roman" w:hAnsi="Times New Roman" w:cs="Times New Roman"/>
          <w:sz w:val="24"/>
          <w:szCs w:val="24"/>
          <w:lang w:eastAsia="en-GB"/>
        </w:rPr>
        <w:t>manganism</w:t>
      </w:r>
      <w:proofErr w:type="spellEnd"/>
      <w:r w:rsidRPr="000420D9">
        <w:rPr>
          <w:rFonts w:ascii="Times New Roman" w:eastAsia="Times New Roman" w:hAnsi="Times New Roman" w:cs="Times New Roman"/>
          <w:sz w:val="24"/>
          <w:szCs w:val="24"/>
          <w:lang w:eastAsia="en-GB"/>
        </w:rPr>
        <w:t xml:space="preserve"> includes tremors, bradykinesia (slow movement), rigidity, dystonia, gait disturbances, and facial mask-like expression. Unlike Parkinson's disease, </w:t>
      </w:r>
      <w:proofErr w:type="spellStart"/>
      <w:r w:rsidRPr="000420D9">
        <w:rPr>
          <w:rFonts w:ascii="Times New Roman" w:eastAsia="Times New Roman" w:hAnsi="Times New Roman" w:cs="Times New Roman"/>
          <w:sz w:val="24"/>
          <w:szCs w:val="24"/>
          <w:lang w:eastAsia="en-GB"/>
        </w:rPr>
        <w:t>manganism</w:t>
      </w:r>
      <w:proofErr w:type="spellEnd"/>
      <w:r w:rsidRPr="000420D9">
        <w:rPr>
          <w:rFonts w:ascii="Times New Roman" w:eastAsia="Times New Roman" w:hAnsi="Times New Roman" w:cs="Times New Roman"/>
          <w:sz w:val="24"/>
          <w:szCs w:val="24"/>
          <w:lang w:eastAsia="en-GB"/>
        </w:rPr>
        <w:t xml:space="preserve"> typically shows poor response to levodopa therapy and may progress despite cessation of exposure.</w:t>
      </w:r>
    </w:p>
    <w:p w14:paraId="1ADAA785" w14:textId="77777777" w:rsidR="000420D9" w:rsidRPr="000420D9" w:rsidRDefault="000420D9"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sz w:val="24"/>
          <w:szCs w:val="24"/>
          <w:lang w:eastAsia="en-GB"/>
        </w:rPr>
        <w:t>Mitra et al. (2022) reported that acute manganese exposure can paradoxically exert neuroprotective effects by reducing apoptotic cell death. However, chronic excessive exposure overwhelms homeostatic mechanisms, leading to harmful neurological complications. The body's regulatory systems attempt to manage excess manganese by down-regulating metal uptake receptors and up-regulating efflux transporters, but these compensatory mechanisms prove insufficient during sustained high-level exposure.</w:t>
      </w:r>
    </w:p>
    <w:p w14:paraId="515947C5" w14:textId="77777777" w:rsidR="000420D9" w:rsidRPr="000420D9" w:rsidRDefault="000420D9"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sz w:val="24"/>
          <w:szCs w:val="24"/>
          <w:lang w:eastAsia="en-GB"/>
        </w:rPr>
        <w:t xml:space="preserve">In aquatic organisms, manganese levels above 20 mg/L disrupt osmoregulation, impair gill function, and interfere with growth and development. Birds exposed to excessive manganese experience dietary imbalances, reduced eggshell quality, kidney stress, and </w:t>
      </w:r>
      <w:proofErr w:type="spellStart"/>
      <w:r w:rsidRPr="000420D9">
        <w:rPr>
          <w:rFonts w:ascii="Times New Roman" w:eastAsia="Times New Roman" w:hAnsi="Times New Roman" w:cs="Times New Roman"/>
          <w:sz w:val="24"/>
          <w:szCs w:val="24"/>
          <w:lang w:eastAsia="en-GB"/>
        </w:rPr>
        <w:t>behavioral</w:t>
      </w:r>
      <w:proofErr w:type="spellEnd"/>
      <w:r w:rsidRPr="000420D9">
        <w:rPr>
          <w:rFonts w:ascii="Times New Roman" w:eastAsia="Times New Roman" w:hAnsi="Times New Roman" w:cs="Times New Roman"/>
          <w:sz w:val="24"/>
          <w:szCs w:val="24"/>
          <w:lang w:eastAsia="en-GB"/>
        </w:rPr>
        <w:t xml:space="preserve"> changes, as documented by Khan et al. (2023).</w:t>
      </w:r>
    </w:p>
    <w:p w14:paraId="69234215" w14:textId="77777777" w:rsidR="000420D9" w:rsidRPr="000420D9" w:rsidRDefault="000420D9" w:rsidP="0038231D">
      <w:pPr>
        <w:spacing w:before="100" w:beforeAutospacing="1" w:after="100" w:afterAutospacing="1" w:line="240" w:lineRule="auto"/>
        <w:jc w:val="both"/>
        <w:outlineLvl w:val="2"/>
        <w:rPr>
          <w:rFonts w:ascii="Times New Roman" w:eastAsia="Times New Roman" w:hAnsi="Times New Roman" w:cs="Times New Roman"/>
          <w:b/>
          <w:bCs/>
          <w:sz w:val="24"/>
          <w:szCs w:val="24"/>
          <w:lang w:eastAsia="en-GB"/>
        </w:rPr>
      </w:pPr>
      <w:r w:rsidRPr="000420D9">
        <w:rPr>
          <w:rFonts w:ascii="Times New Roman" w:eastAsia="Times New Roman" w:hAnsi="Times New Roman" w:cs="Times New Roman"/>
          <w:b/>
          <w:bCs/>
          <w:sz w:val="24"/>
          <w:szCs w:val="24"/>
          <w:lang w:eastAsia="en-GB"/>
        </w:rPr>
        <w:t>2.4 Analytical Techniques for Heavy Metal Determination</w:t>
      </w:r>
    </w:p>
    <w:p w14:paraId="08AB0097" w14:textId="77777777" w:rsidR="000420D9" w:rsidRPr="000420D9" w:rsidRDefault="000420D9" w:rsidP="0038231D">
      <w:pPr>
        <w:spacing w:before="100" w:beforeAutospacing="1" w:after="100" w:afterAutospacing="1" w:line="240" w:lineRule="auto"/>
        <w:jc w:val="both"/>
        <w:outlineLvl w:val="3"/>
        <w:rPr>
          <w:rFonts w:ascii="Times New Roman" w:eastAsia="Times New Roman" w:hAnsi="Times New Roman" w:cs="Times New Roman"/>
          <w:b/>
          <w:bCs/>
          <w:sz w:val="24"/>
          <w:szCs w:val="24"/>
          <w:lang w:eastAsia="en-GB"/>
        </w:rPr>
      </w:pPr>
      <w:r w:rsidRPr="000420D9">
        <w:rPr>
          <w:rFonts w:ascii="Times New Roman" w:eastAsia="Times New Roman" w:hAnsi="Times New Roman" w:cs="Times New Roman"/>
          <w:b/>
          <w:bCs/>
          <w:sz w:val="24"/>
          <w:szCs w:val="24"/>
          <w:lang w:eastAsia="en-GB"/>
        </w:rPr>
        <w:t>2.4.1 Atomic Absorption Spectroscopy (AAS)</w:t>
      </w:r>
    </w:p>
    <w:p w14:paraId="234255FB" w14:textId="77777777" w:rsidR="000420D9" w:rsidRPr="000420D9" w:rsidRDefault="000420D9"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sz w:val="24"/>
          <w:szCs w:val="24"/>
          <w:lang w:eastAsia="en-GB"/>
        </w:rPr>
        <w:t xml:space="preserve">Atomic Absorption Spectroscopy represents one of the most widely used analytical techniques for determination of heavy metal concentrations in various matrices, including food samples, environmental specimens, and biological tissues. The technique is based on the </w:t>
      </w:r>
      <w:r w:rsidRPr="000420D9">
        <w:rPr>
          <w:rFonts w:ascii="Times New Roman" w:eastAsia="Times New Roman" w:hAnsi="Times New Roman" w:cs="Times New Roman"/>
          <w:sz w:val="24"/>
          <w:szCs w:val="24"/>
          <w:lang w:eastAsia="en-GB"/>
        </w:rPr>
        <w:t>principle that ground-state atoms in the gas phase absorb electromagnetic radiation at characteristic wavelengths specific to each element. When a sample containing the analyte is atomized and exposed to radiation of the appropriate wavelength, the atoms absorb a portion of this radiation, and the degree of absorption correlates directly with the concentration of the analyte present.</w:t>
      </w:r>
    </w:p>
    <w:p w14:paraId="42E94FB5" w14:textId="77777777" w:rsidR="000420D9" w:rsidRPr="000420D9" w:rsidRDefault="000420D9"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sz w:val="24"/>
          <w:szCs w:val="24"/>
          <w:lang w:eastAsia="en-GB"/>
        </w:rPr>
        <w:t>The fundamental theory underlying AAS is described by the Beer-Lambert Law, which establishes a linear relationship between absorbance and concentration under ideal conditions. This relationship is expressed mathematically as:</w:t>
      </w:r>
    </w:p>
    <w:p w14:paraId="0BA39E36" w14:textId="77777777" w:rsidR="000420D9" w:rsidRPr="000420D9" w:rsidRDefault="000420D9"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sz w:val="24"/>
          <w:szCs w:val="24"/>
          <w:lang w:eastAsia="en-GB"/>
        </w:rPr>
        <w:t xml:space="preserve">A = </w:t>
      </w:r>
      <w:proofErr w:type="spellStart"/>
      <w:r w:rsidRPr="000420D9">
        <w:rPr>
          <w:rFonts w:ascii="Times New Roman" w:eastAsia="Times New Roman" w:hAnsi="Times New Roman" w:cs="Times New Roman"/>
          <w:sz w:val="24"/>
          <w:szCs w:val="24"/>
          <w:lang w:eastAsia="en-GB"/>
        </w:rPr>
        <w:t>εbc</w:t>
      </w:r>
      <w:proofErr w:type="spellEnd"/>
    </w:p>
    <w:p w14:paraId="1EF92DB9" w14:textId="77777777" w:rsidR="000420D9" w:rsidRPr="000420D9" w:rsidRDefault="000420D9"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sz w:val="24"/>
          <w:szCs w:val="24"/>
          <w:lang w:eastAsia="en-GB"/>
        </w:rPr>
        <w:t>where A represents absorbance, ε is the molar absorptivity coefficient (a constant specific to each analyte at a given wavelength), b is the path length through which radiation passes, and c is the concentration of the analyte.</w:t>
      </w:r>
    </w:p>
    <w:p w14:paraId="585BDD36" w14:textId="77777777" w:rsidR="000420D9" w:rsidRPr="000420D9" w:rsidRDefault="000420D9"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sz w:val="24"/>
          <w:szCs w:val="24"/>
          <w:lang w:eastAsia="en-GB"/>
        </w:rPr>
        <w:t xml:space="preserve">A typical AAS instrument comprises several essential components working in concert. The radiation source, most commonly a hollow cathode lamp containing the element of interest, emits element-specific radiation at characteristic wavelengths. The atomizer, which may be either a flame or an electrothermal (graphite furnace) system, converts the sample into free atomic vapor. Flame atomizers typically use an air-acetylene or nitrous oxide-acetylene flame, with the choice depending on the element being </w:t>
      </w:r>
      <w:proofErr w:type="spellStart"/>
      <w:r w:rsidRPr="000420D9">
        <w:rPr>
          <w:rFonts w:ascii="Times New Roman" w:eastAsia="Times New Roman" w:hAnsi="Times New Roman" w:cs="Times New Roman"/>
          <w:sz w:val="24"/>
          <w:szCs w:val="24"/>
          <w:lang w:eastAsia="en-GB"/>
        </w:rPr>
        <w:t>analyzed</w:t>
      </w:r>
      <w:proofErr w:type="spellEnd"/>
      <w:r w:rsidRPr="000420D9">
        <w:rPr>
          <w:rFonts w:ascii="Times New Roman" w:eastAsia="Times New Roman" w:hAnsi="Times New Roman" w:cs="Times New Roman"/>
          <w:sz w:val="24"/>
          <w:szCs w:val="24"/>
          <w:lang w:eastAsia="en-GB"/>
        </w:rPr>
        <w:t xml:space="preserve"> and the required sensitivity. The sample is aspirated into the flame as a fine aerosol, where it undergoes </w:t>
      </w:r>
      <w:proofErr w:type="spellStart"/>
      <w:r w:rsidRPr="000420D9">
        <w:rPr>
          <w:rFonts w:ascii="Times New Roman" w:eastAsia="Times New Roman" w:hAnsi="Times New Roman" w:cs="Times New Roman"/>
          <w:sz w:val="24"/>
          <w:szCs w:val="24"/>
          <w:lang w:eastAsia="en-GB"/>
        </w:rPr>
        <w:t>desolvation</w:t>
      </w:r>
      <w:proofErr w:type="spellEnd"/>
      <w:r w:rsidRPr="000420D9">
        <w:rPr>
          <w:rFonts w:ascii="Times New Roman" w:eastAsia="Times New Roman" w:hAnsi="Times New Roman" w:cs="Times New Roman"/>
          <w:sz w:val="24"/>
          <w:szCs w:val="24"/>
          <w:lang w:eastAsia="en-GB"/>
        </w:rPr>
        <w:t>, vaporization, and atomization.</w:t>
      </w:r>
    </w:p>
    <w:p w14:paraId="574233A3" w14:textId="77777777" w:rsidR="000420D9" w:rsidRPr="000420D9" w:rsidRDefault="000420D9"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sz w:val="24"/>
          <w:szCs w:val="24"/>
          <w:lang w:eastAsia="en-GB"/>
        </w:rPr>
        <w:t xml:space="preserve">Electrothermal atomizers offer superior sensitivity and require smaller sample volumes compared to flame systems, making them particularly suitable for trace element analysis. However, they generally </w:t>
      </w:r>
      <w:r w:rsidRPr="000420D9">
        <w:rPr>
          <w:rFonts w:ascii="Times New Roman" w:eastAsia="Times New Roman" w:hAnsi="Times New Roman" w:cs="Times New Roman"/>
          <w:sz w:val="24"/>
          <w:szCs w:val="24"/>
          <w:lang w:eastAsia="en-GB"/>
        </w:rPr>
        <w:lastRenderedPageBreak/>
        <w:t>have slower analysis times and may be more susceptible to matrix interferences. The monochromator selects the specific wavelength of interest from the radiation source and excludes other wavelengths that might interfere with the measurement. The detector, typically a photomultiplier tube, measures the intensity of radiation after it passes through the atomic vapor, and modern instruments convert this signal to digital readout of absorbance or concentration.</w:t>
      </w:r>
    </w:p>
    <w:p w14:paraId="21C3D7F2" w14:textId="77777777" w:rsidR="000420D9" w:rsidRPr="000420D9" w:rsidRDefault="000420D9"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sz w:val="24"/>
          <w:szCs w:val="24"/>
          <w:lang w:eastAsia="en-GB"/>
        </w:rPr>
        <w:t>AAS offers several advantages for heavy metal analysis including excellent sensitivity for most metals, relatively simple operation compared to more sophisticated techniques, good precision and accuracy, and wide applicability across diverse sample types. The technique can detect most metals at parts-per-million (ppm) or even parts-per-billion (ppb) levels, depending on the element and atomization system employed. However, AAS also has limitations including the need for separate analysis of each element (though modern instruments can be equipped with multiple lamps), potential interferences from sample matrix components, and the requirement for liquid samples or extracts.</w:t>
      </w:r>
    </w:p>
    <w:p w14:paraId="71402FAF" w14:textId="77777777" w:rsidR="000420D9" w:rsidRPr="000420D9" w:rsidRDefault="000420D9"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sz w:val="24"/>
          <w:szCs w:val="24"/>
          <w:lang w:eastAsia="en-GB"/>
        </w:rPr>
        <w:t>In the context of food safety monitoring and heavy metal analysis in agricultural products, AAS has proven invaluable due to its reliability, cost-effectiveness relative to more advanced techniques, and widespread availability in analytical laboratories. The technique is officially recognized by various international organizations including WHO, FAO, and AOAC International for heavy metal determination in food and agricultural commodities.</w:t>
      </w:r>
    </w:p>
    <w:p w14:paraId="4672456F" w14:textId="77777777" w:rsidR="000420D9" w:rsidRPr="000420D9" w:rsidRDefault="000420D9" w:rsidP="0038231D">
      <w:pPr>
        <w:spacing w:before="100" w:beforeAutospacing="1" w:after="100" w:afterAutospacing="1" w:line="240" w:lineRule="auto"/>
        <w:jc w:val="both"/>
        <w:outlineLvl w:val="3"/>
        <w:rPr>
          <w:rFonts w:ascii="Times New Roman" w:eastAsia="Times New Roman" w:hAnsi="Times New Roman" w:cs="Times New Roman"/>
          <w:b/>
          <w:bCs/>
          <w:sz w:val="24"/>
          <w:szCs w:val="24"/>
          <w:lang w:eastAsia="en-GB"/>
        </w:rPr>
      </w:pPr>
      <w:r w:rsidRPr="000420D9">
        <w:rPr>
          <w:rFonts w:ascii="Times New Roman" w:eastAsia="Times New Roman" w:hAnsi="Times New Roman" w:cs="Times New Roman"/>
          <w:b/>
          <w:bCs/>
          <w:sz w:val="24"/>
          <w:szCs w:val="24"/>
          <w:lang w:eastAsia="en-GB"/>
        </w:rPr>
        <w:t>2.4.2 Complementary Analytical Techniques</w:t>
      </w:r>
    </w:p>
    <w:p w14:paraId="28DE8CB7" w14:textId="77777777" w:rsidR="000420D9" w:rsidRPr="000420D9" w:rsidRDefault="000420D9"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sz w:val="24"/>
          <w:szCs w:val="24"/>
          <w:lang w:eastAsia="en-GB"/>
        </w:rPr>
        <w:t xml:space="preserve">While AAS serves as the primary analytical tool in this study, other sophisticated techniques are available for heavy metal </w:t>
      </w:r>
      <w:r w:rsidRPr="000420D9">
        <w:rPr>
          <w:rFonts w:ascii="Times New Roman" w:eastAsia="Times New Roman" w:hAnsi="Times New Roman" w:cs="Times New Roman"/>
          <w:sz w:val="24"/>
          <w:szCs w:val="24"/>
          <w:lang w:eastAsia="en-GB"/>
        </w:rPr>
        <w:t>analysis, each with unique advantages. Inductively Coupled Plasma Mass Spectrometry (ICP-MS) offers exceptional sensitivity and the capability for simultaneous multi-element analysis, making it suitable for comprehensive elemental profiling. The technique can achieve detection limits in the parts-per-trillion range for many elements. However, ICP-MS instruments are expensive to purchase and maintain, require highly trained operators, and may suffer from polyatomic interferences that necessitate careful method development.</w:t>
      </w:r>
    </w:p>
    <w:p w14:paraId="7CC916B4" w14:textId="77777777" w:rsidR="000420D9" w:rsidRPr="000420D9" w:rsidRDefault="000420D9"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sz w:val="24"/>
          <w:szCs w:val="24"/>
          <w:lang w:eastAsia="en-GB"/>
        </w:rPr>
        <w:t xml:space="preserve">X-ray Fluorescence Spectroscopy (XRF) provides a non-destructive analytical option that requires minimal sample preparation. The technique is particularly useful for screening purposes and can </w:t>
      </w:r>
      <w:proofErr w:type="spellStart"/>
      <w:r w:rsidRPr="000420D9">
        <w:rPr>
          <w:rFonts w:ascii="Times New Roman" w:eastAsia="Times New Roman" w:hAnsi="Times New Roman" w:cs="Times New Roman"/>
          <w:sz w:val="24"/>
          <w:szCs w:val="24"/>
          <w:lang w:eastAsia="en-GB"/>
        </w:rPr>
        <w:t>analyze</w:t>
      </w:r>
      <w:proofErr w:type="spellEnd"/>
      <w:r w:rsidRPr="000420D9">
        <w:rPr>
          <w:rFonts w:ascii="Times New Roman" w:eastAsia="Times New Roman" w:hAnsi="Times New Roman" w:cs="Times New Roman"/>
          <w:sz w:val="24"/>
          <w:szCs w:val="24"/>
          <w:lang w:eastAsia="en-GB"/>
        </w:rPr>
        <w:t xml:space="preserve"> solid samples directly. However, XRF generally offers lower sensitivity compared to AAS or ICP-MS and may not be suitable for trace-level determinations. Inductively Coupled Plasma Optical Emission Spectroscopy (ICP-OES) combines multi-element capability with good sensitivity and is less susceptible to certain interferences compared to ICP-MS, though it typically has higher detection limits.</w:t>
      </w:r>
    </w:p>
    <w:p w14:paraId="4978E982" w14:textId="77777777" w:rsidR="000420D9" w:rsidRPr="000420D9" w:rsidRDefault="000420D9" w:rsidP="0038231D">
      <w:pPr>
        <w:spacing w:before="100" w:beforeAutospacing="1" w:after="100" w:afterAutospacing="1" w:line="240" w:lineRule="auto"/>
        <w:jc w:val="both"/>
        <w:outlineLvl w:val="2"/>
        <w:rPr>
          <w:rFonts w:ascii="Times New Roman" w:eastAsia="Times New Roman" w:hAnsi="Times New Roman" w:cs="Times New Roman"/>
          <w:b/>
          <w:bCs/>
          <w:sz w:val="24"/>
          <w:szCs w:val="24"/>
          <w:lang w:eastAsia="en-GB"/>
        </w:rPr>
      </w:pPr>
      <w:r w:rsidRPr="000420D9">
        <w:rPr>
          <w:rFonts w:ascii="Times New Roman" w:eastAsia="Times New Roman" w:hAnsi="Times New Roman" w:cs="Times New Roman"/>
          <w:b/>
          <w:bCs/>
          <w:sz w:val="24"/>
          <w:szCs w:val="24"/>
          <w:lang w:eastAsia="en-GB"/>
        </w:rPr>
        <w:t>2.5 Previous Studies on Heavy Metals in Maize</w:t>
      </w:r>
    </w:p>
    <w:p w14:paraId="3EA2EC47" w14:textId="77777777" w:rsidR="000420D9" w:rsidRPr="000420D9" w:rsidRDefault="000420D9"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sz w:val="24"/>
          <w:szCs w:val="24"/>
          <w:lang w:eastAsia="en-GB"/>
        </w:rPr>
        <w:t>The scientific literature contains numerous studies examining heavy metal contamination in maize and other cereal crops from various regions worldwide. These studies provide context for understanding contamination patterns, sources, and health implications. Research by Atta et al. (2023) investigated the effects of heavy metals on maize growth and their implications for phytoremediation, demonstrating that contaminated soils significantly impair plant development while potentially offering opportunities for using maize in soil cleanup strategies.</w:t>
      </w:r>
    </w:p>
    <w:p w14:paraId="0B4F47A6" w14:textId="77777777" w:rsidR="000420D9" w:rsidRPr="000420D9" w:rsidRDefault="000420D9"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proofErr w:type="spellStart"/>
      <w:r w:rsidRPr="000420D9">
        <w:rPr>
          <w:rFonts w:ascii="Times New Roman" w:eastAsia="Times New Roman" w:hAnsi="Times New Roman" w:cs="Times New Roman"/>
          <w:sz w:val="24"/>
          <w:szCs w:val="24"/>
          <w:lang w:eastAsia="en-GB"/>
        </w:rPr>
        <w:lastRenderedPageBreak/>
        <w:t>Aladesanmi</w:t>
      </w:r>
      <w:proofErr w:type="spellEnd"/>
      <w:r w:rsidRPr="000420D9">
        <w:rPr>
          <w:rFonts w:ascii="Times New Roman" w:eastAsia="Times New Roman" w:hAnsi="Times New Roman" w:cs="Times New Roman"/>
          <w:sz w:val="24"/>
          <w:szCs w:val="24"/>
          <w:lang w:eastAsia="en-GB"/>
        </w:rPr>
        <w:t xml:space="preserve"> et al. (2019) calculated bioaccumulation factors for selected heavy metals in maize, providing insights into how efficiently different metals transfer from soil to plant tissues. Their work highlighted varietal differences in metal uptake and identified environmental factors that influence bioaccumulation processes. Liu et al. (2023) examined pollution characteristics and health exposure risks associated with heavy metals in crops grown near contaminated sites, emphasizing the pathway from environmental contamination to human exposure through food consumption.</w:t>
      </w:r>
    </w:p>
    <w:p w14:paraId="7B7C5556" w14:textId="77777777" w:rsidR="000420D9" w:rsidRPr="000420D9" w:rsidRDefault="000420D9"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sz w:val="24"/>
          <w:szCs w:val="24"/>
          <w:lang w:eastAsia="en-GB"/>
        </w:rPr>
        <w:t>Studies focused on specific metals have elucidated mechanisms of toxicity and uptake. Khan et al. (2021) investigated lead-induced oxidative stress effects on rice morphology and biochemistry, findings applicable to understanding similar processes in maize. The research demonstrated that lead exposure induces production of reactive oxygen species, damages cellular membranes through lipid peroxidation, and interferes with photosynthetic processes. These oxidative stress mechanisms are common across different crop species exposed to heavy metal contamination.</w:t>
      </w:r>
    </w:p>
    <w:p w14:paraId="6BE2C09F" w14:textId="77777777" w:rsidR="000420D9" w:rsidRPr="000420D9" w:rsidRDefault="000420D9"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sz w:val="24"/>
          <w:szCs w:val="24"/>
          <w:lang w:eastAsia="en-GB"/>
        </w:rPr>
        <w:t>Gargouri et al. (2018) studied lead-induced nephrotoxicity in animal models, demonstrating the renal damage potential of lead and exploring potential ameliorative strategies using natural compounds. Their work on oxidative stress modulation and histopathological changes provides important insights into the health consequences of lead exposure through dietary pathways. Similarly, research on cadmium toxicity has revealed the metal's carcinogenic properties and its particular affinity for kidney tissue, where it causes progressive damage over time.</w:t>
      </w:r>
    </w:p>
    <w:p w14:paraId="750481AE" w14:textId="77777777" w:rsidR="000420D9" w:rsidRPr="000420D9" w:rsidRDefault="000420D9"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sz w:val="24"/>
          <w:szCs w:val="24"/>
          <w:lang w:eastAsia="en-GB"/>
        </w:rPr>
        <w:t xml:space="preserve">Despite this growing body of international research, significant gaps remain in understanding heavy metal contamination </w:t>
      </w:r>
      <w:r w:rsidRPr="000420D9">
        <w:rPr>
          <w:rFonts w:ascii="Times New Roman" w:eastAsia="Times New Roman" w:hAnsi="Times New Roman" w:cs="Times New Roman"/>
          <w:sz w:val="24"/>
          <w:szCs w:val="24"/>
          <w:lang w:eastAsia="en-GB"/>
        </w:rPr>
        <w:t>patterns in Kenyan maize production systems. Most existing studies focus on Asian, European, or West African contexts, with limited data available for East African agricultural environments. The specific combination of soil types, climate patterns, agricultural practices, and maize varieties found in Kenya creates unique conditions that may influence heavy metal dynamics differently from other regions. Furthermore, comparative studies examining traditional indigenous varieties alongside modern hybrids are scarce, yet such comparisons are essential for understanding how breeding programs and varietal selection may influence food safety outcomes.</w:t>
      </w:r>
    </w:p>
    <w:p w14:paraId="48EFDC08" w14:textId="77777777" w:rsidR="000420D9" w:rsidRPr="000420D9" w:rsidRDefault="000420D9" w:rsidP="0038231D">
      <w:pPr>
        <w:spacing w:after="0" w:line="240" w:lineRule="auto"/>
        <w:jc w:val="both"/>
        <w:rPr>
          <w:rFonts w:ascii="Times New Roman" w:eastAsia="Times New Roman" w:hAnsi="Times New Roman" w:cs="Times New Roman"/>
          <w:sz w:val="24"/>
          <w:szCs w:val="24"/>
          <w:lang w:eastAsia="en-GB"/>
        </w:rPr>
      </w:pPr>
    </w:p>
    <w:p w14:paraId="34D9076F" w14:textId="77777777" w:rsidR="000420D9" w:rsidRPr="000420D9" w:rsidRDefault="000420D9" w:rsidP="0038231D">
      <w:pPr>
        <w:spacing w:before="100" w:beforeAutospacing="1" w:after="100" w:afterAutospacing="1" w:line="240" w:lineRule="auto"/>
        <w:jc w:val="both"/>
        <w:outlineLvl w:val="1"/>
        <w:rPr>
          <w:rFonts w:ascii="Times New Roman" w:eastAsia="Times New Roman" w:hAnsi="Times New Roman" w:cs="Times New Roman"/>
          <w:b/>
          <w:bCs/>
          <w:sz w:val="24"/>
          <w:szCs w:val="24"/>
          <w:lang w:eastAsia="en-GB"/>
        </w:rPr>
      </w:pPr>
      <w:r w:rsidRPr="000420D9">
        <w:rPr>
          <w:rFonts w:ascii="Times New Roman" w:eastAsia="Times New Roman" w:hAnsi="Times New Roman" w:cs="Times New Roman"/>
          <w:b/>
          <w:bCs/>
          <w:sz w:val="24"/>
          <w:szCs w:val="24"/>
          <w:lang w:eastAsia="en-GB"/>
        </w:rPr>
        <w:t>3.0 MATERIALS AND METHODS</w:t>
      </w:r>
    </w:p>
    <w:p w14:paraId="04FEEFB7" w14:textId="77777777" w:rsidR="000420D9" w:rsidRPr="000420D9" w:rsidRDefault="000420D9" w:rsidP="0038231D">
      <w:pPr>
        <w:spacing w:before="100" w:beforeAutospacing="1" w:after="100" w:afterAutospacing="1" w:line="240" w:lineRule="auto"/>
        <w:jc w:val="both"/>
        <w:outlineLvl w:val="2"/>
        <w:rPr>
          <w:rFonts w:ascii="Times New Roman" w:eastAsia="Times New Roman" w:hAnsi="Times New Roman" w:cs="Times New Roman"/>
          <w:b/>
          <w:bCs/>
          <w:sz w:val="24"/>
          <w:szCs w:val="24"/>
          <w:lang w:eastAsia="en-GB"/>
        </w:rPr>
      </w:pPr>
      <w:r w:rsidRPr="000420D9">
        <w:rPr>
          <w:rFonts w:ascii="Times New Roman" w:eastAsia="Times New Roman" w:hAnsi="Times New Roman" w:cs="Times New Roman"/>
          <w:b/>
          <w:bCs/>
          <w:sz w:val="24"/>
          <w:szCs w:val="24"/>
          <w:lang w:eastAsia="en-GB"/>
        </w:rPr>
        <w:t>3.1 Study Area</w:t>
      </w:r>
    </w:p>
    <w:p w14:paraId="433EF069" w14:textId="77777777" w:rsidR="000420D9" w:rsidRPr="000420D9" w:rsidRDefault="000420D9"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sz w:val="24"/>
          <w:szCs w:val="24"/>
          <w:lang w:eastAsia="en-GB"/>
        </w:rPr>
        <w:t xml:space="preserve">The research was conducted in </w:t>
      </w:r>
      <w:proofErr w:type="spellStart"/>
      <w:r w:rsidRPr="000420D9">
        <w:rPr>
          <w:rFonts w:ascii="Times New Roman" w:eastAsia="Times New Roman" w:hAnsi="Times New Roman" w:cs="Times New Roman"/>
          <w:sz w:val="24"/>
          <w:szCs w:val="24"/>
          <w:lang w:eastAsia="en-GB"/>
        </w:rPr>
        <w:t>Masii</w:t>
      </w:r>
      <w:proofErr w:type="spellEnd"/>
      <w:r w:rsidRPr="000420D9">
        <w:rPr>
          <w:rFonts w:ascii="Times New Roman" w:eastAsia="Times New Roman" w:hAnsi="Times New Roman" w:cs="Times New Roman"/>
          <w:sz w:val="24"/>
          <w:szCs w:val="24"/>
          <w:lang w:eastAsia="en-GB"/>
        </w:rPr>
        <w:t xml:space="preserve"> Location, which is situated within Mwala Sub-County of Machakos County, Kenya. Machakos County is located in the Eastern region of Kenya, approximately 64 </w:t>
      </w:r>
      <w:proofErr w:type="spellStart"/>
      <w:r w:rsidRPr="000420D9">
        <w:rPr>
          <w:rFonts w:ascii="Times New Roman" w:eastAsia="Times New Roman" w:hAnsi="Times New Roman" w:cs="Times New Roman"/>
          <w:sz w:val="24"/>
          <w:szCs w:val="24"/>
          <w:lang w:eastAsia="en-GB"/>
        </w:rPr>
        <w:t>kilometers</w:t>
      </w:r>
      <w:proofErr w:type="spellEnd"/>
      <w:r w:rsidRPr="000420D9">
        <w:rPr>
          <w:rFonts w:ascii="Times New Roman" w:eastAsia="Times New Roman" w:hAnsi="Times New Roman" w:cs="Times New Roman"/>
          <w:sz w:val="24"/>
          <w:szCs w:val="24"/>
          <w:lang w:eastAsia="en-GB"/>
        </w:rPr>
        <w:t xml:space="preserve"> southeast of Nairobi, the capital city. The county lies within the semi-arid to arid agro-ecological zones, characterized by erratic rainfall patterns and generally challenging conditions for rain-fed agriculture. Despite these environmental constraints, the region supports substantial maize production, with farmers relying on this crop as both a staple food and a source of income.</w:t>
      </w:r>
    </w:p>
    <w:p w14:paraId="6099B712" w14:textId="77777777" w:rsidR="000420D9" w:rsidRPr="000420D9" w:rsidRDefault="000420D9"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sz w:val="24"/>
          <w:szCs w:val="24"/>
          <w:lang w:eastAsia="en-GB"/>
        </w:rPr>
        <w:t xml:space="preserve">The study area encompasses approximately 9 </w:t>
      </w:r>
      <w:proofErr w:type="spellStart"/>
      <w:r w:rsidRPr="000420D9">
        <w:rPr>
          <w:rFonts w:ascii="Times New Roman" w:eastAsia="Times New Roman" w:hAnsi="Times New Roman" w:cs="Times New Roman"/>
          <w:sz w:val="24"/>
          <w:szCs w:val="24"/>
          <w:lang w:eastAsia="en-GB"/>
        </w:rPr>
        <w:t>kilometers</w:t>
      </w:r>
      <w:proofErr w:type="spellEnd"/>
      <w:r w:rsidRPr="000420D9">
        <w:rPr>
          <w:rFonts w:ascii="Times New Roman" w:eastAsia="Times New Roman" w:hAnsi="Times New Roman" w:cs="Times New Roman"/>
          <w:sz w:val="24"/>
          <w:szCs w:val="24"/>
          <w:lang w:eastAsia="en-GB"/>
        </w:rPr>
        <w:t xml:space="preserve"> and covers a catchment area of 72 square </w:t>
      </w:r>
      <w:proofErr w:type="spellStart"/>
      <w:r w:rsidRPr="000420D9">
        <w:rPr>
          <w:rFonts w:ascii="Times New Roman" w:eastAsia="Times New Roman" w:hAnsi="Times New Roman" w:cs="Times New Roman"/>
          <w:sz w:val="24"/>
          <w:szCs w:val="24"/>
          <w:lang w:eastAsia="en-GB"/>
        </w:rPr>
        <w:t>kilometers</w:t>
      </w:r>
      <w:proofErr w:type="spellEnd"/>
      <w:r w:rsidRPr="000420D9">
        <w:rPr>
          <w:rFonts w:ascii="Times New Roman" w:eastAsia="Times New Roman" w:hAnsi="Times New Roman" w:cs="Times New Roman"/>
          <w:sz w:val="24"/>
          <w:szCs w:val="24"/>
          <w:lang w:eastAsia="en-GB"/>
        </w:rPr>
        <w:t xml:space="preserve">. Geographically, the location falls between longitude 37.3912° to 37.5496° East and latitude 1.4767° to 1.4104° South. The topography is characterized by gently rolling hills and valleys typical of the Eastern Highlands, with elevation varying across the study sites. This variation in altitude influences </w:t>
      </w:r>
      <w:r w:rsidRPr="000420D9">
        <w:rPr>
          <w:rFonts w:ascii="Times New Roman" w:eastAsia="Times New Roman" w:hAnsi="Times New Roman" w:cs="Times New Roman"/>
          <w:sz w:val="24"/>
          <w:szCs w:val="24"/>
          <w:lang w:eastAsia="en-GB"/>
        </w:rPr>
        <w:lastRenderedPageBreak/>
        <w:t>local microclimates and agricultural practices, with farmers adapting their crop management strategies to local conditions.</w:t>
      </w:r>
    </w:p>
    <w:p w14:paraId="04111FF5" w14:textId="77777777" w:rsidR="000420D9" w:rsidRPr="000420D9" w:rsidRDefault="000420D9"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sz w:val="24"/>
          <w:szCs w:val="24"/>
          <w:lang w:eastAsia="en-GB"/>
        </w:rPr>
        <w:t xml:space="preserve">Three specific sampling sites were selected within </w:t>
      </w:r>
      <w:proofErr w:type="spellStart"/>
      <w:r w:rsidRPr="000420D9">
        <w:rPr>
          <w:rFonts w:ascii="Times New Roman" w:eastAsia="Times New Roman" w:hAnsi="Times New Roman" w:cs="Times New Roman"/>
          <w:sz w:val="24"/>
          <w:szCs w:val="24"/>
          <w:lang w:eastAsia="en-GB"/>
        </w:rPr>
        <w:t>Masii</w:t>
      </w:r>
      <w:proofErr w:type="spellEnd"/>
      <w:r w:rsidRPr="000420D9">
        <w:rPr>
          <w:rFonts w:ascii="Times New Roman" w:eastAsia="Times New Roman" w:hAnsi="Times New Roman" w:cs="Times New Roman"/>
          <w:sz w:val="24"/>
          <w:szCs w:val="24"/>
          <w:lang w:eastAsia="en-GB"/>
        </w:rPr>
        <w:t xml:space="preserve"> Location, representing different wards: </w:t>
      </w:r>
      <w:proofErr w:type="spellStart"/>
      <w:r w:rsidRPr="000420D9">
        <w:rPr>
          <w:rFonts w:ascii="Times New Roman" w:eastAsia="Times New Roman" w:hAnsi="Times New Roman" w:cs="Times New Roman"/>
          <w:sz w:val="24"/>
          <w:szCs w:val="24"/>
          <w:lang w:eastAsia="en-GB"/>
        </w:rPr>
        <w:t>Mbaani</w:t>
      </w:r>
      <w:proofErr w:type="spellEnd"/>
      <w:r w:rsidRPr="000420D9">
        <w:rPr>
          <w:rFonts w:ascii="Times New Roman" w:eastAsia="Times New Roman" w:hAnsi="Times New Roman" w:cs="Times New Roman"/>
          <w:sz w:val="24"/>
          <w:szCs w:val="24"/>
          <w:lang w:eastAsia="en-GB"/>
        </w:rPr>
        <w:t xml:space="preserve">, </w:t>
      </w:r>
      <w:proofErr w:type="spellStart"/>
      <w:r w:rsidRPr="000420D9">
        <w:rPr>
          <w:rFonts w:ascii="Times New Roman" w:eastAsia="Times New Roman" w:hAnsi="Times New Roman" w:cs="Times New Roman"/>
          <w:sz w:val="24"/>
          <w:szCs w:val="24"/>
          <w:lang w:eastAsia="en-GB"/>
        </w:rPr>
        <w:t>Kathama</w:t>
      </w:r>
      <w:proofErr w:type="spellEnd"/>
      <w:r w:rsidRPr="000420D9">
        <w:rPr>
          <w:rFonts w:ascii="Times New Roman" w:eastAsia="Times New Roman" w:hAnsi="Times New Roman" w:cs="Times New Roman"/>
          <w:sz w:val="24"/>
          <w:szCs w:val="24"/>
          <w:lang w:eastAsia="en-GB"/>
        </w:rPr>
        <w:t xml:space="preserve">, and </w:t>
      </w:r>
      <w:proofErr w:type="spellStart"/>
      <w:r w:rsidRPr="000420D9">
        <w:rPr>
          <w:rFonts w:ascii="Times New Roman" w:eastAsia="Times New Roman" w:hAnsi="Times New Roman" w:cs="Times New Roman"/>
          <w:sz w:val="24"/>
          <w:szCs w:val="24"/>
          <w:lang w:eastAsia="en-GB"/>
        </w:rPr>
        <w:t>Muthei</w:t>
      </w:r>
      <w:proofErr w:type="spellEnd"/>
      <w:r w:rsidRPr="000420D9">
        <w:rPr>
          <w:rFonts w:ascii="Times New Roman" w:eastAsia="Times New Roman" w:hAnsi="Times New Roman" w:cs="Times New Roman"/>
          <w:sz w:val="24"/>
          <w:szCs w:val="24"/>
          <w:lang w:eastAsia="en-GB"/>
        </w:rPr>
        <w:t xml:space="preserve">. These sites were chosen based on several criteria including active maize cultivation, accessibility for sample collection, representation of typical farming systems in the area, and willingness of farmers to participate in the research. The </w:t>
      </w:r>
      <w:proofErr w:type="spellStart"/>
      <w:r w:rsidRPr="000420D9">
        <w:rPr>
          <w:rFonts w:ascii="Times New Roman" w:eastAsia="Times New Roman" w:hAnsi="Times New Roman" w:cs="Times New Roman"/>
          <w:sz w:val="24"/>
          <w:szCs w:val="24"/>
          <w:lang w:eastAsia="en-GB"/>
        </w:rPr>
        <w:t>Mbaani</w:t>
      </w:r>
      <w:proofErr w:type="spellEnd"/>
      <w:r w:rsidRPr="000420D9">
        <w:rPr>
          <w:rFonts w:ascii="Times New Roman" w:eastAsia="Times New Roman" w:hAnsi="Times New Roman" w:cs="Times New Roman"/>
          <w:sz w:val="24"/>
          <w:szCs w:val="24"/>
          <w:lang w:eastAsia="en-GB"/>
        </w:rPr>
        <w:t xml:space="preserve"> site is located at latitude -1.45196° and longitude 37.48384°, with an elevation of approximately 1200 meters above sea level. This area is characterized primarily by agricultural activities, with maize being a dominant crop alongside beans, pigeon peas, and vegetables. The soils in </w:t>
      </w:r>
      <w:proofErr w:type="spellStart"/>
      <w:r w:rsidRPr="000420D9">
        <w:rPr>
          <w:rFonts w:ascii="Times New Roman" w:eastAsia="Times New Roman" w:hAnsi="Times New Roman" w:cs="Times New Roman"/>
          <w:sz w:val="24"/>
          <w:szCs w:val="24"/>
          <w:lang w:eastAsia="en-GB"/>
        </w:rPr>
        <w:t>Mbaani</w:t>
      </w:r>
      <w:proofErr w:type="spellEnd"/>
      <w:r w:rsidRPr="000420D9">
        <w:rPr>
          <w:rFonts w:ascii="Times New Roman" w:eastAsia="Times New Roman" w:hAnsi="Times New Roman" w:cs="Times New Roman"/>
          <w:sz w:val="24"/>
          <w:szCs w:val="24"/>
          <w:lang w:eastAsia="en-GB"/>
        </w:rPr>
        <w:t xml:space="preserve"> are predominantly reddish-brown, suggesting weathered volcanic parent material, and farmers typically apply both organic manures and synthetic fertilizers to maintain soil fertility.</w:t>
      </w:r>
    </w:p>
    <w:p w14:paraId="2003BB7E" w14:textId="77777777" w:rsidR="000420D9" w:rsidRPr="000420D9" w:rsidRDefault="000420D9"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sz w:val="24"/>
          <w:szCs w:val="24"/>
          <w:lang w:eastAsia="en-GB"/>
        </w:rPr>
        <w:t xml:space="preserve">The </w:t>
      </w:r>
      <w:proofErr w:type="spellStart"/>
      <w:r w:rsidRPr="000420D9">
        <w:rPr>
          <w:rFonts w:ascii="Times New Roman" w:eastAsia="Times New Roman" w:hAnsi="Times New Roman" w:cs="Times New Roman"/>
          <w:sz w:val="24"/>
          <w:szCs w:val="24"/>
          <w:lang w:eastAsia="en-GB"/>
        </w:rPr>
        <w:t>Kathama</w:t>
      </w:r>
      <w:proofErr w:type="spellEnd"/>
      <w:r w:rsidRPr="000420D9">
        <w:rPr>
          <w:rFonts w:ascii="Times New Roman" w:eastAsia="Times New Roman" w:hAnsi="Times New Roman" w:cs="Times New Roman"/>
          <w:sz w:val="24"/>
          <w:szCs w:val="24"/>
          <w:lang w:eastAsia="en-GB"/>
        </w:rPr>
        <w:t xml:space="preserve"> sampling site, positioned at latitude -1.44074° and longitude 37.41032°, sits at an elevation of approximately 1190 meters above sea level. This ward exhibits more diverse economic activities compared to </w:t>
      </w:r>
      <w:proofErr w:type="spellStart"/>
      <w:r w:rsidRPr="000420D9">
        <w:rPr>
          <w:rFonts w:ascii="Times New Roman" w:eastAsia="Times New Roman" w:hAnsi="Times New Roman" w:cs="Times New Roman"/>
          <w:sz w:val="24"/>
          <w:szCs w:val="24"/>
          <w:lang w:eastAsia="en-GB"/>
        </w:rPr>
        <w:t>Mbaani</w:t>
      </w:r>
      <w:proofErr w:type="spellEnd"/>
      <w:r w:rsidRPr="000420D9">
        <w:rPr>
          <w:rFonts w:ascii="Times New Roman" w:eastAsia="Times New Roman" w:hAnsi="Times New Roman" w:cs="Times New Roman"/>
          <w:sz w:val="24"/>
          <w:szCs w:val="24"/>
          <w:lang w:eastAsia="en-GB"/>
        </w:rPr>
        <w:t xml:space="preserve">, with trade and commerce playing significant roles alongside agriculture. The proximity to local markets and trading </w:t>
      </w:r>
      <w:proofErr w:type="spellStart"/>
      <w:r w:rsidRPr="000420D9">
        <w:rPr>
          <w:rFonts w:ascii="Times New Roman" w:eastAsia="Times New Roman" w:hAnsi="Times New Roman" w:cs="Times New Roman"/>
          <w:sz w:val="24"/>
          <w:szCs w:val="24"/>
          <w:lang w:eastAsia="en-GB"/>
        </w:rPr>
        <w:t>centers</w:t>
      </w:r>
      <w:proofErr w:type="spellEnd"/>
      <w:r w:rsidRPr="000420D9">
        <w:rPr>
          <w:rFonts w:ascii="Times New Roman" w:eastAsia="Times New Roman" w:hAnsi="Times New Roman" w:cs="Times New Roman"/>
          <w:sz w:val="24"/>
          <w:szCs w:val="24"/>
          <w:lang w:eastAsia="en-GB"/>
        </w:rPr>
        <w:t xml:space="preserve"> means that agricultural inputs including fertilizers and pesticides are readily accessible to farmers. The area experiences moderate human activity and vehicle traffic, which could potentially contribute to atmospheric deposition of certain contaminants.</w:t>
      </w:r>
    </w:p>
    <w:p w14:paraId="4A3CA12C" w14:textId="77777777" w:rsidR="000420D9" w:rsidRPr="000420D9" w:rsidRDefault="000420D9"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proofErr w:type="spellStart"/>
      <w:r w:rsidRPr="000420D9">
        <w:rPr>
          <w:rFonts w:ascii="Times New Roman" w:eastAsia="Times New Roman" w:hAnsi="Times New Roman" w:cs="Times New Roman"/>
          <w:sz w:val="24"/>
          <w:szCs w:val="24"/>
          <w:lang w:eastAsia="en-GB"/>
        </w:rPr>
        <w:t>Muthei</w:t>
      </w:r>
      <w:proofErr w:type="spellEnd"/>
      <w:r w:rsidRPr="000420D9">
        <w:rPr>
          <w:rFonts w:ascii="Times New Roman" w:eastAsia="Times New Roman" w:hAnsi="Times New Roman" w:cs="Times New Roman"/>
          <w:sz w:val="24"/>
          <w:szCs w:val="24"/>
          <w:lang w:eastAsia="en-GB"/>
        </w:rPr>
        <w:t xml:space="preserve"> ward, the third sampling location, is found at latitude -1.43958° and longitude 37.4078°, with a lower elevation of approximately 1011 meters above sea level. This site is characterized by mixed farming systems with particular emphasis on livestock management alongside crop production. The integration of livestock </w:t>
      </w:r>
      <w:r w:rsidRPr="000420D9">
        <w:rPr>
          <w:rFonts w:ascii="Times New Roman" w:eastAsia="Times New Roman" w:hAnsi="Times New Roman" w:cs="Times New Roman"/>
          <w:sz w:val="24"/>
          <w:szCs w:val="24"/>
          <w:lang w:eastAsia="en-GB"/>
        </w:rPr>
        <w:t>activities means that animal manures are commonly used as soil amendments, and the area maintains higher organic matter inputs compared to areas relying solely on synthetic fertilizers. The lower elevation also results in slightly warmer conditions and potentially different cropping patterns.</w:t>
      </w:r>
    </w:p>
    <w:p w14:paraId="12FFEB01" w14:textId="77777777" w:rsidR="000420D9" w:rsidRPr="000420D9" w:rsidRDefault="000420D9"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sz w:val="24"/>
          <w:szCs w:val="24"/>
          <w:lang w:eastAsia="en-GB"/>
        </w:rPr>
        <w:t xml:space="preserve">The climate across all three sites is classified as semi-arid, with mean annual rainfall ranging between 600-900 </w:t>
      </w:r>
      <w:proofErr w:type="spellStart"/>
      <w:r w:rsidRPr="000420D9">
        <w:rPr>
          <w:rFonts w:ascii="Times New Roman" w:eastAsia="Times New Roman" w:hAnsi="Times New Roman" w:cs="Times New Roman"/>
          <w:sz w:val="24"/>
          <w:szCs w:val="24"/>
          <w:lang w:eastAsia="en-GB"/>
        </w:rPr>
        <w:t>millimeters</w:t>
      </w:r>
      <w:proofErr w:type="spellEnd"/>
      <w:r w:rsidRPr="000420D9">
        <w:rPr>
          <w:rFonts w:ascii="Times New Roman" w:eastAsia="Times New Roman" w:hAnsi="Times New Roman" w:cs="Times New Roman"/>
          <w:sz w:val="24"/>
          <w:szCs w:val="24"/>
          <w:lang w:eastAsia="en-GB"/>
        </w:rPr>
        <w:t>, distributed in a bimodal pattern. The long rains typically occur from March to May, while short rains fall between October and December. Temperatures are moderate, with mean annual temperatures ranging from 18°C to 26°C. These climatic conditions, combined with the soil characteristics and topography, create an environment where maize production requires careful management and is often supplemented with supplementary irrigation during dry periods.</w:t>
      </w:r>
    </w:p>
    <w:p w14:paraId="7EE74CEB" w14:textId="77777777" w:rsidR="000420D9" w:rsidRPr="000420D9" w:rsidRDefault="000420D9"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sz w:val="24"/>
          <w:szCs w:val="24"/>
          <w:lang w:eastAsia="en-GB"/>
        </w:rPr>
        <w:t xml:space="preserve">Human activities in the study area that could potentially influence heavy metal levels in agricultural soils include intensive farming with regular application of agrochemicals, small-scale commercial activities, transport-related emissions from the roads connecting rural areas to market </w:t>
      </w:r>
      <w:proofErr w:type="spellStart"/>
      <w:r w:rsidRPr="000420D9">
        <w:rPr>
          <w:rFonts w:ascii="Times New Roman" w:eastAsia="Times New Roman" w:hAnsi="Times New Roman" w:cs="Times New Roman"/>
          <w:sz w:val="24"/>
          <w:szCs w:val="24"/>
          <w:lang w:eastAsia="en-GB"/>
        </w:rPr>
        <w:t>centers</w:t>
      </w:r>
      <w:proofErr w:type="spellEnd"/>
      <w:r w:rsidRPr="000420D9">
        <w:rPr>
          <w:rFonts w:ascii="Times New Roman" w:eastAsia="Times New Roman" w:hAnsi="Times New Roman" w:cs="Times New Roman"/>
          <w:sz w:val="24"/>
          <w:szCs w:val="24"/>
          <w:lang w:eastAsia="en-GB"/>
        </w:rPr>
        <w:t>, and in some areas, use of wastewater or water from potentially contaminated sources for irrigation during dry seasons. The area also experiences population pressure, leading to continuous cultivation with minimal fallow periods, which may affect soil health and contaminant dynamics.</w:t>
      </w:r>
    </w:p>
    <w:p w14:paraId="0A7EBF1F" w14:textId="77777777" w:rsidR="000420D9" w:rsidRDefault="000420D9"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sz w:val="24"/>
          <w:szCs w:val="24"/>
          <w:lang w:eastAsia="en-GB"/>
        </w:rPr>
        <w:t xml:space="preserve">Income-generating activities in </w:t>
      </w:r>
      <w:proofErr w:type="spellStart"/>
      <w:r w:rsidRPr="000420D9">
        <w:rPr>
          <w:rFonts w:ascii="Times New Roman" w:eastAsia="Times New Roman" w:hAnsi="Times New Roman" w:cs="Times New Roman"/>
          <w:sz w:val="24"/>
          <w:szCs w:val="24"/>
          <w:lang w:eastAsia="en-GB"/>
        </w:rPr>
        <w:t>Masii</w:t>
      </w:r>
      <w:proofErr w:type="spellEnd"/>
      <w:r w:rsidRPr="000420D9">
        <w:rPr>
          <w:rFonts w:ascii="Times New Roman" w:eastAsia="Times New Roman" w:hAnsi="Times New Roman" w:cs="Times New Roman"/>
          <w:sz w:val="24"/>
          <w:szCs w:val="24"/>
          <w:lang w:eastAsia="en-GB"/>
        </w:rPr>
        <w:t xml:space="preserve"> Location include smallholder agriculture focused on maize, beans, and horticultural crops, livestock rearing including cattle, goats, sheep, and poultry, trade and commerce </w:t>
      </w:r>
      <w:proofErr w:type="spellStart"/>
      <w:r w:rsidRPr="000420D9">
        <w:rPr>
          <w:rFonts w:ascii="Times New Roman" w:eastAsia="Times New Roman" w:hAnsi="Times New Roman" w:cs="Times New Roman"/>
          <w:sz w:val="24"/>
          <w:szCs w:val="24"/>
          <w:lang w:eastAsia="en-GB"/>
        </w:rPr>
        <w:t>centered</w:t>
      </w:r>
      <w:proofErr w:type="spellEnd"/>
      <w:r w:rsidRPr="000420D9">
        <w:rPr>
          <w:rFonts w:ascii="Times New Roman" w:eastAsia="Times New Roman" w:hAnsi="Times New Roman" w:cs="Times New Roman"/>
          <w:sz w:val="24"/>
          <w:szCs w:val="24"/>
          <w:lang w:eastAsia="en-GB"/>
        </w:rPr>
        <w:t xml:space="preserve"> around local markets, and transport services connecting rural communities to urban </w:t>
      </w:r>
      <w:proofErr w:type="spellStart"/>
      <w:r w:rsidRPr="000420D9">
        <w:rPr>
          <w:rFonts w:ascii="Times New Roman" w:eastAsia="Times New Roman" w:hAnsi="Times New Roman" w:cs="Times New Roman"/>
          <w:sz w:val="24"/>
          <w:szCs w:val="24"/>
          <w:lang w:eastAsia="en-GB"/>
        </w:rPr>
        <w:t>centers</w:t>
      </w:r>
      <w:proofErr w:type="spellEnd"/>
      <w:r w:rsidRPr="000420D9">
        <w:rPr>
          <w:rFonts w:ascii="Times New Roman" w:eastAsia="Times New Roman" w:hAnsi="Times New Roman" w:cs="Times New Roman"/>
          <w:sz w:val="24"/>
          <w:szCs w:val="24"/>
          <w:lang w:eastAsia="en-GB"/>
        </w:rPr>
        <w:t xml:space="preserve">. These economic activities influence agricultural </w:t>
      </w:r>
      <w:r w:rsidRPr="000420D9">
        <w:rPr>
          <w:rFonts w:ascii="Times New Roman" w:eastAsia="Times New Roman" w:hAnsi="Times New Roman" w:cs="Times New Roman"/>
          <w:sz w:val="24"/>
          <w:szCs w:val="24"/>
          <w:lang w:eastAsia="en-GB"/>
        </w:rPr>
        <w:lastRenderedPageBreak/>
        <w:t>practices and may contribute to environmental contamination through various pathways.</w:t>
      </w:r>
    </w:p>
    <w:p w14:paraId="3B76C388" w14:textId="77777777" w:rsidR="00285697" w:rsidRPr="000420D9" w:rsidRDefault="00285697"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r>
        <w:rPr>
          <w:rFonts w:ascii="Times New Roman" w:hAnsi="Times New Roman" w:cs="Times New Roman"/>
          <w:b/>
          <w:bCs/>
          <w:noProof/>
          <w:color w:val="0070C0"/>
          <w:lang w:eastAsia="en-GB"/>
        </w:rPr>
        <w:drawing>
          <wp:inline distT="0" distB="0" distL="0" distR="0" wp14:anchorId="2385155C" wp14:editId="43913BB8">
            <wp:extent cx="2835959" cy="2271096"/>
            <wp:effectExtent l="0" t="0" r="2540" b="0"/>
            <wp:docPr id="3702810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281058" name="Picture 1"/>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46817" cy="2279791"/>
                    </a:xfrm>
                    <a:prstGeom prst="rect">
                      <a:avLst/>
                    </a:prstGeom>
                  </pic:spPr>
                </pic:pic>
              </a:graphicData>
            </a:graphic>
          </wp:inline>
        </w:drawing>
      </w:r>
    </w:p>
    <w:p w14:paraId="563805E2" w14:textId="77777777" w:rsidR="000420D9" w:rsidRPr="000420D9" w:rsidRDefault="000420D9"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b/>
          <w:bCs/>
          <w:sz w:val="24"/>
          <w:szCs w:val="24"/>
          <w:lang w:eastAsia="en-GB"/>
        </w:rPr>
        <w:t>[Figure</w:t>
      </w:r>
      <w:r w:rsidR="00285697">
        <w:rPr>
          <w:rFonts w:ascii="Times New Roman" w:eastAsia="Times New Roman" w:hAnsi="Times New Roman" w:cs="Times New Roman"/>
          <w:b/>
          <w:bCs/>
          <w:sz w:val="24"/>
          <w:szCs w:val="24"/>
          <w:lang w:eastAsia="en-GB"/>
        </w:rPr>
        <w:t xml:space="preserve"> 3.1(a) </w:t>
      </w:r>
      <w:r w:rsidRPr="006B0DCE">
        <w:rPr>
          <w:rFonts w:ascii="Times New Roman" w:eastAsia="Times New Roman" w:hAnsi="Times New Roman" w:cs="Times New Roman"/>
          <w:bCs/>
          <w:sz w:val="24"/>
          <w:szCs w:val="24"/>
          <w:lang w:eastAsia="en-GB"/>
        </w:rPr>
        <w:t>Map of Machakos County showing sampling sites in Mwala Sub-County]</w:t>
      </w:r>
    </w:p>
    <w:p w14:paraId="3E4681E6" w14:textId="77777777" w:rsidR="00285697" w:rsidRDefault="00CD25A2" w:rsidP="0038231D">
      <w:pPr>
        <w:spacing w:before="100" w:beforeAutospacing="1" w:after="100" w:afterAutospacing="1" w:line="240" w:lineRule="auto"/>
        <w:jc w:val="both"/>
        <w:rPr>
          <w:rFonts w:ascii="Times New Roman" w:eastAsia="Times New Roman" w:hAnsi="Times New Roman" w:cs="Times New Roman"/>
          <w:b/>
          <w:bCs/>
          <w:sz w:val="24"/>
          <w:szCs w:val="24"/>
          <w:lang w:eastAsia="en-GB"/>
        </w:rPr>
      </w:pPr>
      <w:r>
        <w:rPr>
          <w:rFonts w:ascii="Times New Roman" w:hAnsi="Times New Roman" w:cs="Times New Roman"/>
          <w:b/>
          <w:bCs/>
          <w:noProof/>
          <w:color w:val="FF0000"/>
          <w:lang w:eastAsia="en-GB"/>
        </w:rPr>
        <mc:AlternateContent>
          <mc:Choice Requires="wps">
            <w:drawing>
              <wp:anchor distT="0" distB="0" distL="114300" distR="114300" simplePos="0" relativeHeight="251659264" behindDoc="0" locked="0" layoutInCell="1" allowOverlap="1" wp14:anchorId="35ACDEC1" wp14:editId="43EA74F2">
                <wp:simplePos x="0" y="0"/>
                <wp:positionH relativeFrom="column">
                  <wp:posOffset>866774</wp:posOffset>
                </wp:positionH>
                <wp:positionV relativeFrom="paragraph">
                  <wp:posOffset>1316355</wp:posOffset>
                </wp:positionV>
                <wp:extent cx="238125" cy="1171575"/>
                <wp:effectExtent l="38100" t="0" r="28575" b="47625"/>
                <wp:wrapNone/>
                <wp:docPr id="774018847" name="Straight Arrow Connector 5"/>
                <wp:cNvGraphicFramePr/>
                <a:graphic xmlns:a="http://schemas.openxmlformats.org/drawingml/2006/main">
                  <a:graphicData uri="http://schemas.microsoft.com/office/word/2010/wordprocessingShape">
                    <wps:wsp>
                      <wps:cNvCnPr/>
                      <wps:spPr>
                        <a:xfrm flipH="1">
                          <a:off x="0" y="0"/>
                          <a:ext cx="238125" cy="11715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91A7942" id="_x0000_t32" coordsize="21600,21600" o:spt="32" o:oned="t" path="m,l21600,21600e" filled="f">
                <v:path arrowok="t" fillok="f" o:connecttype="none"/>
                <o:lock v:ext="edit" shapetype="t"/>
              </v:shapetype>
              <v:shape id="Straight Arrow Connector 5" o:spid="_x0000_s1026" type="#_x0000_t32" style="position:absolute;margin-left:68.25pt;margin-top:103.65pt;width:18.75pt;height:92.25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" strokecolor="#5b9bd5 [3204]" strokeweight=".5pt">
                <v:stroke endarrow="block" joinstyle="miter"/>
              </v:shape>
            </w:pict>
          </mc:Fallback>
        </mc:AlternateContent>
      </w:r>
      <w:r w:rsidR="00285697">
        <w:rPr>
          <w:rFonts w:ascii="Times New Roman" w:hAnsi="Times New Roman" w:cs="Times New Roman"/>
          <w:b/>
          <w:bCs/>
          <w:noProof/>
          <w:color w:val="FF0000"/>
          <w:lang w:eastAsia="en-GB"/>
        </w:rPr>
        <w:drawing>
          <wp:inline distT="0" distB="0" distL="0" distR="0" wp14:anchorId="149531CC" wp14:editId="3AA41655">
            <wp:extent cx="2931690" cy="2009775"/>
            <wp:effectExtent l="0" t="0" r="2540" b="0"/>
            <wp:docPr id="203013118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0131189" name="Picture 3"/>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41538" cy="2016526"/>
                    </a:xfrm>
                    <a:prstGeom prst="rect">
                      <a:avLst/>
                    </a:prstGeom>
                  </pic:spPr>
                </pic:pic>
              </a:graphicData>
            </a:graphic>
          </wp:inline>
        </w:drawing>
      </w:r>
      <w:r w:rsidR="00285697" w:rsidRPr="000420D9">
        <w:rPr>
          <w:rFonts w:ascii="Times New Roman" w:eastAsia="Times New Roman" w:hAnsi="Times New Roman" w:cs="Times New Roman"/>
          <w:b/>
          <w:bCs/>
          <w:sz w:val="24"/>
          <w:szCs w:val="24"/>
          <w:lang w:eastAsia="en-GB"/>
        </w:rPr>
        <w:t xml:space="preserve"> </w:t>
      </w:r>
    </w:p>
    <w:p w14:paraId="31F22361" w14:textId="77777777" w:rsidR="00285697" w:rsidRDefault="00285697" w:rsidP="0038231D">
      <w:pPr>
        <w:spacing w:before="100" w:beforeAutospacing="1" w:after="100" w:afterAutospacing="1" w:line="240" w:lineRule="auto"/>
        <w:jc w:val="both"/>
        <w:rPr>
          <w:rFonts w:ascii="Times New Roman" w:eastAsia="Times New Roman" w:hAnsi="Times New Roman" w:cs="Times New Roman"/>
          <w:b/>
          <w:bCs/>
          <w:sz w:val="24"/>
          <w:szCs w:val="24"/>
          <w:lang w:eastAsia="en-GB"/>
        </w:rPr>
      </w:pPr>
      <w:r w:rsidRPr="00285697">
        <w:rPr>
          <w:rFonts w:ascii="Times New Roman" w:eastAsia="DengXian" w:hAnsi="Times New Roman" w:cs="Times New Roman"/>
          <w:b/>
          <w:bCs/>
          <w:noProof/>
          <w:color w:val="0070C0"/>
          <w:kern w:val="2"/>
          <w:sz w:val="24"/>
          <w:szCs w:val="24"/>
          <w:lang w:eastAsia="en-GB"/>
          <w14:ligatures w14:val="standardContextual"/>
        </w:rPr>
        <w:drawing>
          <wp:inline distT="0" distB="0" distL="0" distR="0" wp14:anchorId="43F98FB3" wp14:editId="580A912E">
            <wp:extent cx="2788576" cy="1876425"/>
            <wp:effectExtent l="0" t="0" r="0" b="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8331355" name="Picture 4"/>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05497" cy="1887811"/>
                    </a:xfrm>
                    <a:prstGeom prst="rect">
                      <a:avLst/>
                    </a:prstGeom>
                  </pic:spPr>
                </pic:pic>
              </a:graphicData>
            </a:graphic>
          </wp:inline>
        </w:drawing>
      </w:r>
      <w:r w:rsidRPr="000420D9">
        <w:rPr>
          <w:rFonts w:ascii="Times New Roman" w:eastAsia="Times New Roman" w:hAnsi="Times New Roman" w:cs="Times New Roman"/>
          <w:b/>
          <w:bCs/>
          <w:sz w:val="24"/>
          <w:szCs w:val="24"/>
          <w:lang w:eastAsia="en-GB"/>
        </w:rPr>
        <w:t xml:space="preserve"> </w:t>
      </w:r>
    </w:p>
    <w:p w14:paraId="31441D60" w14:textId="77777777" w:rsidR="00285697" w:rsidRPr="006B0DCE" w:rsidRDefault="000420D9" w:rsidP="0038231D">
      <w:pPr>
        <w:spacing w:before="100" w:beforeAutospacing="1" w:after="100" w:afterAutospacing="1" w:line="240" w:lineRule="auto"/>
        <w:jc w:val="both"/>
        <w:rPr>
          <w:rFonts w:ascii="Times New Roman" w:eastAsia="Times New Roman" w:hAnsi="Times New Roman" w:cs="Times New Roman"/>
          <w:bCs/>
          <w:sz w:val="24"/>
          <w:szCs w:val="24"/>
          <w:lang w:eastAsia="en-GB"/>
        </w:rPr>
      </w:pPr>
      <w:r w:rsidRPr="000420D9">
        <w:rPr>
          <w:rFonts w:ascii="Times New Roman" w:eastAsia="Times New Roman" w:hAnsi="Times New Roman" w:cs="Times New Roman"/>
          <w:b/>
          <w:bCs/>
          <w:sz w:val="24"/>
          <w:szCs w:val="24"/>
          <w:lang w:eastAsia="en-GB"/>
        </w:rPr>
        <w:t>[Figure</w:t>
      </w:r>
      <w:r w:rsidR="00285697">
        <w:rPr>
          <w:rFonts w:ascii="Times New Roman" w:eastAsia="Times New Roman" w:hAnsi="Times New Roman" w:cs="Times New Roman"/>
          <w:b/>
          <w:bCs/>
          <w:sz w:val="24"/>
          <w:szCs w:val="24"/>
          <w:lang w:eastAsia="en-GB"/>
        </w:rPr>
        <w:t xml:space="preserve"> 3.1(b) </w:t>
      </w:r>
      <w:r w:rsidRPr="006B0DCE">
        <w:rPr>
          <w:rFonts w:ascii="Times New Roman" w:eastAsia="Times New Roman" w:hAnsi="Times New Roman" w:cs="Times New Roman"/>
          <w:bCs/>
          <w:sz w:val="24"/>
          <w:szCs w:val="24"/>
          <w:lang w:eastAsia="en-GB"/>
        </w:rPr>
        <w:t xml:space="preserve">Map of Mwala Sub-County showing the three sampling sites in </w:t>
      </w:r>
      <w:proofErr w:type="spellStart"/>
      <w:r w:rsidRPr="006B0DCE">
        <w:rPr>
          <w:rFonts w:ascii="Times New Roman" w:eastAsia="Times New Roman" w:hAnsi="Times New Roman" w:cs="Times New Roman"/>
          <w:bCs/>
          <w:sz w:val="24"/>
          <w:szCs w:val="24"/>
          <w:lang w:eastAsia="en-GB"/>
        </w:rPr>
        <w:t>Masii</w:t>
      </w:r>
      <w:proofErr w:type="spellEnd"/>
      <w:r w:rsidRPr="006B0DCE">
        <w:rPr>
          <w:rFonts w:ascii="Times New Roman" w:eastAsia="Times New Roman" w:hAnsi="Times New Roman" w:cs="Times New Roman"/>
          <w:bCs/>
          <w:sz w:val="24"/>
          <w:szCs w:val="24"/>
          <w:lang w:eastAsia="en-GB"/>
        </w:rPr>
        <w:t xml:space="preserve"> Location]</w:t>
      </w:r>
    </w:p>
    <w:p w14:paraId="1D27BD40" w14:textId="77777777" w:rsidR="000420D9" w:rsidRPr="00801435" w:rsidRDefault="00801435" w:rsidP="0038231D">
      <w:pPr>
        <w:pStyle w:val="Caption"/>
        <w:spacing w:line="360" w:lineRule="auto"/>
        <w:jc w:val="both"/>
        <w:rPr>
          <w:rFonts w:ascii="Times New Roman" w:hAnsi="Times New Roman" w:cs="Times New Roman"/>
          <w:i w:val="0"/>
          <w:iCs w:val="0"/>
          <w:color w:val="000000" w:themeColor="text1"/>
          <w:sz w:val="24"/>
          <w:szCs w:val="24"/>
        </w:rPr>
      </w:pPr>
      <w:bookmarkStart w:id="0" w:name="_Toc198897935"/>
      <w:r>
        <w:rPr>
          <w:rFonts w:ascii="Times New Roman" w:hAnsi="Times New Roman" w:cs="Times New Roman"/>
          <w:i w:val="0"/>
          <w:iCs w:val="0"/>
          <w:color w:val="000000" w:themeColor="text1"/>
          <w:sz w:val="24"/>
          <w:szCs w:val="24"/>
        </w:rPr>
        <w:t>Table 3.</w:t>
      </w:r>
      <w:r>
        <w:rPr>
          <w:rFonts w:ascii="Times New Roman" w:hAnsi="Times New Roman" w:cs="Times New Roman"/>
          <w:i w:val="0"/>
          <w:iCs w:val="0"/>
          <w:color w:val="000000" w:themeColor="text1"/>
          <w:sz w:val="24"/>
          <w:szCs w:val="24"/>
        </w:rPr>
        <w:fldChar w:fldCharType="begin"/>
      </w:r>
      <w:r>
        <w:rPr>
          <w:rFonts w:ascii="Times New Roman" w:hAnsi="Times New Roman" w:cs="Times New Roman"/>
          <w:i w:val="0"/>
          <w:iCs w:val="0"/>
          <w:color w:val="000000" w:themeColor="text1"/>
          <w:sz w:val="24"/>
          <w:szCs w:val="24"/>
        </w:rPr>
        <w:instrText xml:space="preserve"> SEQ Table_3 \* ARABIC </w:instrText>
      </w:r>
      <w:r>
        <w:rPr>
          <w:rFonts w:ascii="Times New Roman" w:hAnsi="Times New Roman" w:cs="Times New Roman"/>
          <w:i w:val="0"/>
          <w:iCs w:val="0"/>
          <w:color w:val="000000" w:themeColor="text1"/>
          <w:sz w:val="24"/>
          <w:szCs w:val="24"/>
        </w:rPr>
        <w:fldChar w:fldCharType="separate"/>
      </w:r>
      <w:r>
        <w:rPr>
          <w:rFonts w:ascii="Times New Roman" w:hAnsi="Times New Roman" w:cs="Times New Roman"/>
          <w:i w:val="0"/>
          <w:iCs w:val="0"/>
          <w:color w:val="000000" w:themeColor="text1"/>
          <w:sz w:val="24"/>
          <w:szCs w:val="24"/>
        </w:rPr>
        <w:t>1</w:t>
      </w:r>
      <w:r>
        <w:rPr>
          <w:rFonts w:ascii="Times New Roman" w:hAnsi="Times New Roman" w:cs="Times New Roman"/>
          <w:i w:val="0"/>
          <w:iCs w:val="0"/>
          <w:color w:val="000000" w:themeColor="text1"/>
          <w:sz w:val="24"/>
          <w:szCs w:val="24"/>
        </w:rPr>
        <w:fldChar w:fldCharType="end"/>
      </w:r>
      <w:r>
        <w:rPr>
          <w:rFonts w:ascii="Times New Roman" w:hAnsi="Times New Roman" w:cs="Times New Roman"/>
          <w:i w:val="0"/>
          <w:iCs w:val="0"/>
          <w:color w:val="000000" w:themeColor="text1"/>
          <w:sz w:val="24"/>
          <w:szCs w:val="24"/>
        </w:rPr>
        <w:t>:The name of sampling</w:t>
      </w:r>
      <w:r>
        <w:rPr>
          <w:rStyle w:val="Heading4Char"/>
          <w:rFonts w:eastAsiaTheme="minorEastAsia"/>
          <w:i w:val="0"/>
          <w:iCs w:val="0"/>
          <w:color w:val="000000" w:themeColor="text1"/>
        </w:rPr>
        <w:t xml:space="preserve"> sites, coordinates, heights above the sea levels</w:t>
      </w:r>
      <w:bookmarkEnd w:id="0"/>
      <w:r>
        <w:rPr>
          <w:rStyle w:val="Heading4Char"/>
          <w:rFonts w:eastAsiaTheme="minorEastAsia"/>
          <w:i w:val="0"/>
          <w:iCs w:val="0"/>
          <w:color w:val="000000" w:themeColor="text1"/>
        </w:rPr>
        <w:t xml:space="preserve"> </w:t>
      </w:r>
    </w:p>
    <w:tbl>
      <w:tblPr>
        <w:tblStyle w:val="GridTable4-Accent511"/>
        <w:tblW w:w="4579" w:type="dxa"/>
        <w:tblInd w:w="137" w:type="dxa"/>
        <w:tblLayout w:type="fixed"/>
        <w:tblLook w:val="04A0" w:firstRow="1" w:lastRow="0" w:firstColumn="1" w:lastColumn="0" w:noHBand="0" w:noVBand="1"/>
      </w:tblPr>
      <w:tblGrid>
        <w:gridCol w:w="908"/>
        <w:gridCol w:w="793"/>
        <w:gridCol w:w="851"/>
        <w:gridCol w:w="567"/>
        <w:gridCol w:w="1460"/>
      </w:tblGrid>
      <w:tr w:rsidR="00CB1A8C" w:rsidRPr="00CB1A8C" w14:paraId="0EFD71DA" w14:textId="77777777" w:rsidTr="00CB1A8C">
        <w:trPr>
          <w:cnfStyle w:val="100000000000" w:firstRow="1" w:lastRow="0" w:firstColumn="0" w:lastColumn="0" w:oddVBand="0" w:evenVBand="0" w:oddHBand="0" w:evenHBand="0" w:firstRowFirstColumn="0" w:firstRowLastColumn="0" w:lastRowFirstColumn="0" w:lastRowLastColumn="0"/>
          <w:trHeight w:val="453"/>
        </w:trPr>
        <w:tc>
          <w:tcPr>
            <w:cnfStyle w:val="001000000000" w:firstRow="0" w:lastRow="0" w:firstColumn="1" w:lastColumn="0" w:oddVBand="0" w:evenVBand="0" w:oddHBand="0" w:evenHBand="0" w:firstRowFirstColumn="0" w:firstRowLastColumn="0" w:lastRowFirstColumn="0" w:lastRowLastColumn="0"/>
            <w:tcW w:w="908" w:type="dxa"/>
          </w:tcPr>
          <w:p w14:paraId="1893FDC5" w14:textId="77777777" w:rsidR="00801435" w:rsidRPr="00801435" w:rsidRDefault="00801435" w:rsidP="0038231D">
            <w:pPr>
              <w:spacing w:line="360" w:lineRule="auto"/>
              <w:jc w:val="both"/>
              <w:rPr>
                <w:rFonts w:ascii="Times New Roman" w:eastAsia="DengXian" w:hAnsi="Times New Roman" w:cs="Times New Roman"/>
                <w:color w:val="000000"/>
                <w:sz w:val="16"/>
                <w:szCs w:val="16"/>
                <w:lang w:val="en-US"/>
              </w:rPr>
            </w:pPr>
            <w:r w:rsidRPr="00801435">
              <w:rPr>
                <w:rFonts w:ascii="Times New Roman" w:eastAsia="DengXian" w:hAnsi="Times New Roman" w:cs="Times New Roman"/>
                <w:sz w:val="16"/>
                <w:szCs w:val="16"/>
                <w:lang w:val="en-US"/>
              </w:rPr>
              <w:br w:type="page"/>
              <w:t>S</w:t>
            </w:r>
            <w:r w:rsidRPr="00801435">
              <w:rPr>
                <w:rFonts w:ascii="DengXian" w:eastAsia="DengXian" w:hAnsi="DengXian" w:cs="Times New Roman"/>
                <w:sz w:val="16"/>
                <w:szCs w:val="16"/>
                <w:lang w:val="en-US"/>
              </w:rPr>
              <w:t>ite name</w:t>
            </w:r>
          </w:p>
        </w:tc>
        <w:tc>
          <w:tcPr>
            <w:tcW w:w="793" w:type="dxa"/>
          </w:tcPr>
          <w:p w14:paraId="007B26EB" w14:textId="77777777" w:rsidR="00801435" w:rsidRPr="00801435" w:rsidRDefault="00801435" w:rsidP="0038231D">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sz w:val="16"/>
                <w:szCs w:val="16"/>
                <w:lang w:val="en-US"/>
              </w:rPr>
            </w:pPr>
            <w:r w:rsidRPr="00801435">
              <w:rPr>
                <w:rFonts w:ascii="Times New Roman" w:eastAsia="DengXian" w:hAnsi="Times New Roman" w:cs="Times New Roman"/>
                <w:color w:val="000000"/>
                <w:sz w:val="16"/>
                <w:szCs w:val="16"/>
                <w:lang w:val="en-US"/>
              </w:rPr>
              <w:t>Latitude</w:t>
            </w:r>
          </w:p>
        </w:tc>
        <w:tc>
          <w:tcPr>
            <w:tcW w:w="851" w:type="dxa"/>
          </w:tcPr>
          <w:p w14:paraId="0F90A944" w14:textId="77777777" w:rsidR="00801435" w:rsidRPr="00801435" w:rsidRDefault="00801435" w:rsidP="0038231D">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sz w:val="16"/>
                <w:szCs w:val="16"/>
                <w:lang w:val="en-US"/>
              </w:rPr>
            </w:pPr>
            <w:r w:rsidRPr="00801435">
              <w:rPr>
                <w:rFonts w:ascii="Times New Roman" w:eastAsia="DengXian" w:hAnsi="Times New Roman" w:cs="Times New Roman"/>
                <w:color w:val="000000"/>
                <w:sz w:val="16"/>
                <w:szCs w:val="16"/>
                <w:lang w:val="en-US"/>
              </w:rPr>
              <w:t>Longitude</w:t>
            </w:r>
          </w:p>
        </w:tc>
        <w:tc>
          <w:tcPr>
            <w:tcW w:w="567" w:type="dxa"/>
          </w:tcPr>
          <w:p w14:paraId="3BBA4968" w14:textId="77777777" w:rsidR="00801435" w:rsidRPr="00801435" w:rsidRDefault="00801435" w:rsidP="0038231D">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sz w:val="16"/>
                <w:szCs w:val="16"/>
                <w:lang w:val="en-US"/>
              </w:rPr>
            </w:pPr>
            <w:r w:rsidRPr="00801435">
              <w:rPr>
                <w:rFonts w:ascii="Times New Roman" w:eastAsia="DengXian" w:hAnsi="Times New Roman" w:cs="Times New Roman"/>
                <w:color w:val="000000"/>
                <w:sz w:val="16"/>
                <w:szCs w:val="16"/>
                <w:lang w:val="en-US"/>
              </w:rPr>
              <w:t>Elevation(m)</w:t>
            </w:r>
          </w:p>
        </w:tc>
        <w:tc>
          <w:tcPr>
            <w:tcW w:w="1460" w:type="dxa"/>
          </w:tcPr>
          <w:p w14:paraId="749EE67E" w14:textId="77777777" w:rsidR="00801435" w:rsidRPr="00801435" w:rsidRDefault="00801435" w:rsidP="0038231D">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sz w:val="16"/>
                <w:szCs w:val="16"/>
                <w:lang w:val="en-US"/>
              </w:rPr>
            </w:pPr>
            <w:r w:rsidRPr="00801435">
              <w:rPr>
                <w:rFonts w:ascii="Times New Roman" w:eastAsia="DengXian" w:hAnsi="Times New Roman" w:cs="Times New Roman"/>
                <w:color w:val="000000"/>
                <w:sz w:val="16"/>
                <w:szCs w:val="16"/>
                <w:lang w:val="en-US"/>
              </w:rPr>
              <w:t>Human activities</w:t>
            </w:r>
          </w:p>
        </w:tc>
      </w:tr>
      <w:tr w:rsidR="00CB1A8C" w:rsidRPr="00CB1A8C" w14:paraId="7776DB85" w14:textId="77777777" w:rsidTr="00CB1A8C">
        <w:trPr>
          <w:trHeight w:val="253"/>
        </w:trPr>
        <w:tc>
          <w:tcPr>
            <w:cnfStyle w:val="001000000000" w:firstRow="0" w:lastRow="0" w:firstColumn="1" w:lastColumn="0" w:oddVBand="0" w:evenVBand="0" w:oddHBand="0" w:evenHBand="0" w:firstRowFirstColumn="0" w:firstRowLastColumn="0" w:lastRowFirstColumn="0" w:lastRowLastColumn="0"/>
            <w:tcW w:w="908" w:type="dxa"/>
            <w:shd w:val="clear" w:color="auto" w:fill="DEEAF6"/>
          </w:tcPr>
          <w:p w14:paraId="2C057843" w14:textId="77777777" w:rsidR="00801435" w:rsidRPr="00801435" w:rsidRDefault="00801435" w:rsidP="0038231D">
            <w:pPr>
              <w:spacing w:line="360" w:lineRule="auto"/>
              <w:jc w:val="both"/>
              <w:rPr>
                <w:rFonts w:ascii="Times New Roman" w:eastAsia="DengXian" w:hAnsi="Times New Roman" w:cs="Times New Roman"/>
                <w:color w:val="000000"/>
                <w:sz w:val="16"/>
                <w:szCs w:val="16"/>
                <w:lang w:val="en-US"/>
              </w:rPr>
            </w:pPr>
            <w:proofErr w:type="spellStart"/>
            <w:r w:rsidRPr="00801435">
              <w:rPr>
                <w:rFonts w:ascii="Times New Roman" w:eastAsia="DengXian" w:hAnsi="Times New Roman" w:cs="Times New Roman"/>
                <w:color w:val="000000"/>
                <w:sz w:val="16"/>
                <w:szCs w:val="16"/>
                <w:lang w:val="en-US"/>
              </w:rPr>
              <w:t>Mbaani</w:t>
            </w:r>
            <w:proofErr w:type="spellEnd"/>
          </w:p>
        </w:tc>
        <w:tc>
          <w:tcPr>
            <w:tcW w:w="793" w:type="dxa"/>
            <w:shd w:val="clear" w:color="auto" w:fill="DEEAF6"/>
          </w:tcPr>
          <w:p w14:paraId="68E3616D" w14:textId="77777777" w:rsidR="00801435" w:rsidRPr="00801435" w:rsidRDefault="00801435" w:rsidP="0038231D">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sz w:val="16"/>
                <w:szCs w:val="16"/>
                <w:lang w:val="en-US"/>
              </w:rPr>
            </w:pPr>
            <w:r w:rsidRPr="00801435">
              <w:rPr>
                <w:rFonts w:ascii="Times New Roman" w:eastAsia="DengXian" w:hAnsi="Times New Roman" w:cs="Times New Roman"/>
                <w:color w:val="000000"/>
                <w:sz w:val="16"/>
                <w:szCs w:val="16"/>
                <w:lang w:val="en-US"/>
              </w:rPr>
              <w:t>-1.45196</w:t>
            </w:r>
          </w:p>
        </w:tc>
        <w:tc>
          <w:tcPr>
            <w:tcW w:w="851" w:type="dxa"/>
            <w:shd w:val="clear" w:color="auto" w:fill="DEEAF6"/>
          </w:tcPr>
          <w:p w14:paraId="761D908D" w14:textId="77777777" w:rsidR="00801435" w:rsidRPr="00801435" w:rsidRDefault="00801435" w:rsidP="0038231D">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sz w:val="16"/>
                <w:szCs w:val="16"/>
                <w:lang w:val="en-US"/>
              </w:rPr>
            </w:pPr>
            <w:r w:rsidRPr="00801435">
              <w:rPr>
                <w:rFonts w:ascii="Times New Roman" w:eastAsia="DengXian" w:hAnsi="Times New Roman" w:cs="Times New Roman"/>
                <w:color w:val="000000"/>
                <w:sz w:val="16"/>
                <w:szCs w:val="16"/>
                <w:lang w:val="en-US"/>
              </w:rPr>
              <w:t>37.48384</w:t>
            </w:r>
          </w:p>
        </w:tc>
        <w:tc>
          <w:tcPr>
            <w:tcW w:w="567" w:type="dxa"/>
            <w:shd w:val="clear" w:color="auto" w:fill="DEEAF6"/>
          </w:tcPr>
          <w:p w14:paraId="673F5806" w14:textId="77777777" w:rsidR="00801435" w:rsidRPr="00801435" w:rsidRDefault="00801435" w:rsidP="0038231D">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sz w:val="16"/>
                <w:szCs w:val="16"/>
                <w:lang w:val="en-US"/>
              </w:rPr>
            </w:pPr>
            <w:r w:rsidRPr="00801435">
              <w:rPr>
                <w:rFonts w:ascii="Times New Roman" w:eastAsia="DengXian" w:hAnsi="Times New Roman" w:cs="Times New Roman"/>
                <w:color w:val="000000"/>
                <w:sz w:val="16"/>
                <w:szCs w:val="16"/>
                <w:lang w:val="en-US"/>
              </w:rPr>
              <w:t>1200</w:t>
            </w:r>
          </w:p>
        </w:tc>
        <w:tc>
          <w:tcPr>
            <w:tcW w:w="1460" w:type="dxa"/>
            <w:shd w:val="clear" w:color="auto" w:fill="DEEAF6"/>
          </w:tcPr>
          <w:p w14:paraId="0420C01D" w14:textId="77777777" w:rsidR="00801435" w:rsidRPr="00801435" w:rsidRDefault="00801435" w:rsidP="0038231D">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sz w:val="16"/>
                <w:szCs w:val="16"/>
                <w:lang w:val="en-US"/>
              </w:rPr>
            </w:pPr>
            <w:r w:rsidRPr="00801435">
              <w:rPr>
                <w:rFonts w:ascii="Times New Roman" w:eastAsia="DengXian" w:hAnsi="Times New Roman" w:cs="Times New Roman"/>
                <w:color w:val="000000"/>
                <w:sz w:val="16"/>
                <w:szCs w:val="16"/>
                <w:lang w:val="en-US"/>
              </w:rPr>
              <w:t>Agriculture</w:t>
            </w:r>
          </w:p>
        </w:tc>
      </w:tr>
      <w:tr w:rsidR="00CB1A8C" w:rsidRPr="00CB1A8C" w14:paraId="4A297BC0" w14:textId="77777777" w:rsidTr="00CB1A8C">
        <w:trPr>
          <w:trHeight w:val="260"/>
        </w:trPr>
        <w:tc>
          <w:tcPr>
            <w:cnfStyle w:val="001000000000" w:firstRow="0" w:lastRow="0" w:firstColumn="1" w:lastColumn="0" w:oddVBand="0" w:evenVBand="0" w:oddHBand="0" w:evenHBand="0" w:firstRowFirstColumn="0" w:firstRowLastColumn="0" w:lastRowFirstColumn="0" w:lastRowLastColumn="0"/>
            <w:tcW w:w="908" w:type="dxa"/>
          </w:tcPr>
          <w:p w14:paraId="25D065FE" w14:textId="77777777" w:rsidR="00801435" w:rsidRPr="00801435" w:rsidRDefault="00801435" w:rsidP="0038231D">
            <w:pPr>
              <w:spacing w:line="360" w:lineRule="auto"/>
              <w:jc w:val="both"/>
              <w:rPr>
                <w:rFonts w:ascii="Times New Roman" w:eastAsia="DengXian" w:hAnsi="Times New Roman" w:cs="Times New Roman"/>
                <w:color w:val="000000"/>
                <w:sz w:val="16"/>
                <w:szCs w:val="16"/>
                <w:lang w:val="en-US"/>
              </w:rPr>
            </w:pPr>
            <w:proofErr w:type="spellStart"/>
            <w:r w:rsidRPr="00801435">
              <w:rPr>
                <w:rFonts w:ascii="Times New Roman" w:eastAsia="DengXian" w:hAnsi="Times New Roman" w:cs="Times New Roman"/>
                <w:color w:val="000000"/>
                <w:sz w:val="16"/>
                <w:szCs w:val="16"/>
                <w:lang w:val="en-US"/>
              </w:rPr>
              <w:t>Kathama</w:t>
            </w:r>
            <w:proofErr w:type="spellEnd"/>
          </w:p>
        </w:tc>
        <w:tc>
          <w:tcPr>
            <w:tcW w:w="793" w:type="dxa"/>
          </w:tcPr>
          <w:p w14:paraId="46E591AC" w14:textId="77777777" w:rsidR="00801435" w:rsidRPr="00801435" w:rsidRDefault="00801435" w:rsidP="0038231D">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sz w:val="16"/>
                <w:szCs w:val="16"/>
                <w:lang w:val="en-US"/>
              </w:rPr>
            </w:pPr>
            <w:r w:rsidRPr="00801435">
              <w:rPr>
                <w:rFonts w:ascii="Times New Roman" w:eastAsia="DengXian" w:hAnsi="Times New Roman" w:cs="Times New Roman"/>
                <w:color w:val="000000"/>
                <w:sz w:val="16"/>
                <w:szCs w:val="16"/>
                <w:lang w:val="en-US"/>
              </w:rPr>
              <w:t>-1.44074</w:t>
            </w:r>
          </w:p>
        </w:tc>
        <w:tc>
          <w:tcPr>
            <w:tcW w:w="851" w:type="dxa"/>
          </w:tcPr>
          <w:p w14:paraId="70124980" w14:textId="77777777" w:rsidR="00801435" w:rsidRPr="00801435" w:rsidRDefault="00801435" w:rsidP="0038231D">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sz w:val="16"/>
                <w:szCs w:val="16"/>
                <w:lang w:val="en-US"/>
              </w:rPr>
            </w:pPr>
            <w:r w:rsidRPr="00801435">
              <w:rPr>
                <w:rFonts w:ascii="Times New Roman" w:eastAsia="DengXian" w:hAnsi="Times New Roman" w:cs="Times New Roman"/>
                <w:color w:val="000000"/>
                <w:sz w:val="16"/>
                <w:szCs w:val="16"/>
                <w:lang w:val="en-US"/>
              </w:rPr>
              <w:t>37.41032</w:t>
            </w:r>
          </w:p>
        </w:tc>
        <w:tc>
          <w:tcPr>
            <w:tcW w:w="567" w:type="dxa"/>
          </w:tcPr>
          <w:p w14:paraId="089AA16C" w14:textId="77777777" w:rsidR="00801435" w:rsidRPr="00801435" w:rsidRDefault="00801435" w:rsidP="0038231D">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sz w:val="16"/>
                <w:szCs w:val="16"/>
                <w:lang w:val="en-US"/>
              </w:rPr>
            </w:pPr>
            <w:r w:rsidRPr="00801435">
              <w:rPr>
                <w:rFonts w:ascii="Times New Roman" w:eastAsia="DengXian" w:hAnsi="Times New Roman" w:cs="Times New Roman"/>
                <w:color w:val="000000"/>
                <w:sz w:val="16"/>
                <w:szCs w:val="16"/>
                <w:lang w:val="en-US"/>
              </w:rPr>
              <w:t>1190</w:t>
            </w:r>
          </w:p>
        </w:tc>
        <w:tc>
          <w:tcPr>
            <w:tcW w:w="1460" w:type="dxa"/>
          </w:tcPr>
          <w:p w14:paraId="2F2F71B2" w14:textId="77777777" w:rsidR="00801435" w:rsidRPr="00801435" w:rsidRDefault="00801435" w:rsidP="0038231D">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sz w:val="16"/>
                <w:szCs w:val="16"/>
                <w:lang w:val="en-US"/>
              </w:rPr>
            </w:pPr>
            <w:r w:rsidRPr="00801435">
              <w:rPr>
                <w:rFonts w:ascii="Times New Roman" w:eastAsia="DengXian" w:hAnsi="Times New Roman" w:cs="Times New Roman"/>
                <w:color w:val="000000"/>
                <w:sz w:val="16"/>
                <w:szCs w:val="16"/>
                <w:lang w:val="en-US"/>
              </w:rPr>
              <w:t>Trade and commerce</w:t>
            </w:r>
          </w:p>
        </w:tc>
      </w:tr>
      <w:tr w:rsidR="00CB1A8C" w:rsidRPr="00CB1A8C" w14:paraId="370E4EF5" w14:textId="77777777" w:rsidTr="00CB1A8C">
        <w:trPr>
          <w:trHeight w:val="260"/>
        </w:trPr>
        <w:tc>
          <w:tcPr>
            <w:cnfStyle w:val="001000000000" w:firstRow="0" w:lastRow="0" w:firstColumn="1" w:lastColumn="0" w:oddVBand="0" w:evenVBand="0" w:oddHBand="0" w:evenHBand="0" w:firstRowFirstColumn="0" w:firstRowLastColumn="0" w:lastRowFirstColumn="0" w:lastRowLastColumn="0"/>
            <w:tcW w:w="908" w:type="dxa"/>
            <w:shd w:val="clear" w:color="auto" w:fill="DEEAF6"/>
          </w:tcPr>
          <w:p w14:paraId="347D5688" w14:textId="77777777" w:rsidR="00801435" w:rsidRPr="00801435" w:rsidRDefault="00801435" w:rsidP="0038231D">
            <w:pPr>
              <w:spacing w:line="360" w:lineRule="auto"/>
              <w:jc w:val="both"/>
              <w:rPr>
                <w:rFonts w:ascii="Times New Roman" w:eastAsia="DengXian" w:hAnsi="Times New Roman" w:cs="Times New Roman"/>
                <w:color w:val="000000"/>
                <w:sz w:val="16"/>
                <w:szCs w:val="16"/>
                <w:lang w:val="en-US"/>
              </w:rPr>
            </w:pPr>
            <w:proofErr w:type="spellStart"/>
            <w:r w:rsidRPr="00801435">
              <w:rPr>
                <w:rFonts w:ascii="Times New Roman" w:eastAsia="DengXian" w:hAnsi="Times New Roman" w:cs="Times New Roman"/>
                <w:color w:val="000000"/>
                <w:sz w:val="16"/>
                <w:szCs w:val="16"/>
                <w:lang w:val="en-US"/>
              </w:rPr>
              <w:t>Muthei</w:t>
            </w:r>
            <w:proofErr w:type="spellEnd"/>
          </w:p>
        </w:tc>
        <w:tc>
          <w:tcPr>
            <w:tcW w:w="793" w:type="dxa"/>
            <w:shd w:val="clear" w:color="auto" w:fill="DEEAF6"/>
          </w:tcPr>
          <w:p w14:paraId="476D7AD2" w14:textId="77777777" w:rsidR="00801435" w:rsidRPr="00801435" w:rsidRDefault="00801435" w:rsidP="0038231D">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sz w:val="16"/>
                <w:szCs w:val="16"/>
                <w:lang w:val="en-US"/>
              </w:rPr>
            </w:pPr>
            <w:r w:rsidRPr="00801435">
              <w:rPr>
                <w:rFonts w:ascii="Times New Roman" w:eastAsia="DengXian" w:hAnsi="Times New Roman" w:cs="Times New Roman"/>
                <w:color w:val="000000"/>
                <w:sz w:val="16"/>
                <w:szCs w:val="16"/>
                <w:lang w:val="en-US"/>
              </w:rPr>
              <w:t>-1.43958</w:t>
            </w:r>
          </w:p>
        </w:tc>
        <w:tc>
          <w:tcPr>
            <w:tcW w:w="851" w:type="dxa"/>
            <w:shd w:val="clear" w:color="auto" w:fill="DEEAF6"/>
          </w:tcPr>
          <w:p w14:paraId="4E0D94D8" w14:textId="77777777" w:rsidR="00801435" w:rsidRPr="00801435" w:rsidRDefault="00801435" w:rsidP="0038231D">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sz w:val="16"/>
                <w:szCs w:val="16"/>
                <w:lang w:val="en-US"/>
              </w:rPr>
            </w:pPr>
            <w:r w:rsidRPr="00801435">
              <w:rPr>
                <w:rFonts w:ascii="Times New Roman" w:eastAsia="DengXian" w:hAnsi="Times New Roman" w:cs="Times New Roman"/>
                <w:color w:val="000000"/>
                <w:sz w:val="16"/>
                <w:szCs w:val="16"/>
                <w:lang w:val="en-US"/>
              </w:rPr>
              <w:t>37.4078</w:t>
            </w:r>
          </w:p>
        </w:tc>
        <w:tc>
          <w:tcPr>
            <w:tcW w:w="567" w:type="dxa"/>
            <w:shd w:val="clear" w:color="auto" w:fill="DEEAF6"/>
          </w:tcPr>
          <w:p w14:paraId="7A13F20A" w14:textId="77777777" w:rsidR="00801435" w:rsidRPr="00801435" w:rsidRDefault="00801435" w:rsidP="0038231D">
            <w:pPr>
              <w:keepNext/>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sz w:val="16"/>
                <w:szCs w:val="16"/>
                <w:lang w:val="en-US"/>
              </w:rPr>
            </w:pPr>
            <w:r w:rsidRPr="00801435">
              <w:rPr>
                <w:rFonts w:ascii="Times New Roman" w:eastAsia="DengXian" w:hAnsi="Times New Roman" w:cs="Times New Roman"/>
                <w:color w:val="000000"/>
                <w:sz w:val="16"/>
                <w:szCs w:val="16"/>
                <w:lang w:val="en-US"/>
              </w:rPr>
              <w:t>1011</w:t>
            </w:r>
          </w:p>
        </w:tc>
        <w:tc>
          <w:tcPr>
            <w:tcW w:w="1460" w:type="dxa"/>
            <w:shd w:val="clear" w:color="auto" w:fill="DEEAF6"/>
          </w:tcPr>
          <w:p w14:paraId="6A396616" w14:textId="77777777" w:rsidR="00801435" w:rsidRPr="00801435" w:rsidRDefault="00801435" w:rsidP="0038231D">
            <w:pPr>
              <w:keepNext/>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sz w:val="16"/>
                <w:szCs w:val="16"/>
                <w:lang w:val="en-US"/>
              </w:rPr>
            </w:pPr>
            <w:r w:rsidRPr="00801435">
              <w:rPr>
                <w:rFonts w:ascii="Times New Roman" w:eastAsia="DengXian" w:hAnsi="Times New Roman" w:cs="Times New Roman"/>
                <w:color w:val="000000"/>
                <w:sz w:val="16"/>
                <w:szCs w:val="16"/>
                <w:lang w:val="en-US"/>
              </w:rPr>
              <w:t>Livestock Management</w:t>
            </w:r>
          </w:p>
        </w:tc>
      </w:tr>
    </w:tbl>
    <w:p w14:paraId="3AF7D53C" w14:textId="77777777" w:rsidR="00285697" w:rsidRPr="000420D9" w:rsidRDefault="00285697"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p>
    <w:p w14:paraId="50BC3C88" w14:textId="77777777" w:rsidR="000420D9" w:rsidRPr="000420D9" w:rsidRDefault="000420D9" w:rsidP="0038231D">
      <w:pPr>
        <w:spacing w:before="100" w:beforeAutospacing="1" w:after="100" w:afterAutospacing="1" w:line="240" w:lineRule="auto"/>
        <w:jc w:val="both"/>
        <w:outlineLvl w:val="2"/>
        <w:rPr>
          <w:rFonts w:ascii="Times New Roman" w:eastAsia="Times New Roman" w:hAnsi="Times New Roman" w:cs="Times New Roman"/>
          <w:b/>
          <w:bCs/>
          <w:sz w:val="27"/>
          <w:szCs w:val="27"/>
          <w:lang w:eastAsia="en-GB"/>
        </w:rPr>
      </w:pPr>
      <w:r w:rsidRPr="000420D9">
        <w:rPr>
          <w:rFonts w:ascii="Times New Roman" w:eastAsia="Times New Roman" w:hAnsi="Times New Roman" w:cs="Times New Roman"/>
          <w:b/>
          <w:bCs/>
          <w:sz w:val="27"/>
          <w:szCs w:val="27"/>
          <w:lang w:eastAsia="en-GB"/>
        </w:rPr>
        <w:t xml:space="preserve">3.2 </w:t>
      </w:r>
      <w:r w:rsidRPr="000420D9">
        <w:rPr>
          <w:rFonts w:ascii="Times New Roman" w:eastAsia="Times New Roman" w:hAnsi="Times New Roman" w:cs="Times New Roman"/>
          <w:b/>
          <w:bCs/>
          <w:sz w:val="24"/>
          <w:szCs w:val="24"/>
          <w:lang w:eastAsia="en-GB"/>
        </w:rPr>
        <w:t>Equipment and Apparatus</w:t>
      </w:r>
    </w:p>
    <w:p w14:paraId="606B1029" w14:textId="77777777" w:rsidR="000420D9" w:rsidRPr="000420D9" w:rsidRDefault="000420D9" w:rsidP="00CB1A8C">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sz w:val="24"/>
          <w:szCs w:val="24"/>
          <w:lang w:eastAsia="en-GB"/>
        </w:rPr>
        <w:t>The analytical work required a comprehensive array of laboratory equipment and apparatus to ensure accurate and reliable results. The primary analytical instrument was an Atomic Absorption Spectrophotometer (AAS), which served as the core tool for heavy metal quantification. This sophisticated instrument was equipped with appropriate hollow cathode lamps for each element of interest and was capable of both flame and graphite furnace atomization, though flame atomization was primarily utilized in this study.</w:t>
      </w:r>
    </w:p>
    <w:p w14:paraId="0657DE2C" w14:textId="77777777" w:rsidR="000420D9" w:rsidRPr="000420D9" w:rsidRDefault="000420D9"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sz w:val="24"/>
          <w:szCs w:val="24"/>
          <w:lang w:eastAsia="en-GB"/>
        </w:rPr>
        <w:t>Sample preparation and processing utilized an analytical weighing balance with precision to four decimal places, ensuring accurate measurement of sample masses and reagent volumes. A mortar and pestle made of porcelain was employed for grinding dried maize samples to fine powder, facilitating complete digestion. A hot plate with temperature control capability up to 200°C provided the heat source for acid digestion of samples. A muffle furnace, though primarily kept as backup, was available for alternative sample preparation methods if needed.</w:t>
      </w:r>
    </w:p>
    <w:p w14:paraId="73F2F953" w14:textId="77777777" w:rsidR="000420D9" w:rsidRPr="000420D9" w:rsidRDefault="000420D9"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sz w:val="24"/>
          <w:szCs w:val="24"/>
          <w:lang w:eastAsia="en-GB"/>
        </w:rPr>
        <w:t xml:space="preserve">Glassware employed in the study included 100 mL conical flasks for sample digestion, volumetric flasks of various sizes (25 mL, 50 mL, and 100 mL) for preparation of </w:t>
      </w:r>
      <w:r w:rsidRPr="000420D9">
        <w:rPr>
          <w:rFonts w:ascii="Times New Roman" w:eastAsia="Times New Roman" w:hAnsi="Times New Roman" w:cs="Times New Roman"/>
          <w:sz w:val="24"/>
          <w:szCs w:val="24"/>
          <w:lang w:eastAsia="en-GB"/>
        </w:rPr>
        <w:lastRenderedPageBreak/>
        <w:t>standard solutions and dilution of digested samples, measuring cylinders of 10 mL and 50 mL capacity for reagent measurements, filter funnels with appropriate diameter to accommodate filter papers, wash bottles for dispensing distilled water, and glass stirring rods for mixing solutions.</w:t>
      </w:r>
    </w:p>
    <w:p w14:paraId="4B53DFF6" w14:textId="77777777" w:rsidR="000420D9" w:rsidRPr="000420D9" w:rsidRDefault="000420D9"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sz w:val="24"/>
          <w:szCs w:val="24"/>
          <w:lang w:eastAsia="en-GB"/>
        </w:rPr>
        <w:t xml:space="preserve">Additional equipment included a polyurethane cool box for sample transportation and temporary storage, maintaining samples at appropriate temperatures during transit from the field to the laboratory. Khaki paper bags, which are breathable and prevent moisture accumulation, were used for collecting and packaging individual samples. A permanent marker pen was essential for </w:t>
      </w:r>
      <w:proofErr w:type="spellStart"/>
      <w:r w:rsidRPr="000420D9">
        <w:rPr>
          <w:rFonts w:ascii="Times New Roman" w:eastAsia="Times New Roman" w:hAnsi="Times New Roman" w:cs="Times New Roman"/>
          <w:sz w:val="24"/>
          <w:szCs w:val="24"/>
          <w:lang w:eastAsia="en-GB"/>
        </w:rPr>
        <w:t>labeling</w:t>
      </w:r>
      <w:proofErr w:type="spellEnd"/>
      <w:r w:rsidRPr="000420D9">
        <w:rPr>
          <w:rFonts w:ascii="Times New Roman" w:eastAsia="Times New Roman" w:hAnsi="Times New Roman" w:cs="Times New Roman"/>
          <w:sz w:val="24"/>
          <w:szCs w:val="24"/>
          <w:lang w:eastAsia="en-GB"/>
        </w:rPr>
        <w:t xml:space="preserve"> samples and containers. Spatulas made of stainless steel or porcelain facilitated transfer of ground samples. Filter papers of appropriate pore size (Whatman Grade 1 or equivalent) were used for filtration of digested samples. Bumping chips or boiling stones were added to digestion flasks to promote smooth boiling and prevent violent bumping during heating. Cork stoppers or appropriate closures were used to seal containers and prevent contamination or evaporation.</w:t>
      </w:r>
    </w:p>
    <w:p w14:paraId="6BC3AF1D" w14:textId="77777777" w:rsidR="000420D9" w:rsidRPr="000420D9" w:rsidRDefault="000420D9"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sz w:val="24"/>
          <w:szCs w:val="24"/>
          <w:lang w:eastAsia="en-GB"/>
        </w:rPr>
        <w:t>All glassware was thoroughly cleaned before use following a rigorous protocol. Items were first washed with laboratory detergent and tap water, then rinsed multiple times with distilled water. For heavy metal analysis, additional cleaning involved soaking glassware in 10% nitric acid for at least 24 hours, followed by thorough rinsing with distilled water. This acid wash step was critical for removing any residual metal contamination that could interfere with trace metal analysis. Glassware was air-dried in a dust-free environment or in a drying oven before use.</w:t>
      </w:r>
    </w:p>
    <w:p w14:paraId="4D21E811" w14:textId="77777777" w:rsidR="000420D9" w:rsidRPr="000420D9" w:rsidRDefault="000420D9" w:rsidP="0038231D">
      <w:pPr>
        <w:spacing w:before="100" w:beforeAutospacing="1" w:after="100" w:afterAutospacing="1" w:line="240" w:lineRule="auto"/>
        <w:jc w:val="both"/>
        <w:outlineLvl w:val="2"/>
        <w:rPr>
          <w:rFonts w:ascii="Times New Roman" w:eastAsia="Times New Roman" w:hAnsi="Times New Roman" w:cs="Times New Roman"/>
          <w:b/>
          <w:bCs/>
          <w:sz w:val="24"/>
          <w:szCs w:val="24"/>
          <w:lang w:eastAsia="en-GB"/>
        </w:rPr>
      </w:pPr>
      <w:r w:rsidRPr="000420D9">
        <w:rPr>
          <w:rFonts w:ascii="Times New Roman" w:eastAsia="Times New Roman" w:hAnsi="Times New Roman" w:cs="Times New Roman"/>
          <w:b/>
          <w:bCs/>
          <w:sz w:val="24"/>
          <w:szCs w:val="24"/>
          <w:lang w:eastAsia="en-GB"/>
        </w:rPr>
        <w:t>3.3 Chemicals and Reagents</w:t>
      </w:r>
    </w:p>
    <w:p w14:paraId="28D0A9D2" w14:textId="77777777" w:rsidR="000420D9" w:rsidRPr="000420D9" w:rsidRDefault="000420D9"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sz w:val="24"/>
          <w:szCs w:val="24"/>
          <w:lang w:eastAsia="en-GB"/>
        </w:rPr>
        <w:t xml:space="preserve">All chemicals and reagents used in this study were of analytical grade to ensure </w:t>
      </w:r>
      <w:r w:rsidRPr="000420D9">
        <w:rPr>
          <w:rFonts w:ascii="Times New Roman" w:eastAsia="Times New Roman" w:hAnsi="Times New Roman" w:cs="Times New Roman"/>
          <w:sz w:val="24"/>
          <w:szCs w:val="24"/>
          <w:lang w:eastAsia="en-GB"/>
        </w:rPr>
        <w:t>high purity and minimize contamination. Concentrated nitric acid (HNO₃, 65-70% purity) served as the primary digestion acid, selected for its strong oxidizing properties and ability to dissolve organic matter and release bound metals. Perchloric acid (</w:t>
      </w:r>
      <w:proofErr w:type="spellStart"/>
      <w:r w:rsidRPr="000420D9">
        <w:rPr>
          <w:rFonts w:ascii="Times New Roman" w:eastAsia="Times New Roman" w:hAnsi="Times New Roman" w:cs="Times New Roman"/>
          <w:sz w:val="24"/>
          <w:szCs w:val="24"/>
          <w:lang w:eastAsia="en-GB"/>
        </w:rPr>
        <w:t>HClO</w:t>
      </w:r>
      <w:proofErr w:type="spellEnd"/>
      <w:r w:rsidRPr="000420D9">
        <w:rPr>
          <w:rFonts w:ascii="Times New Roman" w:eastAsia="Times New Roman" w:hAnsi="Times New Roman" w:cs="Times New Roman"/>
          <w:sz w:val="24"/>
          <w:szCs w:val="24"/>
          <w:lang w:eastAsia="en-GB"/>
        </w:rPr>
        <w:t xml:space="preserve">₄, 70% purity) was included in the digestion mixture to enhance breakdown of resistant organic compounds and ensure complete sample dissolution. Hydrogen peroxide (H₂O₂, 30% purity) acted as an additional oxidizing agent, facilitating digestion of organic materials and helping to achieve clear, </w:t>
      </w:r>
      <w:proofErr w:type="spellStart"/>
      <w:r w:rsidRPr="000420D9">
        <w:rPr>
          <w:rFonts w:ascii="Times New Roman" w:eastAsia="Times New Roman" w:hAnsi="Times New Roman" w:cs="Times New Roman"/>
          <w:sz w:val="24"/>
          <w:szCs w:val="24"/>
          <w:lang w:eastAsia="en-GB"/>
        </w:rPr>
        <w:t>colorless</w:t>
      </w:r>
      <w:proofErr w:type="spellEnd"/>
      <w:r w:rsidRPr="000420D9">
        <w:rPr>
          <w:rFonts w:ascii="Times New Roman" w:eastAsia="Times New Roman" w:hAnsi="Times New Roman" w:cs="Times New Roman"/>
          <w:sz w:val="24"/>
          <w:szCs w:val="24"/>
          <w:lang w:eastAsia="en-GB"/>
        </w:rPr>
        <w:t xml:space="preserve"> digestates.</w:t>
      </w:r>
    </w:p>
    <w:p w14:paraId="680FA85D" w14:textId="77777777" w:rsidR="000420D9" w:rsidRPr="000420D9" w:rsidRDefault="000420D9"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sz w:val="24"/>
          <w:szCs w:val="24"/>
          <w:lang w:eastAsia="en-GB"/>
        </w:rPr>
        <w:t xml:space="preserve">Distilled water, with conductivity less than 2 </w:t>
      </w:r>
      <w:proofErr w:type="spellStart"/>
      <w:r w:rsidRPr="000420D9">
        <w:rPr>
          <w:rFonts w:ascii="Times New Roman" w:eastAsia="Times New Roman" w:hAnsi="Times New Roman" w:cs="Times New Roman"/>
          <w:sz w:val="24"/>
          <w:szCs w:val="24"/>
          <w:lang w:eastAsia="en-GB"/>
        </w:rPr>
        <w:t>μS</w:t>
      </w:r>
      <w:proofErr w:type="spellEnd"/>
      <w:r w:rsidRPr="000420D9">
        <w:rPr>
          <w:rFonts w:ascii="Times New Roman" w:eastAsia="Times New Roman" w:hAnsi="Times New Roman" w:cs="Times New Roman"/>
          <w:sz w:val="24"/>
          <w:szCs w:val="24"/>
          <w:lang w:eastAsia="en-GB"/>
        </w:rPr>
        <w:t>/cm, was used throughout the study for preparation of solutions, dilutions, rinsing, and as a blank in analytical measurements. The use of high-purity water was essential to avoid introducing metallic contaminants from the water itself.</w:t>
      </w:r>
    </w:p>
    <w:p w14:paraId="3BBAF823" w14:textId="77777777" w:rsidR="000420D9" w:rsidRPr="000420D9" w:rsidRDefault="000420D9"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sz w:val="24"/>
          <w:szCs w:val="24"/>
          <w:lang w:eastAsia="en-GB"/>
        </w:rPr>
        <w:t>Standard stock solutions of the target heavy metals were obtained from reputable suppliers and were certified reference materials with known concentrations and traceability to international standards. Individual standard solutions were available for lead (Pb), cadmium (Cd), zinc (Zn), copper (Cu), and manganese (Mn), typically at concentrations of 1000 mg/L (1000 ppm). From these stock solutions, working standard solutions at appropriate concentration ranges were prepared by serial dilution using volumetric glassware and acidified distilled water (typically 2% HNO₃) to prevent metal adsorption onto container walls and precipitation.</w:t>
      </w:r>
    </w:p>
    <w:p w14:paraId="0ECE3654" w14:textId="77777777" w:rsidR="000420D9" w:rsidRPr="000420D9" w:rsidRDefault="000420D9"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sz w:val="24"/>
          <w:szCs w:val="24"/>
          <w:lang w:eastAsia="en-GB"/>
        </w:rPr>
        <w:t xml:space="preserve">Dilute nitric acid solutions at various concentrations (2%, 5%, and 10%) were prepared from the concentrated acid for different purposes including cleaning glassware, acidifying solutions, and preparing blanks and standards. All reagent bottles were clearly </w:t>
      </w:r>
      <w:proofErr w:type="spellStart"/>
      <w:r w:rsidRPr="000420D9">
        <w:rPr>
          <w:rFonts w:ascii="Times New Roman" w:eastAsia="Times New Roman" w:hAnsi="Times New Roman" w:cs="Times New Roman"/>
          <w:sz w:val="24"/>
          <w:szCs w:val="24"/>
          <w:lang w:eastAsia="en-GB"/>
        </w:rPr>
        <w:t>labeled</w:t>
      </w:r>
      <w:proofErr w:type="spellEnd"/>
      <w:r w:rsidRPr="000420D9">
        <w:rPr>
          <w:rFonts w:ascii="Times New Roman" w:eastAsia="Times New Roman" w:hAnsi="Times New Roman" w:cs="Times New Roman"/>
          <w:sz w:val="24"/>
          <w:szCs w:val="24"/>
          <w:lang w:eastAsia="en-GB"/>
        </w:rPr>
        <w:t xml:space="preserve"> with content information, concentration, preparation date, and expiry date where applicable. Reagents were stored according to </w:t>
      </w:r>
      <w:r w:rsidRPr="000420D9">
        <w:rPr>
          <w:rFonts w:ascii="Times New Roman" w:eastAsia="Times New Roman" w:hAnsi="Times New Roman" w:cs="Times New Roman"/>
          <w:sz w:val="24"/>
          <w:szCs w:val="24"/>
          <w:lang w:eastAsia="en-GB"/>
        </w:rPr>
        <w:lastRenderedPageBreak/>
        <w:t>manufacturer recommendations, with acids kept in designated acid storage cabinets in well-ventilated areas.</w:t>
      </w:r>
    </w:p>
    <w:p w14:paraId="1806DF4D" w14:textId="77777777" w:rsidR="000420D9" w:rsidRPr="000420D9" w:rsidRDefault="000420D9" w:rsidP="0038231D">
      <w:pPr>
        <w:spacing w:before="100" w:beforeAutospacing="1" w:after="100" w:afterAutospacing="1" w:line="240" w:lineRule="auto"/>
        <w:jc w:val="both"/>
        <w:outlineLvl w:val="2"/>
        <w:rPr>
          <w:rFonts w:ascii="Times New Roman" w:eastAsia="Times New Roman" w:hAnsi="Times New Roman" w:cs="Times New Roman"/>
          <w:b/>
          <w:bCs/>
          <w:sz w:val="24"/>
          <w:szCs w:val="24"/>
          <w:lang w:eastAsia="en-GB"/>
        </w:rPr>
      </w:pPr>
      <w:r w:rsidRPr="000420D9">
        <w:rPr>
          <w:rFonts w:ascii="Times New Roman" w:eastAsia="Times New Roman" w:hAnsi="Times New Roman" w:cs="Times New Roman"/>
          <w:b/>
          <w:bCs/>
          <w:sz w:val="24"/>
          <w:szCs w:val="24"/>
          <w:lang w:eastAsia="en-GB"/>
        </w:rPr>
        <w:t>3.4 Sample Collection, Transportation, Storage, and Preparation</w:t>
      </w:r>
    </w:p>
    <w:p w14:paraId="5AB15BF2" w14:textId="77777777" w:rsidR="000420D9" w:rsidRPr="000420D9" w:rsidRDefault="000420D9"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sz w:val="24"/>
          <w:szCs w:val="24"/>
          <w:lang w:eastAsia="en-GB"/>
        </w:rPr>
        <w:t xml:space="preserve">Sample collection was conducted during the harvest season in March 2024 when maize had reached physiological maturity and grains had dried on the cob. The timing of collection was important to ensure that samples represented the actual product consumed by local populations. Three different maize varieties were targeted: SC Duma 43 hybrid, SC Sungura 301 hybrid, and Indigenous Kamba maize (locally known as </w:t>
      </w:r>
      <w:proofErr w:type="spellStart"/>
      <w:r w:rsidRPr="000420D9">
        <w:rPr>
          <w:rFonts w:ascii="Times New Roman" w:eastAsia="Times New Roman" w:hAnsi="Times New Roman" w:cs="Times New Roman"/>
          <w:sz w:val="24"/>
          <w:szCs w:val="24"/>
          <w:lang w:eastAsia="en-GB"/>
        </w:rPr>
        <w:t>Kinyaanya</w:t>
      </w:r>
      <w:proofErr w:type="spellEnd"/>
      <w:r w:rsidRPr="000420D9">
        <w:rPr>
          <w:rFonts w:ascii="Times New Roman" w:eastAsia="Times New Roman" w:hAnsi="Times New Roman" w:cs="Times New Roman"/>
          <w:sz w:val="24"/>
          <w:szCs w:val="24"/>
          <w:lang w:eastAsia="en-GB"/>
        </w:rPr>
        <w:t xml:space="preserve">). These varieties represent the range of maize types commonly grown in </w:t>
      </w:r>
      <w:proofErr w:type="spellStart"/>
      <w:r w:rsidRPr="000420D9">
        <w:rPr>
          <w:rFonts w:ascii="Times New Roman" w:eastAsia="Times New Roman" w:hAnsi="Times New Roman" w:cs="Times New Roman"/>
          <w:sz w:val="24"/>
          <w:szCs w:val="24"/>
          <w:lang w:eastAsia="en-GB"/>
        </w:rPr>
        <w:t>Masii</w:t>
      </w:r>
      <w:proofErr w:type="spellEnd"/>
      <w:r w:rsidRPr="000420D9">
        <w:rPr>
          <w:rFonts w:ascii="Times New Roman" w:eastAsia="Times New Roman" w:hAnsi="Times New Roman" w:cs="Times New Roman"/>
          <w:sz w:val="24"/>
          <w:szCs w:val="24"/>
          <w:lang w:eastAsia="en-GB"/>
        </w:rPr>
        <w:t xml:space="preserve"> Location, with the two hybrids being improved varieties promoted through agricultural extension services, while the indigenous variety represents traditional germplasm maintained by farmers over generations.</w:t>
      </w:r>
    </w:p>
    <w:p w14:paraId="61213DFC" w14:textId="77777777" w:rsidR="000420D9" w:rsidRPr="000420D9" w:rsidRDefault="000420D9"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sz w:val="24"/>
          <w:szCs w:val="24"/>
          <w:lang w:eastAsia="en-GB"/>
        </w:rPr>
        <w:t xml:space="preserve">Samples were collected from three separate farms located in </w:t>
      </w:r>
      <w:proofErr w:type="spellStart"/>
      <w:r w:rsidRPr="000420D9">
        <w:rPr>
          <w:rFonts w:ascii="Times New Roman" w:eastAsia="Times New Roman" w:hAnsi="Times New Roman" w:cs="Times New Roman"/>
          <w:sz w:val="24"/>
          <w:szCs w:val="24"/>
          <w:lang w:eastAsia="en-GB"/>
        </w:rPr>
        <w:t>Mbaani</w:t>
      </w:r>
      <w:proofErr w:type="spellEnd"/>
      <w:r w:rsidRPr="000420D9">
        <w:rPr>
          <w:rFonts w:ascii="Times New Roman" w:eastAsia="Times New Roman" w:hAnsi="Times New Roman" w:cs="Times New Roman"/>
          <w:sz w:val="24"/>
          <w:szCs w:val="24"/>
          <w:lang w:eastAsia="en-GB"/>
        </w:rPr>
        <w:t xml:space="preserve">, </w:t>
      </w:r>
      <w:proofErr w:type="spellStart"/>
      <w:r w:rsidRPr="000420D9">
        <w:rPr>
          <w:rFonts w:ascii="Times New Roman" w:eastAsia="Times New Roman" w:hAnsi="Times New Roman" w:cs="Times New Roman"/>
          <w:sz w:val="24"/>
          <w:szCs w:val="24"/>
          <w:lang w:eastAsia="en-GB"/>
        </w:rPr>
        <w:t>Kathama</w:t>
      </w:r>
      <w:proofErr w:type="spellEnd"/>
      <w:r w:rsidRPr="000420D9">
        <w:rPr>
          <w:rFonts w:ascii="Times New Roman" w:eastAsia="Times New Roman" w:hAnsi="Times New Roman" w:cs="Times New Roman"/>
          <w:sz w:val="24"/>
          <w:szCs w:val="24"/>
          <w:lang w:eastAsia="en-GB"/>
        </w:rPr>
        <w:t xml:space="preserve">, and </w:t>
      </w:r>
      <w:proofErr w:type="spellStart"/>
      <w:r w:rsidRPr="000420D9">
        <w:rPr>
          <w:rFonts w:ascii="Times New Roman" w:eastAsia="Times New Roman" w:hAnsi="Times New Roman" w:cs="Times New Roman"/>
          <w:sz w:val="24"/>
          <w:szCs w:val="24"/>
          <w:lang w:eastAsia="en-GB"/>
        </w:rPr>
        <w:t>Muthei</w:t>
      </w:r>
      <w:proofErr w:type="spellEnd"/>
      <w:r w:rsidRPr="000420D9">
        <w:rPr>
          <w:rFonts w:ascii="Times New Roman" w:eastAsia="Times New Roman" w:hAnsi="Times New Roman" w:cs="Times New Roman"/>
          <w:sz w:val="24"/>
          <w:szCs w:val="24"/>
          <w:lang w:eastAsia="en-GB"/>
        </w:rPr>
        <w:t xml:space="preserve"> wards respectively. At each farm, both fresh maize (recently harvested with higher moisture content) and dry maize (stored after field drying) were obtained to provide a comprehensive assessment. A random sampling approach was employed to ensure representative samples and minimize selection bias. From each farm, maize was collected from different parts of the field rather than from a single location, and multiple cobs were combined to create a composite sample representing that farm.</w:t>
      </w:r>
    </w:p>
    <w:p w14:paraId="5353DC0A" w14:textId="77777777" w:rsidR="00801435" w:rsidRDefault="00801435" w:rsidP="0038231D">
      <w:pPr>
        <w:spacing w:before="100" w:beforeAutospacing="1" w:after="100" w:afterAutospacing="1" w:line="240" w:lineRule="auto"/>
        <w:jc w:val="both"/>
        <w:rPr>
          <w:rFonts w:ascii="Times New Roman" w:eastAsia="Times New Roman" w:hAnsi="Times New Roman" w:cs="Times New Roman"/>
          <w:b/>
          <w:bCs/>
          <w:sz w:val="24"/>
          <w:szCs w:val="24"/>
          <w:lang w:eastAsia="en-GB"/>
        </w:rPr>
      </w:pPr>
      <w:r>
        <w:rPr>
          <w:rFonts w:ascii="Times New Roman" w:hAnsi="Times New Roman" w:cs="Times New Roman"/>
          <w:bCs/>
          <w:noProof/>
          <w:color w:val="000000" w:themeColor="text1"/>
          <w:lang w:eastAsia="en-GB"/>
        </w:rPr>
        <w:drawing>
          <wp:inline distT="0" distB="0" distL="0" distR="0" wp14:anchorId="287072AB" wp14:editId="7CEBE59B">
            <wp:extent cx="2550990" cy="1590675"/>
            <wp:effectExtent l="0" t="0" r="1905" b="0"/>
            <wp:docPr id="13277608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76086" name="Picture 2"/>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66943" cy="1600623"/>
                    </a:xfrm>
                    <a:prstGeom prst="rect">
                      <a:avLst/>
                    </a:prstGeom>
                  </pic:spPr>
                </pic:pic>
              </a:graphicData>
            </a:graphic>
          </wp:inline>
        </w:drawing>
      </w:r>
      <w:r w:rsidRPr="000420D9">
        <w:rPr>
          <w:rFonts w:ascii="Times New Roman" w:eastAsia="Times New Roman" w:hAnsi="Times New Roman" w:cs="Times New Roman"/>
          <w:b/>
          <w:bCs/>
          <w:sz w:val="24"/>
          <w:szCs w:val="24"/>
          <w:lang w:eastAsia="en-GB"/>
        </w:rPr>
        <w:t xml:space="preserve"> </w:t>
      </w:r>
    </w:p>
    <w:p w14:paraId="532D5043" w14:textId="77777777" w:rsidR="000420D9" w:rsidRPr="000420D9" w:rsidRDefault="000420D9"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b/>
          <w:bCs/>
          <w:sz w:val="24"/>
          <w:szCs w:val="24"/>
          <w:lang w:eastAsia="en-GB"/>
        </w:rPr>
        <w:t>[Figure</w:t>
      </w:r>
      <w:r w:rsidR="00801435">
        <w:rPr>
          <w:rFonts w:ascii="Times New Roman" w:eastAsia="Times New Roman" w:hAnsi="Times New Roman" w:cs="Times New Roman"/>
          <w:b/>
          <w:bCs/>
          <w:sz w:val="24"/>
          <w:szCs w:val="24"/>
          <w:lang w:eastAsia="en-GB"/>
        </w:rPr>
        <w:t xml:space="preserve"> 3.2 </w:t>
      </w:r>
      <w:r w:rsidRPr="00CD25A2">
        <w:rPr>
          <w:rFonts w:ascii="Times New Roman" w:eastAsia="Times New Roman" w:hAnsi="Times New Roman" w:cs="Times New Roman"/>
          <w:bCs/>
          <w:sz w:val="24"/>
          <w:szCs w:val="24"/>
          <w:lang w:eastAsia="en-GB"/>
        </w:rPr>
        <w:t xml:space="preserve">Maize seeds samples collection from </w:t>
      </w:r>
      <w:proofErr w:type="spellStart"/>
      <w:r w:rsidRPr="00CD25A2">
        <w:rPr>
          <w:rFonts w:ascii="Times New Roman" w:eastAsia="Times New Roman" w:hAnsi="Times New Roman" w:cs="Times New Roman"/>
          <w:bCs/>
          <w:sz w:val="24"/>
          <w:szCs w:val="24"/>
          <w:lang w:eastAsia="en-GB"/>
        </w:rPr>
        <w:t>Mbaani</w:t>
      </w:r>
      <w:proofErr w:type="spellEnd"/>
      <w:r w:rsidRPr="00CD25A2">
        <w:rPr>
          <w:rFonts w:ascii="Times New Roman" w:eastAsia="Times New Roman" w:hAnsi="Times New Roman" w:cs="Times New Roman"/>
          <w:bCs/>
          <w:sz w:val="24"/>
          <w:szCs w:val="24"/>
          <w:lang w:eastAsia="en-GB"/>
        </w:rPr>
        <w:t xml:space="preserve"> sampling site]</w:t>
      </w:r>
    </w:p>
    <w:p w14:paraId="0C6CF202" w14:textId="77777777" w:rsidR="000420D9" w:rsidRPr="000420D9" w:rsidRDefault="000420D9"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sz w:val="24"/>
          <w:szCs w:val="24"/>
          <w:lang w:eastAsia="en-GB"/>
        </w:rPr>
        <w:t xml:space="preserve">Each sample, consisting of approximately one kilogram of maize kernels, was carefully packed in clean khaki paper bags. Khaki bags were chosen because they are breathable, preventing moisture accumulation that could promote </w:t>
      </w:r>
      <w:proofErr w:type="spellStart"/>
      <w:r w:rsidRPr="000420D9">
        <w:rPr>
          <w:rFonts w:ascii="Times New Roman" w:eastAsia="Times New Roman" w:hAnsi="Times New Roman" w:cs="Times New Roman"/>
          <w:sz w:val="24"/>
          <w:szCs w:val="24"/>
          <w:lang w:eastAsia="en-GB"/>
        </w:rPr>
        <w:t>mold</w:t>
      </w:r>
      <w:proofErr w:type="spellEnd"/>
      <w:r w:rsidRPr="000420D9">
        <w:rPr>
          <w:rFonts w:ascii="Times New Roman" w:eastAsia="Times New Roman" w:hAnsi="Times New Roman" w:cs="Times New Roman"/>
          <w:sz w:val="24"/>
          <w:szCs w:val="24"/>
          <w:lang w:eastAsia="en-GB"/>
        </w:rPr>
        <w:t xml:space="preserve"> growth, while also being strong enough to prevent spillage during transportation. Each bag was clearly </w:t>
      </w:r>
      <w:proofErr w:type="spellStart"/>
      <w:r w:rsidRPr="000420D9">
        <w:rPr>
          <w:rFonts w:ascii="Times New Roman" w:eastAsia="Times New Roman" w:hAnsi="Times New Roman" w:cs="Times New Roman"/>
          <w:sz w:val="24"/>
          <w:szCs w:val="24"/>
          <w:lang w:eastAsia="en-GB"/>
        </w:rPr>
        <w:t>labeled</w:t>
      </w:r>
      <w:proofErr w:type="spellEnd"/>
      <w:r w:rsidRPr="000420D9">
        <w:rPr>
          <w:rFonts w:ascii="Times New Roman" w:eastAsia="Times New Roman" w:hAnsi="Times New Roman" w:cs="Times New Roman"/>
          <w:sz w:val="24"/>
          <w:szCs w:val="24"/>
          <w:lang w:eastAsia="en-GB"/>
        </w:rPr>
        <w:t xml:space="preserve"> with detailed information including sample identification code, variety name, collection site, collection date, and whether the sample was fresh or dry. The </w:t>
      </w:r>
      <w:proofErr w:type="spellStart"/>
      <w:r w:rsidRPr="000420D9">
        <w:rPr>
          <w:rFonts w:ascii="Times New Roman" w:eastAsia="Times New Roman" w:hAnsi="Times New Roman" w:cs="Times New Roman"/>
          <w:sz w:val="24"/>
          <w:szCs w:val="24"/>
          <w:lang w:eastAsia="en-GB"/>
        </w:rPr>
        <w:t>labeling</w:t>
      </w:r>
      <w:proofErr w:type="spellEnd"/>
      <w:r w:rsidRPr="000420D9">
        <w:rPr>
          <w:rFonts w:ascii="Times New Roman" w:eastAsia="Times New Roman" w:hAnsi="Times New Roman" w:cs="Times New Roman"/>
          <w:sz w:val="24"/>
          <w:szCs w:val="24"/>
          <w:lang w:eastAsia="en-GB"/>
        </w:rPr>
        <w:t xml:space="preserve"> system ensured proper tracking throughout the analytical process.</w:t>
      </w:r>
    </w:p>
    <w:p w14:paraId="4A8CFE22" w14:textId="77777777" w:rsidR="000420D9" w:rsidRPr="000420D9" w:rsidRDefault="000420D9"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sz w:val="24"/>
          <w:szCs w:val="24"/>
          <w:lang w:eastAsia="en-GB"/>
        </w:rPr>
        <w:t xml:space="preserve">The </w:t>
      </w:r>
      <w:proofErr w:type="spellStart"/>
      <w:r w:rsidRPr="000420D9">
        <w:rPr>
          <w:rFonts w:ascii="Times New Roman" w:eastAsia="Times New Roman" w:hAnsi="Times New Roman" w:cs="Times New Roman"/>
          <w:sz w:val="24"/>
          <w:szCs w:val="24"/>
          <w:lang w:eastAsia="en-GB"/>
        </w:rPr>
        <w:t>labeled</w:t>
      </w:r>
      <w:proofErr w:type="spellEnd"/>
      <w:r w:rsidRPr="000420D9">
        <w:rPr>
          <w:rFonts w:ascii="Times New Roman" w:eastAsia="Times New Roman" w:hAnsi="Times New Roman" w:cs="Times New Roman"/>
          <w:sz w:val="24"/>
          <w:szCs w:val="24"/>
          <w:lang w:eastAsia="en-GB"/>
        </w:rPr>
        <w:t xml:space="preserve"> samples were placed in a clean polyurethane cool box for transportation to the laboratory. While refrigeration was not strictly necessary for dry grain samples, the cool box provided protection from temperature extremes, physical damage, and contamination during the approximately two-hour journey from </w:t>
      </w:r>
      <w:proofErr w:type="spellStart"/>
      <w:r w:rsidRPr="000420D9">
        <w:rPr>
          <w:rFonts w:ascii="Times New Roman" w:eastAsia="Times New Roman" w:hAnsi="Times New Roman" w:cs="Times New Roman"/>
          <w:sz w:val="24"/>
          <w:szCs w:val="24"/>
          <w:lang w:eastAsia="en-GB"/>
        </w:rPr>
        <w:t>Masii</w:t>
      </w:r>
      <w:proofErr w:type="spellEnd"/>
      <w:r w:rsidRPr="000420D9">
        <w:rPr>
          <w:rFonts w:ascii="Times New Roman" w:eastAsia="Times New Roman" w:hAnsi="Times New Roman" w:cs="Times New Roman"/>
          <w:sz w:val="24"/>
          <w:szCs w:val="24"/>
          <w:lang w:eastAsia="en-GB"/>
        </w:rPr>
        <w:t xml:space="preserve"> Location to the University of Nairobi's Department of Chemistry. Upon arrival at the laboratory, samples were transferred to the Inorganic Chemistry Laboratory where they were stored in airtight containers at room temperature in a dry, well-ventilated area until analysis.</w:t>
      </w:r>
    </w:p>
    <w:p w14:paraId="1DFE3C2A" w14:textId="77777777" w:rsidR="000420D9" w:rsidRPr="000420D9" w:rsidRDefault="00801435"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r>
        <w:rPr>
          <w:rFonts w:cs="Times New Roman"/>
          <w:noProof/>
          <w:lang w:eastAsia="en-GB"/>
        </w:rPr>
        <w:drawing>
          <wp:inline distT="0" distB="0" distL="0" distR="0" wp14:anchorId="00D46333" wp14:editId="6EEE409D">
            <wp:extent cx="2693182" cy="2038350"/>
            <wp:effectExtent l="0" t="0" r="0" b="0"/>
            <wp:docPr id="8101780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0178012" name="Picture 2"/>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05437" cy="2047625"/>
                    </a:xfrm>
                    <a:prstGeom prst="rect">
                      <a:avLst/>
                    </a:prstGeom>
                  </pic:spPr>
                </pic:pic>
              </a:graphicData>
            </a:graphic>
          </wp:inline>
        </w:drawing>
      </w:r>
      <w:r w:rsidRPr="000420D9">
        <w:rPr>
          <w:rFonts w:ascii="Times New Roman" w:eastAsia="Times New Roman" w:hAnsi="Times New Roman" w:cs="Times New Roman"/>
          <w:b/>
          <w:bCs/>
          <w:sz w:val="24"/>
          <w:szCs w:val="24"/>
          <w:lang w:eastAsia="en-GB"/>
        </w:rPr>
        <w:t xml:space="preserve"> </w:t>
      </w:r>
      <w:r>
        <w:rPr>
          <w:rFonts w:ascii="Times New Roman" w:eastAsia="Times New Roman" w:hAnsi="Times New Roman" w:cs="Times New Roman"/>
          <w:b/>
          <w:bCs/>
          <w:sz w:val="24"/>
          <w:szCs w:val="24"/>
          <w:lang w:eastAsia="en-GB"/>
        </w:rPr>
        <w:br/>
      </w:r>
      <w:r>
        <w:rPr>
          <w:rFonts w:ascii="Times New Roman" w:eastAsia="Times New Roman" w:hAnsi="Times New Roman" w:cs="Times New Roman"/>
          <w:b/>
          <w:bCs/>
          <w:sz w:val="24"/>
          <w:szCs w:val="24"/>
          <w:lang w:eastAsia="en-GB"/>
        </w:rPr>
        <w:br/>
        <w:t>[Figure 3</w:t>
      </w:r>
      <w:r w:rsidR="000420D9" w:rsidRPr="000420D9">
        <w:rPr>
          <w:rFonts w:ascii="Times New Roman" w:eastAsia="Times New Roman" w:hAnsi="Times New Roman" w:cs="Times New Roman"/>
          <w:b/>
          <w:bCs/>
          <w:sz w:val="24"/>
          <w:szCs w:val="24"/>
          <w:lang w:eastAsia="en-GB"/>
        </w:rPr>
        <w:t xml:space="preserve"> </w:t>
      </w:r>
      <w:r w:rsidR="000420D9" w:rsidRPr="00CD25A2">
        <w:rPr>
          <w:rFonts w:ascii="Times New Roman" w:eastAsia="Times New Roman" w:hAnsi="Times New Roman" w:cs="Times New Roman"/>
          <w:bCs/>
          <w:sz w:val="24"/>
          <w:szCs w:val="24"/>
          <w:lang w:eastAsia="en-GB"/>
        </w:rPr>
        <w:t xml:space="preserve">Maize seeds samples collected for analysis from </w:t>
      </w:r>
      <w:proofErr w:type="spellStart"/>
      <w:r w:rsidR="000420D9" w:rsidRPr="00CD25A2">
        <w:rPr>
          <w:rFonts w:ascii="Times New Roman" w:eastAsia="Times New Roman" w:hAnsi="Times New Roman" w:cs="Times New Roman"/>
          <w:bCs/>
          <w:sz w:val="24"/>
          <w:szCs w:val="24"/>
          <w:lang w:eastAsia="en-GB"/>
        </w:rPr>
        <w:t>Mbaani</w:t>
      </w:r>
      <w:proofErr w:type="spellEnd"/>
      <w:r w:rsidR="000420D9" w:rsidRPr="00CD25A2">
        <w:rPr>
          <w:rFonts w:ascii="Times New Roman" w:eastAsia="Times New Roman" w:hAnsi="Times New Roman" w:cs="Times New Roman"/>
          <w:bCs/>
          <w:sz w:val="24"/>
          <w:szCs w:val="24"/>
          <w:lang w:eastAsia="en-GB"/>
        </w:rPr>
        <w:t xml:space="preserve"> Site</w:t>
      </w:r>
      <w:r w:rsidR="000420D9" w:rsidRPr="000420D9">
        <w:rPr>
          <w:rFonts w:ascii="Times New Roman" w:eastAsia="Times New Roman" w:hAnsi="Times New Roman" w:cs="Times New Roman"/>
          <w:b/>
          <w:bCs/>
          <w:sz w:val="24"/>
          <w:szCs w:val="24"/>
          <w:lang w:eastAsia="en-GB"/>
        </w:rPr>
        <w:t>]</w:t>
      </w:r>
    </w:p>
    <w:p w14:paraId="3D56DA9E" w14:textId="77777777" w:rsidR="000420D9" w:rsidRPr="000420D9" w:rsidRDefault="000420D9"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sz w:val="24"/>
          <w:szCs w:val="24"/>
          <w:lang w:eastAsia="en-GB"/>
        </w:rPr>
        <w:lastRenderedPageBreak/>
        <w:t xml:space="preserve">Sample preparation began with drying fresh samples to remove excess moisture, which could interfere with accurate weighing and subsequent digestion. Samples were spread in thin layers on clean </w:t>
      </w:r>
      <w:proofErr w:type="spellStart"/>
      <w:r w:rsidRPr="000420D9">
        <w:rPr>
          <w:rFonts w:ascii="Times New Roman" w:eastAsia="Times New Roman" w:hAnsi="Times New Roman" w:cs="Times New Roman"/>
          <w:sz w:val="24"/>
          <w:szCs w:val="24"/>
          <w:lang w:eastAsia="en-GB"/>
        </w:rPr>
        <w:t>aluminum</w:t>
      </w:r>
      <w:proofErr w:type="spellEnd"/>
      <w:r w:rsidRPr="000420D9">
        <w:rPr>
          <w:rFonts w:ascii="Times New Roman" w:eastAsia="Times New Roman" w:hAnsi="Times New Roman" w:cs="Times New Roman"/>
          <w:sz w:val="24"/>
          <w:szCs w:val="24"/>
          <w:lang w:eastAsia="en-GB"/>
        </w:rPr>
        <w:t xml:space="preserve"> foil and placed in a drying oven set at 60°C for 24-48 hours, with the exact duration depending on initial moisture content. This temperature was selected to efficiently remove water without causing thermal degradation of the grain matrix or potential volatilization of certain metal species. Samples were considered sufficiently dry when consecutive </w:t>
      </w:r>
      <w:proofErr w:type="spellStart"/>
      <w:r w:rsidRPr="000420D9">
        <w:rPr>
          <w:rFonts w:ascii="Times New Roman" w:eastAsia="Times New Roman" w:hAnsi="Times New Roman" w:cs="Times New Roman"/>
          <w:sz w:val="24"/>
          <w:szCs w:val="24"/>
          <w:lang w:eastAsia="en-GB"/>
        </w:rPr>
        <w:t>weighings</w:t>
      </w:r>
      <w:proofErr w:type="spellEnd"/>
      <w:r w:rsidRPr="000420D9">
        <w:rPr>
          <w:rFonts w:ascii="Times New Roman" w:eastAsia="Times New Roman" w:hAnsi="Times New Roman" w:cs="Times New Roman"/>
          <w:sz w:val="24"/>
          <w:szCs w:val="24"/>
          <w:lang w:eastAsia="en-GB"/>
        </w:rPr>
        <w:t xml:space="preserve"> showed less than 0.1% weight change, indicating stable moisture content.</w:t>
      </w:r>
    </w:p>
    <w:p w14:paraId="480DC48D" w14:textId="77777777" w:rsidR="000420D9" w:rsidRPr="000420D9" w:rsidRDefault="000420D9"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sz w:val="24"/>
          <w:szCs w:val="24"/>
          <w:lang w:eastAsia="en-GB"/>
        </w:rPr>
        <w:t>Once dried, samples were ground to fine powder using a clean porcelain mortar and pestle. The grinding process was conducted systematically, with thorough cleaning of the mortar and pestle between different samples using distilled water and ethanol, followed by air drying. This prevented cross-contamination between samples. The ground material was passed through a fine mesh sieve to ensure particle size uniformity, with the aim of achieving particles smaller than 0.5 mm in diameter. Fine particle size is crucial for efficient acid digestion as it increases the surface area available for acid attack and ensures homogeneity of the sample.</w:t>
      </w:r>
    </w:p>
    <w:p w14:paraId="533A374E" w14:textId="77777777" w:rsidR="000420D9" w:rsidRPr="000420D9" w:rsidRDefault="000420D9"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sz w:val="24"/>
          <w:szCs w:val="24"/>
          <w:lang w:eastAsia="en-GB"/>
        </w:rPr>
        <w:t xml:space="preserve">The ground and sieved samples were stored in clean, </w:t>
      </w:r>
      <w:proofErr w:type="spellStart"/>
      <w:r w:rsidRPr="000420D9">
        <w:rPr>
          <w:rFonts w:ascii="Times New Roman" w:eastAsia="Times New Roman" w:hAnsi="Times New Roman" w:cs="Times New Roman"/>
          <w:sz w:val="24"/>
          <w:szCs w:val="24"/>
          <w:lang w:eastAsia="en-GB"/>
        </w:rPr>
        <w:t>labeled</w:t>
      </w:r>
      <w:proofErr w:type="spellEnd"/>
      <w:r w:rsidRPr="000420D9">
        <w:rPr>
          <w:rFonts w:ascii="Times New Roman" w:eastAsia="Times New Roman" w:hAnsi="Times New Roman" w:cs="Times New Roman"/>
          <w:sz w:val="24"/>
          <w:szCs w:val="24"/>
          <w:lang w:eastAsia="en-GB"/>
        </w:rPr>
        <w:t xml:space="preserve"> plastic containers with tight-fitting lids. The containers were kept in a desiccator when not in use to prevent moisture absorption from the atmosphere, which could alter sample weight and introduce potential contamination. Prior to digestion, samples were allowed to equilibrate to room temperature while still in sealed containers.</w:t>
      </w:r>
    </w:p>
    <w:p w14:paraId="7B687C41" w14:textId="77777777" w:rsidR="000420D9" w:rsidRPr="000420D9" w:rsidRDefault="000420D9" w:rsidP="0038231D">
      <w:pPr>
        <w:spacing w:before="100" w:beforeAutospacing="1" w:after="100" w:afterAutospacing="1" w:line="240" w:lineRule="auto"/>
        <w:jc w:val="both"/>
        <w:outlineLvl w:val="2"/>
        <w:rPr>
          <w:rFonts w:ascii="Times New Roman" w:eastAsia="Times New Roman" w:hAnsi="Times New Roman" w:cs="Times New Roman"/>
          <w:b/>
          <w:bCs/>
          <w:sz w:val="27"/>
          <w:szCs w:val="27"/>
          <w:lang w:eastAsia="en-GB"/>
        </w:rPr>
      </w:pPr>
      <w:r w:rsidRPr="000420D9">
        <w:rPr>
          <w:rFonts w:ascii="Times New Roman" w:eastAsia="Times New Roman" w:hAnsi="Times New Roman" w:cs="Times New Roman"/>
          <w:b/>
          <w:bCs/>
          <w:sz w:val="27"/>
          <w:szCs w:val="27"/>
          <w:lang w:eastAsia="en-GB"/>
        </w:rPr>
        <w:t>3.5 Sample Digestion Protocol</w:t>
      </w:r>
    </w:p>
    <w:p w14:paraId="7273D068" w14:textId="77777777" w:rsidR="000420D9" w:rsidRPr="000420D9" w:rsidRDefault="000420D9"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sz w:val="24"/>
          <w:szCs w:val="24"/>
          <w:lang w:eastAsia="en-GB"/>
        </w:rPr>
        <w:t xml:space="preserve">The digestion of maize samples constitutes a critical step in heavy metal analysis, as it must completely break down the organic </w:t>
      </w:r>
      <w:r w:rsidRPr="000420D9">
        <w:rPr>
          <w:rFonts w:ascii="Times New Roman" w:eastAsia="Times New Roman" w:hAnsi="Times New Roman" w:cs="Times New Roman"/>
          <w:sz w:val="24"/>
          <w:szCs w:val="24"/>
          <w:lang w:eastAsia="en-GB"/>
        </w:rPr>
        <w:t>matrix and release all metals into solution without losses due to volatilization or incomplete dissolution. For this study, a novel optimized digestion method was developed through preliminary trials, resulting in an efficient protocol that minimized reagent consumption, reduced digestion time, and simplified the overall procedure while maintaining excellent recovery rates.</w:t>
      </w:r>
    </w:p>
    <w:p w14:paraId="600F1D4A" w14:textId="77777777" w:rsidR="000420D9" w:rsidRPr="000420D9" w:rsidRDefault="000420D9"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sz w:val="24"/>
          <w:szCs w:val="24"/>
          <w:lang w:eastAsia="en-GB"/>
        </w:rPr>
        <w:t xml:space="preserve">The optimized digestion mixture consisted of nitric acid, perchloric acid, and hydrogen peroxide in a volume ratio of 2.5:0.75:0.5. This specific combination was selected based on preliminary experiments that tested various acid ratios and evaluated their effectiveness in achieving complete digestion while producing clear, </w:t>
      </w:r>
      <w:proofErr w:type="spellStart"/>
      <w:r w:rsidRPr="000420D9">
        <w:rPr>
          <w:rFonts w:ascii="Times New Roman" w:eastAsia="Times New Roman" w:hAnsi="Times New Roman" w:cs="Times New Roman"/>
          <w:sz w:val="24"/>
          <w:szCs w:val="24"/>
          <w:lang w:eastAsia="en-GB"/>
        </w:rPr>
        <w:t>colorless</w:t>
      </w:r>
      <w:proofErr w:type="spellEnd"/>
      <w:r w:rsidRPr="000420D9">
        <w:rPr>
          <w:rFonts w:ascii="Times New Roman" w:eastAsia="Times New Roman" w:hAnsi="Times New Roman" w:cs="Times New Roman"/>
          <w:sz w:val="24"/>
          <w:szCs w:val="24"/>
          <w:lang w:eastAsia="en-GB"/>
        </w:rPr>
        <w:t xml:space="preserve"> digestates suitable for AAS analysis. The synergistic action of these three oxidizing agents ensured thorough breakdown of complex organic compounds present in maize kernels, including proteins, lipids, and carbohydrates.</w:t>
      </w:r>
    </w:p>
    <w:p w14:paraId="3EE3954C" w14:textId="77777777" w:rsidR="000420D9" w:rsidRPr="000420D9" w:rsidRDefault="000420D9"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sz w:val="24"/>
          <w:szCs w:val="24"/>
          <w:lang w:eastAsia="en-GB"/>
        </w:rPr>
        <w:t xml:space="preserve">For each sample, 2.0 grams of the ground, dried maize powder was accurately weighed using the analytical balance and transferred into a clean 100 mL conical flask. The samples were </w:t>
      </w:r>
      <w:proofErr w:type="spellStart"/>
      <w:r w:rsidRPr="000420D9">
        <w:rPr>
          <w:rFonts w:ascii="Times New Roman" w:eastAsia="Times New Roman" w:hAnsi="Times New Roman" w:cs="Times New Roman"/>
          <w:sz w:val="24"/>
          <w:szCs w:val="24"/>
          <w:lang w:eastAsia="en-GB"/>
        </w:rPr>
        <w:t>analyzed</w:t>
      </w:r>
      <w:proofErr w:type="spellEnd"/>
      <w:r w:rsidRPr="000420D9">
        <w:rPr>
          <w:rFonts w:ascii="Times New Roman" w:eastAsia="Times New Roman" w:hAnsi="Times New Roman" w:cs="Times New Roman"/>
          <w:sz w:val="24"/>
          <w:szCs w:val="24"/>
          <w:lang w:eastAsia="en-GB"/>
        </w:rPr>
        <w:t xml:space="preserve"> in triplicate, meaning three separate 2.0-gram portions were weighed from each sample to provide statistical reliability and allow calculation of mean values and standard deviations. The conical flask shape was preferred for digestion as it allows for refluxing of acid </w:t>
      </w:r>
      <w:proofErr w:type="spellStart"/>
      <w:r w:rsidRPr="000420D9">
        <w:rPr>
          <w:rFonts w:ascii="Times New Roman" w:eastAsia="Times New Roman" w:hAnsi="Times New Roman" w:cs="Times New Roman"/>
          <w:sz w:val="24"/>
          <w:szCs w:val="24"/>
          <w:lang w:eastAsia="en-GB"/>
        </w:rPr>
        <w:t>vapors</w:t>
      </w:r>
      <w:proofErr w:type="spellEnd"/>
      <w:r w:rsidRPr="000420D9">
        <w:rPr>
          <w:rFonts w:ascii="Times New Roman" w:eastAsia="Times New Roman" w:hAnsi="Times New Roman" w:cs="Times New Roman"/>
          <w:sz w:val="24"/>
          <w:szCs w:val="24"/>
          <w:lang w:eastAsia="en-GB"/>
        </w:rPr>
        <w:t xml:space="preserve"> and minimizes sample loss during heating.</w:t>
      </w:r>
    </w:p>
    <w:p w14:paraId="3BE3504A" w14:textId="77777777" w:rsidR="000420D9" w:rsidRPr="000420D9" w:rsidRDefault="000420D9"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sz w:val="24"/>
          <w:szCs w:val="24"/>
          <w:lang w:eastAsia="en-GB"/>
        </w:rPr>
        <w:t xml:space="preserve">To each flask containing 2.0 grams of sample, the acid mixture was added. Specifically, 2.5 mL of concentrated nitric acid was added first, followed by 0.75 mL of perchloric acid, and finally 0.5 mL of hydrogen peroxide. The acids were dispensed using calibrated pipettes or micropipettes for accuracy. After addition of the acid mixture, the flasks were gently swirled to ensure the sample was </w:t>
      </w:r>
      <w:r w:rsidRPr="000420D9">
        <w:rPr>
          <w:rFonts w:ascii="Times New Roman" w:eastAsia="Times New Roman" w:hAnsi="Times New Roman" w:cs="Times New Roman"/>
          <w:sz w:val="24"/>
          <w:szCs w:val="24"/>
          <w:lang w:eastAsia="en-GB"/>
        </w:rPr>
        <w:lastRenderedPageBreak/>
        <w:t>thoroughly wetted and mixed with the acids. The flasks were then allowed to stand at room temperature for approximately 30 minutes to permit initial pre-digestion reactions to occur, which helps prevent violent reactions when heating begins.</w:t>
      </w:r>
    </w:p>
    <w:p w14:paraId="1A8BEBE5" w14:textId="77777777" w:rsidR="00801435" w:rsidRDefault="00801435" w:rsidP="0038231D">
      <w:pPr>
        <w:spacing w:before="100" w:beforeAutospacing="1" w:after="100" w:afterAutospacing="1" w:line="240" w:lineRule="auto"/>
        <w:jc w:val="both"/>
        <w:rPr>
          <w:rFonts w:ascii="Times New Roman" w:eastAsia="Times New Roman" w:hAnsi="Times New Roman" w:cs="Times New Roman"/>
          <w:b/>
          <w:bCs/>
          <w:sz w:val="24"/>
          <w:szCs w:val="24"/>
          <w:lang w:eastAsia="en-GB"/>
        </w:rPr>
      </w:pPr>
    </w:p>
    <w:p w14:paraId="04E56ED6" w14:textId="77777777" w:rsidR="00801435" w:rsidRDefault="00801435" w:rsidP="0038231D">
      <w:pPr>
        <w:spacing w:before="100" w:beforeAutospacing="1" w:after="100" w:afterAutospacing="1" w:line="240" w:lineRule="auto"/>
        <w:jc w:val="both"/>
        <w:rPr>
          <w:rFonts w:ascii="Times New Roman" w:eastAsia="Times New Roman" w:hAnsi="Times New Roman" w:cs="Times New Roman"/>
          <w:b/>
          <w:bCs/>
          <w:sz w:val="24"/>
          <w:szCs w:val="24"/>
          <w:lang w:eastAsia="en-GB"/>
        </w:rPr>
      </w:pPr>
      <w:r>
        <w:rPr>
          <w:rFonts w:ascii="Times New Roman" w:hAnsi="Times New Roman" w:cs="Times New Roman"/>
          <w:noProof/>
          <w:lang w:eastAsia="en-GB"/>
        </w:rPr>
        <w:drawing>
          <wp:inline distT="0" distB="0" distL="0" distR="0" wp14:anchorId="4531C3DE" wp14:editId="2133F231">
            <wp:extent cx="2525346" cy="1790700"/>
            <wp:effectExtent l="0" t="0" r="889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46322" cy="1805574"/>
                    </a:xfrm>
                    <a:prstGeom prst="rect">
                      <a:avLst/>
                    </a:prstGeom>
                  </pic:spPr>
                </pic:pic>
              </a:graphicData>
            </a:graphic>
          </wp:inline>
        </w:drawing>
      </w:r>
    </w:p>
    <w:p w14:paraId="70D9B585" w14:textId="77777777" w:rsidR="000420D9" w:rsidRPr="000420D9" w:rsidRDefault="000420D9"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b/>
          <w:bCs/>
          <w:sz w:val="24"/>
          <w:szCs w:val="24"/>
          <w:lang w:eastAsia="en-GB"/>
        </w:rPr>
        <w:t>[Fi</w:t>
      </w:r>
      <w:r w:rsidR="00801435">
        <w:rPr>
          <w:rFonts w:ascii="Times New Roman" w:eastAsia="Times New Roman" w:hAnsi="Times New Roman" w:cs="Times New Roman"/>
          <w:b/>
          <w:bCs/>
          <w:sz w:val="24"/>
          <w:szCs w:val="24"/>
          <w:lang w:eastAsia="en-GB"/>
        </w:rPr>
        <w:t>gure 3.4</w:t>
      </w:r>
      <w:r w:rsidRPr="000420D9">
        <w:rPr>
          <w:rFonts w:ascii="Times New Roman" w:eastAsia="Times New Roman" w:hAnsi="Times New Roman" w:cs="Times New Roman"/>
          <w:b/>
          <w:bCs/>
          <w:sz w:val="24"/>
          <w:szCs w:val="24"/>
          <w:lang w:eastAsia="en-GB"/>
        </w:rPr>
        <w:t xml:space="preserve"> </w:t>
      </w:r>
      <w:r w:rsidRPr="00CD25A2">
        <w:rPr>
          <w:rFonts w:ascii="Times New Roman" w:eastAsia="Times New Roman" w:hAnsi="Times New Roman" w:cs="Times New Roman"/>
          <w:bCs/>
          <w:sz w:val="24"/>
          <w:szCs w:val="24"/>
          <w:lang w:eastAsia="en-GB"/>
        </w:rPr>
        <w:t>Maize seeds samples undergoing digestion using a hot plate]</w:t>
      </w:r>
    </w:p>
    <w:p w14:paraId="6B15AED8" w14:textId="77777777" w:rsidR="000420D9" w:rsidRPr="000420D9" w:rsidRDefault="000420D9"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sz w:val="24"/>
          <w:szCs w:val="24"/>
          <w:lang w:eastAsia="en-GB"/>
        </w:rPr>
        <w:t>Following the pre-digestion period, the flasks were placed on a hot plate in a fume hood. The fume hood was essential for safety, as the digestion process releases nitrogen oxides and other potentially harmful fumes. The hot plate temperature was set to 105°C, a temperature selected through optimization studies as providing efficient digestion without excessive loss of acids through evaporation. The samples were heated at this temperature for 2 hours and 30 minutes, with occasional gentle swirling to ensure uniform heating and mixing.</w:t>
      </w:r>
    </w:p>
    <w:p w14:paraId="39E1744E" w14:textId="77777777" w:rsidR="000420D9" w:rsidRPr="000420D9" w:rsidRDefault="000420D9"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sz w:val="24"/>
          <w:szCs w:val="24"/>
          <w:lang w:eastAsia="en-GB"/>
        </w:rPr>
        <w:t xml:space="preserve">During the digestion process, the initially thick, yellow-brown mixture gradually became clearer as organic matter was oxidized and dissolved. The endpoint of successful digestion was indicated by the formation of a clear, </w:t>
      </w:r>
      <w:proofErr w:type="spellStart"/>
      <w:r w:rsidRPr="000420D9">
        <w:rPr>
          <w:rFonts w:ascii="Times New Roman" w:eastAsia="Times New Roman" w:hAnsi="Times New Roman" w:cs="Times New Roman"/>
          <w:sz w:val="24"/>
          <w:szCs w:val="24"/>
          <w:lang w:eastAsia="en-GB"/>
        </w:rPr>
        <w:t>colorless</w:t>
      </w:r>
      <w:proofErr w:type="spellEnd"/>
      <w:r w:rsidRPr="000420D9">
        <w:rPr>
          <w:rFonts w:ascii="Times New Roman" w:eastAsia="Times New Roman" w:hAnsi="Times New Roman" w:cs="Times New Roman"/>
          <w:sz w:val="24"/>
          <w:szCs w:val="24"/>
          <w:lang w:eastAsia="en-GB"/>
        </w:rPr>
        <w:t xml:space="preserve"> or very pale yellow solution with no visible particulate matter. If any sample remained turbid or showed brownish coloration after the prescribed digestion time, heating was continued for an additional 30 minutes. However, with the optimized protocol, </w:t>
      </w:r>
      <w:r w:rsidRPr="000420D9">
        <w:rPr>
          <w:rFonts w:ascii="Times New Roman" w:eastAsia="Times New Roman" w:hAnsi="Times New Roman" w:cs="Times New Roman"/>
          <w:sz w:val="24"/>
          <w:szCs w:val="24"/>
          <w:lang w:eastAsia="en-GB"/>
        </w:rPr>
        <w:t>most samples achieved complete digestion within the standard 2.5-hour period.</w:t>
      </w:r>
    </w:p>
    <w:p w14:paraId="1937941A" w14:textId="77777777" w:rsidR="000420D9" w:rsidRPr="000420D9" w:rsidRDefault="000420D9"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sz w:val="24"/>
          <w:szCs w:val="24"/>
          <w:lang w:eastAsia="en-GB"/>
        </w:rPr>
        <w:t>After digestion was complete, the flasks were removed from the hot plate and allowed to cool to room temperature. Cooling was important before filtration to prevent thermal stress on filter papers and to allow any fumes to dissipate. The cooled digestates were filtered through Whatman Grade 1 filter paper (or equivalent) placed in glass funnels. The filtration step removed any undissolved residue, though with complete digestion, minimal residue should remain.</w:t>
      </w:r>
    </w:p>
    <w:p w14:paraId="04397307" w14:textId="77777777" w:rsidR="000420D9" w:rsidRPr="000420D9" w:rsidRDefault="000420D9"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sz w:val="24"/>
          <w:szCs w:val="24"/>
          <w:lang w:eastAsia="en-GB"/>
        </w:rPr>
        <w:t xml:space="preserve">The clear filtrate was collected in clean volumetric flasks and diluted to a final volume of 50 mL using distilled water. This dilution served multiple purposes including reducing acid concentration to levels compatible with the AAS instrument, bringing metal concentrations into the optimal measurement range of the instrument, and providing sufficient volume for replicate analysis if needed. The diluted digestates were transferred to clean plastic bottles and </w:t>
      </w:r>
      <w:proofErr w:type="spellStart"/>
      <w:r w:rsidRPr="000420D9">
        <w:rPr>
          <w:rFonts w:ascii="Times New Roman" w:eastAsia="Times New Roman" w:hAnsi="Times New Roman" w:cs="Times New Roman"/>
          <w:sz w:val="24"/>
          <w:szCs w:val="24"/>
          <w:lang w:eastAsia="en-GB"/>
        </w:rPr>
        <w:t>labeled</w:t>
      </w:r>
      <w:proofErr w:type="spellEnd"/>
      <w:r w:rsidRPr="000420D9">
        <w:rPr>
          <w:rFonts w:ascii="Times New Roman" w:eastAsia="Times New Roman" w:hAnsi="Times New Roman" w:cs="Times New Roman"/>
          <w:sz w:val="24"/>
          <w:szCs w:val="24"/>
          <w:lang w:eastAsia="en-GB"/>
        </w:rPr>
        <w:t xml:space="preserve"> with sample identification, digestion date, and any dilution factors applied.</w:t>
      </w:r>
    </w:p>
    <w:p w14:paraId="2AFE9542" w14:textId="77777777" w:rsidR="00801435" w:rsidRDefault="00801435" w:rsidP="0038231D">
      <w:pPr>
        <w:spacing w:before="100" w:beforeAutospacing="1" w:after="100" w:afterAutospacing="1" w:line="240" w:lineRule="auto"/>
        <w:jc w:val="both"/>
        <w:rPr>
          <w:rFonts w:ascii="Times New Roman" w:eastAsia="Times New Roman" w:hAnsi="Times New Roman" w:cs="Times New Roman"/>
          <w:b/>
          <w:bCs/>
          <w:sz w:val="24"/>
          <w:szCs w:val="24"/>
          <w:lang w:eastAsia="en-GB"/>
        </w:rPr>
      </w:pPr>
      <w:r>
        <w:rPr>
          <w:rFonts w:ascii="Times New Roman" w:hAnsi="Times New Roman" w:cs="Times New Roman"/>
          <w:noProof/>
          <w:lang w:eastAsia="en-GB"/>
        </w:rPr>
        <w:drawing>
          <wp:inline distT="0" distB="0" distL="0" distR="0" wp14:anchorId="60DF13C5" wp14:editId="5CDA6061">
            <wp:extent cx="2660641" cy="1971675"/>
            <wp:effectExtent l="0" t="0" r="6985" b="0"/>
            <wp:docPr id="11013365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33655" name="Picture 2"/>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69752" cy="1978427"/>
                    </a:xfrm>
                    <a:prstGeom prst="rect">
                      <a:avLst/>
                    </a:prstGeom>
                  </pic:spPr>
                </pic:pic>
              </a:graphicData>
            </a:graphic>
          </wp:inline>
        </w:drawing>
      </w:r>
    </w:p>
    <w:p w14:paraId="03B0C3EC" w14:textId="77777777" w:rsidR="000420D9" w:rsidRPr="000420D9" w:rsidRDefault="000420D9"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b/>
          <w:bCs/>
          <w:sz w:val="24"/>
          <w:szCs w:val="24"/>
          <w:lang w:eastAsia="en-GB"/>
        </w:rPr>
        <w:t>[Fi</w:t>
      </w:r>
      <w:r w:rsidR="00352203">
        <w:rPr>
          <w:rFonts w:ascii="Times New Roman" w:eastAsia="Times New Roman" w:hAnsi="Times New Roman" w:cs="Times New Roman"/>
          <w:b/>
          <w:bCs/>
          <w:sz w:val="24"/>
          <w:szCs w:val="24"/>
          <w:lang w:eastAsia="en-GB"/>
        </w:rPr>
        <w:t>gure 3.5</w:t>
      </w:r>
      <w:r w:rsidRPr="000420D9">
        <w:rPr>
          <w:rFonts w:ascii="Times New Roman" w:eastAsia="Times New Roman" w:hAnsi="Times New Roman" w:cs="Times New Roman"/>
          <w:b/>
          <w:bCs/>
          <w:sz w:val="24"/>
          <w:szCs w:val="24"/>
          <w:lang w:eastAsia="en-GB"/>
        </w:rPr>
        <w:t xml:space="preserve"> </w:t>
      </w:r>
      <w:r w:rsidRPr="00CD25A2">
        <w:rPr>
          <w:rFonts w:ascii="Times New Roman" w:eastAsia="Times New Roman" w:hAnsi="Times New Roman" w:cs="Times New Roman"/>
          <w:bCs/>
          <w:sz w:val="24"/>
          <w:szCs w:val="24"/>
          <w:lang w:eastAsia="en-GB"/>
        </w:rPr>
        <w:t>Prepared samples and the standard solutions for analysis]</w:t>
      </w:r>
    </w:p>
    <w:p w14:paraId="2F58D807" w14:textId="77777777" w:rsidR="000420D9" w:rsidRPr="000420D9" w:rsidRDefault="000420D9"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sz w:val="24"/>
          <w:szCs w:val="24"/>
          <w:lang w:eastAsia="en-GB"/>
        </w:rPr>
        <w:t xml:space="preserve">The efficiency and reliability of the digestion protocol were validated through spike-recovery experiments. In these validation studies, known quantities of </w:t>
      </w:r>
      <w:r w:rsidRPr="000420D9">
        <w:rPr>
          <w:rFonts w:ascii="Times New Roman" w:eastAsia="Times New Roman" w:hAnsi="Times New Roman" w:cs="Times New Roman"/>
          <w:sz w:val="24"/>
          <w:szCs w:val="24"/>
          <w:lang w:eastAsia="en-GB"/>
        </w:rPr>
        <w:lastRenderedPageBreak/>
        <w:t xml:space="preserve">metal standards were added to portions of sample matrix, and the samples were digested and </w:t>
      </w:r>
      <w:proofErr w:type="spellStart"/>
      <w:r w:rsidRPr="000420D9">
        <w:rPr>
          <w:rFonts w:ascii="Times New Roman" w:eastAsia="Times New Roman" w:hAnsi="Times New Roman" w:cs="Times New Roman"/>
          <w:sz w:val="24"/>
          <w:szCs w:val="24"/>
          <w:lang w:eastAsia="en-GB"/>
        </w:rPr>
        <w:t>analyzed</w:t>
      </w:r>
      <w:proofErr w:type="spellEnd"/>
      <w:r w:rsidRPr="000420D9">
        <w:rPr>
          <w:rFonts w:ascii="Times New Roman" w:eastAsia="Times New Roman" w:hAnsi="Times New Roman" w:cs="Times New Roman"/>
          <w:sz w:val="24"/>
          <w:szCs w:val="24"/>
          <w:lang w:eastAsia="en-GB"/>
        </w:rPr>
        <w:t xml:space="preserve"> following the standard protocol. The measured concentrations were compared to expected values based on the added spike amounts. Recovery percentages, calculated as (measured concentration / expected concentration) × 100, ranged between 94% and 110% for all five target metals. These recovery values fall within the acceptable range of 85-115% typically required for trace metal analysis, confirming that the digestion method effectively released metals from the sample matrix without significant losses or contamination.</w:t>
      </w:r>
    </w:p>
    <w:p w14:paraId="7E644D38" w14:textId="77777777" w:rsidR="000420D9" w:rsidRPr="000420D9" w:rsidRDefault="000420D9" w:rsidP="0038231D">
      <w:pPr>
        <w:spacing w:before="100" w:beforeAutospacing="1" w:after="100" w:afterAutospacing="1" w:line="240" w:lineRule="auto"/>
        <w:jc w:val="both"/>
        <w:outlineLvl w:val="2"/>
        <w:rPr>
          <w:rFonts w:ascii="Times New Roman" w:eastAsia="Times New Roman" w:hAnsi="Times New Roman" w:cs="Times New Roman"/>
          <w:b/>
          <w:bCs/>
          <w:sz w:val="27"/>
          <w:szCs w:val="27"/>
          <w:lang w:eastAsia="en-GB"/>
        </w:rPr>
      </w:pPr>
      <w:r w:rsidRPr="000420D9">
        <w:rPr>
          <w:rFonts w:ascii="Times New Roman" w:eastAsia="Times New Roman" w:hAnsi="Times New Roman" w:cs="Times New Roman"/>
          <w:b/>
          <w:bCs/>
          <w:sz w:val="27"/>
          <w:szCs w:val="27"/>
          <w:lang w:eastAsia="en-GB"/>
        </w:rPr>
        <w:t>3.6 Heavy Metal Analysis Using Atomic Absorption Spectroscopy</w:t>
      </w:r>
    </w:p>
    <w:p w14:paraId="68F364E3" w14:textId="77777777" w:rsidR="000420D9" w:rsidRPr="000420D9" w:rsidRDefault="000420D9"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sz w:val="24"/>
          <w:szCs w:val="24"/>
          <w:lang w:eastAsia="en-GB"/>
        </w:rPr>
        <w:t xml:space="preserve">Following digestion and dilution, samples were </w:t>
      </w:r>
      <w:proofErr w:type="spellStart"/>
      <w:r w:rsidRPr="000420D9">
        <w:rPr>
          <w:rFonts w:ascii="Times New Roman" w:eastAsia="Times New Roman" w:hAnsi="Times New Roman" w:cs="Times New Roman"/>
          <w:sz w:val="24"/>
          <w:szCs w:val="24"/>
          <w:lang w:eastAsia="en-GB"/>
        </w:rPr>
        <w:t>analyzed</w:t>
      </w:r>
      <w:proofErr w:type="spellEnd"/>
      <w:r w:rsidRPr="000420D9">
        <w:rPr>
          <w:rFonts w:ascii="Times New Roman" w:eastAsia="Times New Roman" w:hAnsi="Times New Roman" w:cs="Times New Roman"/>
          <w:sz w:val="24"/>
          <w:szCs w:val="24"/>
          <w:lang w:eastAsia="en-GB"/>
        </w:rPr>
        <w:t xml:space="preserve"> using Atomic Absorption Spectroscopy to quantify the concentrations of lead, cadmium, zinc, copper, and manganese. The analysis was performed on a flame atomic absorption spectrophotometer equipped with appropriate hollow cathode lamps for each element and using an air-acetylene flame for atomization.</w:t>
      </w:r>
    </w:p>
    <w:p w14:paraId="5C7248EE" w14:textId="77777777" w:rsidR="00352203" w:rsidRDefault="00352203" w:rsidP="0038231D">
      <w:pPr>
        <w:spacing w:before="100" w:beforeAutospacing="1" w:after="100" w:afterAutospacing="1" w:line="240" w:lineRule="auto"/>
        <w:jc w:val="both"/>
        <w:rPr>
          <w:rFonts w:ascii="Times New Roman" w:eastAsia="Times New Roman" w:hAnsi="Times New Roman" w:cs="Times New Roman"/>
          <w:b/>
          <w:bCs/>
          <w:sz w:val="24"/>
          <w:szCs w:val="24"/>
          <w:lang w:eastAsia="en-GB"/>
        </w:rPr>
      </w:pPr>
      <w:r>
        <w:rPr>
          <w:rFonts w:ascii="Times New Roman" w:hAnsi="Times New Roman" w:cs="Times New Roman"/>
          <w:noProof/>
          <w:sz w:val="24"/>
          <w:szCs w:val="24"/>
          <w:lang w:eastAsia="en-GB"/>
        </w:rPr>
        <w:drawing>
          <wp:inline distT="0" distB="0" distL="0" distR="0" wp14:anchorId="34E3E61F" wp14:editId="778FA5D9">
            <wp:extent cx="2545311" cy="1657350"/>
            <wp:effectExtent l="0" t="0" r="7620" b="0"/>
            <wp:docPr id="80058359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583591" name="Picture 3"/>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75439" cy="1676967"/>
                    </a:xfrm>
                    <a:prstGeom prst="rect">
                      <a:avLst/>
                    </a:prstGeom>
                  </pic:spPr>
                </pic:pic>
              </a:graphicData>
            </a:graphic>
          </wp:inline>
        </w:drawing>
      </w:r>
    </w:p>
    <w:p w14:paraId="2764C4F4" w14:textId="77777777" w:rsidR="000420D9" w:rsidRPr="000420D9" w:rsidRDefault="000420D9"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b/>
          <w:bCs/>
          <w:sz w:val="24"/>
          <w:szCs w:val="24"/>
          <w:lang w:eastAsia="en-GB"/>
        </w:rPr>
        <w:t>[Fi</w:t>
      </w:r>
      <w:r w:rsidR="00352203">
        <w:rPr>
          <w:rFonts w:ascii="Times New Roman" w:eastAsia="Times New Roman" w:hAnsi="Times New Roman" w:cs="Times New Roman"/>
          <w:b/>
          <w:bCs/>
          <w:sz w:val="24"/>
          <w:szCs w:val="24"/>
          <w:lang w:eastAsia="en-GB"/>
        </w:rPr>
        <w:t>gure 3.6</w:t>
      </w:r>
      <w:r w:rsidRPr="000420D9">
        <w:rPr>
          <w:rFonts w:ascii="Times New Roman" w:eastAsia="Times New Roman" w:hAnsi="Times New Roman" w:cs="Times New Roman"/>
          <w:b/>
          <w:bCs/>
          <w:sz w:val="24"/>
          <w:szCs w:val="24"/>
          <w:lang w:eastAsia="en-GB"/>
        </w:rPr>
        <w:t xml:space="preserve"> Analysis of standard solutions and the digested samples using AAS]</w:t>
      </w:r>
    </w:p>
    <w:p w14:paraId="5FE48D18" w14:textId="77777777" w:rsidR="000420D9" w:rsidRPr="000420D9" w:rsidRDefault="000420D9"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sz w:val="24"/>
          <w:szCs w:val="24"/>
          <w:lang w:eastAsia="en-GB"/>
        </w:rPr>
        <w:t xml:space="preserve">Prior to sample analysis, the AAS instrument was calibrated using standard solutions prepared from certified reference materials. For each element, a series of </w:t>
      </w:r>
      <w:r w:rsidRPr="000420D9">
        <w:rPr>
          <w:rFonts w:ascii="Times New Roman" w:eastAsia="Times New Roman" w:hAnsi="Times New Roman" w:cs="Times New Roman"/>
          <w:sz w:val="24"/>
          <w:szCs w:val="24"/>
          <w:lang w:eastAsia="en-GB"/>
        </w:rPr>
        <w:t>standard solutions at different concentrations were prepared by serial dilution of stock solutions. The concentration ranges were selected to bracket the expected levels in samples and to span the linear response range of the instrument. Specifically, zinc standards were prepared at concentrations of 0, 2, 4, 6, 8, and 10 parts per million (ppm). Cadmium standards covered 0, 5, 10, 15, and 20 ppm. Copper standards were at 0, 2, 4, 6, 8, and 10 ppm. Manganese standards ranged from 0, 5, 10, 15, to 20 ppm. Lead standards were prepared at 0, 2, 4, 6, and 8 ppm.</w:t>
      </w:r>
    </w:p>
    <w:p w14:paraId="5E05C45C" w14:textId="77777777" w:rsidR="000420D9" w:rsidRPr="000420D9" w:rsidRDefault="000420D9"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sz w:val="24"/>
          <w:szCs w:val="24"/>
          <w:lang w:eastAsia="en-GB"/>
        </w:rPr>
        <w:t>The zero concentration standard served as the blank and was prepared using the same acid matrix as the samples (typically 5% nitric acid) to match matrix composition and minimize interference effects. All standards were prepared fresh on the day of analysis or stored at 4°C for no more than one week to prevent degradation or adsorption losses.</w:t>
      </w:r>
    </w:p>
    <w:p w14:paraId="1E4AD3D1" w14:textId="77777777" w:rsidR="000420D9" w:rsidRPr="000420D9" w:rsidRDefault="000420D9"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sz w:val="24"/>
          <w:szCs w:val="24"/>
          <w:lang w:eastAsia="en-GB"/>
        </w:rPr>
        <w:t>Calibration curves were constructed by measuring the absorbance of each standard solution at the element-specific wavelength and plotting absorbance versus concentration. The wavelengths used for analysis were optimized for maximum sensitivity and were as follows: zinc at 213.9 nm, cadmium at 228.8 nm, copper at 324.8 nm, manganese at 279.5 nm, and lead at 217.0 nm. These wavelengths correspond to the most sensitive absorption lines for each element and are standard analytical wavelengths used in atomic absorption spectroscopy.</w:t>
      </w:r>
    </w:p>
    <w:p w14:paraId="37ACBCF6" w14:textId="77777777" w:rsidR="000420D9" w:rsidRPr="000420D9" w:rsidRDefault="000420D9"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sz w:val="24"/>
          <w:szCs w:val="24"/>
          <w:lang w:eastAsia="en-GB"/>
        </w:rPr>
        <w:t xml:space="preserve">The flame composition and flow rates were optimized for each element to achieve maximum absorbance signal and stability. For most elements, an air-acetylene flame was used with fuel-lean (oxidizing) conditions. The burner height was adjusted to position the optical beam through the optimal part of the flame where the </w:t>
      </w:r>
      <w:r w:rsidRPr="000420D9">
        <w:rPr>
          <w:rFonts w:ascii="Times New Roman" w:eastAsia="Times New Roman" w:hAnsi="Times New Roman" w:cs="Times New Roman"/>
          <w:sz w:val="24"/>
          <w:szCs w:val="24"/>
          <w:lang w:eastAsia="en-GB"/>
        </w:rPr>
        <w:lastRenderedPageBreak/>
        <w:t>population of free ground-state atoms is maximized.</w:t>
      </w:r>
    </w:p>
    <w:p w14:paraId="78DA0081" w14:textId="77777777" w:rsidR="000420D9" w:rsidRPr="000420D9" w:rsidRDefault="000420D9"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sz w:val="24"/>
          <w:szCs w:val="24"/>
          <w:lang w:eastAsia="en-GB"/>
        </w:rPr>
        <w:t>For each calibration standard, the solution was aspirated into the flame through the nebulizer system, which converts the liquid into a fine aerosol. The instrument measured the absorbance and the data were recorded. Linear regression analysis was performed to determine the calibration equation relating absorbance to concentration. The quality of the calibration was assessed using the correlation coefficient (R²), with values above 0.99 considered acceptable for quantitative analysis.</w:t>
      </w:r>
    </w:p>
    <w:p w14:paraId="5E525E94" w14:textId="77777777" w:rsidR="000420D9" w:rsidRPr="000420D9" w:rsidRDefault="000420D9"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sz w:val="24"/>
          <w:szCs w:val="24"/>
          <w:lang w:eastAsia="en-GB"/>
        </w:rPr>
        <w:t xml:space="preserve">Following calibration, the digested sample solutions were </w:t>
      </w:r>
      <w:proofErr w:type="spellStart"/>
      <w:r w:rsidRPr="000420D9">
        <w:rPr>
          <w:rFonts w:ascii="Times New Roman" w:eastAsia="Times New Roman" w:hAnsi="Times New Roman" w:cs="Times New Roman"/>
          <w:sz w:val="24"/>
          <w:szCs w:val="24"/>
          <w:lang w:eastAsia="en-GB"/>
        </w:rPr>
        <w:t>analyzed</w:t>
      </w:r>
      <w:proofErr w:type="spellEnd"/>
      <w:r w:rsidRPr="000420D9">
        <w:rPr>
          <w:rFonts w:ascii="Times New Roman" w:eastAsia="Times New Roman" w:hAnsi="Times New Roman" w:cs="Times New Roman"/>
          <w:sz w:val="24"/>
          <w:szCs w:val="24"/>
          <w:lang w:eastAsia="en-GB"/>
        </w:rPr>
        <w:t xml:space="preserve"> in the same manner. Each sample was run in triplicate by aspirating the solution three times and recording the average absorbance. Between samples, the nebulizer system was rinsed with dilute nitric acid and distilled water to prevent carryover contamination. Blank solutions (acid matrix without sample) were run periodically to monitor baseline stability and check for instrumental drift.</w:t>
      </w:r>
    </w:p>
    <w:p w14:paraId="19034E93" w14:textId="77777777" w:rsidR="000420D9" w:rsidRPr="000420D9" w:rsidRDefault="000420D9"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sz w:val="24"/>
          <w:szCs w:val="24"/>
          <w:lang w:eastAsia="en-GB"/>
        </w:rPr>
        <w:t>The instrument's software automatically calculated sample concentrations based on the calibration curves. However, these concentrations represented the levels in the diluted digestate and required correction for dilution factors to determine the actual concentration in the original dry sample. The calculation accounted for the mass of sample digested, the final volume of digestate, and any additional dilutions performed.</w:t>
      </w:r>
    </w:p>
    <w:p w14:paraId="2EEA2C14" w14:textId="77777777" w:rsidR="000420D9" w:rsidRPr="000420D9" w:rsidRDefault="000420D9"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sz w:val="24"/>
          <w:szCs w:val="24"/>
          <w:lang w:eastAsia="en-GB"/>
        </w:rPr>
        <w:t xml:space="preserve">Quality control measures implemented during analysis included running certified reference materials when available, </w:t>
      </w:r>
      <w:proofErr w:type="spellStart"/>
      <w:r w:rsidRPr="000420D9">
        <w:rPr>
          <w:rFonts w:ascii="Times New Roman" w:eastAsia="Times New Roman" w:hAnsi="Times New Roman" w:cs="Times New Roman"/>
          <w:sz w:val="24"/>
          <w:szCs w:val="24"/>
          <w:lang w:eastAsia="en-GB"/>
        </w:rPr>
        <w:t>analyzing</w:t>
      </w:r>
      <w:proofErr w:type="spellEnd"/>
      <w:r w:rsidRPr="000420D9">
        <w:rPr>
          <w:rFonts w:ascii="Times New Roman" w:eastAsia="Times New Roman" w:hAnsi="Times New Roman" w:cs="Times New Roman"/>
          <w:sz w:val="24"/>
          <w:szCs w:val="24"/>
          <w:lang w:eastAsia="en-GB"/>
        </w:rPr>
        <w:t xml:space="preserve"> blank samples to check for contamination, running duplicate samples to assess precision, conducting spike recovery tests by adding known amounts of metals to selected samples and measuring recovery, and periodically re-calibrating the </w:t>
      </w:r>
      <w:r w:rsidRPr="000420D9">
        <w:rPr>
          <w:rFonts w:ascii="Times New Roman" w:eastAsia="Times New Roman" w:hAnsi="Times New Roman" w:cs="Times New Roman"/>
          <w:sz w:val="24"/>
          <w:szCs w:val="24"/>
          <w:lang w:eastAsia="en-GB"/>
        </w:rPr>
        <w:t>instrument during extended analysis sessions to compensate for any instrumental drift.</w:t>
      </w:r>
    </w:p>
    <w:p w14:paraId="68A9CA76" w14:textId="77777777" w:rsidR="00352203" w:rsidRDefault="000420D9"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sz w:val="24"/>
          <w:szCs w:val="24"/>
          <w:lang w:eastAsia="en-GB"/>
        </w:rPr>
        <w:t>The limit of detection (LOD) for each element was determined as three times the standard deviation of ten replicate measurements of the blank, divided by the slope of the calibration curve. The limits of quantification (LOQ) were calculated as ten times the standard deviation of the blank divided by the slope. These parameters provide information about the lowest concentrations that can be reliably detected and quantified by the analytical method.</w:t>
      </w:r>
    </w:p>
    <w:p w14:paraId="54C910D8" w14:textId="77777777" w:rsidR="00352203" w:rsidRDefault="00352203" w:rsidP="0038231D">
      <w:pPr>
        <w:pStyle w:val="Caption"/>
        <w:jc w:val="both"/>
        <w:rPr>
          <w:rFonts w:ascii="Times New Roman" w:hAnsi="Times New Roman" w:cs="Times New Roman"/>
          <w:i w:val="0"/>
          <w:iCs w:val="0"/>
          <w:color w:val="000000" w:themeColor="text1"/>
          <w:sz w:val="24"/>
          <w:szCs w:val="24"/>
        </w:rPr>
      </w:pPr>
      <w:bookmarkStart w:id="1" w:name="_Toc198897936"/>
      <w:r>
        <w:rPr>
          <w:rFonts w:ascii="Times New Roman" w:hAnsi="Times New Roman" w:cs="Times New Roman"/>
          <w:i w:val="0"/>
          <w:iCs w:val="0"/>
          <w:color w:val="000000" w:themeColor="text1"/>
          <w:sz w:val="24"/>
          <w:szCs w:val="24"/>
        </w:rPr>
        <w:t xml:space="preserve">Table 3. </w:t>
      </w:r>
      <w:r>
        <w:rPr>
          <w:rFonts w:ascii="Times New Roman" w:hAnsi="Times New Roman" w:cs="Times New Roman"/>
          <w:i w:val="0"/>
          <w:iCs w:val="0"/>
          <w:color w:val="000000" w:themeColor="text1"/>
          <w:sz w:val="24"/>
          <w:szCs w:val="24"/>
        </w:rPr>
        <w:fldChar w:fldCharType="begin"/>
      </w:r>
      <w:r>
        <w:rPr>
          <w:rFonts w:ascii="Times New Roman" w:hAnsi="Times New Roman" w:cs="Times New Roman"/>
          <w:i w:val="0"/>
          <w:iCs w:val="0"/>
          <w:color w:val="000000" w:themeColor="text1"/>
          <w:sz w:val="24"/>
          <w:szCs w:val="24"/>
        </w:rPr>
        <w:instrText xml:space="preserve"> SEQ Table_3 \* ARABIC </w:instrText>
      </w:r>
      <w:r>
        <w:rPr>
          <w:rFonts w:ascii="Times New Roman" w:hAnsi="Times New Roman" w:cs="Times New Roman"/>
          <w:i w:val="0"/>
          <w:iCs w:val="0"/>
          <w:color w:val="000000" w:themeColor="text1"/>
          <w:sz w:val="24"/>
          <w:szCs w:val="24"/>
        </w:rPr>
        <w:fldChar w:fldCharType="separate"/>
      </w:r>
      <w:r>
        <w:rPr>
          <w:rFonts w:ascii="Times New Roman" w:hAnsi="Times New Roman" w:cs="Times New Roman"/>
          <w:i w:val="0"/>
          <w:iCs w:val="0"/>
          <w:color w:val="000000" w:themeColor="text1"/>
          <w:sz w:val="24"/>
          <w:szCs w:val="24"/>
        </w:rPr>
        <w:t>2</w:t>
      </w:r>
      <w:r>
        <w:rPr>
          <w:rFonts w:ascii="Times New Roman" w:hAnsi="Times New Roman" w:cs="Times New Roman"/>
          <w:i w:val="0"/>
          <w:iCs w:val="0"/>
          <w:color w:val="000000" w:themeColor="text1"/>
          <w:sz w:val="24"/>
          <w:szCs w:val="24"/>
        </w:rPr>
        <w:fldChar w:fldCharType="end"/>
      </w:r>
      <w:r>
        <w:rPr>
          <w:rFonts w:ascii="Times New Roman" w:hAnsi="Times New Roman" w:cs="Times New Roman"/>
          <w:i w:val="0"/>
          <w:iCs w:val="0"/>
          <w:color w:val="000000" w:themeColor="text1"/>
          <w:sz w:val="24"/>
          <w:szCs w:val="24"/>
        </w:rPr>
        <w:t xml:space="preserve">  The Optimum conditions for AAS operation</w:t>
      </w:r>
      <w:bookmarkEnd w:id="1"/>
    </w:p>
    <w:p w14:paraId="40981199" w14:textId="77777777" w:rsidR="00352203" w:rsidRDefault="00352203"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p>
    <w:tbl>
      <w:tblPr>
        <w:tblStyle w:val="TableGrid1"/>
        <w:tblW w:w="0" w:type="auto"/>
        <w:tblInd w:w="562" w:type="dxa"/>
        <w:tblLook w:val="04A0" w:firstRow="1" w:lastRow="0" w:firstColumn="1" w:lastColumn="0" w:noHBand="0" w:noVBand="1"/>
      </w:tblPr>
      <w:tblGrid>
        <w:gridCol w:w="1560"/>
        <w:gridCol w:w="1559"/>
      </w:tblGrid>
      <w:tr w:rsidR="00352203" w:rsidRPr="00352203" w14:paraId="05B6F64A" w14:textId="77777777" w:rsidTr="0002012A">
        <w:tc>
          <w:tcPr>
            <w:tcW w:w="1560" w:type="dxa"/>
          </w:tcPr>
          <w:p w14:paraId="24E80056" w14:textId="77777777" w:rsidR="00352203" w:rsidRPr="00352203" w:rsidRDefault="00352203" w:rsidP="0038231D">
            <w:pPr>
              <w:spacing w:line="360" w:lineRule="auto"/>
              <w:jc w:val="both"/>
              <w:rPr>
                <w:rFonts w:ascii="Times New Roman" w:hAnsi="Times New Roman" w:cs="Times New Roman"/>
                <w:b/>
                <w:color w:val="000000"/>
                <w:kern w:val="2"/>
                <w:sz w:val="24"/>
                <w:szCs w:val="24"/>
                <w:lang w:val="en-US"/>
                <w14:ligatures w14:val="standardContextual"/>
              </w:rPr>
            </w:pPr>
            <w:r w:rsidRPr="00352203">
              <w:rPr>
                <w:rFonts w:ascii="Times New Roman" w:hAnsi="Times New Roman" w:cs="Times New Roman"/>
                <w:b/>
                <w:color w:val="000000"/>
                <w:kern w:val="2"/>
                <w:sz w:val="24"/>
                <w:szCs w:val="24"/>
                <w:lang w:val="en-US"/>
                <w14:ligatures w14:val="standardContextual"/>
              </w:rPr>
              <w:t>Metal ion</w:t>
            </w:r>
          </w:p>
        </w:tc>
        <w:tc>
          <w:tcPr>
            <w:tcW w:w="1559" w:type="dxa"/>
          </w:tcPr>
          <w:p w14:paraId="7361B057" w14:textId="77777777" w:rsidR="00352203" w:rsidRPr="00352203" w:rsidRDefault="00352203" w:rsidP="0038231D">
            <w:pPr>
              <w:spacing w:line="360" w:lineRule="auto"/>
              <w:jc w:val="both"/>
              <w:rPr>
                <w:rFonts w:ascii="Times New Roman" w:hAnsi="Times New Roman" w:cs="Times New Roman"/>
                <w:b/>
                <w:color w:val="000000"/>
                <w:kern w:val="2"/>
                <w:sz w:val="24"/>
                <w:szCs w:val="24"/>
                <w:lang w:val="en-US"/>
                <w14:ligatures w14:val="standardContextual"/>
              </w:rPr>
            </w:pPr>
            <w:r w:rsidRPr="00352203">
              <w:rPr>
                <w:rFonts w:ascii="Times New Roman" w:hAnsi="Times New Roman" w:cs="Times New Roman"/>
                <w:b/>
                <w:color w:val="000000"/>
                <w:kern w:val="2"/>
                <w:sz w:val="24"/>
                <w:szCs w:val="24"/>
                <w:lang w:val="en-US"/>
                <w14:ligatures w14:val="standardContextual"/>
              </w:rPr>
              <w:t>Wavelength</w:t>
            </w:r>
          </w:p>
        </w:tc>
      </w:tr>
      <w:tr w:rsidR="00352203" w:rsidRPr="00352203" w14:paraId="64841B1C" w14:textId="77777777" w:rsidTr="0002012A">
        <w:tc>
          <w:tcPr>
            <w:tcW w:w="1560" w:type="dxa"/>
          </w:tcPr>
          <w:p w14:paraId="571331F3" w14:textId="77777777" w:rsidR="00352203" w:rsidRPr="00352203" w:rsidRDefault="00352203" w:rsidP="0038231D">
            <w:pPr>
              <w:spacing w:line="360" w:lineRule="auto"/>
              <w:jc w:val="both"/>
              <w:rPr>
                <w:rFonts w:ascii="Times New Roman" w:hAnsi="Times New Roman" w:cs="Times New Roman"/>
                <w:color w:val="000000"/>
                <w:kern w:val="2"/>
                <w:sz w:val="24"/>
                <w:szCs w:val="24"/>
                <w:lang w:val="en-US"/>
                <w14:ligatures w14:val="standardContextual"/>
              </w:rPr>
            </w:pPr>
            <w:r w:rsidRPr="00352203">
              <w:rPr>
                <w:rFonts w:ascii="Times New Roman" w:hAnsi="Times New Roman" w:cs="Times New Roman"/>
                <w:color w:val="000000"/>
                <w:kern w:val="2"/>
                <w:sz w:val="24"/>
                <w:szCs w:val="24"/>
                <w:lang w:val="en-US"/>
                <w14:ligatures w14:val="standardContextual"/>
              </w:rPr>
              <w:t>Zn</w:t>
            </w:r>
          </w:p>
        </w:tc>
        <w:tc>
          <w:tcPr>
            <w:tcW w:w="1559" w:type="dxa"/>
          </w:tcPr>
          <w:p w14:paraId="1670128B" w14:textId="77777777" w:rsidR="00352203" w:rsidRPr="00352203" w:rsidRDefault="00352203" w:rsidP="0038231D">
            <w:pPr>
              <w:spacing w:line="360" w:lineRule="auto"/>
              <w:jc w:val="both"/>
              <w:rPr>
                <w:rFonts w:ascii="Times New Roman" w:hAnsi="Times New Roman" w:cs="Times New Roman"/>
                <w:color w:val="000000"/>
                <w:kern w:val="2"/>
                <w:sz w:val="24"/>
                <w:szCs w:val="24"/>
                <w:lang w:val="en-US"/>
                <w14:ligatures w14:val="standardContextual"/>
              </w:rPr>
            </w:pPr>
            <w:r w:rsidRPr="00352203">
              <w:rPr>
                <w:rFonts w:ascii="Times New Roman" w:hAnsi="Times New Roman" w:cs="Times New Roman"/>
                <w:color w:val="000000"/>
                <w:kern w:val="2"/>
                <w:sz w:val="24"/>
                <w:szCs w:val="24"/>
                <w:lang w:val="en-US"/>
                <w14:ligatures w14:val="standardContextual"/>
              </w:rPr>
              <w:t>217.0005</w:t>
            </w:r>
          </w:p>
        </w:tc>
      </w:tr>
      <w:tr w:rsidR="00352203" w:rsidRPr="00352203" w14:paraId="09655634" w14:textId="77777777" w:rsidTr="0002012A">
        <w:tc>
          <w:tcPr>
            <w:tcW w:w="1560" w:type="dxa"/>
          </w:tcPr>
          <w:p w14:paraId="3B10FF5A" w14:textId="77777777" w:rsidR="00352203" w:rsidRPr="00352203" w:rsidRDefault="00352203" w:rsidP="0038231D">
            <w:pPr>
              <w:spacing w:line="360" w:lineRule="auto"/>
              <w:jc w:val="both"/>
              <w:rPr>
                <w:rFonts w:ascii="Times New Roman" w:hAnsi="Times New Roman" w:cs="Times New Roman"/>
                <w:color w:val="000000"/>
                <w:kern w:val="2"/>
                <w:sz w:val="24"/>
                <w:szCs w:val="24"/>
                <w:lang w:val="en-US"/>
                <w14:ligatures w14:val="standardContextual"/>
              </w:rPr>
            </w:pPr>
            <w:r w:rsidRPr="00352203">
              <w:rPr>
                <w:rFonts w:ascii="Times New Roman" w:hAnsi="Times New Roman" w:cs="Times New Roman"/>
                <w:color w:val="000000"/>
                <w:kern w:val="2"/>
                <w:sz w:val="24"/>
                <w:szCs w:val="24"/>
                <w:lang w:val="en-US"/>
                <w14:ligatures w14:val="standardContextual"/>
              </w:rPr>
              <w:t>Cd</w:t>
            </w:r>
          </w:p>
        </w:tc>
        <w:tc>
          <w:tcPr>
            <w:tcW w:w="1559" w:type="dxa"/>
          </w:tcPr>
          <w:p w14:paraId="1620F50B" w14:textId="77777777" w:rsidR="00352203" w:rsidRPr="00352203" w:rsidRDefault="00352203" w:rsidP="0038231D">
            <w:pPr>
              <w:spacing w:line="360" w:lineRule="auto"/>
              <w:jc w:val="both"/>
              <w:rPr>
                <w:rFonts w:ascii="Times New Roman" w:hAnsi="Times New Roman" w:cs="Times New Roman"/>
                <w:color w:val="000000"/>
                <w:kern w:val="2"/>
                <w:sz w:val="24"/>
                <w:szCs w:val="24"/>
                <w:lang w:val="en-US"/>
                <w14:ligatures w14:val="standardContextual"/>
              </w:rPr>
            </w:pPr>
            <w:r w:rsidRPr="00352203">
              <w:rPr>
                <w:rFonts w:ascii="Times New Roman" w:hAnsi="Times New Roman" w:cs="Times New Roman"/>
                <w:color w:val="000000"/>
                <w:kern w:val="2"/>
                <w:sz w:val="24"/>
                <w:szCs w:val="24"/>
                <w:lang w:val="en-US"/>
                <w14:ligatures w14:val="standardContextual"/>
              </w:rPr>
              <w:t>357.8687</w:t>
            </w:r>
          </w:p>
        </w:tc>
      </w:tr>
      <w:tr w:rsidR="00352203" w:rsidRPr="00352203" w14:paraId="3593AC68" w14:textId="77777777" w:rsidTr="0002012A">
        <w:tc>
          <w:tcPr>
            <w:tcW w:w="1560" w:type="dxa"/>
          </w:tcPr>
          <w:p w14:paraId="0FA8CD01" w14:textId="77777777" w:rsidR="00352203" w:rsidRPr="00352203" w:rsidRDefault="00352203" w:rsidP="0038231D">
            <w:pPr>
              <w:spacing w:line="360" w:lineRule="auto"/>
              <w:jc w:val="both"/>
              <w:rPr>
                <w:rFonts w:ascii="Times New Roman" w:hAnsi="Times New Roman" w:cs="Times New Roman"/>
                <w:color w:val="000000"/>
                <w:kern w:val="2"/>
                <w:sz w:val="24"/>
                <w:szCs w:val="24"/>
                <w:lang w:val="en-US"/>
                <w14:ligatures w14:val="standardContextual"/>
              </w:rPr>
            </w:pPr>
            <w:r w:rsidRPr="00352203">
              <w:rPr>
                <w:rFonts w:ascii="Times New Roman" w:hAnsi="Times New Roman" w:cs="Times New Roman"/>
                <w:color w:val="000000"/>
                <w:kern w:val="2"/>
                <w:sz w:val="24"/>
                <w:szCs w:val="24"/>
                <w:lang w:val="en-US"/>
                <w14:ligatures w14:val="standardContextual"/>
              </w:rPr>
              <w:t>Cu</w:t>
            </w:r>
          </w:p>
        </w:tc>
        <w:tc>
          <w:tcPr>
            <w:tcW w:w="1559" w:type="dxa"/>
          </w:tcPr>
          <w:p w14:paraId="59CD571C" w14:textId="77777777" w:rsidR="00352203" w:rsidRPr="00352203" w:rsidRDefault="00352203" w:rsidP="0038231D">
            <w:pPr>
              <w:spacing w:line="360" w:lineRule="auto"/>
              <w:jc w:val="both"/>
              <w:rPr>
                <w:rFonts w:ascii="Times New Roman" w:hAnsi="Times New Roman" w:cs="Times New Roman"/>
                <w:color w:val="000000"/>
                <w:kern w:val="2"/>
                <w:sz w:val="24"/>
                <w:szCs w:val="24"/>
                <w:lang w:val="en-US"/>
                <w14:ligatures w14:val="standardContextual"/>
              </w:rPr>
            </w:pPr>
            <w:r w:rsidRPr="00352203">
              <w:rPr>
                <w:rFonts w:ascii="Times New Roman" w:hAnsi="Times New Roman" w:cs="Times New Roman"/>
                <w:color w:val="000000"/>
                <w:kern w:val="2"/>
                <w:sz w:val="24"/>
                <w:szCs w:val="24"/>
                <w:lang w:val="en-US"/>
                <w14:ligatures w14:val="standardContextual"/>
              </w:rPr>
              <w:t>324.7540</w:t>
            </w:r>
          </w:p>
        </w:tc>
      </w:tr>
      <w:tr w:rsidR="00352203" w:rsidRPr="00352203" w14:paraId="75796554" w14:textId="77777777" w:rsidTr="0002012A">
        <w:tc>
          <w:tcPr>
            <w:tcW w:w="1560" w:type="dxa"/>
          </w:tcPr>
          <w:p w14:paraId="7D49E672" w14:textId="77777777" w:rsidR="00352203" w:rsidRPr="00352203" w:rsidRDefault="00352203" w:rsidP="0038231D">
            <w:pPr>
              <w:spacing w:line="360" w:lineRule="auto"/>
              <w:jc w:val="both"/>
              <w:rPr>
                <w:rFonts w:ascii="Times New Roman" w:hAnsi="Times New Roman" w:cs="Times New Roman"/>
                <w:color w:val="000000"/>
                <w:kern w:val="2"/>
                <w:sz w:val="24"/>
                <w:szCs w:val="24"/>
                <w:lang w:val="en-US"/>
                <w14:ligatures w14:val="standardContextual"/>
              </w:rPr>
            </w:pPr>
            <w:r w:rsidRPr="00352203">
              <w:rPr>
                <w:rFonts w:ascii="Times New Roman" w:hAnsi="Times New Roman" w:cs="Times New Roman"/>
                <w:color w:val="000000"/>
                <w:kern w:val="2"/>
                <w:sz w:val="24"/>
                <w:szCs w:val="24"/>
                <w:lang w:val="en-US"/>
                <w14:ligatures w14:val="standardContextual"/>
              </w:rPr>
              <w:t>Mn</w:t>
            </w:r>
          </w:p>
        </w:tc>
        <w:tc>
          <w:tcPr>
            <w:tcW w:w="1559" w:type="dxa"/>
          </w:tcPr>
          <w:p w14:paraId="171AAD5C" w14:textId="77777777" w:rsidR="00352203" w:rsidRPr="00352203" w:rsidRDefault="00352203" w:rsidP="0038231D">
            <w:pPr>
              <w:spacing w:line="360" w:lineRule="auto"/>
              <w:jc w:val="both"/>
              <w:rPr>
                <w:rFonts w:ascii="Times New Roman" w:hAnsi="Times New Roman" w:cs="Times New Roman"/>
                <w:color w:val="000000"/>
                <w:kern w:val="2"/>
                <w:sz w:val="24"/>
                <w:szCs w:val="24"/>
                <w:lang w:val="en-US"/>
                <w14:ligatures w14:val="standardContextual"/>
              </w:rPr>
            </w:pPr>
            <w:r w:rsidRPr="00352203">
              <w:rPr>
                <w:rFonts w:ascii="Times New Roman" w:hAnsi="Times New Roman" w:cs="Times New Roman"/>
                <w:color w:val="000000"/>
                <w:kern w:val="2"/>
                <w:sz w:val="24"/>
                <w:szCs w:val="24"/>
                <w:lang w:val="en-US"/>
                <w14:ligatures w14:val="standardContextual"/>
              </w:rPr>
              <w:t>232.0030</w:t>
            </w:r>
          </w:p>
        </w:tc>
      </w:tr>
      <w:tr w:rsidR="00352203" w:rsidRPr="00352203" w14:paraId="28A222DD" w14:textId="77777777" w:rsidTr="0002012A">
        <w:tc>
          <w:tcPr>
            <w:tcW w:w="1560" w:type="dxa"/>
          </w:tcPr>
          <w:p w14:paraId="4D314F96" w14:textId="77777777" w:rsidR="00352203" w:rsidRPr="00352203" w:rsidRDefault="00352203" w:rsidP="0038231D">
            <w:pPr>
              <w:spacing w:line="360" w:lineRule="auto"/>
              <w:jc w:val="both"/>
              <w:rPr>
                <w:rFonts w:ascii="Times New Roman" w:hAnsi="Times New Roman" w:cs="Times New Roman"/>
                <w:color w:val="000000"/>
                <w:kern w:val="2"/>
                <w:sz w:val="24"/>
                <w:szCs w:val="24"/>
                <w:lang w:val="en-US"/>
                <w14:ligatures w14:val="standardContextual"/>
              </w:rPr>
            </w:pPr>
            <w:r w:rsidRPr="00352203">
              <w:rPr>
                <w:rFonts w:ascii="Times New Roman" w:hAnsi="Times New Roman" w:cs="Times New Roman"/>
                <w:color w:val="000000"/>
                <w:kern w:val="2"/>
                <w:sz w:val="24"/>
                <w:szCs w:val="24"/>
                <w:lang w:val="en-US"/>
                <w14:ligatures w14:val="standardContextual"/>
              </w:rPr>
              <w:t>Pb</w:t>
            </w:r>
          </w:p>
        </w:tc>
        <w:tc>
          <w:tcPr>
            <w:tcW w:w="1559" w:type="dxa"/>
          </w:tcPr>
          <w:p w14:paraId="77C701EF" w14:textId="77777777" w:rsidR="00352203" w:rsidRPr="00352203" w:rsidRDefault="00352203" w:rsidP="0038231D">
            <w:pPr>
              <w:spacing w:line="360" w:lineRule="auto"/>
              <w:jc w:val="both"/>
              <w:rPr>
                <w:rFonts w:ascii="Times New Roman" w:hAnsi="Times New Roman" w:cs="Times New Roman"/>
                <w:color w:val="000000"/>
                <w:kern w:val="2"/>
                <w:sz w:val="24"/>
                <w:szCs w:val="24"/>
                <w:lang w:val="en-US"/>
                <w14:ligatures w14:val="standardContextual"/>
              </w:rPr>
            </w:pPr>
            <w:r w:rsidRPr="00352203">
              <w:rPr>
                <w:rFonts w:ascii="Times New Roman" w:hAnsi="Times New Roman" w:cs="Times New Roman"/>
                <w:color w:val="000000"/>
                <w:kern w:val="2"/>
                <w:sz w:val="24"/>
                <w:szCs w:val="24"/>
                <w:lang w:val="en-US"/>
                <w14:ligatures w14:val="standardContextual"/>
              </w:rPr>
              <w:t>217.0005</w:t>
            </w:r>
          </w:p>
        </w:tc>
      </w:tr>
    </w:tbl>
    <w:p w14:paraId="6F2047A2" w14:textId="77777777" w:rsidR="00352203" w:rsidRPr="000420D9" w:rsidRDefault="00352203"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p>
    <w:p w14:paraId="4468F967" w14:textId="77777777" w:rsidR="000420D9" w:rsidRPr="000420D9" w:rsidRDefault="000420D9" w:rsidP="0038231D">
      <w:pPr>
        <w:spacing w:before="100" w:beforeAutospacing="1" w:after="100" w:afterAutospacing="1" w:line="240" w:lineRule="auto"/>
        <w:jc w:val="both"/>
        <w:outlineLvl w:val="2"/>
        <w:rPr>
          <w:rFonts w:ascii="Times New Roman" w:eastAsia="Times New Roman" w:hAnsi="Times New Roman" w:cs="Times New Roman"/>
          <w:b/>
          <w:bCs/>
          <w:sz w:val="24"/>
          <w:szCs w:val="24"/>
          <w:lang w:eastAsia="en-GB"/>
        </w:rPr>
      </w:pPr>
      <w:r w:rsidRPr="000420D9">
        <w:rPr>
          <w:rFonts w:ascii="Times New Roman" w:eastAsia="Times New Roman" w:hAnsi="Times New Roman" w:cs="Times New Roman"/>
          <w:b/>
          <w:bCs/>
          <w:sz w:val="24"/>
          <w:szCs w:val="24"/>
          <w:lang w:eastAsia="en-GB"/>
        </w:rPr>
        <w:t>3.7 Data Analysis and Statistical Treatment</w:t>
      </w:r>
    </w:p>
    <w:p w14:paraId="0A34BF76" w14:textId="77777777" w:rsidR="000420D9" w:rsidRPr="000420D9" w:rsidRDefault="000420D9"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sz w:val="24"/>
          <w:szCs w:val="24"/>
          <w:lang w:eastAsia="en-GB"/>
        </w:rPr>
        <w:t>All measurements were performed in triplicate to ensure reliability and allow statistical evaluation of results. The triplicate values for each sample were examined for outliers using appropriate statistical tests, though in general, values that differed from the mean by more than three standard deviations were flagged for investigation.</w:t>
      </w:r>
    </w:p>
    <w:p w14:paraId="24A1B995" w14:textId="77777777" w:rsidR="000420D9" w:rsidRPr="000420D9" w:rsidRDefault="000420D9"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sz w:val="24"/>
          <w:szCs w:val="24"/>
          <w:lang w:eastAsia="en-GB"/>
        </w:rPr>
        <w:t xml:space="preserve">Results for heavy metal concentrations were expressed as mean ± standard deviation, calculated using Microsoft Excel. The standard deviation provides a </w:t>
      </w:r>
      <w:r w:rsidRPr="000420D9">
        <w:rPr>
          <w:rFonts w:ascii="Times New Roman" w:eastAsia="Times New Roman" w:hAnsi="Times New Roman" w:cs="Times New Roman"/>
          <w:sz w:val="24"/>
          <w:szCs w:val="24"/>
          <w:lang w:eastAsia="en-GB"/>
        </w:rPr>
        <w:lastRenderedPageBreak/>
        <w:t>measure of the precision of the measurements, with smaller values indicating better reproducibility. Data were organized in tables showing concentrations for each metal in each variety from each sampling location.</w:t>
      </w:r>
    </w:p>
    <w:p w14:paraId="6B5946F1" w14:textId="77777777" w:rsidR="000420D9" w:rsidRPr="000420D9" w:rsidRDefault="000420D9"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sz w:val="24"/>
          <w:szCs w:val="24"/>
          <w:lang w:eastAsia="en-GB"/>
        </w:rPr>
        <w:t>Graphical presentations were prepared using Excel software to facilitate visual comparison of metal levels across varieties and against regulatory limits. Bar charts with error bars representing standard deviations were created to show mean concentrations. These visualizations help identify patterns and differences that may not be immediately apparent from tabular data alone.</w:t>
      </w:r>
    </w:p>
    <w:p w14:paraId="5B038622" w14:textId="77777777" w:rsidR="000420D9" w:rsidRPr="000420D9" w:rsidRDefault="000420D9"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sz w:val="24"/>
          <w:szCs w:val="24"/>
          <w:lang w:eastAsia="en-GB"/>
        </w:rPr>
        <w:t>Comparison with regulatory limits established by the World Health Organization, Food and Agriculture Organization, and Kenya Bureau of Standards allowed assessment of food safety status. Samples with concentrations exceeding maximum permissible limits were flagged as potential health risks.</w:t>
      </w:r>
    </w:p>
    <w:p w14:paraId="313DA67C" w14:textId="77777777" w:rsidR="000420D9" w:rsidRPr="000420D9" w:rsidRDefault="000420D9" w:rsidP="0038231D">
      <w:pPr>
        <w:spacing w:after="0" w:line="240" w:lineRule="auto"/>
        <w:jc w:val="both"/>
        <w:rPr>
          <w:rFonts w:ascii="Times New Roman" w:eastAsia="Times New Roman" w:hAnsi="Times New Roman" w:cs="Times New Roman"/>
          <w:sz w:val="24"/>
          <w:szCs w:val="24"/>
          <w:lang w:eastAsia="en-GB"/>
        </w:rPr>
      </w:pPr>
    </w:p>
    <w:p w14:paraId="2528BE9C" w14:textId="77777777" w:rsidR="000420D9" w:rsidRPr="000420D9" w:rsidRDefault="000420D9" w:rsidP="0038231D">
      <w:pPr>
        <w:spacing w:before="100" w:beforeAutospacing="1" w:after="100" w:afterAutospacing="1" w:line="240" w:lineRule="auto"/>
        <w:jc w:val="both"/>
        <w:outlineLvl w:val="1"/>
        <w:rPr>
          <w:rFonts w:ascii="Times New Roman" w:eastAsia="Times New Roman" w:hAnsi="Times New Roman" w:cs="Times New Roman"/>
          <w:b/>
          <w:bCs/>
          <w:sz w:val="24"/>
          <w:szCs w:val="24"/>
          <w:lang w:eastAsia="en-GB"/>
        </w:rPr>
      </w:pPr>
      <w:r w:rsidRPr="000420D9">
        <w:rPr>
          <w:rFonts w:ascii="Times New Roman" w:eastAsia="Times New Roman" w:hAnsi="Times New Roman" w:cs="Times New Roman"/>
          <w:b/>
          <w:bCs/>
          <w:sz w:val="24"/>
          <w:szCs w:val="24"/>
          <w:lang w:eastAsia="en-GB"/>
        </w:rPr>
        <w:t>4.0 RESULTS AND DISCUSSION</w:t>
      </w:r>
    </w:p>
    <w:p w14:paraId="27253F2A" w14:textId="77777777" w:rsidR="000420D9" w:rsidRPr="000420D9" w:rsidRDefault="000420D9" w:rsidP="0038231D">
      <w:pPr>
        <w:spacing w:before="100" w:beforeAutospacing="1" w:after="100" w:afterAutospacing="1" w:line="240" w:lineRule="auto"/>
        <w:jc w:val="both"/>
        <w:outlineLvl w:val="2"/>
        <w:rPr>
          <w:rFonts w:ascii="Times New Roman" w:eastAsia="Times New Roman" w:hAnsi="Times New Roman" w:cs="Times New Roman"/>
          <w:b/>
          <w:bCs/>
          <w:sz w:val="24"/>
          <w:szCs w:val="24"/>
          <w:lang w:eastAsia="en-GB"/>
        </w:rPr>
      </w:pPr>
      <w:r w:rsidRPr="000420D9">
        <w:rPr>
          <w:rFonts w:ascii="Times New Roman" w:eastAsia="Times New Roman" w:hAnsi="Times New Roman" w:cs="Times New Roman"/>
          <w:b/>
          <w:bCs/>
          <w:sz w:val="24"/>
          <w:szCs w:val="24"/>
          <w:lang w:eastAsia="en-GB"/>
        </w:rPr>
        <w:t>4.1 Calibration Curves and Analytical Performance</w:t>
      </w:r>
    </w:p>
    <w:p w14:paraId="5AF4F597" w14:textId="77777777" w:rsidR="000420D9" w:rsidRPr="000420D9" w:rsidRDefault="000420D9"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sz w:val="24"/>
          <w:szCs w:val="24"/>
          <w:lang w:eastAsia="en-GB"/>
        </w:rPr>
        <w:t>The reliability and accuracy of heavy metal determinations by atomic absorption spectroscopy depend fundamentally on the quality of calibration curves generated from standard solutions. In this study, calibration curves were prepared for each of the five target metals using freshly prepared standard solutions at multiple concentration levels. The calibration data, regression equations, and correlation coefficients provide important information about the analytical method's performance and the relationship between absorbance and concentration.</w:t>
      </w:r>
    </w:p>
    <w:p w14:paraId="027E78B4" w14:textId="77777777" w:rsidR="00352203" w:rsidRDefault="00352203" w:rsidP="0038231D">
      <w:pPr>
        <w:spacing w:before="100" w:beforeAutospacing="1" w:after="100" w:afterAutospacing="1" w:line="240" w:lineRule="auto"/>
        <w:jc w:val="both"/>
        <w:rPr>
          <w:rFonts w:ascii="Times New Roman" w:eastAsia="Times New Roman" w:hAnsi="Times New Roman" w:cs="Times New Roman"/>
          <w:b/>
          <w:bCs/>
          <w:sz w:val="24"/>
          <w:szCs w:val="24"/>
          <w:lang w:eastAsia="en-GB"/>
        </w:rPr>
      </w:pPr>
      <w:r>
        <w:rPr>
          <w:rFonts w:ascii="Times New Roman" w:hAnsi="Times New Roman" w:cs="Times New Roman"/>
          <w:noProof/>
          <w:lang w:eastAsia="en-GB"/>
        </w:rPr>
        <w:drawing>
          <wp:inline distT="0" distB="0" distL="0" distR="0" wp14:anchorId="692085D7" wp14:editId="1FBB8AA9">
            <wp:extent cx="2562225" cy="1847850"/>
            <wp:effectExtent l="0" t="0" r="9525" b="0"/>
            <wp:docPr id="1375180113"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48E93282" w14:textId="77777777" w:rsidR="000420D9" w:rsidRPr="000420D9" w:rsidRDefault="000420D9"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b/>
          <w:bCs/>
          <w:sz w:val="24"/>
          <w:szCs w:val="24"/>
          <w:lang w:eastAsia="en-GB"/>
        </w:rPr>
        <w:t>[Fig</w:t>
      </w:r>
      <w:r w:rsidR="00352203">
        <w:rPr>
          <w:rFonts w:ascii="Times New Roman" w:eastAsia="Times New Roman" w:hAnsi="Times New Roman" w:cs="Times New Roman"/>
          <w:b/>
          <w:bCs/>
          <w:sz w:val="24"/>
          <w:szCs w:val="24"/>
          <w:lang w:eastAsia="en-GB"/>
        </w:rPr>
        <w:t xml:space="preserve">ure 4.1 </w:t>
      </w:r>
      <w:r w:rsidRPr="00CD25A2">
        <w:rPr>
          <w:rFonts w:ascii="Times New Roman" w:eastAsia="Times New Roman" w:hAnsi="Times New Roman" w:cs="Times New Roman"/>
          <w:bCs/>
          <w:sz w:val="24"/>
          <w:szCs w:val="24"/>
          <w:lang w:eastAsia="en-GB"/>
        </w:rPr>
        <w:t>Zinc metal ion calibration curve]</w:t>
      </w:r>
    </w:p>
    <w:p w14:paraId="35438A02" w14:textId="77777777" w:rsidR="000420D9" w:rsidRPr="000420D9" w:rsidRDefault="000420D9"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sz w:val="24"/>
          <w:szCs w:val="24"/>
          <w:lang w:eastAsia="en-GB"/>
        </w:rPr>
        <w:t>The calibration curve for zinc demonstrated excellent linearity across the concentration range of 0-10 ppm. The data points aligned very closely with the regression line, and the coefficient of determination (R²) was 1.0000, indicating a perfect linear relationship between concentration and absorbance. The regression equation obtained was y = 0.0183x + 0.0018, where y represents absorbance and x represents concentration in ppm. The positive y-intercept of 0.0018 is very small and close to zero, which is desirable as it suggests minimal systematic error or background absorbance. The slope of 0.0183 indicates good sensitivity for zinc measurement under the conditions employed. This excellent calibration performance for zinc gave confidence in the accuracy of zinc determinations in the maize samples.</w:t>
      </w:r>
    </w:p>
    <w:p w14:paraId="7B1244F7" w14:textId="77777777" w:rsidR="00352203" w:rsidRDefault="00352203" w:rsidP="0038231D">
      <w:pPr>
        <w:spacing w:before="100" w:beforeAutospacing="1" w:after="100" w:afterAutospacing="1" w:line="240" w:lineRule="auto"/>
        <w:jc w:val="both"/>
        <w:rPr>
          <w:rFonts w:ascii="Times New Roman" w:eastAsia="Times New Roman" w:hAnsi="Times New Roman" w:cs="Times New Roman"/>
          <w:b/>
          <w:bCs/>
          <w:sz w:val="24"/>
          <w:szCs w:val="24"/>
          <w:lang w:eastAsia="en-GB"/>
        </w:rPr>
      </w:pPr>
      <w:r>
        <w:rPr>
          <w:rFonts w:ascii="Times New Roman" w:hAnsi="Times New Roman" w:cs="Times New Roman"/>
          <w:noProof/>
          <w:sz w:val="24"/>
          <w:szCs w:val="24"/>
          <w:lang w:eastAsia="en-GB"/>
        </w:rPr>
        <w:drawing>
          <wp:inline distT="0" distB="0" distL="0" distR="0" wp14:anchorId="78C32B0A" wp14:editId="725720EE">
            <wp:extent cx="2476500" cy="2409825"/>
            <wp:effectExtent l="0" t="0" r="0" b="9525"/>
            <wp:docPr id="652761775"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06ECBA8F" w14:textId="77777777" w:rsidR="000420D9" w:rsidRPr="000420D9" w:rsidRDefault="000420D9"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b/>
          <w:bCs/>
          <w:sz w:val="24"/>
          <w:szCs w:val="24"/>
          <w:lang w:eastAsia="en-GB"/>
        </w:rPr>
        <w:lastRenderedPageBreak/>
        <w:t>[Fig</w:t>
      </w:r>
      <w:r w:rsidR="00352203">
        <w:rPr>
          <w:rFonts w:ascii="Times New Roman" w:eastAsia="Times New Roman" w:hAnsi="Times New Roman" w:cs="Times New Roman"/>
          <w:b/>
          <w:bCs/>
          <w:sz w:val="24"/>
          <w:szCs w:val="24"/>
          <w:lang w:eastAsia="en-GB"/>
        </w:rPr>
        <w:t xml:space="preserve">ure 4.2 </w:t>
      </w:r>
      <w:r w:rsidRPr="000420D9">
        <w:rPr>
          <w:rFonts w:ascii="Times New Roman" w:eastAsia="Times New Roman" w:hAnsi="Times New Roman" w:cs="Times New Roman"/>
          <w:b/>
          <w:bCs/>
          <w:sz w:val="24"/>
          <w:szCs w:val="24"/>
          <w:lang w:eastAsia="en-GB"/>
        </w:rPr>
        <w:t>Cadmium metal ion calibration curve]</w:t>
      </w:r>
    </w:p>
    <w:p w14:paraId="42BDB91F" w14:textId="77777777" w:rsidR="000420D9" w:rsidRPr="000420D9" w:rsidRDefault="000420D9"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sz w:val="24"/>
          <w:szCs w:val="24"/>
          <w:lang w:eastAsia="en-GB"/>
        </w:rPr>
        <w:t>The cadmium calibration curve, spanning concentrations from 0 to 20 ppm, showed strong linearity though not quite as perfect as zinc. The correlation coefficient was R² = 0.9913, still indicating an excellent fit between the data and the linear model. The regression equation was y = 0.0015x - 0.0026, with a slope of 0.0015 and a small negative intercept. While a negative intercept is not physically meaningful (absorbance cannot be negative), small negative values can arise from instrumental baseline variations and are acceptable when the magnitude is small relative to sample absorbances. The standard error of the regression was 0.000186, a very low value indicating minimal scatter of data points around the regression line and high precision in the cadmium measurements.</w:t>
      </w:r>
    </w:p>
    <w:p w14:paraId="0373A472" w14:textId="77777777" w:rsidR="00352203" w:rsidRDefault="00352203" w:rsidP="0038231D">
      <w:pPr>
        <w:spacing w:before="100" w:beforeAutospacing="1" w:after="100" w:afterAutospacing="1" w:line="240" w:lineRule="auto"/>
        <w:jc w:val="both"/>
        <w:rPr>
          <w:rFonts w:ascii="Times New Roman" w:eastAsia="Times New Roman" w:hAnsi="Times New Roman" w:cs="Times New Roman"/>
          <w:b/>
          <w:bCs/>
          <w:sz w:val="24"/>
          <w:szCs w:val="24"/>
          <w:lang w:eastAsia="en-GB"/>
        </w:rPr>
      </w:pPr>
      <w:r>
        <w:rPr>
          <w:rFonts w:ascii="Times New Roman" w:hAnsi="Times New Roman" w:cs="Times New Roman"/>
          <w:noProof/>
          <w:lang w:eastAsia="en-GB"/>
        </w:rPr>
        <w:drawing>
          <wp:inline distT="0" distB="0" distL="0" distR="0" wp14:anchorId="139745DF" wp14:editId="2D6035C8">
            <wp:extent cx="2619375" cy="2133600"/>
            <wp:effectExtent l="0" t="0" r="9525" b="0"/>
            <wp:docPr id="227898196"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06785626" w14:textId="77777777" w:rsidR="000420D9" w:rsidRPr="000420D9" w:rsidRDefault="00352203"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r>
        <w:rPr>
          <w:rFonts w:ascii="Times New Roman" w:eastAsia="Times New Roman" w:hAnsi="Times New Roman" w:cs="Times New Roman"/>
          <w:b/>
          <w:bCs/>
          <w:sz w:val="24"/>
          <w:szCs w:val="24"/>
          <w:lang w:eastAsia="en-GB"/>
        </w:rPr>
        <w:t xml:space="preserve">[Figure 4.3 </w:t>
      </w:r>
      <w:r w:rsidR="000420D9" w:rsidRPr="000420D9">
        <w:rPr>
          <w:rFonts w:ascii="Times New Roman" w:eastAsia="Times New Roman" w:hAnsi="Times New Roman" w:cs="Times New Roman"/>
          <w:b/>
          <w:bCs/>
          <w:sz w:val="24"/>
          <w:szCs w:val="24"/>
          <w:lang w:eastAsia="en-GB"/>
        </w:rPr>
        <w:t>Copper metal ion calibration curve]</w:t>
      </w:r>
    </w:p>
    <w:p w14:paraId="518DB423" w14:textId="77777777" w:rsidR="000420D9" w:rsidRPr="000420D9" w:rsidRDefault="000420D9"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sz w:val="24"/>
          <w:szCs w:val="24"/>
          <w:lang w:eastAsia="en-GB"/>
        </w:rPr>
        <w:t xml:space="preserve">The copper calibration curve demonstrated outstanding performance with R² = 1.0000, indicating perfect linearity. The regression equation was y = 0.0065x + 0.0034. The slope of 0.0065 is higher than that for cadmium, reflecting greater atomic absorption sensitivity for copper at the selected wavelength and under the flame conditions used. The very small standard error of 1.6 × 10⁻⁷ demonstrates exceptional precision and reproducibility in copper </w:t>
      </w:r>
      <w:r w:rsidRPr="000420D9">
        <w:rPr>
          <w:rFonts w:ascii="Times New Roman" w:eastAsia="Times New Roman" w:hAnsi="Times New Roman" w:cs="Times New Roman"/>
          <w:sz w:val="24"/>
          <w:szCs w:val="24"/>
          <w:lang w:eastAsia="en-GB"/>
        </w:rPr>
        <w:t>measurements. The near-zero intercept and perfect correlation coefficient confirm that the calibration met all requirements for accurate quantitative analysis.</w:t>
      </w:r>
    </w:p>
    <w:p w14:paraId="444495BB" w14:textId="77777777" w:rsidR="00352203" w:rsidRDefault="00352203" w:rsidP="0038231D">
      <w:pPr>
        <w:spacing w:before="100" w:beforeAutospacing="1" w:after="100" w:afterAutospacing="1" w:line="240" w:lineRule="auto"/>
        <w:jc w:val="both"/>
        <w:rPr>
          <w:rFonts w:ascii="Times New Roman" w:eastAsia="Times New Roman" w:hAnsi="Times New Roman" w:cs="Times New Roman"/>
          <w:b/>
          <w:bCs/>
          <w:sz w:val="24"/>
          <w:szCs w:val="24"/>
          <w:lang w:eastAsia="en-GB"/>
        </w:rPr>
      </w:pPr>
      <w:r>
        <w:rPr>
          <w:rFonts w:ascii="Times New Roman" w:hAnsi="Times New Roman" w:cs="Times New Roman"/>
          <w:noProof/>
          <w:lang w:eastAsia="en-GB"/>
        </w:rPr>
        <w:drawing>
          <wp:inline distT="0" distB="0" distL="0" distR="0" wp14:anchorId="5EFC1538" wp14:editId="07C6DDD6">
            <wp:extent cx="2667000" cy="2914650"/>
            <wp:effectExtent l="0" t="0" r="0" b="0"/>
            <wp:docPr id="129439561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1630F9CF" w14:textId="77777777" w:rsidR="000420D9" w:rsidRPr="000420D9" w:rsidRDefault="000420D9"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b/>
          <w:bCs/>
          <w:sz w:val="24"/>
          <w:szCs w:val="24"/>
          <w:lang w:eastAsia="en-GB"/>
        </w:rPr>
        <w:t>[Fig</w:t>
      </w:r>
      <w:r w:rsidR="00352203">
        <w:rPr>
          <w:rFonts w:ascii="Times New Roman" w:eastAsia="Times New Roman" w:hAnsi="Times New Roman" w:cs="Times New Roman"/>
          <w:b/>
          <w:bCs/>
          <w:sz w:val="24"/>
          <w:szCs w:val="24"/>
          <w:lang w:eastAsia="en-GB"/>
        </w:rPr>
        <w:t xml:space="preserve">ure 4.4 </w:t>
      </w:r>
      <w:r w:rsidRPr="000420D9">
        <w:rPr>
          <w:rFonts w:ascii="Times New Roman" w:eastAsia="Times New Roman" w:hAnsi="Times New Roman" w:cs="Times New Roman"/>
          <w:b/>
          <w:bCs/>
          <w:sz w:val="24"/>
          <w:szCs w:val="24"/>
          <w:lang w:eastAsia="en-GB"/>
        </w:rPr>
        <w:t>Manganese metal ion calibration curve]</w:t>
      </w:r>
    </w:p>
    <w:p w14:paraId="6FEC29A0" w14:textId="77777777" w:rsidR="000420D9" w:rsidRPr="000420D9" w:rsidRDefault="000420D9"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sz w:val="24"/>
          <w:szCs w:val="24"/>
          <w:lang w:eastAsia="en-GB"/>
        </w:rPr>
        <w:t xml:space="preserve">The manganese calibration curve showed good but somewhat less ideal performance compared to zinc and copper. The R² value was 0.9761, indicating a strong but not perfect linear relationship. Visual inspection of the calibration graph revealed that the regression line passed through only some of the data points, with slight deviations observed at certain concentrations. The regression equation was y = 0.0006x + 0.0022. The lower slope value of 0.0006 compared to other metals suggests that manganese exhibits lower atomic absorption sensitivity under the analytical conditions employed. The standard error was 0.0015, which while relatively small, is higher than those for zinc and copper. This greater scatter in the manganese calibration may reflect matrix effects, spectral interferences, or suboptimal flame conditions for manganese atomization. Despite these minor limitations, the correlation coefficient above 0.97 is generally considered </w:t>
      </w:r>
      <w:r w:rsidRPr="000420D9">
        <w:rPr>
          <w:rFonts w:ascii="Times New Roman" w:eastAsia="Times New Roman" w:hAnsi="Times New Roman" w:cs="Times New Roman"/>
          <w:sz w:val="24"/>
          <w:szCs w:val="24"/>
          <w:lang w:eastAsia="en-GB"/>
        </w:rPr>
        <w:lastRenderedPageBreak/>
        <w:t>acceptable for quantitative analysis, though the results should be interpreted with appropriate consideration of the somewhat greater uncertainty.</w:t>
      </w:r>
    </w:p>
    <w:p w14:paraId="5205DE81" w14:textId="77777777" w:rsidR="00352203" w:rsidRDefault="00352203" w:rsidP="0038231D">
      <w:pPr>
        <w:spacing w:before="100" w:beforeAutospacing="1" w:after="100" w:afterAutospacing="1" w:line="240" w:lineRule="auto"/>
        <w:jc w:val="both"/>
        <w:rPr>
          <w:rFonts w:ascii="Times New Roman" w:eastAsia="Times New Roman" w:hAnsi="Times New Roman" w:cs="Times New Roman"/>
          <w:b/>
          <w:bCs/>
          <w:sz w:val="24"/>
          <w:szCs w:val="24"/>
          <w:lang w:eastAsia="en-GB"/>
        </w:rPr>
      </w:pPr>
      <w:r>
        <w:rPr>
          <w:rFonts w:ascii="Times New Roman" w:hAnsi="Times New Roman" w:cs="Times New Roman"/>
          <w:noProof/>
          <w:lang w:eastAsia="en-GB"/>
        </w:rPr>
        <w:drawing>
          <wp:inline distT="0" distB="0" distL="0" distR="0" wp14:anchorId="73392212" wp14:editId="71DD09BE">
            <wp:extent cx="2609850" cy="2343150"/>
            <wp:effectExtent l="0" t="0" r="0" b="0"/>
            <wp:docPr id="187565896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4635CC9C" w14:textId="77777777" w:rsidR="000420D9" w:rsidRPr="000420D9" w:rsidRDefault="000420D9"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b/>
          <w:bCs/>
          <w:sz w:val="24"/>
          <w:szCs w:val="24"/>
          <w:lang w:eastAsia="en-GB"/>
        </w:rPr>
        <w:t>[Fig</w:t>
      </w:r>
      <w:r w:rsidR="00352203">
        <w:rPr>
          <w:rFonts w:ascii="Times New Roman" w:eastAsia="Times New Roman" w:hAnsi="Times New Roman" w:cs="Times New Roman"/>
          <w:b/>
          <w:bCs/>
          <w:sz w:val="24"/>
          <w:szCs w:val="24"/>
          <w:lang w:eastAsia="en-GB"/>
        </w:rPr>
        <w:t xml:space="preserve">ure 4.5 </w:t>
      </w:r>
      <w:r w:rsidRPr="00CD25A2">
        <w:rPr>
          <w:rFonts w:ascii="Times New Roman" w:eastAsia="Times New Roman" w:hAnsi="Times New Roman" w:cs="Times New Roman"/>
          <w:bCs/>
          <w:sz w:val="24"/>
          <w:szCs w:val="24"/>
          <w:lang w:eastAsia="en-GB"/>
        </w:rPr>
        <w:t>Lead metal ion calibration curve]</w:t>
      </w:r>
    </w:p>
    <w:p w14:paraId="18F75D08" w14:textId="77777777" w:rsidR="000420D9" w:rsidRPr="000420D9" w:rsidRDefault="000420D9"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sz w:val="24"/>
          <w:szCs w:val="24"/>
          <w:lang w:eastAsia="en-GB"/>
        </w:rPr>
        <w:t>The lead calibration curve presented the most challenging analytical performance among the five metals studied. The R² value was 0.9884, indicating good but imperfect linearity. The regression equation was y = 0.0019x + 0.0005. Visual examination of the calibration plot showed that the regression line passed through very few of the actual data points, suggesting either random scatter in the measurements or possible systematic deviations from linearity at certain concentration levels. Lead analysis by flame AAS can be challenging due to the relatively low volatility of many lead compounds and incomplete atomization in air-acetylene flames. For more sensitive lead determinations, graphite furnace AAS would typically be preferred. However, given the relatively high lead concentrations detected in the samples, flame AAS proved adequate despite its limitations. The correlation coefficient above 0.98 is generally considered acceptable, though the lead results should be viewed with recognition of the somewhat greater measurement uncertainty compared to zinc or copper.</w:t>
      </w:r>
    </w:p>
    <w:p w14:paraId="64B8C602" w14:textId="77777777" w:rsidR="000420D9" w:rsidRPr="000420D9" w:rsidRDefault="000420D9"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sz w:val="24"/>
          <w:szCs w:val="24"/>
          <w:lang w:eastAsia="en-GB"/>
        </w:rPr>
        <w:t>The limit of detection (LOD) values, representing the lowest concentration that can be reliably distinguished from a blank, were determined for each metal. For zinc, the LOD was 0.05 mg/g, for cadmium 0.05 mg/g, for copper 0.01 mg/g, for manganese 0.02 mg/g, and for lead 0.01 mg/g. These detection limits were well below the concentrations found in the maize samples, ensuring that all measurements were well above the quantification threshold and could be reported with confidence.</w:t>
      </w:r>
    </w:p>
    <w:p w14:paraId="1F912D38" w14:textId="77777777" w:rsidR="000420D9" w:rsidRPr="000420D9" w:rsidRDefault="000420D9" w:rsidP="0038231D">
      <w:pPr>
        <w:spacing w:before="100" w:beforeAutospacing="1" w:after="100" w:afterAutospacing="1" w:line="240" w:lineRule="auto"/>
        <w:jc w:val="both"/>
        <w:outlineLvl w:val="2"/>
        <w:rPr>
          <w:rFonts w:ascii="Times New Roman" w:eastAsia="Times New Roman" w:hAnsi="Times New Roman" w:cs="Times New Roman"/>
          <w:b/>
          <w:bCs/>
          <w:sz w:val="24"/>
          <w:szCs w:val="24"/>
          <w:lang w:eastAsia="en-GB"/>
        </w:rPr>
      </w:pPr>
      <w:r w:rsidRPr="000420D9">
        <w:rPr>
          <w:rFonts w:ascii="Times New Roman" w:eastAsia="Times New Roman" w:hAnsi="Times New Roman" w:cs="Times New Roman"/>
          <w:b/>
          <w:bCs/>
          <w:sz w:val="24"/>
          <w:szCs w:val="24"/>
          <w:lang w:eastAsia="en-GB"/>
        </w:rPr>
        <w:t>4.2 Heavy Metal Concentrations in Maize Varieties</w:t>
      </w:r>
    </w:p>
    <w:p w14:paraId="1F8085CD" w14:textId="77777777" w:rsidR="000420D9" w:rsidRDefault="000420D9"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sz w:val="24"/>
          <w:szCs w:val="24"/>
          <w:lang w:eastAsia="en-GB"/>
        </w:rPr>
        <w:t xml:space="preserve">The analysis of heavy metals in the three maize varieties from </w:t>
      </w:r>
      <w:proofErr w:type="spellStart"/>
      <w:r w:rsidRPr="000420D9">
        <w:rPr>
          <w:rFonts w:ascii="Times New Roman" w:eastAsia="Times New Roman" w:hAnsi="Times New Roman" w:cs="Times New Roman"/>
          <w:sz w:val="24"/>
          <w:szCs w:val="24"/>
          <w:lang w:eastAsia="en-GB"/>
        </w:rPr>
        <w:t>Masii</w:t>
      </w:r>
      <w:proofErr w:type="spellEnd"/>
      <w:r w:rsidRPr="000420D9">
        <w:rPr>
          <w:rFonts w:ascii="Times New Roman" w:eastAsia="Times New Roman" w:hAnsi="Times New Roman" w:cs="Times New Roman"/>
          <w:sz w:val="24"/>
          <w:szCs w:val="24"/>
          <w:lang w:eastAsia="en-GB"/>
        </w:rPr>
        <w:t xml:space="preserve"> Location revealed significant contamination, particularly with lead and cadmium, while zinc, copper, and manganese were present at lower levels. Table 4.1 presents a comprehensive summary of the measured concentrations for all five metals in each variety, along with the regulatory limits established by WHO, FAO, and KEBS, and the analytical limits of detection.</w:t>
      </w:r>
    </w:p>
    <w:p w14:paraId="2099D5C0" w14:textId="77777777" w:rsidR="000E0C6D" w:rsidRDefault="000E0C6D" w:rsidP="0038231D">
      <w:pPr>
        <w:pStyle w:val="Caption"/>
        <w:jc w:val="both"/>
        <w:rPr>
          <w:rFonts w:ascii="Times New Roman" w:hAnsi="Times New Roman" w:cs="Times New Roman"/>
          <w:i w:val="0"/>
          <w:iCs w:val="0"/>
          <w:color w:val="000000" w:themeColor="text1"/>
          <w:sz w:val="24"/>
          <w:szCs w:val="24"/>
        </w:rPr>
      </w:pPr>
      <w:bookmarkStart w:id="2" w:name="_Toc198897937"/>
      <w:r>
        <w:rPr>
          <w:rFonts w:ascii="Times New Roman" w:hAnsi="Times New Roman" w:cs="Times New Roman"/>
          <w:i w:val="0"/>
          <w:iCs w:val="0"/>
          <w:color w:val="000000" w:themeColor="text1"/>
          <w:sz w:val="24"/>
          <w:szCs w:val="24"/>
        </w:rPr>
        <w:t xml:space="preserve">Table 4 </w:t>
      </w:r>
      <w:r>
        <w:rPr>
          <w:rFonts w:ascii="Times New Roman" w:hAnsi="Times New Roman" w:cs="Times New Roman"/>
          <w:i w:val="0"/>
          <w:iCs w:val="0"/>
          <w:color w:val="000000" w:themeColor="text1"/>
          <w:sz w:val="24"/>
          <w:szCs w:val="24"/>
        </w:rPr>
        <w:fldChar w:fldCharType="begin"/>
      </w:r>
      <w:r>
        <w:rPr>
          <w:rFonts w:ascii="Times New Roman" w:hAnsi="Times New Roman" w:cs="Times New Roman"/>
          <w:i w:val="0"/>
          <w:iCs w:val="0"/>
          <w:color w:val="000000" w:themeColor="text1"/>
          <w:sz w:val="24"/>
          <w:szCs w:val="24"/>
        </w:rPr>
        <w:instrText xml:space="preserve"> SEQ Table_4 \* ARABIC </w:instrText>
      </w:r>
      <w:r>
        <w:rPr>
          <w:rFonts w:ascii="Times New Roman" w:hAnsi="Times New Roman" w:cs="Times New Roman"/>
          <w:i w:val="0"/>
          <w:iCs w:val="0"/>
          <w:color w:val="000000" w:themeColor="text1"/>
          <w:sz w:val="24"/>
          <w:szCs w:val="24"/>
        </w:rPr>
        <w:fldChar w:fldCharType="separate"/>
      </w:r>
      <w:r>
        <w:rPr>
          <w:rFonts w:ascii="Times New Roman" w:hAnsi="Times New Roman" w:cs="Times New Roman"/>
          <w:i w:val="0"/>
          <w:iCs w:val="0"/>
          <w:color w:val="000000" w:themeColor="text1"/>
          <w:sz w:val="24"/>
          <w:szCs w:val="24"/>
        </w:rPr>
        <w:t>1</w:t>
      </w:r>
      <w:r>
        <w:rPr>
          <w:rFonts w:ascii="Times New Roman" w:hAnsi="Times New Roman" w:cs="Times New Roman"/>
          <w:i w:val="0"/>
          <w:iCs w:val="0"/>
          <w:color w:val="000000" w:themeColor="text1"/>
          <w:sz w:val="24"/>
          <w:szCs w:val="24"/>
        </w:rPr>
        <w:fldChar w:fldCharType="end"/>
      </w:r>
      <w:r>
        <w:rPr>
          <w:rFonts w:ascii="Times New Roman" w:hAnsi="Times New Roman" w:cs="Times New Roman"/>
          <w:i w:val="0"/>
          <w:iCs w:val="0"/>
          <w:color w:val="000000" w:themeColor="text1"/>
          <w:sz w:val="24"/>
          <w:szCs w:val="24"/>
        </w:rPr>
        <w:t>: Heavy metal levels in three maize seeds varieties and the recommended values</w:t>
      </w:r>
      <w:bookmarkEnd w:id="2"/>
      <w:r>
        <w:rPr>
          <w:rFonts w:ascii="Times New Roman" w:hAnsi="Times New Roman" w:cs="Times New Roman"/>
          <w:i w:val="0"/>
          <w:iCs w:val="0"/>
          <w:color w:val="000000" w:themeColor="text1"/>
          <w:sz w:val="24"/>
          <w:szCs w:val="24"/>
        </w:rPr>
        <w:t xml:space="preserve">  </w:t>
      </w:r>
    </w:p>
    <w:p w14:paraId="48A9FD24" w14:textId="77777777" w:rsidR="000E0C6D" w:rsidRDefault="000E0C6D"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p>
    <w:tbl>
      <w:tblPr>
        <w:tblStyle w:val="TableGrid"/>
        <w:tblW w:w="5000" w:type="pct"/>
        <w:tblLook w:val="04A0" w:firstRow="1" w:lastRow="0" w:firstColumn="1" w:lastColumn="0" w:noHBand="0" w:noVBand="1"/>
      </w:tblPr>
      <w:tblGrid>
        <w:gridCol w:w="662"/>
        <w:gridCol w:w="766"/>
        <w:gridCol w:w="1025"/>
        <w:gridCol w:w="999"/>
        <w:gridCol w:w="697"/>
      </w:tblGrid>
      <w:tr w:rsidR="00D3795E" w:rsidRPr="00D3795E" w14:paraId="3E845FCC" w14:textId="77777777" w:rsidTr="00D3795E">
        <w:trPr>
          <w:trHeight w:val="1037"/>
        </w:trPr>
        <w:tc>
          <w:tcPr>
            <w:tcW w:w="781" w:type="pct"/>
          </w:tcPr>
          <w:p w14:paraId="3C61387A" w14:textId="77777777" w:rsidR="000E0C6D" w:rsidRPr="00D3795E" w:rsidRDefault="000E0C6D" w:rsidP="0038231D">
            <w:pPr>
              <w:spacing w:line="360" w:lineRule="auto"/>
              <w:jc w:val="both"/>
              <w:rPr>
                <w:rFonts w:ascii="Times New Roman" w:hAnsi="Times New Roman" w:cs="Times New Roman"/>
                <w:b/>
                <w:color w:val="000000" w:themeColor="text1"/>
                <w:sz w:val="16"/>
                <w:szCs w:val="16"/>
              </w:rPr>
            </w:pPr>
            <w:r w:rsidRPr="00D3795E">
              <w:rPr>
                <w:rFonts w:ascii="Times New Roman" w:hAnsi="Times New Roman" w:cs="Times New Roman"/>
                <w:b/>
                <w:color w:val="000000" w:themeColor="text1"/>
                <w:sz w:val="16"/>
                <w:szCs w:val="16"/>
              </w:rPr>
              <w:t>Heavy metals level in the three maize seeds varieties</w:t>
            </w:r>
          </w:p>
        </w:tc>
        <w:tc>
          <w:tcPr>
            <w:tcW w:w="944" w:type="pct"/>
          </w:tcPr>
          <w:p w14:paraId="78C07775" w14:textId="77777777" w:rsidR="000E0C6D" w:rsidRPr="00D3795E" w:rsidRDefault="000E0C6D" w:rsidP="0038231D">
            <w:pPr>
              <w:spacing w:line="360" w:lineRule="auto"/>
              <w:jc w:val="both"/>
              <w:rPr>
                <w:rFonts w:ascii="Times New Roman" w:hAnsi="Times New Roman" w:cs="Times New Roman"/>
                <w:b/>
                <w:color w:val="000000" w:themeColor="text1"/>
                <w:sz w:val="16"/>
                <w:szCs w:val="16"/>
              </w:rPr>
            </w:pPr>
            <w:r w:rsidRPr="00D3795E">
              <w:rPr>
                <w:rFonts w:ascii="Times New Roman" w:hAnsi="Times New Roman" w:cs="Times New Roman"/>
                <w:b/>
                <w:color w:val="000000" w:themeColor="text1"/>
                <w:sz w:val="16"/>
                <w:szCs w:val="16"/>
              </w:rPr>
              <w:t>Maize seeds Varieties</w:t>
            </w:r>
          </w:p>
        </w:tc>
        <w:tc>
          <w:tcPr>
            <w:tcW w:w="1268" w:type="pct"/>
          </w:tcPr>
          <w:p w14:paraId="0AB3CD3A" w14:textId="77777777" w:rsidR="000E0C6D" w:rsidRPr="00D3795E" w:rsidRDefault="000E0C6D" w:rsidP="0038231D">
            <w:pPr>
              <w:spacing w:line="360" w:lineRule="auto"/>
              <w:jc w:val="both"/>
              <w:rPr>
                <w:rFonts w:ascii="Times New Roman" w:hAnsi="Times New Roman" w:cs="Times New Roman"/>
                <w:b/>
                <w:color w:val="000000" w:themeColor="text1"/>
                <w:sz w:val="16"/>
                <w:szCs w:val="16"/>
              </w:rPr>
            </w:pPr>
            <w:r w:rsidRPr="00D3795E">
              <w:rPr>
                <w:rFonts w:ascii="Times New Roman" w:hAnsi="Times New Roman" w:cs="Times New Roman"/>
                <w:b/>
                <w:color w:val="000000" w:themeColor="text1"/>
                <w:sz w:val="16"/>
                <w:szCs w:val="16"/>
              </w:rPr>
              <w:t>Metal levels (mg/g)</w:t>
            </w:r>
          </w:p>
        </w:tc>
        <w:tc>
          <w:tcPr>
            <w:tcW w:w="1183" w:type="pct"/>
          </w:tcPr>
          <w:p w14:paraId="2ED4D827" w14:textId="77777777" w:rsidR="000E0C6D" w:rsidRPr="00D3795E" w:rsidRDefault="000E0C6D" w:rsidP="0038231D">
            <w:pPr>
              <w:spacing w:line="360" w:lineRule="auto"/>
              <w:jc w:val="both"/>
              <w:rPr>
                <w:rFonts w:ascii="Times New Roman" w:hAnsi="Times New Roman" w:cs="Times New Roman"/>
                <w:b/>
                <w:color w:val="000000" w:themeColor="text1"/>
                <w:sz w:val="16"/>
                <w:szCs w:val="16"/>
              </w:rPr>
            </w:pPr>
            <w:r w:rsidRPr="00D3795E">
              <w:rPr>
                <w:rFonts w:ascii="Times New Roman" w:hAnsi="Times New Roman" w:cs="Times New Roman"/>
                <w:b/>
                <w:color w:val="000000" w:themeColor="text1"/>
                <w:sz w:val="16"/>
                <w:szCs w:val="16"/>
              </w:rPr>
              <w:t>WHO, KEBS and FAO (mg/g)</w:t>
            </w:r>
          </w:p>
          <w:p w14:paraId="36751ED8" w14:textId="77777777" w:rsidR="000E0C6D" w:rsidRPr="00D3795E" w:rsidRDefault="000E0C6D" w:rsidP="0038231D">
            <w:pPr>
              <w:spacing w:line="360" w:lineRule="auto"/>
              <w:jc w:val="both"/>
              <w:rPr>
                <w:rFonts w:ascii="Times New Roman" w:hAnsi="Times New Roman" w:cs="Times New Roman"/>
                <w:b/>
                <w:color w:val="000000" w:themeColor="text1"/>
                <w:sz w:val="16"/>
                <w:szCs w:val="16"/>
              </w:rPr>
            </w:pPr>
            <w:r w:rsidRPr="00D3795E">
              <w:rPr>
                <w:rFonts w:ascii="Times New Roman" w:hAnsi="Times New Roman" w:cs="Times New Roman"/>
                <w:b/>
                <w:color w:val="000000" w:themeColor="text1"/>
                <w:sz w:val="16"/>
                <w:szCs w:val="16"/>
              </w:rPr>
              <w:t>(2022)</w:t>
            </w:r>
          </w:p>
          <w:p w14:paraId="462D13AB" w14:textId="77777777" w:rsidR="000E0C6D" w:rsidRPr="00D3795E" w:rsidRDefault="000E0C6D" w:rsidP="0038231D">
            <w:pPr>
              <w:spacing w:line="360" w:lineRule="auto"/>
              <w:jc w:val="both"/>
              <w:rPr>
                <w:rFonts w:ascii="Times New Roman" w:hAnsi="Times New Roman" w:cs="Times New Roman"/>
                <w:b/>
                <w:color w:val="000000" w:themeColor="text1"/>
                <w:sz w:val="16"/>
                <w:szCs w:val="16"/>
              </w:rPr>
            </w:pPr>
            <w:r w:rsidRPr="00D3795E">
              <w:rPr>
                <w:rFonts w:ascii="Times New Roman" w:hAnsi="Times New Roman" w:cs="Times New Roman"/>
                <w:b/>
                <w:color w:val="000000" w:themeColor="text1"/>
                <w:sz w:val="16"/>
                <w:szCs w:val="16"/>
              </w:rPr>
              <w:t xml:space="preserve">Recommended </w:t>
            </w:r>
          </w:p>
          <w:p w14:paraId="4A5860BC" w14:textId="77777777" w:rsidR="000E0C6D" w:rsidRPr="00D3795E" w:rsidRDefault="000E0C6D" w:rsidP="0038231D">
            <w:pPr>
              <w:spacing w:line="360" w:lineRule="auto"/>
              <w:jc w:val="both"/>
              <w:rPr>
                <w:rFonts w:ascii="Times New Roman" w:hAnsi="Times New Roman" w:cs="Times New Roman"/>
                <w:b/>
                <w:color w:val="000000" w:themeColor="text1"/>
                <w:sz w:val="16"/>
                <w:szCs w:val="16"/>
              </w:rPr>
            </w:pPr>
            <w:r w:rsidRPr="00D3795E">
              <w:rPr>
                <w:rFonts w:ascii="Times New Roman" w:hAnsi="Times New Roman" w:cs="Times New Roman"/>
                <w:b/>
                <w:color w:val="000000" w:themeColor="text1"/>
                <w:sz w:val="16"/>
                <w:szCs w:val="16"/>
              </w:rPr>
              <w:t>levels</w:t>
            </w:r>
          </w:p>
        </w:tc>
        <w:tc>
          <w:tcPr>
            <w:tcW w:w="824" w:type="pct"/>
          </w:tcPr>
          <w:p w14:paraId="3B83EF6D" w14:textId="77777777" w:rsidR="000E0C6D" w:rsidRPr="00D3795E" w:rsidRDefault="000E0C6D" w:rsidP="0038231D">
            <w:pPr>
              <w:spacing w:line="360" w:lineRule="auto"/>
              <w:jc w:val="both"/>
              <w:rPr>
                <w:rFonts w:ascii="Times New Roman" w:hAnsi="Times New Roman" w:cs="Times New Roman"/>
                <w:b/>
                <w:color w:val="000000" w:themeColor="text1"/>
                <w:sz w:val="16"/>
                <w:szCs w:val="16"/>
              </w:rPr>
            </w:pPr>
            <w:r w:rsidRPr="00D3795E">
              <w:rPr>
                <w:rFonts w:ascii="Times New Roman" w:hAnsi="Times New Roman" w:cs="Times New Roman"/>
                <w:b/>
                <w:color w:val="000000" w:themeColor="text1"/>
                <w:sz w:val="16"/>
                <w:szCs w:val="16"/>
              </w:rPr>
              <w:t>Limits of detection</w:t>
            </w:r>
          </w:p>
          <w:p w14:paraId="4F850E5A" w14:textId="77777777" w:rsidR="000E0C6D" w:rsidRPr="00D3795E" w:rsidRDefault="000E0C6D" w:rsidP="0038231D">
            <w:pPr>
              <w:spacing w:line="360" w:lineRule="auto"/>
              <w:jc w:val="both"/>
              <w:rPr>
                <w:rFonts w:ascii="Times New Roman" w:hAnsi="Times New Roman" w:cs="Times New Roman"/>
                <w:color w:val="000000" w:themeColor="text1"/>
                <w:sz w:val="16"/>
                <w:szCs w:val="16"/>
              </w:rPr>
            </w:pPr>
            <w:r w:rsidRPr="00D3795E">
              <w:rPr>
                <w:rFonts w:ascii="Times New Roman" w:hAnsi="Times New Roman" w:cs="Times New Roman"/>
                <w:b/>
                <w:color w:val="000000" w:themeColor="text1"/>
                <w:sz w:val="16"/>
                <w:szCs w:val="16"/>
              </w:rPr>
              <w:t>(LOD, mg/g)</w:t>
            </w:r>
          </w:p>
        </w:tc>
      </w:tr>
      <w:tr w:rsidR="00D3795E" w:rsidRPr="00D3795E" w14:paraId="10608404" w14:textId="77777777" w:rsidTr="00D3795E">
        <w:trPr>
          <w:trHeight w:val="692"/>
        </w:trPr>
        <w:tc>
          <w:tcPr>
            <w:tcW w:w="781" w:type="pct"/>
          </w:tcPr>
          <w:p w14:paraId="775BEB6C" w14:textId="77777777" w:rsidR="000E0C6D" w:rsidRPr="00D3795E" w:rsidRDefault="000E0C6D" w:rsidP="0038231D">
            <w:pPr>
              <w:spacing w:line="360" w:lineRule="auto"/>
              <w:jc w:val="both"/>
              <w:rPr>
                <w:rFonts w:ascii="Times New Roman" w:hAnsi="Times New Roman" w:cs="Times New Roman"/>
                <w:color w:val="000000" w:themeColor="text1"/>
                <w:sz w:val="16"/>
                <w:szCs w:val="16"/>
              </w:rPr>
            </w:pPr>
          </w:p>
          <w:p w14:paraId="1C639808" w14:textId="77777777" w:rsidR="000E0C6D" w:rsidRPr="00D3795E" w:rsidRDefault="000E0C6D" w:rsidP="0038231D">
            <w:pPr>
              <w:spacing w:line="360" w:lineRule="auto"/>
              <w:jc w:val="both"/>
              <w:rPr>
                <w:rFonts w:ascii="Times New Roman" w:hAnsi="Times New Roman" w:cs="Times New Roman"/>
                <w:color w:val="000000" w:themeColor="text1"/>
                <w:sz w:val="16"/>
                <w:szCs w:val="16"/>
              </w:rPr>
            </w:pPr>
            <w:r w:rsidRPr="00D3795E">
              <w:rPr>
                <w:rFonts w:ascii="Times New Roman" w:hAnsi="Times New Roman" w:cs="Times New Roman"/>
                <w:color w:val="000000" w:themeColor="text1"/>
                <w:sz w:val="16"/>
                <w:szCs w:val="16"/>
              </w:rPr>
              <w:t>Zn</w:t>
            </w:r>
          </w:p>
        </w:tc>
        <w:tc>
          <w:tcPr>
            <w:tcW w:w="944" w:type="pct"/>
          </w:tcPr>
          <w:p w14:paraId="33CC1FE2" w14:textId="77777777" w:rsidR="000E0C6D" w:rsidRPr="00D3795E" w:rsidRDefault="000E0C6D" w:rsidP="0038231D">
            <w:pPr>
              <w:spacing w:line="360" w:lineRule="auto"/>
              <w:jc w:val="both"/>
              <w:rPr>
                <w:rFonts w:ascii="Times New Roman" w:hAnsi="Times New Roman" w:cs="Times New Roman"/>
                <w:color w:val="000000" w:themeColor="text1"/>
                <w:sz w:val="16"/>
                <w:szCs w:val="16"/>
              </w:rPr>
            </w:pPr>
            <w:r w:rsidRPr="00D3795E">
              <w:rPr>
                <w:rFonts w:ascii="Times New Roman" w:hAnsi="Times New Roman" w:cs="Times New Roman"/>
                <w:color w:val="000000" w:themeColor="text1"/>
                <w:sz w:val="16"/>
                <w:szCs w:val="16"/>
              </w:rPr>
              <w:t xml:space="preserve"> SC Sungura 301</w:t>
            </w:r>
          </w:p>
          <w:p w14:paraId="38EFE4B0" w14:textId="77777777" w:rsidR="000E0C6D" w:rsidRPr="00D3795E" w:rsidRDefault="000E0C6D" w:rsidP="0038231D">
            <w:pPr>
              <w:spacing w:line="360" w:lineRule="auto"/>
              <w:jc w:val="both"/>
              <w:rPr>
                <w:rFonts w:ascii="Times New Roman" w:hAnsi="Times New Roman" w:cs="Times New Roman"/>
                <w:color w:val="000000" w:themeColor="text1"/>
                <w:sz w:val="16"/>
                <w:szCs w:val="16"/>
              </w:rPr>
            </w:pPr>
            <w:r w:rsidRPr="00D3795E">
              <w:rPr>
                <w:rFonts w:ascii="Times New Roman" w:hAnsi="Times New Roman" w:cs="Times New Roman"/>
                <w:color w:val="000000" w:themeColor="text1"/>
                <w:sz w:val="16"/>
                <w:szCs w:val="16"/>
              </w:rPr>
              <w:t xml:space="preserve">  SC Duma 43</w:t>
            </w:r>
          </w:p>
          <w:p w14:paraId="662507A1" w14:textId="77777777" w:rsidR="000E0C6D" w:rsidRPr="00D3795E" w:rsidRDefault="000E0C6D" w:rsidP="0038231D">
            <w:pPr>
              <w:spacing w:line="360" w:lineRule="auto"/>
              <w:jc w:val="both"/>
              <w:rPr>
                <w:rFonts w:ascii="Times New Roman" w:hAnsi="Times New Roman" w:cs="Times New Roman"/>
                <w:color w:val="000000" w:themeColor="text1"/>
                <w:sz w:val="16"/>
                <w:szCs w:val="16"/>
              </w:rPr>
            </w:pPr>
            <w:r w:rsidRPr="00D3795E">
              <w:rPr>
                <w:rFonts w:ascii="Times New Roman" w:hAnsi="Times New Roman" w:cs="Times New Roman"/>
                <w:color w:val="000000" w:themeColor="text1"/>
                <w:sz w:val="16"/>
                <w:szCs w:val="16"/>
              </w:rPr>
              <w:lastRenderedPageBreak/>
              <w:t>Indigenous Kamba Maize</w:t>
            </w:r>
          </w:p>
        </w:tc>
        <w:tc>
          <w:tcPr>
            <w:tcW w:w="1268" w:type="pct"/>
          </w:tcPr>
          <w:p w14:paraId="35A2A792" w14:textId="77777777" w:rsidR="000E0C6D" w:rsidRPr="00D3795E" w:rsidRDefault="000E0C6D" w:rsidP="0038231D">
            <w:pPr>
              <w:spacing w:line="360" w:lineRule="auto"/>
              <w:jc w:val="both"/>
              <w:rPr>
                <w:rFonts w:ascii="Times New Roman" w:hAnsi="Times New Roman" w:cs="Times New Roman"/>
                <w:color w:val="000000" w:themeColor="text1"/>
                <w:sz w:val="16"/>
                <w:szCs w:val="16"/>
              </w:rPr>
            </w:pPr>
            <w:bookmarkStart w:id="3" w:name="_Hlk197693254"/>
            <w:r w:rsidRPr="00D3795E">
              <w:rPr>
                <w:rFonts w:ascii="Times New Roman" w:hAnsi="Times New Roman" w:cs="Times New Roman"/>
                <w:color w:val="000000" w:themeColor="text1"/>
                <w:sz w:val="16"/>
                <w:szCs w:val="16"/>
              </w:rPr>
              <w:lastRenderedPageBreak/>
              <w:t>0.343±0.0505</w:t>
            </w:r>
          </w:p>
          <w:p w14:paraId="3C035E16" w14:textId="77777777" w:rsidR="000E0C6D" w:rsidRPr="00D3795E" w:rsidRDefault="000E0C6D" w:rsidP="0038231D">
            <w:pPr>
              <w:spacing w:line="360" w:lineRule="auto"/>
              <w:jc w:val="both"/>
              <w:rPr>
                <w:rFonts w:ascii="Times New Roman" w:hAnsi="Times New Roman" w:cs="Times New Roman"/>
                <w:color w:val="000000" w:themeColor="text1"/>
                <w:sz w:val="16"/>
                <w:szCs w:val="16"/>
              </w:rPr>
            </w:pPr>
            <w:r w:rsidRPr="00D3795E">
              <w:rPr>
                <w:rFonts w:ascii="Times New Roman" w:hAnsi="Times New Roman" w:cs="Times New Roman"/>
                <w:color w:val="000000" w:themeColor="text1"/>
                <w:sz w:val="16"/>
                <w:szCs w:val="16"/>
              </w:rPr>
              <w:t>0.389±0.000704</w:t>
            </w:r>
          </w:p>
          <w:p w14:paraId="683D47DC" w14:textId="77777777" w:rsidR="000E0C6D" w:rsidRPr="00D3795E" w:rsidRDefault="000E0C6D" w:rsidP="0038231D">
            <w:pPr>
              <w:spacing w:line="360" w:lineRule="auto"/>
              <w:jc w:val="both"/>
              <w:rPr>
                <w:rFonts w:ascii="Times New Roman" w:hAnsi="Times New Roman" w:cs="Times New Roman"/>
                <w:color w:val="000000" w:themeColor="text1"/>
                <w:sz w:val="16"/>
                <w:szCs w:val="16"/>
              </w:rPr>
            </w:pPr>
            <w:r w:rsidRPr="00D3795E">
              <w:rPr>
                <w:rFonts w:ascii="Times New Roman" w:hAnsi="Times New Roman" w:cs="Times New Roman"/>
                <w:color w:val="000000" w:themeColor="text1"/>
                <w:sz w:val="16"/>
                <w:szCs w:val="16"/>
              </w:rPr>
              <w:t>0.372±0.0257</w:t>
            </w:r>
            <w:bookmarkEnd w:id="3"/>
          </w:p>
        </w:tc>
        <w:tc>
          <w:tcPr>
            <w:tcW w:w="1183" w:type="pct"/>
          </w:tcPr>
          <w:p w14:paraId="11FAA2E8" w14:textId="77777777" w:rsidR="000E0C6D" w:rsidRPr="00D3795E" w:rsidRDefault="000E0C6D" w:rsidP="0038231D">
            <w:pPr>
              <w:spacing w:line="360" w:lineRule="auto"/>
              <w:jc w:val="both"/>
              <w:rPr>
                <w:rFonts w:ascii="Times New Roman" w:hAnsi="Times New Roman" w:cs="Times New Roman"/>
                <w:color w:val="000000" w:themeColor="text1"/>
                <w:sz w:val="16"/>
                <w:szCs w:val="16"/>
              </w:rPr>
            </w:pPr>
            <w:r w:rsidRPr="00D3795E">
              <w:rPr>
                <w:rFonts w:ascii="Times New Roman" w:hAnsi="Times New Roman" w:cs="Times New Roman"/>
                <w:color w:val="000000" w:themeColor="text1"/>
                <w:sz w:val="16"/>
                <w:szCs w:val="16"/>
              </w:rPr>
              <w:t>30-95</w:t>
            </w:r>
          </w:p>
        </w:tc>
        <w:tc>
          <w:tcPr>
            <w:tcW w:w="824" w:type="pct"/>
          </w:tcPr>
          <w:p w14:paraId="57486BE8" w14:textId="77777777" w:rsidR="000E0C6D" w:rsidRPr="00D3795E" w:rsidRDefault="000E0C6D" w:rsidP="0038231D">
            <w:pPr>
              <w:spacing w:line="360" w:lineRule="auto"/>
              <w:jc w:val="both"/>
              <w:rPr>
                <w:rFonts w:ascii="Times New Roman" w:hAnsi="Times New Roman" w:cs="Times New Roman"/>
                <w:color w:val="000000" w:themeColor="text1"/>
                <w:sz w:val="16"/>
                <w:szCs w:val="16"/>
              </w:rPr>
            </w:pPr>
            <w:r w:rsidRPr="00D3795E">
              <w:rPr>
                <w:rFonts w:ascii="Times New Roman" w:hAnsi="Times New Roman" w:cs="Times New Roman"/>
                <w:color w:val="000000" w:themeColor="text1"/>
                <w:sz w:val="16"/>
                <w:szCs w:val="16"/>
              </w:rPr>
              <w:t>0.05</w:t>
            </w:r>
          </w:p>
        </w:tc>
      </w:tr>
      <w:tr w:rsidR="00D3795E" w:rsidRPr="00D3795E" w14:paraId="34D9E5FD" w14:textId="77777777" w:rsidTr="00D3795E">
        <w:trPr>
          <w:trHeight w:val="692"/>
        </w:trPr>
        <w:tc>
          <w:tcPr>
            <w:tcW w:w="781" w:type="pct"/>
          </w:tcPr>
          <w:p w14:paraId="61B55409" w14:textId="77777777" w:rsidR="000E0C6D" w:rsidRPr="00D3795E" w:rsidRDefault="000E0C6D" w:rsidP="0038231D">
            <w:pPr>
              <w:spacing w:line="360" w:lineRule="auto"/>
              <w:jc w:val="both"/>
              <w:rPr>
                <w:rFonts w:ascii="Times New Roman" w:hAnsi="Times New Roman" w:cs="Times New Roman"/>
                <w:color w:val="000000" w:themeColor="text1"/>
                <w:sz w:val="16"/>
                <w:szCs w:val="16"/>
              </w:rPr>
            </w:pPr>
          </w:p>
          <w:p w14:paraId="0465BB29" w14:textId="77777777" w:rsidR="000E0C6D" w:rsidRPr="00D3795E" w:rsidRDefault="000E0C6D" w:rsidP="0038231D">
            <w:pPr>
              <w:spacing w:line="360" w:lineRule="auto"/>
              <w:jc w:val="both"/>
              <w:rPr>
                <w:rFonts w:ascii="Times New Roman" w:hAnsi="Times New Roman" w:cs="Times New Roman"/>
                <w:color w:val="000000" w:themeColor="text1"/>
                <w:sz w:val="16"/>
                <w:szCs w:val="16"/>
              </w:rPr>
            </w:pPr>
            <w:r w:rsidRPr="00D3795E">
              <w:rPr>
                <w:rFonts w:ascii="Times New Roman" w:hAnsi="Times New Roman" w:cs="Times New Roman"/>
                <w:color w:val="000000" w:themeColor="text1"/>
                <w:sz w:val="16"/>
                <w:szCs w:val="16"/>
              </w:rPr>
              <w:t>Cd</w:t>
            </w:r>
          </w:p>
        </w:tc>
        <w:tc>
          <w:tcPr>
            <w:tcW w:w="944" w:type="pct"/>
          </w:tcPr>
          <w:p w14:paraId="4DC9B7DC" w14:textId="77777777" w:rsidR="000E0C6D" w:rsidRPr="00D3795E" w:rsidRDefault="000E0C6D" w:rsidP="0038231D">
            <w:pPr>
              <w:spacing w:line="360" w:lineRule="auto"/>
              <w:jc w:val="both"/>
              <w:rPr>
                <w:rFonts w:ascii="Times New Roman" w:hAnsi="Times New Roman" w:cs="Times New Roman"/>
                <w:color w:val="000000" w:themeColor="text1"/>
                <w:sz w:val="16"/>
                <w:szCs w:val="16"/>
              </w:rPr>
            </w:pPr>
            <w:bookmarkStart w:id="4" w:name="_Hlk197693555"/>
            <w:r w:rsidRPr="00D3795E">
              <w:rPr>
                <w:rFonts w:ascii="Times New Roman" w:hAnsi="Times New Roman" w:cs="Times New Roman"/>
                <w:color w:val="000000" w:themeColor="text1"/>
                <w:sz w:val="16"/>
                <w:szCs w:val="16"/>
              </w:rPr>
              <w:t>SC Sungura 301</w:t>
            </w:r>
          </w:p>
          <w:p w14:paraId="4E9F53F4" w14:textId="77777777" w:rsidR="000E0C6D" w:rsidRPr="00D3795E" w:rsidRDefault="000E0C6D" w:rsidP="0038231D">
            <w:pPr>
              <w:spacing w:line="360" w:lineRule="auto"/>
              <w:jc w:val="both"/>
              <w:rPr>
                <w:rFonts w:ascii="Times New Roman" w:hAnsi="Times New Roman" w:cs="Times New Roman"/>
                <w:color w:val="000000" w:themeColor="text1"/>
                <w:sz w:val="16"/>
                <w:szCs w:val="16"/>
              </w:rPr>
            </w:pPr>
            <w:r w:rsidRPr="00D3795E">
              <w:rPr>
                <w:rFonts w:ascii="Times New Roman" w:hAnsi="Times New Roman" w:cs="Times New Roman"/>
                <w:color w:val="000000" w:themeColor="text1"/>
                <w:sz w:val="16"/>
                <w:szCs w:val="16"/>
              </w:rPr>
              <w:t>SC Duma 43 Indigenous Kamba Maize</w:t>
            </w:r>
          </w:p>
        </w:tc>
        <w:tc>
          <w:tcPr>
            <w:tcW w:w="1268" w:type="pct"/>
          </w:tcPr>
          <w:p w14:paraId="51649A18" w14:textId="77777777" w:rsidR="000E0C6D" w:rsidRPr="00D3795E" w:rsidRDefault="000E0C6D" w:rsidP="0038231D">
            <w:pPr>
              <w:spacing w:line="360" w:lineRule="auto"/>
              <w:jc w:val="both"/>
              <w:rPr>
                <w:rFonts w:ascii="Times New Roman" w:hAnsi="Times New Roman" w:cs="Times New Roman"/>
                <w:color w:val="000000" w:themeColor="text1"/>
                <w:sz w:val="16"/>
                <w:szCs w:val="16"/>
              </w:rPr>
            </w:pPr>
            <w:r w:rsidRPr="00D3795E">
              <w:rPr>
                <w:rFonts w:ascii="Times New Roman" w:hAnsi="Times New Roman" w:cs="Times New Roman"/>
                <w:color w:val="000000" w:themeColor="text1"/>
                <w:sz w:val="16"/>
                <w:szCs w:val="16"/>
              </w:rPr>
              <w:t>1.998±0.110</w:t>
            </w:r>
          </w:p>
          <w:p w14:paraId="1B787E7C" w14:textId="77777777" w:rsidR="000E0C6D" w:rsidRPr="00D3795E" w:rsidRDefault="000E0C6D" w:rsidP="0038231D">
            <w:pPr>
              <w:spacing w:line="360" w:lineRule="auto"/>
              <w:jc w:val="both"/>
              <w:rPr>
                <w:rFonts w:ascii="Times New Roman" w:hAnsi="Times New Roman" w:cs="Times New Roman"/>
                <w:color w:val="000000" w:themeColor="text1"/>
                <w:sz w:val="16"/>
                <w:szCs w:val="16"/>
              </w:rPr>
            </w:pPr>
            <w:r w:rsidRPr="00D3795E">
              <w:rPr>
                <w:rFonts w:ascii="Times New Roman" w:hAnsi="Times New Roman" w:cs="Times New Roman"/>
                <w:color w:val="000000" w:themeColor="text1"/>
                <w:sz w:val="16"/>
                <w:szCs w:val="16"/>
              </w:rPr>
              <w:t>0.562±0.217</w:t>
            </w:r>
          </w:p>
          <w:p w14:paraId="789926DF" w14:textId="77777777" w:rsidR="000E0C6D" w:rsidRPr="00D3795E" w:rsidRDefault="000E0C6D" w:rsidP="0038231D">
            <w:pPr>
              <w:spacing w:line="360" w:lineRule="auto"/>
              <w:jc w:val="both"/>
              <w:rPr>
                <w:rFonts w:ascii="Times New Roman" w:hAnsi="Times New Roman" w:cs="Times New Roman"/>
                <w:color w:val="000000" w:themeColor="text1"/>
                <w:sz w:val="16"/>
                <w:szCs w:val="16"/>
              </w:rPr>
            </w:pPr>
            <w:r w:rsidRPr="00D3795E">
              <w:rPr>
                <w:rFonts w:ascii="Times New Roman" w:hAnsi="Times New Roman" w:cs="Times New Roman"/>
                <w:color w:val="000000" w:themeColor="text1"/>
                <w:sz w:val="16"/>
                <w:szCs w:val="16"/>
              </w:rPr>
              <w:t>1.843±0.373</w:t>
            </w:r>
          </w:p>
        </w:tc>
        <w:tc>
          <w:tcPr>
            <w:tcW w:w="1183" w:type="pct"/>
          </w:tcPr>
          <w:p w14:paraId="26753253" w14:textId="77777777" w:rsidR="000E0C6D" w:rsidRPr="00D3795E" w:rsidRDefault="000E0C6D" w:rsidP="0038231D">
            <w:pPr>
              <w:spacing w:line="360" w:lineRule="auto"/>
              <w:jc w:val="both"/>
              <w:rPr>
                <w:rFonts w:ascii="Times New Roman" w:hAnsi="Times New Roman" w:cs="Times New Roman"/>
                <w:color w:val="000000" w:themeColor="text1"/>
                <w:sz w:val="16"/>
                <w:szCs w:val="16"/>
              </w:rPr>
            </w:pPr>
            <w:r w:rsidRPr="00D3795E">
              <w:rPr>
                <w:rFonts w:ascii="Times New Roman" w:hAnsi="Times New Roman" w:cs="Times New Roman"/>
                <w:color w:val="000000" w:themeColor="text1"/>
                <w:sz w:val="16"/>
                <w:szCs w:val="16"/>
              </w:rPr>
              <w:t>0.1-0.5</w:t>
            </w:r>
          </w:p>
        </w:tc>
        <w:tc>
          <w:tcPr>
            <w:tcW w:w="824" w:type="pct"/>
          </w:tcPr>
          <w:p w14:paraId="7918509F" w14:textId="77777777" w:rsidR="000E0C6D" w:rsidRPr="00D3795E" w:rsidRDefault="000E0C6D" w:rsidP="0038231D">
            <w:pPr>
              <w:spacing w:line="360" w:lineRule="auto"/>
              <w:jc w:val="both"/>
              <w:rPr>
                <w:rFonts w:ascii="Times New Roman" w:hAnsi="Times New Roman" w:cs="Times New Roman"/>
                <w:color w:val="000000" w:themeColor="text1"/>
                <w:sz w:val="16"/>
                <w:szCs w:val="16"/>
              </w:rPr>
            </w:pPr>
            <w:r w:rsidRPr="00D3795E">
              <w:rPr>
                <w:rFonts w:ascii="Times New Roman" w:hAnsi="Times New Roman" w:cs="Times New Roman"/>
                <w:color w:val="000000" w:themeColor="text1"/>
                <w:sz w:val="16"/>
                <w:szCs w:val="16"/>
              </w:rPr>
              <w:t>0.05</w:t>
            </w:r>
          </w:p>
        </w:tc>
      </w:tr>
      <w:tr w:rsidR="00D3795E" w:rsidRPr="00D3795E" w14:paraId="332F3C43" w14:textId="77777777" w:rsidTr="00D3795E">
        <w:trPr>
          <w:trHeight w:val="692"/>
        </w:trPr>
        <w:tc>
          <w:tcPr>
            <w:tcW w:w="781" w:type="pct"/>
          </w:tcPr>
          <w:p w14:paraId="2658E910" w14:textId="77777777" w:rsidR="000E0C6D" w:rsidRPr="00D3795E" w:rsidRDefault="000E0C6D" w:rsidP="0038231D">
            <w:pPr>
              <w:spacing w:line="360" w:lineRule="auto"/>
              <w:jc w:val="both"/>
              <w:rPr>
                <w:rFonts w:ascii="Times New Roman" w:hAnsi="Times New Roman" w:cs="Times New Roman"/>
                <w:color w:val="000000" w:themeColor="text1"/>
                <w:sz w:val="16"/>
                <w:szCs w:val="16"/>
              </w:rPr>
            </w:pPr>
          </w:p>
          <w:p w14:paraId="3BF1CF99" w14:textId="77777777" w:rsidR="000E0C6D" w:rsidRPr="00D3795E" w:rsidRDefault="000E0C6D" w:rsidP="0038231D">
            <w:pPr>
              <w:spacing w:line="360" w:lineRule="auto"/>
              <w:jc w:val="both"/>
              <w:rPr>
                <w:rFonts w:ascii="Times New Roman" w:hAnsi="Times New Roman" w:cs="Times New Roman"/>
                <w:color w:val="000000" w:themeColor="text1"/>
                <w:sz w:val="16"/>
                <w:szCs w:val="16"/>
              </w:rPr>
            </w:pPr>
            <w:r w:rsidRPr="00D3795E">
              <w:rPr>
                <w:rFonts w:ascii="Times New Roman" w:hAnsi="Times New Roman" w:cs="Times New Roman"/>
                <w:color w:val="000000" w:themeColor="text1"/>
                <w:sz w:val="16"/>
                <w:szCs w:val="16"/>
              </w:rPr>
              <w:t>Cu</w:t>
            </w:r>
          </w:p>
        </w:tc>
        <w:tc>
          <w:tcPr>
            <w:tcW w:w="944" w:type="pct"/>
          </w:tcPr>
          <w:p w14:paraId="46B5F0AE" w14:textId="77777777" w:rsidR="000E0C6D" w:rsidRPr="00D3795E" w:rsidRDefault="000E0C6D" w:rsidP="0038231D">
            <w:pPr>
              <w:spacing w:line="360" w:lineRule="auto"/>
              <w:jc w:val="both"/>
              <w:rPr>
                <w:rFonts w:ascii="Times New Roman" w:hAnsi="Times New Roman" w:cs="Times New Roman"/>
                <w:color w:val="000000" w:themeColor="text1"/>
                <w:sz w:val="16"/>
                <w:szCs w:val="16"/>
              </w:rPr>
            </w:pPr>
            <w:bookmarkStart w:id="5" w:name="_Hlk197693805"/>
            <w:bookmarkEnd w:id="4"/>
            <w:r w:rsidRPr="00D3795E">
              <w:rPr>
                <w:rFonts w:ascii="Times New Roman" w:hAnsi="Times New Roman" w:cs="Times New Roman"/>
                <w:color w:val="000000" w:themeColor="text1"/>
                <w:sz w:val="16"/>
                <w:szCs w:val="16"/>
              </w:rPr>
              <w:t>SC Sungura 301 SC Duma 43</w:t>
            </w:r>
          </w:p>
          <w:p w14:paraId="4CDF23B8" w14:textId="77777777" w:rsidR="000E0C6D" w:rsidRPr="00D3795E" w:rsidRDefault="000E0C6D" w:rsidP="0038231D">
            <w:pPr>
              <w:spacing w:line="360" w:lineRule="auto"/>
              <w:jc w:val="both"/>
              <w:rPr>
                <w:rFonts w:ascii="Times New Roman" w:hAnsi="Times New Roman" w:cs="Times New Roman"/>
                <w:color w:val="000000" w:themeColor="text1"/>
                <w:sz w:val="16"/>
                <w:szCs w:val="16"/>
              </w:rPr>
            </w:pPr>
            <w:r w:rsidRPr="00D3795E">
              <w:rPr>
                <w:rFonts w:ascii="Times New Roman" w:hAnsi="Times New Roman" w:cs="Times New Roman"/>
                <w:color w:val="000000" w:themeColor="text1"/>
                <w:sz w:val="16"/>
                <w:szCs w:val="16"/>
              </w:rPr>
              <w:t>Indigenous Kamba Maize</w:t>
            </w:r>
          </w:p>
        </w:tc>
        <w:tc>
          <w:tcPr>
            <w:tcW w:w="1268" w:type="pct"/>
          </w:tcPr>
          <w:p w14:paraId="276A21E3" w14:textId="77777777" w:rsidR="000E0C6D" w:rsidRPr="00D3795E" w:rsidRDefault="000E0C6D" w:rsidP="0038231D">
            <w:pPr>
              <w:spacing w:line="360" w:lineRule="auto"/>
              <w:jc w:val="both"/>
              <w:rPr>
                <w:rFonts w:ascii="Times New Roman" w:hAnsi="Times New Roman" w:cs="Times New Roman"/>
                <w:color w:val="000000" w:themeColor="text1"/>
                <w:sz w:val="16"/>
                <w:szCs w:val="16"/>
              </w:rPr>
            </w:pPr>
            <w:r w:rsidRPr="00D3795E">
              <w:rPr>
                <w:rFonts w:ascii="Times New Roman" w:hAnsi="Times New Roman" w:cs="Times New Roman"/>
                <w:color w:val="000000" w:themeColor="text1"/>
                <w:sz w:val="16"/>
                <w:szCs w:val="16"/>
              </w:rPr>
              <w:t>0.756±0.101</w:t>
            </w:r>
          </w:p>
          <w:p w14:paraId="2DA2C55A" w14:textId="77777777" w:rsidR="000E0C6D" w:rsidRPr="00D3795E" w:rsidRDefault="000E0C6D" w:rsidP="0038231D">
            <w:pPr>
              <w:spacing w:line="360" w:lineRule="auto"/>
              <w:jc w:val="both"/>
              <w:rPr>
                <w:rFonts w:ascii="Times New Roman" w:hAnsi="Times New Roman" w:cs="Times New Roman"/>
                <w:color w:val="000000" w:themeColor="text1"/>
                <w:sz w:val="16"/>
                <w:szCs w:val="16"/>
              </w:rPr>
            </w:pPr>
            <w:r w:rsidRPr="00D3795E">
              <w:rPr>
                <w:rFonts w:ascii="Times New Roman" w:hAnsi="Times New Roman" w:cs="Times New Roman"/>
                <w:color w:val="000000" w:themeColor="text1"/>
                <w:sz w:val="16"/>
                <w:szCs w:val="16"/>
              </w:rPr>
              <w:t>0.741±0.0741</w:t>
            </w:r>
          </w:p>
          <w:p w14:paraId="5879D6E6" w14:textId="77777777" w:rsidR="000E0C6D" w:rsidRPr="00D3795E" w:rsidRDefault="000E0C6D" w:rsidP="0038231D">
            <w:pPr>
              <w:spacing w:line="360" w:lineRule="auto"/>
              <w:jc w:val="both"/>
              <w:rPr>
                <w:rFonts w:ascii="Times New Roman" w:hAnsi="Times New Roman" w:cs="Times New Roman"/>
                <w:color w:val="000000" w:themeColor="text1"/>
                <w:sz w:val="16"/>
                <w:szCs w:val="16"/>
              </w:rPr>
            </w:pPr>
            <w:r w:rsidRPr="00D3795E">
              <w:rPr>
                <w:rFonts w:ascii="Times New Roman" w:hAnsi="Times New Roman" w:cs="Times New Roman"/>
                <w:color w:val="000000" w:themeColor="text1"/>
                <w:sz w:val="16"/>
                <w:szCs w:val="16"/>
              </w:rPr>
              <w:t>0.700±0.0380</w:t>
            </w:r>
          </w:p>
        </w:tc>
        <w:tc>
          <w:tcPr>
            <w:tcW w:w="1183" w:type="pct"/>
          </w:tcPr>
          <w:p w14:paraId="55362127" w14:textId="77777777" w:rsidR="000E0C6D" w:rsidRPr="00D3795E" w:rsidRDefault="000E0C6D" w:rsidP="0038231D">
            <w:pPr>
              <w:spacing w:line="360" w:lineRule="auto"/>
              <w:jc w:val="both"/>
              <w:rPr>
                <w:rFonts w:ascii="Times New Roman" w:hAnsi="Times New Roman" w:cs="Times New Roman"/>
                <w:color w:val="000000" w:themeColor="text1"/>
                <w:sz w:val="16"/>
                <w:szCs w:val="16"/>
              </w:rPr>
            </w:pPr>
            <w:r w:rsidRPr="00D3795E">
              <w:rPr>
                <w:rFonts w:ascii="Times New Roman" w:hAnsi="Times New Roman" w:cs="Times New Roman"/>
                <w:color w:val="000000" w:themeColor="text1"/>
                <w:sz w:val="16"/>
                <w:szCs w:val="16"/>
              </w:rPr>
              <w:t>10-50</w:t>
            </w:r>
          </w:p>
        </w:tc>
        <w:tc>
          <w:tcPr>
            <w:tcW w:w="824" w:type="pct"/>
          </w:tcPr>
          <w:p w14:paraId="18A2A8B7" w14:textId="77777777" w:rsidR="000E0C6D" w:rsidRPr="00D3795E" w:rsidRDefault="000E0C6D" w:rsidP="0038231D">
            <w:pPr>
              <w:spacing w:line="360" w:lineRule="auto"/>
              <w:jc w:val="both"/>
              <w:rPr>
                <w:rFonts w:ascii="Times New Roman" w:hAnsi="Times New Roman" w:cs="Times New Roman"/>
                <w:color w:val="000000" w:themeColor="text1"/>
                <w:sz w:val="16"/>
                <w:szCs w:val="16"/>
              </w:rPr>
            </w:pPr>
            <w:r w:rsidRPr="00D3795E">
              <w:rPr>
                <w:rFonts w:ascii="Times New Roman" w:hAnsi="Times New Roman" w:cs="Times New Roman"/>
                <w:color w:val="000000" w:themeColor="text1"/>
                <w:sz w:val="16"/>
                <w:szCs w:val="16"/>
              </w:rPr>
              <w:t>0.01</w:t>
            </w:r>
          </w:p>
        </w:tc>
      </w:tr>
      <w:tr w:rsidR="00D3795E" w:rsidRPr="00D3795E" w14:paraId="27AA4DBE" w14:textId="77777777" w:rsidTr="00D3795E">
        <w:trPr>
          <w:trHeight w:val="692"/>
        </w:trPr>
        <w:tc>
          <w:tcPr>
            <w:tcW w:w="781" w:type="pct"/>
          </w:tcPr>
          <w:p w14:paraId="3627B0A1" w14:textId="77777777" w:rsidR="000E0C6D" w:rsidRPr="00D3795E" w:rsidRDefault="000E0C6D" w:rsidP="0038231D">
            <w:pPr>
              <w:spacing w:line="360" w:lineRule="auto"/>
              <w:jc w:val="both"/>
              <w:rPr>
                <w:rFonts w:ascii="Times New Roman" w:hAnsi="Times New Roman" w:cs="Times New Roman"/>
                <w:color w:val="000000" w:themeColor="text1"/>
                <w:sz w:val="16"/>
                <w:szCs w:val="16"/>
              </w:rPr>
            </w:pPr>
          </w:p>
          <w:p w14:paraId="2BAFE59C" w14:textId="77777777" w:rsidR="000E0C6D" w:rsidRPr="00D3795E" w:rsidRDefault="000E0C6D" w:rsidP="0038231D">
            <w:pPr>
              <w:spacing w:line="360" w:lineRule="auto"/>
              <w:jc w:val="both"/>
              <w:rPr>
                <w:rFonts w:ascii="Times New Roman" w:hAnsi="Times New Roman" w:cs="Times New Roman"/>
                <w:color w:val="000000" w:themeColor="text1"/>
                <w:sz w:val="16"/>
                <w:szCs w:val="16"/>
              </w:rPr>
            </w:pPr>
            <w:r w:rsidRPr="00D3795E">
              <w:rPr>
                <w:rFonts w:ascii="Times New Roman" w:hAnsi="Times New Roman" w:cs="Times New Roman"/>
                <w:color w:val="000000" w:themeColor="text1"/>
                <w:sz w:val="16"/>
                <w:szCs w:val="16"/>
              </w:rPr>
              <w:t>Mn</w:t>
            </w:r>
          </w:p>
        </w:tc>
        <w:tc>
          <w:tcPr>
            <w:tcW w:w="944" w:type="pct"/>
          </w:tcPr>
          <w:p w14:paraId="16085256" w14:textId="77777777" w:rsidR="000E0C6D" w:rsidRPr="00D3795E" w:rsidRDefault="000E0C6D" w:rsidP="0038231D">
            <w:pPr>
              <w:spacing w:line="360" w:lineRule="auto"/>
              <w:jc w:val="both"/>
              <w:rPr>
                <w:rFonts w:ascii="Times New Roman" w:hAnsi="Times New Roman" w:cs="Times New Roman"/>
                <w:color w:val="000000" w:themeColor="text1"/>
                <w:sz w:val="16"/>
                <w:szCs w:val="16"/>
              </w:rPr>
            </w:pPr>
            <w:bookmarkStart w:id="6" w:name="_Hlk197694020"/>
            <w:bookmarkEnd w:id="5"/>
            <w:r w:rsidRPr="00D3795E">
              <w:rPr>
                <w:rFonts w:ascii="Times New Roman" w:hAnsi="Times New Roman" w:cs="Times New Roman"/>
                <w:color w:val="000000" w:themeColor="text1"/>
                <w:sz w:val="16"/>
                <w:szCs w:val="16"/>
              </w:rPr>
              <w:t xml:space="preserve"> SC Sungura 301</w:t>
            </w:r>
          </w:p>
          <w:p w14:paraId="584B7DB7" w14:textId="77777777" w:rsidR="000E0C6D" w:rsidRPr="00D3795E" w:rsidRDefault="000E0C6D" w:rsidP="0038231D">
            <w:pPr>
              <w:spacing w:line="360" w:lineRule="auto"/>
              <w:jc w:val="both"/>
              <w:rPr>
                <w:rFonts w:ascii="Times New Roman" w:hAnsi="Times New Roman" w:cs="Times New Roman"/>
                <w:color w:val="000000" w:themeColor="text1"/>
                <w:sz w:val="16"/>
                <w:szCs w:val="16"/>
              </w:rPr>
            </w:pPr>
            <w:r w:rsidRPr="00D3795E">
              <w:rPr>
                <w:rFonts w:ascii="Times New Roman" w:hAnsi="Times New Roman" w:cs="Times New Roman"/>
                <w:color w:val="000000" w:themeColor="text1"/>
                <w:sz w:val="16"/>
                <w:szCs w:val="16"/>
              </w:rPr>
              <w:t xml:space="preserve"> SC Duma 43</w:t>
            </w:r>
          </w:p>
          <w:p w14:paraId="6322B277" w14:textId="77777777" w:rsidR="000E0C6D" w:rsidRPr="00D3795E" w:rsidRDefault="000E0C6D" w:rsidP="0038231D">
            <w:pPr>
              <w:spacing w:line="360" w:lineRule="auto"/>
              <w:jc w:val="both"/>
              <w:rPr>
                <w:rFonts w:ascii="Times New Roman" w:hAnsi="Times New Roman" w:cs="Times New Roman"/>
                <w:color w:val="000000" w:themeColor="text1"/>
                <w:sz w:val="16"/>
                <w:szCs w:val="16"/>
              </w:rPr>
            </w:pPr>
            <w:r w:rsidRPr="00D3795E">
              <w:rPr>
                <w:rFonts w:ascii="Times New Roman" w:hAnsi="Times New Roman" w:cs="Times New Roman"/>
                <w:color w:val="000000" w:themeColor="text1"/>
                <w:sz w:val="16"/>
                <w:szCs w:val="16"/>
              </w:rPr>
              <w:t xml:space="preserve"> Indigenous Kamba Maize</w:t>
            </w:r>
          </w:p>
        </w:tc>
        <w:tc>
          <w:tcPr>
            <w:tcW w:w="1268" w:type="pct"/>
          </w:tcPr>
          <w:p w14:paraId="45256907" w14:textId="77777777" w:rsidR="000E0C6D" w:rsidRPr="00D3795E" w:rsidRDefault="000E0C6D" w:rsidP="0038231D">
            <w:pPr>
              <w:spacing w:line="360" w:lineRule="auto"/>
              <w:jc w:val="both"/>
              <w:rPr>
                <w:rFonts w:ascii="Times New Roman" w:hAnsi="Times New Roman" w:cs="Times New Roman"/>
                <w:color w:val="000000" w:themeColor="text1"/>
                <w:sz w:val="16"/>
                <w:szCs w:val="16"/>
              </w:rPr>
            </w:pPr>
            <w:bookmarkStart w:id="7" w:name="_Hlk197679877"/>
            <w:r w:rsidRPr="00D3795E">
              <w:rPr>
                <w:rFonts w:ascii="Times New Roman" w:hAnsi="Times New Roman" w:cs="Times New Roman"/>
                <w:color w:val="000000" w:themeColor="text1"/>
                <w:sz w:val="16"/>
                <w:szCs w:val="16"/>
              </w:rPr>
              <w:t>2.745±0.851</w:t>
            </w:r>
          </w:p>
          <w:p w14:paraId="473B1DAA" w14:textId="77777777" w:rsidR="000E0C6D" w:rsidRPr="00D3795E" w:rsidRDefault="000E0C6D" w:rsidP="0038231D">
            <w:pPr>
              <w:spacing w:line="360" w:lineRule="auto"/>
              <w:jc w:val="both"/>
              <w:rPr>
                <w:rFonts w:ascii="Times New Roman" w:hAnsi="Times New Roman" w:cs="Times New Roman"/>
                <w:color w:val="000000" w:themeColor="text1"/>
                <w:sz w:val="16"/>
                <w:szCs w:val="16"/>
              </w:rPr>
            </w:pPr>
            <w:r w:rsidRPr="00D3795E">
              <w:rPr>
                <w:rFonts w:ascii="Times New Roman" w:hAnsi="Times New Roman" w:cs="Times New Roman"/>
                <w:color w:val="000000" w:themeColor="text1"/>
                <w:sz w:val="16"/>
                <w:szCs w:val="16"/>
              </w:rPr>
              <w:t>1.748±0.110</w:t>
            </w:r>
          </w:p>
          <w:p w14:paraId="41EDE0B8" w14:textId="77777777" w:rsidR="000E0C6D" w:rsidRPr="00D3795E" w:rsidRDefault="000E0C6D" w:rsidP="0038231D">
            <w:pPr>
              <w:spacing w:line="360" w:lineRule="auto"/>
              <w:jc w:val="both"/>
              <w:rPr>
                <w:rFonts w:ascii="Times New Roman" w:hAnsi="Times New Roman" w:cs="Times New Roman"/>
                <w:color w:val="000000" w:themeColor="text1"/>
                <w:sz w:val="16"/>
                <w:szCs w:val="16"/>
              </w:rPr>
            </w:pPr>
            <w:r w:rsidRPr="00D3795E">
              <w:rPr>
                <w:rFonts w:ascii="Times New Roman" w:hAnsi="Times New Roman" w:cs="Times New Roman"/>
                <w:color w:val="000000" w:themeColor="text1"/>
                <w:sz w:val="16"/>
                <w:szCs w:val="16"/>
              </w:rPr>
              <w:t>0.270±0.0586</w:t>
            </w:r>
            <w:bookmarkEnd w:id="7"/>
          </w:p>
        </w:tc>
        <w:tc>
          <w:tcPr>
            <w:tcW w:w="1183" w:type="pct"/>
          </w:tcPr>
          <w:p w14:paraId="5DD2C424" w14:textId="77777777" w:rsidR="000E0C6D" w:rsidRPr="00D3795E" w:rsidRDefault="000E0C6D" w:rsidP="0038231D">
            <w:pPr>
              <w:spacing w:line="360" w:lineRule="auto"/>
              <w:jc w:val="both"/>
              <w:rPr>
                <w:rFonts w:ascii="Times New Roman" w:hAnsi="Times New Roman" w:cs="Times New Roman"/>
                <w:color w:val="000000" w:themeColor="text1"/>
                <w:sz w:val="16"/>
                <w:szCs w:val="16"/>
              </w:rPr>
            </w:pPr>
            <w:r w:rsidRPr="00D3795E">
              <w:rPr>
                <w:rFonts w:ascii="Times New Roman" w:hAnsi="Times New Roman" w:cs="Times New Roman"/>
                <w:color w:val="000000" w:themeColor="text1"/>
                <w:sz w:val="16"/>
                <w:szCs w:val="16"/>
              </w:rPr>
              <w:t>5-20</w:t>
            </w:r>
          </w:p>
        </w:tc>
        <w:tc>
          <w:tcPr>
            <w:tcW w:w="824" w:type="pct"/>
          </w:tcPr>
          <w:p w14:paraId="79BB75FC" w14:textId="77777777" w:rsidR="000E0C6D" w:rsidRPr="00D3795E" w:rsidRDefault="000E0C6D" w:rsidP="0038231D">
            <w:pPr>
              <w:spacing w:line="360" w:lineRule="auto"/>
              <w:jc w:val="both"/>
              <w:rPr>
                <w:rFonts w:ascii="Times New Roman" w:hAnsi="Times New Roman" w:cs="Times New Roman"/>
                <w:color w:val="000000" w:themeColor="text1"/>
                <w:sz w:val="16"/>
                <w:szCs w:val="16"/>
              </w:rPr>
            </w:pPr>
            <w:r w:rsidRPr="00D3795E">
              <w:rPr>
                <w:rFonts w:ascii="Times New Roman" w:hAnsi="Times New Roman" w:cs="Times New Roman"/>
                <w:color w:val="000000" w:themeColor="text1"/>
                <w:sz w:val="16"/>
                <w:szCs w:val="16"/>
              </w:rPr>
              <w:t>0.02</w:t>
            </w:r>
          </w:p>
        </w:tc>
      </w:tr>
      <w:tr w:rsidR="00D3795E" w:rsidRPr="00D3795E" w14:paraId="6FCD70DC" w14:textId="77777777" w:rsidTr="00D3795E">
        <w:trPr>
          <w:trHeight w:val="686"/>
        </w:trPr>
        <w:tc>
          <w:tcPr>
            <w:tcW w:w="781" w:type="pct"/>
          </w:tcPr>
          <w:p w14:paraId="4B753BFA" w14:textId="77777777" w:rsidR="000E0C6D" w:rsidRPr="00D3795E" w:rsidRDefault="000E0C6D" w:rsidP="0038231D">
            <w:pPr>
              <w:spacing w:line="360" w:lineRule="auto"/>
              <w:jc w:val="both"/>
              <w:rPr>
                <w:rFonts w:ascii="Times New Roman" w:hAnsi="Times New Roman" w:cs="Times New Roman"/>
                <w:color w:val="000000" w:themeColor="text1"/>
                <w:sz w:val="16"/>
                <w:szCs w:val="16"/>
              </w:rPr>
            </w:pPr>
          </w:p>
          <w:p w14:paraId="6B8ACA5F" w14:textId="77777777" w:rsidR="000E0C6D" w:rsidRPr="00D3795E" w:rsidRDefault="000E0C6D" w:rsidP="0038231D">
            <w:pPr>
              <w:spacing w:line="360" w:lineRule="auto"/>
              <w:jc w:val="both"/>
              <w:rPr>
                <w:rFonts w:ascii="Times New Roman" w:hAnsi="Times New Roman" w:cs="Times New Roman"/>
                <w:color w:val="000000" w:themeColor="text1"/>
                <w:sz w:val="16"/>
                <w:szCs w:val="16"/>
              </w:rPr>
            </w:pPr>
            <w:r w:rsidRPr="00D3795E">
              <w:rPr>
                <w:rFonts w:ascii="Times New Roman" w:hAnsi="Times New Roman" w:cs="Times New Roman"/>
                <w:color w:val="000000" w:themeColor="text1"/>
                <w:sz w:val="16"/>
                <w:szCs w:val="16"/>
              </w:rPr>
              <w:t>Pb</w:t>
            </w:r>
          </w:p>
        </w:tc>
        <w:tc>
          <w:tcPr>
            <w:tcW w:w="944" w:type="pct"/>
          </w:tcPr>
          <w:p w14:paraId="46829593" w14:textId="77777777" w:rsidR="000E0C6D" w:rsidRPr="00D3795E" w:rsidRDefault="000E0C6D" w:rsidP="0038231D">
            <w:pPr>
              <w:spacing w:line="360" w:lineRule="auto"/>
              <w:jc w:val="both"/>
              <w:rPr>
                <w:rFonts w:ascii="Times New Roman" w:hAnsi="Times New Roman" w:cs="Times New Roman"/>
                <w:color w:val="000000" w:themeColor="text1"/>
                <w:sz w:val="16"/>
                <w:szCs w:val="16"/>
              </w:rPr>
            </w:pPr>
            <w:bookmarkStart w:id="8" w:name="_Hlk197687221"/>
            <w:bookmarkEnd w:id="6"/>
            <w:r w:rsidRPr="00D3795E">
              <w:rPr>
                <w:rFonts w:ascii="Times New Roman" w:hAnsi="Times New Roman" w:cs="Times New Roman"/>
                <w:color w:val="000000" w:themeColor="text1"/>
                <w:sz w:val="16"/>
                <w:szCs w:val="16"/>
              </w:rPr>
              <w:t xml:space="preserve"> SC Sungura 301</w:t>
            </w:r>
          </w:p>
          <w:p w14:paraId="1AB0F402" w14:textId="77777777" w:rsidR="000E0C6D" w:rsidRPr="00D3795E" w:rsidRDefault="000E0C6D" w:rsidP="0038231D">
            <w:pPr>
              <w:spacing w:line="360" w:lineRule="auto"/>
              <w:jc w:val="both"/>
              <w:rPr>
                <w:rFonts w:ascii="Times New Roman" w:hAnsi="Times New Roman" w:cs="Times New Roman"/>
                <w:color w:val="000000" w:themeColor="text1"/>
                <w:sz w:val="16"/>
                <w:szCs w:val="16"/>
              </w:rPr>
            </w:pPr>
            <w:r w:rsidRPr="00D3795E">
              <w:rPr>
                <w:rFonts w:ascii="Times New Roman" w:hAnsi="Times New Roman" w:cs="Times New Roman"/>
                <w:color w:val="000000" w:themeColor="text1"/>
                <w:sz w:val="16"/>
                <w:szCs w:val="16"/>
              </w:rPr>
              <w:t>SC Duma 43</w:t>
            </w:r>
          </w:p>
          <w:p w14:paraId="118DAEC5" w14:textId="77777777" w:rsidR="000E0C6D" w:rsidRPr="00D3795E" w:rsidRDefault="000E0C6D" w:rsidP="0038231D">
            <w:pPr>
              <w:spacing w:line="360" w:lineRule="auto"/>
              <w:jc w:val="both"/>
              <w:rPr>
                <w:rFonts w:ascii="Times New Roman" w:hAnsi="Times New Roman" w:cs="Times New Roman"/>
                <w:color w:val="000000" w:themeColor="text1"/>
                <w:sz w:val="16"/>
                <w:szCs w:val="16"/>
              </w:rPr>
            </w:pPr>
            <w:r w:rsidRPr="00D3795E">
              <w:rPr>
                <w:rFonts w:ascii="Times New Roman" w:hAnsi="Times New Roman" w:cs="Times New Roman"/>
                <w:color w:val="000000" w:themeColor="text1"/>
                <w:sz w:val="16"/>
                <w:szCs w:val="16"/>
              </w:rPr>
              <w:t>Indigenous Kamba Maize</w:t>
            </w:r>
          </w:p>
        </w:tc>
        <w:tc>
          <w:tcPr>
            <w:tcW w:w="1268" w:type="pct"/>
          </w:tcPr>
          <w:p w14:paraId="03767E55" w14:textId="77777777" w:rsidR="000E0C6D" w:rsidRPr="00D3795E" w:rsidRDefault="000E0C6D" w:rsidP="0038231D">
            <w:pPr>
              <w:spacing w:line="360" w:lineRule="auto"/>
              <w:jc w:val="both"/>
              <w:rPr>
                <w:rFonts w:ascii="Times New Roman" w:hAnsi="Times New Roman" w:cs="Times New Roman"/>
                <w:color w:val="000000" w:themeColor="text1"/>
                <w:sz w:val="16"/>
                <w:szCs w:val="16"/>
              </w:rPr>
            </w:pPr>
            <w:r w:rsidRPr="00D3795E">
              <w:rPr>
                <w:rFonts w:ascii="Times New Roman" w:hAnsi="Times New Roman" w:cs="Times New Roman"/>
                <w:color w:val="000000" w:themeColor="text1"/>
                <w:sz w:val="16"/>
                <w:szCs w:val="16"/>
              </w:rPr>
              <w:t>8.990±0.752</w:t>
            </w:r>
          </w:p>
          <w:p w14:paraId="73D93048" w14:textId="77777777" w:rsidR="000E0C6D" w:rsidRPr="00D3795E" w:rsidRDefault="000E0C6D" w:rsidP="0038231D">
            <w:pPr>
              <w:spacing w:line="360" w:lineRule="auto"/>
              <w:jc w:val="both"/>
              <w:rPr>
                <w:rFonts w:ascii="Times New Roman" w:hAnsi="Times New Roman" w:cs="Times New Roman"/>
                <w:color w:val="000000" w:themeColor="text1"/>
                <w:sz w:val="16"/>
                <w:szCs w:val="16"/>
              </w:rPr>
            </w:pPr>
            <w:r w:rsidRPr="00D3795E">
              <w:rPr>
                <w:rFonts w:ascii="Times New Roman" w:hAnsi="Times New Roman" w:cs="Times New Roman"/>
                <w:color w:val="000000" w:themeColor="text1"/>
                <w:sz w:val="16"/>
                <w:szCs w:val="16"/>
              </w:rPr>
              <w:t>10.449±0.398</w:t>
            </w:r>
          </w:p>
          <w:p w14:paraId="6E1E3D34" w14:textId="77777777" w:rsidR="000E0C6D" w:rsidRPr="00D3795E" w:rsidRDefault="000E0C6D" w:rsidP="0038231D">
            <w:pPr>
              <w:spacing w:line="360" w:lineRule="auto"/>
              <w:jc w:val="both"/>
              <w:rPr>
                <w:rFonts w:ascii="Times New Roman" w:hAnsi="Times New Roman" w:cs="Times New Roman"/>
                <w:color w:val="000000" w:themeColor="text1"/>
                <w:sz w:val="16"/>
                <w:szCs w:val="16"/>
              </w:rPr>
            </w:pPr>
            <w:r w:rsidRPr="00D3795E">
              <w:rPr>
                <w:rFonts w:ascii="Times New Roman" w:hAnsi="Times New Roman" w:cs="Times New Roman"/>
                <w:color w:val="000000" w:themeColor="text1"/>
                <w:sz w:val="16"/>
                <w:szCs w:val="16"/>
              </w:rPr>
              <w:t>8.247±0.798</w:t>
            </w:r>
          </w:p>
        </w:tc>
        <w:tc>
          <w:tcPr>
            <w:tcW w:w="1183" w:type="pct"/>
          </w:tcPr>
          <w:p w14:paraId="191EE842" w14:textId="77777777" w:rsidR="000E0C6D" w:rsidRPr="00D3795E" w:rsidRDefault="000E0C6D" w:rsidP="0038231D">
            <w:pPr>
              <w:spacing w:line="360" w:lineRule="auto"/>
              <w:jc w:val="both"/>
              <w:rPr>
                <w:rFonts w:ascii="Times New Roman" w:hAnsi="Times New Roman" w:cs="Times New Roman"/>
                <w:color w:val="000000" w:themeColor="text1"/>
                <w:sz w:val="16"/>
                <w:szCs w:val="16"/>
              </w:rPr>
            </w:pPr>
            <w:r w:rsidRPr="00D3795E">
              <w:rPr>
                <w:rFonts w:ascii="Times New Roman" w:hAnsi="Times New Roman" w:cs="Times New Roman"/>
                <w:color w:val="000000" w:themeColor="text1"/>
                <w:sz w:val="16"/>
                <w:szCs w:val="16"/>
              </w:rPr>
              <w:t>0.2-0.5</w:t>
            </w:r>
          </w:p>
        </w:tc>
        <w:tc>
          <w:tcPr>
            <w:tcW w:w="824" w:type="pct"/>
          </w:tcPr>
          <w:p w14:paraId="51C0E2E6" w14:textId="77777777" w:rsidR="000E0C6D" w:rsidRPr="00D3795E" w:rsidRDefault="000E0C6D" w:rsidP="0038231D">
            <w:pPr>
              <w:spacing w:line="360" w:lineRule="auto"/>
              <w:jc w:val="both"/>
              <w:rPr>
                <w:rFonts w:ascii="Times New Roman" w:hAnsi="Times New Roman" w:cs="Times New Roman"/>
                <w:color w:val="000000" w:themeColor="text1"/>
                <w:sz w:val="16"/>
                <w:szCs w:val="16"/>
              </w:rPr>
            </w:pPr>
            <w:r w:rsidRPr="00D3795E">
              <w:rPr>
                <w:rFonts w:ascii="Times New Roman" w:hAnsi="Times New Roman" w:cs="Times New Roman"/>
                <w:color w:val="000000" w:themeColor="text1"/>
                <w:sz w:val="16"/>
                <w:szCs w:val="16"/>
              </w:rPr>
              <w:t>0.01</w:t>
            </w:r>
          </w:p>
        </w:tc>
      </w:tr>
    </w:tbl>
    <w:bookmarkEnd w:id="8"/>
    <w:p w14:paraId="376FA9EC" w14:textId="77777777" w:rsidR="00352203" w:rsidRPr="000420D9" w:rsidRDefault="000E0C6D"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r>
        <w:rPr>
          <w:rFonts w:ascii="Times New Roman" w:hAnsi="Times New Roman" w:cs="Times New Roman"/>
          <w:iCs/>
          <w:color w:val="000000" w:themeColor="text1"/>
        </w:rPr>
        <w:t>Reference</w:t>
      </w:r>
      <w:r>
        <w:rPr>
          <w:rFonts w:ascii="Times New Roman" w:hAnsi="Times New Roman" w:cs="Times New Roman"/>
          <w:i/>
          <w:iCs/>
          <w:color w:val="000000" w:themeColor="text1"/>
        </w:rPr>
        <w:t xml:space="preserve"> </w:t>
      </w:r>
      <w:r>
        <w:rPr>
          <w:rFonts w:ascii="Times New Roman" w:hAnsi="Times New Roman" w:cs="Times New Roman"/>
          <w:color w:val="000000" w:themeColor="text1"/>
        </w:rPr>
        <w:t>WHO, KEBS and FAO (2022)</w:t>
      </w:r>
    </w:p>
    <w:p w14:paraId="51D6A244" w14:textId="77777777" w:rsidR="000420D9" w:rsidRPr="000420D9" w:rsidRDefault="000420D9"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sz w:val="24"/>
          <w:szCs w:val="24"/>
          <w:lang w:eastAsia="en-GB"/>
        </w:rPr>
        <w:t xml:space="preserve">Among the three varieties studied, SC Duma 43 hybrid generally exhibited the highest levels of heavy metal </w:t>
      </w:r>
      <w:r w:rsidRPr="000420D9">
        <w:rPr>
          <w:rFonts w:ascii="Times New Roman" w:eastAsia="Times New Roman" w:hAnsi="Times New Roman" w:cs="Times New Roman"/>
          <w:sz w:val="24"/>
          <w:szCs w:val="24"/>
          <w:lang w:eastAsia="en-GB"/>
        </w:rPr>
        <w:t>contamination, followed by the indigenous Kamba maize, with SC Sungura 301 showing somewhat lower but still concerning levels for certain metals. This pattern was not consistent across all metals, however, as different varieties showed variable accumulation for different elements, reflecting the complex interactions between plant genetics, metal uptake mechanisms, and environmental factors.</w:t>
      </w:r>
    </w:p>
    <w:p w14:paraId="321BFB3F" w14:textId="77777777" w:rsidR="000420D9" w:rsidRPr="000420D9" w:rsidRDefault="000420D9"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sz w:val="24"/>
          <w:szCs w:val="24"/>
          <w:lang w:eastAsia="en-GB"/>
        </w:rPr>
        <w:t>The overall pattern of heavy metal abundance in the maize samples followed the order: Lead &gt;&gt; Cadmium &gt; Manganese &gt; Copper ≈ Zinc. This distribution indicates that lead contamination was the most severe problem, with concentrations far exceeding all other metals. Cadmium, while lower than lead, still reached alarmingly high levels well above safety limits. The essential micronutrients zinc, copper, and manganese were present at much lower concentrations, generally below recommended nutritional levels.</w:t>
      </w:r>
    </w:p>
    <w:p w14:paraId="768272FB" w14:textId="77777777" w:rsidR="000420D9" w:rsidRPr="000420D9" w:rsidRDefault="000420D9" w:rsidP="0038231D">
      <w:pPr>
        <w:spacing w:before="100" w:beforeAutospacing="1" w:after="100" w:afterAutospacing="1" w:line="240" w:lineRule="auto"/>
        <w:jc w:val="both"/>
        <w:outlineLvl w:val="3"/>
        <w:rPr>
          <w:rFonts w:ascii="Times New Roman" w:eastAsia="Times New Roman" w:hAnsi="Times New Roman" w:cs="Times New Roman"/>
          <w:b/>
          <w:bCs/>
          <w:sz w:val="24"/>
          <w:szCs w:val="24"/>
          <w:lang w:eastAsia="en-GB"/>
        </w:rPr>
      </w:pPr>
      <w:r w:rsidRPr="000420D9">
        <w:rPr>
          <w:rFonts w:ascii="Times New Roman" w:eastAsia="Times New Roman" w:hAnsi="Times New Roman" w:cs="Times New Roman"/>
          <w:b/>
          <w:bCs/>
          <w:sz w:val="24"/>
          <w:szCs w:val="24"/>
          <w:lang w:eastAsia="en-GB"/>
        </w:rPr>
        <w:t>4.2.1 Zinc Levels in Maize Varieties</w:t>
      </w:r>
    </w:p>
    <w:p w14:paraId="0581F1E3" w14:textId="77777777" w:rsidR="000E0C6D" w:rsidRDefault="000E0C6D" w:rsidP="0038231D">
      <w:pPr>
        <w:spacing w:before="100" w:beforeAutospacing="1" w:after="100" w:afterAutospacing="1" w:line="240" w:lineRule="auto"/>
        <w:jc w:val="both"/>
        <w:rPr>
          <w:rFonts w:ascii="Times New Roman" w:eastAsia="Times New Roman" w:hAnsi="Times New Roman" w:cs="Times New Roman"/>
          <w:b/>
          <w:bCs/>
          <w:sz w:val="24"/>
          <w:szCs w:val="24"/>
          <w:lang w:eastAsia="en-GB"/>
        </w:rPr>
      </w:pPr>
      <w:r>
        <w:rPr>
          <w:rFonts w:ascii="Times New Roman" w:hAnsi="Times New Roman" w:cs="Times New Roman"/>
          <w:noProof/>
          <w:lang w:eastAsia="en-GB"/>
        </w:rPr>
        <w:drawing>
          <wp:inline distT="0" distB="0" distL="0" distR="0" wp14:anchorId="47CBABF1" wp14:editId="6B90285F">
            <wp:extent cx="2486025" cy="1933575"/>
            <wp:effectExtent l="0" t="0" r="9525" b="9525"/>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652937C0" w14:textId="77777777" w:rsidR="000420D9" w:rsidRPr="000420D9" w:rsidRDefault="000420D9"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b/>
          <w:bCs/>
          <w:sz w:val="24"/>
          <w:szCs w:val="24"/>
          <w:lang w:eastAsia="en-GB"/>
        </w:rPr>
        <w:t>[Fig</w:t>
      </w:r>
      <w:r w:rsidR="000E0C6D">
        <w:rPr>
          <w:rFonts w:ascii="Times New Roman" w:eastAsia="Times New Roman" w:hAnsi="Times New Roman" w:cs="Times New Roman"/>
          <w:b/>
          <w:bCs/>
          <w:sz w:val="24"/>
          <w:szCs w:val="24"/>
          <w:lang w:eastAsia="en-GB"/>
        </w:rPr>
        <w:t xml:space="preserve">ure 4.6 </w:t>
      </w:r>
      <w:r w:rsidRPr="00CD25A2">
        <w:rPr>
          <w:rFonts w:ascii="Times New Roman" w:eastAsia="Times New Roman" w:hAnsi="Times New Roman" w:cs="Times New Roman"/>
          <w:bCs/>
          <w:sz w:val="24"/>
          <w:szCs w:val="24"/>
          <w:lang w:eastAsia="en-GB"/>
        </w:rPr>
        <w:t>Zinc levels in SC Sungura 301, SC Duma 43 and the Indigenous Kamba maize seeds]</w:t>
      </w:r>
    </w:p>
    <w:p w14:paraId="794CB9FB" w14:textId="77777777" w:rsidR="000420D9" w:rsidRPr="000420D9" w:rsidRDefault="000420D9"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sz w:val="24"/>
          <w:szCs w:val="24"/>
          <w:lang w:eastAsia="en-GB"/>
        </w:rPr>
        <w:t xml:space="preserve">Zinc concentrations in the three maize varieties were relatively uniform and low. SC Sungura 301 contained 0.343 ± 0.0505 mg/g zinc, SC Duma 43 had 0.389 ± 0.000704 mg/g, and the indigenous Kamba maize showed 0.372 ± 0.0257 mg/g. </w:t>
      </w:r>
      <w:r w:rsidRPr="000420D9">
        <w:rPr>
          <w:rFonts w:ascii="Times New Roman" w:eastAsia="Times New Roman" w:hAnsi="Times New Roman" w:cs="Times New Roman"/>
          <w:sz w:val="24"/>
          <w:szCs w:val="24"/>
          <w:lang w:eastAsia="en-GB"/>
        </w:rPr>
        <w:lastRenderedPageBreak/>
        <w:t>Among the three varieties, SC Duma 43 hybrid exhibited the highest zinc content, though the difference from the other varieties was small and may not be biologically significant. SC Sungura 301 had the lowest zinc level, while the indigenous variety fell between the two hybrids.</w:t>
      </w:r>
    </w:p>
    <w:p w14:paraId="0F87CE58" w14:textId="77777777" w:rsidR="000420D9" w:rsidRPr="000420D9" w:rsidRDefault="000420D9"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sz w:val="24"/>
          <w:szCs w:val="24"/>
          <w:lang w:eastAsia="en-GB"/>
        </w:rPr>
        <w:t>All three zinc concentrations were dramatically below the recommended levels of 30-95 mg/g established by WHO, FAO, and KEBS for adequate nutritional content in cereal grains. This severe zinc deficiency in the maize samples raises important concerns from a nutritional standpoint. Zinc is an essential micronutrient required for numerous physiological functions including immune system function, wound healing, protein synthesis, DNA synthesis, and cell division. Adequate zinc intake is particularly crucial for children's growth and development, pregnant and lactating women, and for maintaining general health in all age groups.</w:t>
      </w:r>
    </w:p>
    <w:p w14:paraId="6803B8B1" w14:textId="77777777" w:rsidR="000420D9" w:rsidRPr="000420D9" w:rsidRDefault="000420D9"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sz w:val="24"/>
          <w:szCs w:val="24"/>
          <w:lang w:eastAsia="en-GB"/>
        </w:rPr>
        <w:t xml:space="preserve">The low zinc levels found in these maize varieties suggest that communities relying heavily on maize as their staple food may be at risk of zinc deficiency. Dietary zinc deficiency manifests as impaired immune function leading to increased susceptibility to infections, delayed wound healing, loss of appetite, growth retardation in children, hair loss, </w:t>
      </w:r>
      <w:proofErr w:type="spellStart"/>
      <w:r w:rsidRPr="000420D9">
        <w:rPr>
          <w:rFonts w:ascii="Times New Roman" w:eastAsia="Times New Roman" w:hAnsi="Times New Roman" w:cs="Times New Roman"/>
          <w:sz w:val="24"/>
          <w:szCs w:val="24"/>
          <w:lang w:eastAsia="en-GB"/>
        </w:rPr>
        <w:t>diarrhea</w:t>
      </w:r>
      <w:proofErr w:type="spellEnd"/>
      <w:r w:rsidRPr="000420D9">
        <w:rPr>
          <w:rFonts w:ascii="Times New Roman" w:eastAsia="Times New Roman" w:hAnsi="Times New Roman" w:cs="Times New Roman"/>
          <w:sz w:val="24"/>
          <w:szCs w:val="24"/>
          <w:lang w:eastAsia="en-GB"/>
        </w:rPr>
        <w:t>, and mental lethargy. In severe cases, particularly in young children, zinc deficiency can contribute to stunting and increased mortality from infectious diseases.</w:t>
      </w:r>
    </w:p>
    <w:p w14:paraId="71D15D60" w14:textId="77777777" w:rsidR="000420D9" w:rsidRPr="000420D9" w:rsidRDefault="000420D9"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sz w:val="24"/>
          <w:szCs w:val="24"/>
          <w:lang w:eastAsia="en-GB"/>
        </w:rPr>
        <w:t xml:space="preserve">The reasons for low zinc content in these maize samples are likely multifactorial. Soil zinc deficiency is common in many Kenyan agricultural areas, particularly in soils with high pH, low organic matter content, or high phosphorus levels which can interfere with zinc availability. Additionally, the maize varieties themselves may not be efficient at zinc </w:t>
      </w:r>
      <w:r w:rsidRPr="000420D9">
        <w:rPr>
          <w:rFonts w:ascii="Times New Roman" w:eastAsia="Times New Roman" w:hAnsi="Times New Roman" w:cs="Times New Roman"/>
          <w:sz w:val="24"/>
          <w:szCs w:val="24"/>
          <w:lang w:eastAsia="en-GB"/>
        </w:rPr>
        <w:t>uptake or translocation to grains. Plant breeding efforts in recent decades have focused primarily on yield improvement rather than nutritional quality, potentially leading to reduced micronutrient density in modern cultivars.</w:t>
      </w:r>
    </w:p>
    <w:p w14:paraId="07F82E7B" w14:textId="77777777" w:rsidR="000420D9" w:rsidRPr="000420D9" w:rsidRDefault="000420D9"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sz w:val="24"/>
          <w:szCs w:val="24"/>
          <w:lang w:eastAsia="en-GB"/>
        </w:rPr>
        <w:t>While the immediate health concern in this study relates to toxic metal contamination, the zinc deficiency represents a chronic nutritional problem that undermines health and wellbeing over the long term. Biofortification strategies, including development of zinc-enriched maize varieties through conventional breeding or agronomic interventions such as zinc fertilization, may be necessary to address this nutritional gap.</w:t>
      </w:r>
    </w:p>
    <w:p w14:paraId="571BC8DF" w14:textId="77777777" w:rsidR="000420D9" w:rsidRPr="000420D9" w:rsidRDefault="000420D9"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sz w:val="24"/>
          <w:szCs w:val="24"/>
          <w:lang w:eastAsia="en-GB"/>
        </w:rPr>
        <w:t>It is worth noting that while the measured zinc levels are far below recommended nutritional levels, they are also well below concentrations that would cause toxicity. Zinc toxicity typically becomes a concern only at levels exceeding 100 mg/g, far above what was detected in these samples. Therefore, from a food safety perspective regarding zinc toxicity, these maize varieties pose no risk. However, the severe nutritional deficiency remains a significant public health concern that warrants attention through agricultural and nutritional interventions.</w:t>
      </w:r>
    </w:p>
    <w:p w14:paraId="5FF608F2" w14:textId="77777777" w:rsidR="000420D9" w:rsidRPr="000420D9" w:rsidRDefault="000420D9" w:rsidP="0038231D">
      <w:pPr>
        <w:spacing w:before="100" w:beforeAutospacing="1" w:after="100" w:afterAutospacing="1" w:line="240" w:lineRule="auto"/>
        <w:jc w:val="both"/>
        <w:outlineLvl w:val="3"/>
        <w:rPr>
          <w:rFonts w:ascii="Times New Roman" w:eastAsia="Times New Roman" w:hAnsi="Times New Roman" w:cs="Times New Roman"/>
          <w:b/>
          <w:bCs/>
          <w:sz w:val="24"/>
          <w:szCs w:val="24"/>
          <w:lang w:eastAsia="en-GB"/>
        </w:rPr>
      </w:pPr>
      <w:r w:rsidRPr="000420D9">
        <w:rPr>
          <w:rFonts w:ascii="Times New Roman" w:eastAsia="Times New Roman" w:hAnsi="Times New Roman" w:cs="Times New Roman"/>
          <w:b/>
          <w:bCs/>
          <w:sz w:val="24"/>
          <w:szCs w:val="24"/>
          <w:lang w:eastAsia="en-GB"/>
        </w:rPr>
        <w:t>4.2.2 Cadmium Levels in Maize Varieties</w:t>
      </w:r>
    </w:p>
    <w:p w14:paraId="7CC2285E" w14:textId="77777777" w:rsidR="000E0C6D" w:rsidRDefault="000E0C6D" w:rsidP="0038231D">
      <w:pPr>
        <w:spacing w:before="100" w:beforeAutospacing="1" w:after="100" w:afterAutospacing="1" w:line="240" w:lineRule="auto"/>
        <w:jc w:val="both"/>
        <w:rPr>
          <w:rFonts w:ascii="Times New Roman" w:eastAsia="Times New Roman" w:hAnsi="Times New Roman" w:cs="Times New Roman"/>
          <w:b/>
          <w:bCs/>
          <w:sz w:val="24"/>
          <w:szCs w:val="24"/>
          <w:lang w:eastAsia="en-GB"/>
        </w:rPr>
      </w:pPr>
      <w:r>
        <w:rPr>
          <w:rFonts w:ascii="Times New Roman" w:hAnsi="Times New Roman" w:cs="Times New Roman"/>
          <w:noProof/>
          <w:lang w:eastAsia="en-GB"/>
        </w:rPr>
        <w:drawing>
          <wp:inline distT="0" distB="0" distL="0" distR="0" wp14:anchorId="1469ACF7" wp14:editId="351D3B4D">
            <wp:extent cx="2619375" cy="1990725"/>
            <wp:effectExtent l="0" t="0" r="9525" b="9525"/>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3F939309" w14:textId="77777777" w:rsidR="000420D9" w:rsidRPr="000420D9" w:rsidRDefault="000420D9"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b/>
          <w:bCs/>
          <w:sz w:val="24"/>
          <w:szCs w:val="24"/>
          <w:lang w:eastAsia="en-GB"/>
        </w:rPr>
        <w:lastRenderedPageBreak/>
        <w:t>[Fig</w:t>
      </w:r>
      <w:r w:rsidR="000E0C6D">
        <w:rPr>
          <w:rFonts w:ascii="Times New Roman" w:eastAsia="Times New Roman" w:hAnsi="Times New Roman" w:cs="Times New Roman"/>
          <w:b/>
          <w:bCs/>
          <w:sz w:val="24"/>
          <w:szCs w:val="24"/>
          <w:lang w:eastAsia="en-GB"/>
        </w:rPr>
        <w:t xml:space="preserve">ure 4.7 </w:t>
      </w:r>
      <w:r w:rsidRPr="00CD25A2">
        <w:rPr>
          <w:rFonts w:ascii="Times New Roman" w:eastAsia="Times New Roman" w:hAnsi="Times New Roman" w:cs="Times New Roman"/>
          <w:bCs/>
          <w:sz w:val="24"/>
          <w:szCs w:val="24"/>
          <w:lang w:eastAsia="en-GB"/>
        </w:rPr>
        <w:t>Cadmium levels in SC Sungura 301, SC Duma 43 and the Indigenous Kamba maize</w:t>
      </w:r>
      <w:r w:rsidRPr="000420D9">
        <w:rPr>
          <w:rFonts w:ascii="Times New Roman" w:eastAsia="Times New Roman" w:hAnsi="Times New Roman" w:cs="Times New Roman"/>
          <w:b/>
          <w:bCs/>
          <w:sz w:val="24"/>
          <w:szCs w:val="24"/>
          <w:lang w:eastAsia="en-GB"/>
        </w:rPr>
        <w:t>]</w:t>
      </w:r>
    </w:p>
    <w:p w14:paraId="1B7CA7E6" w14:textId="77777777" w:rsidR="000420D9" w:rsidRPr="000420D9" w:rsidRDefault="000420D9"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sz w:val="24"/>
          <w:szCs w:val="24"/>
          <w:lang w:eastAsia="en-GB"/>
        </w:rPr>
        <w:t>Cadmium levels in the three maize varieties presented the first major food safety concern identified in this study. The concentrations measured were 1.998 ± 0.110 mg/g in SC Sungura 301, 0.562 ± 0.217 mg/g in SC Duma 43, and 1.843 ± 0.373 mg/g in the indigenous Kamba maize. These values far exceeded the maximum permissible limits of 0.1-0.5 mg/g established by WHO, FAO, and KEBS for cadmium in food grains. SC Sungura 301 showed the highest cadmium contamination, approximately four to twenty times higher than the upper safety limit, depending on which regulatory threshold is applied. The indigenous Kamba variety exhibited similarly elevated levels at 1.843 mg/g, while SC Duma 43 showed the lowest contamination among the three varieties, though still exceeding the safety limits.</w:t>
      </w:r>
    </w:p>
    <w:p w14:paraId="1841DE0D" w14:textId="77777777" w:rsidR="000420D9" w:rsidRPr="000420D9" w:rsidRDefault="000420D9"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sz w:val="24"/>
          <w:szCs w:val="24"/>
          <w:lang w:eastAsia="en-GB"/>
        </w:rPr>
        <w:t>The presence of cadmium at these elevated concentrations renders all three maize varieties unsafe for human consumption according to international food safety standards. Cadmium is classified as a Group 1 human carcinogen by the International Agency for Research on Cancer, with well-documented evidence of its carcinogenic potential. The metal accumulates primarily in kidneys and liver, where it has an extremely long biological half-life ranging from 10 to 30 years. This means that even relatively low daily intakes can lead to progressive accumulation over a lifetime, eventually reaching toxic levels.</w:t>
      </w:r>
    </w:p>
    <w:p w14:paraId="31F054BE" w14:textId="77777777" w:rsidR="000420D9" w:rsidRPr="000420D9" w:rsidRDefault="000420D9"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sz w:val="24"/>
          <w:szCs w:val="24"/>
          <w:lang w:eastAsia="en-GB"/>
        </w:rPr>
        <w:t>The health consequences of chronic cadmium exposure through dietary intake are severe and multisystemic. Kidney damage represents the most characteristic and sensitive endpoint of cadmium toxicity. The metal specifically targets the proximal tubules of the nephron, causing tubular dysfunction that manifests initially as low-</w:t>
      </w:r>
      <w:r w:rsidRPr="000420D9">
        <w:rPr>
          <w:rFonts w:ascii="Times New Roman" w:eastAsia="Times New Roman" w:hAnsi="Times New Roman" w:cs="Times New Roman"/>
          <w:sz w:val="24"/>
          <w:szCs w:val="24"/>
          <w:lang w:eastAsia="en-GB"/>
        </w:rPr>
        <w:t>molecular-weight proteinuria. As exposure continues and cadmium accumulates, more severe nephrotoxicity develops, including generalized proximal tubular dysfunction known as Fanconi syndrome. This condition is characterized by excessive urinary losses of glucose, phosphate, amino acids, and other substances that should be reabsorbed by healthy kidneys. The urinary losses of calcium and phosphate contribute to the skeletal manifestations of cadmium poisoning.</w:t>
      </w:r>
    </w:p>
    <w:p w14:paraId="6BEFC374" w14:textId="77777777" w:rsidR="000420D9" w:rsidRPr="000420D9" w:rsidRDefault="000420D9"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sz w:val="24"/>
          <w:szCs w:val="24"/>
          <w:lang w:eastAsia="en-GB"/>
        </w:rPr>
        <w:t xml:space="preserve">Cadmium-induced bone disease can present as </w:t>
      </w:r>
      <w:proofErr w:type="spellStart"/>
      <w:r w:rsidRPr="000420D9">
        <w:rPr>
          <w:rFonts w:ascii="Times New Roman" w:eastAsia="Times New Roman" w:hAnsi="Times New Roman" w:cs="Times New Roman"/>
          <w:sz w:val="24"/>
          <w:szCs w:val="24"/>
          <w:lang w:eastAsia="en-GB"/>
        </w:rPr>
        <w:t>osteomalacia</w:t>
      </w:r>
      <w:proofErr w:type="spellEnd"/>
      <w:r w:rsidRPr="000420D9">
        <w:rPr>
          <w:rFonts w:ascii="Times New Roman" w:eastAsia="Times New Roman" w:hAnsi="Times New Roman" w:cs="Times New Roman"/>
          <w:sz w:val="24"/>
          <w:szCs w:val="24"/>
          <w:lang w:eastAsia="en-GB"/>
        </w:rPr>
        <w:t xml:space="preserve">, osteoporosis, and in severe cases, the extremely painful condition known as </w:t>
      </w:r>
      <w:proofErr w:type="spellStart"/>
      <w:r w:rsidRPr="000420D9">
        <w:rPr>
          <w:rFonts w:ascii="Times New Roman" w:eastAsia="Times New Roman" w:hAnsi="Times New Roman" w:cs="Times New Roman"/>
          <w:sz w:val="24"/>
          <w:szCs w:val="24"/>
          <w:lang w:eastAsia="en-GB"/>
        </w:rPr>
        <w:t>itai-itai</w:t>
      </w:r>
      <w:proofErr w:type="spellEnd"/>
      <w:r w:rsidRPr="000420D9">
        <w:rPr>
          <w:rFonts w:ascii="Times New Roman" w:eastAsia="Times New Roman" w:hAnsi="Times New Roman" w:cs="Times New Roman"/>
          <w:sz w:val="24"/>
          <w:szCs w:val="24"/>
          <w:lang w:eastAsia="en-GB"/>
        </w:rPr>
        <w:t xml:space="preserve"> disease, which was first identified in Japan among populations exposed to high cadmium levels through contaminated rice consumption. The disease causes severe bone pain, fractures, and skeletal deformities due to cadmium's interference with vitamin D metabolism and calcium-phosphate homeostasis, combined with direct toxic effects on bone cells.</w:t>
      </w:r>
    </w:p>
    <w:p w14:paraId="682A2F73" w14:textId="77777777" w:rsidR="000420D9" w:rsidRPr="000420D9" w:rsidRDefault="000420D9"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sz w:val="24"/>
          <w:szCs w:val="24"/>
          <w:lang w:eastAsia="en-GB"/>
        </w:rPr>
        <w:t xml:space="preserve">Beyond kidney and bone effects, cadmium damages the liver, causing hepatocellular injury, elevated liver enzymes, and potentially fibrosis with prolonged exposure. The metal generates oxidative stress by depleting cellular antioxidant </w:t>
      </w:r>
      <w:proofErr w:type="spellStart"/>
      <w:r w:rsidRPr="000420D9">
        <w:rPr>
          <w:rFonts w:ascii="Times New Roman" w:eastAsia="Times New Roman" w:hAnsi="Times New Roman" w:cs="Times New Roman"/>
          <w:sz w:val="24"/>
          <w:szCs w:val="24"/>
          <w:lang w:eastAsia="en-GB"/>
        </w:rPr>
        <w:t>defenses</w:t>
      </w:r>
      <w:proofErr w:type="spellEnd"/>
      <w:r w:rsidRPr="000420D9">
        <w:rPr>
          <w:rFonts w:ascii="Times New Roman" w:eastAsia="Times New Roman" w:hAnsi="Times New Roman" w:cs="Times New Roman"/>
          <w:sz w:val="24"/>
          <w:szCs w:val="24"/>
          <w:lang w:eastAsia="en-GB"/>
        </w:rPr>
        <w:t xml:space="preserve">, particularly glutathione, and promoting formation of reactive oxygen species. This oxidative damage affects multiple cellular components including lipids, proteins, and DNA. Cadmium's neurotoxic properties affect both central and peripheral nervous systems, causing olfactory dysfunction, learning disabilities, </w:t>
      </w:r>
      <w:proofErr w:type="spellStart"/>
      <w:r w:rsidRPr="000420D9">
        <w:rPr>
          <w:rFonts w:ascii="Times New Roman" w:eastAsia="Times New Roman" w:hAnsi="Times New Roman" w:cs="Times New Roman"/>
          <w:sz w:val="24"/>
          <w:szCs w:val="24"/>
          <w:lang w:eastAsia="en-GB"/>
        </w:rPr>
        <w:t>behavioral</w:t>
      </w:r>
      <w:proofErr w:type="spellEnd"/>
      <w:r w:rsidRPr="000420D9">
        <w:rPr>
          <w:rFonts w:ascii="Times New Roman" w:eastAsia="Times New Roman" w:hAnsi="Times New Roman" w:cs="Times New Roman"/>
          <w:sz w:val="24"/>
          <w:szCs w:val="24"/>
          <w:lang w:eastAsia="en-GB"/>
        </w:rPr>
        <w:t xml:space="preserve"> changes, and motor impairment.</w:t>
      </w:r>
    </w:p>
    <w:p w14:paraId="356B47CA" w14:textId="77777777" w:rsidR="000420D9" w:rsidRPr="000420D9" w:rsidRDefault="000420D9"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sz w:val="24"/>
          <w:szCs w:val="24"/>
          <w:lang w:eastAsia="en-GB"/>
        </w:rPr>
        <w:t xml:space="preserve">The high cadmium levels found in these maize varieties are particularly concerning given that maize serves as a staple food consumed daily in large quantities by households in </w:t>
      </w:r>
      <w:proofErr w:type="spellStart"/>
      <w:r w:rsidRPr="000420D9">
        <w:rPr>
          <w:rFonts w:ascii="Times New Roman" w:eastAsia="Times New Roman" w:hAnsi="Times New Roman" w:cs="Times New Roman"/>
          <w:sz w:val="24"/>
          <w:szCs w:val="24"/>
          <w:lang w:eastAsia="en-GB"/>
        </w:rPr>
        <w:t>Masii</w:t>
      </w:r>
      <w:proofErr w:type="spellEnd"/>
      <w:r w:rsidRPr="000420D9">
        <w:rPr>
          <w:rFonts w:ascii="Times New Roman" w:eastAsia="Times New Roman" w:hAnsi="Times New Roman" w:cs="Times New Roman"/>
          <w:sz w:val="24"/>
          <w:szCs w:val="24"/>
          <w:lang w:eastAsia="en-GB"/>
        </w:rPr>
        <w:t xml:space="preserve"> Location and throughout Machakos County. With typical maize consumption rates in Kenya </w:t>
      </w:r>
      <w:r w:rsidRPr="000420D9">
        <w:rPr>
          <w:rFonts w:ascii="Times New Roman" w:eastAsia="Times New Roman" w:hAnsi="Times New Roman" w:cs="Times New Roman"/>
          <w:sz w:val="24"/>
          <w:szCs w:val="24"/>
          <w:lang w:eastAsia="en-GB"/>
        </w:rPr>
        <w:lastRenderedPageBreak/>
        <w:t>averaging 200-400 grams per person per day, individuals consuming this contaminated maize would be exposed to cadmium doses far exceeding safe intake levels. The provisional tolerable weekly intake for cadmium, as established by WHO and FAO, is 2.5 micrograms per kilogram body weight. For a 60-kilogram adult, this translates to 150 micrograms per week or approximately 21 micrograms per day. Consumption of just 100 grams of maize containing 1.8 mg/g cadmium would deliver 180 milligrams of cadmium, more than 8,500 times the acceptable daily intake. Even accounting for the fact that bioavailability from food is typically lower than 100%, the exposure levels remain grossly excessive and pose serious health risks.</w:t>
      </w:r>
    </w:p>
    <w:p w14:paraId="6FADD145" w14:textId="77777777" w:rsidR="000420D9" w:rsidRPr="000420D9" w:rsidRDefault="000420D9"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sz w:val="24"/>
          <w:szCs w:val="24"/>
          <w:lang w:eastAsia="en-GB"/>
        </w:rPr>
        <w:t>The sources of cadmium contamination in these maize samples require investigation. Possible pathways include use of phosphate fertilizers contaminated with cadmium, irrigation with contaminated water, atmospheric deposition from industrial sources or waste burning, and natural geological sources if the area has cadmium-rich parent rock. The observation that all three varieties, including both modern hybrids and the traditional indigenous type, show elevated cadmium suggests that the contamination source is environmental rather than variety-specific, though the differences in uptake efficiency between varieties indicate that genetic factors also play a role.</w:t>
      </w:r>
    </w:p>
    <w:p w14:paraId="7A422971" w14:textId="77777777" w:rsidR="000420D9" w:rsidRPr="000420D9" w:rsidRDefault="000420D9" w:rsidP="0038231D">
      <w:pPr>
        <w:spacing w:before="100" w:beforeAutospacing="1" w:after="100" w:afterAutospacing="1" w:line="240" w:lineRule="auto"/>
        <w:jc w:val="both"/>
        <w:outlineLvl w:val="3"/>
        <w:rPr>
          <w:rFonts w:ascii="Times New Roman" w:eastAsia="Times New Roman" w:hAnsi="Times New Roman" w:cs="Times New Roman"/>
          <w:b/>
          <w:bCs/>
          <w:sz w:val="24"/>
          <w:szCs w:val="24"/>
          <w:lang w:eastAsia="en-GB"/>
        </w:rPr>
      </w:pPr>
      <w:r w:rsidRPr="000420D9">
        <w:rPr>
          <w:rFonts w:ascii="Times New Roman" w:eastAsia="Times New Roman" w:hAnsi="Times New Roman" w:cs="Times New Roman"/>
          <w:b/>
          <w:bCs/>
          <w:sz w:val="24"/>
          <w:szCs w:val="24"/>
          <w:lang w:eastAsia="en-GB"/>
        </w:rPr>
        <w:t>4.2.3 Copper Levels in Maize Varieties</w:t>
      </w:r>
    </w:p>
    <w:p w14:paraId="573CCB1C" w14:textId="77777777" w:rsidR="000E0C6D" w:rsidRDefault="000E0C6D" w:rsidP="0038231D">
      <w:pPr>
        <w:spacing w:before="100" w:beforeAutospacing="1" w:after="100" w:afterAutospacing="1" w:line="240" w:lineRule="auto"/>
        <w:jc w:val="both"/>
        <w:rPr>
          <w:rFonts w:ascii="Times New Roman" w:eastAsia="Times New Roman" w:hAnsi="Times New Roman" w:cs="Times New Roman"/>
          <w:b/>
          <w:bCs/>
          <w:sz w:val="24"/>
          <w:szCs w:val="24"/>
          <w:lang w:eastAsia="en-GB"/>
        </w:rPr>
      </w:pPr>
      <w:r>
        <w:rPr>
          <w:rFonts w:ascii="Times New Roman" w:hAnsi="Times New Roman" w:cs="Times New Roman"/>
          <w:noProof/>
          <w:lang w:eastAsia="en-GB"/>
        </w:rPr>
        <w:drawing>
          <wp:inline distT="0" distB="0" distL="0" distR="0" wp14:anchorId="3D78BBF6" wp14:editId="5BCF8EAD">
            <wp:extent cx="2590800" cy="2819400"/>
            <wp:effectExtent l="0" t="0" r="0"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sidRPr="000420D9">
        <w:rPr>
          <w:rFonts w:ascii="Times New Roman" w:eastAsia="Times New Roman" w:hAnsi="Times New Roman" w:cs="Times New Roman"/>
          <w:b/>
          <w:bCs/>
          <w:sz w:val="24"/>
          <w:szCs w:val="24"/>
          <w:lang w:eastAsia="en-GB"/>
        </w:rPr>
        <w:t xml:space="preserve"> </w:t>
      </w:r>
    </w:p>
    <w:p w14:paraId="5248E323" w14:textId="77777777" w:rsidR="000420D9" w:rsidRPr="000420D9" w:rsidRDefault="000420D9"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b/>
          <w:bCs/>
          <w:sz w:val="24"/>
          <w:szCs w:val="24"/>
          <w:lang w:eastAsia="en-GB"/>
        </w:rPr>
        <w:t>[</w:t>
      </w:r>
      <w:r w:rsidR="000E0C6D">
        <w:rPr>
          <w:rFonts w:ascii="Times New Roman" w:eastAsia="Times New Roman" w:hAnsi="Times New Roman" w:cs="Times New Roman"/>
          <w:b/>
          <w:bCs/>
          <w:sz w:val="24"/>
          <w:szCs w:val="24"/>
          <w:lang w:eastAsia="en-GB"/>
        </w:rPr>
        <w:t xml:space="preserve">Figure 4.8 </w:t>
      </w:r>
      <w:r w:rsidRPr="00CD25A2">
        <w:rPr>
          <w:rFonts w:ascii="Times New Roman" w:eastAsia="Times New Roman" w:hAnsi="Times New Roman" w:cs="Times New Roman"/>
          <w:bCs/>
          <w:sz w:val="24"/>
          <w:szCs w:val="24"/>
          <w:lang w:eastAsia="en-GB"/>
        </w:rPr>
        <w:t>Copper levels in SC Sungura 301, SC Duma 43 and the Indigenous Kamba maize</w:t>
      </w:r>
      <w:r w:rsidRPr="000420D9">
        <w:rPr>
          <w:rFonts w:ascii="Times New Roman" w:eastAsia="Times New Roman" w:hAnsi="Times New Roman" w:cs="Times New Roman"/>
          <w:b/>
          <w:bCs/>
          <w:sz w:val="24"/>
          <w:szCs w:val="24"/>
          <w:lang w:eastAsia="en-GB"/>
        </w:rPr>
        <w:t>]</w:t>
      </w:r>
    </w:p>
    <w:p w14:paraId="513E9A1E" w14:textId="77777777" w:rsidR="000420D9" w:rsidRPr="000420D9" w:rsidRDefault="000420D9"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sz w:val="24"/>
          <w:szCs w:val="24"/>
          <w:lang w:eastAsia="en-GB"/>
        </w:rPr>
        <w:t>Copper concentrations in the maize varieties were relatively uniform and low, with SC Sungura 301 containing 0.756 ± 0.101 mg/g, SC Duma 43 showing 0.741 ± 0.0741 mg/g, and the indigenous Kamba maize having 0.700 ± 0.0380 mg/g. These values were substantially below the recommended range of 10-50 mg/g established by regulatory authorities for adequate nutritional content in cereal grains. The indigenous Kamba variety had the lowest copper content, while SC Sungura 301 exhibited slightly higher levels, though the differences among varieties were small.</w:t>
      </w:r>
    </w:p>
    <w:p w14:paraId="69AB5A05" w14:textId="77777777" w:rsidR="000420D9" w:rsidRPr="000420D9" w:rsidRDefault="000420D9"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sz w:val="24"/>
          <w:szCs w:val="24"/>
          <w:lang w:eastAsia="en-GB"/>
        </w:rPr>
        <w:t xml:space="preserve">From a food safety perspective regarding copper toxicity, these levels pose no concern. Copper toxicity in humans typically requires intake of amounts far exceeding what these maize samples contain. The absence of copper contamination is encouraging, as excessive copper can cause serious health problems including liver damage, gastrointestinal distress, and neurological effects. The levels detected are consistent with normal background copper content in cereals and suggest that agricultural practices in the </w:t>
      </w:r>
      <w:r w:rsidRPr="000420D9">
        <w:rPr>
          <w:rFonts w:ascii="Times New Roman" w:eastAsia="Times New Roman" w:hAnsi="Times New Roman" w:cs="Times New Roman"/>
          <w:sz w:val="24"/>
          <w:szCs w:val="24"/>
          <w:lang w:eastAsia="en-GB"/>
        </w:rPr>
        <w:lastRenderedPageBreak/>
        <w:t>study area are not introducing problematic copper contamination.</w:t>
      </w:r>
    </w:p>
    <w:p w14:paraId="6DA96BF2" w14:textId="77777777" w:rsidR="000420D9" w:rsidRPr="000420D9" w:rsidRDefault="000420D9"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sz w:val="24"/>
          <w:szCs w:val="24"/>
          <w:lang w:eastAsia="en-GB"/>
        </w:rPr>
        <w:t xml:space="preserve">However, similar to the situation with zinc, the low copper levels raise nutritional concerns. Copper is an essential trace element required for numerous physiological functions including iron metabolism and </w:t>
      </w:r>
      <w:proofErr w:type="spellStart"/>
      <w:r w:rsidRPr="000420D9">
        <w:rPr>
          <w:rFonts w:ascii="Times New Roman" w:eastAsia="Times New Roman" w:hAnsi="Times New Roman" w:cs="Times New Roman"/>
          <w:sz w:val="24"/>
          <w:szCs w:val="24"/>
          <w:lang w:eastAsia="en-GB"/>
        </w:rPr>
        <w:t>hemoglobin</w:t>
      </w:r>
      <w:proofErr w:type="spellEnd"/>
      <w:r w:rsidRPr="000420D9">
        <w:rPr>
          <w:rFonts w:ascii="Times New Roman" w:eastAsia="Times New Roman" w:hAnsi="Times New Roman" w:cs="Times New Roman"/>
          <w:sz w:val="24"/>
          <w:szCs w:val="24"/>
          <w:lang w:eastAsia="en-GB"/>
        </w:rPr>
        <w:t xml:space="preserve"> formation, connective tissue formation through </w:t>
      </w:r>
      <w:proofErr w:type="spellStart"/>
      <w:r w:rsidRPr="000420D9">
        <w:rPr>
          <w:rFonts w:ascii="Times New Roman" w:eastAsia="Times New Roman" w:hAnsi="Times New Roman" w:cs="Times New Roman"/>
          <w:sz w:val="24"/>
          <w:szCs w:val="24"/>
          <w:lang w:eastAsia="en-GB"/>
        </w:rPr>
        <w:t>lysyl</w:t>
      </w:r>
      <w:proofErr w:type="spellEnd"/>
      <w:r w:rsidRPr="000420D9">
        <w:rPr>
          <w:rFonts w:ascii="Times New Roman" w:eastAsia="Times New Roman" w:hAnsi="Times New Roman" w:cs="Times New Roman"/>
          <w:sz w:val="24"/>
          <w:szCs w:val="24"/>
          <w:lang w:eastAsia="en-GB"/>
        </w:rPr>
        <w:t xml:space="preserve"> oxidase activity, energy production in mitochondria, neurotransmitter synthesis, immune function, and antioxidant </w:t>
      </w:r>
      <w:proofErr w:type="spellStart"/>
      <w:r w:rsidRPr="000420D9">
        <w:rPr>
          <w:rFonts w:ascii="Times New Roman" w:eastAsia="Times New Roman" w:hAnsi="Times New Roman" w:cs="Times New Roman"/>
          <w:sz w:val="24"/>
          <w:szCs w:val="24"/>
          <w:lang w:eastAsia="en-GB"/>
        </w:rPr>
        <w:t>defense</w:t>
      </w:r>
      <w:proofErr w:type="spellEnd"/>
      <w:r w:rsidRPr="000420D9">
        <w:rPr>
          <w:rFonts w:ascii="Times New Roman" w:eastAsia="Times New Roman" w:hAnsi="Times New Roman" w:cs="Times New Roman"/>
          <w:sz w:val="24"/>
          <w:szCs w:val="24"/>
          <w:lang w:eastAsia="en-GB"/>
        </w:rPr>
        <w:t xml:space="preserve"> through copper-zinc superoxide dismutase. Copper deficiency, while less common than iron or zinc deficiency, can cause </w:t>
      </w:r>
      <w:proofErr w:type="spellStart"/>
      <w:r w:rsidRPr="000420D9">
        <w:rPr>
          <w:rFonts w:ascii="Times New Roman" w:eastAsia="Times New Roman" w:hAnsi="Times New Roman" w:cs="Times New Roman"/>
          <w:sz w:val="24"/>
          <w:szCs w:val="24"/>
          <w:lang w:eastAsia="en-GB"/>
        </w:rPr>
        <w:t>anemia</w:t>
      </w:r>
      <w:proofErr w:type="spellEnd"/>
      <w:r w:rsidRPr="000420D9">
        <w:rPr>
          <w:rFonts w:ascii="Times New Roman" w:eastAsia="Times New Roman" w:hAnsi="Times New Roman" w:cs="Times New Roman"/>
          <w:sz w:val="24"/>
          <w:szCs w:val="24"/>
          <w:lang w:eastAsia="en-GB"/>
        </w:rPr>
        <w:t xml:space="preserve"> that does not respond to iron supplementation, neutropenia leading to increased infection susceptibility, bone abnormalities including osteoporosis, neurological problems, and cardiovascular issues.</w:t>
      </w:r>
    </w:p>
    <w:p w14:paraId="179F25F7" w14:textId="77777777" w:rsidR="000420D9" w:rsidRPr="000420D9" w:rsidRDefault="000420D9"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sz w:val="24"/>
          <w:szCs w:val="24"/>
          <w:lang w:eastAsia="en-GB"/>
        </w:rPr>
        <w:t>The deficiency in copper, combined with the already noted zinc deficiency, suggests that maize from this region may not provide adequate levels of essential trace minerals. This micronutrient deficiency pattern likely reflects soil nutrient depletion, inadequate fertilization practices focusing primarily on macronutrients like nitrogen and phosphorus while neglecting micronutrients, and possibly selection of high-yielding varieties that have lower mineral density due to dilution effects as more biomass is produced from the same soil mineral supply.</w:t>
      </w:r>
    </w:p>
    <w:p w14:paraId="4F8042BB" w14:textId="77777777" w:rsidR="000420D9" w:rsidRPr="000420D9" w:rsidRDefault="000420D9" w:rsidP="0038231D">
      <w:pPr>
        <w:spacing w:before="100" w:beforeAutospacing="1" w:after="100" w:afterAutospacing="1" w:line="240" w:lineRule="auto"/>
        <w:jc w:val="both"/>
        <w:outlineLvl w:val="3"/>
        <w:rPr>
          <w:rFonts w:ascii="Times New Roman" w:eastAsia="Times New Roman" w:hAnsi="Times New Roman" w:cs="Times New Roman"/>
          <w:b/>
          <w:bCs/>
          <w:sz w:val="24"/>
          <w:szCs w:val="24"/>
          <w:lang w:eastAsia="en-GB"/>
        </w:rPr>
      </w:pPr>
      <w:r w:rsidRPr="000420D9">
        <w:rPr>
          <w:rFonts w:ascii="Times New Roman" w:eastAsia="Times New Roman" w:hAnsi="Times New Roman" w:cs="Times New Roman"/>
          <w:b/>
          <w:bCs/>
          <w:sz w:val="24"/>
          <w:szCs w:val="24"/>
          <w:lang w:eastAsia="en-GB"/>
        </w:rPr>
        <w:t>4.2.4 Manganese Levels in Maize Varieties</w:t>
      </w:r>
    </w:p>
    <w:p w14:paraId="068CDD26" w14:textId="77777777" w:rsidR="0038231D" w:rsidRDefault="0038231D" w:rsidP="0038231D">
      <w:pPr>
        <w:spacing w:before="100" w:beforeAutospacing="1" w:after="100" w:afterAutospacing="1" w:line="240" w:lineRule="auto"/>
        <w:jc w:val="both"/>
        <w:rPr>
          <w:rFonts w:ascii="Times New Roman" w:eastAsia="Times New Roman" w:hAnsi="Times New Roman" w:cs="Times New Roman"/>
          <w:b/>
          <w:bCs/>
          <w:sz w:val="24"/>
          <w:szCs w:val="24"/>
          <w:lang w:eastAsia="en-GB"/>
        </w:rPr>
      </w:pPr>
      <w:r>
        <w:rPr>
          <w:rFonts w:ascii="Times New Roman" w:hAnsi="Times New Roman" w:cs="Times New Roman"/>
          <w:noProof/>
          <w:lang w:eastAsia="en-GB"/>
        </w:rPr>
        <w:drawing>
          <wp:inline distT="0" distB="0" distL="0" distR="0" wp14:anchorId="44A17989" wp14:editId="01C04BD3">
            <wp:extent cx="2676525" cy="2847975"/>
            <wp:effectExtent l="0" t="0" r="9525" b="9525"/>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650CACC8" w14:textId="77777777" w:rsidR="000420D9" w:rsidRPr="000420D9" w:rsidRDefault="0038231D"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r>
        <w:rPr>
          <w:rFonts w:ascii="Times New Roman" w:eastAsia="Times New Roman" w:hAnsi="Times New Roman" w:cs="Times New Roman"/>
          <w:b/>
          <w:bCs/>
          <w:sz w:val="24"/>
          <w:szCs w:val="24"/>
          <w:lang w:eastAsia="en-GB"/>
        </w:rPr>
        <w:t xml:space="preserve">[Figure 4.9 </w:t>
      </w:r>
      <w:r w:rsidR="000420D9" w:rsidRPr="00CD25A2">
        <w:rPr>
          <w:rFonts w:ascii="Times New Roman" w:eastAsia="Times New Roman" w:hAnsi="Times New Roman" w:cs="Times New Roman"/>
          <w:bCs/>
          <w:sz w:val="24"/>
          <w:szCs w:val="24"/>
          <w:lang w:eastAsia="en-GB"/>
        </w:rPr>
        <w:t>Manganese levels in SC Sungura 301, SC Duma 43 and the Indigenous Kamba maize</w:t>
      </w:r>
      <w:r w:rsidR="000420D9" w:rsidRPr="000420D9">
        <w:rPr>
          <w:rFonts w:ascii="Times New Roman" w:eastAsia="Times New Roman" w:hAnsi="Times New Roman" w:cs="Times New Roman"/>
          <w:b/>
          <w:bCs/>
          <w:sz w:val="24"/>
          <w:szCs w:val="24"/>
          <w:lang w:eastAsia="en-GB"/>
        </w:rPr>
        <w:t>]</w:t>
      </w:r>
    </w:p>
    <w:p w14:paraId="324D546A" w14:textId="77777777" w:rsidR="000420D9" w:rsidRPr="000420D9" w:rsidRDefault="000420D9"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sz w:val="24"/>
          <w:szCs w:val="24"/>
          <w:lang w:eastAsia="en-GB"/>
        </w:rPr>
        <w:t>Manganese concentrations showed considerable variation among the three maize varieties. SC Sungura 301 contained 2.745 ± 0.851 mg/g, SC Duma 43 had 1.748 ± 0.110 mg/g, and the indigenous Kamba maize showed only 0.270 ± 0.0586 mg/g. This represents more than a ten-fold difference between the highest and lowest values, indicating substantial varietal differences in manganese accumulation. The indigenous Kamba variety had dramatically lower manganese content compared to both hybrid varieties, while SC Sungura 301 exhibited the highest levels.</w:t>
      </w:r>
    </w:p>
    <w:p w14:paraId="5BAC4597" w14:textId="77777777" w:rsidR="000420D9" w:rsidRPr="000420D9" w:rsidRDefault="000420D9"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sz w:val="24"/>
          <w:szCs w:val="24"/>
          <w:lang w:eastAsia="en-GB"/>
        </w:rPr>
        <w:t xml:space="preserve">Despite this variability, all three values fell below the recommended range of 5-20 mg/g established by WHO, FAO, and KEBS for adequate manganese content in food grains. From a toxicity standpoint, none of the samples approached the threshold of concern, as manganese toxicity typically becomes problematic only at levels exceeding 20 mg/g. The absence of manganese contamination is positive from a safety perspective, as excessive manganese intake can cause serious neurological problems including a </w:t>
      </w:r>
      <w:r w:rsidRPr="000420D9">
        <w:rPr>
          <w:rFonts w:ascii="Times New Roman" w:eastAsia="Times New Roman" w:hAnsi="Times New Roman" w:cs="Times New Roman"/>
          <w:sz w:val="24"/>
          <w:szCs w:val="24"/>
          <w:lang w:eastAsia="en-GB"/>
        </w:rPr>
        <w:lastRenderedPageBreak/>
        <w:t xml:space="preserve">Parkinson's-like syndrome known as </w:t>
      </w:r>
      <w:proofErr w:type="spellStart"/>
      <w:r w:rsidRPr="000420D9">
        <w:rPr>
          <w:rFonts w:ascii="Times New Roman" w:eastAsia="Times New Roman" w:hAnsi="Times New Roman" w:cs="Times New Roman"/>
          <w:sz w:val="24"/>
          <w:szCs w:val="24"/>
          <w:lang w:eastAsia="en-GB"/>
        </w:rPr>
        <w:t>manganism</w:t>
      </w:r>
      <w:proofErr w:type="spellEnd"/>
      <w:r w:rsidRPr="000420D9">
        <w:rPr>
          <w:rFonts w:ascii="Times New Roman" w:eastAsia="Times New Roman" w:hAnsi="Times New Roman" w:cs="Times New Roman"/>
          <w:sz w:val="24"/>
          <w:szCs w:val="24"/>
          <w:lang w:eastAsia="en-GB"/>
        </w:rPr>
        <w:t>.</w:t>
      </w:r>
    </w:p>
    <w:p w14:paraId="7AF69EF3" w14:textId="77777777" w:rsidR="000420D9" w:rsidRPr="000420D9" w:rsidRDefault="000420D9"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sz w:val="24"/>
          <w:szCs w:val="24"/>
          <w:lang w:eastAsia="en-GB"/>
        </w:rPr>
        <w:t>The relatively high standard deviation observed for SC Sungura 301 manganese measurements (±0.851) compared to the mean value (2.745) indicates considerable variability among replicate samples. This variability could reflect heterogeneity in the original sample, variations in the growing conditions or soil manganese availability across different parts of the farm, or analytical measurement uncertainty. The coefficient of variation for this measurement is approximately 31%, which is higher than desirable for quantitative analysis and suggests that the manganese results should be interpreted with appropriate caution.</w:t>
      </w:r>
    </w:p>
    <w:p w14:paraId="623CBC19" w14:textId="77777777" w:rsidR="000420D9" w:rsidRPr="000420D9" w:rsidRDefault="000420D9"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sz w:val="24"/>
          <w:szCs w:val="24"/>
          <w:lang w:eastAsia="en-GB"/>
        </w:rPr>
        <w:t>From a nutritional perspective, the low manganese levels, particularly in the indigenous variety, may contribute to dietary inadequacy. Manganese is an essential trace element required for bone formation, amino acid metabolism, cholesterol and carbohydrate metabolism, and functioning as a cofactor for several important enzymes including manganese superoxide dismutase, an antioxidant enzyme. While manganese deficiency in humans is rare due to the widespread occurrence of this element in plant foods, very low dietary intake could theoretically contribute to impaired growth, skeletal abnormalities, altered glucose and lipid metabolism, and increased oxidative stress.</w:t>
      </w:r>
    </w:p>
    <w:p w14:paraId="4F08F39B" w14:textId="77777777" w:rsidR="000420D9" w:rsidRPr="000420D9" w:rsidRDefault="000420D9"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sz w:val="24"/>
          <w:szCs w:val="24"/>
          <w:lang w:eastAsia="en-GB"/>
        </w:rPr>
        <w:t>The varietal differences in manganese accumulation are noteworthy and suggest that genetic factors influence uptake and translocation of this metal to grains. Modern breeding programs could potentially select for or develop varieties with improved manganese accumulation to enhance nutritional quality, though care must be taken not to select for varieties that also accumulate toxic metals like cadmium or lead more efficiently.</w:t>
      </w:r>
    </w:p>
    <w:p w14:paraId="25766A0F" w14:textId="77777777" w:rsidR="000420D9" w:rsidRPr="000420D9" w:rsidRDefault="000420D9" w:rsidP="0038231D">
      <w:pPr>
        <w:spacing w:before="100" w:beforeAutospacing="1" w:after="100" w:afterAutospacing="1" w:line="240" w:lineRule="auto"/>
        <w:jc w:val="both"/>
        <w:outlineLvl w:val="3"/>
        <w:rPr>
          <w:rFonts w:ascii="Times New Roman" w:eastAsia="Times New Roman" w:hAnsi="Times New Roman" w:cs="Times New Roman"/>
          <w:b/>
          <w:bCs/>
          <w:sz w:val="24"/>
          <w:szCs w:val="24"/>
          <w:lang w:eastAsia="en-GB"/>
        </w:rPr>
      </w:pPr>
      <w:r w:rsidRPr="000420D9">
        <w:rPr>
          <w:rFonts w:ascii="Times New Roman" w:eastAsia="Times New Roman" w:hAnsi="Times New Roman" w:cs="Times New Roman"/>
          <w:b/>
          <w:bCs/>
          <w:sz w:val="24"/>
          <w:szCs w:val="24"/>
          <w:lang w:eastAsia="en-GB"/>
        </w:rPr>
        <w:t>4.2.5 Lead Levels in Maize Varieties</w:t>
      </w:r>
    </w:p>
    <w:p w14:paraId="4ACF98BE" w14:textId="77777777" w:rsidR="0038231D" w:rsidRDefault="0038231D" w:rsidP="0038231D">
      <w:pPr>
        <w:spacing w:before="100" w:beforeAutospacing="1" w:after="100" w:afterAutospacing="1" w:line="240" w:lineRule="auto"/>
        <w:jc w:val="both"/>
        <w:rPr>
          <w:rFonts w:ascii="Times New Roman" w:eastAsia="Times New Roman" w:hAnsi="Times New Roman" w:cs="Times New Roman"/>
          <w:b/>
          <w:bCs/>
          <w:sz w:val="24"/>
          <w:szCs w:val="24"/>
          <w:lang w:eastAsia="en-GB"/>
        </w:rPr>
      </w:pPr>
      <w:r>
        <w:rPr>
          <w:rFonts w:ascii="Times New Roman" w:hAnsi="Times New Roman" w:cs="Times New Roman"/>
          <w:noProof/>
          <w:lang w:eastAsia="en-GB"/>
        </w:rPr>
        <w:drawing>
          <wp:inline distT="0" distB="0" distL="0" distR="0" wp14:anchorId="492982F7" wp14:editId="5892291B">
            <wp:extent cx="2495550" cy="3295650"/>
            <wp:effectExtent l="0" t="0" r="0"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19237BF4" w14:textId="77777777" w:rsidR="000420D9" w:rsidRPr="000420D9" w:rsidRDefault="000420D9"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b/>
          <w:bCs/>
          <w:sz w:val="24"/>
          <w:szCs w:val="24"/>
          <w:lang w:eastAsia="en-GB"/>
        </w:rPr>
        <w:t>[Fig</w:t>
      </w:r>
      <w:r w:rsidR="0038231D">
        <w:rPr>
          <w:rFonts w:ascii="Times New Roman" w:eastAsia="Times New Roman" w:hAnsi="Times New Roman" w:cs="Times New Roman"/>
          <w:b/>
          <w:bCs/>
          <w:sz w:val="24"/>
          <w:szCs w:val="24"/>
          <w:lang w:eastAsia="en-GB"/>
        </w:rPr>
        <w:t>ure 4.10</w:t>
      </w:r>
      <w:r w:rsidRPr="000420D9">
        <w:rPr>
          <w:rFonts w:ascii="Times New Roman" w:eastAsia="Times New Roman" w:hAnsi="Times New Roman" w:cs="Times New Roman"/>
          <w:b/>
          <w:bCs/>
          <w:sz w:val="24"/>
          <w:szCs w:val="24"/>
          <w:lang w:eastAsia="en-GB"/>
        </w:rPr>
        <w:t xml:space="preserve"> </w:t>
      </w:r>
      <w:r w:rsidRPr="00CD25A2">
        <w:rPr>
          <w:rFonts w:ascii="Times New Roman" w:eastAsia="Times New Roman" w:hAnsi="Times New Roman" w:cs="Times New Roman"/>
          <w:bCs/>
          <w:sz w:val="24"/>
          <w:szCs w:val="24"/>
          <w:lang w:eastAsia="en-GB"/>
        </w:rPr>
        <w:t>Lead levels in SC Sungura 301, SC Duma 43 and the Indigenous Kamba maize</w:t>
      </w:r>
      <w:r w:rsidRPr="000420D9">
        <w:rPr>
          <w:rFonts w:ascii="Times New Roman" w:eastAsia="Times New Roman" w:hAnsi="Times New Roman" w:cs="Times New Roman"/>
          <w:b/>
          <w:bCs/>
          <w:sz w:val="24"/>
          <w:szCs w:val="24"/>
          <w:lang w:eastAsia="en-GB"/>
        </w:rPr>
        <w:t>]</w:t>
      </w:r>
    </w:p>
    <w:p w14:paraId="01570BB2" w14:textId="77777777" w:rsidR="000420D9" w:rsidRPr="000420D9" w:rsidRDefault="000420D9"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sz w:val="24"/>
          <w:szCs w:val="24"/>
          <w:lang w:eastAsia="en-GB"/>
        </w:rPr>
        <w:t>Lead concentrations in the maize varieties represented the most severe food safety concern identified in this study. The levels measured were alarmingly high across all three varieties: SC Sungura 301 contained 8.990 ± 0.752 mg/g, SC Duma 43 showed 10.449 ± 0.398 mg/g, and the indigenous Kamba maize had 8.247 ± 0.798 mg/g. These concentrations exceeded the maximum permissible limit of 0.2-0.5 mg/g established by WHO, FAO, and KEBS by factors ranging from approximately 16 to 52 times, depending on which regulatory threshold is applied. SC Duma 43 hybrid exhibited the highest lead contamination, followed closely by SC Sungura 301, while the indigenous variety showed slightly lower but still extremely elevated levels.</w:t>
      </w:r>
    </w:p>
    <w:p w14:paraId="03686D28" w14:textId="77777777" w:rsidR="000420D9" w:rsidRPr="000420D9" w:rsidRDefault="000420D9"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sz w:val="24"/>
          <w:szCs w:val="24"/>
          <w:lang w:eastAsia="en-GB"/>
        </w:rPr>
        <w:t xml:space="preserve">The presence of lead at these extraordinarily high concentrations renders all three maize varieties completely unsafe for human or animal consumption. Lead is one of the most thoroughly studied </w:t>
      </w:r>
      <w:r w:rsidRPr="000420D9">
        <w:rPr>
          <w:rFonts w:ascii="Times New Roman" w:eastAsia="Times New Roman" w:hAnsi="Times New Roman" w:cs="Times New Roman"/>
          <w:sz w:val="24"/>
          <w:szCs w:val="24"/>
          <w:lang w:eastAsia="en-GB"/>
        </w:rPr>
        <w:lastRenderedPageBreak/>
        <w:t>environmental toxicants, with no known safe level of exposure. Even very low blood lead levels, once considered acceptable, are now recognized to cause adverse health effects, particularly in children. The levels found in these maize samples would deliver lead doses far exceeding any conceivable safety limit.</w:t>
      </w:r>
    </w:p>
    <w:p w14:paraId="58304191" w14:textId="77777777" w:rsidR="000420D9" w:rsidRPr="000420D9" w:rsidRDefault="000420D9"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sz w:val="24"/>
          <w:szCs w:val="24"/>
          <w:lang w:eastAsia="en-GB"/>
        </w:rPr>
        <w:t xml:space="preserve">Lead exerts toxic effects across virtually every organ system in the body, with the nervous system, kidneys, blood-forming system, and cardiovascular system being particularly vulnerable. In children, lead neurotoxicity causes reduced intelligence quotient, learning disabilities, attention deficit disorders, </w:t>
      </w:r>
      <w:proofErr w:type="spellStart"/>
      <w:r w:rsidRPr="000420D9">
        <w:rPr>
          <w:rFonts w:ascii="Times New Roman" w:eastAsia="Times New Roman" w:hAnsi="Times New Roman" w:cs="Times New Roman"/>
          <w:sz w:val="24"/>
          <w:szCs w:val="24"/>
          <w:lang w:eastAsia="en-GB"/>
        </w:rPr>
        <w:t>behavioral</w:t>
      </w:r>
      <w:proofErr w:type="spellEnd"/>
      <w:r w:rsidRPr="000420D9">
        <w:rPr>
          <w:rFonts w:ascii="Times New Roman" w:eastAsia="Times New Roman" w:hAnsi="Times New Roman" w:cs="Times New Roman"/>
          <w:sz w:val="24"/>
          <w:szCs w:val="24"/>
          <w:lang w:eastAsia="en-GB"/>
        </w:rPr>
        <w:t xml:space="preserve"> problems, and impaired academic performance. These neurodevelopmental effects can occur at blood lead levels once thought to be safe and are largely irreversible even after exposure cessation. Longitudinal studies have demonstrated that childhood lead exposure is associated with reduced educational attainment, lower income in adulthood, and increased risk of criminal </w:t>
      </w:r>
      <w:proofErr w:type="spellStart"/>
      <w:r w:rsidRPr="000420D9">
        <w:rPr>
          <w:rFonts w:ascii="Times New Roman" w:eastAsia="Times New Roman" w:hAnsi="Times New Roman" w:cs="Times New Roman"/>
          <w:sz w:val="24"/>
          <w:szCs w:val="24"/>
          <w:lang w:eastAsia="en-GB"/>
        </w:rPr>
        <w:t>behavior</w:t>
      </w:r>
      <w:proofErr w:type="spellEnd"/>
      <w:r w:rsidRPr="000420D9">
        <w:rPr>
          <w:rFonts w:ascii="Times New Roman" w:eastAsia="Times New Roman" w:hAnsi="Times New Roman" w:cs="Times New Roman"/>
          <w:sz w:val="24"/>
          <w:szCs w:val="24"/>
          <w:lang w:eastAsia="en-GB"/>
        </w:rPr>
        <w:t>.</w:t>
      </w:r>
    </w:p>
    <w:p w14:paraId="4E503931" w14:textId="77777777" w:rsidR="000420D9" w:rsidRPr="000420D9" w:rsidRDefault="000420D9"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sz w:val="24"/>
          <w:szCs w:val="24"/>
          <w:lang w:eastAsia="en-GB"/>
        </w:rPr>
        <w:t>In adults, lead exposure contributes to hypertension and cardiovascular disease through multiple mechanisms including direct effects on vascular smooth muscle, interference with nitric oxide production, promotion of oxidative stress, and effects on the renin-angiotensin system. Chronic lead exposure is associated with increased risk of heart attack, stroke, and cardiovascular mortality. Lead nephrotoxicity initially presents as proximal tubular dysfunction but with continued exposure progresses to chronic interstitial nephritis, tubular atrophy, and chronic kidney disease that may eventually require dialysis.</w:t>
      </w:r>
    </w:p>
    <w:p w14:paraId="76AEDB66" w14:textId="77777777" w:rsidR="000420D9" w:rsidRPr="000420D9" w:rsidRDefault="000420D9"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sz w:val="24"/>
          <w:szCs w:val="24"/>
          <w:lang w:eastAsia="en-GB"/>
        </w:rPr>
        <w:t xml:space="preserve">Lead interferes with </w:t>
      </w:r>
      <w:proofErr w:type="spellStart"/>
      <w:r w:rsidRPr="000420D9">
        <w:rPr>
          <w:rFonts w:ascii="Times New Roman" w:eastAsia="Times New Roman" w:hAnsi="Times New Roman" w:cs="Times New Roman"/>
          <w:sz w:val="24"/>
          <w:szCs w:val="24"/>
          <w:lang w:eastAsia="en-GB"/>
        </w:rPr>
        <w:t>heme</w:t>
      </w:r>
      <w:proofErr w:type="spellEnd"/>
      <w:r w:rsidRPr="000420D9">
        <w:rPr>
          <w:rFonts w:ascii="Times New Roman" w:eastAsia="Times New Roman" w:hAnsi="Times New Roman" w:cs="Times New Roman"/>
          <w:sz w:val="24"/>
          <w:szCs w:val="24"/>
          <w:lang w:eastAsia="en-GB"/>
        </w:rPr>
        <w:t xml:space="preserve"> synthesis, causing </w:t>
      </w:r>
      <w:proofErr w:type="spellStart"/>
      <w:r w:rsidRPr="000420D9">
        <w:rPr>
          <w:rFonts w:ascii="Times New Roman" w:eastAsia="Times New Roman" w:hAnsi="Times New Roman" w:cs="Times New Roman"/>
          <w:sz w:val="24"/>
          <w:szCs w:val="24"/>
          <w:lang w:eastAsia="en-GB"/>
        </w:rPr>
        <w:t>anemia</w:t>
      </w:r>
      <w:proofErr w:type="spellEnd"/>
      <w:r w:rsidRPr="000420D9">
        <w:rPr>
          <w:rFonts w:ascii="Times New Roman" w:eastAsia="Times New Roman" w:hAnsi="Times New Roman" w:cs="Times New Roman"/>
          <w:sz w:val="24"/>
          <w:szCs w:val="24"/>
          <w:lang w:eastAsia="en-GB"/>
        </w:rPr>
        <w:t xml:space="preserve"> even at relatively low exposure levels. The metal inhibits several enzymes in the </w:t>
      </w:r>
      <w:proofErr w:type="spellStart"/>
      <w:r w:rsidRPr="000420D9">
        <w:rPr>
          <w:rFonts w:ascii="Times New Roman" w:eastAsia="Times New Roman" w:hAnsi="Times New Roman" w:cs="Times New Roman"/>
          <w:sz w:val="24"/>
          <w:szCs w:val="24"/>
          <w:lang w:eastAsia="en-GB"/>
        </w:rPr>
        <w:t>heme</w:t>
      </w:r>
      <w:proofErr w:type="spellEnd"/>
      <w:r w:rsidRPr="000420D9">
        <w:rPr>
          <w:rFonts w:ascii="Times New Roman" w:eastAsia="Times New Roman" w:hAnsi="Times New Roman" w:cs="Times New Roman"/>
          <w:sz w:val="24"/>
          <w:szCs w:val="24"/>
          <w:lang w:eastAsia="en-GB"/>
        </w:rPr>
        <w:t xml:space="preserve"> biosynthetic pathway, particularly </w:t>
      </w:r>
      <w:proofErr w:type="spellStart"/>
      <w:r w:rsidRPr="000420D9">
        <w:rPr>
          <w:rFonts w:ascii="Times New Roman" w:eastAsia="Times New Roman" w:hAnsi="Times New Roman" w:cs="Times New Roman"/>
          <w:sz w:val="24"/>
          <w:szCs w:val="24"/>
          <w:lang w:eastAsia="en-GB"/>
        </w:rPr>
        <w:t>aminolevulinic</w:t>
      </w:r>
      <w:proofErr w:type="spellEnd"/>
      <w:r w:rsidRPr="000420D9">
        <w:rPr>
          <w:rFonts w:ascii="Times New Roman" w:eastAsia="Times New Roman" w:hAnsi="Times New Roman" w:cs="Times New Roman"/>
          <w:sz w:val="24"/>
          <w:szCs w:val="24"/>
          <w:lang w:eastAsia="en-GB"/>
        </w:rPr>
        <w:t xml:space="preserve"> acid </w:t>
      </w:r>
      <w:r w:rsidRPr="000420D9">
        <w:rPr>
          <w:rFonts w:ascii="Times New Roman" w:eastAsia="Times New Roman" w:hAnsi="Times New Roman" w:cs="Times New Roman"/>
          <w:sz w:val="24"/>
          <w:szCs w:val="24"/>
          <w:lang w:eastAsia="en-GB"/>
        </w:rPr>
        <w:t xml:space="preserve">dehydratase and </w:t>
      </w:r>
      <w:proofErr w:type="spellStart"/>
      <w:r w:rsidRPr="000420D9">
        <w:rPr>
          <w:rFonts w:ascii="Times New Roman" w:eastAsia="Times New Roman" w:hAnsi="Times New Roman" w:cs="Times New Roman"/>
          <w:sz w:val="24"/>
          <w:szCs w:val="24"/>
          <w:lang w:eastAsia="en-GB"/>
        </w:rPr>
        <w:t>ferrochelatase</w:t>
      </w:r>
      <w:proofErr w:type="spellEnd"/>
      <w:r w:rsidRPr="000420D9">
        <w:rPr>
          <w:rFonts w:ascii="Times New Roman" w:eastAsia="Times New Roman" w:hAnsi="Times New Roman" w:cs="Times New Roman"/>
          <w:sz w:val="24"/>
          <w:szCs w:val="24"/>
          <w:lang w:eastAsia="en-GB"/>
        </w:rPr>
        <w:t xml:space="preserve">. This results in accumulation of intermediate compounds and reduced </w:t>
      </w:r>
      <w:proofErr w:type="spellStart"/>
      <w:r w:rsidRPr="000420D9">
        <w:rPr>
          <w:rFonts w:ascii="Times New Roman" w:eastAsia="Times New Roman" w:hAnsi="Times New Roman" w:cs="Times New Roman"/>
          <w:sz w:val="24"/>
          <w:szCs w:val="24"/>
          <w:lang w:eastAsia="en-GB"/>
        </w:rPr>
        <w:t>hemoglobin</w:t>
      </w:r>
      <w:proofErr w:type="spellEnd"/>
      <w:r w:rsidRPr="000420D9">
        <w:rPr>
          <w:rFonts w:ascii="Times New Roman" w:eastAsia="Times New Roman" w:hAnsi="Times New Roman" w:cs="Times New Roman"/>
          <w:sz w:val="24"/>
          <w:szCs w:val="24"/>
          <w:lang w:eastAsia="en-GB"/>
        </w:rPr>
        <w:t xml:space="preserve"> production. Lead also shortens red blood cell lifespan, contributing further to </w:t>
      </w:r>
      <w:proofErr w:type="spellStart"/>
      <w:r w:rsidRPr="000420D9">
        <w:rPr>
          <w:rFonts w:ascii="Times New Roman" w:eastAsia="Times New Roman" w:hAnsi="Times New Roman" w:cs="Times New Roman"/>
          <w:sz w:val="24"/>
          <w:szCs w:val="24"/>
          <w:lang w:eastAsia="en-GB"/>
        </w:rPr>
        <w:t>anemia</w:t>
      </w:r>
      <w:proofErr w:type="spellEnd"/>
      <w:r w:rsidRPr="000420D9">
        <w:rPr>
          <w:rFonts w:ascii="Times New Roman" w:eastAsia="Times New Roman" w:hAnsi="Times New Roman" w:cs="Times New Roman"/>
          <w:sz w:val="24"/>
          <w:szCs w:val="24"/>
          <w:lang w:eastAsia="en-GB"/>
        </w:rPr>
        <w:t>.</w:t>
      </w:r>
    </w:p>
    <w:p w14:paraId="2D23C6A6" w14:textId="77777777" w:rsidR="000420D9" w:rsidRPr="000420D9" w:rsidRDefault="000420D9"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sz w:val="24"/>
          <w:szCs w:val="24"/>
          <w:lang w:eastAsia="en-GB"/>
        </w:rPr>
        <w:t xml:space="preserve">The reproductive toxicity of lead affects both males and females. In men, lead exposure reduces sperm count, impairs sperm motility, and alters sperm morphology. In women, lead interferes with normal reproductive function, increases risk of spontaneous abortion and stillbirth, and can cause premature delivery and low birth weight. Lead readily crosses the placenta, exposing the developing </w:t>
      </w:r>
      <w:proofErr w:type="spellStart"/>
      <w:r w:rsidRPr="000420D9">
        <w:rPr>
          <w:rFonts w:ascii="Times New Roman" w:eastAsia="Times New Roman" w:hAnsi="Times New Roman" w:cs="Times New Roman"/>
          <w:sz w:val="24"/>
          <w:szCs w:val="24"/>
          <w:lang w:eastAsia="en-GB"/>
        </w:rPr>
        <w:t>fetus</w:t>
      </w:r>
      <w:proofErr w:type="spellEnd"/>
      <w:r w:rsidRPr="000420D9">
        <w:rPr>
          <w:rFonts w:ascii="Times New Roman" w:eastAsia="Times New Roman" w:hAnsi="Times New Roman" w:cs="Times New Roman"/>
          <w:sz w:val="24"/>
          <w:szCs w:val="24"/>
          <w:lang w:eastAsia="en-GB"/>
        </w:rPr>
        <w:t xml:space="preserve"> to its neurotoxic effects during the critical periods of brain development.</w:t>
      </w:r>
    </w:p>
    <w:p w14:paraId="5088AC0A" w14:textId="77777777" w:rsidR="000420D9" w:rsidRPr="000420D9" w:rsidRDefault="000420D9"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sz w:val="24"/>
          <w:szCs w:val="24"/>
          <w:lang w:eastAsia="en-GB"/>
        </w:rPr>
        <w:t>Lead is classified as a probable human carcinogen based on sufficient evidence in animal studies and limited evidence in humans. The metal damages DNA through generation of reactive oxygen species, interferes with DNA repair mechanisms, and disrupts normal cell cycle regulation. These carcinogenic mechanisms contribute to increased cancer risk with chronic exposure.</w:t>
      </w:r>
    </w:p>
    <w:p w14:paraId="263CDE64" w14:textId="77777777" w:rsidR="000420D9" w:rsidRPr="000420D9" w:rsidRDefault="000420D9"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sz w:val="24"/>
          <w:szCs w:val="24"/>
          <w:lang w:eastAsia="en-GB"/>
        </w:rPr>
        <w:t>Given typical maize consumption patterns in Kenya, individuals consuming this contaminated maize would be exposed to lead doses posing severe health risks. For a person consuming 300 grams of maize daily with a lead content of 9 mg/g, the daily lead intake would be 2,700 milligrams, an astronomical amount compared to safe intake levels. The provisional tolerable weekly intake for lead, according to WHO, is 25 micrograms per kilogram body weight. For a 60-kilogram adult, this translates to 1,500 micrograms per week or about 214 micrograms per day. The exposure from contaminated maize would exceed this by more than 12,000-fold. Even children consuming smaller portions would receive lead doses causing serious health consequences.</w:t>
      </w:r>
    </w:p>
    <w:p w14:paraId="082C653E" w14:textId="77777777" w:rsidR="000420D9" w:rsidRPr="000420D9" w:rsidRDefault="000420D9"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sz w:val="24"/>
          <w:szCs w:val="24"/>
          <w:lang w:eastAsia="en-GB"/>
        </w:rPr>
        <w:lastRenderedPageBreak/>
        <w:t>The sources of such extreme lead contamination require urgent investigation. Possible pathways include use of contaminated irrigation water, atmospheric deposition from lead-emitting sources such as battery recycling facilities, lead smelting operations, or combustion of leaded fuel if still in use, contamination from lead-containing dust or residues in the agricultural environment, use of lead-contaminated fertilizers or soil amendments, and natural geological sources if the bedrock contains significant lead mineralization. The observation that lead levels are uniformly high across all three varieties and all sampling sites suggests a widespread environmental contamination issue affecting the entire study area rather than isolated contamination events.</w:t>
      </w:r>
    </w:p>
    <w:p w14:paraId="2A34B6DE" w14:textId="77777777" w:rsidR="000420D9" w:rsidRPr="000420D9" w:rsidRDefault="0060177A" w:rsidP="0038231D">
      <w:pPr>
        <w:spacing w:before="100" w:beforeAutospacing="1" w:after="100" w:afterAutospacing="1" w:line="240" w:lineRule="auto"/>
        <w:jc w:val="both"/>
        <w:outlineLvl w:val="2"/>
        <w:rPr>
          <w:rFonts w:ascii="Times New Roman" w:eastAsia="Times New Roman" w:hAnsi="Times New Roman" w:cs="Times New Roman"/>
          <w:b/>
          <w:bCs/>
          <w:sz w:val="27"/>
          <w:szCs w:val="27"/>
          <w:lang w:eastAsia="en-GB"/>
        </w:rPr>
      </w:pPr>
      <w:r>
        <w:rPr>
          <w:rFonts w:ascii="Times New Roman" w:eastAsia="Times New Roman" w:hAnsi="Times New Roman" w:cs="Times New Roman"/>
          <w:b/>
          <w:bCs/>
          <w:sz w:val="27"/>
          <w:szCs w:val="27"/>
          <w:lang w:eastAsia="en-GB"/>
        </w:rPr>
        <w:t>4.3 Comparison a</w:t>
      </w:r>
      <w:r w:rsidR="00ED3160">
        <w:rPr>
          <w:rFonts w:ascii="Times New Roman" w:eastAsia="Times New Roman" w:hAnsi="Times New Roman" w:cs="Times New Roman"/>
          <w:b/>
          <w:bCs/>
          <w:sz w:val="27"/>
          <w:szCs w:val="27"/>
          <w:lang w:eastAsia="en-GB"/>
        </w:rPr>
        <w:t>cross</w:t>
      </w:r>
      <w:r w:rsidR="000420D9" w:rsidRPr="000420D9">
        <w:rPr>
          <w:rFonts w:ascii="Times New Roman" w:eastAsia="Times New Roman" w:hAnsi="Times New Roman" w:cs="Times New Roman"/>
          <w:b/>
          <w:bCs/>
          <w:sz w:val="27"/>
          <w:szCs w:val="27"/>
          <w:lang w:eastAsia="en-GB"/>
        </w:rPr>
        <w:t xml:space="preserve"> Maize Varieties</w:t>
      </w:r>
    </w:p>
    <w:p w14:paraId="43583718" w14:textId="77777777" w:rsidR="000420D9" w:rsidRPr="000420D9" w:rsidRDefault="000420D9"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sz w:val="24"/>
          <w:szCs w:val="24"/>
          <w:lang w:eastAsia="en-GB"/>
        </w:rPr>
        <w:t>When comparing heavy metal accumulation patterns across the three maize varieties, several important observations emerge. SC Duma 43 hybrid showed the highest levels for lead, zinc, and copper, suggesting this variety may be somewhat more efficient at metal uptake and translocation to grains. SC Sungura 301 exhibited the highest levels of cadmium and manganese. The indigenous Kamba variety generally fell in the middle range for most metals except manganese, where it showed much lower accumulation than the two hybrid varieties.</w:t>
      </w:r>
    </w:p>
    <w:p w14:paraId="2A466265" w14:textId="77777777" w:rsidR="000420D9" w:rsidRPr="000420D9" w:rsidRDefault="000420D9"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sz w:val="24"/>
          <w:szCs w:val="24"/>
          <w:lang w:eastAsia="en-GB"/>
        </w:rPr>
        <w:t xml:space="preserve">These varietal differences, while statistically significant in some cases, should not be overemphasized given that all three varieties showed unacceptable levels of lead and cadmium. The differences in uptake efficiency between varieties likely reflect genetic variations in root architecture, metal transporter expression, translocation mechanisms, and grain loading processes. Understanding these genetic factors could inform future </w:t>
      </w:r>
      <w:r w:rsidRPr="000420D9">
        <w:rPr>
          <w:rFonts w:ascii="Times New Roman" w:eastAsia="Times New Roman" w:hAnsi="Times New Roman" w:cs="Times New Roman"/>
          <w:sz w:val="24"/>
          <w:szCs w:val="24"/>
          <w:lang w:eastAsia="en-GB"/>
        </w:rPr>
        <w:t>breeding efforts aimed at developing maize varieties with reduced accumulation of toxic metals while maintaining or enhancing accumulation of essential micronutrients.</w:t>
      </w:r>
    </w:p>
    <w:p w14:paraId="69398BE3" w14:textId="77777777" w:rsidR="000420D9" w:rsidRPr="000420D9" w:rsidRDefault="000420D9"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sz w:val="24"/>
          <w:szCs w:val="24"/>
          <w:lang w:eastAsia="en-GB"/>
        </w:rPr>
        <w:t>It is noteworthy that the modern hybrid varieties did not consistently show lower heavy metal accumulation compared to the traditional indigenous variety. This suggests that breeding programs that developed these hybrids focused primarily on yield and agronomic performance rather than mineral quality or food safety considerations. Future breeding efforts should incorporate screening for reduced toxic metal accumulation and enhanced essential mineral content to improve both safety and nutritional quality.</w:t>
      </w:r>
    </w:p>
    <w:p w14:paraId="5FB88371" w14:textId="77777777" w:rsidR="000420D9" w:rsidRPr="000420D9" w:rsidRDefault="000420D9" w:rsidP="0038231D">
      <w:pPr>
        <w:spacing w:before="100" w:beforeAutospacing="1" w:after="100" w:afterAutospacing="1" w:line="240" w:lineRule="auto"/>
        <w:jc w:val="both"/>
        <w:outlineLvl w:val="2"/>
        <w:rPr>
          <w:rFonts w:ascii="Times New Roman" w:eastAsia="Times New Roman" w:hAnsi="Times New Roman" w:cs="Times New Roman"/>
          <w:b/>
          <w:bCs/>
          <w:sz w:val="27"/>
          <w:szCs w:val="27"/>
          <w:lang w:eastAsia="en-GB"/>
        </w:rPr>
      </w:pPr>
      <w:r w:rsidRPr="000420D9">
        <w:rPr>
          <w:rFonts w:ascii="Times New Roman" w:eastAsia="Times New Roman" w:hAnsi="Times New Roman" w:cs="Times New Roman"/>
          <w:b/>
          <w:bCs/>
          <w:sz w:val="27"/>
          <w:szCs w:val="27"/>
          <w:lang w:eastAsia="en-GB"/>
        </w:rPr>
        <w:t>4.4 Implications for Food Safety and Public Health</w:t>
      </w:r>
    </w:p>
    <w:p w14:paraId="4497692E" w14:textId="77777777" w:rsidR="000420D9" w:rsidRPr="000420D9" w:rsidRDefault="000420D9"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sz w:val="24"/>
          <w:szCs w:val="24"/>
          <w:lang w:eastAsia="en-GB"/>
        </w:rPr>
        <w:t xml:space="preserve">The findings of this study reveal a serious food safety crisis in </w:t>
      </w:r>
      <w:proofErr w:type="spellStart"/>
      <w:r w:rsidRPr="000420D9">
        <w:rPr>
          <w:rFonts w:ascii="Times New Roman" w:eastAsia="Times New Roman" w:hAnsi="Times New Roman" w:cs="Times New Roman"/>
          <w:sz w:val="24"/>
          <w:szCs w:val="24"/>
          <w:lang w:eastAsia="en-GB"/>
        </w:rPr>
        <w:t>Masii</w:t>
      </w:r>
      <w:proofErr w:type="spellEnd"/>
      <w:r w:rsidRPr="000420D9">
        <w:rPr>
          <w:rFonts w:ascii="Times New Roman" w:eastAsia="Times New Roman" w:hAnsi="Times New Roman" w:cs="Times New Roman"/>
          <w:sz w:val="24"/>
          <w:szCs w:val="24"/>
          <w:lang w:eastAsia="en-GB"/>
        </w:rPr>
        <w:t xml:space="preserve"> Location and potentially across broader areas of Machakos County. The maize varieties </w:t>
      </w:r>
      <w:proofErr w:type="spellStart"/>
      <w:r w:rsidRPr="000420D9">
        <w:rPr>
          <w:rFonts w:ascii="Times New Roman" w:eastAsia="Times New Roman" w:hAnsi="Times New Roman" w:cs="Times New Roman"/>
          <w:sz w:val="24"/>
          <w:szCs w:val="24"/>
          <w:lang w:eastAsia="en-GB"/>
        </w:rPr>
        <w:t>analyzed</w:t>
      </w:r>
      <w:proofErr w:type="spellEnd"/>
      <w:r w:rsidRPr="000420D9">
        <w:rPr>
          <w:rFonts w:ascii="Times New Roman" w:eastAsia="Times New Roman" w:hAnsi="Times New Roman" w:cs="Times New Roman"/>
          <w:sz w:val="24"/>
          <w:szCs w:val="24"/>
          <w:lang w:eastAsia="en-GB"/>
        </w:rPr>
        <w:t>, which represent common types cultivated and consumed in the region, contain lead and cadmium at levels far exceeding international safety standards. Consumption of this contaminated maize poses immediate and long-term health risks to the population, particularly vulnerable groups including children, pregnant women, and individuals with pre-existing health conditions.</w:t>
      </w:r>
    </w:p>
    <w:p w14:paraId="7FAAEF76" w14:textId="77777777" w:rsidR="000420D9" w:rsidRPr="000420D9" w:rsidRDefault="000420D9"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sz w:val="24"/>
          <w:szCs w:val="24"/>
          <w:lang w:eastAsia="en-GB"/>
        </w:rPr>
        <w:t xml:space="preserve">The health implications are especially concerning given that maize serves as the primary staple food for most households in the study area. Unlike foods consumed occasionally or in small quantities, maize is eaten daily and forms the basis of multiple meals. This means that exposure to the heavy metal contamination is chronic, continuous, and at high doses. Over time, this chronic exposure will lead to progressive accumulation of cadmium and lead in body tissues, particularly kidneys, </w:t>
      </w:r>
      <w:r w:rsidRPr="000420D9">
        <w:rPr>
          <w:rFonts w:ascii="Times New Roman" w:eastAsia="Times New Roman" w:hAnsi="Times New Roman" w:cs="Times New Roman"/>
          <w:sz w:val="24"/>
          <w:szCs w:val="24"/>
          <w:lang w:eastAsia="en-GB"/>
        </w:rPr>
        <w:lastRenderedPageBreak/>
        <w:t>liver, and bones, eventually manifesting as clinical toxicity.</w:t>
      </w:r>
    </w:p>
    <w:p w14:paraId="5BB17555" w14:textId="77777777" w:rsidR="000420D9" w:rsidRPr="000420D9" w:rsidRDefault="000420D9"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sz w:val="24"/>
          <w:szCs w:val="24"/>
          <w:lang w:eastAsia="en-GB"/>
        </w:rPr>
        <w:t>Children are especially vulnerable to heavy metal toxicity for several reasons. They absorb ingested metals more efficiently than adults, their developing nervous systems are more susceptible to neurotoxic effects, they have longer remaining lifespans for accumulated metals to cause damage, and they typically have higher food intake relative to body weight compared to adults. The neurodevelopmental effects of lead exposure in children can have lifelong consequences affecting educational achievement, economic productivity, and quality of life.</w:t>
      </w:r>
    </w:p>
    <w:p w14:paraId="41EF1445" w14:textId="77777777" w:rsidR="000420D9" w:rsidRPr="000420D9" w:rsidRDefault="000420D9"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sz w:val="24"/>
          <w:szCs w:val="24"/>
          <w:lang w:eastAsia="en-GB"/>
        </w:rPr>
        <w:t xml:space="preserve">The concurrent deficiency in essential micronutrients like zinc, copper, and manganese compounds the public health problem. Populations consuming this maize face a double burden of toxic metal exposure combined with micronutrient malnutrition. Zinc and copper deficiencies impair immune function, potentially increasing susceptibility to infectious diseases. Iron deficiency, if also present due to low iron content in the maize or lead-induced </w:t>
      </w:r>
      <w:proofErr w:type="spellStart"/>
      <w:r w:rsidRPr="000420D9">
        <w:rPr>
          <w:rFonts w:ascii="Times New Roman" w:eastAsia="Times New Roman" w:hAnsi="Times New Roman" w:cs="Times New Roman"/>
          <w:sz w:val="24"/>
          <w:szCs w:val="24"/>
          <w:lang w:eastAsia="en-GB"/>
        </w:rPr>
        <w:t>anemia</w:t>
      </w:r>
      <w:proofErr w:type="spellEnd"/>
      <w:r w:rsidRPr="000420D9">
        <w:rPr>
          <w:rFonts w:ascii="Times New Roman" w:eastAsia="Times New Roman" w:hAnsi="Times New Roman" w:cs="Times New Roman"/>
          <w:sz w:val="24"/>
          <w:szCs w:val="24"/>
          <w:lang w:eastAsia="en-GB"/>
        </w:rPr>
        <w:t>, would further compromise health outcomes.</w:t>
      </w:r>
    </w:p>
    <w:p w14:paraId="0BE98578" w14:textId="77777777" w:rsidR="000420D9" w:rsidRPr="000420D9" w:rsidRDefault="000420D9" w:rsidP="0038231D">
      <w:pPr>
        <w:spacing w:before="100" w:beforeAutospacing="1" w:after="100" w:afterAutospacing="1" w:line="240" w:lineRule="auto"/>
        <w:jc w:val="both"/>
        <w:outlineLvl w:val="2"/>
        <w:rPr>
          <w:rFonts w:ascii="Times New Roman" w:eastAsia="Times New Roman" w:hAnsi="Times New Roman" w:cs="Times New Roman"/>
          <w:b/>
          <w:bCs/>
          <w:sz w:val="24"/>
          <w:szCs w:val="24"/>
          <w:lang w:eastAsia="en-GB"/>
        </w:rPr>
      </w:pPr>
      <w:r w:rsidRPr="000420D9">
        <w:rPr>
          <w:rFonts w:ascii="Times New Roman" w:eastAsia="Times New Roman" w:hAnsi="Times New Roman" w:cs="Times New Roman"/>
          <w:b/>
          <w:bCs/>
          <w:sz w:val="24"/>
          <w:szCs w:val="24"/>
          <w:lang w:eastAsia="en-GB"/>
        </w:rPr>
        <w:t>4.5 Potential Sources of Contamination</w:t>
      </w:r>
    </w:p>
    <w:p w14:paraId="18B1FD60" w14:textId="77777777" w:rsidR="000420D9" w:rsidRPr="000420D9" w:rsidRDefault="000420D9"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sz w:val="24"/>
          <w:szCs w:val="24"/>
          <w:lang w:eastAsia="en-GB"/>
        </w:rPr>
        <w:t>Identifying the sources of heavy metal contamination is essential for developing effective remediation strategies. The uniformly high levels of lead and cadmium across all three varieties and all sampling locations suggest widespread environmental contamination rather than variety-specific or site-specific issues.</w:t>
      </w:r>
    </w:p>
    <w:p w14:paraId="7F5208DD" w14:textId="77777777" w:rsidR="000420D9" w:rsidRPr="000420D9" w:rsidRDefault="000420D9"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sz w:val="24"/>
          <w:szCs w:val="24"/>
          <w:lang w:eastAsia="en-GB"/>
        </w:rPr>
        <w:t xml:space="preserve">Potential agricultural sources include long-term use of phosphate fertilizers that may contain cadmium as a natural contaminant derived from phosphate rock deposits, application of contaminated organic amendments such as manure from animals </w:t>
      </w:r>
      <w:r w:rsidRPr="000420D9">
        <w:rPr>
          <w:rFonts w:ascii="Times New Roman" w:eastAsia="Times New Roman" w:hAnsi="Times New Roman" w:cs="Times New Roman"/>
          <w:sz w:val="24"/>
          <w:szCs w:val="24"/>
          <w:lang w:eastAsia="en-GB"/>
        </w:rPr>
        <w:t xml:space="preserve">exposed to contaminated feed, use of pesticides containing metallic compounds, and irrigation with water contaminated by upstream industrial discharges or urban runoff. The study area's proximity to urban </w:t>
      </w:r>
      <w:proofErr w:type="spellStart"/>
      <w:r w:rsidRPr="000420D9">
        <w:rPr>
          <w:rFonts w:ascii="Times New Roman" w:eastAsia="Times New Roman" w:hAnsi="Times New Roman" w:cs="Times New Roman"/>
          <w:sz w:val="24"/>
          <w:szCs w:val="24"/>
          <w:lang w:eastAsia="en-GB"/>
        </w:rPr>
        <w:t>centers</w:t>
      </w:r>
      <w:proofErr w:type="spellEnd"/>
      <w:r w:rsidRPr="000420D9">
        <w:rPr>
          <w:rFonts w:ascii="Times New Roman" w:eastAsia="Times New Roman" w:hAnsi="Times New Roman" w:cs="Times New Roman"/>
          <w:sz w:val="24"/>
          <w:szCs w:val="24"/>
          <w:lang w:eastAsia="en-GB"/>
        </w:rPr>
        <w:t xml:space="preserve"> and potential industrial activities could contribute atmospheric deposition of lead and other metals.</w:t>
      </w:r>
    </w:p>
    <w:p w14:paraId="092B00F2" w14:textId="77777777" w:rsidR="000420D9" w:rsidRPr="000420D9" w:rsidRDefault="000420D9"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sz w:val="24"/>
          <w:szCs w:val="24"/>
          <w:lang w:eastAsia="en-GB"/>
        </w:rPr>
        <w:t>Soil contamination could also arise from historical use of leaded gasoline, if the area is near major roads where decades of vehicle emissions deposited lead, improper disposal or burning of lead-containing materials such as batteries, electronic waste, or painted materials, mining or quarrying activities that disturb lead-bearing geological formations, and natural geological sources if bedrock or parent soil materials contain elevated lead concentrations.</w:t>
      </w:r>
    </w:p>
    <w:p w14:paraId="51D004BA" w14:textId="77777777" w:rsidR="000420D9" w:rsidRPr="000420D9" w:rsidRDefault="000420D9"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sz w:val="24"/>
          <w:szCs w:val="24"/>
          <w:lang w:eastAsia="en-GB"/>
        </w:rPr>
        <w:t>Distinguishing among these potential sources requires additional investigation including analysis of agricultural inputs used by farmers to test for metal contamination, testing of irrigation water sources for heavy metal content, analysis of soil samples from the farms to determine total metal content and bioavailable fractions, investigation of potential industrial or mining activities in the region that could release metals, and consultation with farmers about historical land use practices and inputs applied over time.</w:t>
      </w:r>
    </w:p>
    <w:p w14:paraId="345231FB" w14:textId="77777777" w:rsidR="000420D9" w:rsidRPr="000420D9" w:rsidRDefault="000420D9" w:rsidP="0038231D">
      <w:pPr>
        <w:spacing w:after="0" w:line="240" w:lineRule="auto"/>
        <w:jc w:val="both"/>
        <w:rPr>
          <w:rFonts w:ascii="Times New Roman" w:eastAsia="Times New Roman" w:hAnsi="Times New Roman" w:cs="Times New Roman"/>
          <w:sz w:val="24"/>
          <w:szCs w:val="24"/>
          <w:lang w:eastAsia="en-GB"/>
        </w:rPr>
      </w:pPr>
    </w:p>
    <w:p w14:paraId="50543EED" w14:textId="77777777" w:rsidR="000420D9" w:rsidRPr="000420D9" w:rsidRDefault="000420D9" w:rsidP="0038231D">
      <w:pPr>
        <w:spacing w:before="100" w:beforeAutospacing="1" w:after="100" w:afterAutospacing="1" w:line="240" w:lineRule="auto"/>
        <w:jc w:val="both"/>
        <w:outlineLvl w:val="1"/>
        <w:rPr>
          <w:rFonts w:ascii="Times New Roman" w:eastAsia="Times New Roman" w:hAnsi="Times New Roman" w:cs="Times New Roman"/>
          <w:b/>
          <w:bCs/>
          <w:sz w:val="24"/>
          <w:szCs w:val="24"/>
          <w:lang w:eastAsia="en-GB"/>
        </w:rPr>
      </w:pPr>
      <w:r w:rsidRPr="000420D9">
        <w:rPr>
          <w:rFonts w:ascii="Times New Roman" w:eastAsia="Times New Roman" w:hAnsi="Times New Roman" w:cs="Times New Roman"/>
          <w:b/>
          <w:bCs/>
          <w:sz w:val="24"/>
          <w:szCs w:val="24"/>
          <w:lang w:eastAsia="en-GB"/>
        </w:rPr>
        <w:t>5.0 CONCLUSIONS AND RECOMMENDATIONS</w:t>
      </w:r>
    </w:p>
    <w:p w14:paraId="4AFEF4A5" w14:textId="77777777" w:rsidR="000420D9" w:rsidRPr="000420D9" w:rsidRDefault="000420D9" w:rsidP="0038231D">
      <w:pPr>
        <w:spacing w:before="100" w:beforeAutospacing="1" w:after="100" w:afterAutospacing="1" w:line="240" w:lineRule="auto"/>
        <w:jc w:val="both"/>
        <w:outlineLvl w:val="2"/>
        <w:rPr>
          <w:rFonts w:ascii="Times New Roman" w:eastAsia="Times New Roman" w:hAnsi="Times New Roman" w:cs="Times New Roman"/>
          <w:b/>
          <w:bCs/>
          <w:sz w:val="27"/>
          <w:szCs w:val="27"/>
          <w:lang w:eastAsia="en-GB"/>
        </w:rPr>
      </w:pPr>
      <w:r w:rsidRPr="000420D9">
        <w:rPr>
          <w:rFonts w:ascii="Times New Roman" w:eastAsia="Times New Roman" w:hAnsi="Times New Roman" w:cs="Times New Roman"/>
          <w:b/>
          <w:bCs/>
          <w:sz w:val="27"/>
          <w:szCs w:val="27"/>
          <w:lang w:eastAsia="en-GB"/>
        </w:rPr>
        <w:t>5.1 Conclusions</w:t>
      </w:r>
    </w:p>
    <w:p w14:paraId="31FC4305" w14:textId="77777777" w:rsidR="000420D9" w:rsidRPr="000420D9" w:rsidRDefault="000420D9"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sz w:val="24"/>
          <w:szCs w:val="24"/>
          <w:lang w:eastAsia="en-GB"/>
        </w:rPr>
        <w:t xml:space="preserve">This study successfully determined the levels of five heavy metals in three varieties of maize grown in </w:t>
      </w:r>
      <w:proofErr w:type="spellStart"/>
      <w:r w:rsidRPr="000420D9">
        <w:rPr>
          <w:rFonts w:ascii="Times New Roman" w:eastAsia="Times New Roman" w:hAnsi="Times New Roman" w:cs="Times New Roman"/>
          <w:sz w:val="24"/>
          <w:szCs w:val="24"/>
          <w:lang w:eastAsia="en-GB"/>
        </w:rPr>
        <w:t>Masii</w:t>
      </w:r>
      <w:proofErr w:type="spellEnd"/>
      <w:r w:rsidRPr="000420D9">
        <w:rPr>
          <w:rFonts w:ascii="Times New Roman" w:eastAsia="Times New Roman" w:hAnsi="Times New Roman" w:cs="Times New Roman"/>
          <w:sz w:val="24"/>
          <w:szCs w:val="24"/>
          <w:lang w:eastAsia="en-GB"/>
        </w:rPr>
        <w:t xml:space="preserve"> Location, Machakos County, using Atomic Absorption Spectroscopy following optimized acid digestion. The findings reveal a critical food safety crisis that </w:t>
      </w:r>
      <w:r w:rsidRPr="000420D9">
        <w:rPr>
          <w:rFonts w:ascii="Times New Roman" w:eastAsia="Times New Roman" w:hAnsi="Times New Roman" w:cs="Times New Roman"/>
          <w:sz w:val="24"/>
          <w:szCs w:val="24"/>
          <w:lang w:eastAsia="en-GB"/>
        </w:rPr>
        <w:lastRenderedPageBreak/>
        <w:t>demands urgent attention from health authorities, agricultural extension services, and policymakers.</w:t>
      </w:r>
    </w:p>
    <w:p w14:paraId="35A3F1EE" w14:textId="77777777" w:rsidR="000420D9" w:rsidRPr="000420D9" w:rsidRDefault="000420D9"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sz w:val="24"/>
          <w:szCs w:val="24"/>
          <w:lang w:eastAsia="en-GB"/>
        </w:rPr>
        <w:t xml:space="preserve">Among the five heavy metals </w:t>
      </w:r>
      <w:proofErr w:type="spellStart"/>
      <w:r w:rsidRPr="000420D9">
        <w:rPr>
          <w:rFonts w:ascii="Times New Roman" w:eastAsia="Times New Roman" w:hAnsi="Times New Roman" w:cs="Times New Roman"/>
          <w:sz w:val="24"/>
          <w:szCs w:val="24"/>
          <w:lang w:eastAsia="en-GB"/>
        </w:rPr>
        <w:t>analyzed</w:t>
      </w:r>
      <w:proofErr w:type="spellEnd"/>
      <w:r w:rsidRPr="000420D9">
        <w:rPr>
          <w:rFonts w:ascii="Times New Roman" w:eastAsia="Times New Roman" w:hAnsi="Times New Roman" w:cs="Times New Roman"/>
          <w:sz w:val="24"/>
          <w:szCs w:val="24"/>
          <w:lang w:eastAsia="en-GB"/>
        </w:rPr>
        <w:t>, lead exhibited the highest concentrations across all three maize varieties, ranging from 8.247 to 10.449 mg/g, levels that exceed regulatory limits by factors of 16 to 52. Cadmium was the second most abundant contaminant, with concentrations ranging from 0.562 to 1.998 mg/g, exceeding permissible limits by factors of 1 to 20. These findings indicate severe contamination with toxic metals that pose serious health risks to consumers.</w:t>
      </w:r>
    </w:p>
    <w:p w14:paraId="6D850C81" w14:textId="77777777" w:rsidR="000420D9" w:rsidRPr="000420D9" w:rsidRDefault="000420D9"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sz w:val="24"/>
          <w:szCs w:val="24"/>
          <w:lang w:eastAsia="en-GB"/>
        </w:rPr>
        <w:t>In contrast, zinc, copper, and manganese were present at low levels, well below the recommended nutritional ranges of 30-95 mg/g for zinc, 10-50 mg/g for copper, and 5-20 mg/g for manganese. While these low levels do not pose toxicity risks, they indicate that the maize varieties provide inadequate amounts of essential micronutrients, potentially contributing to deficiency disorders in populations relying heavily on maize as their staple food.</w:t>
      </w:r>
    </w:p>
    <w:p w14:paraId="243D90EC" w14:textId="77777777" w:rsidR="000420D9" w:rsidRPr="000420D9" w:rsidRDefault="000420D9"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sz w:val="24"/>
          <w:szCs w:val="24"/>
          <w:lang w:eastAsia="en-GB"/>
        </w:rPr>
        <w:t>SC Duma 43 hybrid generally showed the highest heavy metal levels, particularly for lead, followed by SC Sungura 301 and the indigenous Kamba variety. However, all three varieties exhibited unacceptable contamination levels that render them unsafe for human consumption according to international food safety standards established by WHO, FAO, and KEBS.</w:t>
      </w:r>
    </w:p>
    <w:p w14:paraId="68ED827A" w14:textId="77777777" w:rsidR="000420D9" w:rsidRPr="000420D9" w:rsidRDefault="000420D9"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sz w:val="24"/>
          <w:szCs w:val="24"/>
          <w:lang w:eastAsia="en-GB"/>
        </w:rPr>
        <w:t xml:space="preserve">The health implications of consuming this contaminated maize are severe and multisystemic. Lead exposure at the levels detected would cause neurodevelopmental damage in children, cardiovascular disease and hypertension in adults, kidney damage, </w:t>
      </w:r>
      <w:proofErr w:type="spellStart"/>
      <w:r w:rsidRPr="000420D9">
        <w:rPr>
          <w:rFonts w:ascii="Times New Roman" w:eastAsia="Times New Roman" w:hAnsi="Times New Roman" w:cs="Times New Roman"/>
          <w:sz w:val="24"/>
          <w:szCs w:val="24"/>
          <w:lang w:eastAsia="en-GB"/>
        </w:rPr>
        <w:t>anemia</w:t>
      </w:r>
      <w:proofErr w:type="spellEnd"/>
      <w:r w:rsidRPr="000420D9">
        <w:rPr>
          <w:rFonts w:ascii="Times New Roman" w:eastAsia="Times New Roman" w:hAnsi="Times New Roman" w:cs="Times New Roman"/>
          <w:sz w:val="24"/>
          <w:szCs w:val="24"/>
          <w:lang w:eastAsia="en-GB"/>
        </w:rPr>
        <w:t xml:space="preserve">, and reproductive problems, with long-term carcinogenic risks. Cadmium contamination would lead to kidney disease, bone disease, liver damage, and increased cancer risk. The combination of </w:t>
      </w:r>
      <w:r w:rsidRPr="000420D9">
        <w:rPr>
          <w:rFonts w:ascii="Times New Roman" w:eastAsia="Times New Roman" w:hAnsi="Times New Roman" w:cs="Times New Roman"/>
          <w:sz w:val="24"/>
          <w:szCs w:val="24"/>
          <w:lang w:eastAsia="en-GB"/>
        </w:rPr>
        <w:t>toxic metal exposure with essential micronutrient deficiency creates a double burden of malnutrition affecting both immediate and long-term health outcomes.</w:t>
      </w:r>
    </w:p>
    <w:p w14:paraId="7AB36CDD" w14:textId="77777777" w:rsidR="000420D9" w:rsidRPr="000420D9" w:rsidRDefault="000420D9"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sz w:val="24"/>
          <w:szCs w:val="24"/>
          <w:lang w:eastAsia="en-GB"/>
        </w:rPr>
        <w:t>The widespread nature of contamination across all varieties and sampling sites suggests that environmental contamination of soil, water, or both is the primary source rather than variety-specific characteristics. Urgent investigation is needed to identify specific contamination sources and pathways to enable targeted remediation efforts.</w:t>
      </w:r>
    </w:p>
    <w:p w14:paraId="506465BA" w14:textId="77777777" w:rsidR="000420D9" w:rsidRPr="000420D9" w:rsidRDefault="000420D9"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sz w:val="24"/>
          <w:szCs w:val="24"/>
          <w:lang w:eastAsia="en-GB"/>
        </w:rPr>
        <w:t>This research contributes valuable baseline data on heavy metal contamination in Kenyan maize that has been largely lacking in scientific literature. The findings demonstrate the critical need for regular monitoring of heavy metals in food crops, particularly staple foods consumed in large quantities. The study also highlights the importance of considering both food safety and nutritional quality when assessing crop suitability for human consumption.</w:t>
      </w:r>
    </w:p>
    <w:p w14:paraId="369F6BC2" w14:textId="77777777" w:rsidR="000420D9" w:rsidRPr="000420D9" w:rsidRDefault="000420D9" w:rsidP="0038231D">
      <w:pPr>
        <w:spacing w:before="100" w:beforeAutospacing="1" w:after="100" w:afterAutospacing="1" w:line="240" w:lineRule="auto"/>
        <w:jc w:val="both"/>
        <w:outlineLvl w:val="2"/>
        <w:rPr>
          <w:rFonts w:ascii="Times New Roman" w:eastAsia="Times New Roman" w:hAnsi="Times New Roman" w:cs="Times New Roman"/>
          <w:b/>
          <w:bCs/>
          <w:sz w:val="27"/>
          <w:szCs w:val="27"/>
          <w:lang w:eastAsia="en-GB"/>
        </w:rPr>
      </w:pPr>
      <w:r w:rsidRPr="000420D9">
        <w:rPr>
          <w:rFonts w:ascii="Times New Roman" w:eastAsia="Times New Roman" w:hAnsi="Times New Roman" w:cs="Times New Roman"/>
          <w:b/>
          <w:bCs/>
          <w:sz w:val="27"/>
          <w:szCs w:val="27"/>
          <w:lang w:eastAsia="en-GB"/>
        </w:rPr>
        <w:t>5.2 Recommendations</w:t>
      </w:r>
    </w:p>
    <w:p w14:paraId="1CF5CD7E" w14:textId="77777777" w:rsidR="000420D9" w:rsidRPr="000420D9" w:rsidRDefault="000420D9"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sz w:val="24"/>
          <w:szCs w:val="24"/>
          <w:lang w:eastAsia="en-GB"/>
        </w:rPr>
        <w:t>Based on the findings of this study, the following recommendations are proposed:</w:t>
      </w:r>
    </w:p>
    <w:p w14:paraId="1CD9105A" w14:textId="77777777" w:rsidR="000420D9" w:rsidRPr="0038231D" w:rsidRDefault="000420D9" w:rsidP="0038231D">
      <w:pPr>
        <w:pStyle w:val="ListParagraph"/>
        <w:numPr>
          <w:ilvl w:val="0"/>
          <w:numId w:val="1"/>
        </w:numPr>
        <w:spacing w:before="100" w:beforeAutospacing="1" w:after="100" w:afterAutospacing="1" w:line="240" w:lineRule="auto"/>
        <w:jc w:val="both"/>
        <w:rPr>
          <w:rFonts w:ascii="Times New Roman" w:eastAsia="Times New Roman" w:hAnsi="Times New Roman" w:cs="Times New Roman"/>
          <w:sz w:val="24"/>
          <w:szCs w:val="24"/>
          <w:lang w:eastAsia="en-GB"/>
        </w:rPr>
      </w:pPr>
      <w:r w:rsidRPr="0038231D">
        <w:rPr>
          <w:rFonts w:ascii="Times New Roman" w:eastAsia="Times New Roman" w:hAnsi="Times New Roman" w:cs="Times New Roman"/>
          <w:sz w:val="24"/>
          <w:szCs w:val="24"/>
          <w:lang w:eastAsia="en-GB"/>
        </w:rPr>
        <w:t xml:space="preserve">Immediate action is needed to protect public health. Authorities should issue public health advisories warning residents of </w:t>
      </w:r>
      <w:proofErr w:type="spellStart"/>
      <w:r w:rsidRPr="0038231D">
        <w:rPr>
          <w:rFonts w:ascii="Times New Roman" w:eastAsia="Times New Roman" w:hAnsi="Times New Roman" w:cs="Times New Roman"/>
          <w:sz w:val="24"/>
          <w:szCs w:val="24"/>
          <w:lang w:eastAsia="en-GB"/>
        </w:rPr>
        <w:t>Masii</w:t>
      </w:r>
      <w:proofErr w:type="spellEnd"/>
      <w:r w:rsidRPr="0038231D">
        <w:rPr>
          <w:rFonts w:ascii="Times New Roman" w:eastAsia="Times New Roman" w:hAnsi="Times New Roman" w:cs="Times New Roman"/>
          <w:sz w:val="24"/>
          <w:szCs w:val="24"/>
          <w:lang w:eastAsia="en-GB"/>
        </w:rPr>
        <w:t xml:space="preserve"> Location and potentially broader areas of Machakos County about the contamination risks associated with locally grown maize. Distribution and consumption of maize from contaminated areas should be restricted until safety can be assured. Alternative safe food sources should be made available to affected communities to prevent food insecurity while contamination issues are addressed.</w:t>
      </w:r>
    </w:p>
    <w:p w14:paraId="4E54FB4D" w14:textId="77777777" w:rsidR="000420D9" w:rsidRPr="0038231D" w:rsidRDefault="000420D9" w:rsidP="0038231D">
      <w:pPr>
        <w:pStyle w:val="ListParagraph"/>
        <w:numPr>
          <w:ilvl w:val="0"/>
          <w:numId w:val="1"/>
        </w:numPr>
        <w:spacing w:before="100" w:beforeAutospacing="1" w:after="100" w:afterAutospacing="1" w:line="240" w:lineRule="auto"/>
        <w:jc w:val="both"/>
        <w:rPr>
          <w:rFonts w:ascii="Times New Roman" w:eastAsia="Times New Roman" w:hAnsi="Times New Roman" w:cs="Times New Roman"/>
          <w:sz w:val="24"/>
          <w:szCs w:val="24"/>
          <w:lang w:eastAsia="en-GB"/>
        </w:rPr>
      </w:pPr>
      <w:r w:rsidRPr="0038231D">
        <w:rPr>
          <w:rFonts w:ascii="Times New Roman" w:eastAsia="Times New Roman" w:hAnsi="Times New Roman" w:cs="Times New Roman"/>
          <w:sz w:val="24"/>
          <w:szCs w:val="24"/>
          <w:lang w:eastAsia="en-GB"/>
        </w:rPr>
        <w:lastRenderedPageBreak/>
        <w:t xml:space="preserve">Comprehensive soil testing should be conducted across farms in </w:t>
      </w:r>
      <w:proofErr w:type="spellStart"/>
      <w:r w:rsidRPr="0038231D">
        <w:rPr>
          <w:rFonts w:ascii="Times New Roman" w:eastAsia="Times New Roman" w:hAnsi="Times New Roman" w:cs="Times New Roman"/>
          <w:sz w:val="24"/>
          <w:szCs w:val="24"/>
          <w:lang w:eastAsia="en-GB"/>
        </w:rPr>
        <w:t>Masii</w:t>
      </w:r>
      <w:proofErr w:type="spellEnd"/>
      <w:r w:rsidRPr="0038231D">
        <w:rPr>
          <w:rFonts w:ascii="Times New Roman" w:eastAsia="Times New Roman" w:hAnsi="Times New Roman" w:cs="Times New Roman"/>
          <w:sz w:val="24"/>
          <w:szCs w:val="24"/>
          <w:lang w:eastAsia="en-GB"/>
        </w:rPr>
        <w:t xml:space="preserve"> Location and surrounding areas to determine the extent and severity of heavy metal contamination in agricultural soils. This testing should include analysis of total metal content, bioavailable fractions, pH, organic matter, and other soil properties affecting metal mobility. Based on soil testing results, appropriate soil remediation strategies should be implemented, which may include phytoremediation using metal-accumulating plants that are not consumed by humans or animals, soil amendments to reduce metal bioavailability such as lime to raise pH or organic matter to bind metals, removal and safe disposal of heavily contaminated topsoil in extreme cases, and crop rotation or land use changes to reduce human exposure pathways.</w:t>
      </w:r>
    </w:p>
    <w:p w14:paraId="2D399210" w14:textId="77777777" w:rsidR="000420D9" w:rsidRPr="0038231D" w:rsidRDefault="000420D9" w:rsidP="0038231D">
      <w:pPr>
        <w:pStyle w:val="ListParagraph"/>
        <w:numPr>
          <w:ilvl w:val="0"/>
          <w:numId w:val="1"/>
        </w:numPr>
        <w:spacing w:before="100" w:beforeAutospacing="1" w:after="100" w:afterAutospacing="1" w:line="240" w:lineRule="auto"/>
        <w:jc w:val="both"/>
        <w:rPr>
          <w:rFonts w:ascii="Times New Roman" w:eastAsia="Times New Roman" w:hAnsi="Times New Roman" w:cs="Times New Roman"/>
          <w:sz w:val="24"/>
          <w:szCs w:val="24"/>
          <w:lang w:eastAsia="en-GB"/>
        </w:rPr>
      </w:pPr>
      <w:r w:rsidRPr="0038231D">
        <w:rPr>
          <w:rFonts w:ascii="Times New Roman" w:eastAsia="Times New Roman" w:hAnsi="Times New Roman" w:cs="Times New Roman"/>
          <w:sz w:val="24"/>
          <w:szCs w:val="24"/>
          <w:lang w:eastAsia="en-GB"/>
        </w:rPr>
        <w:t>Water sources used for irrigation should be tested for heavy metal content to determine whether contaminated water is contributing to the problem. If irrigation water is found to be contaminated, alternative water sources should be identified or water treatment systems implemented to remove metals before agricultural use.</w:t>
      </w:r>
    </w:p>
    <w:p w14:paraId="14A54888" w14:textId="77777777" w:rsidR="000420D9" w:rsidRPr="0038231D" w:rsidRDefault="000420D9" w:rsidP="0038231D">
      <w:pPr>
        <w:pStyle w:val="ListParagraph"/>
        <w:numPr>
          <w:ilvl w:val="0"/>
          <w:numId w:val="1"/>
        </w:numPr>
        <w:spacing w:before="100" w:beforeAutospacing="1" w:after="100" w:afterAutospacing="1" w:line="240" w:lineRule="auto"/>
        <w:jc w:val="both"/>
        <w:rPr>
          <w:rFonts w:ascii="Times New Roman" w:eastAsia="Times New Roman" w:hAnsi="Times New Roman" w:cs="Times New Roman"/>
          <w:sz w:val="24"/>
          <w:szCs w:val="24"/>
          <w:lang w:eastAsia="en-GB"/>
        </w:rPr>
      </w:pPr>
      <w:r w:rsidRPr="0038231D">
        <w:rPr>
          <w:rFonts w:ascii="Times New Roman" w:eastAsia="Times New Roman" w:hAnsi="Times New Roman" w:cs="Times New Roman"/>
          <w:sz w:val="24"/>
          <w:szCs w:val="24"/>
          <w:lang w:eastAsia="en-GB"/>
        </w:rPr>
        <w:t>Agricultural practices should be modified to reduce metal accumulation in crops. Farmers should be advised to use low-cadmium phosphate fertilizers and to minimize unnecessary fertilizer applications. Organic soil amendments should be tested for metal content before application. Agricultural extension services should provide training on safe farming practices and integrated soil fertility management that enhances beneficial nutrients while minimizing contaminant inputs.</w:t>
      </w:r>
    </w:p>
    <w:p w14:paraId="23DC3F48" w14:textId="77777777" w:rsidR="000420D9" w:rsidRPr="0038231D" w:rsidRDefault="000420D9" w:rsidP="0038231D">
      <w:pPr>
        <w:pStyle w:val="ListParagraph"/>
        <w:numPr>
          <w:ilvl w:val="0"/>
          <w:numId w:val="1"/>
        </w:numPr>
        <w:spacing w:before="100" w:beforeAutospacing="1" w:after="100" w:afterAutospacing="1" w:line="240" w:lineRule="auto"/>
        <w:jc w:val="both"/>
        <w:rPr>
          <w:rFonts w:ascii="Times New Roman" w:eastAsia="Times New Roman" w:hAnsi="Times New Roman" w:cs="Times New Roman"/>
          <w:sz w:val="24"/>
          <w:szCs w:val="24"/>
          <w:lang w:eastAsia="en-GB"/>
        </w:rPr>
      </w:pPr>
      <w:r w:rsidRPr="0038231D">
        <w:rPr>
          <w:rFonts w:ascii="Times New Roman" w:eastAsia="Times New Roman" w:hAnsi="Times New Roman" w:cs="Times New Roman"/>
          <w:sz w:val="24"/>
          <w:szCs w:val="24"/>
          <w:lang w:eastAsia="en-GB"/>
        </w:rPr>
        <w:t>Research should be conducted on the specific sources of lead and cadmium contamination in the study area. This investigation should include surveys of potential industrial or mining activities, analysis of atmospheric deposition patterns, assessment of historical land use that might have introduced contaminants, and evaluation of all agricultural inputs including fertilizers, pesticides, manure, and irrigation water for metal content.</w:t>
      </w:r>
    </w:p>
    <w:p w14:paraId="537477A2" w14:textId="77777777" w:rsidR="000420D9" w:rsidRPr="0038231D" w:rsidRDefault="000420D9" w:rsidP="0038231D">
      <w:pPr>
        <w:pStyle w:val="ListParagraph"/>
        <w:numPr>
          <w:ilvl w:val="0"/>
          <w:numId w:val="1"/>
        </w:numPr>
        <w:spacing w:before="100" w:beforeAutospacing="1" w:after="100" w:afterAutospacing="1" w:line="240" w:lineRule="auto"/>
        <w:jc w:val="both"/>
        <w:rPr>
          <w:rFonts w:ascii="Times New Roman" w:eastAsia="Times New Roman" w:hAnsi="Times New Roman" w:cs="Times New Roman"/>
          <w:sz w:val="24"/>
          <w:szCs w:val="24"/>
          <w:lang w:eastAsia="en-GB"/>
        </w:rPr>
      </w:pPr>
      <w:r w:rsidRPr="0038231D">
        <w:rPr>
          <w:rFonts w:ascii="Times New Roman" w:eastAsia="Times New Roman" w:hAnsi="Times New Roman" w:cs="Times New Roman"/>
          <w:sz w:val="24"/>
          <w:szCs w:val="24"/>
          <w:lang w:eastAsia="en-GB"/>
        </w:rPr>
        <w:t>Plant breeding programs should incorporate screening for reduced toxic metal accumulation and enhanced essential mineral content. Varieties showing low uptake of lead and cadmium but efficient accumulation of zinc, copper, and other beneficial minerals should be identified and promoted. Genetic studies could elucidate the mechanisms underlying varietal differences in metal accumulation, informing marker-assisted selection for improved food safety and nutritional quality.</w:t>
      </w:r>
    </w:p>
    <w:p w14:paraId="361E70D2" w14:textId="77777777" w:rsidR="000420D9" w:rsidRPr="0038231D" w:rsidRDefault="000420D9" w:rsidP="0038231D">
      <w:pPr>
        <w:pStyle w:val="ListParagraph"/>
        <w:numPr>
          <w:ilvl w:val="0"/>
          <w:numId w:val="1"/>
        </w:numPr>
        <w:spacing w:before="100" w:beforeAutospacing="1" w:after="100" w:afterAutospacing="1" w:line="240" w:lineRule="auto"/>
        <w:jc w:val="both"/>
        <w:rPr>
          <w:rFonts w:ascii="Times New Roman" w:eastAsia="Times New Roman" w:hAnsi="Times New Roman" w:cs="Times New Roman"/>
          <w:sz w:val="24"/>
          <w:szCs w:val="24"/>
          <w:lang w:eastAsia="en-GB"/>
        </w:rPr>
      </w:pPr>
      <w:r w:rsidRPr="0038231D">
        <w:rPr>
          <w:rFonts w:ascii="Times New Roman" w:eastAsia="Times New Roman" w:hAnsi="Times New Roman" w:cs="Times New Roman"/>
          <w:sz w:val="24"/>
          <w:szCs w:val="24"/>
          <w:lang w:eastAsia="en-GB"/>
        </w:rPr>
        <w:t>A comprehensive monitoring program should be established to regularly assess heavy metal levels in maize and other food crops from various regions of Machakos County and Kenya more broadly. This monitoring would provide early warning of contamination problems, track the effectiveness of remediation efforts, and generate data to support evidence-based food safety policies.</w:t>
      </w:r>
    </w:p>
    <w:p w14:paraId="48DB0281" w14:textId="77777777" w:rsidR="000420D9" w:rsidRPr="0038231D" w:rsidRDefault="000420D9" w:rsidP="0038231D">
      <w:pPr>
        <w:pStyle w:val="ListParagraph"/>
        <w:numPr>
          <w:ilvl w:val="0"/>
          <w:numId w:val="1"/>
        </w:numPr>
        <w:spacing w:before="100" w:beforeAutospacing="1" w:after="100" w:afterAutospacing="1" w:line="240" w:lineRule="auto"/>
        <w:jc w:val="both"/>
        <w:rPr>
          <w:rFonts w:ascii="Times New Roman" w:eastAsia="Times New Roman" w:hAnsi="Times New Roman" w:cs="Times New Roman"/>
          <w:sz w:val="24"/>
          <w:szCs w:val="24"/>
          <w:lang w:eastAsia="en-GB"/>
        </w:rPr>
      </w:pPr>
      <w:r w:rsidRPr="0038231D">
        <w:rPr>
          <w:rFonts w:ascii="Times New Roman" w:eastAsia="Times New Roman" w:hAnsi="Times New Roman" w:cs="Times New Roman"/>
          <w:sz w:val="24"/>
          <w:szCs w:val="24"/>
          <w:lang w:eastAsia="en-GB"/>
        </w:rPr>
        <w:t xml:space="preserve">Health screening programs should be implemented for populations in affected areas to assess the extent of heavy metal exposure and health impacts. Blood lead and cadmium testing, along with assessment of kidney function and other health indicators, would identify individuals requiring medical intervention and provide data on the </w:t>
      </w:r>
      <w:r w:rsidRPr="0038231D">
        <w:rPr>
          <w:rFonts w:ascii="Times New Roman" w:eastAsia="Times New Roman" w:hAnsi="Times New Roman" w:cs="Times New Roman"/>
          <w:sz w:val="24"/>
          <w:szCs w:val="24"/>
          <w:lang w:eastAsia="en-GB"/>
        </w:rPr>
        <w:lastRenderedPageBreak/>
        <w:t>public health burden of contamination.</w:t>
      </w:r>
    </w:p>
    <w:p w14:paraId="14FBDD04" w14:textId="77777777" w:rsidR="000420D9" w:rsidRPr="0038231D" w:rsidRDefault="000420D9" w:rsidP="0038231D">
      <w:pPr>
        <w:pStyle w:val="ListParagraph"/>
        <w:numPr>
          <w:ilvl w:val="0"/>
          <w:numId w:val="1"/>
        </w:numPr>
        <w:spacing w:before="100" w:beforeAutospacing="1" w:after="100" w:afterAutospacing="1" w:line="240" w:lineRule="auto"/>
        <w:jc w:val="both"/>
        <w:rPr>
          <w:rFonts w:ascii="Times New Roman" w:eastAsia="Times New Roman" w:hAnsi="Times New Roman" w:cs="Times New Roman"/>
          <w:sz w:val="24"/>
          <w:szCs w:val="24"/>
          <w:lang w:eastAsia="en-GB"/>
        </w:rPr>
      </w:pPr>
      <w:r w:rsidRPr="0038231D">
        <w:rPr>
          <w:rFonts w:ascii="Times New Roman" w:eastAsia="Times New Roman" w:hAnsi="Times New Roman" w:cs="Times New Roman"/>
          <w:sz w:val="24"/>
          <w:szCs w:val="24"/>
          <w:lang w:eastAsia="en-GB"/>
        </w:rPr>
        <w:t>Public awareness campaigns should educate farming communities and consumers about heavy metal contamination risks, safe food handling and preparation practices that might reduce exposure, symptoms of heavy metal poisoning that should prompt medical attention, and the importance of dietary diversity to reduce dependence on potentially contaminated staple crops.</w:t>
      </w:r>
    </w:p>
    <w:p w14:paraId="1D5AA73D" w14:textId="77777777" w:rsidR="000420D9" w:rsidRPr="0038231D" w:rsidRDefault="000420D9" w:rsidP="0038231D">
      <w:pPr>
        <w:pStyle w:val="ListParagraph"/>
        <w:numPr>
          <w:ilvl w:val="0"/>
          <w:numId w:val="1"/>
        </w:numPr>
        <w:spacing w:before="100" w:beforeAutospacing="1" w:after="100" w:afterAutospacing="1" w:line="240" w:lineRule="auto"/>
        <w:jc w:val="both"/>
        <w:rPr>
          <w:rFonts w:ascii="Times New Roman" w:eastAsia="Times New Roman" w:hAnsi="Times New Roman" w:cs="Times New Roman"/>
          <w:sz w:val="24"/>
          <w:szCs w:val="24"/>
          <w:lang w:eastAsia="en-GB"/>
        </w:rPr>
      </w:pPr>
      <w:r w:rsidRPr="0038231D">
        <w:rPr>
          <w:rFonts w:ascii="Times New Roman" w:eastAsia="Times New Roman" w:hAnsi="Times New Roman" w:cs="Times New Roman"/>
          <w:sz w:val="24"/>
          <w:szCs w:val="24"/>
          <w:lang w:eastAsia="en-GB"/>
        </w:rPr>
        <w:t>Policy interventions are needed at national and county levels to address food safety in agricultural systems. These should include establishment and enforcement of maximum permissible limits for heavy metals in agricultural soils and irrigation water, regulations requiring testing of agricultural inputs for contaminant content, mandatory food safety testing for crops from areas with known or suspected contamination, and development of compensation or support programs for farmers affected by contamination through no fault of their own.</w:t>
      </w:r>
    </w:p>
    <w:p w14:paraId="39CE9F42" w14:textId="77777777" w:rsidR="000420D9" w:rsidRPr="0038231D" w:rsidRDefault="000420D9" w:rsidP="0038231D">
      <w:pPr>
        <w:pStyle w:val="ListParagraph"/>
        <w:numPr>
          <w:ilvl w:val="0"/>
          <w:numId w:val="1"/>
        </w:numPr>
        <w:spacing w:before="100" w:beforeAutospacing="1" w:after="100" w:afterAutospacing="1" w:line="240" w:lineRule="auto"/>
        <w:jc w:val="both"/>
        <w:rPr>
          <w:rFonts w:ascii="Times New Roman" w:eastAsia="Times New Roman" w:hAnsi="Times New Roman" w:cs="Times New Roman"/>
          <w:sz w:val="24"/>
          <w:szCs w:val="24"/>
          <w:lang w:eastAsia="en-GB"/>
        </w:rPr>
      </w:pPr>
      <w:r w:rsidRPr="0038231D">
        <w:rPr>
          <w:rFonts w:ascii="Times New Roman" w:eastAsia="Times New Roman" w:hAnsi="Times New Roman" w:cs="Times New Roman"/>
          <w:sz w:val="24"/>
          <w:szCs w:val="24"/>
          <w:lang w:eastAsia="en-GB"/>
        </w:rPr>
        <w:t>Further research should be conducted to investigate the bioavailability and health effects of the specific metal forms present in these maize samples, assess the effectiveness of different cooking methods in reducing metal content or bioavailability, examine heavy metal levels in other food crops grown in the region, and evaluate the potential for using contaminated maize for non-food purposes such as animal feed with appropriate safety protocols or industrial uses that do not enter the food chain.</w:t>
      </w:r>
    </w:p>
    <w:p w14:paraId="46C0877C" w14:textId="77777777" w:rsidR="000420D9" w:rsidRPr="000420D9" w:rsidRDefault="000420D9" w:rsidP="0038231D">
      <w:pPr>
        <w:spacing w:after="0" w:line="240" w:lineRule="auto"/>
        <w:jc w:val="both"/>
        <w:rPr>
          <w:rFonts w:ascii="Times New Roman" w:eastAsia="Times New Roman" w:hAnsi="Times New Roman" w:cs="Times New Roman"/>
          <w:sz w:val="24"/>
          <w:szCs w:val="24"/>
          <w:lang w:eastAsia="en-GB"/>
        </w:rPr>
      </w:pPr>
    </w:p>
    <w:p w14:paraId="631A7816" w14:textId="77777777" w:rsidR="000420D9" w:rsidRPr="000420D9" w:rsidRDefault="000420D9" w:rsidP="0038231D">
      <w:pPr>
        <w:spacing w:before="100" w:beforeAutospacing="1" w:after="100" w:afterAutospacing="1" w:line="240" w:lineRule="auto"/>
        <w:jc w:val="both"/>
        <w:outlineLvl w:val="1"/>
        <w:rPr>
          <w:rFonts w:ascii="Times New Roman" w:eastAsia="Times New Roman" w:hAnsi="Times New Roman" w:cs="Times New Roman"/>
          <w:b/>
          <w:bCs/>
          <w:sz w:val="24"/>
          <w:szCs w:val="24"/>
          <w:lang w:eastAsia="en-GB"/>
        </w:rPr>
      </w:pPr>
      <w:r w:rsidRPr="000420D9">
        <w:rPr>
          <w:rFonts w:ascii="Times New Roman" w:eastAsia="Times New Roman" w:hAnsi="Times New Roman" w:cs="Times New Roman"/>
          <w:b/>
          <w:bCs/>
          <w:sz w:val="24"/>
          <w:szCs w:val="24"/>
          <w:lang w:eastAsia="en-GB"/>
        </w:rPr>
        <w:t>6.0 REFERENCES</w:t>
      </w:r>
    </w:p>
    <w:p w14:paraId="097DCE3F" w14:textId="77777777" w:rsidR="000420D9" w:rsidRPr="0038231D" w:rsidRDefault="000420D9" w:rsidP="0038231D">
      <w:pPr>
        <w:pStyle w:val="ListParagraph"/>
        <w:numPr>
          <w:ilvl w:val="0"/>
          <w:numId w:val="2"/>
        </w:numPr>
        <w:spacing w:before="100" w:beforeAutospacing="1" w:after="100" w:afterAutospacing="1" w:line="240" w:lineRule="auto"/>
        <w:jc w:val="both"/>
        <w:rPr>
          <w:rFonts w:ascii="Times New Roman" w:eastAsia="Times New Roman" w:hAnsi="Times New Roman" w:cs="Times New Roman"/>
          <w:sz w:val="24"/>
          <w:szCs w:val="24"/>
          <w:lang w:eastAsia="en-GB"/>
        </w:rPr>
      </w:pPr>
      <w:r w:rsidRPr="0038231D">
        <w:rPr>
          <w:rFonts w:ascii="Times New Roman" w:eastAsia="Times New Roman" w:hAnsi="Times New Roman" w:cs="Times New Roman"/>
          <w:sz w:val="24"/>
          <w:szCs w:val="24"/>
          <w:lang w:eastAsia="en-GB"/>
        </w:rPr>
        <w:t xml:space="preserve">Abdullahi, N., </w:t>
      </w:r>
      <w:proofErr w:type="spellStart"/>
      <w:r w:rsidRPr="0038231D">
        <w:rPr>
          <w:rFonts w:ascii="Times New Roman" w:eastAsia="Times New Roman" w:hAnsi="Times New Roman" w:cs="Times New Roman"/>
          <w:sz w:val="24"/>
          <w:szCs w:val="24"/>
          <w:lang w:eastAsia="en-GB"/>
        </w:rPr>
        <w:t>Dandago</w:t>
      </w:r>
      <w:proofErr w:type="spellEnd"/>
      <w:r w:rsidRPr="0038231D">
        <w:rPr>
          <w:rFonts w:ascii="Times New Roman" w:eastAsia="Times New Roman" w:hAnsi="Times New Roman" w:cs="Times New Roman"/>
          <w:sz w:val="24"/>
          <w:szCs w:val="24"/>
          <w:lang w:eastAsia="en-GB"/>
        </w:rPr>
        <w:t xml:space="preserve">, M. A., Gambo, M. S., Abubakar, S. S., </w:t>
      </w:r>
      <w:proofErr w:type="spellStart"/>
      <w:r w:rsidRPr="0038231D">
        <w:rPr>
          <w:rFonts w:ascii="Times New Roman" w:eastAsia="Times New Roman" w:hAnsi="Times New Roman" w:cs="Times New Roman"/>
          <w:sz w:val="24"/>
          <w:szCs w:val="24"/>
          <w:lang w:eastAsia="en-GB"/>
        </w:rPr>
        <w:t>Tsoho</w:t>
      </w:r>
      <w:proofErr w:type="spellEnd"/>
      <w:r w:rsidRPr="0038231D">
        <w:rPr>
          <w:rFonts w:ascii="Times New Roman" w:eastAsia="Times New Roman" w:hAnsi="Times New Roman" w:cs="Times New Roman"/>
          <w:sz w:val="24"/>
          <w:szCs w:val="24"/>
          <w:lang w:eastAsia="en-GB"/>
        </w:rPr>
        <w:t xml:space="preserve">, A. U., &amp; Idah, P. G. (2024). Seasonal variation and uptake pattern of heavy metals in maize. </w:t>
      </w:r>
      <w:proofErr w:type="spellStart"/>
      <w:r w:rsidRPr="0038231D">
        <w:rPr>
          <w:rFonts w:ascii="Times New Roman" w:eastAsia="Times New Roman" w:hAnsi="Times New Roman" w:cs="Times New Roman"/>
          <w:i/>
          <w:iCs/>
          <w:sz w:val="24"/>
          <w:szCs w:val="24"/>
          <w:lang w:eastAsia="en-GB"/>
        </w:rPr>
        <w:t>Dutse</w:t>
      </w:r>
      <w:proofErr w:type="spellEnd"/>
      <w:r w:rsidRPr="0038231D">
        <w:rPr>
          <w:rFonts w:ascii="Times New Roman" w:eastAsia="Times New Roman" w:hAnsi="Times New Roman" w:cs="Times New Roman"/>
          <w:i/>
          <w:iCs/>
          <w:sz w:val="24"/>
          <w:szCs w:val="24"/>
          <w:lang w:eastAsia="en-GB"/>
        </w:rPr>
        <w:t xml:space="preserve"> Journal of Pure and Applied Sciences</w:t>
      </w:r>
      <w:r w:rsidRPr="0038231D">
        <w:rPr>
          <w:rFonts w:ascii="Times New Roman" w:eastAsia="Times New Roman" w:hAnsi="Times New Roman" w:cs="Times New Roman"/>
          <w:sz w:val="24"/>
          <w:szCs w:val="24"/>
          <w:lang w:eastAsia="en-GB"/>
        </w:rPr>
        <w:t xml:space="preserve">, </w:t>
      </w:r>
      <w:r w:rsidRPr="0038231D">
        <w:rPr>
          <w:rFonts w:ascii="Times New Roman" w:eastAsia="Times New Roman" w:hAnsi="Times New Roman" w:cs="Times New Roman"/>
          <w:i/>
          <w:iCs/>
          <w:sz w:val="24"/>
          <w:szCs w:val="24"/>
          <w:lang w:eastAsia="en-GB"/>
        </w:rPr>
        <w:t>10</w:t>
      </w:r>
      <w:r w:rsidRPr="0038231D">
        <w:rPr>
          <w:rFonts w:ascii="Times New Roman" w:eastAsia="Times New Roman" w:hAnsi="Times New Roman" w:cs="Times New Roman"/>
          <w:sz w:val="24"/>
          <w:szCs w:val="24"/>
          <w:lang w:eastAsia="en-GB"/>
        </w:rPr>
        <w:t>(1a), 78-87.</w:t>
      </w:r>
    </w:p>
    <w:p w14:paraId="3A5DE9BB" w14:textId="77777777" w:rsidR="000420D9" w:rsidRPr="0038231D" w:rsidRDefault="000420D9" w:rsidP="0038231D">
      <w:pPr>
        <w:pStyle w:val="ListParagraph"/>
        <w:numPr>
          <w:ilvl w:val="0"/>
          <w:numId w:val="2"/>
        </w:numPr>
        <w:spacing w:before="100" w:beforeAutospacing="1" w:after="100" w:afterAutospacing="1" w:line="240" w:lineRule="auto"/>
        <w:jc w:val="both"/>
        <w:rPr>
          <w:rFonts w:ascii="Times New Roman" w:eastAsia="Times New Roman" w:hAnsi="Times New Roman" w:cs="Times New Roman"/>
          <w:sz w:val="24"/>
          <w:szCs w:val="24"/>
          <w:lang w:eastAsia="en-GB"/>
        </w:rPr>
      </w:pPr>
      <w:proofErr w:type="spellStart"/>
      <w:r w:rsidRPr="0038231D">
        <w:rPr>
          <w:rFonts w:ascii="Times New Roman" w:eastAsia="Times New Roman" w:hAnsi="Times New Roman" w:cs="Times New Roman"/>
          <w:sz w:val="24"/>
          <w:szCs w:val="24"/>
          <w:lang w:eastAsia="en-GB"/>
        </w:rPr>
        <w:t>Aladesanmi</w:t>
      </w:r>
      <w:proofErr w:type="spellEnd"/>
      <w:r w:rsidRPr="0038231D">
        <w:rPr>
          <w:rFonts w:ascii="Times New Roman" w:eastAsia="Times New Roman" w:hAnsi="Times New Roman" w:cs="Times New Roman"/>
          <w:sz w:val="24"/>
          <w:szCs w:val="24"/>
          <w:lang w:eastAsia="en-GB"/>
        </w:rPr>
        <w:t xml:space="preserve">, O. T., </w:t>
      </w:r>
      <w:proofErr w:type="spellStart"/>
      <w:r w:rsidRPr="0038231D">
        <w:rPr>
          <w:rFonts w:ascii="Times New Roman" w:eastAsia="Times New Roman" w:hAnsi="Times New Roman" w:cs="Times New Roman"/>
          <w:sz w:val="24"/>
          <w:szCs w:val="24"/>
          <w:lang w:eastAsia="en-GB"/>
        </w:rPr>
        <w:t>Oroboade</w:t>
      </w:r>
      <w:proofErr w:type="spellEnd"/>
      <w:r w:rsidRPr="0038231D">
        <w:rPr>
          <w:rFonts w:ascii="Times New Roman" w:eastAsia="Times New Roman" w:hAnsi="Times New Roman" w:cs="Times New Roman"/>
          <w:sz w:val="24"/>
          <w:szCs w:val="24"/>
          <w:lang w:eastAsia="en-GB"/>
        </w:rPr>
        <w:t xml:space="preserve">, J. G., </w:t>
      </w:r>
      <w:proofErr w:type="spellStart"/>
      <w:r w:rsidRPr="0038231D">
        <w:rPr>
          <w:rFonts w:ascii="Times New Roman" w:eastAsia="Times New Roman" w:hAnsi="Times New Roman" w:cs="Times New Roman"/>
          <w:sz w:val="24"/>
          <w:szCs w:val="24"/>
          <w:lang w:eastAsia="en-GB"/>
        </w:rPr>
        <w:t>Osisiogu</w:t>
      </w:r>
      <w:proofErr w:type="spellEnd"/>
      <w:r w:rsidRPr="0038231D">
        <w:rPr>
          <w:rFonts w:ascii="Times New Roman" w:eastAsia="Times New Roman" w:hAnsi="Times New Roman" w:cs="Times New Roman"/>
          <w:sz w:val="24"/>
          <w:szCs w:val="24"/>
          <w:lang w:eastAsia="en-GB"/>
        </w:rPr>
        <w:t xml:space="preserve">, C. P., &amp; </w:t>
      </w:r>
      <w:proofErr w:type="spellStart"/>
      <w:r w:rsidRPr="0038231D">
        <w:rPr>
          <w:rFonts w:ascii="Times New Roman" w:eastAsia="Times New Roman" w:hAnsi="Times New Roman" w:cs="Times New Roman"/>
          <w:sz w:val="24"/>
          <w:szCs w:val="24"/>
          <w:lang w:eastAsia="en-GB"/>
        </w:rPr>
        <w:t>Osewole</w:t>
      </w:r>
      <w:proofErr w:type="spellEnd"/>
      <w:r w:rsidRPr="0038231D">
        <w:rPr>
          <w:rFonts w:ascii="Times New Roman" w:eastAsia="Times New Roman" w:hAnsi="Times New Roman" w:cs="Times New Roman"/>
          <w:sz w:val="24"/>
          <w:szCs w:val="24"/>
          <w:lang w:eastAsia="en-GB"/>
        </w:rPr>
        <w:t xml:space="preserve">, A. O. (2019). Bioaccumulation factor of selected heavy metals in </w:t>
      </w:r>
      <w:r w:rsidRPr="0038231D">
        <w:rPr>
          <w:rFonts w:ascii="Times New Roman" w:eastAsia="Times New Roman" w:hAnsi="Times New Roman" w:cs="Times New Roman"/>
          <w:i/>
          <w:iCs/>
          <w:sz w:val="24"/>
          <w:szCs w:val="24"/>
          <w:lang w:eastAsia="en-GB"/>
        </w:rPr>
        <w:t>Zea mays</w:t>
      </w:r>
      <w:r w:rsidRPr="0038231D">
        <w:rPr>
          <w:rFonts w:ascii="Times New Roman" w:eastAsia="Times New Roman" w:hAnsi="Times New Roman" w:cs="Times New Roman"/>
          <w:sz w:val="24"/>
          <w:szCs w:val="24"/>
          <w:lang w:eastAsia="en-GB"/>
        </w:rPr>
        <w:t xml:space="preserve">. </w:t>
      </w:r>
      <w:r w:rsidRPr="0038231D">
        <w:rPr>
          <w:rFonts w:ascii="Times New Roman" w:eastAsia="Times New Roman" w:hAnsi="Times New Roman" w:cs="Times New Roman"/>
          <w:i/>
          <w:iCs/>
          <w:sz w:val="24"/>
          <w:szCs w:val="24"/>
          <w:lang w:eastAsia="en-GB"/>
        </w:rPr>
        <w:t>Journal of Health and Pollution</w:t>
      </w:r>
      <w:r w:rsidRPr="0038231D">
        <w:rPr>
          <w:rFonts w:ascii="Times New Roman" w:eastAsia="Times New Roman" w:hAnsi="Times New Roman" w:cs="Times New Roman"/>
          <w:sz w:val="24"/>
          <w:szCs w:val="24"/>
          <w:lang w:eastAsia="en-GB"/>
        </w:rPr>
        <w:t xml:space="preserve">, </w:t>
      </w:r>
      <w:r w:rsidRPr="0038231D">
        <w:rPr>
          <w:rFonts w:ascii="Times New Roman" w:eastAsia="Times New Roman" w:hAnsi="Times New Roman" w:cs="Times New Roman"/>
          <w:i/>
          <w:iCs/>
          <w:sz w:val="24"/>
          <w:szCs w:val="24"/>
          <w:lang w:eastAsia="en-GB"/>
        </w:rPr>
        <w:t>9</w:t>
      </w:r>
      <w:r w:rsidRPr="0038231D">
        <w:rPr>
          <w:rFonts w:ascii="Times New Roman" w:eastAsia="Times New Roman" w:hAnsi="Times New Roman" w:cs="Times New Roman"/>
          <w:sz w:val="24"/>
          <w:szCs w:val="24"/>
          <w:lang w:eastAsia="en-GB"/>
        </w:rPr>
        <w:t>(24), 191207.</w:t>
      </w:r>
    </w:p>
    <w:p w14:paraId="3FDC702B" w14:textId="77777777" w:rsidR="000420D9" w:rsidRPr="0038231D" w:rsidRDefault="000420D9" w:rsidP="0038231D">
      <w:pPr>
        <w:pStyle w:val="ListParagraph"/>
        <w:numPr>
          <w:ilvl w:val="0"/>
          <w:numId w:val="2"/>
        </w:numPr>
        <w:spacing w:before="100" w:beforeAutospacing="1" w:after="100" w:afterAutospacing="1" w:line="240" w:lineRule="auto"/>
        <w:jc w:val="both"/>
        <w:rPr>
          <w:rFonts w:ascii="Times New Roman" w:eastAsia="Times New Roman" w:hAnsi="Times New Roman" w:cs="Times New Roman"/>
          <w:sz w:val="24"/>
          <w:szCs w:val="24"/>
          <w:lang w:eastAsia="en-GB"/>
        </w:rPr>
      </w:pPr>
      <w:r w:rsidRPr="0038231D">
        <w:rPr>
          <w:rFonts w:ascii="Times New Roman" w:eastAsia="Times New Roman" w:hAnsi="Times New Roman" w:cs="Times New Roman"/>
          <w:sz w:val="24"/>
          <w:szCs w:val="24"/>
          <w:lang w:eastAsia="en-GB"/>
        </w:rPr>
        <w:t>Atta, M. I., Zehra, S. S., Ali, H., Ali, B., Abbas, S. N., Aimen, S., Sarwar, S., Ahmad, I., Hussain, M., Al-Ashkar, I., Elango, D., &amp; El Sabagh, A. (2023). Assessing the effect of heavy metals on maize (</w:t>
      </w:r>
      <w:r w:rsidRPr="0038231D">
        <w:rPr>
          <w:rFonts w:ascii="Times New Roman" w:eastAsia="Times New Roman" w:hAnsi="Times New Roman" w:cs="Times New Roman"/>
          <w:i/>
          <w:iCs/>
          <w:sz w:val="24"/>
          <w:szCs w:val="24"/>
          <w:lang w:eastAsia="en-GB"/>
        </w:rPr>
        <w:t>Zea mays</w:t>
      </w:r>
      <w:r w:rsidRPr="0038231D">
        <w:rPr>
          <w:rFonts w:ascii="Times New Roman" w:eastAsia="Times New Roman" w:hAnsi="Times New Roman" w:cs="Times New Roman"/>
          <w:sz w:val="24"/>
          <w:szCs w:val="24"/>
          <w:lang w:eastAsia="en-GB"/>
        </w:rPr>
        <w:t xml:space="preserve"> L.) growth and soil characteristics: Implications for phytoremediation. </w:t>
      </w:r>
      <w:proofErr w:type="spellStart"/>
      <w:r w:rsidRPr="0038231D">
        <w:rPr>
          <w:rFonts w:ascii="Times New Roman" w:eastAsia="Times New Roman" w:hAnsi="Times New Roman" w:cs="Times New Roman"/>
          <w:i/>
          <w:iCs/>
          <w:sz w:val="24"/>
          <w:szCs w:val="24"/>
          <w:lang w:eastAsia="en-GB"/>
        </w:rPr>
        <w:t>PeerJ</w:t>
      </w:r>
      <w:proofErr w:type="spellEnd"/>
      <w:r w:rsidRPr="0038231D">
        <w:rPr>
          <w:rFonts w:ascii="Times New Roman" w:eastAsia="Times New Roman" w:hAnsi="Times New Roman" w:cs="Times New Roman"/>
          <w:sz w:val="24"/>
          <w:szCs w:val="24"/>
          <w:lang w:eastAsia="en-GB"/>
        </w:rPr>
        <w:t xml:space="preserve">, </w:t>
      </w:r>
      <w:r w:rsidRPr="0038231D">
        <w:rPr>
          <w:rFonts w:ascii="Times New Roman" w:eastAsia="Times New Roman" w:hAnsi="Times New Roman" w:cs="Times New Roman"/>
          <w:i/>
          <w:iCs/>
          <w:sz w:val="24"/>
          <w:szCs w:val="24"/>
          <w:lang w:eastAsia="en-GB"/>
        </w:rPr>
        <w:t>11</w:t>
      </w:r>
      <w:r w:rsidRPr="0038231D">
        <w:rPr>
          <w:rFonts w:ascii="Times New Roman" w:eastAsia="Times New Roman" w:hAnsi="Times New Roman" w:cs="Times New Roman"/>
          <w:sz w:val="24"/>
          <w:szCs w:val="24"/>
          <w:lang w:eastAsia="en-GB"/>
        </w:rPr>
        <w:t>, e16067.</w:t>
      </w:r>
    </w:p>
    <w:p w14:paraId="06C7F52C" w14:textId="77777777" w:rsidR="000420D9" w:rsidRPr="0038231D" w:rsidRDefault="000420D9" w:rsidP="0038231D">
      <w:pPr>
        <w:pStyle w:val="ListParagraph"/>
        <w:numPr>
          <w:ilvl w:val="0"/>
          <w:numId w:val="2"/>
        </w:numPr>
        <w:spacing w:before="100" w:beforeAutospacing="1" w:after="100" w:afterAutospacing="1" w:line="240" w:lineRule="auto"/>
        <w:jc w:val="both"/>
        <w:rPr>
          <w:rFonts w:ascii="Times New Roman" w:eastAsia="Times New Roman" w:hAnsi="Times New Roman" w:cs="Times New Roman"/>
          <w:sz w:val="24"/>
          <w:szCs w:val="24"/>
          <w:lang w:eastAsia="en-GB"/>
        </w:rPr>
      </w:pPr>
      <w:r w:rsidRPr="0038231D">
        <w:rPr>
          <w:rFonts w:ascii="Times New Roman" w:eastAsia="Times New Roman" w:hAnsi="Times New Roman" w:cs="Times New Roman"/>
          <w:sz w:val="24"/>
          <w:szCs w:val="24"/>
          <w:lang w:eastAsia="en-GB"/>
        </w:rPr>
        <w:t xml:space="preserve">Briffa, J., Sinagra, E., &amp; Blundell, R. (2020). Heavy metal pollution in the environment and their toxicological effects on humans. </w:t>
      </w:r>
      <w:proofErr w:type="spellStart"/>
      <w:r w:rsidRPr="0038231D">
        <w:rPr>
          <w:rFonts w:ascii="Times New Roman" w:eastAsia="Times New Roman" w:hAnsi="Times New Roman" w:cs="Times New Roman"/>
          <w:i/>
          <w:iCs/>
          <w:sz w:val="24"/>
          <w:szCs w:val="24"/>
          <w:lang w:eastAsia="en-GB"/>
        </w:rPr>
        <w:t>Heliyon</w:t>
      </w:r>
      <w:proofErr w:type="spellEnd"/>
      <w:r w:rsidRPr="0038231D">
        <w:rPr>
          <w:rFonts w:ascii="Times New Roman" w:eastAsia="Times New Roman" w:hAnsi="Times New Roman" w:cs="Times New Roman"/>
          <w:sz w:val="24"/>
          <w:szCs w:val="24"/>
          <w:lang w:eastAsia="en-GB"/>
        </w:rPr>
        <w:t xml:space="preserve">, </w:t>
      </w:r>
      <w:r w:rsidRPr="0038231D">
        <w:rPr>
          <w:rFonts w:ascii="Times New Roman" w:eastAsia="Times New Roman" w:hAnsi="Times New Roman" w:cs="Times New Roman"/>
          <w:i/>
          <w:iCs/>
          <w:sz w:val="24"/>
          <w:szCs w:val="24"/>
          <w:lang w:eastAsia="en-GB"/>
        </w:rPr>
        <w:t>6</w:t>
      </w:r>
      <w:r w:rsidRPr="0038231D">
        <w:rPr>
          <w:rFonts w:ascii="Times New Roman" w:eastAsia="Times New Roman" w:hAnsi="Times New Roman" w:cs="Times New Roman"/>
          <w:sz w:val="24"/>
          <w:szCs w:val="24"/>
          <w:lang w:eastAsia="en-GB"/>
        </w:rPr>
        <w:t>(9), e04691.</w:t>
      </w:r>
    </w:p>
    <w:p w14:paraId="40153A67" w14:textId="77777777" w:rsidR="000420D9" w:rsidRPr="0038231D" w:rsidRDefault="000420D9" w:rsidP="0038231D">
      <w:pPr>
        <w:pStyle w:val="ListParagraph"/>
        <w:numPr>
          <w:ilvl w:val="0"/>
          <w:numId w:val="2"/>
        </w:numPr>
        <w:spacing w:before="100" w:beforeAutospacing="1" w:after="100" w:afterAutospacing="1" w:line="240" w:lineRule="auto"/>
        <w:jc w:val="both"/>
        <w:rPr>
          <w:rFonts w:ascii="Times New Roman" w:eastAsia="Times New Roman" w:hAnsi="Times New Roman" w:cs="Times New Roman"/>
          <w:sz w:val="24"/>
          <w:szCs w:val="24"/>
          <w:lang w:eastAsia="en-GB"/>
        </w:rPr>
      </w:pPr>
      <w:r w:rsidRPr="0038231D">
        <w:rPr>
          <w:rFonts w:ascii="Times New Roman" w:eastAsia="Times New Roman" w:hAnsi="Times New Roman" w:cs="Times New Roman"/>
          <w:sz w:val="24"/>
          <w:szCs w:val="24"/>
          <w:lang w:eastAsia="en-GB"/>
        </w:rPr>
        <w:t xml:space="preserve">Gargouri, M., Soussi, A., Akrouti, A., </w:t>
      </w:r>
      <w:proofErr w:type="spellStart"/>
      <w:r w:rsidRPr="0038231D">
        <w:rPr>
          <w:rFonts w:ascii="Times New Roman" w:eastAsia="Times New Roman" w:hAnsi="Times New Roman" w:cs="Times New Roman"/>
          <w:sz w:val="24"/>
          <w:szCs w:val="24"/>
          <w:lang w:eastAsia="en-GB"/>
        </w:rPr>
        <w:t>Magné</w:t>
      </w:r>
      <w:proofErr w:type="spellEnd"/>
      <w:r w:rsidRPr="0038231D">
        <w:rPr>
          <w:rFonts w:ascii="Times New Roman" w:eastAsia="Times New Roman" w:hAnsi="Times New Roman" w:cs="Times New Roman"/>
          <w:sz w:val="24"/>
          <w:szCs w:val="24"/>
          <w:lang w:eastAsia="en-GB"/>
        </w:rPr>
        <w:t xml:space="preserve">, C., &amp; El Feki, A. (2018). Ameliorative effects of </w:t>
      </w:r>
      <w:r w:rsidRPr="0038231D">
        <w:rPr>
          <w:rFonts w:ascii="Times New Roman" w:eastAsia="Times New Roman" w:hAnsi="Times New Roman" w:cs="Times New Roman"/>
          <w:i/>
          <w:iCs/>
          <w:sz w:val="24"/>
          <w:szCs w:val="24"/>
          <w:lang w:eastAsia="en-GB"/>
        </w:rPr>
        <w:t>Spirulina platensis</w:t>
      </w:r>
      <w:r w:rsidRPr="0038231D">
        <w:rPr>
          <w:rFonts w:ascii="Times New Roman" w:eastAsia="Times New Roman" w:hAnsi="Times New Roman" w:cs="Times New Roman"/>
          <w:sz w:val="24"/>
          <w:szCs w:val="24"/>
          <w:lang w:eastAsia="en-GB"/>
        </w:rPr>
        <w:t xml:space="preserve"> against lead-induced nephrotoxicity in newborn rats: Modulation of oxidative stress and histopathological changes. </w:t>
      </w:r>
      <w:r w:rsidRPr="0038231D">
        <w:rPr>
          <w:rFonts w:ascii="Times New Roman" w:eastAsia="Times New Roman" w:hAnsi="Times New Roman" w:cs="Times New Roman"/>
          <w:i/>
          <w:iCs/>
          <w:sz w:val="24"/>
          <w:szCs w:val="24"/>
          <w:lang w:eastAsia="en-GB"/>
        </w:rPr>
        <w:t>EXCLI Journal</w:t>
      </w:r>
      <w:r w:rsidRPr="0038231D">
        <w:rPr>
          <w:rFonts w:ascii="Times New Roman" w:eastAsia="Times New Roman" w:hAnsi="Times New Roman" w:cs="Times New Roman"/>
          <w:sz w:val="24"/>
          <w:szCs w:val="24"/>
          <w:lang w:eastAsia="en-GB"/>
        </w:rPr>
        <w:t xml:space="preserve">, </w:t>
      </w:r>
      <w:r w:rsidRPr="0038231D">
        <w:rPr>
          <w:rFonts w:ascii="Times New Roman" w:eastAsia="Times New Roman" w:hAnsi="Times New Roman" w:cs="Times New Roman"/>
          <w:i/>
          <w:iCs/>
          <w:sz w:val="24"/>
          <w:szCs w:val="24"/>
          <w:lang w:eastAsia="en-GB"/>
        </w:rPr>
        <w:t>17</w:t>
      </w:r>
      <w:r w:rsidRPr="0038231D">
        <w:rPr>
          <w:rFonts w:ascii="Times New Roman" w:eastAsia="Times New Roman" w:hAnsi="Times New Roman" w:cs="Times New Roman"/>
          <w:sz w:val="24"/>
          <w:szCs w:val="24"/>
          <w:lang w:eastAsia="en-GB"/>
        </w:rPr>
        <w:t>, 215-233.</w:t>
      </w:r>
    </w:p>
    <w:p w14:paraId="096E5BB6" w14:textId="77777777" w:rsidR="000420D9" w:rsidRPr="0038231D" w:rsidRDefault="000420D9" w:rsidP="0038231D">
      <w:pPr>
        <w:pStyle w:val="ListParagraph"/>
        <w:numPr>
          <w:ilvl w:val="0"/>
          <w:numId w:val="2"/>
        </w:numPr>
        <w:spacing w:before="100" w:beforeAutospacing="1" w:after="100" w:afterAutospacing="1" w:line="240" w:lineRule="auto"/>
        <w:jc w:val="both"/>
        <w:rPr>
          <w:rFonts w:ascii="Times New Roman" w:eastAsia="Times New Roman" w:hAnsi="Times New Roman" w:cs="Times New Roman"/>
          <w:sz w:val="24"/>
          <w:szCs w:val="24"/>
          <w:lang w:eastAsia="en-GB"/>
        </w:rPr>
      </w:pPr>
      <w:r w:rsidRPr="0038231D">
        <w:rPr>
          <w:rFonts w:ascii="Times New Roman" w:eastAsia="Times New Roman" w:hAnsi="Times New Roman" w:cs="Times New Roman"/>
          <w:sz w:val="24"/>
          <w:szCs w:val="24"/>
          <w:lang w:eastAsia="en-GB"/>
        </w:rPr>
        <w:t xml:space="preserve">Jaishankar, M., Tseten, T., Anbalagan, N., Mathew, B. B., &amp; </w:t>
      </w:r>
      <w:proofErr w:type="spellStart"/>
      <w:r w:rsidRPr="0038231D">
        <w:rPr>
          <w:rFonts w:ascii="Times New Roman" w:eastAsia="Times New Roman" w:hAnsi="Times New Roman" w:cs="Times New Roman"/>
          <w:sz w:val="24"/>
          <w:szCs w:val="24"/>
          <w:lang w:eastAsia="en-GB"/>
        </w:rPr>
        <w:t>Beeregowda</w:t>
      </w:r>
      <w:proofErr w:type="spellEnd"/>
      <w:r w:rsidRPr="0038231D">
        <w:rPr>
          <w:rFonts w:ascii="Times New Roman" w:eastAsia="Times New Roman" w:hAnsi="Times New Roman" w:cs="Times New Roman"/>
          <w:sz w:val="24"/>
          <w:szCs w:val="24"/>
          <w:lang w:eastAsia="en-GB"/>
        </w:rPr>
        <w:t xml:space="preserve">, K. N. (2014). Toxicity, mechanism and health effects of some heavy metals. </w:t>
      </w:r>
      <w:r w:rsidRPr="0038231D">
        <w:rPr>
          <w:rFonts w:ascii="Times New Roman" w:eastAsia="Times New Roman" w:hAnsi="Times New Roman" w:cs="Times New Roman"/>
          <w:i/>
          <w:iCs/>
          <w:sz w:val="24"/>
          <w:szCs w:val="24"/>
          <w:lang w:eastAsia="en-GB"/>
        </w:rPr>
        <w:t>Interdisciplinary Toxicology</w:t>
      </w:r>
      <w:r w:rsidRPr="0038231D">
        <w:rPr>
          <w:rFonts w:ascii="Times New Roman" w:eastAsia="Times New Roman" w:hAnsi="Times New Roman" w:cs="Times New Roman"/>
          <w:sz w:val="24"/>
          <w:szCs w:val="24"/>
          <w:lang w:eastAsia="en-GB"/>
        </w:rPr>
        <w:t xml:space="preserve">, </w:t>
      </w:r>
      <w:r w:rsidRPr="0038231D">
        <w:rPr>
          <w:rFonts w:ascii="Times New Roman" w:eastAsia="Times New Roman" w:hAnsi="Times New Roman" w:cs="Times New Roman"/>
          <w:i/>
          <w:iCs/>
          <w:sz w:val="24"/>
          <w:szCs w:val="24"/>
          <w:lang w:eastAsia="en-GB"/>
        </w:rPr>
        <w:t>7</w:t>
      </w:r>
      <w:r w:rsidRPr="0038231D">
        <w:rPr>
          <w:rFonts w:ascii="Times New Roman" w:eastAsia="Times New Roman" w:hAnsi="Times New Roman" w:cs="Times New Roman"/>
          <w:sz w:val="24"/>
          <w:szCs w:val="24"/>
          <w:lang w:eastAsia="en-GB"/>
        </w:rPr>
        <w:t>(2), 60-72.</w:t>
      </w:r>
    </w:p>
    <w:p w14:paraId="69C103DF" w14:textId="77777777" w:rsidR="000420D9" w:rsidRPr="0038231D" w:rsidRDefault="000420D9" w:rsidP="0038231D">
      <w:pPr>
        <w:pStyle w:val="ListParagraph"/>
        <w:numPr>
          <w:ilvl w:val="0"/>
          <w:numId w:val="2"/>
        </w:numPr>
        <w:spacing w:before="100" w:beforeAutospacing="1" w:after="100" w:afterAutospacing="1" w:line="240" w:lineRule="auto"/>
        <w:jc w:val="both"/>
        <w:rPr>
          <w:rFonts w:ascii="Times New Roman" w:eastAsia="Times New Roman" w:hAnsi="Times New Roman" w:cs="Times New Roman"/>
          <w:sz w:val="24"/>
          <w:szCs w:val="24"/>
          <w:lang w:eastAsia="en-GB"/>
        </w:rPr>
      </w:pPr>
      <w:r w:rsidRPr="0038231D">
        <w:rPr>
          <w:rFonts w:ascii="Times New Roman" w:eastAsia="Times New Roman" w:hAnsi="Times New Roman" w:cs="Times New Roman"/>
          <w:sz w:val="24"/>
          <w:szCs w:val="24"/>
          <w:lang w:eastAsia="en-GB"/>
        </w:rPr>
        <w:t xml:space="preserve">Khan, B. N., Ullah, H., Ashfaq, Y., Hussain, N., </w:t>
      </w:r>
      <w:proofErr w:type="spellStart"/>
      <w:r w:rsidRPr="0038231D">
        <w:rPr>
          <w:rFonts w:ascii="Times New Roman" w:eastAsia="Times New Roman" w:hAnsi="Times New Roman" w:cs="Times New Roman"/>
          <w:sz w:val="24"/>
          <w:szCs w:val="24"/>
          <w:lang w:eastAsia="en-GB"/>
        </w:rPr>
        <w:t>Atique</w:t>
      </w:r>
      <w:proofErr w:type="spellEnd"/>
      <w:r w:rsidRPr="0038231D">
        <w:rPr>
          <w:rFonts w:ascii="Times New Roman" w:eastAsia="Times New Roman" w:hAnsi="Times New Roman" w:cs="Times New Roman"/>
          <w:sz w:val="24"/>
          <w:szCs w:val="24"/>
          <w:lang w:eastAsia="en-GB"/>
        </w:rPr>
        <w:t xml:space="preserve">, U., Aziz, T., Alharbi, M., Albekairi, T. H., &amp; </w:t>
      </w:r>
      <w:proofErr w:type="spellStart"/>
      <w:r w:rsidRPr="0038231D">
        <w:rPr>
          <w:rFonts w:ascii="Times New Roman" w:eastAsia="Times New Roman" w:hAnsi="Times New Roman" w:cs="Times New Roman"/>
          <w:sz w:val="24"/>
          <w:szCs w:val="24"/>
          <w:lang w:eastAsia="en-GB"/>
        </w:rPr>
        <w:t>Alasmari</w:t>
      </w:r>
      <w:proofErr w:type="spellEnd"/>
      <w:r w:rsidRPr="0038231D">
        <w:rPr>
          <w:rFonts w:ascii="Times New Roman" w:eastAsia="Times New Roman" w:hAnsi="Times New Roman" w:cs="Times New Roman"/>
          <w:sz w:val="24"/>
          <w:szCs w:val="24"/>
          <w:lang w:eastAsia="en-GB"/>
        </w:rPr>
        <w:t xml:space="preserve">, A. F. (2023). Elucidating the effects of heavy metals contamination on vital organs of fish and migratory birds found at </w:t>
      </w:r>
      <w:r w:rsidRPr="0038231D">
        <w:rPr>
          <w:rFonts w:ascii="Times New Roman" w:eastAsia="Times New Roman" w:hAnsi="Times New Roman" w:cs="Times New Roman"/>
          <w:sz w:val="24"/>
          <w:szCs w:val="24"/>
          <w:lang w:eastAsia="en-GB"/>
        </w:rPr>
        <w:lastRenderedPageBreak/>
        <w:t xml:space="preserve">fresh water ecosystem. </w:t>
      </w:r>
      <w:proofErr w:type="spellStart"/>
      <w:r w:rsidRPr="0038231D">
        <w:rPr>
          <w:rFonts w:ascii="Times New Roman" w:eastAsia="Times New Roman" w:hAnsi="Times New Roman" w:cs="Times New Roman"/>
          <w:i/>
          <w:iCs/>
          <w:sz w:val="24"/>
          <w:szCs w:val="24"/>
          <w:lang w:eastAsia="en-GB"/>
        </w:rPr>
        <w:t>Heliyon</w:t>
      </w:r>
      <w:proofErr w:type="spellEnd"/>
      <w:r w:rsidRPr="0038231D">
        <w:rPr>
          <w:rFonts w:ascii="Times New Roman" w:eastAsia="Times New Roman" w:hAnsi="Times New Roman" w:cs="Times New Roman"/>
          <w:sz w:val="24"/>
          <w:szCs w:val="24"/>
          <w:lang w:eastAsia="en-GB"/>
        </w:rPr>
        <w:t xml:space="preserve">, </w:t>
      </w:r>
      <w:r w:rsidRPr="0038231D">
        <w:rPr>
          <w:rFonts w:ascii="Times New Roman" w:eastAsia="Times New Roman" w:hAnsi="Times New Roman" w:cs="Times New Roman"/>
          <w:i/>
          <w:iCs/>
          <w:sz w:val="24"/>
          <w:szCs w:val="24"/>
          <w:lang w:eastAsia="en-GB"/>
        </w:rPr>
        <w:t>9</w:t>
      </w:r>
      <w:r w:rsidRPr="0038231D">
        <w:rPr>
          <w:rFonts w:ascii="Times New Roman" w:eastAsia="Times New Roman" w:hAnsi="Times New Roman" w:cs="Times New Roman"/>
          <w:sz w:val="24"/>
          <w:szCs w:val="24"/>
          <w:lang w:eastAsia="en-GB"/>
        </w:rPr>
        <w:t>(11), e20968.</w:t>
      </w:r>
    </w:p>
    <w:p w14:paraId="2CBE690A" w14:textId="77777777" w:rsidR="000420D9" w:rsidRPr="0038231D" w:rsidRDefault="000420D9" w:rsidP="0038231D">
      <w:pPr>
        <w:pStyle w:val="ListParagraph"/>
        <w:numPr>
          <w:ilvl w:val="0"/>
          <w:numId w:val="2"/>
        </w:numPr>
        <w:spacing w:before="100" w:beforeAutospacing="1" w:after="100" w:afterAutospacing="1" w:line="240" w:lineRule="auto"/>
        <w:jc w:val="both"/>
        <w:rPr>
          <w:rFonts w:ascii="Times New Roman" w:eastAsia="Times New Roman" w:hAnsi="Times New Roman" w:cs="Times New Roman"/>
          <w:sz w:val="24"/>
          <w:szCs w:val="24"/>
          <w:lang w:eastAsia="en-GB"/>
        </w:rPr>
      </w:pPr>
      <w:r w:rsidRPr="0038231D">
        <w:rPr>
          <w:rFonts w:ascii="Times New Roman" w:eastAsia="Times New Roman" w:hAnsi="Times New Roman" w:cs="Times New Roman"/>
          <w:sz w:val="24"/>
          <w:szCs w:val="24"/>
          <w:lang w:eastAsia="en-GB"/>
        </w:rPr>
        <w:t xml:space="preserve">Khan, M., Nazar Ibrahim Al Azzawi, T., Imran, M., Hussain, A., Mun, B.-G., Pande, A., &amp; Yun, B.-W. (2021). Effects of lead (Pb)-induced oxidative stress on morphological and physio-biochemical properties of rice. </w:t>
      </w:r>
      <w:r w:rsidRPr="0038231D">
        <w:rPr>
          <w:rFonts w:ascii="Times New Roman" w:eastAsia="Times New Roman" w:hAnsi="Times New Roman" w:cs="Times New Roman"/>
          <w:i/>
          <w:iCs/>
          <w:sz w:val="24"/>
          <w:szCs w:val="24"/>
          <w:lang w:eastAsia="en-GB"/>
        </w:rPr>
        <w:t>BIOCELL</w:t>
      </w:r>
      <w:r w:rsidRPr="0038231D">
        <w:rPr>
          <w:rFonts w:ascii="Times New Roman" w:eastAsia="Times New Roman" w:hAnsi="Times New Roman" w:cs="Times New Roman"/>
          <w:sz w:val="24"/>
          <w:szCs w:val="24"/>
          <w:lang w:eastAsia="en-GB"/>
        </w:rPr>
        <w:t xml:space="preserve">, </w:t>
      </w:r>
      <w:r w:rsidRPr="0038231D">
        <w:rPr>
          <w:rFonts w:ascii="Times New Roman" w:eastAsia="Times New Roman" w:hAnsi="Times New Roman" w:cs="Times New Roman"/>
          <w:i/>
          <w:iCs/>
          <w:sz w:val="24"/>
          <w:szCs w:val="24"/>
          <w:lang w:eastAsia="en-GB"/>
        </w:rPr>
        <w:t>45</w:t>
      </w:r>
      <w:r w:rsidRPr="0038231D">
        <w:rPr>
          <w:rFonts w:ascii="Times New Roman" w:eastAsia="Times New Roman" w:hAnsi="Times New Roman" w:cs="Times New Roman"/>
          <w:sz w:val="24"/>
          <w:szCs w:val="24"/>
          <w:lang w:eastAsia="en-GB"/>
        </w:rPr>
        <w:t>(5), 1413-1423.</w:t>
      </w:r>
    </w:p>
    <w:p w14:paraId="1FD0751C" w14:textId="77777777" w:rsidR="000420D9" w:rsidRPr="0038231D" w:rsidRDefault="000420D9" w:rsidP="0038231D">
      <w:pPr>
        <w:pStyle w:val="ListParagraph"/>
        <w:numPr>
          <w:ilvl w:val="0"/>
          <w:numId w:val="2"/>
        </w:numPr>
        <w:spacing w:before="100" w:beforeAutospacing="1" w:after="100" w:afterAutospacing="1" w:line="240" w:lineRule="auto"/>
        <w:jc w:val="both"/>
        <w:rPr>
          <w:rFonts w:ascii="Times New Roman" w:eastAsia="Times New Roman" w:hAnsi="Times New Roman" w:cs="Times New Roman"/>
          <w:sz w:val="24"/>
          <w:szCs w:val="24"/>
          <w:lang w:eastAsia="en-GB"/>
        </w:rPr>
      </w:pPr>
      <w:r w:rsidRPr="0038231D">
        <w:rPr>
          <w:rFonts w:ascii="Times New Roman" w:eastAsia="Times New Roman" w:hAnsi="Times New Roman" w:cs="Times New Roman"/>
          <w:sz w:val="24"/>
          <w:szCs w:val="24"/>
          <w:lang w:eastAsia="en-GB"/>
        </w:rPr>
        <w:t xml:space="preserve">Liu, J., Si, W., Xiao, Z., Tang, R., Niu, P., Fu, Y., &amp; Shen, W. (2023). Risks to human health of exposure to heavy metals through wheat consumption near a tailings dam in North China. </w:t>
      </w:r>
      <w:r w:rsidRPr="0038231D">
        <w:rPr>
          <w:rFonts w:ascii="Times New Roman" w:eastAsia="Times New Roman" w:hAnsi="Times New Roman" w:cs="Times New Roman"/>
          <w:i/>
          <w:iCs/>
          <w:sz w:val="24"/>
          <w:szCs w:val="24"/>
          <w:lang w:eastAsia="en-GB"/>
        </w:rPr>
        <w:t>Polish Journal of Environmental Studies</w:t>
      </w:r>
      <w:r w:rsidRPr="0038231D">
        <w:rPr>
          <w:rFonts w:ascii="Times New Roman" w:eastAsia="Times New Roman" w:hAnsi="Times New Roman" w:cs="Times New Roman"/>
          <w:sz w:val="24"/>
          <w:szCs w:val="24"/>
          <w:lang w:eastAsia="en-GB"/>
        </w:rPr>
        <w:t xml:space="preserve">, </w:t>
      </w:r>
      <w:r w:rsidRPr="0038231D">
        <w:rPr>
          <w:rFonts w:ascii="Times New Roman" w:eastAsia="Times New Roman" w:hAnsi="Times New Roman" w:cs="Times New Roman"/>
          <w:i/>
          <w:iCs/>
          <w:sz w:val="24"/>
          <w:szCs w:val="24"/>
          <w:lang w:eastAsia="en-GB"/>
        </w:rPr>
        <w:t>32</w:t>
      </w:r>
      <w:r w:rsidRPr="0038231D">
        <w:rPr>
          <w:rFonts w:ascii="Times New Roman" w:eastAsia="Times New Roman" w:hAnsi="Times New Roman" w:cs="Times New Roman"/>
          <w:sz w:val="24"/>
          <w:szCs w:val="24"/>
          <w:lang w:eastAsia="en-GB"/>
        </w:rPr>
        <w:t>(4), 3195-3207.</w:t>
      </w:r>
    </w:p>
    <w:p w14:paraId="1B2969CC" w14:textId="77777777" w:rsidR="000420D9" w:rsidRPr="0038231D" w:rsidRDefault="000420D9" w:rsidP="0038231D">
      <w:pPr>
        <w:pStyle w:val="ListParagraph"/>
        <w:numPr>
          <w:ilvl w:val="0"/>
          <w:numId w:val="2"/>
        </w:numPr>
        <w:spacing w:before="100" w:beforeAutospacing="1" w:after="100" w:afterAutospacing="1" w:line="240" w:lineRule="auto"/>
        <w:jc w:val="both"/>
        <w:rPr>
          <w:rFonts w:ascii="Times New Roman" w:eastAsia="Times New Roman" w:hAnsi="Times New Roman" w:cs="Times New Roman"/>
          <w:sz w:val="24"/>
          <w:szCs w:val="24"/>
          <w:lang w:eastAsia="en-GB"/>
        </w:rPr>
      </w:pPr>
      <w:r w:rsidRPr="0038231D">
        <w:rPr>
          <w:rFonts w:ascii="Times New Roman" w:eastAsia="Times New Roman" w:hAnsi="Times New Roman" w:cs="Times New Roman"/>
          <w:sz w:val="24"/>
          <w:szCs w:val="24"/>
          <w:lang w:eastAsia="en-GB"/>
        </w:rPr>
        <w:t xml:space="preserve">Mitra, S., Chakraborty, A. J., Tareq, A. M., Emran, T. B., Nainu, F., Khusro, A., Idris, A. M., Khandaker, M. U., Osman, H., </w:t>
      </w:r>
      <w:proofErr w:type="spellStart"/>
      <w:r w:rsidRPr="0038231D">
        <w:rPr>
          <w:rFonts w:ascii="Times New Roman" w:eastAsia="Times New Roman" w:hAnsi="Times New Roman" w:cs="Times New Roman"/>
          <w:sz w:val="24"/>
          <w:szCs w:val="24"/>
          <w:lang w:eastAsia="en-GB"/>
        </w:rPr>
        <w:t>Alhumaydhi</w:t>
      </w:r>
      <w:proofErr w:type="spellEnd"/>
      <w:r w:rsidRPr="0038231D">
        <w:rPr>
          <w:rFonts w:ascii="Times New Roman" w:eastAsia="Times New Roman" w:hAnsi="Times New Roman" w:cs="Times New Roman"/>
          <w:sz w:val="24"/>
          <w:szCs w:val="24"/>
          <w:lang w:eastAsia="en-GB"/>
        </w:rPr>
        <w:t xml:space="preserve">, F. A., &amp; Simal-Gandara, J. (2022). Impact of heavy metals on the environment and human health: Novel therapeutic insights to counter the toxicity. </w:t>
      </w:r>
      <w:r w:rsidRPr="0038231D">
        <w:rPr>
          <w:rFonts w:ascii="Times New Roman" w:eastAsia="Times New Roman" w:hAnsi="Times New Roman" w:cs="Times New Roman"/>
          <w:i/>
          <w:iCs/>
          <w:sz w:val="24"/>
          <w:szCs w:val="24"/>
          <w:lang w:eastAsia="en-GB"/>
        </w:rPr>
        <w:t>Journal of King Saud University - Science</w:t>
      </w:r>
      <w:r w:rsidRPr="0038231D">
        <w:rPr>
          <w:rFonts w:ascii="Times New Roman" w:eastAsia="Times New Roman" w:hAnsi="Times New Roman" w:cs="Times New Roman"/>
          <w:sz w:val="24"/>
          <w:szCs w:val="24"/>
          <w:lang w:eastAsia="en-GB"/>
        </w:rPr>
        <w:t xml:space="preserve">, </w:t>
      </w:r>
      <w:r w:rsidRPr="0038231D">
        <w:rPr>
          <w:rFonts w:ascii="Times New Roman" w:eastAsia="Times New Roman" w:hAnsi="Times New Roman" w:cs="Times New Roman"/>
          <w:i/>
          <w:iCs/>
          <w:sz w:val="24"/>
          <w:szCs w:val="24"/>
          <w:lang w:eastAsia="en-GB"/>
        </w:rPr>
        <w:t>34</w:t>
      </w:r>
      <w:r w:rsidRPr="0038231D">
        <w:rPr>
          <w:rFonts w:ascii="Times New Roman" w:eastAsia="Times New Roman" w:hAnsi="Times New Roman" w:cs="Times New Roman"/>
          <w:sz w:val="24"/>
          <w:szCs w:val="24"/>
          <w:lang w:eastAsia="en-GB"/>
        </w:rPr>
        <w:t>(3), 101865.</w:t>
      </w:r>
    </w:p>
    <w:p w14:paraId="1ECC7A8C" w14:textId="77777777" w:rsidR="000420D9" w:rsidRPr="0038231D" w:rsidRDefault="000420D9" w:rsidP="0038231D">
      <w:pPr>
        <w:pStyle w:val="ListParagraph"/>
        <w:numPr>
          <w:ilvl w:val="0"/>
          <w:numId w:val="2"/>
        </w:numPr>
        <w:spacing w:before="100" w:beforeAutospacing="1" w:after="100" w:afterAutospacing="1" w:line="240" w:lineRule="auto"/>
        <w:jc w:val="both"/>
        <w:rPr>
          <w:rFonts w:ascii="Times New Roman" w:eastAsia="Times New Roman" w:hAnsi="Times New Roman" w:cs="Times New Roman"/>
          <w:sz w:val="24"/>
          <w:szCs w:val="24"/>
          <w:lang w:eastAsia="en-GB"/>
        </w:rPr>
      </w:pPr>
      <w:r w:rsidRPr="0038231D">
        <w:rPr>
          <w:rFonts w:ascii="Times New Roman" w:eastAsia="Times New Roman" w:hAnsi="Times New Roman" w:cs="Times New Roman"/>
          <w:sz w:val="24"/>
          <w:szCs w:val="24"/>
          <w:lang w:eastAsia="en-GB"/>
        </w:rPr>
        <w:t xml:space="preserve">Morais, S., E Costa, F. G., &amp; Lourdes Pereira, M. D. (2012). Heavy metals and human health. In J. Oosthuizen (Ed.), </w:t>
      </w:r>
      <w:r w:rsidRPr="0038231D">
        <w:rPr>
          <w:rFonts w:ascii="Times New Roman" w:eastAsia="Times New Roman" w:hAnsi="Times New Roman" w:cs="Times New Roman"/>
          <w:i/>
          <w:iCs/>
          <w:sz w:val="24"/>
          <w:szCs w:val="24"/>
          <w:lang w:eastAsia="en-GB"/>
        </w:rPr>
        <w:t>Environmental Health—Emerging Issues and Practice</w:t>
      </w:r>
      <w:r w:rsidRPr="0038231D">
        <w:rPr>
          <w:rFonts w:ascii="Times New Roman" w:eastAsia="Times New Roman" w:hAnsi="Times New Roman" w:cs="Times New Roman"/>
          <w:sz w:val="24"/>
          <w:szCs w:val="24"/>
          <w:lang w:eastAsia="en-GB"/>
        </w:rPr>
        <w:t xml:space="preserve">. </w:t>
      </w:r>
      <w:proofErr w:type="spellStart"/>
      <w:r w:rsidRPr="0038231D">
        <w:rPr>
          <w:rFonts w:ascii="Times New Roman" w:eastAsia="Times New Roman" w:hAnsi="Times New Roman" w:cs="Times New Roman"/>
          <w:sz w:val="24"/>
          <w:szCs w:val="24"/>
          <w:lang w:eastAsia="en-GB"/>
        </w:rPr>
        <w:t>InTech</w:t>
      </w:r>
      <w:proofErr w:type="spellEnd"/>
      <w:r w:rsidRPr="0038231D">
        <w:rPr>
          <w:rFonts w:ascii="Times New Roman" w:eastAsia="Times New Roman" w:hAnsi="Times New Roman" w:cs="Times New Roman"/>
          <w:sz w:val="24"/>
          <w:szCs w:val="24"/>
          <w:lang w:eastAsia="en-GB"/>
        </w:rPr>
        <w:t>.</w:t>
      </w:r>
    </w:p>
    <w:p w14:paraId="2586129F" w14:textId="77777777" w:rsidR="000420D9" w:rsidRPr="0038231D" w:rsidRDefault="000420D9" w:rsidP="0038231D">
      <w:pPr>
        <w:pStyle w:val="ListParagraph"/>
        <w:numPr>
          <w:ilvl w:val="0"/>
          <w:numId w:val="2"/>
        </w:numPr>
        <w:spacing w:before="100" w:beforeAutospacing="1" w:after="100" w:afterAutospacing="1" w:line="240" w:lineRule="auto"/>
        <w:jc w:val="both"/>
        <w:rPr>
          <w:rFonts w:ascii="Times New Roman" w:eastAsia="Times New Roman" w:hAnsi="Times New Roman" w:cs="Times New Roman"/>
          <w:sz w:val="24"/>
          <w:szCs w:val="24"/>
          <w:lang w:eastAsia="en-GB"/>
        </w:rPr>
      </w:pPr>
      <w:r w:rsidRPr="0038231D">
        <w:rPr>
          <w:rFonts w:ascii="Times New Roman" w:eastAsia="Times New Roman" w:hAnsi="Times New Roman" w:cs="Times New Roman"/>
          <w:sz w:val="24"/>
          <w:szCs w:val="24"/>
          <w:lang w:eastAsia="en-GB"/>
        </w:rPr>
        <w:t xml:space="preserve">Yan, A., Wang, Y., Tan, S. N., Mohd Yusof, M. L., Ghosh, S., &amp; Chen, Z. (2020). Phytoremediation: A promising approach for revegetation of heavy metal-polluted land. </w:t>
      </w:r>
      <w:r w:rsidRPr="0038231D">
        <w:rPr>
          <w:rFonts w:ascii="Times New Roman" w:eastAsia="Times New Roman" w:hAnsi="Times New Roman" w:cs="Times New Roman"/>
          <w:i/>
          <w:iCs/>
          <w:sz w:val="24"/>
          <w:szCs w:val="24"/>
          <w:lang w:eastAsia="en-GB"/>
        </w:rPr>
        <w:t>Frontiers in Plant Science</w:t>
      </w:r>
      <w:r w:rsidRPr="0038231D">
        <w:rPr>
          <w:rFonts w:ascii="Times New Roman" w:eastAsia="Times New Roman" w:hAnsi="Times New Roman" w:cs="Times New Roman"/>
          <w:sz w:val="24"/>
          <w:szCs w:val="24"/>
          <w:lang w:eastAsia="en-GB"/>
        </w:rPr>
        <w:t xml:space="preserve">, </w:t>
      </w:r>
      <w:r w:rsidRPr="0038231D">
        <w:rPr>
          <w:rFonts w:ascii="Times New Roman" w:eastAsia="Times New Roman" w:hAnsi="Times New Roman" w:cs="Times New Roman"/>
          <w:i/>
          <w:iCs/>
          <w:sz w:val="24"/>
          <w:szCs w:val="24"/>
          <w:lang w:eastAsia="en-GB"/>
        </w:rPr>
        <w:t>11</w:t>
      </w:r>
      <w:r w:rsidRPr="0038231D">
        <w:rPr>
          <w:rFonts w:ascii="Times New Roman" w:eastAsia="Times New Roman" w:hAnsi="Times New Roman" w:cs="Times New Roman"/>
          <w:sz w:val="24"/>
          <w:szCs w:val="24"/>
          <w:lang w:eastAsia="en-GB"/>
        </w:rPr>
        <w:t>, 359.</w:t>
      </w:r>
    </w:p>
    <w:sectPr w:rsidR="000420D9" w:rsidRPr="0038231D" w:rsidSect="0038231D">
      <w:pgSz w:w="11906" w:h="16838"/>
      <w:pgMar w:top="1440" w:right="1440" w:bottom="1440" w:left="1440"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2DA151" w14:textId="77777777" w:rsidR="00DA47D6" w:rsidRDefault="00DA47D6" w:rsidP="004C4297">
      <w:pPr>
        <w:spacing w:after="0" w:line="240" w:lineRule="auto"/>
      </w:pPr>
      <w:r>
        <w:separator/>
      </w:r>
    </w:p>
  </w:endnote>
  <w:endnote w:type="continuationSeparator" w:id="0">
    <w:p w14:paraId="04DCFD3F" w14:textId="77777777" w:rsidR="00DA47D6" w:rsidRDefault="00DA47D6" w:rsidP="004C42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58766055"/>
      <w:docPartObj>
        <w:docPartGallery w:val="Page Numbers (Bottom of Page)"/>
        <w:docPartUnique/>
      </w:docPartObj>
    </w:sdtPr>
    <w:sdtEndPr>
      <w:rPr>
        <w:noProof/>
      </w:rPr>
    </w:sdtEndPr>
    <w:sdtContent>
      <w:p w14:paraId="6904B7D9" w14:textId="59C3085D" w:rsidR="00F7749F" w:rsidRDefault="00F7749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F0D79A2" w14:textId="77777777" w:rsidR="00F7749F" w:rsidRDefault="00F7749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D474F8" w14:textId="77777777" w:rsidR="00DA47D6" w:rsidRDefault="00DA47D6" w:rsidP="004C4297">
      <w:pPr>
        <w:spacing w:after="0" w:line="240" w:lineRule="auto"/>
      </w:pPr>
      <w:r>
        <w:separator/>
      </w:r>
    </w:p>
  </w:footnote>
  <w:footnote w:type="continuationSeparator" w:id="0">
    <w:p w14:paraId="13D0DE0E" w14:textId="77777777" w:rsidR="00DA47D6" w:rsidRDefault="00DA47D6" w:rsidP="004C429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58371C" w14:textId="77777777" w:rsidR="00801435" w:rsidRDefault="00801435" w:rsidP="00801435">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493378D"/>
    <w:multiLevelType w:val="hybridMultilevel"/>
    <w:tmpl w:val="CEA65EA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6BFA1D86"/>
    <w:multiLevelType w:val="hybridMultilevel"/>
    <w:tmpl w:val="A372C68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292251233">
    <w:abstractNumId w:val="1"/>
  </w:num>
  <w:num w:numId="2" w16cid:durableId="71678196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20D9"/>
    <w:rsid w:val="00011E3D"/>
    <w:rsid w:val="000420D9"/>
    <w:rsid w:val="00083275"/>
    <w:rsid w:val="000E0C6D"/>
    <w:rsid w:val="000F0C56"/>
    <w:rsid w:val="001A0E29"/>
    <w:rsid w:val="00217BD5"/>
    <w:rsid w:val="00280202"/>
    <w:rsid w:val="00285697"/>
    <w:rsid w:val="00352203"/>
    <w:rsid w:val="00381230"/>
    <w:rsid w:val="0038231D"/>
    <w:rsid w:val="003D684B"/>
    <w:rsid w:val="004538D6"/>
    <w:rsid w:val="004C4297"/>
    <w:rsid w:val="005230CE"/>
    <w:rsid w:val="00530E87"/>
    <w:rsid w:val="0060177A"/>
    <w:rsid w:val="00626432"/>
    <w:rsid w:val="00665BAD"/>
    <w:rsid w:val="006A6150"/>
    <w:rsid w:val="006A6DBC"/>
    <w:rsid w:val="006B0DCE"/>
    <w:rsid w:val="00753E94"/>
    <w:rsid w:val="00763061"/>
    <w:rsid w:val="007C5034"/>
    <w:rsid w:val="007F04ED"/>
    <w:rsid w:val="00801435"/>
    <w:rsid w:val="00866B9D"/>
    <w:rsid w:val="008751EA"/>
    <w:rsid w:val="00887F13"/>
    <w:rsid w:val="008A0C5C"/>
    <w:rsid w:val="00923E18"/>
    <w:rsid w:val="00925034"/>
    <w:rsid w:val="009A36A2"/>
    <w:rsid w:val="009E53C3"/>
    <w:rsid w:val="00B47397"/>
    <w:rsid w:val="00B86069"/>
    <w:rsid w:val="00C06136"/>
    <w:rsid w:val="00C1545B"/>
    <w:rsid w:val="00C30839"/>
    <w:rsid w:val="00C65BDF"/>
    <w:rsid w:val="00CB1A8C"/>
    <w:rsid w:val="00CB438A"/>
    <w:rsid w:val="00CD25A2"/>
    <w:rsid w:val="00D3795E"/>
    <w:rsid w:val="00DA47D6"/>
    <w:rsid w:val="00DD7813"/>
    <w:rsid w:val="00E92E62"/>
    <w:rsid w:val="00ED3160"/>
    <w:rsid w:val="00EF4C45"/>
    <w:rsid w:val="00F057F5"/>
    <w:rsid w:val="00F15610"/>
    <w:rsid w:val="00F7749F"/>
    <w:rsid w:val="00FB0CB8"/>
    <w:rsid w:val="00FB3864"/>
    <w:rsid w:val="00FC3F7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17AA18"/>
  <w15:chartTrackingRefBased/>
  <w15:docId w15:val="{6234860D-5A4B-47B1-9324-402D3BB090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0420D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link w:val="Heading2Char"/>
    <w:uiPriority w:val="9"/>
    <w:qFormat/>
    <w:rsid w:val="000420D9"/>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3">
    <w:name w:val="heading 3"/>
    <w:basedOn w:val="Normal"/>
    <w:link w:val="Heading3Char"/>
    <w:uiPriority w:val="9"/>
    <w:qFormat/>
    <w:rsid w:val="000420D9"/>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paragraph" w:styleId="Heading4">
    <w:name w:val="heading 4"/>
    <w:basedOn w:val="Normal"/>
    <w:link w:val="Heading4Char"/>
    <w:uiPriority w:val="9"/>
    <w:qFormat/>
    <w:rsid w:val="000420D9"/>
    <w:pPr>
      <w:spacing w:before="100" w:beforeAutospacing="1" w:after="100" w:afterAutospacing="1" w:line="240" w:lineRule="auto"/>
      <w:outlineLvl w:val="3"/>
    </w:pPr>
    <w:rPr>
      <w:rFonts w:ascii="Times New Roman" w:eastAsia="Times New Roman" w:hAnsi="Times New Roman" w:cs="Times New Roman"/>
      <w:b/>
      <w:bCs/>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420D9"/>
    <w:rPr>
      <w:rFonts w:ascii="Times New Roman" w:eastAsia="Times New Roman" w:hAnsi="Times New Roman" w:cs="Times New Roman"/>
      <w:b/>
      <w:bCs/>
      <w:kern w:val="36"/>
      <w:sz w:val="48"/>
      <w:szCs w:val="48"/>
      <w:lang w:eastAsia="en-GB"/>
    </w:rPr>
  </w:style>
  <w:style w:type="character" w:customStyle="1" w:styleId="Heading2Char">
    <w:name w:val="Heading 2 Char"/>
    <w:basedOn w:val="DefaultParagraphFont"/>
    <w:link w:val="Heading2"/>
    <w:uiPriority w:val="9"/>
    <w:rsid w:val="000420D9"/>
    <w:rPr>
      <w:rFonts w:ascii="Times New Roman" w:eastAsia="Times New Roman" w:hAnsi="Times New Roman" w:cs="Times New Roman"/>
      <w:b/>
      <w:bCs/>
      <w:sz w:val="36"/>
      <w:szCs w:val="36"/>
      <w:lang w:eastAsia="en-GB"/>
    </w:rPr>
  </w:style>
  <w:style w:type="character" w:customStyle="1" w:styleId="Heading3Char">
    <w:name w:val="Heading 3 Char"/>
    <w:basedOn w:val="DefaultParagraphFont"/>
    <w:link w:val="Heading3"/>
    <w:uiPriority w:val="9"/>
    <w:rsid w:val="000420D9"/>
    <w:rPr>
      <w:rFonts w:ascii="Times New Roman" w:eastAsia="Times New Roman" w:hAnsi="Times New Roman" w:cs="Times New Roman"/>
      <w:b/>
      <w:bCs/>
      <w:sz w:val="27"/>
      <w:szCs w:val="27"/>
      <w:lang w:eastAsia="en-GB"/>
    </w:rPr>
  </w:style>
  <w:style w:type="character" w:customStyle="1" w:styleId="Heading4Char">
    <w:name w:val="Heading 4 Char"/>
    <w:basedOn w:val="DefaultParagraphFont"/>
    <w:link w:val="Heading4"/>
    <w:uiPriority w:val="9"/>
    <w:qFormat/>
    <w:rsid w:val="000420D9"/>
    <w:rPr>
      <w:rFonts w:ascii="Times New Roman" w:eastAsia="Times New Roman" w:hAnsi="Times New Roman" w:cs="Times New Roman"/>
      <w:b/>
      <w:bCs/>
      <w:sz w:val="24"/>
      <w:szCs w:val="24"/>
      <w:lang w:eastAsia="en-GB"/>
    </w:rPr>
  </w:style>
  <w:style w:type="paragraph" w:styleId="NormalWeb">
    <w:name w:val="Normal (Web)"/>
    <w:basedOn w:val="Normal"/>
    <w:uiPriority w:val="99"/>
    <w:semiHidden/>
    <w:unhideWhenUsed/>
    <w:rsid w:val="000420D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0420D9"/>
    <w:rPr>
      <w:i/>
      <w:iCs/>
    </w:rPr>
  </w:style>
  <w:style w:type="character" w:styleId="Strong">
    <w:name w:val="Strong"/>
    <w:basedOn w:val="DefaultParagraphFont"/>
    <w:uiPriority w:val="22"/>
    <w:qFormat/>
    <w:rsid w:val="000420D9"/>
    <w:rPr>
      <w:b/>
      <w:bCs/>
    </w:rPr>
  </w:style>
  <w:style w:type="character" w:styleId="Hyperlink">
    <w:name w:val="Hyperlink"/>
    <w:basedOn w:val="DefaultParagraphFont"/>
    <w:uiPriority w:val="99"/>
    <w:unhideWhenUsed/>
    <w:rsid w:val="00C1545B"/>
    <w:rPr>
      <w:color w:val="0563C1" w:themeColor="hyperlink"/>
      <w:u w:val="single"/>
    </w:rPr>
  </w:style>
  <w:style w:type="paragraph" w:styleId="Header">
    <w:name w:val="header"/>
    <w:basedOn w:val="Normal"/>
    <w:link w:val="HeaderChar"/>
    <w:uiPriority w:val="99"/>
    <w:unhideWhenUsed/>
    <w:rsid w:val="004C4297"/>
    <w:pPr>
      <w:tabs>
        <w:tab w:val="center" w:pos="4513"/>
        <w:tab w:val="right" w:pos="9026"/>
      </w:tabs>
      <w:spacing w:after="0" w:line="240" w:lineRule="auto"/>
    </w:pPr>
  </w:style>
  <w:style w:type="character" w:customStyle="1" w:styleId="HeaderChar">
    <w:name w:val="Header Char"/>
    <w:basedOn w:val="DefaultParagraphFont"/>
    <w:link w:val="Header"/>
    <w:uiPriority w:val="99"/>
    <w:rsid w:val="004C4297"/>
  </w:style>
  <w:style w:type="paragraph" w:styleId="Footer">
    <w:name w:val="footer"/>
    <w:basedOn w:val="Normal"/>
    <w:link w:val="FooterChar"/>
    <w:uiPriority w:val="99"/>
    <w:unhideWhenUsed/>
    <w:rsid w:val="004C4297"/>
    <w:pPr>
      <w:tabs>
        <w:tab w:val="center" w:pos="4513"/>
        <w:tab w:val="right" w:pos="9026"/>
      </w:tabs>
      <w:spacing w:after="0" w:line="240" w:lineRule="auto"/>
    </w:pPr>
  </w:style>
  <w:style w:type="character" w:customStyle="1" w:styleId="FooterChar">
    <w:name w:val="Footer Char"/>
    <w:basedOn w:val="DefaultParagraphFont"/>
    <w:link w:val="Footer"/>
    <w:uiPriority w:val="99"/>
    <w:rsid w:val="004C4297"/>
  </w:style>
  <w:style w:type="table" w:customStyle="1" w:styleId="GridTable4-Accent51">
    <w:name w:val="Grid Table 4 - Accent 51"/>
    <w:basedOn w:val="TableNormal"/>
    <w:uiPriority w:val="49"/>
    <w:rsid w:val="00285697"/>
    <w:pPr>
      <w:spacing w:after="0" w:line="240" w:lineRule="auto"/>
    </w:pPr>
    <w:rPr>
      <w:kern w:val="2"/>
      <w:sz w:val="24"/>
      <w:szCs w:val="24"/>
      <w14:ligatures w14:val="standardContextual"/>
    </w:rPr>
    <w:tblPr>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4-Accent511">
    <w:name w:val="Grid Table 4 - Accent 511"/>
    <w:basedOn w:val="TableNormal"/>
    <w:uiPriority w:val="49"/>
    <w:rsid w:val="00801435"/>
    <w:pPr>
      <w:spacing w:after="0" w:line="240" w:lineRule="auto"/>
    </w:pPr>
    <w:rPr>
      <w:kern w:val="2"/>
      <w:sz w:val="24"/>
      <w:szCs w:val="24"/>
      <w14:ligatures w14:val="standardContextual"/>
    </w:rPr>
    <w:tblPr>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styleId="Caption">
    <w:name w:val="caption"/>
    <w:basedOn w:val="Normal"/>
    <w:next w:val="Normal"/>
    <w:uiPriority w:val="35"/>
    <w:unhideWhenUsed/>
    <w:qFormat/>
    <w:rsid w:val="00801435"/>
    <w:pPr>
      <w:spacing w:after="200" w:line="240" w:lineRule="auto"/>
    </w:pPr>
    <w:rPr>
      <w:rFonts w:eastAsiaTheme="minorEastAsia"/>
      <w:i/>
      <w:iCs/>
      <w:color w:val="44546A" w:themeColor="text2"/>
      <w:kern w:val="2"/>
      <w:sz w:val="18"/>
      <w:szCs w:val="18"/>
      <w:lang w:val="en-US"/>
      <w14:ligatures w14:val="standardContextual"/>
    </w:rPr>
  </w:style>
  <w:style w:type="table" w:customStyle="1" w:styleId="TableGrid1">
    <w:name w:val="Table Grid1"/>
    <w:basedOn w:val="TableNormal"/>
    <w:next w:val="TableGrid"/>
    <w:uiPriority w:val="59"/>
    <w:qFormat/>
    <w:rsid w:val="00352203"/>
    <w:pPr>
      <w:spacing w:after="0" w:line="240" w:lineRule="auto"/>
    </w:pPr>
    <w:rPr>
      <w:rFonts w:eastAsia="DengXi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qFormat/>
    <w:rsid w:val="003522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8231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75980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eg"/><Relationship Id="rId18" Type="http://schemas.openxmlformats.org/officeDocument/2006/relationships/chart" Target="charts/chart1.xml"/><Relationship Id="rId26" Type="http://schemas.openxmlformats.org/officeDocument/2006/relationships/chart" Target="charts/chart9.xml"/><Relationship Id="rId3" Type="http://schemas.openxmlformats.org/officeDocument/2006/relationships/styles" Target="styles.xml"/><Relationship Id="rId21" Type="http://schemas.openxmlformats.org/officeDocument/2006/relationships/chart" Target="charts/chart4.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chart" Target="charts/chart8.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chart" Target="charts/chart3.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chart" Target="charts/chart7.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chart" Target="charts/chart6.xml"/><Relationship Id="rId28"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chart" Target="charts/chart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chart" Target="charts/chart5.xml"/><Relationship Id="rId27" Type="http://schemas.openxmlformats.org/officeDocument/2006/relationships/chart" Target="charts/chart10.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Deborah\Desktop\Lead%20levels.xlsx" TargetMode="External"/><Relationship Id="rId2" Type="http://schemas.microsoft.com/office/2011/relationships/chartColorStyle" Target="colors10.xml"/><Relationship Id="rId1" Type="http://schemas.microsoft.com/office/2011/relationships/chartStyle" Target="style10.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Deborah\Desktop\zinc%20level.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Book8"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Deborah\Desktop\copper%20levels.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Book9"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400" b="0" i="0" u="none" strike="noStrike" kern="1200" spc="0" baseline="0">
                <a:solidFill>
                  <a:schemeClr val="tx1">
                    <a:lumMod val="65000"/>
                    <a:lumOff val="35000"/>
                  </a:schemeClr>
                </a:solidFill>
                <a:latin typeface="+mn-lt"/>
                <a:ea typeface="+mn-ea"/>
                <a:cs typeface="+mn-cs"/>
              </a:defRPr>
            </a:pPr>
            <a:r>
              <a:rPr lang="en-US" b="1"/>
              <a:t>Zinc</a:t>
            </a:r>
            <a:r>
              <a:rPr lang="en-US" b="1" baseline="0"/>
              <a:t> Calibration Curve</a:t>
            </a:r>
            <a:endParaRPr lang="en-US" b="1"/>
          </a:p>
        </c:rich>
      </c:tx>
      <c:overlay val="0"/>
      <c:spPr>
        <a:noFill/>
        <a:ln>
          <a:noFill/>
        </a:ln>
        <a:effectLst/>
      </c:spPr>
      <c:txPr>
        <a:bodyPr rot="0" spcFirstLastPara="1" vertOverflow="ellipsis" vert="horz" wrap="square" anchor="ctr" anchorCtr="1"/>
        <a:lstStyle/>
        <a:p>
          <a:pPr>
            <a:defRPr lang="en-US"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tx>
            <c:strRef>
              <c:f>'Zinc Conc. in seeds'!$C$1</c:f>
              <c:strCache>
                <c:ptCount val="1"/>
                <c:pt idx="0">
                  <c:v>Absorbance</c:v>
                </c:pt>
              </c:strCache>
            </c:strRef>
          </c:tx>
          <c:spPr>
            <a:ln w="19050" cap="rnd">
              <a:noFill/>
              <a:round/>
            </a:ln>
            <a:effectLst/>
          </c:spPr>
          <c:marker>
            <c:symbol val="circle"/>
            <c:size val="5"/>
            <c:spPr>
              <a:solidFill>
                <a:srgbClr val="ED1BC5"/>
              </a:solidFill>
              <a:ln w="9525">
                <a:solidFill>
                  <a:schemeClr val="accent1"/>
                </a:solidFill>
              </a:ln>
              <a:effectLst/>
            </c:spPr>
          </c:marker>
          <c:dPt>
            <c:idx val="1"/>
            <c:marker>
              <c:symbol val="circle"/>
              <c:size val="5"/>
              <c:spPr>
                <a:solidFill>
                  <a:schemeClr val="accent1">
                    <a:lumMod val="75000"/>
                  </a:schemeClr>
                </a:solidFill>
                <a:ln w="9525">
                  <a:solidFill>
                    <a:schemeClr val="accent1"/>
                  </a:solidFill>
                </a:ln>
                <a:effectLst/>
              </c:spPr>
            </c:marker>
            <c:bubble3D val="0"/>
            <c:extLst>
              <c:ext xmlns:c16="http://schemas.microsoft.com/office/drawing/2014/chart" uri="{C3380CC4-5D6E-409C-BE32-E72D297353CC}">
                <c16:uniqueId val="{00000000-D216-4125-BECB-05E869F0FB5C}"/>
              </c:ext>
            </c:extLst>
          </c:dPt>
          <c:dPt>
            <c:idx val="2"/>
            <c:marker>
              <c:symbol val="circle"/>
              <c:size val="5"/>
              <c:spPr>
                <a:solidFill>
                  <a:schemeClr val="accent1">
                    <a:lumMod val="75000"/>
                  </a:schemeClr>
                </a:solidFill>
                <a:ln w="9525">
                  <a:solidFill>
                    <a:schemeClr val="accent1"/>
                  </a:solidFill>
                </a:ln>
                <a:effectLst/>
              </c:spPr>
            </c:marker>
            <c:bubble3D val="0"/>
            <c:extLst>
              <c:ext xmlns:c16="http://schemas.microsoft.com/office/drawing/2014/chart" uri="{C3380CC4-5D6E-409C-BE32-E72D297353CC}">
                <c16:uniqueId val="{00000001-D216-4125-BECB-05E869F0FB5C}"/>
              </c:ext>
            </c:extLst>
          </c:dPt>
          <c:dPt>
            <c:idx val="3"/>
            <c:marker>
              <c:symbol val="circle"/>
              <c:size val="5"/>
              <c:spPr>
                <a:solidFill>
                  <a:schemeClr val="accent1">
                    <a:lumMod val="75000"/>
                  </a:schemeClr>
                </a:solidFill>
                <a:ln w="9525">
                  <a:solidFill>
                    <a:schemeClr val="accent1"/>
                  </a:solidFill>
                </a:ln>
                <a:effectLst/>
              </c:spPr>
            </c:marker>
            <c:bubble3D val="0"/>
            <c:extLst>
              <c:ext xmlns:c16="http://schemas.microsoft.com/office/drawing/2014/chart" uri="{C3380CC4-5D6E-409C-BE32-E72D297353CC}">
                <c16:uniqueId val="{00000002-D216-4125-BECB-05E869F0FB5C}"/>
              </c:ext>
            </c:extLst>
          </c:dPt>
          <c:dPt>
            <c:idx val="4"/>
            <c:marker>
              <c:symbol val="circle"/>
              <c:size val="5"/>
              <c:spPr>
                <a:solidFill>
                  <a:schemeClr val="accent1">
                    <a:lumMod val="75000"/>
                  </a:schemeClr>
                </a:solidFill>
                <a:ln w="9525">
                  <a:solidFill>
                    <a:schemeClr val="accent1"/>
                  </a:solidFill>
                </a:ln>
                <a:effectLst/>
              </c:spPr>
            </c:marker>
            <c:bubble3D val="0"/>
            <c:extLst>
              <c:ext xmlns:c16="http://schemas.microsoft.com/office/drawing/2014/chart" uri="{C3380CC4-5D6E-409C-BE32-E72D297353CC}">
                <c16:uniqueId val="{00000003-D216-4125-BECB-05E869F0FB5C}"/>
              </c:ext>
            </c:extLst>
          </c:dPt>
          <c:dPt>
            <c:idx val="5"/>
            <c:marker>
              <c:symbol val="circle"/>
              <c:size val="5"/>
              <c:spPr>
                <a:solidFill>
                  <a:schemeClr val="accent1">
                    <a:lumMod val="75000"/>
                  </a:schemeClr>
                </a:solidFill>
                <a:ln w="9525">
                  <a:solidFill>
                    <a:schemeClr val="accent1"/>
                  </a:solidFill>
                </a:ln>
                <a:effectLst/>
              </c:spPr>
            </c:marker>
            <c:bubble3D val="0"/>
            <c:extLst>
              <c:ext xmlns:c16="http://schemas.microsoft.com/office/drawing/2014/chart" uri="{C3380CC4-5D6E-409C-BE32-E72D297353CC}">
                <c16:uniqueId val="{00000004-D216-4125-BECB-05E869F0FB5C}"/>
              </c:ext>
            </c:extLst>
          </c:dPt>
          <c:trendline>
            <c:spPr>
              <a:ln w="19050" cap="rnd">
                <a:solidFill>
                  <a:schemeClr val="accent1"/>
                </a:solidFill>
                <a:prstDash val="sysDot"/>
              </a:ln>
              <a:effectLst/>
            </c:spPr>
            <c:trendlineType val="linear"/>
            <c:dispRSqr val="1"/>
            <c:dispEq val="1"/>
            <c:trendlineLbl>
              <c:numFmt formatCode="General" sourceLinked="0"/>
              <c:spPr>
                <a:noFill/>
                <a:ln>
                  <a:noFill/>
                </a:ln>
                <a:effectLst/>
              </c:spPr>
              <c:txPr>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trendlineLbl>
          </c:trendline>
          <c:xVal>
            <c:numRef>
              <c:f>'Zinc Conc. in seeds'!$B$2:$B$11</c:f>
              <c:numCache>
                <c:formatCode>0.000</c:formatCode>
                <c:ptCount val="10"/>
                <c:pt idx="0">
                  <c:v>-0.2016</c:v>
                </c:pt>
                <c:pt idx="1">
                  <c:v>2.0053999999999998</c:v>
                </c:pt>
                <c:pt idx="2">
                  <c:v>4.1199000000000003</c:v>
                </c:pt>
                <c:pt idx="3">
                  <c:v>6.3815</c:v>
                </c:pt>
                <c:pt idx="4">
                  <c:v>7.8638000000000003</c:v>
                </c:pt>
                <c:pt idx="5">
                  <c:v>9.8310999999999993</c:v>
                </c:pt>
                <c:pt idx="6">
                  <c:v>-0.31059999999999999</c:v>
                </c:pt>
                <c:pt idx="7">
                  <c:v>-0.34333333333333299</c:v>
                </c:pt>
                <c:pt idx="8">
                  <c:v>-0.38873333333333299</c:v>
                </c:pt>
                <c:pt idx="9">
                  <c:v>-0.37236666666666701</c:v>
                </c:pt>
              </c:numCache>
            </c:numRef>
          </c:xVal>
          <c:yVal>
            <c:numRef>
              <c:f>'Zinc Conc. in seeds'!$C$2:$C$11</c:f>
              <c:numCache>
                <c:formatCode>0.000</c:formatCode>
                <c:ptCount val="10"/>
                <c:pt idx="0">
                  <c:v>-1.9E-3</c:v>
                </c:pt>
                <c:pt idx="1">
                  <c:v>3.8600000000000002E-2</c:v>
                </c:pt>
                <c:pt idx="2">
                  <c:v>7.7399999999999997E-2</c:v>
                </c:pt>
                <c:pt idx="3">
                  <c:v>0.11890000000000001</c:v>
                </c:pt>
                <c:pt idx="4">
                  <c:v>0.14610000000000001</c:v>
                </c:pt>
                <c:pt idx="5">
                  <c:v>0.1822</c:v>
                </c:pt>
                <c:pt idx="6">
                  <c:v>-3.8999999999999998E-3</c:v>
                </c:pt>
                <c:pt idx="7">
                  <c:v>-4.4999999999999997E-3</c:v>
                </c:pt>
                <c:pt idx="8">
                  <c:v>-5.3333333333333297E-3</c:v>
                </c:pt>
                <c:pt idx="9">
                  <c:v>-5.0333333333333298E-3</c:v>
                </c:pt>
              </c:numCache>
            </c:numRef>
          </c:yVal>
          <c:smooth val="0"/>
          <c:extLst>
            <c:ext xmlns:c16="http://schemas.microsoft.com/office/drawing/2014/chart" uri="{C3380CC4-5D6E-409C-BE32-E72D297353CC}">
              <c16:uniqueId val="{00000006-D216-4125-BECB-05E869F0FB5C}"/>
            </c:ext>
          </c:extLst>
        </c:ser>
        <c:dLbls>
          <c:showLegendKey val="0"/>
          <c:showVal val="0"/>
          <c:showCatName val="0"/>
          <c:showSerName val="0"/>
          <c:showPercent val="0"/>
          <c:showBubbleSize val="0"/>
        </c:dLbls>
        <c:axId val="879123152"/>
        <c:axId val="879124720"/>
      </c:scatterChart>
      <c:valAx>
        <c:axId val="879123152"/>
        <c:scaling>
          <c:orientation val="minMax"/>
          <c:max val="10"/>
          <c:min val="-0.4"/>
        </c:scaling>
        <c:delete val="0"/>
        <c:axPos val="b"/>
        <c:title>
          <c:tx>
            <c:rich>
              <a:bodyPr rot="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en-US" b="1"/>
                  <a:t>Concentration(mg/L)</a:t>
                </a:r>
              </a:p>
            </c:rich>
          </c:tx>
          <c:overlay val="0"/>
          <c:spPr>
            <a:noFill/>
            <a:ln>
              <a:noFill/>
            </a:ln>
            <a:effectLst/>
          </c:spPr>
          <c:txPr>
            <a:bodyPr rot="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endParaRPr lang="en-US"/>
            </a:p>
          </c:txPr>
        </c:title>
        <c:numFmt formatCode="0.000"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879124720"/>
        <c:crosses val="autoZero"/>
        <c:crossBetween val="midCat"/>
      </c:valAx>
      <c:valAx>
        <c:axId val="879124720"/>
        <c:scaling>
          <c:orientation val="minMax"/>
        </c:scaling>
        <c:delete val="0"/>
        <c:axPos val="l"/>
        <c:title>
          <c:tx>
            <c:rich>
              <a:bodyPr rot="-540000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en-US" b="1"/>
                  <a:t>Absorbance</a:t>
                </a:r>
              </a:p>
            </c:rich>
          </c:tx>
          <c:overlay val="0"/>
          <c:spPr>
            <a:noFill/>
            <a:ln>
              <a:noFill/>
            </a:ln>
            <a:effectLst/>
          </c:spPr>
          <c:txPr>
            <a:bodyPr rot="-540000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endParaRPr lang="en-US"/>
            </a:p>
          </c:txPr>
        </c:title>
        <c:numFmt formatCode="0.000"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879123152"/>
        <c:crosses val="autoZero"/>
        <c:crossBetween val="midCat"/>
      </c:valAx>
      <c:spPr>
        <a:noFill/>
        <a:ln>
          <a:noFill/>
        </a:ln>
        <a:effectLst/>
      </c:spPr>
    </c:plotArea>
    <c:plotVisOnly val="1"/>
    <c:dispBlanksAs val="gap"/>
    <c:showDLblsOverMax val="0"/>
    <c:extLst>
      <c:ext uri="{0b15fc19-7d7d-44ad-8c2d-2c3a37ce22c3}">
        <chartProps xmlns="https://web.wps.cn/et/2018/main" chartId="{55df1d5f-1682-4f00-8b67-b73ebbf25548}"/>
      </c:ext>
    </c:extLst>
  </c:chart>
  <c:spPr>
    <a:solidFill>
      <a:schemeClr val="bg2"/>
    </a:solidFill>
    <a:ln w="9525" cap="flat" cmpd="sng" algn="ctr">
      <a:solidFill>
        <a:schemeClr val="tx1">
          <a:lumMod val="15000"/>
          <a:lumOff val="85000"/>
        </a:schemeClr>
      </a:solidFill>
      <a:round/>
    </a:ln>
    <a:effectLst/>
  </c:spPr>
  <c:txPr>
    <a:bodyPr/>
    <a:lstStyle/>
    <a:p>
      <a:pPr>
        <a:defRPr lang="en-US"/>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400" b="0" i="0" u="none" strike="noStrike" kern="1200" spc="0" baseline="0">
                <a:solidFill>
                  <a:schemeClr val="tx1">
                    <a:lumMod val="65000"/>
                    <a:lumOff val="35000"/>
                  </a:schemeClr>
                </a:solidFill>
                <a:latin typeface="+mn-lt"/>
                <a:ea typeface="+mn-ea"/>
                <a:cs typeface="+mn-cs"/>
              </a:defRPr>
            </a:pPr>
            <a:r>
              <a:rPr lang="en-US"/>
              <a:t>Lead concentration in maize seeds</a:t>
            </a:r>
          </a:p>
        </c:rich>
      </c:tx>
      <c:overlay val="0"/>
      <c:spPr>
        <a:noFill/>
        <a:ln>
          <a:noFill/>
        </a:ln>
        <a:effectLst/>
      </c:spPr>
      <c:txPr>
        <a:bodyPr rot="0" spcFirstLastPara="1" vertOverflow="ellipsis" vert="horz" wrap="square" anchor="ctr" anchorCtr="1"/>
        <a:lstStyle/>
        <a:p>
          <a:pPr>
            <a:defRPr lang="en-US"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02219816272966"/>
          <c:y val="0.17171296296296301"/>
          <c:w val="0.88389129483814499"/>
          <c:h val="0.720887649460484"/>
        </c:manualLayout>
      </c:layout>
      <c:barChart>
        <c:barDir val="col"/>
        <c:grouping val="stacked"/>
        <c:varyColors val="0"/>
        <c:ser>
          <c:idx val="0"/>
          <c:order val="0"/>
          <c:tx>
            <c:strRef>
              <c:f>Sheet1!$C$6</c:f>
              <c:strCache>
                <c:ptCount val="1"/>
                <c:pt idx="0">
                  <c:v>Concentration (mg/g)</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stdErr"/>
            <c:noEndCap val="0"/>
            <c:spPr>
              <a:noFill/>
              <a:ln w="9525" cap="flat" cmpd="sng" algn="ctr">
                <a:solidFill>
                  <a:schemeClr val="tx1">
                    <a:lumMod val="65000"/>
                    <a:lumOff val="35000"/>
                  </a:schemeClr>
                </a:solidFill>
                <a:round/>
              </a:ln>
              <a:effectLst/>
            </c:spPr>
          </c:errBars>
          <c:cat>
            <c:strRef>
              <c:f>Sheet1!$B$7:$B$9</c:f>
              <c:strCache>
                <c:ptCount val="3"/>
                <c:pt idx="0">
                  <c:v>Sc Sungura</c:v>
                </c:pt>
                <c:pt idx="1">
                  <c:v>SC Duma</c:v>
                </c:pt>
                <c:pt idx="2">
                  <c:v>Indigeneous Kamba</c:v>
                </c:pt>
              </c:strCache>
            </c:strRef>
          </c:cat>
          <c:val>
            <c:numRef>
              <c:f>Sheet1!$C$7:$C$9</c:f>
              <c:numCache>
                <c:formatCode>General</c:formatCode>
                <c:ptCount val="3"/>
                <c:pt idx="0">
                  <c:v>8.99</c:v>
                </c:pt>
                <c:pt idx="1">
                  <c:v>10.449</c:v>
                </c:pt>
                <c:pt idx="2">
                  <c:v>8.2469999999999999</c:v>
                </c:pt>
              </c:numCache>
            </c:numRef>
          </c:val>
          <c:extLst>
            <c:ext xmlns:c16="http://schemas.microsoft.com/office/drawing/2014/chart" uri="{C3380CC4-5D6E-409C-BE32-E72D297353CC}">
              <c16:uniqueId val="{00000000-D3A6-4BFE-AF89-0E1924A3C7D8}"/>
            </c:ext>
          </c:extLst>
        </c:ser>
        <c:dLbls>
          <c:showLegendKey val="0"/>
          <c:showVal val="1"/>
          <c:showCatName val="0"/>
          <c:showSerName val="0"/>
          <c:showPercent val="0"/>
          <c:showBubbleSize val="0"/>
        </c:dLbls>
        <c:gapWidth val="150"/>
        <c:overlap val="100"/>
        <c:axId val="752582680"/>
        <c:axId val="882462664"/>
      </c:barChart>
      <c:catAx>
        <c:axId val="7525826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882462664"/>
        <c:crosses val="autoZero"/>
        <c:auto val="1"/>
        <c:lblAlgn val="ctr"/>
        <c:lblOffset val="100"/>
        <c:noMultiLvlLbl val="0"/>
      </c:catAx>
      <c:valAx>
        <c:axId val="88246266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en-US">
                    <a:solidFill>
                      <a:schemeClr val="tx1"/>
                    </a:solidFill>
                  </a:rPr>
                  <a:t>concentration(mg/g)</a:t>
                </a:r>
              </a:p>
            </c:rich>
          </c:tx>
          <c:overlay val="0"/>
          <c:spPr>
            <a:noFill/>
            <a:ln>
              <a:noFill/>
            </a:ln>
            <a:effectLst/>
          </c:spPr>
          <c:txPr>
            <a:bodyPr rot="-540000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752582680"/>
        <c:crosses val="autoZero"/>
        <c:crossBetween val="between"/>
      </c:valAx>
      <c:spPr>
        <a:noFill/>
        <a:ln>
          <a:noFill/>
        </a:ln>
        <a:effectLst/>
      </c:spPr>
    </c:plotArea>
    <c:plotVisOnly val="1"/>
    <c:dispBlanksAs val="gap"/>
    <c:showDLblsOverMax val="0"/>
    <c:extLst>
      <c:ext uri="{0b15fc19-7d7d-44ad-8c2d-2c3a37ce22c3}">
        <chartProps xmlns="https://web.wps.cn/et/2018/main" chartId="{b2c11c61-87b9-4b3c-9943-26a5a0d515e7}"/>
      </c:ext>
    </c:extLst>
  </c:chart>
  <c:spPr>
    <a:solidFill>
      <a:schemeClr val="bg1"/>
    </a:solidFill>
    <a:ln w="9525" cap="flat" cmpd="sng" algn="ctr">
      <a:solidFill>
        <a:schemeClr val="tx1">
          <a:lumMod val="15000"/>
          <a:lumOff val="85000"/>
        </a:schemeClr>
      </a:solidFill>
      <a:round/>
    </a:ln>
    <a:effectLst/>
  </c:spPr>
  <c:txPr>
    <a:bodyPr/>
    <a:lstStyle/>
    <a:p>
      <a:pPr>
        <a:defRPr lang="en-US"/>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400" b="0" i="0" u="none" strike="noStrike" kern="1200" spc="0" baseline="0">
                <a:solidFill>
                  <a:schemeClr val="tx1">
                    <a:lumMod val="65000"/>
                    <a:lumOff val="35000"/>
                  </a:schemeClr>
                </a:solidFill>
                <a:latin typeface="+mn-lt"/>
                <a:ea typeface="+mn-ea"/>
                <a:cs typeface="+mn-cs"/>
              </a:defRPr>
            </a:pPr>
            <a:r>
              <a:rPr lang="en-US"/>
              <a:t>Cadmium Calibration Curve </a:t>
            </a:r>
          </a:p>
        </c:rich>
      </c:tx>
      <c:layout>
        <c:manualLayout>
          <c:xMode val="edge"/>
          <c:yMode val="edge"/>
          <c:x val="0.17427077865266799"/>
          <c:y val="2.7777777777777801E-2"/>
        </c:manualLayout>
      </c:layout>
      <c:overlay val="0"/>
      <c:spPr>
        <a:noFill/>
        <a:ln>
          <a:noFill/>
        </a:ln>
        <a:effectLst/>
      </c:spPr>
      <c:txPr>
        <a:bodyPr rot="0" spcFirstLastPara="1" vertOverflow="ellipsis" vert="horz" wrap="square" anchor="ctr" anchorCtr="1"/>
        <a:lstStyle/>
        <a:p>
          <a:pPr>
            <a:defRPr lang="en-US"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spPr>
            <a:ln w="25400" cap="rnd">
              <a:noFill/>
              <a:round/>
            </a:ln>
            <a:effectLst/>
          </c:spPr>
          <c:marker>
            <c:symbol val="circle"/>
            <c:size val="5"/>
            <c:spPr>
              <a:solidFill>
                <a:schemeClr val="accent1"/>
              </a:solidFill>
              <a:ln w="9525">
                <a:solidFill>
                  <a:schemeClr val="accent1"/>
                </a:solidFill>
              </a:ln>
              <a:effectLst/>
            </c:spPr>
          </c:marker>
          <c:dPt>
            <c:idx val="6"/>
            <c:marker>
              <c:symbol val="circle"/>
              <c:size val="5"/>
              <c:spPr>
                <a:solidFill>
                  <a:srgbClr val="FFFF00"/>
                </a:solidFill>
                <a:ln w="9525">
                  <a:solidFill>
                    <a:schemeClr val="accent1"/>
                  </a:solidFill>
                </a:ln>
                <a:effectLst/>
              </c:spPr>
            </c:marker>
            <c:bubble3D val="0"/>
            <c:extLst>
              <c:ext xmlns:c16="http://schemas.microsoft.com/office/drawing/2014/chart" uri="{C3380CC4-5D6E-409C-BE32-E72D297353CC}">
                <c16:uniqueId val="{00000000-8672-4402-9825-B15E4D770E91}"/>
              </c:ext>
            </c:extLst>
          </c:dPt>
          <c:dPt>
            <c:idx val="7"/>
            <c:marker>
              <c:symbol val="circle"/>
              <c:size val="5"/>
              <c:spPr>
                <a:solidFill>
                  <a:srgbClr val="FFFF00"/>
                </a:solidFill>
                <a:ln w="9525">
                  <a:solidFill>
                    <a:schemeClr val="accent1"/>
                  </a:solidFill>
                </a:ln>
                <a:effectLst/>
              </c:spPr>
            </c:marker>
            <c:bubble3D val="0"/>
            <c:extLst>
              <c:ext xmlns:c16="http://schemas.microsoft.com/office/drawing/2014/chart" uri="{C3380CC4-5D6E-409C-BE32-E72D297353CC}">
                <c16:uniqueId val="{00000001-8672-4402-9825-B15E4D770E91}"/>
              </c:ext>
            </c:extLst>
          </c:dPt>
          <c:dPt>
            <c:idx val="8"/>
            <c:marker>
              <c:symbol val="circle"/>
              <c:size val="5"/>
              <c:spPr>
                <a:solidFill>
                  <a:srgbClr val="FFFF00"/>
                </a:solidFill>
                <a:ln w="9525">
                  <a:solidFill>
                    <a:schemeClr val="accent1"/>
                  </a:solidFill>
                </a:ln>
                <a:effectLst/>
              </c:spPr>
            </c:marker>
            <c:bubble3D val="0"/>
            <c:extLst>
              <c:ext xmlns:c16="http://schemas.microsoft.com/office/drawing/2014/chart" uri="{C3380CC4-5D6E-409C-BE32-E72D297353CC}">
                <c16:uniqueId val="{00000002-8672-4402-9825-B15E4D770E91}"/>
              </c:ext>
            </c:extLst>
          </c:dPt>
          <c:trendline>
            <c:spPr>
              <a:ln w="19050" cap="rnd">
                <a:solidFill>
                  <a:schemeClr val="accent1"/>
                </a:solidFill>
                <a:prstDash val="sysDot"/>
              </a:ln>
              <a:effectLst/>
            </c:spPr>
            <c:trendlineType val="linear"/>
            <c:dispRSqr val="1"/>
            <c:dispEq val="1"/>
            <c:trendlineLbl>
              <c:layout>
                <c:manualLayout>
                  <c:x val="-3.8660104986876602E-2"/>
                  <c:y val="-9.76388888888889E-2"/>
                </c:manualLayout>
              </c:layout>
              <c:numFmt formatCode="General" sourceLinked="0"/>
              <c:spPr>
                <a:noFill/>
                <a:ln>
                  <a:noFill/>
                </a:ln>
                <a:effectLst/>
              </c:spPr>
              <c:txPr>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trendlineLbl>
          </c:trendline>
          <c:xVal>
            <c:numRef>
              <c:f>'Cadmium Conc. in Seeds'!$B$2:$B$10</c:f>
              <c:numCache>
                <c:formatCode>General</c:formatCode>
                <c:ptCount val="9"/>
                <c:pt idx="0">
                  <c:v>2.6711</c:v>
                </c:pt>
                <c:pt idx="1">
                  <c:v>3.4094000000000002</c:v>
                </c:pt>
                <c:pt idx="2">
                  <c:v>2.8054000000000001</c:v>
                </c:pt>
                <c:pt idx="3">
                  <c:v>3.8792</c:v>
                </c:pt>
                <c:pt idx="4">
                  <c:v>4.7516999999999996</c:v>
                </c:pt>
                <c:pt idx="5">
                  <c:v>2.2012999999999998</c:v>
                </c:pt>
                <c:pt idx="6">
                  <c:v>1.99776666666667</c:v>
                </c:pt>
                <c:pt idx="7">
                  <c:v>0.56203333333333305</c:v>
                </c:pt>
                <c:pt idx="8">
                  <c:v>1.8433999999999999</c:v>
                </c:pt>
              </c:numCache>
            </c:numRef>
          </c:xVal>
          <c:yVal>
            <c:numRef>
              <c:f>'Cadmium Conc. in Seeds'!$C$2:$C$10</c:f>
              <c:numCache>
                <c:formatCode>General</c:formatCode>
                <c:ptCount val="9"/>
                <c:pt idx="0">
                  <c:v>1.4E-3</c:v>
                </c:pt>
                <c:pt idx="1">
                  <c:v>2.5000000000000001E-3</c:v>
                </c:pt>
                <c:pt idx="2">
                  <c:v>1.6000000000000001E-3</c:v>
                </c:pt>
                <c:pt idx="3">
                  <c:v>3.2000000000000002E-3</c:v>
                </c:pt>
                <c:pt idx="4">
                  <c:v>4.4999999999999997E-3</c:v>
                </c:pt>
                <c:pt idx="5">
                  <c:v>6.9999999999999999E-4</c:v>
                </c:pt>
                <c:pt idx="6">
                  <c:v>-1E-4</c:v>
                </c:pt>
                <c:pt idx="7">
                  <c:v>-1.63333333333333E-3</c:v>
                </c:pt>
                <c:pt idx="8">
                  <c:v>1.6666666666666701E-4</c:v>
                </c:pt>
              </c:numCache>
            </c:numRef>
          </c:yVal>
          <c:smooth val="0"/>
          <c:extLst>
            <c:ext xmlns:c16="http://schemas.microsoft.com/office/drawing/2014/chart" uri="{C3380CC4-5D6E-409C-BE32-E72D297353CC}">
              <c16:uniqueId val="{00000004-8672-4402-9825-B15E4D770E91}"/>
            </c:ext>
          </c:extLst>
        </c:ser>
        <c:dLbls>
          <c:showLegendKey val="0"/>
          <c:showVal val="0"/>
          <c:showCatName val="0"/>
          <c:showSerName val="0"/>
          <c:showPercent val="0"/>
          <c:showBubbleSize val="0"/>
        </c:dLbls>
        <c:axId val="879125504"/>
        <c:axId val="879123936"/>
      </c:scatterChart>
      <c:valAx>
        <c:axId val="879125504"/>
        <c:scaling>
          <c:orientation val="minMax"/>
        </c:scaling>
        <c:delete val="0"/>
        <c:axPos val="b"/>
        <c:title>
          <c:tx>
            <c:rich>
              <a:bodyPr rot="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en-US"/>
                  <a:t>Concentration(ppm)</a:t>
                </a:r>
              </a:p>
            </c:rich>
          </c:tx>
          <c:layout>
            <c:manualLayout>
              <c:xMode val="edge"/>
              <c:yMode val="edge"/>
              <c:x val="0.39077668416447903"/>
              <c:y val="0.73053222513852401"/>
            </c:manualLayout>
          </c:layout>
          <c:overlay val="0"/>
          <c:spPr>
            <a:noFill/>
            <a:ln>
              <a:noFill/>
            </a:ln>
            <a:effectLst/>
          </c:spPr>
          <c:txPr>
            <a:bodyPr rot="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879123936"/>
        <c:crosses val="autoZero"/>
        <c:crossBetween val="midCat"/>
      </c:valAx>
      <c:valAx>
        <c:axId val="879123936"/>
        <c:scaling>
          <c:orientation val="minMax"/>
        </c:scaling>
        <c:delete val="0"/>
        <c:axPos val="l"/>
        <c:title>
          <c:tx>
            <c:rich>
              <a:bodyPr rot="-540000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en-US"/>
                  <a:t>Absorbance</a:t>
                </a:r>
              </a:p>
            </c:rich>
          </c:tx>
          <c:overlay val="0"/>
          <c:spPr>
            <a:noFill/>
            <a:ln>
              <a:noFill/>
            </a:ln>
            <a:effectLst/>
          </c:spPr>
          <c:txPr>
            <a:bodyPr rot="-540000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879125504"/>
        <c:crosses val="autoZero"/>
        <c:crossBetween val="midCat"/>
      </c:valAx>
      <c:spPr>
        <a:noFill/>
        <a:ln>
          <a:noFill/>
        </a:ln>
        <a:effectLst/>
      </c:spPr>
    </c:plotArea>
    <c:plotVisOnly val="1"/>
    <c:dispBlanksAs val="gap"/>
    <c:showDLblsOverMax val="0"/>
    <c:extLst>
      <c:ext uri="{0b15fc19-7d7d-44ad-8c2d-2c3a37ce22c3}">
        <chartProps xmlns="https://web.wps.cn/et/2018/main" chartId="{dd34db9d-36fa-41bd-843c-4c157c7d4c76}"/>
      </c:ext>
    </c:extLst>
  </c:chart>
  <c:spPr>
    <a:solidFill>
      <a:schemeClr val="accent6">
        <a:lumMod val="40000"/>
        <a:lumOff val="60000"/>
      </a:schemeClr>
    </a:solidFill>
    <a:ln w="9525" cap="flat" cmpd="sng" algn="ctr">
      <a:solidFill>
        <a:schemeClr val="tx1">
          <a:lumMod val="15000"/>
          <a:lumOff val="85000"/>
        </a:schemeClr>
      </a:solidFill>
      <a:round/>
    </a:ln>
    <a:effectLst/>
  </c:spPr>
  <c:txPr>
    <a:bodyPr/>
    <a:lstStyle/>
    <a:p>
      <a:pPr>
        <a:defRPr lang="en-US"/>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400" b="1" i="0" u="none" strike="noStrike" kern="1200" spc="0" baseline="0">
                <a:solidFill>
                  <a:schemeClr val="tx1">
                    <a:lumMod val="65000"/>
                    <a:lumOff val="35000"/>
                  </a:schemeClr>
                </a:solidFill>
                <a:latin typeface="+mn-lt"/>
                <a:ea typeface="+mn-ea"/>
                <a:cs typeface="+mn-cs"/>
              </a:defRPr>
            </a:pPr>
            <a:r>
              <a:rPr lang="en-US" b="1"/>
              <a:t>Copper</a:t>
            </a:r>
            <a:r>
              <a:rPr lang="en-US" b="1" baseline="0"/>
              <a:t> Calibration Curve </a:t>
            </a:r>
            <a:endParaRPr lang="en-US" b="1"/>
          </a:p>
        </c:rich>
      </c:tx>
      <c:overlay val="0"/>
      <c:spPr>
        <a:noFill/>
        <a:ln>
          <a:noFill/>
        </a:ln>
        <a:effectLst/>
      </c:spPr>
      <c:txPr>
        <a:bodyPr rot="0" spcFirstLastPara="1" vertOverflow="ellipsis" vert="horz" wrap="square" anchor="ctr" anchorCtr="1"/>
        <a:lstStyle/>
        <a:p>
          <a:pPr>
            <a:defRPr lang="en-US"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7.2424410650177504E-2"/>
          <c:y val="0.15914547112710001"/>
          <c:w val="0.88457150094522696"/>
          <c:h val="0.70451396712937697"/>
        </c:manualLayout>
      </c:layout>
      <c:scatterChart>
        <c:scatterStyle val="lineMarker"/>
        <c:varyColors val="0"/>
        <c:ser>
          <c:idx val="0"/>
          <c:order val="0"/>
          <c:spPr>
            <a:ln w="19050" cap="rnd">
              <a:noFill/>
              <a:round/>
            </a:ln>
            <a:effectLst/>
          </c:spPr>
          <c:marker>
            <c:symbol val="circle"/>
            <c:size val="5"/>
            <c:spPr>
              <a:solidFill>
                <a:schemeClr val="accent6"/>
              </a:solidFill>
              <a:ln w="9525">
                <a:solidFill>
                  <a:schemeClr val="accent1"/>
                </a:solidFill>
              </a:ln>
              <a:effectLst/>
            </c:spPr>
          </c:marker>
          <c:dPt>
            <c:idx val="0"/>
            <c:marker>
              <c:symbol val="circle"/>
              <c:size val="5"/>
              <c:spPr>
                <a:solidFill>
                  <a:srgbClr val="ED1BC5"/>
                </a:solidFill>
                <a:ln w="9525">
                  <a:solidFill>
                    <a:schemeClr val="accent1"/>
                  </a:solidFill>
                </a:ln>
                <a:effectLst/>
              </c:spPr>
            </c:marker>
            <c:bubble3D val="0"/>
            <c:extLst>
              <c:ext xmlns:c16="http://schemas.microsoft.com/office/drawing/2014/chart" uri="{C3380CC4-5D6E-409C-BE32-E72D297353CC}">
                <c16:uniqueId val="{00000000-19B1-40B2-A147-C754CF0E07DC}"/>
              </c:ext>
            </c:extLst>
          </c:dPt>
          <c:dPt>
            <c:idx val="1"/>
            <c:marker>
              <c:symbol val="circle"/>
              <c:size val="5"/>
              <c:spPr>
                <a:solidFill>
                  <a:schemeClr val="accent6"/>
                </a:solidFill>
                <a:ln w="9525">
                  <a:solidFill>
                    <a:schemeClr val="accent1"/>
                  </a:solidFill>
                </a:ln>
                <a:effectLst/>
              </c:spPr>
            </c:marker>
            <c:bubble3D val="0"/>
            <c:extLst>
              <c:ext xmlns:c16="http://schemas.microsoft.com/office/drawing/2014/chart" uri="{C3380CC4-5D6E-409C-BE32-E72D297353CC}">
                <c16:uniqueId val="{00000001-19B1-40B2-A147-C754CF0E07DC}"/>
              </c:ext>
            </c:extLst>
          </c:dPt>
          <c:dPt>
            <c:idx val="2"/>
            <c:marker>
              <c:symbol val="circle"/>
              <c:size val="5"/>
              <c:spPr>
                <a:solidFill>
                  <a:schemeClr val="accent6"/>
                </a:solidFill>
                <a:ln w="9525">
                  <a:solidFill>
                    <a:schemeClr val="accent1"/>
                  </a:solidFill>
                </a:ln>
                <a:effectLst/>
              </c:spPr>
            </c:marker>
            <c:bubble3D val="0"/>
            <c:extLst>
              <c:ext xmlns:c16="http://schemas.microsoft.com/office/drawing/2014/chart" uri="{C3380CC4-5D6E-409C-BE32-E72D297353CC}">
                <c16:uniqueId val="{00000002-19B1-40B2-A147-C754CF0E07DC}"/>
              </c:ext>
            </c:extLst>
          </c:dPt>
          <c:dPt>
            <c:idx val="3"/>
            <c:marker>
              <c:symbol val="circle"/>
              <c:size val="5"/>
              <c:spPr>
                <a:solidFill>
                  <a:schemeClr val="accent6"/>
                </a:solidFill>
                <a:ln w="9525">
                  <a:solidFill>
                    <a:schemeClr val="accent1"/>
                  </a:solidFill>
                </a:ln>
                <a:effectLst/>
              </c:spPr>
            </c:marker>
            <c:bubble3D val="0"/>
            <c:extLst>
              <c:ext xmlns:c16="http://schemas.microsoft.com/office/drawing/2014/chart" uri="{C3380CC4-5D6E-409C-BE32-E72D297353CC}">
                <c16:uniqueId val="{00000003-19B1-40B2-A147-C754CF0E07DC}"/>
              </c:ext>
            </c:extLst>
          </c:dPt>
          <c:dPt>
            <c:idx val="4"/>
            <c:marker>
              <c:symbol val="circle"/>
              <c:size val="5"/>
              <c:spPr>
                <a:solidFill>
                  <a:schemeClr val="accent6"/>
                </a:solidFill>
                <a:ln w="9525">
                  <a:solidFill>
                    <a:schemeClr val="accent1"/>
                  </a:solidFill>
                </a:ln>
                <a:effectLst/>
              </c:spPr>
            </c:marker>
            <c:bubble3D val="0"/>
            <c:extLst>
              <c:ext xmlns:c16="http://schemas.microsoft.com/office/drawing/2014/chart" uri="{C3380CC4-5D6E-409C-BE32-E72D297353CC}">
                <c16:uniqueId val="{00000004-19B1-40B2-A147-C754CF0E07DC}"/>
              </c:ext>
            </c:extLst>
          </c:dPt>
          <c:dPt>
            <c:idx val="5"/>
            <c:marker>
              <c:symbol val="circle"/>
              <c:size val="5"/>
              <c:spPr>
                <a:solidFill>
                  <a:srgbClr val="ED1BC5"/>
                </a:solidFill>
                <a:ln w="9525">
                  <a:solidFill>
                    <a:schemeClr val="accent1"/>
                  </a:solidFill>
                </a:ln>
                <a:effectLst/>
              </c:spPr>
            </c:marker>
            <c:bubble3D val="0"/>
            <c:extLst>
              <c:ext xmlns:c16="http://schemas.microsoft.com/office/drawing/2014/chart" uri="{C3380CC4-5D6E-409C-BE32-E72D297353CC}">
                <c16:uniqueId val="{00000005-19B1-40B2-A147-C754CF0E07DC}"/>
              </c:ext>
            </c:extLst>
          </c:dPt>
          <c:dPt>
            <c:idx val="8"/>
            <c:marker>
              <c:symbol val="circle"/>
              <c:size val="5"/>
              <c:spPr>
                <a:solidFill>
                  <a:srgbClr val="ED1BC5"/>
                </a:solidFill>
                <a:ln w="9525">
                  <a:solidFill>
                    <a:schemeClr val="accent1"/>
                  </a:solidFill>
                </a:ln>
                <a:effectLst/>
              </c:spPr>
            </c:marker>
            <c:bubble3D val="0"/>
            <c:extLst>
              <c:ext xmlns:c16="http://schemas.microsoft.com/office/drawing/2014/chart" uri="{C3380CC4-5D6E-409C-BE32-E72D297353CC}">
                <c16:uniqueId val="{00000006-19B1-40B2-A147-C754CF0E07DC}"/>
              </c:ext>
            </c:extLst>
          </c:dPt>
          <c:trendline>
            <c:spPr>
              <a:ln w="19050" cap="rnd">
                <a:solidFill>
                  <a:schemeClr val="accent1"/>
                </a:solidFill>
                <a:prstDash val="sysDot"/>
              </a:ln>
              <a:effectLst/>
            </c:spPr>
            <c:trendlineType val="linear"/>
            <c:dispRSqr val="1"/>
            <c:dispEq val="1"/>
            <c:trendlineLbl>
              <c:numFmt formatCode="General" sourceLinked="0"/>
              <c:spPr>
                <a:noFill/>
                <a:ln>
                  <a:noFill/>
                </a:ln>
                <a:effectLst/>
              </c:spPr>
              <c:txPr>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trendlineLbl>
          </c:trendline>
          <c:xVal>
            <c:numRef>
              <c:f>'Copper Conc. in Seeds'!$B$2:$B$10</c:f>
              <c:numCache>
                <c:formatCode>General</c:formatCode>
                <c:ptCount val="9"/>
                <c:pt idx="0">
                  <c:v>-0.25040000000000001</c:v>
                </c:pt>
                <c:pt idx="1">
                  <c:v>2.0577999999999999</c:v>
                </c:pt>
                <c:pt idx="2">
                  <c:v>4.2729999999999997</c:v>
                </c:pt>
                <c:pt idx="3">
                  <c:v>6.1009000000000002</c:v>
                </c:pt>
                <c:pt idx="4">
                  <c:v>9.8186999999999998</c:v>
                </c:pt>
                <c:pt idx="5">
                  <c:v>-0.90100000000000002</c:v>
                </c:pt>
                <c:pt idx="6">
                  <c:v>-0.75639999999999996</c:v>
                </c:pt>
                <c:pt idx="7">
                  <c:v>-0.7409</c:v>
                </c:pt>
                <c:pt idx="8">
                  <c:v>-0.6996</c:v>
                </c:pt>
              </c:numCache>
            </c:numRef>
          </c:xVal>
          <c:yVal>
            <c:numRef>
              <c:f>'Copper Conc. in Seeds'!$C$2:$C$10</c:f>
              <c:numCache>
                <c:formatCode>General</c:formatCode>
                <c:ptCount val="9"/>
                <c:pt idx="0">
                  <c:v>1.8E-3</c:v>
                </c:pt>
                <c:pt idx="1">
                  <c:v>1.67E-2</c:v>
                </c:pt>
                <c:pt idx="2">
                  <c:v>3.1E-2</c:v>
                </c:pt>
                <c:pt idx="3">
                  <c:v>4.2799999999999998E-2</c:v>
                </c:pt>
                <c:pt idx="4">
                  <c:v>6.6799999999999998E-2</c:v>
                </c:pt>
                <c:pt idx="5">
                  <c:v>-2.3999999999999998E-3</c:v>
                </c:pt>
                <c:pt idx="6">
                  <c:v>-1.4666666666666699E-3</c:v>
                </c:pt>
                <c:pt idx="7">
                  <c:v>-1.3666666666666701E-3</c:v>
                </c:pt>
                <c:pt idx="8">
                  <c:v>-1.1000000000000001E-3</c:v>
                </c:pt>
              </c:numCache>
            </c:numRef>
          </c:yVal>
          <c:smooth val="0"/>
          <c:extLst>
            <c:ext xmlns:c16="http://schemas.microsoft.com/office/drawing/2014/chart" uri="{C3380CC4-5D6E-409C-BE32-E72D297353CC}">
              <c16:uniqueId val="{00000008-19B1-40B2-A147-C754CF0E07DC}"/>
            </c:ext>
          </c:extLst>
        </c:ser>
        <c:dLbls>
          <c:showLegendKey val="0"/>
          <c:showVal val="0"/>
          <c:showCatName val="0"/>
          <c:showSerName val="0"/>
          <c:showPercent val="0"/>
          <c:showBubbleSize val="0"/>
        </c:dLbls>
        <c:axId val="879121584"/>
        <c:axId val="879125896"/>
      </c:scatterChart>
      <c:valAx>
        <c:axId val="879121584"/>
        <c:scaling>
          <c:orientation val="minMax"/>
        </c:scaling>
        <c:delete val="0"/>
        <c:axPos val="b"/>
        <c:title>
          <c:tx>
            <c:rich>
              <a:bodyPr rot="0" spcFirstLastPara="1" vertOverflow="ellipsis" vert="horz" wrap="square" anchor="ctr" anchorCtr="1"/>
              <a:lstStyle/>
              <a:p>
                <a:pPr>
                  <a:defRPr lang="en-US" sz="1000" b="1" i="0" u="none" strike="noStrike" kern="1200" baseline="0">
                    <a:solidFill>
                      <a:schemeClr val="tx1">
                        <a:lumMod val="65000"/>
                        <a:lumOff val="35000"/>
                      </a:schemeClr>
                    </a:solidFill>
                    <a:latin typeface="+mn-lt"/>
                    <a:ea typeface="+mn-ea"/>
                    <a:cs typeface="+mn-cs"/>
                  </a:defRPr>
                </a:pPr>
                <a:r>
                  <a:rPr lang="en-US" b="1"/>
                  <a:t>Concentration(mg/L)</a:t>
                </a:r>
              </a:p>
            </c:rich>
          </c:tx>
          <c:layout>
            <c:manualLayout>
              <c:xMode val="edge"/>
              <c:yMode val="edge"/>
              <c:x val="0.44760411198600197"/>
              <c:y val="0.88331000291630202"/>
            </c:manualLayout>
          </c:layout>
          <c:overlay val="0"/>
          <c:spPr>
            <a:noFill/>
            <a:ln>
              <a:noFill/>
            </a:ln>
            <a:effectLst/>
          </c:spPr>
          <c:txPr>
            <a:bodyPr rot="0" spcFirstLastPara="1" vertOverflow="ellipsis" vert="horz" wrap="square" anchor="ctr" anchorCtr="1"/>
            <a:lstStyle/>
            <a:p>
              <a:pPr>
                <a:defRPr lang="en-US" sz="1000" b="1"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879125896"/>
        <c:crosses val="autoZero"/>
        <c:crossBetween val="midCat"/>
      </c:valAx>
      <c:valAx>
        <c:axId val="879125896"/>
        <c:scaling>
          <c:orientation val="minMax"/>
        </c:scaling>
        <c:delete val="0"/>
        <c:axPos val="l"/>
        <c:title>
          <c:tx>
            <c:rich>
              <a:bodyPr rot="-5400000" spcFirstLastPara="1" vertOverflow="ellipsis" vert="horz" wrap="square" anchor="ctr" anchorCtr="1"/>
              <a:lstStyle/>
              <a:p>
                <a:pPr>
                  <a:defRPr lang="en-US" sz="1000" b="1" i="0" u="none" strike="noStrike" kern="1200" baseline="0">
                    <a:solidFill>
                      <a:schemeClr val="tx1">
                        <a:lumMod val="65000"/>
                        <a:lumOff val="35000"/>
                      </a:schemeClr>
                    </a:solidFill>
                    <a:latin typeface="+mn-lt"/>
                    <a:ea typeface="+mn-ea"/>
                    <a:cs typeface="+mn-cs"/>
                  </a:defRPr>
                </a:pPr>
                <a:r>
                  <a:rPr lang="en-US" b="1"/>
                  <a:t>Absobance</a:t>
                </a:r>
              </a:p>
            </c:rich>
          </c:tx>
          <c:overlay val="0"/>
          <c:spPr>
            <a:noFill/>
            <a:ln>
              <a:noFill/>
            </a:ln>
            <a:effectLst/>
          </c:spPr>
          <c:txPr>
            <a:bodyPr rot="-5400000" spcFirstLastPara="1" vertOverflow="ellipsis" vert="horz" wrap="square" anchor="ctr" anchorCtr="1"/>
            <a:lstStyle/>
            <a:p>
              <a:pPr>
                <a:defRPr lang="en-US" sz="1000" b="1"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879121584"/>
        <c:crosses val="autoZero"/>
        <c:crossBetween val="midCat"/>
      </c:valAx>
      <c:spPr>
        <a:noFill/>
        <a:ln>
          <a:noFill/>
        </a:ln>
        <a:effectLst/>
      </c:spPr>
    </c:plotArea>
    <c:plotVisOnly val="1"/>
    <c:dispBlanksAs val="gap"/>
    <c:showDLblsOverMax val="0"/>
    <c:extLst>
      <c:ext uri="{0b15fc19-7d7d-44ad-8c2d-2c3a37ce22c3}">
        <chartProps xmlns="https://web.wps.cn/et/2018/main" chartId="{879f614c-0bfb-4a45-8f52-12f618084d85}"/>
      </c:ext>
    </c:extLst>
  </c:chart>
  <c:spPr>
    <a:solidFill>
      <a:schemeClr val="accent4">
        <a:lumMod val="60000"/>
        <a:lumOff val="40000"/>
      </a:schemeClr>
    </a:solidFill>
    <a:ln w="9525" cap="flat" cmpd="sng" algn="ctr">
      <a:solidFill>
        <a:schemeClr val="tx1">
          <a:lumMod val="15000"/>
          <a:lumOff val="85000"/>
        </a:schemeClr>
      </a:solidFill>
      <a:round/>
    </a:ln>
    <a:effectLst/>
  </c:spPr>
  <c:txPr>
    <a:bodyPr/>
    <a:lstStyle/>
    <a:p>
      <a:pPr>
        <a:defRPr lang="en-US"/>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400" b="1" i="0" u="none" strike="noStrike" kern="1200" spc="0" baseline="0">
                <a:solidFill>
                  <a:schemeClr val="tx1">
                    <a:lumMod val="65000"/>
                    <a:lumOff val="35000"/>
                  </a:schemeClr>
                </a:solidFill>
                <a:latin typeface="+mn-lt"/>
                <a:ea typeface="+mn-ea"/>
                <a:cs typeface="+mn-cs"/>
              </a:defRPr>
            </a:pPr>
            <a:r>
              <a:rPr lang="en-US" b="1"/>
              <a:t>Manganese</a:t>
            </a:r>
            <a:r>
              <a:rPr lang="en-US" b="1" baseline="0"/>
              <a:t> Calibration Curve </a:t>
            </a:r>
            <a:endParaRPr lang="en-US" b="1"/>
          </a:p>
        </c:rich>
      </c:tx>
      <c:overlay val="0"/>
      <c:spPr>
        <a:noFill/>
        <a:ln>
          <a:noFill/>
        </a:ln>
        <a:effectLst/>
      </c:spPr>
      <c:txPr>
        <a:bodyPr rot="0" spcFirstLastPara="1" vertOverflow="ellipsis" vert="horz" wrap="square" anchor="ctr" anchorCtr="1"/>
        <a:lstStyle/>
        <a:p>
          <a:pPr>
            <a:defRPr lang="en-US"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spPr>
            <a:ln w="19050" cap="rnd">
              <a:noFill/>
              <a:round/>
            </a:ln>
            <a:effectLst/>
          </c:spPr>
          <c:marker>
            <c:symbol val="circle"/>
            <c:size val="5"/>
            <c:spPr>
              <a:solidFill>
                <a:srgbClr val="FFC000"/>
              </a:solidFill>
              <a:ln w="9525">
                <a:solidFill>
                  <a:schemeClr val="accent1"/>
                </a:solidFill>
              </a:ln>
              <a:effectLst/>
            </c:spPr>
          </c:marker>
          <c:dPt>
            <c:idx val="0"/>
            <c:marker>
              <c:symbol val="circle"/>
              <c:size val="5"/>
              <c:spPr>
                <a:solidFill>
                  <a:schemeClr val="accent5"/>
                </a:solidFill>
                <a:ln w="9525">
                  <a:solidFill>
                    <a:schemeClr val="accent1"/>
                  </a:solidFill>
                </a:ln>
                <a:effectLst/>
              </c:spPr>
            </c:marker>
            <c:bubble3D val="0"/>
            <c:extLst>
              <c:ext xmlns:c16="http://schemas.microsoft.com/office/drawing/2014/chart" uri="{C3380CC4-5D6E-409C-BE32-E72D297353CC}">
                <c16:uniqueId val="{00000000-FB7F-4083-BE3F-78EA640BF333}"/>
              </c:ext>
            </c:extLst>
          </c:dPt>
          <c:dPt>
            <c:idx val="1"/>
            <c:marker>
              <c:symbol val="circle"/>
              <c:size val="5"/>
              <c:spPr>
                <a:solidFill>
                  <a:schemeClr val="accent5"/>
                </a:solidFill>
                <a:ln w="9525">
                  <a:solidFill>
                    <a:schemeClr val="accent1"/>
                  </a:solidFill>
                </a:ln>
                <a:effectLst/>
              </c:spPr>
            </c:marker>
            <c:bubble3D val="0"/>
            <c:extLst>
              <c:ext xmlns:c16="http://schemas.microsoft.com/office/drawing/2014/chart" uri="{C3380CC4-5D6E-409C-BE32-E72D297353CC}">
                <c16:uniqueId val="{00000001-FB7F-4083-BE3F-78EA640BF333}"/>
              </c:ext>
            </c:extLst>
          </c:dPt>
          <c:dPt>
            <c:idx val="2"/>
            <c:marker>
              <c:symbol val="circle"/>
              <c:size val="5"/>
              <c:spPr>
                <a:solidFill>
                  <a:schemeClr val="accent5"/>
                </a:solidFill>
                <a:ln w="9525">
                  <a:solidFill>
                    <a:schemeClr val="accent1"/>
                  </a:solidFill>
                </a:ln>
                <a:effectLst/>
              </c:spPr>
            </c:marker>
            <c:bubble3D val="0"/>
            <c:extLst>
              <c:ext xmlns:c16="http://schemas.microsoft.com/office/drawing/2014/chart" uri="{C3380CC4-5D6E-409C-BE32-E72D297353CC}">
                <c16:uniqueId val="{00000002-FB7F-4083-BE3F-78EA640BF333}"/>
              </c:ext>
            </c:extLst>
          </c:dPt>
          <c:dPt>
            <c:idx val="3"/>
            <c:marker>
              <c:symbol val="circle"/>
              <c:size val="5"/>
              <c:spPr>
                <a:solidFill>
                  <a:schemeClr val="accent5"/>
                </a:solidFill>
                <a:ln w="9525">
                  <a:solidFill>
                    <a:schemeClr val="accent1"/>
                  </a:solidFill>
                </a:ln>
                <a:effectLst/>
              </c:spPr>
            </c:marker>
            <c:bubble3D val="0"/>
            <c:extLst>
              <c:ext xmlns:c16="http://schemas.microsoft.com/office/drawing/2014/chart" uri="{C3380CC4-5D6E-409C-BE32-E72D297353CC}">
                <c16:uniqueId val="{00000003-FB7F-4083-BE3F-78EA640BF333}"/>
              </c:ext>
            </c:extLst>
          </c:dPt>
          <c:dPt>
            <c:idx val="4"/>
            <c:marker>
              <c:symbol val="circle"/>
              <c:size val="5"/>
              <c:spPr>
                <a:solidFill>
                  <a:schemeClr val="accent5"/>
                </a:solidFill>
                <a:ln w="9525">
                  <a:solidFill>
                    <a:schemeClr val="accent1"/>
                  </a:solidFill>
                </a:ln>
                <a:effectLst/>
              </c:spPr>
            </c:marker>
            <c:bubble3D val="0"/>
            <c:extLst>
              <c:ext xmlns:c16="http://schemas.microsoft.com/office/drawing/2014/chart" uri="{C3380CC4-5D6E-409C-BE32-E72D297353CC}">
                <c16:uniqueId val="{00000004-FB7F-4083-BE3F-78EA640BF333}"/>
              </c:ext>
            </c:extLst>
          </c:dPt>
          <c:trendline>
            <c:spPr>
              <a:ln w="19050" cap="rnd">
                <a:solidFill>
                  <a:schemeClr val="accent1"/>
                </a:solidFill>
                <a:prstDash val="sysDot"/>
              </a:ln>
              <a:effectLst/>
            </c:spPr>
            <c:trendlineType val="linear"/>
            <c:dispRSqr val="1"/>
            <c:dispEq val="1"/>
            <c:trendlineLbl>
              <c:numFmt formatCode="General" sourceLinked="0"/>
              <c:spPr>
                <a:noFill/>
                <a:ln>
                  <a:noFill/>
                </a:ln>
                <a:effectLst/>
              </c:spPr>
              <c:txPr>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trendlineLbl>
          </c:trendline>
          <c:xVal>
            <c:numRef>
              <c:f>'Manganese Conc.in Seeds'!$B$2:$B$9</c:f>
              <c:numCache>
                <c:formatCode>0.000</c:formatCode>
                <c:ptCount val="8"/>
                <c:pt idx="0">
                  <c:v>1.7948999999999999</c:v>
                </c:pt>
                <c:pt idx="1">
                  <c:v>2.7564000000000002</c:v>
                </c:pt>
                <c:pt idx="2">
                  <c:v>9.6473999999999993</c:v>
                </c:pt>
                <c:pt idx="3">
                  <c:v>15.256399999999999</c:v>
                </c:pt>
                <c:pt idx="4" formatCode="General">
                  <c:v>20.544899999999998</c:v>
                </c:pt>
                <c:pt idx="5">
                  <c:v>-2.7449333333333299</c:v>
                </c:pt>
                <c:pt idx="6">
                  <c:v>-1.7483</c:v>
                </c:pt>
                <c:pt idx="7">
                  <c:v>-0.269666666666667</c:v>
                </c:pt>
              </c:numCache>
            </c:numRef>
          </c:xVal>
          <c:yVal>
            <c:numRef>
              <c:f>'Manganese Conc.in Seeds'!$C$2:$C$9</c:f>
              <c:numCache>
                <c:formatCode>0.000</c:formatCode>
                <c:ptCount val="8"/>
                <c:pt idx="0">
                  <c:v>2.5999999999999999E-3</c:v>
                </c:pt>
                <c:pt idx="1">
                  <c:v>3.2000000000000002E-3</c:v>
                </c:pt>
                <c:pt idx="2">
                  <c:v>7.4999999999999997E-3</c:v>
                </c:pt>
                <c:pt idx="3">
                  <c:v>1.0999999999999999E-2</c:v>
                </c:pt>
                <c:pt idx="4" formatCode="General">
                  <c:v>1.43E-2</c:v>
                </c:pt>
                <c:pt idx="5">
                  <c:v>6.9999999999999999E-4</c:v>
                </c:pt>
                <c:pt idx="6">
                  <c:v>2.8999999999999998E-3</c:v>
                </c:pt>
                <c:pt idx="7">
                  <c:v>1.5E-3</c:v>
                </c:pt>
              </c:numCache>
            </c:numRef>
          </c:yVal>
          <c:smooth val="0"/>
          <c:extLst>
            <c:ext xmlns:c16="http://schemas.microsoft.com/office/drawing/2014/chart" uri="{C3380CC4-5D6E-409C-BE32-E72D297353CC}">
              <c16:uniqueId val="{00000006-FB7F-4083-BE3F-78EA640BF333}"/>
            </c:ext>
          </c:extLst>
        </c:ser>
        <c:dLbls>
          <c:showLegendKey val="0"/>
          <c:showVal val="0"/>
          <c:showCatName val="0"/>
          <c:showSerName val="0"/>
          <c:showPercent val="0"/>
          <c:showBubbleSize val="0"/>
        </c:dLbls>
        <c:axId val="879126288"/>
        <c:axId val="791328488"/>
      </c:scatterChart>
      <c:valAx>
        <c:axId val="879126288"/>
        <c:scaling>
          <c:orientation val="minMax"/>
        </c:scaling>
        <c:delete val="0"/>
        <c:axPos val="b"/>
        <c:title>
          <c:tx>
            <c:rich>
              <a:bodyPr rot="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en-US" b="1"/>
                  <a:t>Concentration (mg/L)</a:t>
                </a:r>
              </a:p>
            </c:rich>
          </c:tx>
          <c:overlay val="0"/>
          <c:spPr>
            <a:noFill/>
            <a:ln>
              <a:noFill/>
            </a:ln>
            <a:effectLst/>
          </c:spPr>
          <c:txPr>
            <a:bodyPr rot="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endParaRPr lang="en-US"/>
            </a:p>
          </c:txPr>
        </c:title>
        <c:numFmt formatCode="0.000"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791328488"/>
        <c:crosses val="autoZero"/>
        <c:crossBetween val="midCat"/>
      </c:valAx>
      <c:valAx>
        <c:axId val="791328488"/>
        <c:scaling>
          <c:orientation val="minMax"/>
        </c:scaling>
        <c:delete val="0"/>
        <c:axPos val="l"/>
        <c:title>
          <c:tx>
            <c:rich>
              <a:bodyPr rot="-5400000" spcFirstLastPara="1" vertOverflow="ellipsis" vert="horz" wrap="square" anchor="ctr" anchorCtr="1"/>
              <a:lstStyle/>
              <a:p>
                <a:pPr>
                  <a:defRPr lang="en-US" sz="1000" b="1" i="0" u="none" strike="noStrike" kern="1200" baseline="0">
                    <a:solidFill>
                      <a:schemeClr val="tx1">
                        <a:lumMod val="65000"/>
                        <a:lumOff val="35000"/>
                      </a:schemeClr>
                    </a:solidFill>
                    <a:latin typeface="+mn-lt"/>
                    <a:ea typeface="+mn-ea"/>
                    <a:cs typeface="+mn-cs"/>
                  </a:defRPr>
                </a:pPr>
                <a:r>
                  <a:rPr lang="en-US" b="1"/>
                  <a:t>Absorbance</a:t>
                </a:r>
              </a:p>
            </c:rich>
          </c:tx>
          <c:overlay val="0"/>
          <c:spPr>
            <a:noFill/>
            <a:ln>
              <a:noFill/>
            </a:ln>
            <a:effectLst/>
          </c:spPr>
          <c:txPr>
            <a:bodyPr rot="-5400000" spcFirstLastPara="1" vertOverflow="ellipsis" vert="horz" wrap="square" anchor="ctr" anchorCtr="1"/>
            <a:lstStyle/>
            <a:p>
              <a:pPr>
                <a:defRPr lang="en-US" sz="1000" b="1" i="0" u="none" strike="noStrike" kern="1200" baseline="0">
                  <a:solidFill>
                    <a:schemeClr val="tx1">
                      <a:lumMod val="65000"/>
                      <a:lumOff val="35000"/>
                    </a:schemeClr>
                  </a:solidFill>
                  <a:latin typeface="+mn-lt"/>
                  <a:ea typeface="+mn-ea"/>
                  <a:cs typeface="+mn-cs"/>
                </a:defRPr>
              </a:pPr>
              <a:endParaRPr lang="en-US"/>
            </a:p>
          </c:txPr>
        </c:title>
        <c:numFmt formatCode="0.000"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879126288"/>
        <c:crosses val="autoZero"/>
        <c:crossBetween val="midCat"/>
      </c:valAx>
      <c:spPr>
        <a:noFill/>
        <a:ln>
          <a:noFill/>
        </a:ln>
        <a:effectLst/>
      </c:spPr>
    </c:plotArea>
    <c:plotVisOnly val="1"/>
    <c:dispBlanksAs val="gap"/>
    <c:showDLblsOverMax val="0"/>
    <c:extLst>
      <c:ext uri="{0b15fc19-7d7d-44ad-8c2d-2c3a37ce22c3}">
        <chartProps xmlns="https://web.wps.cn/et/2018/main" chartId="{b63b4f58-06f6-4629-8a09-ea975f660fe1}"/>
      </c:ext>
    </c:extLst>
  </c:chart>
  <c:spPr>
    <a:solidFill>
      <a:schemeClr val="accent2">
        <a:lumMod val="20000"/>
        <a:lumOff val="80000"/>
      </a:schemeClr>
    </a:solidFill>
    <a:ln w="9525" cap="flat" cmpd="sng" algn="ctr">
      <a:solidFill>
        <a:schemeClr val="tx1">
          <a:lumMod val="15000"/>
          <a:lumOff val="85000"/>
        </a:schemeClr>
      </a:solidFill>
      <a:round/>
    </a:ln>
    <a:effectLst/>
  </c:spPr>
  <c:txPr>
    <a:bodyPr/>
    <a:lstStyle/>
    <a:p>
      <a:pPr>
        <a:defRPr lang="en-US"/>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400" b="0" i="0" u="none" strike="noStrike" kern="1200" spc="0" baseline="0">
                <a:solidFill>
                  <a:schemeClr val="tx1">
                    <a:lumMod val="65000"/>
                    <a:lumOff val="35000"/>
                  </a:schemeClr>
                </a:solidFill>
                <a:latin typeface="+mn-lt"/>
                <a:ea typeface="+mn-ea"/>
                <a:cs typeface="+mn-cs"/>
              </a:defRPr>
            </a:pPr>
            <a:r>
              <a:rPr lang="en-US"/>
              <a:t>Lead</a:t>
            </a:r>
            <a:r>
              <a:rPr lang="en-US" baseline="0"/>
              <a:t> Calibration Curve</a:t>
            </a:r>
            <a:endParaRPr lang="en-US"/>
          </a:p>
        </c:rich>
      </c:tx>
      <c:overlay val="0"/>
      <c:spPr>
        <a:noFill/>
        <a:ln>
          <a:noFill/>
        </a:ln>
        <a:effectLst/>
      </c:spPr>
      <c:txPr>
        <a:bodyPr rot="0" spcFirstLastPara="1" vertOverflow="ellipsis" vert="horz" wrap="square" anchor="ctr" anchorCtr="1"/>
        <a:lstStyle/>
        <a:p>
          <a:pPr>
            <a:defRPr lang="en-US"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spPr>
            <a:ln w="19050" cap="rnd">
              <a:noFill/>
              <a:round/>
            </a:ln>
            <a:effectLst/>
          </c:spPr>
          <c:marker>
            <c:symbol val="circle"/>
            <c:size val="5"/>
            <c:spPr>
              <a:solidFill>
                <a:schemeClr val="accent1"/>
              </a:solidFill>
              <a:ln w="9525">
                <a:solidFill>
                  <a:schemeClr val="accent1"/>
                </a:solidFill>
              </a:ln>
              <a:effectLst/>
            </c:spPr>
          </c:marker>
          <c:dPt>
            <c:idx val="5"/>
            <c:marker>
              <c:symbol val="circle"/>
              <c:size val="5"/>
              <c:spPr>
                <a:solidFill>
                  <a:schemeClr val="accent4"/>
                </a:solidFill>
                <a:ln w="9525">
                  <a:solidFill>
                    <a:schemeClr val="accent1"/>
                  </a:solidFill>
                </a:ln>
                <a:effectLst/>
              </c:spPr>
            </c:marker>
            <c:bubble3D val="0"/>
            <c:extLst>
              <c:ext xmlns:c16="http://schemas.microsoft.com/office/drawing/2014/chart" uri="{C3380CC4-5D6E-409C-BE32-E72D297353CC}">
                <c16:uniqueId val="{00000000-F14C-4E85-B7D5-02471000E020}"/>
              </c:ext>
            </c:extLst>
          </c:dPt>
          <c:dPt>
            <c:idx val="6"/>
            <c:marker>
              <c:symbol val="circle"/>
              <c:size val="5"/>
              <c:spPr>
                <a:solidFill>
                  <a:schemeClr val="accent4">
                    <a:lumMod val="60000"/>
                    <a:lumOff val="40000"/>
                  </a:schemeClr>
                </a:solidFill>
                <a:ln w="9525">
                  <a:solidFill>
                    <a:schemeClr val="accent1"/>
                  </a:solidFill>
                </a:ln>
                <a:effectLst/>
              </c:spPr>
            </c:marker>
            <c:bubble3D val="0"/>
            <c:extLst>
              <c:ext xmlns:c16="http://schemas.microsoft.com/office/drawing/2014/chart" uri="{C3380CC4-5D6E-409C-BE32-E72D297353CC}">
                <c16:uniqueId val="{00000001-F14C-4E85-B7D5-02471000E020}"/>
              </c:ext>
            </c:extLst>
          </c:dPt>
          <c:dPt>
            <c:idx val="7"/>
            <c:marker>
              <c:symbol val="circle"/>
              <c:size val="5"/>
              <c:spPr>
                <a:solidFill>
                  <a:schemeClr val="accent4"/>
                </a:solidFill>
                <a:ln w="9525">
                  <a:solidFill>
                    <a:schemeClr val="accent1"/>
                  </a:solidFill>
                </a:ln>
                <a:effectLst/>
              </c:spPr>
            </c:marker>
            <c:bubble3D val="0"/>
            <c:extLst>
              <c:ext xmlns:c16="http://schemas.microsoft.com/office/drawing/2014/chart" uri="{C3380CC4-5D6E-409C-BE32-E72D297353CC}">
                <c16:uniqueId val="{00000002-F14C-4E85-B7D5-02471000E020}"/>
              </c:ext>
            </c:extLst>
          </c:dPt>
          <c:trendline>
            <c:spPr>
              <a:ln w="19050" cap="rnd">
                <a:solidFill>
                  <a:schemeClr val="accent1"/>
                </a:solidFill>
                <a:prstDash val="sysDot"/>
              </a:ln>
              <a:effectLst/>
            </c:spPr>
            <c:trendlineType val="linear"/>
            <c:dispRSqr val="1"/>
            <c:dispEq val="1"/>
            <c:trendlineLbl>
              <c:layout>
                <c:manualLayout>
                  <c:x val="-3.08694225721785E-2"/>
                  <c:y val="-5.9973753280839898E-2"/>
                </c:manualLayout>
              </c:layout>
              <c:numFmt formatCode="General" sourceLinked="0"/>
              <c:spPr>
                <a:noFill/>
                <a:ln>
                  <a:noFill/>
                </a:ln>
                <a:effectLst/>
              </c:spPr>
              <c:txPr>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trendlineLbl>
          </c:trendline>
          <c:xVal>
            <c:numRef>
              <c:f>Sheet1!$A$2:$A$9</c:f>
              <c:numCache>
                <c:formatCode>General</c:formatCode>
                <c:ptCount val="8"/>
                <c:pt idx="0">
                  <c:v>2.0011999999999999</c:v>
                </c:pt>
                <c:pt idx="1">
                  <c:v>4.0011000000000001</c:v>
                </c:pt>
                <c:pt idx="2">
                  <c:v>6.0011000000000001</c:v>
                </c:pt>
                <c:pt idx="3">
                  <c:v>8.0013000000000005</c:v>
                </c:pt>
                <c:pt idx="4">
                  <c:v>10.000299999999999</c:v>
                </c:pt>
                <c:pt idx="5">
                  <c:v>10.452999999999999</c:v>
                </c:pt>
                <c:pt idx="6">
                  <c:v>8.9009999999999998</c:v>
                </c:pt>
                <c:pt idx="7">
                  <c:v>9.2539999999999996</c:v>
                </c:pt>
              </c:numCache>
            </c:numRef>
          </c:xVal>
          <c:yVal>
            <c:numRef>
              <c:f>Sheet1!$B$2:$B$9</c:f>
              <c:numCache>
                <c:formatCode>General</c:formatCode>
                <c:ptCount val="8"/>
                <c:pt idx="0">
                  <c:v>4.1000000000000003E-3</c:v>
                </c:pt>
                <c:pt idx="1">
                  <c:v>8.2000000000000007E-3</c:v>
                </c:pt>
                <c:pt idx="2">
                  <c:v>1.21E-2</c:v>
                </c:pt>
                <c:pt idx="3">
                  <c:v>1.5100000000000001E-2</c:v>
                </c:pt>
                <c:pt idx="4">
                  <c:v>1.8200000000000001E-2</c:v>
                </c:pt>
                <c:pt idx="5">
                  <c:v>2.0899999999999998E-2</c:v>
                </c:pt>
                <c:pt idx="6">
                  <c:v>1.78E-2</c:v>
                </c:pt>
                <c:pt idx="7">
                  <c:v>1.8499999999999999E-2</c:v>
                </c:pt>
              </c:numCache>
            </c:numRef>
          </c:yVal>
          <c:smooth val="0"/>
          <c:extLst>
            <c:ext xmlns:c16="http://schemas.microsoft.com/office/drawing/2014/chart" uri="{C3380CC4-5D6E-409C-BE32-E72D297353CC}">
              <c16:uniqueId val="{00000004-F14C-4E85-B7D5-02471000E020}"/>
            </c:ext>
          </c:extLst>
        </c:ser>
        <c:dLbls>
          <c:showLegendKey val="0"/>
          <c:showVal val="0"/>
          <c:showCatName val="0"/>
          <c:showSerName val="0"/>
          <c:showPercent val="0"/>
          <c:showBubbleSize val="0"/>
        </c:dLbls>
        <c:axId val="791328096"/>
        <c:axId val="791324960"/>
      </c:scatterChart>
      <c:valAx>
        <c:axId val="79132809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en-US"/>
                  <a:t>Concentration (mg/L)</a:t>
                </a:r>
              </a:p>
            </c:rich>
          </c:tx>
          <c:overlay val="0"/>
          <c:spPr>
            <a:noFill/>
            <a:ln>
              <a:noFill/>
            </a:ln>
            <a:effectLst/>
          </c:spPr>
          <c:txPr>
            <a:bodyPr rot="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791324960"/>
        <c:crosses val="autoZero"/>
        <c:crossBetween val="midCat"/>
      </c:valAx>
      <c:valAx>
        <c:axId val="7913249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en-US"/>
                  <a:t>Absorbance</a:t>
                </a:r>
              </a:p>
            </c:rich>
          </c:tx>
          <c:overlay val="0"/>
          <c:spPr>
            <a:noFill/>
            <a:ln>
              <a:noFill/>
            </a:ln>
            <a:effectLst/>
          </c:spPr>
          <c:txPr>
            <a:bodyPr rot="-540000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791328096"/>
        <c:crosses val="autoZero"/>
        <c:crossBetween val="midCat"/>
      </c:valAx>
      <c:spPr>
        <a:noFill/>
        <a:ln>
          <a:noFill/>
        </a:ln>
        <a:effectLst/>
      </c:spPr>
    </c:plotArea>
    <c:plotVisOnly val="1"/>
    <c:dispBlanksAs val="gap"/>
    <c:showDLblsOverMax val="0"/>
    <c:extLst>
      <c:ext uri="{0b15fc19-7d7d-44ad-8c2d-2c3a37ce22c3}">
        <chartProps xmlns="https://web.wps.cn/et/2018/main" chartId="{d461254c-3dfb-4cb5-80da-f8b99a951a48}"/>
      </c:ext>
    </c:extLst>
  </c:chart>
  <c:spPr>
    <a:solidFill>
      <a:schemeClr val="tx2">
        <a:lumMod val="20000"/>
        <a:lumOff val="80000"/>
      </a:schemeClr>
    </a:solidFill>
    <a:ln w="9525" cap="flat" cmpd="sng" algn="ctr">
      <a:solidFill>
        <a:schemeClr val="accent1">
          <a:lumMod val="20000"/>
          <a:lumOff val="80000"/>
        </a:schemeClr>
      </a:solidFill>
      <a:round/>
    </a:ln>
    <a:effectLst/>
  </c:spPr>
  <c:txPr>
    <a:bodyPr/>
    <a:lstStyle/>
    <a:p>
      <a:pPr>
        <a:defRPr lang="en-US"/>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400" b="0" i="0" u="none" strike="noStrike" kern="1200" spc="0" baseline="0">
                <a:solidFill>
                  <a:schemeClr val="tx1">
                    <a:lumMod val="65000"/>
                    <a:lumOff val="35000"/>
                  </a:schemeClr>
                </a:solidFill>
                <a:latin typeface="+mn-lt"/>
                <a:ea typeface="+mn-ea"/>
                <a:cs typeface="+mn-cs"/>
              </a:defRPr>
            </a:pPr>
            <a:r>
              <a:rPr lang="en-US"/>
              <a:t>Zinc</a:t>
            </a:r>
            <a:r>
              <a:rPr lang="en-US" baseline="0"/>
              <a:t> levels in maize seeds</a:t>
            </a:r>
            <a:endParaRPr lang="en-US"/>
          </a:p>
        </c:rich>
      </c:tx>
      <c:overlay val="0"/>
      <c:spPr>
        <a:noFill/>
        <a:ln>
          <a:noFill/>
        </a:ln>
        <a:effectLst/>
      </c:spPr>
      <c:txPr>
        <a:bodyPr rot="0" spcFirstLastPara="1" vertOverflow="ellipsis" vert="horz" wrap="square" anchor="ctr" anchorCtr="1"/>
        <a:lstStyle/>
        <a:p>
          <a:pPr>
            <a:defRPr lang="en-US"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tx>
            <c:strRef>
              <c:f>Sheet1!$C$4</c:f>
              <c:strCache>
                <c:ptCount val="1"/>
                <c:pt idx="0">
                  <c:v>Concentration (mg/g)</c:v>
                </c:pt>
              </c:strCache>
            </c:strRef>
          </c:tx>
          <c:spPr>
            <a:solidFill>
              <a:schemeClr val="accent1"/>
            </a:solid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strRef>
              <c:f>Sheet1!$B$5:$B$7</c:f>
              <c:strCache>
                <c:ptCount val="3"/>
                <c:pt idx="0">
                  <c:v>SC Sungura 301</c:v>
                </c:pt>
                <c:pt idx="1">
                  <c:v>SC Duma 43</c:v>
                </c:pt>
                <c:pt idx="2">
                  <c:v>Indigenious Kamba Maize</c:v>
                </c:pt>
              </c:strCache>
            </c:strRef>
          </c:cat>
          <c:val>
            <c:numRef>
              <c:f>Sheet1!$C$5:$C$7</c:f>
              <c:numCache>
                <c:formatCode>General</c:formatCode>
                <c:ptCount val="3"/>
                <c:pt idx="0">
                  <c:v>0.34300000000000003</c:v>
                </c:pt>
                <c:pt idx="1">
                  <c:v>0.38900000000000001</c:v>
                </c:pt>
                <c:pt idx="2">
                  <c:v>0.372</c:v>
                </c:pt>
              </c:numCache>
            </c:numRef>
          </c:val>
          <c:extLst>
            <c:ext xmlns:c16="http://schemas.microsoft.com/office/drawing/2014/chart" uri="{C3380CC4-5D6E-409C-BE32-E72D297353CC}">
              <c16:uniqueId val="{00000000-83E4-4564-95E2-6C3AAE608FF6}"/>
            </c:ext>
          </c:extLst>
        </c:ser>
        <c:dLbls>
          <c:showLegendKey val="0"/>
          <c:showVal val="0"/>
          <c:showCatName val="0"/>
          <c:showSerName val="0"/>
          <c:showPercent val="0"/>
          <c:showBubbleSize val="0"/>
        </c:dLbls>
        <c:gapWidth val="150"/>
        <c:overlap val="100"/>
        <c:axId val="791324568"/>
        <c:axId val="791323000"/>
      </c:barChart>
      <c:catAx>
        <c:axId val="7913245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791323000"/>
        <c:crosses val="autoZero"/>
        <c:auto val="1"/>
        <c:lblAlgn val="ctr"/>
        <c:lblOffset val="100"/>
        <c:noMultiLvlLbl val="0"/>
      </c:catAx>
      <c:valAx>
        <c:axId val="7913230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en-US" b="1">
                    <a:solidFill>
                      <a:schemeClr val="tx1"/>
                    </a:solidFill>
                  </a:rPr>
                  <a:t>Concentration</a:t>
                </a:r>
                <a:r>
                  <a:rPr lang="en-US" b="1" baseline="0">
                    <a:solidFill>
                      <a:schemeClr val="tx1"/>
                    </a:solidFill>
                  </a:rPr>
                  <a:t> (mg/g)</a:t>
                </a:r>
                <a:endParaRPr lang="en-US" b="1">
                  <a:solidFill>
                    <a:schemeClr val="tx1"/>
                  </a:solidFill>
                </a:endParaRPr>
              </a:p>
            </c:rich>
          </c:tx>
          <c:overlay val="0"/>
          <c:spPr>
            <a:noFill/>
            <a:ln>
              <a:noFill/>
            </a:ln>
            <a:effectLst/>
          </c:spPr>
          <c:txPr>
            <a:bodyPr rot="-540000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791324568"/>
        <c:crosses val="autoZero"/>
        <c:crossBetween val="between"/>
      </c:valAx>
      <c:spPr>
        <a:noFill/>
        <a:ln>
          <a:noFill/>
        </a:ln>
        <a:effectLst/>
      </c:spPr>
    </c:plotArea>
    <c:plotVisOnly val="1"/>
    <c:dispBlanksAs val="gap"/>
    <c:showDLblsOverMax val="0"/>
    <c:extLst>
      <c:ext uri="{0b15fc19-7d7d-44ad-8c2d-2c3a37ce22c3}">
        <chartProps xmlns="https://web.wps.cn/et/2018/main" chartId="{0b9ff087-a00e-4fd0-90c0-ec20560efbf7}"/>
      </c:ext>
    </c:extLst>
  </c:chart>
  <c:spPr>
    <a:solidFill>
      <a:schemeClr val="bg1"/>
    </a:solidFill>
    <a:ln w="9525" cap="flat" cmpd="sng" algn="ctr">
      <a:solidFill>
        <a:schemeClr val="tx1">
          <a:lumMod val="15000"/>
          <a:lumOff val="85000"/>
        </a:schemeClr>
      </a:solidFill>
      <a:round/>
    </a:ln>
    <a:effectLst/>
  </c:spPr>
  <c:txPr>
    <a:bodyPr/>
    <a:lstStyle/>
    <a:p>
      <a:pPr>
        <a:defRPr lang="en-US"/>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400" b="0" i="0" u="none" strike="noStrike" kern="1200" spc="0" baseline="0">
                <a:solidFill>
                  <a:schemeClr val="tx1">
                    <a:lumMod val="65000"/>
                    <a:lumOff val="35000"/>
                  </a:schemeClr>
                </a:solidFill>
                <a:latin typeface="+mn-lt"/>
                <a:ea typeface="+mn-ea"/>
                <a:cs typeface="+mn-cs"/>
              </a:defRPr>
            </a:pPr>
            <a:r>
              <a:rPr lang="en-US"/>
              <a:t>Cadmium</a:t>
            </a:r>
            <a:r>
              <a:rPr lang="en-US" baseline="0"/>
              <a:t> levels in maize seeds</a:t>
            </a:r>
            <a:endParaRPr lang="en-US"/>
          </a:p>
        </c:rich>
      </c:tx>
      <c:overlay val="0"/>
      <c:spPr>
        <a:noFill/>
        <a:ln>
          <a:noFill/>
        </a:ln>
        <a:effectLst/>
      </c:spPr>
      <c:txPr>
        <a:bodyPr rot="0" spcFirstLastPara="1" vertOverflow="ellipsis" vert="horz" wrap="square" anchor="ctr" anchorCtr="1"/>
        <a:lstStyle/>
        <a:p>
          <a:pPr>
            <a:defRPr lang="en-US"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tx>
            <c:strRef>
              <c:f>Sheet1!$C$4</c:f>
              <c:strCache>
                <c:ptCount val="1"/>
                <c:pt idx="0">
                  <c:v>Concentration (mg/g)</c:v>
                </c:pt>
              </c:strCache>
            </c:strRef>
          </c:tx>
          <c:spPr>
            <a:solidFill>
              <a:schemeClr val="accent1"/>
            </a:solid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strRef>
              <c:f>Sheet1!$B$5:$B$7</c:f>
              <c:strCache>
                <c:ptCount val="3"/>
                <c:pt idx="0">
                  <c:v>SC Sungura 301</c:v>
                </c:pt>
                <c:pt idx="1">
                  <c:v>SC Duma 43</c:v>
                </c:pt>
                <c:pt idx="2">
                  <c:v>Indigenious Kamba Maize</c:v>
                </c:pt>
              </c:strCache>
            </c:strRef>
          </c:cat>
          <c:val>
            <c:numRef>
              <c:f>Sheet1!$C$5:$C$7</c:f>
              <c:numCache>
                <c:formatCode>General</c:formatCode>
                <c:ptCount val="3"/>
                <c:pt idx="0">
                  <c:v>1.998</c:v>
                </c:pt>
                <c:pt idx="1">
                  <c:v>0.56200000000000006</c:v>
                </c:pt>
                <c:pt idx="2">
                  <c:v>1.843</c:v>
                </c:pt>
              </c:numCache>
            </c:numRef>
          </c:val>
          <c:extLst>
            <c:ext xmlns:c16="http://schemas.microsoft.com/office/drawing/2014/chart" uri="{C3380CC4-5D6E-409C-BE32-E72D297353CC}">
              <c16:uniqueId val="{00000000-DF47-43DE-8C40-FB99B947C078}"/>
            </c:ext>
          </c:extLst>
        </c:ser>
        <c:dLbls>
          <c:showLegendKey val="0"/>
          <c:showVal val="0"/>
          <c:showCatName val="0"/>
          <c:showSerName val="0"/>
          <c:showPercent val="0"/>
          <c:showBubbleSize val="0"/>
        </c:dLbls>
        <c:gapWidth val="150"/>
        <c:overlap val="100"/>
        <c:axId val="791324176"/>
        <c:axId val="791325744"/>
      </c:barChart>
      <c:catAx>
        <c:axId val="7913241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791325744"/>
        <c:crosses val="autoZero"/>
        <c:auto val="1"/>
        <c:lblAlgn val="ctr"/>
        <c:lblOffset val="100"/>
        <c:noMultiLvlLbl val="0"/>
      </c:catAx>
      <c:valAx>
        <c:axId val="79132574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en-US" b="1">
                    <a:solidFill>
                      <a:schemeClr val="tx1"/>
                    </a:solidFill>
                  </a:rPr>
                  <a:t>Concentration</a:t>
                </a:r>
                <a:r>
                  <a:rPr lang="en-US" b="1" baseline="0">
                    <a:solidFill>
                      <a:schemeClr val="tx1"/>
                    </a:solidFill>
                  </a:rPr>
                  <a:t> (mg/g)</a:t>
                </a:r>
                <a:endParaRPr lang="en-US" b="1">
                  <a:solidFill>
                    <a:schemeClr val="tx1"/>
                  </a:solidFill>
                </a:endParaRPr>
              </a:p>
            </c:rich>
          </c:tx>
          <c:overlay val="0"/>
          <c:spPr>
            <a:noFill/>
            <a:ln>
              <a:noFill/>
            </a:ln>
            <a:effectLst/>
          </c:spPr>
          <c:txPr>
            <a:bodyPr rot="-540000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791324176"/>
        <c:crosses val="autoZero"/>
        <c:crossBetween val="between"/>
      </c:valAx>
      <c:spPr>
        <a:noFill/>
        <a:ln>
          <a:noFill/>
        </a:ln>
        <a:effectLst/>
      </c:spPr>
    </c:plotArea>
    <c:plotVisOnly val="1"/>
    <c:dispBlanksAs val="gap"/>
    <c:showDLblsOverMax val="0"/>
    <c:extLst>
      <c:ext uri="{0b15fc19-7d7d-44ad-8c2d-2c3a37ce22c3}">
        <chartProps xmlns="https://web.wps.cn/et/2018/main" chartId="{ea3f2975-e2c5-4f0a-9ccd-c5b3d20d2f74}"/>
      </c:ext>
    </c:extLst>
  </c:chart>
  <c:spPr>
    <a:solidFill>
      <a:schemeClr val="bg1"/>
    </a:solidFill>
    <a:ln w="9525" cap="flat" cmpd="sng" algn="ctr">
      <a:solidFill>
        <a:schemeClr val="tx1">
          <a:lumMod val="15000"/>
          <a:lumOff val="85000"/>
        </a:schemeClr>
      </a:solidFill>
      <a:round/>
    </a:ln>
    <a:effectLst/>
  </c:spPr>
  <c:txPr>
    <a:bodyPr/>
    <a:lstStyle/>
    <a:p>
      <a:pPr>
        <a:defRPr lang="en-US"/>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400" b="0" i="0" u="none" strike="noStrike" kern="1200" spc="0" baseline="0">
                <a:solidFill>
                  <a:schemeClr val="tx1">
                    <a:lumMod val="65000"/>
                    <a:lumOff val="35000"/>
                  </a:schemeClr>
                </a:solidFill>
                <a:latin typeface="+mn-lt"/>
                <a:ea typeface="+mn-ea"/>
                <a:cs typeface="+mn-cs"/>
              </a:defRPr>
            </a:pPr>
            <a:r>
              <a:rPr lang="en-US"/>
              <a:t>Copper</a:t>
            </a:r>
            <a:r>
              <a:rPr lang="en-US" baseline="0"/>
              <a:t> levels in maize seeds</a:t>
            </a:r>
            <a:endParaRPr lang="en-US"/>
          </a:p>
        </c:rich>
      </c:tx>
      <c:overlay val="0"/>
      <c:spPr>
        <a:noFill/>
        <a:ln>
          <a:noFill/>
        </a:ln>
        <a:effectLst/>
      </c:spPr>
      <c:txPr>
        <a:bodyPr rot="0" spcFirstLastPara="1" vertOverflow="ellipsis" vert="horz" wrap="square" anchor="ctr" anchorCtr="1"/>
        <a:lstStyle/>
        <a:p>
          <a:pPr>
            <a:defRPr lang="en-US"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tx>
            <c:strRef>
              <c:f>Sheet1!$C$3</c:f>
              <c:strCache>
                <c:ptCount val="1"/>
                <c:pt idx="0">
                  <c:v>Concentration (mg/g)</c:v>
                </c:pt>
              </c:strCache>
            </c:strRef>
          </c:tx>
          <c:spPr>
            <a:solidFill>
              <a:schemeClr val="accent1"/>
            </a:solid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strRef>
              <c:f>Sheet1!$B$4:$B$6</c:f>
              <c:strCache>
                <c:ptCount val="3"/>
                <c:pt idx="0">
                  <c:v>SC Sungura 301</c:v>
                </c:pt>
                <c:pt idx="1">
                  <c:v>SC Duma 43</c:v>
                </c:pt>
                <c:pt idx="2">
                  <c:v>Indigenious Kamba Maize</c:v>
                </c:pt>
              </c:strCache>
            </c:strRef>
          </c:cat>
          <c:val>
            <c:numRef>
              <c:f>Sheet1!$C$4:$C$6</c:f>
              <c:numCache>
                <c:formatCode>General</c:formatCode>
                <c:ptCount val="3"/>
                <c:pt idx="0">
                  <c:v>0.75600000000000001</c:v>
                </c:pt>
                <c:pt idx="1">
                  <c:v>0.74099999999999999</c:v>
                </c:pt>
                <c:pt idx="2">
                  <c:v>0.7</c:v>
                </c:pt>
              </c:numCache>
            </c:numRef>
          </c:val>
          <c:extLst>
            <c:ext xmlns:c16="http://schemas.microsoft.com/office/drawing/2014/chart" uri="{C3380CC4-5D6E-409C-BE32-E72D297353CC}">
              <c16:uniqueId val="{00000000-F8D3-41FC-ACD1-19EAE2F1D9E5}"/>
            </c:ext>
          </c:extLst>
        </c:ser>
        <c:dLbls>
          <c:showLegendKey val="0"/>
          <c:showVal val="0"/>
          <c:showCatName val="0"/>
          <c:showSerName val="0"/>
          <c:showPercent val="0"/>
          <c:showBubbleSize val="0"/>
        </c:dLbls>
        <c:gapWidth val="150"/>
        <c:overlap val="100"/>
        <c:axId val="752585424"/>
        <c:axId val="752583072"/>
      </c:barChart>
      <c:catAx>
        <c:axId val="7525854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752583072"/>
        <c:crosses val="autoZero"/>
        <c:auto val="1"/>
        <c:lblAlgn val="ctr"/>
        <c:lblOffset val="100"/>
        <c:noMultiLvlLbl val="0"/>
      </c:catAx>
      <c:valAx>
        <c:axId val="7525830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en-US" b="1">
                    <a:solidFill>
                      <a:schemeClr val="tx1"/>
                    </a:solidFill>
                  </a:rPr>
                  <a:t>Concentration</a:t>
                </a:r>
                <a:r>
                  <a:rPr lang="en-US" b="1" baseline="0">
                    <a:solidFill>
                      <a:schemeClr val="tx1"/>
                    </a:solidFill>
                  </a:rPr>
                  <a:t> (mg/g)</a:t>
                </a:r>
                <a:endParaRPr lang="en-US" b="1">
                  <a:solidFill>
                    <a:schemeClr val="tx1"/>
                  </a:solidFill>
                </a:endParaRPr>
              </a:p>
            </c:rich>
          </c:tx>
          <c:overlay val="0"/>
          <c:spPr>
            <a:noFill/>
            <a:ln>
              <a:noFill/>
            </a:ln>
            <a:effectLst/>
          </c:spPr>
          <c:txPr>
            <a:bodyPr rot="-540000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752585424"/>
        <c:crosses val="autoZero"/>
        <c:crossBetween val="between"/>
      </c:valAx>
      <c:spPr>
        <a:noFill/>
        <a:ln>
          <a:noFill/>
        </a:ln>
        <a:effectLst/>
      </c:spPr>
    </c:plotArea>
    <c:plotVisOnly val="1"/>
    <c:dispBlanksAs val="gap"/>
    <c:showDLblsOverMax val="0"/>
    <c:extLst>
      <c:ext uri="{0b15fc19-7d7d-44ad-8c2d-2c3a37ce22c3}">
        <chartProps xmlns="https://web.wps.cn/et/2018/main" chartId="{abc31e96-7289-4ff7-b2c1-37f15d17bc40}"/>
      </c:ext>
    </c:extLst>
  </c:chart>
  <c:spPr>
    <a:solidFill>
      <a:schemeClr val="bg1"/>
    </a:solidFill>
    <a:ln w="9525" cap="flat" cmpd="sng" algn="ctr">
      <a:solidFill>
        <a:schemeClr val="tx1">
          <a:lumMod val="15000"/>
          <a:lumOff val="85000"/>
        </a:schemeClr>
      </a:solidFill>
      <a:round/>
    </a:ln>
    <a:effectLst/>
  </c:spPr>
  <c:txPr>
    <a:bodyPr/>
    <a:lstStyle/>
    <a:p>
      <a:pPr>
        <a:defRPr lang="en-US"/>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400" b="0" i="0" u="none" strike="noStrike" kern="1200" spc="0" baseline="0">
                <a:solidFill>
                  <a:schemeClr val="tx1">
                    <a:lumMod val="65000"/>
                    <a:lumOff val="35000"/>
                  </a:schemeClr>
                </a:solidFill>
                <a:latin typeface="+mn-lt"/>
                <a:ea typeface="+mn-ea"/>
                <a:cs typeface="+mn-cs"/>
              </a:defRPr>
            </a:pPr>
            <a:r>
              <a:rPr lang="en-US"/>
              <a:t>Manganese</a:t>
            </a:r>
            <a:r>
              <a:rPr lang="en-US" baseline="0"/>
              <a:t> levels in maize seeds</a:t>
            </a:r>
            <a:endParaRPr lang="en-US"/>
          </a:p>
        </c:rich>
      </c:tx>
      <c:overlay val="0"/>
      <c:spPr>
        <a:noFill/>
        <a:ln>
          <a:noFill/>
        </a:ln>
        <a:effectLst/>
      </c:spPr>
      <c:txPr>
        <a:bodyPr rot="0" spcFirstLastPara="1" vertOverflow="ellipsis" vert="horz" wrap="square" anchor="ctr" anchorCtr="1"/>
        <a:lstStyle/>
        <a:p>
          <a:pPr>
            <a:defRPr lang="en-US"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tx>
            <c:strRef>
              <c:f>Sheet1!$C$4</c:f>
              <c:strCache>
                <c:ptCount val="1"/>
                <c:pt idx="0">
                  <c:v>Concentration (mg/g)</c:v>
                </c:pt>
              </c:strCache>
            </c:strRef>
          </c:tx>
          <c:spPr>
            <a:solidFill>
              <a:schemeClr val="accent1"/>
            </a:solid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strRef>
              <c:f>Sheet1!$B$5:$B$7</c:f>
              <c:strCache>
                <c:ptCount val="3"/>
                <c:pt idx="0">
                  <c:v>SC Sungura 301</c:v>
                </c:pt>
                <c:pt idx="1">
                  <c:v>SC Duma 43</c:v>
                </c:pt>
                <c:pt idx="2">
                  <c:v>Indigenious Kamba Maize</c:v>
                </c:pt>
              </c:strCache>
            </c:strRef>
          </c:cat>
          <c:val>
            <c:numRef>
              <c:f>Sheet1!$C$5:$C$7</c:f>
              <c:numCache>
                <c:formatCode>General</c:formatCode>
                <c:ptCount val="3"/>
                <c:pt idx="0">
                  <c:v>2.7450000000000001</c:v>
                </c:pt>
                <c:pt idx="1">
                  <c:v>1.748</c:v>
                </c:pt>
                <c:pt idx="2">
                  <c:v>0.27</c:v>
                </c:pt>
              </c:numCache>
            </c:numRef>
          </c:val>
          <c:extLst>
            <c:ext xmlns:c16="http://schemas.microsoft.com/office/drawing/2014/chart" uri="{C3380CC4-5D6E-409C-BE32-E72D297353CC}">
              <c16:uniqueId val="{00000000-A37C-464B-8FD1-C509E363E611}"/>
            </c:ext>
          </c:extLst>
        </c:ser>
        <c:dLbls>
          <c:showLegendKey val="0"/>
          <c:showVal val="0"/>
          <c:showCatName val="0"/>
          <c:showSerName val="0"/>
          <c:showPercent val="0"/>
          <c:showBubbleSize val="0"/>
        </c:dLbls>
        <c:gapWidth val="150"/>
        <c:overlap val="100"/>
        <c:axId val="752587384"/>
        <c:axId val="752580720"/>
      </c:barChart>
      <c:catAx>
        <c:axId val="7525873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752580720"/>
        <c:crosses val="autoZero"/>
        <c:auto val="1"/>
        <c:lblAlgn val="ctr"/>
        <c:lblOffset val="100"/>
        <c:noMultiLvlLbl val="0"/>
      </c:catAx>
      <c:valAx>
        <c:axId val="7525807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en-US" b="1">
                    <a:solidFill>
                      <a:schemeClr val="tx1"/>
                    </a:solidFill>
                  </a:rPr>
                  <a:t>Concentration</a:t>
                </a:r>
                <a:r>
                  <a:rPr lang="en-US" b="1" baseline="0">
                    <a:solidFill>
                      <a:schemeClr val="tx1"/>
                    </a:solidFill>
                  </a:rPr>
                  <a:t> (mg/g)</a:t>
                </a:r>
                <a:endParaRPr lang="en-US" b="1">
                  <a:solidFill>
                    <a:schemeClr val="tx1"/>
                  </a:solidFill>
                </a:endParaRPr>
              </a:p>
            </c:rich>
          </c:tx>
          <c:overlay val="0"/>
          <c:spPr>
            <a:noFill/>
            <a:ln>
              <a:noFill/>
            </a:ln>
            <a:effectLst/>
          </c:spPr>
          <c:txPr>
            <a:bodyPr rot="-540000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752587384"/>
        <c:crosses val="autoZero"/>
        <c:crossBetween val="between"/>
      </c:valAx>
      <c:spPr>
        <a:noFill/>
        <a:ln>
          <a:noFill/>
        </a:ln>
        <a:effectLst/>
      </c:spPr>
    </c:plotArea>
    <c:plotVisOnly val="1"/>
    <c:dispBlanksAs val="gap"/>
    <c:showDLblsOverMax val="0"/>
    <c:extLst>
      <c:ext uri="{0b15fc19-7d7d-44ad-8c2d-2c3a37ce22c3}">
        <chartProps xmlns="https://web.wps.cn/et/2018/main" chartId="{5dfc6996-28b2-460c-bf9a-06be746c6d0d}"/>
      </c:ext>
    </c:extLst>
  </c:chart>
  <c:spPr>
    <a:solidFill>
      <a:schemeClr val="bg1"/>
    </a:solidFill>
    <a:ln w="9525" cap="flat" cmpd="sng" algn="ctr">
      <a:solidFill>
        <a:schemeClr val="tx1">
          <a:lumMod val="15000"/>
          <a:lumOff val="85000"/>
        </a:schemeClr>
      </a:solidFill>
      <a:round/>
    </a:ln>
    <a:effectLst/>
  </c:spPr>
  <c:txPr>
    <a:bodyPr/>
    <a:lstStyle/>
    <a:p>
      <a:pPr>
        <a:defRPr lang="en-US"/>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B1901A-B365-4DDF-B077-4E76443FBA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36</Pages>
  <Words>16447</Words>
  <Characters>93748</Characters>
  <Application>Microsoft Office Word</Application>
  <DocSecurity>0</DocSecurity>
  <Lines>781</Lines>
  <Paragraphs>219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109976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FAITH BLESSING PC</dc:creator>
  <cp:keywords/>
  <dc:description/>
  <cp:lastModifiedBy>theaisha1707@gmail.com</cp:lastModifiedBy>
  <cp:revision>3</cp:revision>
  <dcterms:created xsi:type="dcterms:W3CDTF">2026-03-23T16:11:00Z</dcterms:created>
  <dcterms:modified xsi:type="dcterms:W3CDTF">2026-03-24T07:42:00Z</dcterms:modified>
</cp:coreProperties>
</file>