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D4074" w14:textId="672DCCDA" w:rsidR="00EA0D9A" w:rsidRDefault="00B6489A">
      <w:pPr>
        <w:spacing w:after="240"/>
        <w:jc w:val="center"/>
      </w:pPr>
      <w:r>
        <w:rPr>
          <w:b/>
          <w:bCs/>
          <w:color w:val="1A3A5C"/>
          <w:sz w:val="30"/>
          <w:szCs w:val="30"/>
        </w:rPr>
        <w:t>Determinants of Pension Participation and Gender Parity in India: Evidence from APY and NPS</w:t>
      </w:r>
    </w:p>
    <w:p w14:paraId="49CE67F0" w14:textId="77777777" w:rsidR="00EA0D9A" w:rsidRDefault="00B6489A">
      <w:pPr>
        <w:spacing w:before="360" w:after="160"/>
      </w:pPr>
      <w:bookmarkStart w:id="0" w:name="_GoBack"/>
      <w:bookmarkEnd w:id="0"/>
      <w:r>
        <w:rPr>
          <w:b/>
          <w:bCs/>
          <w:color w:val="1A3A5C"/>
          <w:sz w:val="28"/>
          <w:szCs w:val="28"/>
        </w:rPr>
        <w:t>Abstract</w:t>
      </w:r>
    </w:p>
    <w:p w14:paraId="277659AE" w14:textId="2B9DD38E" w:rsidR="001964BB" w:rsidRPr="001964BB" w:rsidRDefault="001964BB" w:rsidP="001964BB">
      <w:pPr>
        <w:spacing w:before="120" w:after="120" w:line="276" w:lineRule="auto"/>
        <w:jc w:val="both"/>
        <w:rPr>
          <w:color w:val="000000"/>
          <w:sz w:val="24"/>
          <w:szCs w:val="24"/>
        </w:rPr>
      </w:pPr>
      <w:r w:rsidRPr="001964BB">
        <w:rPr>
          <w:color w:val="000000"/>
          <w:sz w:val="24"/>
          <w:szCs w:val="24"/>
        </w:rPr>
        <w:t>India operates two structurally distinct voluntary pension schemes—the Atal Pension Yojana (APY) and the National Pension System (NPS)—yet existing research assumes that standard determinants of participation operate uniformly across them. This paper tests that assumption using state-level data for 35 Indian states and Union Territories over 2019–20 to 2024–25.</w:t>
      </w:r>
      <w:r>
        <w:rPr>
          <w:color w:val="000000"/>
          <w:sz w:val="24"/>
          <w:szCs w:val="24"/>
        </w:rPr>
        <w:t xml:space="preserve"> </w:t>
      </w:r>
      <w:r w:rsidRPr="001964BB">
        <w:rPr>
          <w:color w:val="000000"/>
          <w:sz w:val="24"/>
          <w:szCs w:val="24"/>
        </w:rPr>
        <w:t>Cross-sectional OLS estimates, supported by reduced-form specifications, quantile regression, stacked interactions, and state–year fixed effects, show that determinants are scheme-contingent. Banking infrastructure is positively associated with NPS penetration (β = 1.094, p &lt; 0.01) but not APY. Literacy is positively associated with female participation in NPS (β = 3.287, p &lt; 0.05) but not APY. Per-capita income and female labour force participation show no robust associations.</w:t>
      </w:r>
      <w:r>
        <w:rPr>
          <w:color w:val="000000"/>
          <w:sz w:val="24"/>
          <w:szCs w:val="24"/>
        </w:rPr>
        <w:t xml:space="preserve"> </w:t>
      </w:r>
      <w:r w:rsidRPr="001964BB">
        <w:rPr>
          <w:color w:val="000000"/>
          <w:sz w:val="24"/>
          <w:szCs w:val="24"/>
        </w:rPr>
        <w:t>Gender outcomes diverge sharply: APY achieves near parity (GPI ≈ 1.0–1.2), while NPS remains male-dominated (GPI: 0.31–0.45). These results are consistent across specifications but are associative rather than causal.</w:t>
      </w:r>
      <w:r>
        <w:rPr>
          <w:color w:val="000000"/>
          <w:sz w:val="24"/>
          <w:szCs w:val="24"/>
        </w:rPr>
        <w:t xml:space="preserve"> </w:t>
      </w:r>
      <w:r w:rsidRPr="001964BB">
        <w:rPr>
          <w:color w:val="000000"/>
          <w:sz w:val="24"/>
          <w:szCs w:val="24"/>
        </w:rPr>
        <w:t>The findings show that identical structural conditions yield different participation outcomes depending on scheme design, challenging uniform models of financial inclusion.</w:t>
      </w:r>
    </w:p>
    <w:p w14:paraId="6B0611E6" w14:textId="7F771BB0" w:rsidR="00EA0D9A" w:rsidRDefault="00B6489A">
      <w:pPr>
        <w:spacing w:before="120" w:after="120" w:line="276" w:lineRule="auto"/>
        <w:jc w:val="both"/>
      </w:pPr>
      <w:r>
        <w:rPr>
          <w:b/>
          <w:bCs/>
          <w:color w:val="000000"/>
          <w:sz w:val="24"/>
          <w:szCs w:val="24"/>
        </w:rPr>
        <w:t xml:space="preserve">Keywords: </w:t>
      </w:r>
      <w:r>
        <w:rPr>
          <w:i/>
          <w:iCs/>
          <w:color w:val="000000"/>
          <w:sz w:val="24"/>
          <w:szCs w:val="24"/>
        </w:rPr>
        <w:t>Atal Pension Yojana; National Pension System; Gender Parity Index; Pension Penetration; Financial Inclusion; OLS Regression; India</w:t>
      </w:r>
    </w:p>
    <w:p w14:paraId="62E99CD0" w14:textId="2C9E67D6" w:rsidR="00EA0D9A" w:rsidRDefault="00B6489A">
      <w:pPr>
        <w:spacing w:before="120" w:after="120" w:line="276" w:lineRule="auto"/>
        <w:jc w:val="both"/>
      </w:pPr>
      <w:r>
        <w:rPr>
          <w:b/>
          <w:bCs/>
          <w:color w:val="000000"/>
          <w:sz w:val="24"/>
          <w:szCs w:val="24"/>
        </w:rPr>
        <w:t>JEL Classification</w:t>
      </w:r>
      <w:r>
        <w:rPr>
          <w:b/>
          <w:bCs/>
          <w:color w:val="000000"/>
          <w:sz w:val="24"/>
          <w:szCs w:val="24"/>
        </w:rPr>
        <w:t xml:space="preserve">: </w:t>
      </w:r>
      <w:r>
        <w:rPr>
          <w:color w:val="000000"/>
          <w:sz w:val="24"/>
          <w:szCs w:val="24"/>
        </w:rPr>
        <w:t>G23; G53; H55; J16; I38; C21</w:t>
      </w:r>
    </w:p>
    <w:p w14:paraId="3731C5EF" w14:textId="77777777" w:rsidR="00EA0D9A" w:rsidRDefault="00B6489A">
      <w:pPr>
        <w:spacing w:before="360" w:after="160"/>
      </w:pPr>
      <w:r>
        <w:rPr>
          <w:b/>
          <w:bCs/>
          <w:color w:val="1A3A5C"/>
          <w:sz w:val="28"/>
          <w:szCs w:val="28"/>
        </w:rPr>
        <w:t>1. Introduction</w:t>
      </w:r>
    </w:p>
    <w:p w14:paraId="6D625995" w14:textId="7D53A78C" w:rsidR="00D42B26" w:rsidRPr="00D42B26" w:rsidRDefault="00D42B26" w:rsidP="008C0AEA">
      <w:pPr>
        <w:spacing w:after="240"/>
        <w:jc w:val="both"/>
        <w:rPr>
          <w:color w:val="000000"/>
          <w:sz w:val="24"/>
          <w:szCs w:val="24"/>
        </w:rPr>
      </w:pPr>
      <w:r>
        <w:rPr>
          <w:color w:val="000000"/>
          <w:sz w:val="24"/>
          <w:szCs w:val="24"/>
        </w:rPr>
        <w:t>India’s two main voluntary pension schemes share a broad goal—extending retirement coverage beyond the formal sector—but little else. The National Pension System (NPS), a market-linked defined-contribution plan, requires subscribers to choose funds, manage contributions, and interact with registered financial intermediaries. The Atal Pension Yojana (APY), launched in 2015 and built into the Jan Dhan banking ecosystem, works through auto-debit: a fixed guaranteed pension deducted automatically, with enrolment often facilitated by self-help groups. By design, APY asks almost nothing of its subscribers; NPS asks quite a lot.</w:t>
      </w:r>
    </w:p>
    <w:p w14:paraId="401DED50" w14:textId="77777777" w:rsidR="00AC063B" w:rsidRDefault="00B6489A">
      <w:pPr>
        <w:spacing w:after="160" w:line="276" w:lineRule="auto"/>
        <w:jc w:val="both"/>
        <w:rPr>
          <w:sz w:val="24"/>
          <w:szCs w:val="24"/>
        </w:rPr>
      </w:pPr>
      <w:r>
        <w:rPr>
          <w:sz w:val="24"/>
          <w:szCs w:val="24"/>
        </w:rPr>
        <w:t>Participation in both schemes varies sharply across Indian states, and that variation is no</w:t>
      </w:r>
      <w:r>
        <w:rPr>
          <w:sz w:val="24"/>
          <w:szCs w:val="24"/>
        </w:rPr>
        <w:t>t well explained. The financial inclusion literature points to banking infrastructure density, income, and literacy as the usual suspects. But that literature was built mostly on single-product studies—it assumes, usually without saying so, that the same f</w:t>
      </w:r>
      <w:r>
        <w:rPr>
          <w:sz w:val="24"/>
          <w:szCs w:val="24"/>
        </w:rPr>
        <w:t>actors operate the same way across financial products. That assumption is questionable when two schemes differ as fundamentally as APY and NPS do. A factor that shapes NPS participation may be irrelevant for APY, or vice versa, when the schemes impose diff</w:t>
      </w:r>
      <w:r>
        <w:rPr>
          <w:sz w:val="24"/>
          <w:szCs w:val="24"/>
        </w:rPr>
        <w:t>erent access requirements and decision burdens on would-be subscribers.</w:t>
      </w:r>
    </w:p>
    <w:p w14:paraId="19797D75" w14:textId="13109C21" w:rsidR="00D42B26" w:rsidRPr="00D42B26" w:rsidRDefault="00D42B26" w:rsidP="008C0AEA">
      <w:pPr>
        <w:spacing w:after="240"/>
        <w:jc w:val="both"/>
        <w:rPr>
          <w:color w:val="000000"/>
          <w:sz w:val="24"/>
          <w:szCs w:val="24"/>
        </w:rPr>
      </w:pPr>
      <w:r>
        <w:rPr>
          <w:color w:val="000000"/>
          <w:sz w:val="24"/>
          <w:szCs w:val="24"/>
        </w:rPr>
        <w:t xml:space="preserve">This paper tests that directly. Do banking infrastructure, income, literacy, and female labour force participation predict pension uptake the same way across APY and NPS, or are their effects </w:t>
      </w:r>
      <w:r>
        <w:rPr>
          <w:color w:val="000000"/>
          <w:sz w:val="24"/>
          <w:szCs w:val="24"/>
        </w:rPr>
        <w:lastRenderedPageBreak/>
        <w:t>contingent on how each scheme works? The question matters both for explaining regional disparities and for designing policy. If the answer is that effects are scheme-specific, then a policy tool that works for one scheme may do nothing—or the wrong thing—for the other.</w:t>
      </w:r>
    </w:p>
    <w:p w14:paraId="6D1A0C60" w14:textId="77777777" w:rsidR="00AC063B" w:rsidRDefault="00B6489A">
      <w:pPr>
        <w:spacing w:after="240"/>
        <w:jc w:val="both"/>
        <w:rPr>
          <w:color w:val="000000"/>
          <w:sz w:val="24"/>
          <w:szCs w:val="24"/>
        </w:rPr>
      </w:pPr>
      <w:r>
        <w:rPr>
          <w:sz w:val="24"/>
          <w:szCs w:val="24"/>
        </w:rPr>
        <w:t xml:space="preserve">This is the first state-level regression evidence that standard determinants of pension participation operate differently across APY and NPS, and that access constraints are contingent on scheme design rather than fixed properties of </w:t>
      </w:r>
      <w:r>
        <w:rPr>
          <w:sz w:val="24"/>
          <w:szCs w:val="24"/>
        </w:rPr>
        <w:t>a state’s infrastructure.</w:t>
      </w:r>
    </w:p>
    <w:p w14:paraId="6A89B5A0" w14:textId="207BC2F1" w:rsidR="00EA0D9A" w:rsidRPr="008C4FCA" w:rsidRDefault="00B6489A" w:rsidP="00D42B26">
      <w:pPr>
        <w:spacing w:before="360" w:after="160"/>
        <w:jc w:val="both"/>
        <w:rPr>
          <w:color w:val="000000"/>
          <w:sz w:val="24"/>
          <w:szCs w:val="24"/>
        </w:rPr>
      </w:pPr>
      <w:r>
        <w:rPr>
          <w:b/>
          <w:bCs/>
          <w:color w:val="1A3A5C"/>
          <w:sz w:val="28"/>
          <w:szCs w:val="28"/>
        </w:rPr>
        <w:t>2. Review of Literature</w:t>
      </w:r>
    </w:p>
    <w:p w14:paraId="400998C9" w14:textId="13B367D9" w:rsidR="00EA0D9A" w:rsidRPr="00E5345C" w:rsidRDefault="00B6489A">
      <w:pPr>
        <w:spacing w:before="280" w:after="120"/>
        <w:rPr>
          <w:sz w:val="25"/>
          <w:szCs w:val="25"/>
        </w:rPr>
      </w:pPr>
      <w:r>
        <w:rPr>
          <w:b/>
          <w:bCs/>
          <w:color w:val="1A3A5C"/>
          <w:sz w:val="25"/>
          <w:szCs w:val="25"/>
        </w:rPr>
        <w:t>2.1 Pension Coverage and Structural Constraints</w:t>
      </w:r>
    </w:p>
    <w:p w14:paraId="3EF8E247" w14:textId="77777777" w:rsidR="00AC063B" w:rsidRDefault="00B6489A">
      <w:pPr>
        <w:spacing w:before="120" w:after="120" w:line="276" w:lineRule="auto"/>
        <w:ind w:firstLine="720"/>
        <w:jc w:val="both"/>
      </w:pPr>
      <w:r>
        <w:rPr>
          <w:sz w:val="24"/>
          <w:szCs w:val="24"/>
        </w:rPr>
        <w:t>Voluntary, contribution-based systems like NPS structurally exclude informal-sector workers because they lack auto-enrolment and distribution support; APY was</w:t>
      </w:r>
      <w:r>
        <w:rPr>
          <w:sz w:val="24"/>
          <w:szCs w:val="24"/>
        </w:rPr>
        <w:t xml:space="preserve"> designed to address these gaps through auto-debit and Jan Dhan integration (Sane and Thomas, 2015; Bhatia and Mahajan, 2022). Income, literacy, and banking access are established demand-side predictors of participation.</w:t>
      </w:r>
    </w:p>
    <w:p w14:paraId="3E279B68" w14:textId="77777777" w:rsidR="00AC063B" w:rsidRDefault="00B6489A">
      <w:pPr>
        <w:jc w:val="both"/>
        <w:rPr>
          <w:sz w:val="24"/>
          <w:szCs w:val="24"/>
        </w:rPr>
      </w:pPr>
      <w:r>
        <w:rPr>
          <w:sz w:val="24"/>
          <w:szCs w:val="24"/>
        </w:rPr>
        <w:t>APY enrolment positively impacts fo</w:t>
      </w:r>
      <w:r>
        <w:rPr>
          <w:sz w:val="24"/>
          <w:szCs w:val="24"/>
        </w:rPr>
        <w:t>rmal retirement savings, with marginalised populations more likely to enrol (</w:t>
      </w:r>
      <w:proofErr w:type="spellStart"/>
      <w:r>
        <w:rPr>
          <w:sz w:val="24"/>
          <w:szCs w:val="24"/>
        </w:rPr>
        <w:t>Rooj</w:t>
      </w:r>
      <w:proofErr w:type="spellEnd"/>
      <w:r>
        <w:rPr>
          <w:sz w:val="24"/>
          <w:szCs w:val="24"/>
        </w:rPr>
        <w:t xml:space="preserve"> and </w:t>
      </w:r>
      <w:proofErr w:type="spellStart"/>
      <w:r>
        <w:rPr>
          <w:sz w:val="24"/>
          <w:szCs w:val="24"/>
        </w:rPr>
        <w:t>Sengupta</w:t>
      </w:r>
      <w:proofErr w:type="spellEnd"/>
      <w:r>
        <w:rPr>
          <w:sz w:val="24"/>
          <w:szCs w:val="24"/>
        </w:rPr>
        <w:t>, 2025). This motivates examining what state-level conditions are associated with aggregate penetration.</w:t>
      </w:r>
    </w:p>
    <w:p w14:paraId="168716C5" w14:textId="524D95D1" w:rsidR="00EA0D9A" w:rsidRPr="00E5345C" w:rsidRDefault="00B6489A">
      <w:pPr>
        <w:spacing w:before="280" w:after="120"/>
        <w:rPr>
          <w:sz w:val="25"/>
          <w:szCs w:val="25"/>
        </w:rPr>
      </w:pPr>
      <w:r>
        <w:rPr>
          <w:b/>
          <w:bCs/>
          <w:color w:val="1A3A5C"/>
          <w:sz w:val="25"/>
          <w:szCs w:val="25"/>
        </w:rPr>
        <w:t>2.2 Financial Infrastructure and Access</w:t>
      </w:r>
    </w:p>
    <w:p w14:paraId="73047F4E" w14:textId="77777777" w:rsidR="00AC063B" w:rsidRDefault="00B6489A">
      <w:pPr>
        <w:spacing w:before="120" w:after="120" w:line="276" w:lineRule="auto"/>
        <w:ind w:firstLine="720"/>
        <w:jc w:val="both"/>
        <w:rPr>
          <w:color w:val="000000"/>
          <w:sz w:val="24"/>
          <w:szCs w:val="24"/>
        </w:rPr>
      </w:pPr>
      <w:r>
        <w:rPr>
          <w:sz w:val="24"/>
          <w:szCs w:val="24"/>
        </w:rPr>
        <w:t>Branch density is</w:t>
      </w:r>
      <w:r>
        <w:rPr>
          <w:sz w:val="24"/>
          <w:szCs w:val="24"/>
        </w:rPr>
        <w:t xml:space="preserve"> the strongest predictor of cross-state financial inclusion variation in India (Sarma and Pais, 2011; Burgess and Pande, 2005), a pattern confirmed for 2000–2020 and aligned with the NPS penetration gradient documented here (</w:t>
      </w:r>
      <w:proofErr w:type="spellStart"/>
      <w:r>
        <w:rPr>
          <w:sz w:val="24"/>
          <w:szCs w:val="24"/>
        </w:rPr>
        <w:t>Annemalla</w:t>
      </w:r>
      <w:proofErr w:type="spellEnd"/>
      <w:r>
        <w:rPr>
          <w:sz w:val="24"/>
          <w:szCs w:val="24"/>
        </w:rPr>
        <w:t xml:space="preserve"> and </w:t>
      </w:r>
      <w:proofErr w:type="spellStart"/>
      <w:r>
        <w:rPr>
          <w:sz w:val="24"/>
          <w:szCs w:val="24"/>
        </w:rPr>
        <w:t>Kasturi</w:t>
      </w:r>
      <w:proofErr w:type="spellEnd"/>
      <w:r>
        <w:rPr>
          <w:sz w:val="24"/>
          <w:szCs w:val="24"/>
        </w:rPr>
        <w:t>, 2025; Ag</w:t>
      </w:r>
      <w:r>
        <w:rPr>
          <w:sz w:val="24"/>
          <w:szCs w:val="24"/>
        </w:rPr>
        <w:t xml:space="preserve">arwala, Maity, and Sahu, 2024). However, none of this literature accounts for the fact that not all products require branch access equally. NPS requires a registered point of presence; APY enrols through existing Jan Dhan accounts and SHG facilitators. If </w:t>
      </w:r>
      <w:r>
        <w:rPr>
          <w:sz w:val="24"/>
          <w:szCs w:val="24"/>
        </w:rPr>
        <w:t>that distinction holds, bank density should be associated with NPS participation but not APY. That is what H1 tests.</w:t>
      </w:r>
    </w:p>
    <w:p w14:paraId="45A086C0" w14:textId="77777777" w:rsidR="00AC063B" w:rsidRDefault="00AC063B">
      <w:pPr>
        <w:spacing w:before="120" w:after="120" w:line="276" w:lineRule="auto"/>
        <w:ind w:firstLine="720"/>
        <w:jc w:val="both"/>
      </w:pPr>
    </w:p>
    <w:p w14:paraId="73408C3E" w14:textId="7923CE45" w:rsidR="00EA0D9A" w:rsidRPr="00E5345C" w:rsidRDefault="00B6489A">
      <w:pPr>
        <w:spacing w:before="280" w:after="120"/>
        <w:rPr>
          <w:sz w:val="25"/>
          <w:szCs w:val="25"/>
        </w:rPr>
      </w:pPr>
      <w:r>
        <w:rPr>
          <w:b/>
          <w:bCs/>
          <w:color w:val="1A3A5C"/>
          <w:sz w:val="25"/>
          <w:szCs w:val="25"/>
        </w:rPr>
        <w:t>2.3 Gender Gaps in Pension Participation</w:t>
      </w:r>
    </w:p>
    <w:p w14:paraId="53955B94" w14:textId="77777777" w:rsidR="00AC063B" w:rsidRDefault="00B6489A">
      <w:pPr>
        <w:spacing w:before="120" w:after="120" w:line="276" w:lineRule="auto"/>
        <w:ind w:firstLine="720"/>
        <w:jc w:val="both"/>
        <w:rPr>
          <w:color w:val="000000"/>
          <w:sz w:val="24"/>
          <w:szCs w:val="24"/>
        </w:rPr>
      </w:pPr>
      <w:r>
        <w:rPr>
          <w:sz w:val="24"/>
          <w:szCs w:val="24"/>
        </w:rPr>
        <w:t>Women’s underrepresentation in NPS reflects structural constraints: limited formal-sector employm</w:t>
      </w:r>
      <w:r>
        <w:rPr>
          <w:sz w:val="24"/>
          <w:szCs w:val="24"/>
        </w:rPr>
        <w:t>ent, the gender wage gap, and constrained household financial autonomy (Mohanty and Behera, 2022). In India, only 9.8% of rural women are financially literate versus 28.3% of rural men (Bansal and Kaur, 2024). These barriers map directly onto the predictor</w:t>
      </w:r>
      <w:r>
        <w:rPr>
          <w:sz w:val="24"/>
          <w:szCs w:val="24"/>
        </w:rPr>
        <w:t>s tested here.</w:t>
      </w:r>
    </w:p>
    <w:p w14:paraId="6181F96A" w14:textId="77777777" w:rsidR="00AC063B" w:rsidRDefault="00B6489A">
      <w:pPr>
        <w:spacing w:before="120" w:after="120" w:line="276" w:lineRule="auto"/>
        <w:ind w:firstLine="720"/>
        <w:jc w:val="both"/>
      </w:pPr>
      <w:r>
        <w:rPr>
          <w:sz w:val="24"/>
          <w:szCs w:val="24"/>
        </w:rPr>
        <w:t xml:space="preserve">APY shows higher female participation, attributed to SHG integration and simplified enrolment (Bhatia and Mahajan, 2022; </w:t>
      </w:r>
      <w:proofErr w:type="spellStart"/>
      <w:r>
        <w:rPr>
          <w:sz w:val="24"/>
          <w:szCs w:val="24"/>
        </w:rPr>
        <w:t>Duvendack</w:t>
      </w:r>
      <w:proofErr w:type="spellEnd"/>
      <w:r>
        <w:rPr>
          <w:sz w:val="24"/>
          <w:szCs w:val="24"/>
        </w:rPr>
        <w:t xml:space="preserve">, </w:t>
      </w:r>
      <w:proofErr w:type="spellStart"/>
      <w:r>
        <w:rPr>
          <w:sz w:val="24"/>
          <w:szCs w:val="24"/>
        </w:rPr>
        <w:t>Sonne</w:t>
      </w:r>
      <w:proofErr w:type="spellEnd"/>
      <w:r>
        <w:rPr>
          <w:sz w:val="24"/>
          <w:szCs w:val="24"/>
        </w:rPr>
        <w:t xml:space="preserve">, and </w:t>
      </w:r>
      <w:proofErr w:type="spellStart"/>
      <w:r>
        <w:rPr>
          <w:sz w:val="24"/>
          <w:szCs w:val="24"/>
        </w:rPr>
        <w:t>Garikipati</w:t>
      </w:r>
      <w:proofErr w:type="spellEnd"/>
      <w:r>
        <w:rPr>
          <w:sz w:val="24"/>
          <w:szCs w:val="24"/>
        </w:rPr>
        <w:t>, 2023). Whether this design has broken the link between formal employment and female en</w:t>
      </w:r>
      <w:r>
        <w:rPr>
          <w:sz w:val="24"/>
          <w:szCs w:val="24"/>
        </w:rPr>
        <w:t>rolment is what H3 tests.</w:t>
      </w:r>
    </w:p>
    <w:p w14:paraId="66E85565" w14:textId="7099A364" w:rsidR="00EA0D9A" w:rsidRPr="00E5345C" w:rsidRDefault="00B6489A">
      <w:pPr>
        <w:spacing w:before="280" w:after="120"/>
        <w:rPr>
          <w:sz w:val="25"/>
          <w:szCs w:val="25"/>
        </w:rPr>
      </w:pPr>
      <w:r>
        <w:rPr>
          <w:b/>
          <w:bCs/>
          <w:color w:val="1A3A5C"/>
          <w:sz w:val="25"/>
          <w:szCs w:val="25"/>
        </w:rPr>
        <w:t>2.4 Literacy, Behaviour, and Pension Decisions</w:t>
      </w:r>
    </w:p>
    <w:p w14:paraId="4F0477A7" w14:textId="77777777" w:rsidR="00AC063B" w:rsidRDefault="00B6489A">
      <w:pPr>
        <w:spacing w:before="120" w:after="120" w:line="276" w:lineRule="auto"/>
        <w:ind w:firstLine="720"/>
        <w:jc w:val="both"/>
        <w:rPr>
          <w:color w:val="000000"/>
          <w:sz w:val="24"/>
          <w:szCs w:val="24"/>
        </w:rPr>
      </w:pPr>
      <w:r>
        <w:rPr>
          <w:sz w:val="24"/>
          <w:szCs w:val="24"/>
        </w:rPr>
        <w:lastRenderedPageBreak/>
        <w:t>Financial literacy is a well-established predictor of retirement savings participation, particularly in schemes requiring active decision-making (Lusardi and Mitchell, 2014). In India</w:t>
      </w:r>
      <w:r>
        <w:rPr>
          <w:sz w:val="24"/>
          <w:szCs w:val="24"/>
        </w:rPr>
        <w:t>, this association is driven largely by men and upper-wealth quintiles, and is amplified by digital financial literacy (</w:t>
      </w:r>
      <w:proofErr w:type="spellStart"/>
      <w:r>
        <w:rPr>
          <w:sz w:val="24"/>
          <w:szCs w:val="24"/>
        </w:rPr>
        <w:t>Khandelwal</w:t>
      </w:r>
      <w:proofErr w:type="spellEnd"/>
      <w:r>
        <w:rPr>
          <w:sz w:val="24"/>
          <w:szCs w:val="24"/>
        </w:rPr>
        <w:t xml:space="preserve">, </w:t>
      </w:r>
      <w:proofErr w:type="spellStart"/>
      <w:r>
        <w:rPr>
          <w:sz w:val="24"/>
          <w:szCs w:val="24"/>
        </w:rPr>
        <w:t>Vajjala</w:t>
      </w:r>
      <w:proofErr w:type="spellEnd"/>
      <w:r>
        <w:rPr>
          <w:sz w:val="24"/>
          <w:szCs w:val="24"/>
        </w:rPr>
        <w:t xml:space="preserve">, and </w:t>
      </w:r>
      <w:proofErr w:type="spellStart"/>
      <w:r>
        <w:rPr>
          <w:sz w:val="24"/>
          <w:szCs w:val="24"/>
        </w:rPr>
        <w:t>Tagat</w:t>
      </w:r>
      <w:proofErr w:type="spellEnd"/>
      <w:r>
        <w:rPr>
          <w:sz w:val="24"/>
          <w:szCs w:val="24"/>
        </w:rPr>
        <w:t>, 2025; Pandey, Wadhawan, and Kiran, 2026). APY’s simplified structure reduces the literacy threshold; NPS</w:t>
      </w:r>
      <w:r>
        <w:rPr>
          <w:sz w:val="24"/>
          <w:szCs w:val="24"/>
        </w:rPr>
        <w:t>’s market-linked design keeps it high.</w:t>
      </w:r>
    </w:p>
    <w:p w14:paraId="4D4F6391" w14:textId="77777777" w:rsidR="00AC063B" w:rsidRDefault="00B6489A">
      <w:pPr>
        <w:spacing w:before="120" w:after="120" w:line="276" w:lineRule="auto"/>
        <w:ind w:firstLine="720"/>
        <w:jc w:val="both"/>
      </w:pPr>
      <w:r>
        <w:rPr>
          <w:sz w:val="24"/>
          <w:szCs w:val="24"/>
        </w:rPr>
        <w:t xml:space="preserve">Cross-country evidence confirms that literacy effects are conditioned by product complexity (Niu et al., 2020; Xu et al., 2023; Han et al., 2025; Luan et al., 2025; </w:t>
      </w:r>
      <w:proofErr w:type="spellStart"/>
      <w:r>
        <w:rPr>
          <w:sz w:val="24"/>
          <w:szCs w:val="24"/>
        </w:rPr>
        <w:t>Oggero</w:t>
      </w:r>
      <w:proofErr w:type="spellEnd"/>
      <w:r>
        <w:rPr>
          <w:sz w:val="24"/>
          <w:szCs w:val="24"/>
        </w:rPr>
        <w:t xml:space="preserve"> et al., 2023). Literacy matters most where sc</w:t>
      </w:r>
      <w:r>
        <w:rPr>
          <w:sz w:val="24"/>
          <w:szCs w:val="24"/>
        </w:rPr>
        <w:t>hemes impose genuine cognitive demands—the condition that distinguishes NPS from APY. H4 tests this directly.</w:t>
      </w:r>
    </w:p>
    <w:p w14:paraId="5ECA836F" w14:textId="77777777" w:rsidR="00EA0D9A" w:rsidRPr="00E5345C" w:rsidRDefault="00B6489A">
      <w:pPr>
        <w:spacing w:before="280" w:after="120"/>
        <w:rPr>
          <w:sz w:val="25"/>
          <w:szCs w:val="25"/>
        </w:rPr>
      </w:pPr>
      <w:r>
        <w:rPr>
          <w:b/>
          <w:bCs/>
          <w:color w:val="1A3A5C"/>
          <w:sz w:val="25"/>
          <w:szCs w:val="25"/>
        </w:rPr>
        <w:t>2.5 Research Gap</w:t>
      </w:r>
    </w:p>
    <w:p w14:paraId="22A60C88" w14:textId="77777777" w:rsidR="00AC063B" w:rsidRDefault="00B6489A">
      <w:pPr>
        <w:spacing w:before="120" w:after="120" w:line="276" w:lineRule="auto"/>
        <w:ind w:firstLine="720"/>
        <w:jc w:val="both"/>
        <w:rPr>
          <w:color w:val="000000"/>
          <w:sz w:val="24"/>
          <w:szCs w:val="24"/>
        </w:rPr>
      </w:pPr>
      <w:r>
        <w:rPr>
          <w:sz w:val="24"/>
          <w:szCs w:val="24"/>
        </w:rPr>
        <w:t>Banking infrastructure, income, literacy, and labour market conditions are established predictors of financial inclusion and pens</w:t>
      </w:r>
      <w:r>
        <w:rPr>
          <w:sz w:val="24"/>
          <w:szCs w:val="24"/>
        </w:rPr>
        <w:t xml:space="preserve">ion uptake (Sarma and Pais, 2011; Gupte et al., 2012; Mohanty and Behera, 2022). APY and NPS are documented to differ in population served and determinants of uptake (Bhatia and Mahajan, 2022; Sane and Thomas, 2015; </w:t>
      </w:r>
      <w:proofErr w:type="spellStart"/>
      <w:r>
        <w:rPr>
          <w:sz w:val="24"/>
          <w:szCs w:val="24"/>
        </w:rPr>
        <w:t>Verberi</w:t>
      </w:r>
      <w:proofErr w:type="spellEnd"/>
      <w:r>
        <w:rPr>
          <w:sz w:val="24"/>
          <w:szCs w:val="24"/>
        </w:rPr>
        <w:t xml:space="preserve"> and Kaplan, 2025; Xia et al., 20</w:t>
      </w:r>
      <w:r>
        <w:rPr>
          <w:sz w:val="24"/>
          <w:szCs w:val="24"/>
        </w:rPr>
        <w:t>25). What the literature lacks is a test of whether the same factors operate differently across both schemes in a unified framework. The question is not which factors matter—it is under what institutional conditions they matter.</w:t>
      </w:r>
    </w:p>
    <w:p w14:paraId="67C1B919" w14:textId="77777777" w:rsidR="00AC063B" w:rsidRDefault="00AC063B">
      <w:pPr>
        <w:spacing w:before="120" w:after="120" w:line="276" w:lineRule="auto"/>
        <w:ind w:firstLine="720"/>
        <w:jc w:val="both"/>
        <w:rPr>
          <w:color w:val="000000"/>
          <w:sz w:val="24"/>
          <w:szCs w:val="24"/>
        </w:rPr>
      </w:pPr>
    </w:p>
    <w:p w14:paraId="1A7B5E5A" w14:textId="34DA4E63" w:rsidR="00EA0D9A" w:rsidRPr="00E5345C" w:rsidRDefault="00B6489A" w:rsidP="00B0688A">
      <w:pPr>
        <w:spacing w:before="120" w:after="120" w:line="276" w:lineRule="auto"/>
        <w:jc w:val="both"/>
        <w:rPr>
          <w:sz w:val="25"/>
          <w:szCs w:val="25"/>
        </w:rPr>
      </w:pPr>
      <w:r>
        <w:rPr>
          <w:b/>
          <w:bCs/>
          <w:color w:val="1A3A5C"/>
          <w:sz w:val="25"/>
          <w:szCs w:val="25"/>
        </w:rPr>
        <w:t>2.6 Theoretical Framework</w:t>
      </w:r>
    </w:p>
    <w:p w14:paraId="1CB659C7" w14:textId="77777777" w:rsidR="00AC063B" w:rsidRDefault="00B6489A">
      <w:pPr>
        <w:spacing w:before="120" w:after="120" w:line="276" w:lineRule="auto"/>
        <w:ind w:firstLine="720"/>
        <w:jc w:val="both"/>
      </w:pPr>
      <w:r>
        <w:rPr>
          <w:sz w:val="24"/>
          <w:szCs w:val="24"/>
        </w:rPr>
        <w:t>Two theoretical frameworks guide the analysis. Supply-side financial inclusion theory holds that access to financial products depends primarily on the physical availability of delivery infrastructure (Claessens, 2006; Sarma and Pais, 2011). Applied here: N</w:t>
      </w:r>
      <w:r>
        <w:rPr>
          <w:sz w:val="24"/>
          <w:szCs w:val="24"/>
        </w:rPr>
        <w:t>PS requires a registered point of presence; APY enrols through existing Jan Dhan accounts. Branch density should therefore be associated with NPS uptake but not APY’s. H1 follows.</w:t>
      </w:r>
    </w:p>
    <w:p w14:paraId="7D8A6A07" w14:textId="77777777" w:rsidR="001C3200" w:rsidRDefault="00B6489A">
      <w:pPr>
        <w:jc w:val="center"/>
      </w:pPr>
      <w:r>
        <w:rPr>
          <w:noProof/>
        </w:rPr>
        <w:lastRenderedPageBreak/>
        <w:drawing>
          <wp:inline distT="0" distB="0" distL="0" distR="0" wp14:anchorId="127767F5" wp14:editId="3B195DD3">
            <wp:extent cx="5256291" cy="3848637"/>
            <wp:effectExtent l="0" t="0" r="1905" b="0"/>
            <wp:docPr id="1001" name="Figure3"/>
            <wp:cNvGraphicFramePr/>
            <a:graphic xmlns:a="http://schemas.openxmlformats.org/drawingml/2006/main">
              <a:graphicData uri="http://schemas.openxmlformats.org/drawingml/2006/picture">
                <pic:pic xmlns:pic="http://schemas.openxmlformats.org/drawingml/2006/picture">
                  <pic:nvPicPr>
                    <pic:cNvPr id="1001" name="Figure3"/>
                    <pic:cNvPicPr/>
                  </pic:nvPicPr>
                  <pic:blipFill rotWithShape="1">
                    <a:blip r:embed="rId7"/>
                    <a:srcRect t="7988"/>
                    <a:stretch>
                      <a:fillRect/>
                    </a:stretch>
                  </pic:blipFill>
                  <pic:spPr bwMode="auto">
                    <a:xfrm>
                      <a:off x="0" y="0"/>
                      <a:ext cx="5501232" cy="4027982"/>
                    </a:xfrm>
                    <a:prstGeom prst="rect">
                      <a:avLst/>
                    </a:prstGeom>
                    <a:ln>
                      <a:noFill/>
                    </a:ln>
                    <a:extLst>
                      <a:ext uri="{53640926-AAD7-44D8-BBD7-CCE9431645EC}">
                        <a14:shadowObscured xmlns:a14="http://schemas.microsoft.com/office/drawing/2010/main"/>
                      </a:ext>
                    </a:extLst>
                  </pic:spPr>
                </pic:pic>
              </a:graphicData>
            </a:graphic>
          </wp:inline>
        </w:drawing>
      </w:r>
    </w:p>
    <w:p w14:paraId="71083CEC" w14:textId="40E1162A" w:rsidR="009D47EB" w:rsidRPr="009D47EB" w:rsidRDefault="00B6489A" w:rsidP="009D47EB">
      <w:pPr>
        <w:jc w:val="center"/>
        <w:rPr>
          <w:b/>
          <w:bCs/>
          <w:i/>
          <w:iCs/>
          <w:sz w:val="22"/>
          <w:szCs w:val="22"/>
        </w:rPr>
      </w:pPr>
      <w:r>
        <w:rPr>
          <w:b/>
          <w:bCs/>
          <w:i/>
          <w:iCs/>
          <w:sz w:val="22"/>
          <w:szCs w:val="22"/>
        </w:rPr>
        <w:t>Figure 1: Conceptual Framework. State socioeconomic conditions → Financial</w:t>
      </w:r>
      <w:r>
        <w:rPr>
          <w:b/>
          <w:bCs/>
          <w:i/>
          <w:iCs/>
          <w:sz w:val="22"/>
          <w:szCs w:val="22"/>
        </w:rPr>
        <w:t xml:space="preserve"> infrastructure → Access constraints [scheme design moderates’ pathway] → Participation outcomes. Solid arrows represent hypothesised primary pathways; dashed arrows indicate scheme design moderation; dotted arrows represent direct socioeconomic effects. H</w:t>
      </w:r>
      <w:r>
        <w:rPr>
          <w:b/>
          <w:bCs/>
          <w:i/>
          <w:iCs/>
          <w:sz w:val="22"/>
          <w:szCs w:val="22"/>
        </w:rPr>
        <w:t xml:space="preserve"> labels indicate hypotheses tested at each pathway.</w:t>
      </w:r>
    </w:p>
    <w:p w14:paraId="42128096" w14:textId="770C7EB7" w:rsidR="001C3200" w:rsidRPr="009D47EB" w:rsidRDefault="00B6489A" w:rsidP="009D47EB">
      <w:pPr>
        <w:rPr>
          <w:b/>
          <w:bCs/>
          <w:sz w:val="22"/>
          <w:szCs w:val="22"/>
        </w:rPr>
      </w:pPr>
      <w:r>
        <w:rPr>
          <w:b/>
          <w:bCs/>
          <w:sz w:val="22"/>
          <w:szCs w:val="22"/>
        </w:rPr>
        <w:t>Source: Authors’ calculations.</w:t>
      </w:r>
    </w:p>
    <w:p w14:paraId="5A476744" w14:textId="77777777" w:rsidR="00AC063B" w:rsidRDefault="00B6489A">
      <w:pPr>
        <w:spacing w:before="120" w:after="120" w:line="276" w:lineRule="auto"/>
        <w:ind w:firstLine="720"/>
        <w:jc w:val="both"/>
      </w:pPr>
      <w:r>
        <w:rPr>
          <w:sz w:val="24"/>
          <w:szCs w:val="24"/>
        </w:rPr>
        <w:t xml:space="preserve">Financial knowledge and literacy raise participation in schemes requiring active decision-making (Becker, 1964; Lusardi and Mitchell, 2014). NPS—requiring active fund </w:t>
      </w:r>
      <w:r>
        <w:rPr>
          <w:sz w:val="24"/>
          <w:szCs w:val="24"/>
        </w:rPr>
        <w:t>selection and ongoing contribution management—creates a genuine knowledge barrier. APY, with a fixed guaranteed benefit and no investment decision, does not. H4 follows. Together, the frameworks generate scheme-specific predictions: identical structural co</w:t>
      </w:r>
      <w:r>
        <w:rPr>
          <w:sz w:val="24"/>
          <w:szCs w:val="24"/>
        </w:rPr>
        <w:t>nditions should produce different outcomes because the two schemes impose different demands on subscribers.</w:t>
      </w:r>
    </w:p>
    <w:p w14:paraId="3B54363F" w14:textId="77777777" w:rsidR="00EA0D9A" w:rsidRDefault="00B6489A">
      <w:pPr>
        <w:spacing w:before="360" w:after="160"/>
      </w:pPr>
      <w:r>
        <w:rPr>
          <w:b/>
          <w:bCs/>
          <w:color w:val="1A3A5C"/>
          <w:sz w:val="28"/>
          <w:szCs w:val="28"/>
        </w:rPr>
        <w:t>3. Hypotheses</w:t>
      </w:r>
    </w:p>
    <w:p w14:paraId="28B1DACA" w14:textId="77777777" w:rsidR="00EA0D9A" w:rsidRDefault="00B6489A">
      <w:pPr>
        <w:spacing w:before="120" w:after="120" w:line="276" w:lineRule="auto"/>
        <w:ind w:firstLine="720"/>
        <w:jc w:val="both"/>
      </w:pPr>
      <w:r>
        <w:rPr>
          <w:color w:val="000000"/>
          <w:sz w:val="24"/>
          <w:szCs w:val="24"/>
        </w:rPr>
        <w:t xml:space="preserve">Four testable hypotheses are derived from the reviewed literature. Each hypothesis explicitly distinguishes between APY and NPS based </w:t>
      </w:r>
      <w:r>
        <w:rPr>
          <w:color w:val="000000"/>
          <w:sz w:val="24"/>
          <w:szCs w:val="24"/>
        </w:rPr>
        <w:t>on their design differences.</w:t>
      </w:r>
    </w:p>
    <w:p w14:paraId="3E132200" w14:textId="77777777" w:rsidR="00AC063B" w:rsidRDefault="00B6489A">
      <w:pPr>
        <w:spacing w:before="100" w:after="40" w:line="276" w:lineRule="auto"/>
        <w:ind w:firstLine="720"/>
        <w:jc w:val="both"/>
      </w:pPr>
      <w:r>
        <w:rPr>
          <w:b/>
          <w:bCs/>
          <w:sz w:val="24"/>
          <w:szCs w:val="24"/>
        </w:rPr>
        <w:t>H1a: Banking infrastructure density is positively associated with NPS penetration across Indian states.</w:t>
      </w:r>
    </w:p>
    <w:p w14:paraId="67CDBC98" w14:textId="77777777" w:rsidR="00AC063B" w:rsidRDefault="00B6489A">
      <w:pPr>
        <w:spacing w:before="100" w:after="40" w:line="276" w:lineRule="auto"/>
        <w:ind w:firstLine="720"/>
        <w:jc w:val="both"/>
      </w:pPr>
      <w:r>
        <w:rPr>
          <w:b/>
          <w:bCs/>
          <w:sz w:val="24"/>
          <w:szCs w:val="24"/>
        </w:rPr>
        <w:t>H1b: The association between banking infrastructure density and APY penetration is statistically weaker than for NPS.</w:t>
      </w:r>
    </w:p>
    <w:p w14:paraId="1A5B45EE" w14:textId="77777777" w:rsidR="00AC063B" w:rsidRDefault="00B6489A">
      <w:pPr>
        <w:spacing w:before="60" w:after="40" w:line="276" w:lineRule="auto"/>
        <w:ind w:firstLine="720"/>
        <w:jc w:val="both"/>
      </w:pPr>
      <w:r>
        <w:rPr>
          <w:b/>
          <w:bCs/>
          <w:sz w:val="24"/>
          <w:szCs w:val="24"/>
        </w:rPr>
        <w:t xml:space="preserve">H2a: </w:t>
      </w:r>
      <w:r>
        <w:rPr>
          <w:b/>
          <w:bCs/>
          <w:sz w:val="24"/>
          <w:szCs w:val="24"/>
        </w:rPr>
        <w:t>Per-capita income is positively associated with NPS penetration.</w:t>
      </w:r>
    </w:p>
    <w:p w14:paraId="357D5F50" w14:textId="77777777" w:rsidR="00AC063B" w:rsidRDefault="00B6489A">
      <w:pPr>
        <w:spacing w:before="60" w:after="40" w:line="276" w:lineRule="auto"/>
        <w:ind w:firstLine="720"/>
        <w:jc w:val="both"/>
      </w:pPr>
      <w:r>
        <w:rPr>
          <w:b/>
          <w:bCs/>
          <w:sz w:val="24"/>
          <w:szCs w:val="24"/>
        </w:rPr>
        <w:lastRenderedPageBreak/>
        <w:t>H2b: Per-capita income shows no significant association with APY penetration.</w:t>
      </w:r>
    </w:p>
    <w:p w14:paraId="66BB87D8" w14:textId="77777777" w:rsidR="00AC063B" w:rsidRDefault="00B6489A">
      <w:pPr>
        <w:spacing w:before="60" w:after="40" w:line="276" w:lineRule="auto"/>
        <w:ind w:firstLine="720"/>
        <w:jc w:val="both"/>
      </w:pPr>
      <w:r>
        <w:rPr>
          <w:b/>
          <w:bCs/>
          <w:sz w:val="24"/>
          <w:szCs w:val="24"/>
        </w:rPr>
        <w:t>H3a: Female labour force participation rate is positively associated with female participation in NPS.</w:t>
      </w:r>
    </w:p>
    <w:p w14:paraId="7BBBD6D7" w14:textId="77777777" w:rsidR="00AC063B" w:rsidRDefault="00B6489A">
      <w:pPr>
        <w:spacing w:before="60" w:after="40" w:line="276" w:lineRule="auto"/>
        <w:ind w:firstLine="720"/>
        <w:jc w:val="both"/>
      </w:pPr>
      <w:r>
        <w:rPr>
          <w:b/>
          <w:bCs/>
          <w:sz w:val="24"/>
          <w:szCs w:val="24"/>
        </w:rPr>
        <w:t>H3b: The a</w:t>
      </w:r>
      <w:r>
        <w:rPr>
          <w:b/>
          <w:bCs/>
          <w:sz w:val="24"/>
          <w:szCs w:val="24"/>
        </w:rPr>
        <w:t>ssociation between female LFPR and female APY participation is weaker than for NPS.</w:t>
      </w:r>
    </w:p>
    <w:p w14:paraId="7C8ED350" w14:textId="77777777" w:rsidR="00AC063B" w:rsidRDefault="00B6489A">
      <w:pPr>
        <w:spacing w:before="60" w:after="40" w:line="276" w:lineRule="auto"/>
        <w:ind w:firstLine="720"/>
        <w:jc w:val="both"/>
      </w:pPr>
      <w:r>
        <w:rPr>
          <w:b/>
          <w:bCs/>
          <w:sz w:val="24"/>
          <w:szCs w:val="24"/>
        </w:rPr>
        <w:t>H4a: State literacy rate is positively associated with female participation in NPS All Citizens.</w:t>
      </w:r>
    </w:p>
    <w:p w14:paraId="6304167D" w14:textId="77777777" w:rsidR="00AC063B" w:rsidRDefault="00B6489A">
      <w:pPr>
        <w:spacing w:before="60" w:after="40" w:line="276" w:lineRule="auto"/>
        <w:ind w:firstLine="720"/>
        <w:jc w:val="both"/>
      </w:pPr>
      <w:r>
        <w:rPr>
          <w:b/>
          <w:bCs/>
          <w:sz w:val="24"/>
          <w:szCs w:val="24"/>
        </w:rPr>
        <w:t>H4b: State literacy rate shows no significant association with female APY p</w:t>
      </w:r>
      <w:r>
        <w:rPr>
          <w:b/>
          <w:bCs/>
          <w:sz w:val="24"/>
          <w:szCs w:val="24"/>
        </w:rPr>
        <w:t>articipation.</w:t>
      </w:r>
    </w:p>
    <w:p w14:paraId="5B98F41F" w14:textId="77777777" w:rsidR="00EA0D9A" w:rsidRDefault="00B6489A">
      <w:pPr>
        <w:spacing w:before="360" w:after="160"/>
      </w:pPr>
      <w:r>
        <w:rPr>
          <w:b/>
          <w:bCs/>
          <w:color w:val="1A3A5C"/>
          <w:sz w:val="28"/>
          <w:szCs w:val="28"/>
        </w:rPr>
        <w:t>4. Research Methodology</w:t>
      </w:r>
    </w:p>
    <w:p w14:paraId="15DA316A" w14:textId="77777777" w:rsidR="00EA0D9A" w:rsidRPr="00E5345C" w:rsidRDefault="00B6489A">
      <w:pPr>
        <w:spacing w:before="280" w:after="120"/>
        <w:rPr>
          <w:sz w:val="25"/>
          <w:szCs w:val="25"/>
        </w:rPr>
      </w:pPr>
      <w:r>
        <w:rPr>
          <w:b/>
          <w:bCs/>
          <w:color w:val="1A3A5C"/>
          <w:sz w:val="25"/>
          <w:szCs w:val="25"/>
        </w:rPr>
        <w:t>4.1 Research Design and Data Sources</w:t>
      </w:r>
    </w:p>
    <w:p w14:paraId="2F4CFF4B" w14:textId="77777777" w:rsidR="00AC063B" w:rsidRDefault="00B6489A">
      <w:pPr>
        <w:spacing w:before="280" w:after="120"/>
        <w:jc w:val="both"/>
        <w:rPr>
          <w:color w:val="000000"/>
          <w:sz w:val="24"/>
          <w:szCs w:val="24"/>
        </w:rPr>
      </w:pPr>
      <w:r>
        <w:rPr>
          <w:sz w:val="24"/>
          <w:szCs w:val="24"/>
        </w:rPr>
        <w:t>This study uses cross-sectional data averaged over 2019–20 to 2024–25 for 35 Indian states and Union Territories. A cross-sectional design is used because key predictors (RBI FI Ind</w:t>
      </w:r>
      <w:r>
        <w:rPr>
          <w:sz w:val="24"/>
          <w:szCs w:val="24"/>
        </w:rPr>
        <w:t>ex, PLFS LFPR, Census literacy) lack consistent annual coverage across states; six-year averaging reduces year-to-year volatility.</w:t>
      </w:r>
    </w:p>
    <w:p w14:paraId="375E4585" w14:textId="77777777" w:rsidR="00AC063B" w:rsidRDefault="00B6489A">
      <w:pPr>
        <w:spacing w:before="280" w:after="120"/>
        <w:jc w:val="both"/>
        <w:rPr>
          <w:color w:val="000000"/>
          <w:sz w:val="24"/>
          <w:szCs w:val="24"/>
        </w:rPr>
      </w:pPr>
      <w:r>
        <w:rPr>
          <w:sz w:val="24"/>
          <w:szCs w:val="24"/>
        </w:rPr>
        <w:t>Predictor variables are sourced from official databases and reflect the most recently available cross-sectional data at the t</w:t>
      </w:r>
      <w:r>
        <w:rPr>
          <w:sz w:val="24"/>
          <w:szCs w:val="24"/>
        </w:rPr>
        <w:t>ime of analysis. These include bank branch density per 100,000 population (RBI Basic Statistical Returns 2022–23), female labour force participation rate (PLFS 2022–23), literacy rate (Census 2011, updated with NFHS-5 where differences exceed five percenta</w:t>
      </w:r>
      <w:r>
        <w:rPr>
          <w:sz w:val="24"/>
          <w:szCs w:val="24"/>
        </w:rPr>
        <w:t>ge points), per-capita net State Domestic Product (</w:t>
      </w:r>
      <w:proofErr w:type="spellStart"/>
      <w:r>
        <w:rPr>
          <w:sz w:val="24"/>
          <w:szCs w:val="24"/>
        </w:rPr>
        <w:t>MoSPI</w:t>
      </w:r>
      <w:proofErr w:type="spellEnd"/>
      <w:r>
        <w:rPr>
          <w:sz w:val="24"/>
          <w:szCs w:val="24"/>
        </w:rPr>
        <w:t xml:space="preserve"> 2022–23), and the RBI Financial Inclusion Index (2022–23, composite scale 0–100). PLFS female LFPR estimates and </w:t>
      </w:r>
      <w:proofErr w:type="spellStart"/>
      <w:r>
        <w:rPr>
          <w:sz w:val="24"/>
          <w:szCs w:val="24"/>
        </w:rPr>
        <w:t>MoSPI</w:t>
      </w:r>
      <w:proofErr w:type="spellEnd"/>
      <w:r>
        <w:rPr>
          <w:sz w:val="24"/>
          <w:szCs w:val="24"/>
        </w:rPr>
        <w:t xml:space="preserve"> per-capita SDP figures for 2023–24 and 2024–25 were not publicly available for a</w:t>
      </w:r>
      <w:r>
        <w:rPr>
          <w:sz w:val="24"/>
          <w:szCs w:val="24"/>
        </w:rPr>
        <w:t xml:space="preserve">ll states at the time of data compilation; the 2022–23 </w:t>
      </w:r>
      <w:proofErr w:type="gramStart"/>
      <w:r>
        <w:rPr>
          <w:sz w:val="24"/>
          <w:szCs w:val="24"/>
        </w:rPr>
        <w:t>cross-section</w:t>
      </w:r>
      <w:proofErr w:type="gramEnd"/>
      <w:r>
        <w:rPr>
          <w:sz w:val="24"/>
          <w:szCs w:val="24"/>
        </w:rPr>
        <w:t xml:space="preserve"> is therefore used for all predictors. This mismatch between the predictor reference year and the six-year outcome average (2019–20 to 2024–25) is consistent with standard practice in cros</w:t>
      </w:r>
      <w:r>
        <w:rPr>
          <w:sz w:val="24"/>
          <w:szCs w:val="24"/>
        </w:rPr>
        <w:t>s-sectional panel-averaged studies where structural predictors are measured at a single recent reference point.</w:t>
      </w:r>
    </w:p>
    <w:p w14:paraId="0DCB1C69" w14:textId="335436CD" w:rsidR="00EA0D9A" w:rsidRPr="00E5345C" w:rsidRDefault="00B6489A" w:rsidP="0019482A">
      <w:pPr>
        <w:spacing w:before="280" w:after="120"/>
        <w:jc w:val="both"/>
        <w:rPr>
          <w:sz w:val="25"/>
          <w:szCs w:val="25"/>
        </w:rPr>
      </w:pPr>
      <w:r>
        <w:rPr>
          <w:b/>
          <w:bCs/>
          <w:color w:val="1A3A5C"/>
          <w:sz w:val="25"/>
          <w:szCs w:val="25"/>
        </w:rPr>
        <w:t>4.2 Sample Construction and Outlier Treatment</w:t>
      </w:r>
    </w:p>
    <w:p w14:paraId="1EEE1B59" w14:textId="77777777" w:rsidR="00AC063B" w:rsidRDefault="00B6489A">
      <w:pPr>
        <w:spacing w:before="120" w:after="120" w:line="276" w:lineRule="auto"/>
        <w:ind w:firstLine="720"/>
        <w:jc w:val="both"/>
        <w:rPr>
          <w:color w:val="000000"/>
          <w:sz w:val="24"/>
          <w:szCs w:val="24"/>
        </w:rPr>
      </w:pPr>
      <w:r>
        <w:rPr>
          <w:sz w:val="24"/>
          <w:szCs w:val="24"/>
        </w:rPr>
        <w:t>The unit of analysis is the Indian state or Union Territory. Lakshadweep and Dadra and Nagar Havel</w:t>
      </w:r>
      <w:r>
        <w:rPr>
          <w:sz w:val="24"/>
          <w:szCs w:val="24"/>
        </w:rPr>
        <w:t xml:space="preserve">i are excluded—both have populations below 100,000, making their penetration rates unreliable as regression outcomes. Sikkim is excluded as a structural outlier: its APY penetration of 8.13% sits more than three standard deviations above the national mean </w:t>
      </w:r>
      <w:r>
        <w:rPr>
          <w:sz w:val="24"/>
          <w:szCs w:val="24"/>
        </w:rPr>
        <w:t>(0.89%, SD = 0.44%), driven by a small working-age population combined with high administrative coverage. Including it inflates leverage on the regression coefficients; results are robust to its inclusion (available on request), though coefficient stabilit</w:t>
      </w:r>
      <w:r>
        <w:rPr>
          <w:sz w:val="24"/>
          <w:szCs w:val="24"/>
        </w:rPr>
        <w:t>y is reduced. The final sample is N = 35.</w:t>
      </w:r>
    </w:p>
    <w:p w14:paraId="3FB4BE35" w14:textId="77777777" w:rsidR="00AC063B" w:rsidRDefault="00B6489A">
      <w:pPr>
        <w:spacing w:before="120" w:after="120" w:line="276" w:lineRule="auto"/>
        <w:ind w:firstLine="720"/>
        <w:jc w:val="both"/>
        <w:rPr>
          <w:color w:val="000000"/>
          <w:sz w:val="24"/>
          <w:szCs w:val="24"/>
        </w:rPr>
      </w:pPr>
      <w:r>
        <w:rPr>
          <w:sz w:val="24"/>
          <w:szCs w:val="24"/>
        </w:rPr>
        <w:t>With N = 35 and five predictors, statistical power is moderate; non-significant results should be read cautiously as they may reflect insufficient power.</w:t>
      </w:r>
    </w:p>
    <w:p w14:paraId="6BCD1548" w14:textId="77777777" w:rsidR="00EA0D9A" w:rsidRPr="00E5345C" w:rsidRDefault="00B6489A">
      <w:pPr>
        <w:spacing w:before="280" w:after="120"/>
        <w:rPr>
          <w:b/>
          <w:bCs/>
          <w:color w:val="1A3A5C"/>
          <w:sz w:val="25"/>
          <w:szCs w:val="25"/>
        </w:rPr>
      </w:pPr>
      <w:r>
        <w:rPr>
          <w:b/>
          <w:bCs/>
          <w:color w:val="1A3A5C"/>
          <w:sz w:val="25"/>
          <w:szCs w:val="25"/>
        </w:rPr>
        <w:t>4.3 Variable Definitions</w:t>
      </w:r>
    </w:p>
    <w:p w14:paraId="277F8E00" w14:textId="587C2738" w:rsidR="00CE2225" w:rsidRPr="00E5345C" w:rsidRDefault="00CE2225" w:rsidP="00CE2225">
      <w:pPr>
        <w:spacing w:line="276" w:lineRule="auto"/>
        <w:jc w:val="center"/>
        <w:rPr>
          <w:b/>
          <w:bCs/>
          <w:sz w:val="22"/>
          <w:szCs w:val="22"/>
        </w:rPr>
      </w:pPr>
      <w:r>
        <w:rPr>
          <w:b/>
          <w:bCs/>
          <w:color w:val="000000"/>
          <w:sz w:val="22"/>
          <w:szCs w:val="22"/>
        </w:rPr>
        <w:lastRenderedPageBreak/>
        <w:t>Table 1: Variable definitions, operational measures, and data sources</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0"/>
        <w:gridCol w:w="1537"/>
        <w:gridCol w:w="3220"/>
        <w:gridCol w:w="2824"/>
      </w:tblGrid>
      <w:tr w:rsidR="00EA0D9A" w14:paraId="6FEA696A" w14:textId="77777777" w:rsidTr="008C0AEA">
        <w:trPr>
          <w:trHeight w:val="230"/>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35B66969" w14:textId="77777777" w:rsidR="00EA0D9A" w:rsidRDefault="00B6489A" w:rsidP="00CE2225">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31F6BD88" w14:textId="77777777" w:rsidR="00EA0D9A" w:rsidRDefault="00B6489A" w:rsidP="00CE2225">
            <w:pPr>
              <w:jc w:val="center"/>
            </w:pPr>
            <w:r>
              <w:rPr>
                <w:b/>
                <w:bCs/>
                <w:color w:val="FFFFFF"/>
              </w:rPr>
              <w:t>Role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1D1E2D2" w14:textId="77777777" w:rsidR="00EA0D9A" w:rsidRDefault="00B6489A" w:rsidP="00CE2225">
            <w:pPr>
              <w:jc w:val="center"/>
            </w:pPr>
            <w:r>
              <w:rPr>
                <w:b/>
                <w:bCs/>
                <w:color w:val="FFFFFF"/>
              </w:rPr>
              <w:t>Operational Definition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BF77904" w14:textId="77777777" w:rsidR="00EA0D9A" w:rsidRDefault="00B6489A" w:rsidP="00CE2225">
            <w:pPr>
              <w:jc w:val="center"/>
            </w:pPr>
            <w:r>
              <w:rPr>
                <w:b/>
                <w:bCs/>
                <w:color w:val="FFFFFF"/>
              </w:rPr>
              <w:t>Source</w:t>
            </w:r>
          </w:p>
        </w:tc>
      </w:tr>
      <w:tr w:rsidR="00EA0D9A" w14:paraId="4D39DDB3" w14:textId="77777777" w:rsidTr="008C0AEA">
        <w:trPr>
          <w:trHeight w:val="449"/>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EDAF4FB" w14:textId="77777777" w:rsidR="00EA0D9A" w:rsidRDefault="00B6489A">
            <w:r>
              <w:rPr>
                <w:b/>
                <w:bCs/>
                <w:color w:val="000000"/>
              </w:rPr>
              <w:t>APY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F50333" w14:textId="77777777" w:rsidR="00EA0D9A" w:rsidRDefault="00B6489A">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886FFA" w14:textId="4DA8A02F" w:rsidR="00EA0D9A" w:rsidRDefault="00B6489A">
            <w:r>
              <w:rPr>
                <w:color w:val="000000"/>
              </w:rPr>
              <w:t>APY subscribers / working-age population × 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3CA95B" w14:textId="77777777" w:rsidR="00EA0D9A" w:rsidRDefault="00B6489A">
            <w:r>
              <w:rPr>
                <w:color w:val="000000"/>
              </w:rPr>
              <w:t>PFRDA; Census 2011 projections</w:t>
            </w:r>
          </w:p>
        </w:tc>
      </w:tr>
      <w:tr w:rsidR="00EA0D9A" w14:paraId="77CC5C2C"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FFB0D78" w14:textId="77777777" w:rsidR="00EA0D9A" w:rsidRDefault="00B6489A">
            <w:r>
              <w:rPr>
                <w:b/>
                <w:bCs/>
                <w:color w:val="000000"/>
              </w:rPr>
              <w:t>NPS Penetration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D408E96" w14:textId="77777777" w:rsidR="00EA0D9A" w:rsidRDefault="00B6489A">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0AAC9BD" w14:textId="7AC9C321" w:rsidR="00EA0D9A" w:rsidRDefault="00B6489A">
            <w:r>
              <w:rPr>
                <w:color w:val="000000"/>
              </w:rPr>
              <w:t>NPS (</w:t>
            </w:r>
            <w:proofErr w:type="spellStart"/>
            <w:r>
              <w:rPr>
                <w:color w:val="000000"/>
              </w:rPr>
              <w:t>AC+Corp</w:t>
            </w:r>
            <w:proofErr w:type="spellEnd"/>
            <w:r>
              <w:rPr>
                <w:color w:val="000000"/>
              </w:rPr>
              <w:t xml:space="preserve">) subscribers / </w:t>
            </w:r>
            <w:r>
              <w:rPr>
                <w:color w:val="000000"/>
              </w:rPr>
              <w:t>working-age population × 100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30A28CF" w14:textId="77777777" w:rsidR="00EA0D9A" w:rsidRDefault="00B6489A">
            <w:r>
              <w:rPr>
                <w:color w:val="000000"/>
              </w:rPr>
              <w:t>PFRDA; Census 2011 projections</w:t>
            </w:r>
          </w:p>
        </w:tc>
      </w:tr>
      <w:tr w:rsidR="00EA0D9A" w14:paraId="63B585EC"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5F8EF0E" w14:textId="77777777" w:rsidR="00EA0D9A" w:rsidRDefault="00B6489A">
            <w:r>
              <w:rPr>
                <w:b/>
                <w:bCs/>
                <w:color w:val="000000"/>
              </w:rPr>
              <w:t>APY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9F7DBA7" w14:textId="77777777" w:rsidR="00EA0D9A" w:rsidRDefault="00B6489A">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4B28157" w14:textId="77777777" w:rsidR="00EA0D9A" w:rsidRDefault="00B6489A">
            <w:r>
              <w:rPr>
                <w:color w:val="000000"/>
              </w:rPr>
              <w:t>Female APY subscribers / total APY subscribers × 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F18C11F" w14:textId="77777777" w:rsidR="00EA0D9A" w:rsidRDefault="00B6489A">
            <w:r>
              <w:rPr>
                <w:color w:val="000000"/>
              </w:rPr>
              <w:t>PFRDA gender-disaggregated data</w:t>
            </w:r>
          </w:p>
        </w:tc>
      </w:tr>
      <w:tr w:rsidR="00EA0D9A" w14:paraId="088F34C6"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5DF8966" w14:textId="77777777" w:rsidR="00EA0D9A" w:rsidRDefault="00B6489A">
            <w:r>
              <w:rPr>
                <w:b/>
                <w:bCs/>
                <w:color w:val="000000"/>
              </w:rPr>
              <w:t>NPS AC Female Share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BA6DFA7" w14:textId="77777777" w:rsidR="00EA0D9A" w:rsidRDefault="00B6489A">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BDEDC17" w14:textId="77777777" w:rsidR="00EA0D9A" w:rsidRDefault="00B6489A">
            <w:r>
              <w:rPr>
                <w:color w:val="000000"/>
              </w:rPr>
              <w:t>Female NPS-AC subscribers / total × 100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FAE30B3" w14:textId="77777777" w:rsidR="00EA0D9A" w:rsidRDefault="00B6489A">
            <w:r>
              <w:rPr>
                <w:color w:val="000000"/>
              </w:rPr>
              <w:t>PFRDA gender-disaggregated data</w:t>
            </w:r>
          </w:p>
        </w:tc>
      </w:tr>
      <w:tr w:rsidR="00EA0D9A" w14:paraId="012F7827"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8E83936" w14:textId="77777777" w:rsidR="00EA0D9A" w:rsidRDefault="00B6489A">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FE7D00A" w14:textId="77777777" w:rsidR="00EA0D9A" w:rsidRDefault="00B6489A">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B25008C" w14:textId="77777777" w:rsidR="00EA0D9A" w:rsidRDefault="00B6489A">
            <w:r>
              <w:rPr>
                <w:color w:val="000000"/>
              </w:rPr>
              <w:t>Scheduled bank branches per 100,000 population</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592F0DF" w14:textId="77777777" w:rsidR="00EA0D9A" w:rsidRDefault="00B6489A">
            <w:r>
              <w:rPr>
                <w:color w:val="000000"/>
              </w:rPr>
              <w:t>RBI Basic Statistical Returns 2022-23</w:t>
            </w:r>
          </w:p>
        </w:tc>
      </w:tr>
      <w:tr w:rsidR="00EA0D9A" w14:paraId="271338ED"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5211B2E" w14:textId="77777777" w:rsidR="00EA0D9A" w:rsidRDefault="00B6489A">
            <w:r>
              <w:rPr>
                <w:b/>
                <w:bCs/>
                <w:color w:val="000000"/>
              </w:rPr>
              <w:t>Female LFPR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21C713B" w14:textId="77777777" w:rsidR="00EA0D9A" w:rsidRDefault="00B6489A">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0830A849" w14:textId="77777777" w:rsidR="00EA0D9A" w:rsidRDefault="00B6489A">
            <w:r>
              <w:rPr>
                <w:color w:val="000000"/>
              </w:rPr>
              <w:t>Female workers as % of female population aged 15+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DB4AB0F" w14:textId="77777777" w:rsidR="00EA0D9A" w:rsidRDefault="00B6489A">
            <w:r>
              <w:rPr>
                <w:color w:val="000000"/>
              </w:rPr>
              <w:t>PLFS Annual Report 2022-23</w:t>
            </w:r>
          </w:p>
        </w:tc>
      </w:tr>
      <w:tr w:rsidR="00EA0D9A" w14:paraId="17DE3689"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77BAF6B" w14:textId="77777777" w:rsidR="00EA0D9A" w:rsidRDefault="00B6489A">
            <w:r>
              <w:rPr>
                <w:b/>
                <w:bCs/>
                <w:color w:val="000000"/>
              </w:rPr>
              <w:t>Literacy Rate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F05751C" w14:textId="77777777" w:rsidR="00EA0D9A" w:rsidRDefault="00B6489A">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6A99D3" w14:textId="77777777" w:rsidR="00EA0D9A" w:rsidRDefault="00B6489A">
            <w:r>
              <w:rPr>
                <w:color w:val="000000"/>
              </w:rPr>
              <w:t>% of population aged 7+ who can read and write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9C07A5" w14:textId="77777777" w:rsidR="00EA0D9A" w:rsidRDefault="00B6489A">
            <w:r>
              <w:rPr>
                <w:color w:val="000000"/>
              </w:rPr>
              <w:t>Census 2011; updated NFHS-5 (see footnote a)</w:t>
            </w:r>
          </w:p>
        </w:tc>
      </w:tr>
      <w:tr w:rsidR="00EA0D9A" w14:paraId="6F2D0D5F" w14:textId="77777777" w:rsidTr="008C0AEA">
        <w:trPr>
          <w:trHeight w:val="449"/>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2DEE755" w14:textId="77777777" w:rsidR="00EA0D9A" w:rsidRDefault="00B6489A">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7C5D7F3E" w14:textId="77777777" w:rsidR="00EA0D9A" w:rsidRDefault="00B6489A">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9E765C9" w14:textId="77777777" w:rsidR="00EA0D9A" w:rsidRDefault="00B6489A">
            <w:r>
              <w:rPr>
                <w:color w:val="000000"/>
              </w:rPr>
              <w:t>Natural log of per capita net SDP (INR thousands)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D389807" w14:textId="77777777" w:rsidR="00EA0D9A" w:rsidRDefault="00B6489A">
            <w:proofErr w:type="spellStart"/>
            <w:r>
              <w:rPr>
                <w:color w:val="000000"/>
              </w:rPr>
              <w:t>MoSPI</w:t>
            </w:r>
            <w:proofErr w:type="spellEnd"/>
            <w:r>
              <w:rPr>
                <w:color w:val="000000"/>
              </w:rPr>
              <w:t xml:space="preserve"> State Accounts 2022-23</w:t>
            </w:r>
          </w:p>
        </w:tc>
      </w:tr>
      <w:tr w:rsidR="00EA0D9A" w14:paraId="45AC0A3F"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E66E4A2" w14:textId="77777777" w:rsidR="00EA0D9A" w:rsidRDefault="00B6489A">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C5DDCB7" w14:textId="77777777" w:rsidR="00EA0D9A" w:rsidRDefault="00B6489A">
            <w:pPr>
              <w:jc w:val="center"/>
            </w:pPr>
            <w:r>
              <w:rPr>
                <w:color w:val="000000"/>
              </w:rPr>
              <w:t>Control</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7E9255B" w14:textId="77777777" w:rsidR="00EA0D9A" w:rsidRDefault="00B6489A">
            <w:r>
              <w:rPr>
                <w:color w:val="000000"/>
              </w:rPr>
              <w:t>RBI Financial Inclusion Index, scale 0-100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64AFBD6" w14:textId="77777777" w:rsidR="00EA0D9A" w:rsidRDefault="00B6489A">
            <w:r>
              <w:rPr>
                <w:color w:val="000000"/>
              </w:rPr>
              <w:t>RBI FI-Index 2022-23</w:t>
            </w:r>
          </w:p>
        </w:tc>
      </w:tr>
      <w:tr w:rsidR="00EA0D9A" w14:paraId="6FCA40B2" w14:textId="77777777" w:rsidTr="008C0AEA">
        <w:trPr>
          <w:trHeight w:val="1056"/>
        </w:trPr>
        <w:tc>
          <w:tcPr>
            <w:tcW w:w="0" w:type="auto"/>
            <w:gridSpan w:val="4"/>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11F3FE" w14:textId="6F876B7C" w:rsidR="00EA0D9A" w:rsidRPr="008C0AEA" w:rsidRDefault="008C0AEA" w:rsidP="008C0AEA">
            <w:pPr>
              <w:jc w:val="both"/>
            </w:pPr>
            <w:r>
              <w:rPr>
                <w:b/>
                <w:bCs/>
                <w:color w:val="0D0D0D" w:themeColor="text1" w:themeTint="F2"/>
                <w:sz w:val="18"/>
                <w:szCs w:val="18"/>
              </w:rPr>
              <w:t>Notes:</w:t>
            </w:r>
            <w:r>
              <w:rPr>
                <w:color w:val="0D0D0D" w:themeColor="text1" w:themeTint="F2"/>
                <w:sz w:val="18"/>
                <w:szCs w:val="18"/>
              </w:rPr>
              <w:t xml:space="preserve"> FI Index is excluded from the reduced-form robustness specification (Models 1R–4R) due to high collinearity with bank density (r = 0.908). All outcome variables are averaged over 2019–20 to 2024–25. Predictor variables reflect 2022–23 values, the most recently available cross-sectional data for all states at the time of compilation; PLFS LFPR and </w:t>
            </w:r>
            <w:proofErr w:type="spellStart"/>
            <w:r>
              <w:rPr>
                <w:color w:val="0D0D0D" w:themeColor="text1" w:themeTint="F2"/>
                <w:sz w:val="18"/>
                <w:szCs w:val="18"/>
              </w:rPr>
              <w:t>MoSPI</w:t>
            </w:r>
            <w:proofErr w:type="spellEnd"/>
            <w:r>
              <w:rPr>
                <w:color w:val="0D0D0D" w:themeColor="text1" w:themeTint="F2"/>
                <w:sz w:val="18"/>
                <w:szCs w:val="18"/>
              </w:rPr>
              <w:t xml:space="preserve"> SDP figures for 2023–24 and 2024–25 were not publicly available for all states. Literacy rates are constructed using Census 2011 as the baseline, with harmonisation through threshold-based substitution: NFHS-5 (2019–21) estimates are used where differences exceed five percentage points, ensuring temporal relevance while maintaining cross-state comparability.</w:t>
            </w:r>
          </w:p>
        </w:tc>
      </w:tr>
    </w:tbl>
    <w:p w14:paraId="478867BF" w14:textId="560FCFF6" w:rsidR="003C2D12" w:rsidRDefault="003C2D12" w:rsidP="003C2D12">
      <w:pPr>
        <w:rPr>
          <w:b/>
          <w:bCs/>
          <w:sz w:val="22"/>
          <w:szCs w:val="22"/>
        </w:rPr>
      </w:pPr>
      <w:r>
        <w:rPr>
          <w:b/>
          <w:bCs/>
          <w:sz w:val="22"/>
          <w:szCs w:val="22"/>
        </w:rPr>
        <w:t>Source: Authors’ calculations.</w:t>
      </w:r>
    </w:p>
    <w:p w14:paraId="576411FD" w14:textId="77777777" w:rsidR="005C5331" w:rsidRDefault="005C5331" w:rsidP="005C5331">
      <w:pPr>
        <w:jc w:val="both"/>
        <w:rPr>
          <w:sz w:val="18"/>
          <w:szCs w:val="18"/>
        </w:rPr>
      </w:pPr>
      <w:r>
        <w:rPr>
          <w:sz w:val="18"/>
          <w:szCs w:val="18"/>
        </w:rPr>
        <w:t>ᵃ NFHS-5 (2019–21) literacy estimates are substituted for Census 2011 values in the following five states where the absolute difference exceeds five percentage points: Arunachal Pradesh (Census 65.4%, NFHS-5 71.2%, Δ = +5.8 pp), Assam (72.2% vs 78.2%, Δ = +6.0 pp), Ladakh (62.0% vs 68.0%, Δ = +6.0 pp), Telangana (66.5% vs 60.9%, Δ = −5.6 pp), and Tripura (87.2% vs 81.8%, Δ = −5.4 pp). For all remaining states, Census 2011 figures are used. Source for NFHS-5 figures: International Institute for Population Sciences (IIPS) and ICF (2021).</w:t>
      </w:r>
    </w:p>
    <w:p w14:paraId="6EB04D1A" w14:textId="5C9126BF" w:rsidR="00EA0D9A" w:rsidRPr="00E5345C" w:rsidRDefault="00B6489A">
      <w:pPr>
        <w:spacing w:before="280" w:after="120"/>
        <w:rPr>
          <w:b/>
          <w:bCs/>
          <w:color w:val="1A3A5C"/>
          <w:sz w:val="25"/>
          <w:szCs w:val="25"/>
        </w:rPr>
      </w:pPr>
      <w:r>
        <w:rPr>
          <w:b/>
          <w:bCs/>
          <w:color w:val="1A3A5C"/>
          <w:sz w:val="25"/>
          <w:szCs w:val="25"/>
        </w:rPr>
        <w:t>4.4 Analytical Framework</w:t>
      </w:r>
    </w:p>
    <w:p w14:paraId="19A2AEC3" w14:textId="016EDB59" w:rsidR="00F47FB1" w:rsidRPr="00C24F67" w:rsidRDefault="00F47FB1" w:rsidP="00F47FB1">
      <w:pPr>
        <w:spacing w:before="280" w:after="120"/>
        <w:jc w:val="both"/>
        <w:rPr>
          <w:rFonts w:asciiTheme="majorBidi" w:hAnsiTheme="majorBidi" w:cstheme="majorBidi"/>
          <w:sz w:val="24"/>
          <w:szCs w:val="24"/>
        </w:rPr>
      </w:pPr>
      <w:r w:rsidRPr="00F47FB1">
        <w:rPr>
          <w:rFonts w:asciiTheme="majorBidi" w:hAnsiTheme="majorBidi" w:cstheme="majorBidi"/>
          <w:sz w:val="24"/>
          <w:szCs w:val="24"/>
        </w:rPr>
        <w:t>Four descriptive measures are constructed: (i) penetration rate</w:t>
      </w:r>
      <w:r>
        <w:rPr>
          <w:rFonts w:asciiTheme="majorBidi" w:hAnsiTheme="majorBidi" w:cstheme="majorBidi"/>
          <w:sz w:val="24"/>
          <w:szCs w:val="24"/>
        </w:rPr>
        <w:t xml:space="preserve"> </w:t>
      </w:r>
      <m:oMath>
        <m:r>
          <w:rPr>
            <w:rFonts w:ascii="Cambria Math" w:hAnsi="Cambria Math" w:cstheme="majorBidi"/>
            <w:sz w:val="24"/>
            <w:szCs w:val="24"/>
          </w:rPr>
          <m:t>PR=</m:t>
        </m:r>
        <m:f>
          <m:fPr>
            <m:ctrlPr>
              <w:rPr>
                <w:rFonts w:ascii="Cambria Math" w:hAnsi="Cambria Math" w:cstheme="majorBidi"/>
                <w:sz w:val="24"/>
                <w:szCs w:val="24"/>
              </w:rPr>
            </m:ctrlPr>
          </m:fPr>
          <m:num>
            <m:r>
              <m:rPr>
                <m:nor/>
              </m:rPr>
              <w:rPr>
                <w:rFonts w:asciiTheme="majorBidi" w:hAnsiTheme="majorBidi" w:cstheme="majorBidi"/>
                <w:sz w:val="24"/>
                <w:szCs w:val="24"/>
              </w:rPr>
              <m:t>Subscribers</m:t>
            </m:r>
          </m:num>
          <m:den>
            <m:r>
              <m:rPr>
                <m:nor/>
              </m:rPr>
              <w:rPr>
                <w:rFonts w:asciiTheme="majorBidi" w:hAnsiTheme="majorBidi" w:cstheme="majorBidi"/>
                <w:sz w:val="24"/>
                <w:szCs w:val="24"/>
              </w:rPr>
              <m:t>Working-age Population</m:t>
            </m:r>
          </m:den>
        </m:f>
        <m:r>
          <w:rPr>
            <w:rFonts w:ascii="Cambria Math" w:hAnsi="Cambria Math" w:cstheme="majorBidi"/>
            <w:sz w:val="24"/>
            <w:szCs w:val="24"/>
          </w:rPr>
          <m:t>×100</m:t>
        </m:r>
      </m:oMath>
      <w:r w:rsidRPr="00F47FB1">
        <w:rPr>
          <w:rFonts w:asciiTheme="majorBidi" w:hAnsiTheme="majorBidi" w:cstheme="majorBidi"/>
          <w:sz w:val="24"/>
          <w:szCs w:val="24"/>
        </w:rPr>
        <w:t>(ii) year-on-year growth</w:t>
      </w:r>
      <w:r>
        <w:rPr>
          <w:rFonts w:asciiTheme="majorBidi" w:hAnsiTheme="majorBidi" w:cstheme="majorBidi"/>
          <w:sz w:val="24"/>
          <w:szCs w:val="24"/>
        </w:rPr>
        <w:t xml:space="preserve"> </w:t>
      </w:r>
      <m:oMath>
        <m:r>
          <w:rPr>
            <w:rFonts w:ascii="Cambria Math" w:hAnsi="Cambria Math" w:cstheme="majorBidi"/>
            <w:sz w:val="24"/>
            <w:szCs w:val="24"/>
          </w:rPr>
          <m:t>YoY=</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t-1</m:t>
                </m:r>
              </m:sub>
            </m:sSub>
          </m:num>
          <m:den>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t-1</m:t>
                </m:r>
              </m:sub>
            </m:sSub>
          </m:den>
        </m:f>
        <m:r>
          <w:rPr>
            <w:rFonts w:ascii="Cambria Math" w:hAnsi="Cambria Math" w:cstheme="majorBidi"/>
            <w:sz w:val="24"/>
            <w:szCs w:val="24"/>
          </w:rPr>
          <m:t>×100</m:t>
        </m:r>
      </m:oMath>
      <w:r w:rsidRPr="00F47FB1">
        <w:rPr>
          <w:rFonts w:asciiTheme="majorBidi" w:hAnsiTheme="majorBidi" w:cstheme="majorBidi"/>
          <w:sz w:val="24"/>
          <w:szCs w:val="24"/>
        </w:rPr>
        <w:t>(iii) compound annual growth rate</w:t>
      </w:r>
      <w:r>
        <w:rPr>
          <w:rFonts w:asciiTheme="majorBidi" w:hAnsiTheme="majorBidi" w:cstheme="majorBidi"/>
          <w:sz w:val="24"/>
          <w:szCs w:val="24"/>
        </w:rPr>
        <w:t xml:space="preserve"> </w:t>
      </w:r>
      <m:oMath>
        <m:sSup>
          <m:sSupPr>
            <m:ctrlPr>
              <w:rPr>
                <w:rFonts w:ascii="Cambria Math" w:hAnsi="Cambria Math" w:cstheme="majorBidi"/>
                <w:sz w:val="24"/>
                <w:szCs w:val="24"/>
              </w:rPr>
            </m:ctrlPr>
          </m:sSupPr>
          <m:e>
            <m:r>
              <w:rPr>
                <w:rFonts w:ascii="Cambria Math" w:hAnsi="Cambria Math" w:cstheme="majorBidi"/>
                <w:sz w:val="24"/>
                <w:szCs w:val="24"/>
              </w:rPr>
              <m:t>CAGR=</m:t>
            </m:r>
            <m:d>
              <m:dPr>
                <m:ctrlPr>
                  <w:rPr>
                    <w:rFonts w:ascii="Cambria Math" w:hAnsi="Cambria Math" w:cstheme="majorBidi"/>
                    <w:sz w:val="24"/>
                    <w:szCs w:val="24"/>
                  </w:rPr>
                </m:ctrlPr>
              </m:dPr>
              <m:e>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2024-25</m:t>
                        </m:r>
                      </m:sub>
                    </m:sSub>
                  </m:num>
                  <m:den>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2019-20</m:t>
                        </m:r>
                      </m:sub>
                    </m:sSub>
                  </m:den>
                </m:f>
              </m:e>
            </m:d>
          </m:e>
          <m:sup>
            <m:r>
              <w:rPr>
                <w:rFonts w:ascii="Cambria Math" w:hAnsi="Cambria Math" w:cstheme="majorBidi"/>
                <w:sz w:val="24"/>
                <w:szCs w:val="24"/>
              </w:rPr>
              <m:t>1</m:t>
            </m:r>
            <m:r>
              <m:rPr>
                <m:sty m:val="p"/>
              </m:rPr>
              <w:rPr>
                <w:rFonts w:ascii="Cambria Math" w:hAnsi="Cambria Math" w:cstheme="majorBidi"/>
                <w:sz w:val="24"/>
                <w:szCs w:val="24"/>
              </w:rPr>
              <m:t>/</m:t>
            </m:r>
            <m:r>
              <w:rPr>
                <w:rFonts w:ascii="Cambria Math" w:hAnsi="Cambria Math" w:cstheme="majorBidi"/>
                <w:sz w:val="24"/>
                <w:szCs w:val="24"/>
              </w:rPr>
              <m:t>5</m:t>
            </m:r>
          </m:sup>
        </m:sSup>
        <m:r>
          <w:rPr>
            <w:rFonts w:ascii="Cambria Math" w:hAnsi="Cambria Math" w:cstheme="majorBidi"/>
            <w:sz w:val="24"/>
            <w:szCs w:val="24"/>
          </w:rPr>
          <m:t>-1</m:t>
        </m:r>
      </m:oMath>
      <w:r w:rsidRPr="00F47FB1">
        <w:rPr>
          <w:rFonts w:asciiTheme="majorBidi" w:hAnsiTheme="majorBidi" w:cstheme="majorBidi"/>
          <w:sz w:val="24"/>
          <w:szCs w:val="24"/>
        </w:rPr>
        <w:t xml:space="preserve">; and (iv) gender parity index </w:t>
      </w:r>
      <m:oMath>
        <m:r>
          <w:rPr>
            <w:rFonts w:ascii="Cambria Math" w:hAnsi="Cambria Math" w:cstheme="majorBidi"/>
            <w:sz w:val="24"/>
            <w:szCs w:val="24"/>
          </w:rPr>
          <m:t>(GPI)=</m:t>
        </m:r>
        <m:f>
          <m:fPr>
            <m:ctrlPr>
              <w:rPr>
                <w:rFonts w:ascii="Cambria Math" w:hAnsi="Cambria Math" w:cstheme="majorBidi"/>
                <w:sz w:val="24"/>
                <w:szCs w:val="24"/>
              </w:rPr>
            </m:ctrlPr>
          </m:fPr>
          <m:num>
            <m:r>
              <m:rPr>
                <m:nor/>
              </m:rPr>
              <w:rPr>
                <w:rFonts w:asciiTheme="majorBidi" w:hAnsiTheme="majorBidi" w:cstheme="majorBidi"/>
                <w:sz w:val="24"/>
                <w:szCs w:val="24"/>
              </w:rPr>
              <m:t>Female Subscribers</m:t>
            </m:r>
          </m:num>
          <m:den>
            <m:r>
              <m:rPr>
                <m:nor/>
              </m:rPr>
              <w:rPr>
                <w:rFonts w:asciiTheme="majorBidi" w:hAnsiTheme="majorBidi" w:cstheme="majorBidi"/>
                <w:sz w:val="24"/>
                <w:szCs w:val="24"/>
              </w:rPr>
              <m:t>Male Subscribers</m:t>
            </m:r>
          </m:den>
        </m:f>
      </m:oMath>
      <w:r w:rsidRPr="00F47FB1">
        <w:rPr>
          <w:rFonts w:asciiTheme="majorBidi" w:hAnsiTheme="majorBidi" w:cstheme="majorBidi"/>
          <w:sz w:val="24"/>
          <w:szCs w:val="24"/>
        </w:rPr>
        <w:t>, where GPI denotes the female-to-male subscriber ratio (GPI = 1.0 indicates parity).</w:t>
      </w:r>
    </w:p>
    <w:p w14:paraId="19A299B5" w14:textId="344D3E00" w:rsidR="00C24F67" w:rsidRPr="00C24F67" w:rsidRDefault="0046146C" w:rsidP="00C24F67">
      <w:pPr>
        <w:spacing w:before="280" w:after="120"/>
        <w:jc w:val="both"/>
        <w:rPr>
          <w:rFonts w:asciiTheme="majorBidi" w:hAnsiTheme="majorBidi" w:cstheme="majorBidi"/>
          <w:b/>
          <w:bCs/>
          <w:sz w:val="24"/>
          <w:szCs w:val="24"/>
        </w:rPr>
      </w:pPr>
      <m:oMathPara>
        <m:oMathParaPr>
          <m:jc m:val="center"/>
        </m:oMathParaPr>
        <m:oMath>
          <m:r>
            <m:rPr>
              <m:sty m:val="bi"/>
            </m:rPr>
            <w:rPr>
              <w:rFonts w:ascii="Cambria Math" w:hAnsi="Cambria Math" w:cstheme="majorBidi"/>
              <w:sz w:val="24"/>
              <w:szCs w:val="24"/>
            </w:rPr>
            <m:t>Yi​=β</m:t>
          </m:r>
          <m:r>
            <m:rPr>
              <m:sty m:val="bi"/>
            </m:rPr>
            <w:rPr>
              <w:rFonts w:ascii="Cambria Math" w:hAnsi="Cambria Math" w:cstheme="majorBidi"/>
              <w:sz w:val="24"/>
              <w:szCs w:val="24"/>
            </w:rPr>
            <m:t>0​+β</m:t>
          </m:r>
          <m:r>
            <m:rPr>
              <m:sty m:val="bi"/>
            </m:rPr>
            <w:rPr>
              <w:rFonts w:ascii="Cambria Math" w:hAnsi="Cambria Math" w:cstheme="majorBidi"/>
              <w:sz w:val="24"/>
              <w:szCs w:val="24"/>
            </w:rPr>
            <m:t>1​(BankDeni​)+β</m:t>
          </m:r>
          <m:r>
            <m:rPr>
              <m:sty m:val="bi"/>
            </m:rPr>
            <w:rPr>
              <w:rFonts w:ascii="Cambria Math" w:hAnsi="Cambria Math" w:cstheme="majorBidi"/>
              <w:sz w:val="24"/>
              <w:szCs w:val="24"/>
            </w:rPr>
            <m:t>2​(FemLFPRi​)+β</m:t>
          </m:r>
          <m:r>
            <m:rPr>
              <m:sty m:val="bi"/>
            </m:rPr>
            <w:rPr>
              <w:rFonts w:ascii="Cambria Math" w:hAnsi="Cambria Math" w:cstheme="majorBidi"/>
              <w:sz w:val="24"/>
              <w:szCs w:val="24"/>
            </w:rPr>
            <m:t>3​(Literacyi​)+β4​ln(PCIi​)+β</m:t>
          </m:r>
          <m:r>
            <m:rPr>
              <m:sty m:val="bi"/>
            </m:rPr>
            <w:rPr>
              <w:rFonts w:ascii="Cambria Math" w:hAnsi="Cambria Math" w:cstheme="majorBidi"/>
              <w:sz w:val="24"/>
              <w:szCs w:val="24"/>
            </w:rPr>
            <m:t>5​(FIIndexi​)+ϵi​​</m:t>
          </m:r>
        </m:oMath>
      </m:oMathPara>
    </w:p>
    <w:p w14:paraId="5065F1F4" w14:textId="77777777" w:rsidR="00AC063B" w:rsidRDefault="00B6489A">
      <w:pPr>
        <w:spacing w:before="280" w:after="120"/>
        <w:jc w:val="both"/>
        <w:rPr>
          <w:rFonts w:asciiTheme="majorBidi" w:hAnsiTheme="majorBidi" w:cstheme="majorBidi"/>
          <w:sz w:val="24"/>
          <w:szCs w:val="24"/>
        </w:rPr>
      </w:pPr>
      <w:r>
        <w:rPr>
          <w:sz w:val="24"/>
          <w:szCs w:val="24"/>
        </w:rPr>
        <w:lastRenderedPageBreak/>
        <w:t>All predictors are z-scored before estimation so that coefficients are directly comparable across variables. OLS is the primary estimator; the remaining methods serve as robustness checks.</w:t>
      </w:r>
    </w:p>
    <w:p w14:paraId="1B2CDF31" w14:textId="77777777" w:rsidR="00AC063B" w:rsidRDefault="00B6489A">
      <w:pPr>
        <w:spacing w:before="280" w:after="120"/>
        <w:jc w:val="both"/>
        <w:rPr>
          <w:rFonts w:asciiTheme="majorBidi" w:hAnsiTheme="majorBidi" w:cstheme="majorBidi"/>
          <w:sz w:val="24"/>
          <w:szCs w:val="24"/>
        </w:rPr>
      </w:pPr>
      <w:r>
        <w:rPr>
          <w:sz w:val="24"/>
          <w:szCs w:val="24"/>
        </w:rPr>
        <w:t>The NPS penetrat</w:t>
      </w:r>
      <w:r>
        <w:rPr>
          <w:sz w:val="24"/>
          <w:szCs w:val="24"/>
        </w:rPr>
        <w:t>ion model is heteroskedastic (Breusch–Pagan LM = 14.80, p = 0.011), so HC3-robust standard errors are computed as a check. VIFs flag high collinearity between bank density and the FI Index (r = 0.908; VIF = 11.92 in the full model), which motivates the red</w:t>
      </w:r>
      <w:r>
        <w:rPr>
          <w:sz w:val="24"/>
          <w:szCs w:val="24"/>
        </w:rPr>
        <w:t>uced-form specification that drops the FI Index.</w:t>
      </w:r>
    </w:p>
    <w:p w14:paraId="69C6FDBE" w14:textId="77777777" w:rsidR="00AC063B" w:rsidRDefault="00B6489A">
      <w:pPr>
        <w:spacing w:before="280" w:after="120"/>
        <w:jc w:val="both"/>
        <w:rPr>
          <w:rFonts w:asciiTheme="majorBidi" w:hAnsiTheme="majorBidi" w:cstheme="majorBidi"/>
          <w:sz w:val="24"/>
          <w:szCs w:val="24"/>
        </w:rPr>
      </w:pPr>
      <w:r>
        <w:rPr>
          <w:sz w:val="24"/>
          <w:szCs w:val="24"/>
        </w:rPr>
        <w:t xml:space="preserve">Spearman rank correlations provide a non-parametric check. </w:t>
      </w:r>
      <w:proofErr w:type="spellStart"/>
      <w:r>
        <w:rPr>
          <w:sz w:val="24"/>
          <w:szCs w:val="24"/>
        </w:rPr>
        <w:t>Quantile</w:t>
      </w:r>
      <w:proofErr w:type="spellEnd"/>
      <w:r>
        <w:rPr>
          <w:sz w:val="24"/>
          <w:szCs w:val="24"/>
        </w:rPr>
        <w:t xml:space="preserve"> regression (</w:t>
      </w:r>
      <w:proofErr w:type="spellStart"/>
      <w:r>
        <w:rPr>
          <w:sz w:val="24"/>
          <w:szCs w:val="24"/>
        </w:rPr>
        <w:t>Koenker</w:t>
      </w:r>
      <w:proofErr w:type="spellEnd"/>
      <w:r>
        <w:rPr>
          <w:sz w:val="24"/>
          <w:szCs w:val="24"/>
        </w:rPr>
        <w:t xml:space="preserve"> and Bassett, 1978) is estimated at Q10, Q25, Q50, Q75, and Q90 with 500-replication bootstrap standard errors (seed = 4</w:t>
      </w:r>
      <w:r>
        <w:rPr>
          <w:sz w:val="24"/>
          <w:szCs w:val="24"/>
        </w:rPr>
        <w:t>2) to confirm that associations hold across the full conditional distribution, not just at the mean.</w:t>
      </w:r>
    </w:p>
    <w:p w14:paraId="4F5A6578" w14:textId="77777777" w:rsidR="00AC063B" w:rsidRDefault="00B6489A">
      <w:pPr>
        <w:spacing w:before="280" w:after="120"/>
        <w:jc w:val="both"/>
        <w:rPr>
          <w:rFonts w:asciiTheme="majorBidi" w:hAnsiTheme="majorBidi" w:cstheme="majorBidi"/>
          <w:sz w:val="24"/>
          <w:szCs w:val="24"/>
        </w:rPr>
      </w:pPr>
      <w:r>
        <w:rPr>
          <w:sz w:val="24"/>
          <w:szCs w:val="24"/>
        </w:rPr>
        <w:t>Two additional specifications address the small sample directly. A stacked cross-section (N = 70) stacks APY and NPS as two observations per state and test</w:t>
      </w:r>
      <w:r>
        <w:rPr>
          <w:sz w:val="24"/>
          <w:szCs w:val="24"/>
        </w:rPr>
        <w:t xml:space="preserve">s the APY–NPS bank density differential via a </w:t>
      </w:r>
      <w:proofErr w:type="spellStart"/>
      <w:r>
        <w:rPr>
          <w:sz w:val="24"/>
          <w:szCs w:val="24"/>
        </w:rPr>
        <w:t>BankDen</w:t>
      </w:r>
      <w:proofErr w:type="spellEnd"/>
      <w:r>
        <w:rPr>
          <w:sz w:val="24"/>
          <w:szCs w:val="24"/>
        </w:rPr>
        <w:t xml:space="preserve"> × Scheme interaction term with state-clustered standard errors. A </w:t>
      </w:r>
      <w:proofErr w:type="spellStart"/>
      <w:r>
        <w:rPr>
          <w:sz w:val="24"/>
          <w:szCs w:val="24"/>
        </w:rPr>
        <w:t>state×year</w:t>
      </w:r>
      <w:proofErr w:type="spellEnd"/>
      <w:r>
        <w:rPr>
          <w:sz w:val="24"/>
          <w:szCs w:val="24"/>
        </w:rPr>
        <w:t xml:space="preserve"> two-way fixed-effects panel (N = 210) uses annual bank density derived from RBI BSR national branch counts, with state and ye</w:t>
      </w:r>
      <w:r>
        <w:rPr>
          <w:sz w:val="24"/>
          <w:szCs w:val="24"/>
        </w:rPr>
        <w:t>ar fixed effects absorbing time-invariant heterogeneity and national trends. These are sensitivity checks; the primary evidence comes from the cross-sectional models.</w:t>
      </w:r>
    </w:p>
    <w:p w14:paraId="4838AFA9" w14:textId="77777777" w:rsidR="00AC063B" w:rsidRDefault="00B6489A">
      <w:pPr>
        <w:spacing w:before="280" w:after="120"/>
        <w:jc w:val="both"/>
        <w:rPr>
          <w:rFonts w:asciiTheme="majorBidi" w:hAnsiTheme="majorBidi" w:cstheme="majorBidi"/>
          <w:sz w:val="24"/>
          <w:szCs w:val="24"/>
        </w:rPr>
      </w:pPr>
      <w:r>
        <w:rPr>
          <w:sz w:val="24"/>
          <w:szCs w:val="24"/>
        </w:rPr>
        <w:t>As a further check on multicollinearity, PCA is applied to the three correlated developme</w:t>
      </w:r>
      <w:r>
        <w:rPr>
          <w:sz w:val="24"/>
          <w:szCs w:val="24"/>
        </w:rPr>
        <w:t xml:space="preserve">nt indicators (bank density, </w:t>
      </w:r>
      <w:proofErr w:type="gramStart"/>
      <w:r>
        <w:rPr>
          <w:sz w:val="24"/>
          <w:szCs w:val="24"/>
        </w:rPr>
        <w:t>ln(</w:t>
      </w:r>
      <w:proofErr w:type="gramEnd"/>
      <w:r>
        <w:rPr>
          <w:sz w:val="24"/>
          <w:szCs w:val="24"/>
        </w:rPr>
        <w:t>PCI), FI Index). Results are in Appendix C.</w:t>
      </w:r>
    </w:p>
    <w:p w14:paraId="3A1DAF91" w14:textId="77777777" w:rsidR="00DD4507" w:rsidRPr="00DD4507" w:rsidRDefault="00DD4507" w:rsidP="00DD4507">
      <w:pPr>
        <w:spacing w:before="280" w:after="120"/>
        <w:jc w:val="both"/>
        <w:rPr>
          <w:rFonts w:asciiTheme="majorBidi" w:hAnsiTheme="majorBidi" w:cstheme="majorBidi"/>
          <w:sz w:val="24"/>
          <w:szCs w:val="24"/>
        </w:rPr>
      </w:pPr>
      <w:r>
        <w:rPr>
          <w:rFonts w:asciiTheme="majorBidi" w:hAnsiTheme="majorBidi" w:cstheme="majorBidi"/>
          <w:sz w:val="24"/>
          <w:szCs w:val="24"/>
        </w:rPr>
        <w:t>All analyses are conducted in Python 3.11 (NumPy, SciPy, pandas).</w:t>
      </w:r>
    </w:p>
    <w:p w14:paraId="48E401BE" w14:textId="68D111F5" w:rsidR="00DD4507" w:rsidRPr="00E5345C" w:rsidRDefault="00DD4507" w:rsidP="00DD4507">
      <w:pPr>
        <w:spacing w:before="360" w:after="160"/>
        <w:rPr>
          <w:b/>
          <w:bCs/>
          <w:color w:val="1A3A5C"/>
          <w:sz w:val="25"/>
          <w:szCs w:val="25"/>
        </w:rPr>
      </w:pPr>
      <w:r>
        <w:rPr>
          <w:b/>
          <w:bCs/>
          <w:color w:val="1A3A5C"/>
          <w:sz w:val="25"/>
          <w:szCs w:val="25"/>
        </w:rPr>
        <w:t>4.5 Interpretation and Scope</w:t>
      </w:r>
    </w:p>
    <w:p w14:paraId="359D3975" w14:textId="77777777" w:rsidR="00AC063B" w:rsidRDefault="00B6489A">
      <w:pPr>
        <w:spacing w:before="360" w:after="160"/>
        <w:jc w:val="both"/>
        <w:rPr>
          <w:rFonts w:asciiTheme="majorBidi" w:hAnsiTheme="majorBidi" w:cstheme="majorBidi"/>
          <w:color w:val="000000" w:themeColor="text1"/>
          <w:sz w:val="24"/>
          <w:szCs w:val="24"/>
        </w:rPr>
      </w:pPr>
      <w:r>
        <w:rPr>
          <w:sz w:val="24"/>
          <w:szCs w:val="24"/>
        </w:rPr>
        <w:t>Results are associational, not causal; the cross-sectional design and proxy variables</w:t>
      </w:r>
      <w:r>
        <w:rPr>
          <w:sz w:val="24"/>
          <w:szCs w:val="24"/>
        </w:rPr>
        <w:t xml:space="preserve"> preclude causal identification.</w:t>
      </w:r>
    </w:p>
    <w:p w14:paraId="1332C1EB" w14:textId="65040A19" w:rsidR="00DD4507" w:rsidRPr="00DD4507" w:rsidRDefault="00B6489A" w:rsidP="00DD4507">
      <w:pPr>
        <w:spacing w:before="360" w:after="160"/>
        <w:rPr>
          <w:b/>
          <w:bCs/>
          <w:color w:val="1A3A5C"/>
          <w:sz w:val="28"/>
          <w:szCs w:val="28"/>
        </w:rPr>
      </w:pPr>
      <w:r>
        <w:rPr>
          <w:b/>
          <w:bCs/>
          <w:color w:val="1A3A5C"/>
          <w:sz w:val="28"/>
          <w:szCs w:val="28"/>
        </w:rPr>
        <w:t xml:space="preserve">5. Results </w:t>
      </w:r>
    </w:p>
    <w:p w14:paraId="43A53551" w14:textId="77777777" w:rsidR="00EA0D9A" w:rsidRPr="00E5345C" w:rsidRDefault="00B6489A">
      <w:pPr>
        <w:spacing w:before="280" w:after="120"/>
        <w:rPr>
          <w:sz w:val="25"/>
          <w:szCs w:val="25"/>
        </w:rPr>
      </w:pPr>
      <w:r>
        <w:rPr>
          <w:b/>
          <w:bCs/>
          <w:color w:val="1A3A5C"/>
          <w:sz w:val="25"/>
          <w:szCs w:val="25"/>
        </w:rPr>
        <w:t>5.1 State-Level Penetration of APY and NPS</w:t>
      </w:r>
    </w:p>
    <w:p w14:paraId="75BF1AA3" w14:textId="77777777" w:rsidR="00AC063B" w:rsidRDefault="00B6489A">
      <w:pPr>
        <w:spacing w:before="120" w:after="120" w:line="276" w:lineRule="auto"/>
        <w:ind w:firstLine="720"/>
        <w:jc w:val="both"/>
        <w:rPr>
          <w:color w:val="000000"/>
          <w:sz w:val="24"/>
          <w:szCs w:val="24"/>
        </w:rPr>
      </w:pPr>
      <w:r>
        <w:rPr>
          <w:sz w:val="24"/>
          <w:szCs w:val="24"/>
        </w:rPr>
        <w:t xml:space="preserve">Figure 2 shows average APY penetration across states over 2019–20 to 2024–25. Smaller states in the north-west and north-east shade darker; the large northern and </w:t>
      </w:r>
      <w:r>
        <w:rPr>
          <w:sz w:val="24"/>
          <w:szCs w:val="24"/>
        </w:rPr>
        <w:t>central plains are lighter. Size matters more than geography: smaller states consistently outperform larger ones, regardless of region. Figure 3 shows NPS penetration, where the gradient is steeper and the coastal–interior divide is more pronounced.</w:t>
      </w:r>
    </w:p>
    <w:p w14:paraId="0A92548D" w14:textId="61769716" w:rsidR="00CB717B" w:rsidRPr="008C0AEA" w:rsidRDefault="00CB717B" w:rsidP="00CE2225">
      <w:pPr>
        <w:spacing w:before="120" w:after="120" w:line="276" w:lineRule="auto"/>
        <w:ind w:firstLine="720"/>
        <w:jc w:val="center"/>
        <w:rPr>
          <w:b/>
          <w:bCs/>
          <w:i/>
          <w:iCs/>
          <w:color w:val="000000"/>
          <w:sz w:val="18"/>
          <w:szCs w:val="18"/>
        </w:rPr>
      </w:pPr>
      <w:r>
        <w:rPr>
          <w:i/>
          <w:iCs/>
          <w:noProof/>
          <w:color w:val="000000"/>
          <w:sz w:val="18"/>
          <w:szCs w:val="18"/>
        </w:rPr>
        <w:lastRenderedPageBreak/>
        <w:drawing>
          <wp:inline distT="0" distB="0" distL="0" distR="0" wp14:anchorId="5B8CCA23" wp14:editId="33B97696">
            <wp:extent cx="5988050" cy="6172200"/>
            <wp:effectExtent l="0" t="0" r="0" b="0"/>
            <wp:docPr id="1162076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11" r="2984" b="8325"/>
                    <a:stretch>
                      <a:fillRect/>
                    </a:stretch>
                  </pic:blipFill>
                  <pic:spPr bwMode="auto">
                    <a:xfrm>
                      <a:off x="0" y="0"/>
                      <a:ext cx="5988050" cy="6172200"/>
                    </a:xfrm>
                    <a:prstGeom prst="rect">
                      <a:avLst/>
                    </a:prstGeom>
                    <a:noFill/>
                    <a:ln>
                      <a:noFill/>
                    </a:ln>
                    <a:extLst>
                      <a:ext uri="{53640926-AAD7-44D8-BBD7-CCE9431645EC}">
                        <a14:shadowObscured xmlns:a14="http://schemas.microsoft.com/office/drawing/2010/main"/>
                      </a:ext>
                    </a:extLst>
                  </pic:spPr>
                </pic:pic>
              </a:graphicData>
            </a:graphic>
          </wp:inline>
        </w:drawing>
      </w:r>
      <w:r>
        <w:rPr>
          <w:b/>
          <w:bCs/>
          <w:i/>
          <w:iCs/>
          <w:color w:val="000000"/>
          <w:sz w:val="22"/>
          <w:szCs w:val="22"/>
        </w:rPr>
        <w:t>Figure 2: State-wise Average APY Penetration Rate (%) India, 2019-20 to 2024-25. Penetration Rate = APY Subscribers ÷ Working-Age Population (18-60 yrs) × 100. Corrected data applied throughout.</w:t>
      </w:r>
    </w:p>
    <w:p w14:paraId="3E98C983" w14:textId="7FD7F029" w:rsidR="00EA0D9A" w:rsidRPr="008C0AEA" w:rsidRDefault="009D47EB" w:rsidP="00CB1128">
      <w:pPr>
        <w:spacing w:before="120" w:after="120" w:line="276" w:lineRule="auto"/>
        <w:rPr>
          <w:b/>
          <w:bCs/>
          <w:sz w:val="22"/>
          <w:szCs w:val="22"/>
        </w:rPr>
      </w:pPr>
      <w:r>
        <w:rPr>
          <w:b/>
          <w:bCs/>
          <w:color w:val="000000"/>
        </w:rPr>
        <w:t>Source: Authors' calculations based on PFRDA subscriber data and Census of India population projections.</w:t>
      </w:r>
    </w:p>
    <w:p w14:paraId="301C4EC5" w14:textId="77777777" w:rsidR="00AC063B" w:rsidRDefault="00B6489A">
      <w:pPr>
        <w:spacing w:before="120" w:after="120" w:line="276" w:lineRule="auto"/>
        <w:ind w:firstLine="720"/>
        <w:jc w:val="both"/>
      </w:pPr>
      <w:r>
        <w:rPr>
          <w:sz w:val="24"/>
          <w:szCs w:val="24"/>
        </w:rPr>
        <w:t>APY averaged 0.89% nationally (excluding Sikkim), ranging from 0.20% to 2.60%. Smaller states consistently outperform larger ones; Kerala’s low rate (0.44%) reflects its higher-income profile.</w:t>
      </w:r>
    </w:p>
    <w:p w14:paraId="1C4B5FB1" w14:textId="2D4397D2" w:rsidR="00CB717B" w:rsidRDefault="00CB717B" w:rsidP="00CB717B">
      <w:pPr>
        <w:spacing w:before="120" w:after="80"/>
        <w:jc w:val="center"/>
        <w:rPr>
          <w:i/>
          <w:iCs/>
          <w:color w:val="000000"/>
          <w:sz w:val="18"/>
          <w:szCs w:val="18"/>
        </w:rPr>
      </w:pPr>
      <w:r>
        <w:rPr>
          <w:noProof/>
        </w:rPr>
        <w:lastRenderedPageBreak/>
        <w:drawing>
          <wp:inline distT="0" distB="0" distL="0" distR="0" wp14:anchorId="11ED4F29" wp14:editId="1A9A7CFB">
            <wp:extent cx="5930900" cy="6121400"/>
            <wp:effectExtent l="0" t="0" r="0" b="0"/>
            <wp:docPr id="477927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459" r="3909" b="7817"/>
                    <a:stretch>
                      <a:fillRect/>
                    </a:stretch>
                  </pic:blipFill>
                  <pic:spPr bwMode="auto">
                    <a:xfrm>
                      <a:off x="0" y="0"/>
                      <a:ext cx="5930900" cy="6121400"/>
                    </a:xfrm>
                    <a:prstGeom prst="rect">
                      <a:avLst/>
                    </a:prstGeom>
                    <a:noFill/>
                    <a:ln>
                      <a:noFill/>
                    </a:ln>
                    <a:extLst>
                      <a:ext uri="{53640926-AAD7-44D8-BBD7-CCE9431645EC}">
                        <a14:shadowObscured xmlns:a14="http://schemas.microsoft.com/office/drawing/2010/main"/>
                      </a:ext>
                    </a:extLst>
                  </pic:spPr>
                </pic:pic>
              </a:graphicData>
            </a:graphic>
          </wp:inline>
        </w:drawing>
      </w:r>
      <w:r>
        <w:rPr>
          <w:b/>
          <w:bCs/>
          <w:i/>
          <w:iCs/>
          <w:color w:val="000000"/>
          <w:sz w:val="22"/>
          <w:szCs w:val="22"/>
        </w:rPr>
        <w:t>Figure 3: State-wise Average NPS Penetration Rate (%) India, 2019-20 to 2024-25. NPS includes All Citizens and Corporate subscriber models only; Government and State employee subscribers are excluded.</w:t>
      </w:r>
      <w:r>
        <w:rPr>
          <w:i/>
          <w:iCs/>
          <w:color w:val="000000"/>
          <w:sz w:val="22"/>
          <w:szCs w:val="22"/>
        </w:rPr>
        <w:t xml:space="preserve"> </w:t>
      </w:r>
    </w:p>
    <w:p w14:paraId="01B9FE74" w14:textId="75118B3C" w:rsidR="00EA0D9A" w:rsidRPr="008C0AEA" w:rsidRDefault="00B6489A" w:rsidP="00CB1128">
      <w:pPr>
        <w:spacing w:before="120" w:after="80"/>
        <w:rPr>
          <w:b/>
          <w:bCs/>
          <w:sz w:val="22"/>
          <w:szCs w:val="22"/>
        </w:rPr>
      </w:pPr>
      <w:r>
        <w:rPr>
          <w:b/>
          <w:bCs/>
          <w:color w:val="000000"/>
        </w:rPr>
        <w:t>Source: Authors' calculations based on PFRDA subscriber data and Census of I</w:t>
      </w:r>
      <w:r>
        <w:rPr>
          <w:b/>
          <w:bCs/>
          <w:color w:val="000000"/>
        </w:rPr>
        <w:t>ndia population projections.</w:t>
      </w:r>
    </w:p>
    <w:p w14:paraId="68568229" w14:textId="77777777" w:rsidR="00AC063B" w:rsidRDefault="00B6489A">
      <w:pPr>
        <w:spacing w:before="120" w:after="120" w:line="276" w:lineRule="auto"/>
        <w:ind w:firstLine="720"/>
        <w:jc w:val="both"/>
      </w:pPr>
      <w:r>
        <w:rPr>
          <w:sz w:val="24"/>
          <w:szCs w:val="24"/>
        </w:rPr>
        <w:t>NPS averaged 1.66% nationally with a steeper gradient; coastal and southern states lead while northern plains states record the lowest rates.</w:t>
      </w:r>
    </w:p>
    <w:p w14:paraId="18D2D8AE" w14:textId="77777777" w:rsidR="00EA0D9A" w:rsidRPr="00E5345C" w:rsidRDefault="00B6489A">
      <w:pPr>
        <w:spacing w:before="280" w:after="120"/>
        <w:rPr>
          <w:sz w:val="25"/>
          <w:szCs w:val="25"/>
        </w:rPr>
      </w:pPr>
      <w:r>
        <w:rPr>
          <w:b/>
          <w:bCs/>
          <w:color w:val="1A3A5C"/>
          <w:sz w:val="25"/>
          <w:szCs w:val="25"/>
        </w:rPr>
        <w:t>5.2 Year-on-Year Growth and CAGR</w:t>
      </w:r>
    </w:p>
    <w:p w14:paraId="7FCBBF85" w14:textId="77777777" w:rsidR="00AC063B" w:rsidRDefault="00B6489A">
      <w:pPr>
        <w:spacing w:before="120" w:after="120" w:line="276" w:lineRule="auto"/>
        <w:ind w:firstLine="720"/>
        <w:jc w:val="both"/>
      </w:pPr>
      <w:r>
        <w:rPr>
          <w:sz w:val="24"/>
          <w:szCs w:val="24"/>
        </w:rPr>
        <w:t>High CAGRs reflect low starting points. Himachal Pra</w:t>
      </w:r>
      <w:r>
        <w:rPr>
          <w:sz w:val="24"/>
          <w:szCs w:val="24"/>
        </w:rPr>
        <w:t xml:space="preserve">desh (APY CAGR: 50%) and Arunachal Pradesh (42%) both began 2019–20 with very low enrolment; their rates look dramatic partly for that reason. The same applies to Ladakh (NPS CAGR: 65%). States worth paying attention </w:t>
      </w:r>
      <w:r>
        <w:rPr>
          <w:sz w:val="24"/>
          <w:szCs w:val="24"/>
        </w:rPr>
        <w:lastRenderedPageBreak/>
        <w:t>to are those with both high CAGR and ab</w:t>
      </w:r>
      <w:r>
        <w:rPr>
          <w:sz w:val="24"/>
          <w:szCs w:val="24"/>
        </w:rPr>
        <w:t>ove-average absolute penetration—Himachal Pradesh for APY, Goa for NPS. That combination signals genuine momentum rather than statistical bounce from a low base.</w:t>
      </w:r>
    </w:p>
    <w:p w14:paraId="0AEC3D5C" w14:textId="77777777" w:rsidR="00EA0D9A" w:rsidRPr="00E5345C" w:rsidRDefault="00B6489A">
      <w:pPr>
        <w:spacing w:before="280" w:after="120"/>
        <w:rPr>
          <w:sz w:val="25"/>
          <w:szCs w:val="25"/>
        </w:rPr>
      </w:pPr>
      <w:r>
        <w:rPr>
          <w:b/>
          <w:bCs/>
          <w:color w:val="1A3A5C"/>
          <w:sz w:val="25"/>
          <w:szCs w:val="25"/>
        </w:rPr>
        <w:t>5.3 OLS Regression Results</w:t>
      </w:r>
    </w:p>
    <w:p w14:paraId="2EDBA1A9" w14:textId="77777777" w:rsidR="00AC063B" w:rsidRDefault="00B6489A">
      <w:pPr>
        <w:spacing w:before="120" w:after="120" w:line="276" w:lineRule="auto"/>
        <w:ind w:firstLine="720"/>
        <w:jc w:val="both"/>
        <w:rPr>
          <w:color w:val="000000"/>
          <w:sz w:val="24"/>
          <w:szCs w:val="24"/>
        </w:rPr>
      </w:pPr>
      <w:r>
        <w:rPr>
          <w:sz w:val="24"/>
          <w:szCs w:val="24"/>
        </w:rPr>
        <w:t xml:space="preserve">Model 3 (APY Female %) is included as a design-contrast check. Its </w:t>
      </w:r>
      <w:r>
        <w:rPr>
          <w:sz w:val="24"/>
          <w:szCs w:val="24"/>
        </w:rPr>
        <w:t>non-significant F-statistic (F = 1.689, p = 0.17) is what the scheme-design argument predicts: APY’s auto-debit and SHG delivery decouple female participation from state-level socioeconomic conditions. That said, this null result cannot be distinguished fr</w:t>
      </w:r>
      <w:r>
        <w:rPr>
          <w:sz w:val="24"/>
          <w:szCs w:val="24"/>
        </w:rPr>
        <w:t>om low statistical power (Adj. R² = 0.095; N = 35): it is consistent with the scheme-design hypothesis but should not be read as evidence against an association.</w:t>
      </w:r>
    </w:p>
    <w:p w14:paraId="008C67B2" w14:textId="6C8219E4" w:rsidR="00CB1128" w:rsidRPr="00E5345C" w:rsidRDefault="00CB1128" w:rsidP="00BC226F">
      <w:pPr>
        <w:spacing w:line="276" w:lineRule="auto"/>
        <w:jc w:val="center"/>
        <w:rPr>
          <w:b/>
          <w:bCs/>
          <w:sz w:val="22"/>
          <w:szCs w:val="22"/>
        </w:rPr>
      </w:pPr>
      <w:r>
        <w:rPr>
          <w:b/>
          <w:bCs/>
          <w:color w:val="000000"/>
          <w:sz w:val="22"/>
          <w:szCs w:val="22"/>
        </w:rPr>
        <w:t xml:space="preserve">Table 2: OLS Estimates of State-Level Determinants of APY and NPS Penetration and Female Participation (N = 35; standardised β; </w:t>
      </w:r>
      <w:r w:rsidR="00BC226F" w:rsidRPr="00BC226F">
        <w:rPr>
          <w:b/>
          <w:bCs/>
          <w:color w:val="000000"/>
          <w:sz w:val="22"/>
          <w:szCs w:val="22"/>
        </w:rPr>
        <w:t>Full Model (FI Index included; VIF = 11.92)</w:t>
      </w:r>
      <w:r>
        <w:rPr>
          <w:b/>
          <w:bCs/>
          <w:color w:val="000000"/>
          <w:sz w:val="22"/>
          <w:szCs w:val="22"/>
        </w:rPr>
        <w:t>; see Table 4 for reduced-form results)</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9"/>
        <w:gridCol w:w="1892"/>
        <w:gridCol w:w="1899"/>
        <w:gridCol w:w="1875"/>
        <w:gridCol w:w="1903"/>
      </w:tblGrid>
      <w:tr w:rsidR="00EA0D9A" w14:paraId="0034AA3B" w14:textId="77777777" w:rsidTr="003C2D12">
        <w:trPr>
          <w:jc w:val="center"/>
        </w:trPr>
        <w:tc>
          <w:tcPr>
            <w:tcW w:w="2199" w:type="dxa"/>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2C96E11" w14:textId="77777777" w:rsidR="00EA0D9A" w:rsidRDefault="00EA0D9A" w:rsidP="00CB1128">
            <w:pPr>
              <w:jc w:val="center"/>
            </w:pP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4907E2E" w14:textId="77777777" w:rsidR="00EA0D9A" w:rsidRDefault="00B6489A" w:rsidP="00CB1128">
            <w:pPr>
              <w:jc w:val="center"/>
            </w:pPr>
            <w:r>
              <w:rPr>
                <w:b/>
                <w:bCs/>
                <w:color w:val="FFFFFF"/>
              </w:rPr>
              <w:t>Model 1 APY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6459C28" w14:textId="77777777" w:rsidR="00EA0D9A" w:rsidRDefault="00B6489A" w:rsidP="00CB1128">
            <w:pPr>
              <w:jc w:val="center"/>
            </w:pPr>
            <w:r>
              <w:rPr>
                <w:b/>
                <w:bCs/>
                <w:color w:val="FFFFFF"/>
              </w:rPr>
              <w:t>Model 2 NPS Penetrat</w:t>
            </w:r>
            <w:r>
              <w:rPr>
                <w:b/>
                <w:bCs/>
                <w:color w:val="FFFFFF"/>
              </w:rPr>
              <w: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7845E29" w14:textId="77777777" w:rsidR="00EA0D9A" w:rsidRDefault="00B6489A" w:rsidP="00CB1128">
            <w:pPr>
              <w:jc w:val="center"/>
            </w:pPr>
            <w:r>
              <w:rPr>
                <w:b/>
                <w:bCs/>
                <w:color w:val="FFFFFF"/>
              </w:rPr>
              <w:t>Model 3 (APY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C1D0423" w14:textId="77777777" w:rsidR="00EA0D9A" w:rsidRDefault="00B6489A" w:rsidP="00CB1128">
            <w:pPr>
              <w:jc w:val="center"/>
            </w:pPr>
            <w:r>
              <w:rPr>
                <w:b/>
                <w:bCs/>
                <w:color w:val="FFFFFF"/>
              </w:rPr>
              <w:t>Model 4 NPS AC Female %</w:t>
            </w:r>
          </w:p>
        </w:tc>
      </w:tr>
      <w:tr w:rsidR="00EA0D9A" w14:paraId="36A9C91E"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F73421E" w14:textId="77777777" w:rsidR="00EA0D9A" w:rsidRDefault="00B6489A">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3BC6AF2" w14:textId="77777777" w:rsidR="00EA0D9A" w:rsidRDefault="00B6489A">
            <w:pPr>
              <w:jc w:val="center"/>
            </w:pPr>
            <w:r>
              <w:rPr>
                <w:color w:val="000000"/>
              </w:rPr>
              <w:t>0.266 (0.188) [p=0.167]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E5F72F2" w14:textId="77777777" w:rsidR="00EA0D9A" w:rsidRDefault="00B6489A">
            <w:pPr>
              <w:jc w:val="center"/>
            </w:pPr>
            <w:r>
              <w:rPr>
                <w:color w:val="2E75B6"/>
              </w:rPr>
              <w:t>1.094** (0.313) [p=0.002]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EC98E1F" w14:textId="77777777" w:rsidR="00EA0D9A" w:rsidRDefault="00B6489A">
            <w:pPr>
              <w:jc w:val="center"/>
            </w:pPr>
            <w:r>
              <w:rPr>
                <w:color w:val="000000"/>
              </w:rPr>
              <w:t>−1.251 (3.536) [p=0.726]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55E1DCA" w14:textId="77777777" w:rsidR="00EA0D9A" w:rsidRDefault="00B6489A">
            <w:pPr>
              <w:jc w:val="center"/>
            </w:pPr>
            <w:r>
              <w:rPr>
                <w:color w:val="000000"/>
              </w:rPr>
              <w:t>0.598 (2.357) [p=0.652]</w:t>
            </w:r>
          </w:p>
        </w:tc>
      </w:tr>
      <w:tr w:rsidR="00EA0D9A" w14:paraId="4E11CF6E"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954BC2" w14:textId="77777777" w:rsidR="00EA0D9A" w:rsidRDefault="00B6489A">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880C5F" w14:textId="77777777" w:rsidR="00EA0D9A" w:rsidRDefault="00B6489A">
            <w:pPr>
              <w:jc w:val="center"/>
            </w:pPr>
            <w:r>
              <w:rPr>
                <w:color w:val="666666"/>
              </w:rPr>
              <w:t>0.150† (0.081) [p=0.072]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A4F6982" w14:textId="77777777" w:rsidR="00EA0D9A" w:rsidRDefault="00B6489A">
            <w:pPr>
              <w:jc w:val="center"/>
            </w:pPr>
            <w:r>
              <w:rPr>
                <w:color w:val="666666"/>
              </w:rPr>
              <w:t>0.260† (0.134) [p=0.063]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8F87A0" w14:textId="77777777" w:rsidR="00EA0D9A" w:rsidRDefault="00B6489A">
            <w:pPr>
              <w:jc w:val="center"/>
            </w:pPr>
            <w:r>
              <w:rPr>
                <w:color w:val="000000"/>
              </w:rPr>
              <w:t>1.682 (1.482) [p=0.266]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52F871" w14:textId="77777777" w:rsidR="00EA0D9A" w:rsidRDefault="00B6489A">
            <w:pPr>
              <w:jc w:val="center"/>
            </w:pPr>
            <w:r>
              <w:rPr>
                <w:color w:val="000000"/>
              </w:rPr>
              <w:t>1.656</w:t>
            </w:r>
            <w:r>
              <w:rPr>
                <w:color w:val="000000"/>
              </w:rPr>
              <w:t xml:space="preserve"> (1.012) [p=0.146]</w:t>
            </w:r>
          </w:p>
        </w:tc>
      </w:tr>
      <w:tr w:rsidR="00EA0D9A" w14:paraId="52DC5A99"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C4F9AA3" w14:textId="77777777" w:rsidR="00EA0D9A" w:rsidRDefault="00B6489A">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EC135E" w14:textId="77777777" w:rsidR="00EA0D9A" w:rsidRDefault="00B6489A">
            <w:pPr>
              <w:jc w:val="center"/>
            </w:pPr>
            <w:r>
              <w:rPr>
                <w:color w:val="000000"/>
              </w:rPr>
              <w:t>0.057 (0.105) [p=0.591]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FAFC0CF" w14:textId="77777777" w:rsidR="00EA0D9A" w:rsidRDefault="00B6489A">
            <w:pPr>
              <w:jc w:val="center"/>
            </w:pPr>
            <w:r>
              <w:rPr>
                <w:color w:val="000000"/>
              </w:rPr>
              <w:t>0.247 (0.175) [p=0.169]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4849FDC" w14:textId="77777777" w:rsidR="00EA0D9A" w:rsidRDefault="00B6489A">
            <w:pPr>
              <w:jc w:val="center"/>
            </w:pPr>
            <w:r>
              <w:rPr>
                <w:color w:val="000000"/>
              </w:rPr>
              <w:t>1.436 (1.939) [p=0.465]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EF5B2E2" w14:textId="77777777" w:rsidR="00EA0D9A" w:rsidRDefault="00B6489A">
            <w:pPr>
              <w:jc w:val="center"/>
            </w:pPr>
            <w:r>
              <w:rPr>
                <w:color w:val="1A6E2E"/>
              </w:rPr>
              <w:t>3.287* (1.319) [p=0.019]</w:t>
            </w:r>
          </w:p>
        </w:tc>
      </w:tr>
      <w:tr w:rsidR="00EA0D9A" w14:paraId="232FD9A5"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A8C78E5" w14:textId="77777777" w:rsidR="00EA0D9A" w:rsidRDefault="00B6489A">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06D6D0" w14:textId="77777777" w:rsidR="00EA0D9A" w:rsidRDefault="00B6489A">
            <w:pPr>
              <w:jc w:val="center"/>
            </w:pPr>
            <w:r>
              <w:rPr>
                <w:color w:val="000000"/>
              </w:rPr>
              <w:t>0.207 (0.153) [p=0.188]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6BB96F" w14:textId="77777777" w:rsidR="00EA0D9A" w:rsidRDefault="00B6489A">
            <w:pPr>
              <w:jc w:val="center"/>
            </w:pPr>
            <w:r>
              <w:rPr>
                <w:color w:val="666666"/>
              </w:rPr>
              <w:t>0.513† (0.255) [p=0.054]</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6B5C94B" w14:textId="77777777" w:rsidR="00EA0D9A" w:rsidRDefault="00B6489A">
            <w:pPr>
              <w:jc w:val="center"/>
            </w:pPr>
            <w:r>
              <w:rPr>
                <w:color w:val="000000"/>
              </w:rPr>
              <w:t>−4.931 (2.945) [p=0.105]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6F80049" w14:textId="77777777" w:rsidR="00EA0D9A" w:rsidRDefault="00B6489A">
            <w:pPr>
              <w:jc w:val="center"/>
            </w:pPr>
            <w:r>
              <w:rPr>
                <w:color w:val="000000"/>
              </w:rPr>
              <w:t>−0.271 (1.924) [p=0.885]</w:t>
            </w:r>
          </w:p>
        </w:tc>
      </w:tr>
      <w:tr w:rsidR="00EA0D9A" w14:paraId="453C8E20"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BD62C8" w14:textId="77777777" w:rsidR="00EA0D9A" w:rsidRDefault="00B6489A">
            <w:r>
              <w:rPr>
                <w:b/>
                <w:bCs/>
                <w:color w:val="000000"/>
              </w:rPr>
              <w:t>FI</w:t>
            </w:r>
            <w:r>
              <w:rPr>
                <w:b/>
                <w:bCs/>
                <w:color w:val="000000"/>
              </w:rPr>
              <w:t xml:space="preserve">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839CAC" w14:textId="77777777" w:rsidR="00EA0D9A" w:rsidRDefault="00B6489A">
            <w:pPr>
              <w:jc w:val="center"/>
            </w:pPr>
            <w:r>
              <w:rPr>
                <w:color w:val="000000"/>
              </w:rPr>
              <w:t>−0.363 (0.242) [p=0.145]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51E62CE" w14:textId="77777777" w:rsidR="00EA0D9A" w:rsidRDefault="00B6489A">
            <w:pPr>
              <w:jc w:val="center"/>
            </w:pPr>
            <w:r>
              <w:rPr>
                <w:color w:val="2E75B6"/>
              </w:rPr>
              <w:t>−1.245** (0.403) [p=0.004]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9C13706" w14:textId="77777777" w:rsidR="00EA0D9A" w:rsidRDefault="00B6489A">
            <w:pPr>
              <w:jc w:val="center"/>
            </w:pPr>
            <w:r>
              <w:rPr>
                <w:color w:val="000000"/>
              </w:rPr>
              <w:t>2.261 (4.561) [p=0.624]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468D83F" w14:textId="77777777" w:rsidR="00EA0D9A" w:rsidRDefault="00B6489A">
            <w:pPr>
              <w:jc w:val="center"/>
            </w:pPr>
            <w:r>
              <w:rPr>
                <w:color w:val="000000"/>
              </w:rPr>
              <w:t>−0.276 (3.041) [p=0.655]</w:t>
            </w:r>
          </w:p>
        </w:tc>
      </w:tr>
      <w:tr w:rsidR="00EA0D9A" w14:paraId="2CB43FFB"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F254607" w14:textId="77777777" w:rsidR="00EA0D9A" w:rsidRDefault="00B6489A">
            <w:r>
              <w:rPr>
                <w:b/>
                <w:bCs/>
                <w:color w:val="000000"/>
              </w:rPr>
              <w:t>Constant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3FC63AC" w14:textId="77777777" w:rsidR="00EA0D9A" w:rsidRDefault="00B6489A">
            <w:pPr>
              <w:jc w:val="center"/>
            </w:pPr>
            <w:r>
              <w:rPr>
                <w:color w:val="1A3A5C"/>
              </w:rPr>
              <w:t>0.897*** (0.070)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4886AE4" w14:textId="77777777" w:rsidR="00EA0D9A" w:rsidRDefault="00B6489A">
            <w:pPr>
              <w:jc w:val="center"/>
            </w:pPr>
            <w:r>
              <w:rPr>
                <w:color w:val="1A3A5C"/>
              </w:rPr>
              <w:t>1.665*** (0.117)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0798985" w14:textId="77777777" w:rsidR="00EA0D9A" w:rsidRDefault="00B6489A">
            <w:pPr>
              <w:jc w:val="center"/>
            </w:pPr>
            <w:r>
              <w:rPr>
                <w:color w:val="1A3A5C"/>
              </w:rPr>
              <w:t>47.533*** (1.331)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19D5AE1" w14:textId="77777777" w:rsidR="00EA0D9A" w:rsidRDefault="00B6489A">
            <w:pPr>
              <w:jc w:val="center"/>
            </w:pPr>
            <w:r>
              <w:rPr>
                <w:color w:val="1A3A5C"/>
              </w:rPr>
              <w:t>27.351*** (0.883) [p&lt;0.001]</w:t>
            </w:r>
          </w:p>
        </w:tc>
      </w:tr>
      <w:tr w:rsidR="00EA0D9A" w14:paraId="7855DA48"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A075CA6" w14:textId="77777777" w:rsidR="00EA0D9A" w:rsidRDefault="00B6489A">
            <w:pPr>
              <w:jc w:val="center"/>
            </w:pPr>
            <w:r>
              <w:rPr>
                <w:b/>
                <w:bCs/>
                <w:color w:val="000000"/>
              </w:rPr>
              <w:t>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277A0554" w14:textId="77777777" w:rsidR="00EA0D9A" w:rsidRDefault="00B6489A">
            <w:pPr>
              <w:jc w:val="center"/>
            </w:pPr>
            <w:r>
              <w:rPr>
                <w:b/>
                <w:bCs/>
                <w:color w:val="000000"/>
              </w:rPr>
              <w:t>0.232</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0F2B23C3" w14:textId="77777777" w:rsidR="00EA0D9A" w:rsidRDefault="00B6489A">
            <w:pPr>
              <w:jc w:val="center"/>
            </w:pPr>
            <w:r>
              <w:rPr>
                <w:b/>
                <w:bCs/>
                <w:color w:val="000000"/>
              </w:rPr>
              <w:t>0.534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0507A4D1" w14:textId="77777777" w:rsidR="00EA0D9A" w:rsidRDefault="00B6489A">
            <w:pPr>
              <w:jc w:val="center"/>
            </w:pPr>
            <w:r>
              <w:rPr>
                <w:b/>
                <w:bCs/>
                <w:color w:val="000000"/>
              </w:rPr>
              <w:t>0.232</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14AA984" w14:textId="77777777" w:rsidR="00EA0D9A" w:rsidRDefault="00B6489A">
            <w:pPr>
              <w:jc w:val="center"/>
            </w:pPr>
            <w:r>
              <w:rPr>
                <w:b/>
                <w:bCs/>
                <w:color w:val="000000"/>
              </w:rPr>
              <w:t>0.390</w:t>
            </w:r>
          </w:p>
        </w:tc>
      </w:tr>
      <w:tr w:rsidR="00EA0D9A" w14:paraId="639C9A1A"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0A3F83E" w14:textId="77777777" w:rsidR="00EA0D9A" w:rsidRDefault="00B6489A">
            <w:pPr>
              <w:jc w:val="center"/>
            </w:pPr>
            <w:r>
              <w:rPr>
                <w:b/>
                <w:bCs/>
                <w:color w:val="000000"/>
              </w:rPr>
              <w:t>Adj. 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7D770E34" w14:textId="77777777" w:rsidR="00EA0D9A" w:rsidRDefault="00B6489A">
            <w:pPr>
              <w:jc w:val="center"/>
            </w:pPr>
            <w:r>
              <w:rPr>
                <w:b/>
                <w:bCs/>
                <w:color w:val="000000"/>
              </w:rPr>
              <w:t>0.100</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5B68DD1F" w14:textId="77777777" w:rsidR="00EA0D9A" w:rsidRDefault="00B6489A">
            <w:pPr>
              <w:jc w:val="center"/>
            </w:pPr>
            <w:r>
              <w:rPr>
                <w:b/>
                <w:bCs/>
                <w:color w:val="000000"/>
              </w:rPr>
              <w:t>0.454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60F7CE65" w14:textId="77777777" w:rsidR="00EA0D9A" w:rsidRDefault="00B6489A">
            <w:pPr>
              <w:jc w:val="center"/>
            </w:pPr>
            <w:r>
              <w:rPr>
                <w:b/>
                <w:bCs/>
                <w:color w:val="000000"/>
              </w:rPr>
              <w:t>0.095</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DB5D442" w14:textId="77777777" w:rsidR="00EA0D9A" w:rsidRDefault="00B6489A">
            <w:pPr>
              <w:jc w:val="center"/>
            </w:pPr>
            <w:r>
              <w:rPr>
                <w:b/>
                <w:bCs/>
                <w:color w:val="000000"/>
              </w:rPr>
              <w:t>0.285</w:t>
            </w:r>
          </w:p>
        </w:tc>
      </w:tr>
      <w:tr w:rsidR="00EA0D9A" w14:paraId="303DD3AA"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9D0C525" w14:textId="77777777" w:rsidR="00EA0D9A" w:rsidRDefault="00B6489A">
            <w:pPr>
              <w:jc w:val="center"/>
            </w:pPr>
            <w:r>
              <w:rPr>
                <w:color w:val="000000"/>
              </w:rPr>
              <w:t>F-statistic</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27CCEC" w14:textId="77777777" w:rsidR="00EA0D9A" w:rsidRDefault="00B6489A">
            <w:pPr>
              <w:jc w:val="center"/>
            </w:pPr>
            <w:r>
              <w:rPr>
                <w:b/>
                <w:bCs/>
                <w:color w:val="000000"/>
              </w:rPr>
              <w:t>1.752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6ED4137" w14:textId="77777777" w:rsidR="00EA0D9A" w:rsidRDefault="00B6489A">
            <w:pPr>
              <w:jc w:val="center"/>
            </w:pPr>
            <w:r>
              <w:rPr>
                <w:b/>
                <w:bCs/>
                <w:color w:val="000000"/>
              </w:rPr>
              <w:t>6.648***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EBBFC3" w14:textId="77777777" w:rsidR="00EA0D9A" w:rsidRDefault="00B6489A">
            <w:pPr>
              <w:jc w:val="center"/>
            </w:pPr>
            <w:r>
              <w:rPr>
                <w:b/>
                <w:bCs/>
                <w:color w:val="000000"/>
              </w:rPr>
              <w:t>1.689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D285B28" w14:textId="77777777" w:rsidR="00EA0D9A" w:rsidRDefault="00B6489A">
            <w:pPr>
              <w:jc w:val="center"/>
            </w:pPr>
            <w:r>
              <w:rPr>
                <w:b/>
                <w:bCs/>
                <w:color w:val="000000"/>
              </w:rPr>
              <w:t>3.708*</w:t>
            </w:r>
          </w:p>
        </w:tc>
      </w:tr>
      <w:tr w:rsidR="00EA0D9A" w14:paraId="23E567E7"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EEDFB32" w14:textId="77777777" w:rsidR="00EA0D9A" w:rsidRDefault="00B6489A">
            <w:pPr>
              <w:jc w:val="center"/>
            </w:pPr>
            <w:r>
              <w:rPr>
                <w:color w:val="000000"/>
              </w:rPr>
              <w:t>N</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ACA9039"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80B9320"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182A36"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182F8E" w14:textId="77777777" w:rsidR="00EA0D9A" w:rsidRDefault="00B6489A">
            <w:pPr>
              <w:jc w:val="center"/>
            </w:pPr>
            <w:r>
              <w:rPr>
                <w:color w:val="000000"/>
              </w:rPr>
              <w:t>34</w:t>
            </w:r>
          </w:p>
        </w:tc>
      </w:tr>
      <w:tr w:rsidR="00EA0D9A" w14:paraId="69CE1A15" w14:textId="77777777" w:rsidTr="003C2D12">
        <w:trPr>
          <w:jc w:val="center"/>
        </w:trPr>
        <w:tc>
          <w:tcPr>
            <w:tcW w:w="9768" w:type="dxa"/>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2CFD293" w14:textId="17C76E7B" w:rsidR="00EA0D9A" w:rsidRPr="008C0AEA" w:rsidRDefault="003C2D12" w:rsidP="008C0AEA">
            <w:pPr>
              <w:jc w:val="both"/>
            </w:pPr>
            <w:r>
              <w:rPr>
                <w:b/>
                <w:bCs/>
                <w:color w:val="0D0D0D" w:themeColor="text1" w:themeTint="F2"/>
                <w:sz w:val="18"/>
                <w:szCs w:val="18"/>
              </w:rPr>
              <w:t xml:space="preserve">Notes: </w:t>
            </w:r>
            <w:r>
              <w:rPr>
                <w:color w:val="0D0D0D" w:themeColor="text1" w:themeTint="F2"/>
                <w:sz w:val="18"/>
                <w:szCs w:val="18"/>
              </w:rPr>
              <w:t>Standardised OLS coefficients (β) are reported with standard errors in parentheses and exact p-values in brackets, β (SE) [p]. Significance levels: *** p&lt;0.001, ** p&lt;0.01, * p&lt;0.05, † p&lt;0.10. Predictors are z-scored (zero mean, unit standard deviation). Sikkim is excluded as a structural outlier (APY &gt; 3 SD above the mean). Variance Inflation Factors (VIF) in full models: Bank Density = 7.16; FI Index = 11.92. HC3-robust standard errors for Model 2 yield similar results (Bank Density SE = 0.293, p = 0.001). See Table 4 for reduced-form results.</w:t>
            </w:r>
          </w:p>
        </w:tc>
      </w:tr>
    </w:tbl>
    <w:p w14:paraId="066FF885" w14:textId="10463764" w:rsidR="003C2D12" w:rsidRDefault="003C2D12" w:rsidP="003C2D12">
      <w:pPr>
        <w:spacing w:after="120"/>
        <w:rPr>
          <w:b/>
          <w:bCs/>
          <w:color w:val="2E75B6"/>
          <w:sz w:val="24"/>
          <w:szCs w:val="24"/>
        </w:rPr>
      </w:pPr>
      <w:r>
        <w:rPr>
          <w:b/>
          <w:bCs/>
          <w:color w:val="000000" w:themeColor="text1"/>
        </w:rPr>
        <w:t>Source: Authors’ calculations.</w:t>
      </w:r>
    </w:p>
    <w:p w14:paraId="72E68D97" w14:textId="127DFD6D" w:rsidR="00EA0D9A" w:rsidRPr="00E5345C" w:rsidRDefault="00B6489A" w:rsidP="00B56A6C">
      <w:pPr>
        <w:spacing w:before="200" w:after="100"/>
        <w:jc w:val="both"/>
        <w:rPr>
          <w:color w:val="1C385C"/>
          <w:sz w:val="25"/>
          <w:szCs w:val="25"/>
        </w:rPr>
      </w:pPr>
      <w:r>
        <w:rPr>
          <w:b/>
          <w:bCs/>
          <w:color w:val="1C385C"/>
          <w:sz w:val="25"/>
          <w:szCs w:val="25"/>
        </w:rPr>
        <w:t>5.3.1 H1a and H1b   Banking Infrastructure and Penetration</w:t>
      </w:r>
    </w:p>
    <w:p w14:paraId="48CBA0C2" w14:textId="3E2291FD" w:rsidR="00AC063B" w:rsidRDefault="00B6489A" w:rsidP="00BC226F">
      <w:pPr>
        <w:spacing w:before="120" w:after="120" w:line="276" w:lineRule="auto"/>
        <w:ind w:firstLine="720"/>
        <w:jc w:val="both"/>
      </w:pPr>
      <w:r>
        <w:rPr>
          <w:sz w:val="24"/>
          <w:szCs w:val="24"/>
        </w:rPr>
        <w:lastRenderedPageBreak/>
        <w:t xml:space="preserve">H1 is supported. </w:t>
      </w:r>
      <w:r w:rsidR="00BC226F" w:rsidRPr="00BC226F">
        <w:rPr>
          <w:sz w:val="24"/>
          <w:szCs w:val="24"/>
        </w:rPr>
        <w:t>Bank density is strongly associated with NPS penetration (β = 1.094, SE = 0.313, p = 0.002), though attenuated in reduced-form specifications (β = 0.422), but not APY</w:t>
      </w:r>
      <w:r>
        <w:rPr>
          <w:sz w:val="24"/>
          <w:szCs w:val="24"/>
        </w:rPr>
        <w:t xml:space="preserve"> (β = 0.266, p = 0.167). This null result is consistent with the scheme-design argument but can</w:t>
      </w:r>
      <w:r>
        <w:rPr>
          <w:sz w:val="24"/>
          <w:szCs w:val="24"/>
        </w:rPr>
        <w:t>not be distinguished from low statistical power (N = 35). Spearman correlations confirm the pattern: r = 0.480 for NPS (p = 0.003) versus r = 0.187 for APY (p = 0.281).</w:t>
      </w:r>
    </w:p>
    <w:p w14:paraId="38B4FF4C" w14:textId="77777777" w:rsidR="00AC063B" w:rsidRDefault="00B6489A">
      <w:pPr>
        <w:spacing w:before="240"/>
        <w:jc w:val="both"/>
      </w:pPr>
      <w:r>
        <w:rPr>
          <w:sz w:val="24"/>
          <w:szCs w:val="24"/>
        </w:rPr>
        <w:t>The large negative FI Index coefficient in Model 2 (β =− 1.245, p = 0.004) is a colline</w:t>
      </w:r>
      <w:r>
        <w:rPr>
          <w:sz w:val="24"/>
          <w:szCs w:val="24"/>
        </w:rPr>
        <w:t>arity artefact, not a substantive finding. Bank density and the FI Index correlate at r = 0.908 (VIF = 11.92); when two predictors are that correlated, their coefficients partition shared variance and can flip sign (Belsley, Kuh, and Welsch, 1980). The red</w:t>
      </w:r>
      <w:r>
        <w:rPr>
          <w:sz w:val="24"/>
          <w:szCs w:val="24"/>
        </w:rPr>
        <w:t>uced-form specification drops the FI Index, brings all VIFs below 4.0, and bank density retains its positive association with NPS penetration (β = 0.422, Table 4).</w:t>
      </w:r>
    </w:p>
    <w:p w14:paraId="17A88BB4" w14:textId="1EEE24F5" w:rsidR="001C3200" w:rsidRPr="00E5345C" w:rsidRDefault="00B6489A" w:rsidP="00B56A6C">
      <w:pPr>
        <w:pStyle w:val="Heading4"/>
        <w:spacing w:before="240"/>
        <w:jc w:val="both"/>
        <w:rPr>
          <w:b/>
          <w:bCs/>
          <w:i w:val="0"/>
          <w:iCs w:val="0"/>
          <w:sz w:val="25"/>
          <w:szCs w:val="25"/>
        </w:rPr>
      </w:pPr>
      <w:r>
        <w:rPr>
          <w:b/>
          <w:bCs/>
          <w:i w:val="0"/>
          <w:iCs w:val="0"/>
          <w:color w:val="1C385C"/>
          <w:sz w:val="25"/>
          <w:szCs w:val="25"/>
        </w:rPr>
        <w:t>5.3.2 H2a and H2b   Per-Capita Income and Penetration</w:t>
      </w:r>
    </w:p>
    <w:p w14:paraId="6A71F387" w14:textId="77777777" w:rsidR="00AC063B" w:rsidRDefault="00B6489A">
      <w:pPr>
        <w:spacing w:before="240"/>
        <w:jc w:val="both"/>
        <w:rPr>
          <w:sz w:val="24"/>
          <w:szCs w:val="24"/>
        </w:rPr>
      </w:pPr>
      <w:r>
        <w:rPr>
          <w:sz w:val="24"/>
          <w:szCs w:val="24"/>
        </w:rPr>
        <w:t>Per-capita income approaches significa</w:t>
      </w:r>
      <w:r>
        <w:rPr>
          <w:sz w:val="24"/>
          <w:szCs w:val="24"/>
        </w:rPr>
        <w:t>nce for NPS (β = 0.513, SE = 0.255, p = 0.054) but not for APY (β = 0.210, p = 0.188). The Spearman rank correlation confirms the direction (r = 0.437, p = 0.009). The OLS estimate disappears entirely in the reduced-form model (Table 4) once collinearity i</w:t>
      </w:r>
      <w:r>
        <w:rPr>
          <w:sz w:val="24"/>
          <w:szCs w:val="24"/>
        </w:rPr>
        <w:t>s addressed. Income shares variance with bank density and the FI Index (r &gt; 0.80, Appendix B), suggesting it is proxying for correlated development indicators rather than exerting an independent effect. H2a is not treated as a robust finding. H2b—no APY in</w:t>
      </w:r>
      <w:r>
        <w:rPr>
          <w:sz w:val="24"/>
          <w:szCs w:val="24"/>
        </w:rPr>
        <w:t>come effect—is supported.</w:t>
      </w:r>
    </w:p>
    <w:p w14:paraId="12787C4F" w14:textId="46CD4CD2" w:rsidR="001C3200" w:rsidRPr="00E5345C" w:rsidRDefault="00B6489A" w:rsidP="00B56A6C">
      <w:pPr>
        <w:pStyle w:val="Heading4"/>
        <w:spacing w:before="240"/>
        <w:jc w:val="both"/>
        <w:rPr>
          <w:b/>
          <w:bCs/>
          <w:i w:val="0"/>
          <w:iCs w:val="0"/>
          <w:color w:val="1C385C"/>
          <w:sz w:val="25"/>
          <w:szCs w:val="25"/>
        </w:rPr>
      </w:pPr>
      <w:r>
        <w:rPr>
          <w:b/>
          <w:bCs/>
          <w:i w:val="0"/>
          <w:iCs w:val="0"/>
          <w:color w:val="1C385C"/>
          <w:sz w:val="25"/>
          <w:szCs w:val="25"/>
        </w:rPr>
        <w:t>5.3.3 H3a and H3b   Female LFPR and Gender Participation</w:t>
      </w:r>
    </w:p>
    <w:p w14:paraId="4C547EBC" w14:textId="77777777" w:rsidR="00AC063B" w:rsidRDefault="00B6489A">
      <w:pPr>
        <w:jc w:val="both"/>
        <w:rPr>
          <w:sz w:val="24"/>
          <w:szCs w:val="24"/>
        </w:rPr>
      </w:pPr>
      <w:r>
        <w:rPr>
          <w:sz w:val="24"/>
          <w:szCs w:val="24"/>
        </w:rPr>
        <w:t>H3 is not supported. Female LFPR is not significantly associated with either gender model: APY female share (β = 1.682, p = 0.266) or NPS AC female share (β = 1.656, p = 0.1</w:t>
      </w:r>
      <w:r>
        <w:rPr>
          <w:sz w:val="24"/>
          <w:szCs w:val="24"/>
        </w:rPr>
        <w:t>13). H3a and H3b are rejected at conventional thresholds.</w:t>
      </w:r>
    </w:p>
    <w:p w14:paraId="516B5EA9" w14:textId="77777777" w:rsidR="00AC063B" w:rsidRDefault="00B6489A">
      <w:pPr>
        <w:jc w:val="both"/>
        <w:rPr>
          <w:sz w:val="24"/>
          <w:szCs w:val="24"/>
        </w:rPr>
      </w:pPr>
      <w:r>
        <w:rPr>
          <w:sz w:val="24"/>
          <w:szCs w:val="24"/>
        </w:rPr>
        <w:t xml:space="preserve">The likely explanation is measurement mismatch. PLFS female LFPR is a total labour force measure—it counts all female workers as a share of the working-age female population, including those in the </w:t>
      </w:r>
      <w:r>
        <w:rPr>
          <w:sz w:val="24"/>
          <w:szCs w:val="24"/>
        </w:rPr>
        <w:t>informal sector. NPS participation, by contrast, is structurally tied to formal wage employment: account opening requires a registered Point of Presence, contributions require a bank account, and the scheme targets salaried workers in the organised sector.</w:t>
      </w:r>
      <w:r>
        <w:rPr>
          <w:sz w:val="24"/>
          <w:szCs w:val="24"/>
        </w:rPr>
        <w:t xml:space="preserve"> The theoretical construct (formal female employment) and the available proxy (total LFPR) are different populations. This mismatch, rather than the absence of a genuine relationship, likely explains the null result for H3. Future research with state-level</w:t>
      </w:r>
      <w:r>
        <w:rPr>
          <w:sz w:val="24"/>
          <w:szCs w:val="24"/>
        </w:rPr>
        <w:t xml:space="preserve"> formal-sector female employment data could test this directly.</w:t>
      </w:r>
    </w:p>
    <w:p w14:paraId="6FD82923" w14:textId="77777777" w:rsidR="00AC063B" w:rsidRDefault="00B6489A">
      <w:pPr>
        <w:jc w:val="both"/>
        <w:rPr>
          <w:sz w:val="24"/>
          <w:szCs w:val="24"/>
        </w:rPr>
      </w:pPr>
      <w:r>
        <w:rPr>
          <w:sz w:val="24"/>
          <w:szCs w:val="24"/>
        </w:rPr>
        <w:t>Shapiro–Wilk tests on residuals are consistent with OLS validity across models. Model 1 shows a marginal violation (W = 0.938, p = 0.049), but this does not affect inference given that all pre</w:t>
      </w:r>
      <w:r>
        <w:rPr>
          <w:sz w:val="24"/>
          <w:szCs w:val="24"/>
        </w:rPr>
        <w:t>dictors are non-significant in that model.</w:t>
      </w:r>
    </w:p>
    <w:p w14:paraId="5E350303" w14:textId="45EE5536" w:rsidR="00EA0D9A" w:rsidRPr="00E5345C" w:rsidRDefault="00B6489A" w:rsidP="00B56A6C">
      <w:pPr>
        <w:spacing w:before="200" w:after="100"/>
        <w:jc w:val="both"/>
        <w:rPr>
          <w:color w:val="1C385C"/>
          <w:sz w:val="25"/>
          <w:szCs w:val="25"/>
        </w:rPr>
      </w:pPr>
      <w:r>
        <w:rPr>
          <w:b/>
          <w:bCs/>
          <w:color w:val="1C385C"/>
          <w:sz w:val="25"/>
          <w:szCs w:val="25"/>
        </w:rPr>
        <w:t>5.3.4 H4a and H4b   Literacy and NPS Female Participation</w:t>
      </w:r>
    </w:p>
    <w:p w14:paraId="443894B9" w14:textId="77777777" w:rsidR="00AC063B" w:rsidRDefault="00B6489A">
      <w:pPr>
        <w:spacing w:before="120" w:after="120" w:line="276" w:lineRule="auto"/>
        <w:ind w:firstLine="720"/>
        <w:jc w:val="both"/>
      </w:pPr>
      <w:r>
        <w:rPr>
          <w:sz w:val="24"/>
          <w:szCs w:val="24"/>
        </w:rPr>
        <w:t xml:space="preserve">H4 is supported. Literacy rate is positively associated with NPS AC female share (β = 3.287, SE = 1.319, p = 0.019). The result is stable across </w:t>
      </w:r>
      <w:r>
        <w:rPr>
          <w:sz w:val="24"/>
          <w:szCs w:val="24"/>
        </w:rPr>
        <w:t>specifications: the reduced-form coefficient is β = 2.956 (p = 0.026) and the Spearman correlation is r = 0.537 (p = 0.001). Kerala illustrates the pattern: with the highest state literacy rate (94.0%) and FI-Index score (79.2), female NPS participation ro</w:t>
      </w:r>
      <w:r>
        <w:rPr>
          <w:sz w:val="24"/>
          <w:szCs w:val="24"/>
        </w:rPr>
        <w:t xml:space="preserve">se from 34.4% to 54.6% over the study period—one of the few states to approach </w:t>
      </w:r>
      <w:r>
        <w:rPr>
          <w:sz w:val="24"/>
          <w:szCs w:val="24"/>
        </w:rPr>
        <w:lastRenderedPageBreak/>
        <w:t>parity. Literacy here is best read as a proxy for financial capability, not general educational attainment. For APY, literacy shows no significant association with female partic</w:t>
      </w:r>
      <w:r>
        <w:rPr>
          <w:sz w:val="24"/>
          <w:szCs w:val="24"/>
        </w:rPr>
        <w:t>ipation (β = 1.436, p = 0.465): where there is no knowledge barrier, there is no literacy effect.</w:t>
      </w:r>
    </w:p>
    <w:p w14:paraId="43D52896" w14:textId="77777777" w:rsidR="00EA0D9A" w:rsidRPr="00E5345C" w:rsidRDefault="00B6489A">
      <w:pPr>
        <w:spacing w:before="280" w:after="120"/>
        <w:rPr>
          <w:b/>
          <w:bCs/>
          <w:color w:val="1A3A5C"/>
          <w:sz w:val="25"/>
          <w:szCs w:val="25"/>
        </w:rPr>
      </w:pPr>
      <w:r>
        <w:rPr>
          <w:b/>
          <w:bCs/>
          <w:color w:val="1A3A5C"/>
          <w:sz w:val="25"/>
          <w:szCs w:val="25"/>
        </w:rPr>
        <w:t>5.4 Spearman Rank Correlations</w:t>
      </w:r>
    </w:p>
    <w:p w14:paraId="46D64CBC" w14:textId="587AD51F" w:rsidR="007523AB" w:rsidRPr="007523AB" w:rsidRDefault="007523AB" w:rsidP="007523AB">
      <w:pPr>
        <w:spacing w:line="276" w:lineRule="auto"/>
        <w:jc w:val="center"/>
        <w:rPr>
          <w:b/>
          <w:bCs/>
          <w:sz w:val="24"/>
          <w:szCs w:val="24"/>
        </w:rPr>
      </w:pPr>
      <w:r>
        <w:rPr>
          <w:b/>
          <w:bCs/>
          <w:color w:val="000000"/>
          <w:sz w:val="22"/>
          <w:szCs w:val="22"/>
        </w:rPr>
        <w:t>Table 3: Spearman Rank Correlations Between Socioeconomic Predictors and Pension Outcome Variables (N = 35)</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6"/>
        <w:gridCol w:w="1918"/>
        <w:gridCol w:w="1890"/>
        <w:gridCol w:w="1690"/>
        <w:gridCol w:w="1987"/>
      </w:tblGrid>
      <w:tr w:rsidR="00EA0D9A" w14:paraId="3DC90DA1" w14:textId="77777777" w:rsidTr="007523AB">
        <w:trPr>
          <w:trHeight w:val="474"/>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382CEC4" w14:textId="77777777" w:rsidR="00EA0D9A" w:rsidRDefault="00B6489A" w:rsidP="007523AB">
            <w:pPr>
              <w:jc w:val="center"/>
            </w:pPr>
            <w:r>
              <w:rPr>
                <w:b/>
                <w:bCs/>
                <w:color w:val="FFFFFF"/>
              </w:rPr>
              <w:t>Predictor</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C4331F6" w14:textId="77777777" w:rsidR="00EA0D9A" w:rsidRDefault="00B6489A" w:rsidP="007523AB">
            <w:pPr>
              <w:jc w:val="center"/>
            </w:pPr>
            <w:r>
              <w:rPr>
                <w:b/>
                <w:bCs/>
                <w:color w:val="FFFFFF"/>
              </w:rPr>
              <w:t>APY Penet</w:t>
            </w:r>
            <w:r>
              <w:rPr>
                <w:b/>
                <w:bCs/>
                <w:color w:val="FFFFFF"/>
              </w:rPr>
              <w: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8E06E67" w14:textId="77777777" w:rsidR="00EA0D9A" w:rsidRDefault="00B6489A" w:rsidP="007523AB">
            <w:pPr>
              <w:jc w:val="center"/>
            </w:pPr>
            <w:r>
              <w:rPr>
                <w:b/>
                <w:bCs/>
                <w:color w:val="FFFFFF"/>
              </w:rPr>
              <w:t>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4F83C8F" w14:textId="77777777" w:rsidR="00EA0D9A" w:rsidRDefault="00B6489A" w:rsidP="007523AB">
            <w:pPr>
              <w:jc w:val="center"/>
            </w:pPr>
            <w:r>
              <w:rPr>
                <w:b/>
                <w:bCs/>
                <w:color w:val="FFFFFF"/>
              </w:rPr>
              <w:t>APY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381D4F" w14:textId="77777777" w:rsidR="00EA0D9A" w:rsidRDefault="00B6489A" w:rsidP="007523AB">
            <w:pPr>
              <w:jc w:val="center"/>
            </w:pPr>
            <w:r>
              <w:rPr>
                <w:b/>
                <w:bCs/>
                <w:color w:val="FFFFFF"/>
              </w:rPr>
              <w:t>NPS AC Female %</w:t>
            </w:r>
          </w:p>
        </w:tc>
      </w:tr>
      <w:tr w:rsidR="00EA0D9A" w14:paraId="454E327E" w14:textId="77777777" w:rsidTr="007523AB">
        <w:trPr>
          <w:trHeight w:val="224"/>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1CC097" w14:textId="77777777" w:rsidR="00EA0D9A" w:rsidRDefault="00B6489A">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154F4D" w14:textId="77777777" w:rsidR="00EA0D9A" w:rsidRDefault="00B6489A">
            <w:pPr>
              <w:jc w:val="center"/>
            </w:pPr>
            <w:r>
              <w:rPr>
                <w:color w:val="000000"/>
              </w:rPr>
              <w:t>0.187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900CC6" w14:textId="77777777" w:rsidR="00EA0D9A" w:rsidRDefault="00B6489A">
            <w:pPr>
              <w:jc w:val="center"/>
            </w:pPr>
            <w:r>
              <w:rPr>
                <w:color w:val="2E75B6"/>
              </w:rPr>
              <w:t>0.480**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46CC91" w14:textId="77777777" w:rsidR="00EA0D9A" w:rsidRDefault="00B6489A">
            <w:pPr>
              <w:jc w:val="center"/>
            </w:pPr>
            <w:r>
              <w:rPr>
                <w:color w:val="000000"/>
              </w:rPr>
              <w:t>−0.227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72298D7" w14:textId="77777777" w:rsidR="00EA0D9A" w:rsidRDefault="00B6489A">
            <w:pPr>
              <w:jc w:val="center"/>
            </w:pPr>
            <w:r>
              <w:rPr>
                <w:color w:val="1A6E2E"/>
              </w:rPr>
              <w:t>0.426*</w:t>
            </w:r>
          </w:p>
        </w:tc>
      </w:tr>
      <w:tr w:rsidR="00EA0D9A" w14:paraId="1F9A1EA6" w14:textId="77777777" w:rsidTr="007523AB">
        <w:trPr>
          <w:trHeight w:val="237"/>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F3F173" w14:textId="77777777" w:rsidR="00EA0D9A" w:rsidRDefault="00B6489A">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082B547" w14:textId="77777777" w:rsidR="00EA0D9A" w:rsidRDefault="00B6489A">
            <w:pPr>
              <w:jc w:val="center"/>
            </w:pPr>
            <w:r>
              <w:rPr>
                <w:color w:val="000000"/>
              </w:rPr>
              <w:t>−0.030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17118DE" w14:textId="77777777" w:rsidR="00EA0D9A" w:rsidRDefault="00B6489A">
            <w:pPr>
              <w:jc w:val="center"/>
            </w:pPr>
            <w:r>
              <w:rPr>
                <w:color w:val="000000"/>
              </w:rPr>
              <w:t>0.098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D3DFB3" w14:textId="77777777" w:rsidR="00EA0D9A" w:rsidRDefault="00B6489A">
            <w:pPr>
              <w:jc w:val="center"/>
            </w:pPr>
            <w:r>
              <w:rPr>
                <w:color w:val="666666"/>
              </w:rPr>
              <w:t>0.324†</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D39DB2D" w14:textId="77777777" w:rsidR="00EA0D9A" w:rsidRDefault="00B6489A">
            <w:pPr>
              <w:jc w:val="center"/>
            </w:pPr>
            <w:r>
              <w:rPr>
                <w:color w:val="000000"/>
              </w:rPr>
              <w:t>0.265</w:t>
            </w:r>
          </w:p>
        </w:tc>
      </w:tr>
      <w:tr w:rsidR="00EA0D9A" w14:paraId="51BC5A58" w14:textId="77777777" w:rsidTr="007523AB">
        <w:trPr>
          <w:trHeight w:val="237"/>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6967CD9" w14:textId="77777777" w:rsidR="00EA0D9A" w:rsidRDefault="00B6489A">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409A08" w14:textId="77777777" w:rsidR="00EA0D9A" w:rsidRDefault="00B6489A">
            <w:pPr>
              <w:jc w:val="center"/>
            </w:pPr>
            <w:r>
              <w:rPr>
                <w:color w:val="666666"/>
              </w:rPr>
              <w:t>0.285†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761C87E" w14:textId="77777777" w:rsidR="00EA0D9A" w:rsidRDefault="00B6489A">
            <w:pPr>
              <w:jc w:val="center"/>
            </w:pPr>
            <w:r>
              <w:rPr>
                <w:color w:val="2E75B6"/>
              </w:rPr>
              <w:t>0.465**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5594B0" w14:textId="77777777" w:rsidR="00EA0D9A" w:rsidRDefault="00B6489A">
            <w:pPr>
              <w:jc w:val="center"/>
            </w:pPr>
            <w:r>
              <w:rPr>
                <w:color w:val="000000"/>
              </w:rPr>
              <w:t>−0.063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361B26" w14:textId="77777777" w:rsidR="00EA0D9A" w:rsidRDefault="00B6489A">
            <w:pPr>
              <w:jc w:val="center"/>
            </w:pPr>
            <w:r>
              <w:rPr>
                <w:color w:val="1A3A5C"/>
              </w:rPr>
              <w:t>0.537***</w:t>
            </w:r>
          </w:p>
        </w:tc>
      </w:tr>
      <w:tr w:rsidR="00EA0D9A" w14:paraId="5846D19C" w14:textId="77777777" w:rsidTr="007523AB">
        <w:trPr>
          <w:trHeight w:val="474"/>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1E2BE21" w14:textId="77777777" w:rsidR="00EA0D9A" w:rsidRDefault="00B6489A">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2A4E1DD" w14:textId="77777777" w:rsidR="00EA0D9A" w:rsidRDefault="00B6489A">
            <w:pPr>
              <w:jc w:val="center"/>
            </w:pPr>
            <w:r>
              <w:rPr>
                <w:color w:val="000000"/>
              </w:rPr>
              <w:t>0.198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79A802" w14:textId="77777777" w:rsidR="00EA0D9A" w:rsidRDefault="00B6489A">
            <w:pPr>
              <w:jc w:val="center"/>
            </w:pPr>
            <w:r>
              <w:rPr>
                <w:color w:val="2E75B6"/>
              </w:rPr>
              <w:t>0.437**</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82F54EE" w14:textId="77777777" w:rsidR="00EA0D9A" w:rsidRDefault="00B6489A">
            <w:pPr>
              <w:jc w:val="center"/>
            </w:pPr>
            <w:r>
              <w:rPr>
                <w:color w:val="666666"/>
              </w:rPr>
              <w:t>−0.308†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ADA0035" w14:textId="77777777" w:rsidR="00EA0D9A" w:rsidRDefault="00B6489A">
            <w:pPr>
              <w:jc w:val="center"/>
            </w:pPr>
            <w:r>
              <w:rPr>
                <w:color w:val="1A6E2E"/>
              </w:rPr>
              <w:t>0.395*</w:t>
            </w:r>
          </w:p>
        </w:tc>
      </w:tr>
      <w:tr w:rsidR="00EA0D9A" w14:paraId="4745C208" w14:textId="77777777" w:rsidTr="007523AB">
        <w:trPr>
          <w:trHeight w:val="224"/>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FE43E24" w14:textId="77777777" w:rsidR="00EA0D9A" w:rsidRDefault="00B6489A">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230B734" w14:textId="77777777" w:rsidR="00EA0D9A" w:rsidRDefault="00B6489A">
            <w:pPr>
              <w:jc w:val="center"/>
            </w:pPr>
            <w:r>
              <w:rPr>
                <w:color w:val="000000"/>
              </w:rPr>
              <w:t>0.146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1F134B7" w14:textId="77777777" w:rsidR="00EA0D9A" w:rsidRDefault="00B6489A">
            <w:pPr>
              <w:jc w:val="center"/>
            </w:pPr>
            <w:r>
              <w:rPr>
                <w:color w:val="1A6E2E"/>
              </w:rPr>
              <w:t>0.426*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D7FF666" w14:textId="77777777" w:rsidR="00EA0D9A" w:rsidRDefault="00B6489A">
            <w:pPr>
              <w:jc w:val="center"/>
            </w:pPr>
            <w:r>
              <w:rPr>
                <w:color w:val="000000"/>
              </w:rPr>
              <w:t>−0.164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11C5716" w14:textId="77777777" w:rsidR="00EA0D9A" w:rsidRDefault="00B6489A">
            <w:pPr>
              <w:jc w:val="center"/>
            </w:pPr>
            <w:r>
              <w:rPr>
                <w:color w:val="2E75B6"/>
              </w:rPr>
              <w:t>0.496**</w:t>
            </w:r>
          </w:p>
        </w:tc>
      </w:tr>
      <w:tr w:rsidR="00EA0D9A" w14:paraId="3747D35D" w14:textId="77777777" w:rsidTr="007523AB">
        <w:trPr>
          <w:trHeight w:val="436"/>
        </w:trPr>
        <w:tc>
          <w:tcPr>
            <w:tcW w:w="0" w:type="auto"/>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317AFB" w14:textId="4BE96916" w:rsidR="00EA0D9A" w:rsidRPr="003C2D12" w:rsidRDefault="003C2D12" w:rsidP="003C2D12">
            <w:pPr>
              <w:jc w:val="both"/>
            </w:pPr>
            <w:r>
              <w:rPr>
                <w:b/>
                <w:bCs/>
                <w:color w:val="0D0D0D" w:themeColor="text1" w:themeTint="F2"/>
                <w:sz w:val="18"/>
                <w:szCs w:val="18"/>
              </w:rPr>
              <w:t>Notes:</w:t>
            </w:r>
            <w:r>
              <w:rPr>
                <w:color w:val="0D0D0D" w:themeColor="text1" w:themeTint="F2"/>
                <w:sz w:val="18"/>
                <w:szCs w:val="18"/>
              </w:rPr>
              <w:t xml:space="preserve"> Two-tailed Spearman rank correlations. Sample size: N = 35 (N = 34 for APY Female %). Significance levels: *** p&lt;0.001, ** p&lt;0.01, * p&lt;0.05, † p&lt;0.10.</w:t>
            </w:r>
          </w:p>
        </w:tc>
      </w:tr>
    </w:tbl>
    <w:p w14:paraId="50FDECA7" w14:textId="3B9183D2" w:rsidR="003C2D12" w:rsidRDefault="003C2D12" w:rsidP="003C2D12">
      <w:pPr>
        <w:spacing w:after="120"/>
        <w:rPr>
          <w:b/>
          <w:bCs/>
          <w:color w:val="1A3A5C"/>
          <w:sz w:val="26"/>
          <w:szCs w:val="26"/>
        </w:rPr>
      </w:pPr>
      <w:r>
        <w:rPr>
          <w:b/>
          <w:bCs/>
          <w:color w:val="000000" w:themeColor="text1"/>
        </w:rPr>
        <w:t>Source: Authors’ calculations.</w:t>
      </w:r>
    </w:p>
    <w:p w14:paraId="4809E57F" w14:textId="12548EFB" w:rsidR="00EA0D9A" w:rsidRDefault="00B6489A">
      <w:pPr>
        <w:spacing w:before="280" w:after="120"/>
      </w:pPr>
      <w:r>
        <w:rPr>
          <w:b/>
          <w:bCs/>
          <w:color w:val="1A3A5C"/>
          <w:sz w:val="26"/>
          <w:szCs w:val="26"/>
        </w:rPr>
        <w:t>5</w:t>
      </w:r>
      <w:r>
        <w:rPr>
          <w:b/>
          <w:bCs/>
          <w:color w:val="1A3A5C"/>
          <w:sz w:val="25"/>
          <w:szCs w:val="25"/>
        </w:rPr>
        <w:t>.5 Robustness Check Reduced-Form Models Excluding</w:t>
      </w:r>
      <w:r>
        <w:rPr>
          <w:b/>
          <w:bCs/>
          <w:color w:val="1A3A5C"/>
          <w:sz w:val="25"/>
          <w:szCs w:val="25"/>
        </w:rPr>
        <w:t xml:space="preserve"> the FI Index</w:t>
      </w:r>
    </w:p>
    <w:p w14:paraId="169EF2E8" w14:textId="77777777" w:rsidR="00AC063B" w:rsidRDefault="00B6489A">
      <w:pPr>
        <w:spacing w:before="120" w:after="120" w:line="276" w:lineRule="auto"/>
        <w:ind w:firstLine="720"/>
        <w:jc w:val="both"/>
        <w:rPr>
          <w:color w:val="000000"/>
          <w:sz w:val="24"/>
          <w:szCs w:val="24"/>
        </w:rPr>
      </w:pPr>
      <w:r>
        <w:rPr>
          <w:sz w:val="24"/>
          <w:szCs w:val="24"/>
        </w:rPr>
        <w:t>The FI Index is excluded from the reduced-form specifications (r = 0.908 with bank density; VIF = 11.92). Table 4 reports Models 2R and 4R.</w:t>
      </w:r>
    </w:p>
    <w:p w14:paraId="0C5CA581" w14:textId="0EFF555E" w:rsidR="007523AB" w:rsidRPr="00E5345C" w:rsidRDefault="007523AB" w:rsidP="007523AB">
      <w:pPr>
        <w:spacing w:line="276" w:lineRule="auto"/>
        <w:jc w:val="center"/>
        <w:rPr>
          <w:b/>
          <w:bCs/>
          <w:sz w:val="22"/>
          <w:szCs w:val="22"/>
        </w:rPr>
      </w:pPr>
      <w:r>
        <w:rPr>
          <w:b/>
          <w:bCs/>
          <w:color w:val="000000"/>
          <w:sz w:val="22"/>
          <w:szCs w:val="22"/>
        </w:rPr>
        <w:t>Table 4: Reduced-Form OLS Estimates Excluding FI Index (Robustness Check). N=35 for Model 2R; N=34 for Model 4R (Ladakh excluded as a structural zero on the gender outcome)</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3"/>
        <w:gridCol w:w="2581"/>
        <w:gridCol w:w="2601"/>
        <w:gridCol w:w="1254"/>
        <w:gridCol w:w="1254"/>
      </w:tblGrid>
      <w:tr w:rsidR="00EA0D9A" w14:paraId="4C0E900C" w14:textId="77777777" w:rsidTr="007523AB">
        <w:trPr>
          <w:trHeight w:val="460"/>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A44EF84" w14:textId="77777777" w:rsidR="00EA0D9A" w:rsidRDefault="00B6489A" w:rsidP="007523AB">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1A588A5" w14:textId="77777777" w:rsidR="00EA0D9A" w:rsidRDefault="00B6489A" w:rsidP="007523AB">
            <w:pPr>
              <w:jc w:val="center"/>
            </w:pPr>
            <w:r>
              <w:rPr>
                <w:b/>
                <w:bCs/>
                <w:color w:val="FFFFFF"/>
              </w:rPr>
              <w:t>Model 2R 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6781F25" w14:textId="77777777" w:rsidR="00EA0D9A" w:rsidRDefault="00B6489A" w:rsidP="007523AB">
            <w:pPr>
              <w:jc w:val="center"/>
            </w:pPr>
            <w:r>
              <w:rPr>
                <w:b/>
                <w:bCs/>
                <w:color w:val="FFFFFF"/>
              </w:rPr>
              <w:t>Model 4R NPS AC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94FBC5C" w14:textId="77777777" w:rsidR="00EA0D9A" w:rsidRDefault="00B6489A" w:rsidP="007523AB">
            <w:pPr>
              <w:jc w:val="center"/>
            </w:pPr>
            <w:r>
              <w:rPr>
                <w:b/>
                <w:bCs/>
                <w:color w:val="FFFFFF"/>
              </w:rPr>
              <w:t>VIF (M2R)</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FA013F" w14:textId="77777777" w:rsidR="00EA0D9A" w:rsidRDefault="00B6489A" w:rsidP="007523AB">
            <w:pPr>
              <w:jc w:val="center"/>
            </w:pPr>
            <w:r>
              <w:rPr>
                <w:b/>
                <w:bCs/>
                <w:color w:val="FFFFFF"/>
              </w:rPr>
              <w:t>VIF (M4R)</w:t>
            </w:r>
          </w:p>
        </w:tc>
      </w:tr>
      <w:tr w:rsidR="00EA0D9A" w14:paraId="626F9EF5" w14:textId="77777777" w:rsidTr="007523AB">
        <w:trPr>
          <w:trHeight w:val="218"/>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B9051C" w14:textId="77777777" w:rsidR="00EA0D9A" w:rsidRDefault="00B6489A">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05F178" w14:textId="77777777" w:rsidR="00EA0D9A" w:rsidRDefault="00B6489A">
            <w:pPr>
              <w:jc w:val="center"/>
            </w:pPr>
            <w:r>
              <w:rPr>
                <w:color w:val="000000"/>
              </w:rPr>
              <w:t>0.422 (0.254)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D0D4A75" w14:textId="77777777" w:rsidR="00EA0D9A" w:rsidRDefault="00B6489A">
            <w:pPr>
              <w:jc w:val="center"/>
            </w:pPr>
            <w:r>
              <w:rPr>
                <w:color w:val="000000"/>
              </w:rPr>
              <w:t>0.323 (1.645)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1EE3761" w14:textId="77777777" w:rsidR="00EA0D9A" w:rsidRDefault="00B6489A">
            <w:pPr>
              <w:jc w:val="center"/>
            </w:pPr>
            <w:r>
              <w:rPr>
                <w:color w:val="000000"/>
              </w:rPr>
              <w:t>3.69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ACF6C03" w14:textId="77777777" w:rsidR="00EA0D9A" w:rsidRDefault="00B6489A">
            <w:pPr>
              <w:jc w:val="center"/>
            </w:pPr>
            <w:r>
              <w:rPr>
                <w:color w:val="000000"/>
              </w:rPr>
              <w:t>3.69</w:t>
            </w:r>
          </w:p>
        </w:tc>
      </w:tr>
      <w:tr w:rsidR="00EA0D9A" w14:paraId="7F062EFD"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F31FE1C" w14:textId="77777777" w:rsidR="00EA0D9A" w:rsidRDefault="00B6489A">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BEE6198" w14:textId="77777777" w:rsidR="00EA0D9A" w:rsidRDefault="00B6489A">
            <w:pPr>
              <w:jc w:val="center"/>
            </w:pPr>
            <w:r>
              <w:rPr>
                <w:color w:val="000000"/>
              </w:rPr>
              <w:t>0.060 (0.133)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322F3F0" w14:textId="77777777" w:rsidR="00EA0D9A" w:rsidRDefault="00B6489A">
            <w:pPr>
              <w:jc w:val="center"/>
            </w:pPr>
            <w:r>
              <w:rPr>
                <w:color w:val="666666"/>
              </w:rPr>
              <w:t>1.281 (0.877)</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EF5116E" w14:textId="77777777" w:rsidR="00EA0D9A" w:rsidRDefault="00B6489A">
            <w:pPr>
              <w:jc w:val="center"/>
            </w:pPr>
            <w:r>
              <w:rPr>
                <w:color w:val="000000"/>
              </w:rPr>
              <w:t>1.01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AAA198" w14:textId="77777777" w:rsidR="00EA0D9A" w:rsidRDefault="00B6489A">
            <w:pPr>
              <w:jc w:val="center"/>
            </w:pPr>
            <w:r>
              <w:rPr>
                <w:color w:val="000000"/>
              </w:rPr>
              <w:t>1.01</w:t>
            </w:r>
          </w:p>
        </w:tc>
      </w:tr>
      <w:tr w:rsidR="00EA0D9A" w14:paraId="14FEC4C4"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4599F8" w14:textId="77777777" w:rsidR="00EA0D9A" w:rsidRDefault="00B6489A">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83094E3" w14:textId="77777777" w:rsidR="00EA0D9A" w:rsidRDefault="00B6489A">
            <w:pPr>
              <w:jc w:val="center"/>
            </w:pPr>
            <w:r>
              <w:rPr>
                <w:color w:val="000000"/>
              </w:rPr>
              <w:t>0.154 (0.195)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ACCA17A" w14:textId="77777777" w:rsidR="00EA0D9A" w:rsidRDefault="00B6489A">
            <w:pPr>
              <w:jc w:val="center"/>
            </w:pPr>
            <w:r>
              <w:rPr>
                <w:color w:val="1A6E2E"/>
              </w:rPr>
              <w:t>2.956* (1.258)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75BBD6E" w14:textId="77777777" w:rsidR="00EA0D9A" w:rsidRDefault="00B6489A">
            <w:pPr>
              <w:jc w:val="center"/>
            </w:pPr>
            <w:r>
              <w:rPr>
                <w:color w:val="000000"/>
              </w:rPr>
              <w:t>2.18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57F0565" w14:textId="77777777" w:rsidR="00EA0D9A" w:rsidRDefault="00B6489A">
            <w:pPr>
              <w:jc w:val="center"/>
            </w:pPr>
            <w:r>
              <w:rPr>
                <w:color w:val="000000"/>
              </w:rPr>
              <w:t>2.18</w:t>
            </w:r>
          </w:p>
        </w:tc>
      </w:tr>
      <w:tr w:rsidR="00EA0D9A" w14:paraId="26DFC888" w14:textId="77777777" w:rsidTr="007523AB">
        <w:trPr>
          <w:trHeight w:val="460"/>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CCF5B36" w14:textId="77777777" w:rsidR="00EA0D9A" w:rsidRDefault="00B6489A">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9EAEF73" w14:textId="77777777" w:rsidR="00EA0D9A" w:rsidRDefault="00B6489A">
            <w:pPr>
              <w:jc w:val="center"/>
            </w:pPr>
            <w:r>
              <w:rPr>
                <w:color w:val="000000"/>
              </w:rPr>
              <w:t>0.026 (0.228)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F0D789" w14:textId="77777777" w:rsidR="00EA0D9A" w:rsidRDefault="00B6489A">
            <w:pPr>
              <w:jc w:val="center"/>
            </w:pPr>
            <w:r>
              <w:rPr>
                <w:color w:val="000000"/>
              </w:rPr>
              <w:t>−0.281 (1.482)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689648E" w14:textId="77777777" w:rsidR="00EA0D9A" w:rsidRDefault="00B6489A">
            <w:pPr>
              <w:jc w:val="center"/>
            </w:pPr>
            <w:r>
              <w:rPr>
                <w:color w:val="000000"/>
              </w:rPr>
              <w:t>2.95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FE387DC" w14:textId="77777777" w:rsidR="00EA0D9A" w:rsidRDefault="00B6489A">
            <w:pPr>
              <w:jc w:val="center"/>
            </w:pPr>
            <w:r>
              <w:rPr>
                <w:color w:val="000000"/>
              </w:rPr>
              <w:t>2.95</w:t>
            </w:r>
          </w:p>
        </w:tc>
      </w:tr>
      <w:tr w:rsidR="00EA0D9A" w14:paraId="23C6ADCA" w14:textId="77777777" w:rsidTr="007523AB">
        <w:trPr>
          <w:trHeight w:val="218"/>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21CD96D" w14:textId="77777777" w:rsidR="00EA0D9A" w:rsidRDefault="00B6489A">
            <w:r>
              <w:rPr>
                <w:b/>
                <w:bCs/>
                <w:color w:val="000000"/>
              </w:rPr>
              <w:t>Constant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CE2A80" w14:textId="77777777" w:rsidR="00EA0D9A" w:rsidRDefault="00B6489A">
            <w:pPr>
              <w:jc w:val="center"/>
            </w:pPr>
            <w:r>
              <w:rPr>
                <w:color w:val="1A3A5C"/>
              </w:rPr>
              <w:t>1.665*** (0.132)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414CBD" w14:textId="77777777" w:rsidR="00EA0D9A" w:rsidRDefault="00B6489A">
            <w:pPr>
              <w:jc w:val="center"/>
            </w:pPr>
            <w:r>
              <w:rPr>
                <w:color w:val="1A3A5C"/>
              </w:rPr>
              <w:t>27.351*** (0.871)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29B924" w14:textId="579ACA91" w:rsidR="00EA0D9A" w:rsidRDefault="00D018AA">
            <w:pPr>
              <w:jc w:val="center"/>
            </w:pPr>
            <w:r>
              <w:rPr>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2B062AF" w14:textId="6274C808" w:rsidR="00EA0D9A" w:rsidRDefault="00D018AA">
            <w:pPr>
              <w:jc w:val="center"/>
            </w:pPr>
            <w:r>
              <w:rPr>
                <w:color w:val="000000"/>
              </w:rPr>
              <w:t xml:space="preserve"> </w:t>
            </w:r>
          </w:p>
        </w:tc>
      </w:tr>
      <w:tr w:rsidR="00EA0D9A" w14:paraId="0E99D85F"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805EC89" w14:textId="77777777" w:rsidR="00EA0D9A" w:rsidRDefault="00B6489A">
            <w:pPr>
              <w:jc w:val="center"/>
            </w:pPr>
            <w:r>
              <w:rPr>
                <w:b/>
                <w:bCs/>
                <w:color w:val="000000"/>
              </w:rPr>
              <w:t>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650088E" w14:textId="77777777" w:rsidR="00EA0D9A" w:rsidRDefault="00B6489A">
            <w:pPr>
              <w:jc w:val="center"/>
            </w:pPr>
            <w:r>
              <w:rPr>
                <w:b/>
                <w:bCs/>
                <w:color w:val="000000"/>
              </w:rPr>
              <w:t>0.381</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764FFAF" w14:textId="77777777" w:rsidR="00EA0D9A" w:rsidRDefault="00B6489A">
            <w:pPr>
              <w:jc w:val="center"/>
            </w:pPr>
            <w:r>
              <w:rPr>
                <w:b/>
                <w:bCs/>
                <w:color w:val="000000"/>
              </w:rPr>
              <w:t>0.324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8B1BD15" w14:textId="450576CC" w:rsidR="00EA0D9A" w:rsidRDefault="00D018AA">
            <w:pPr>
              <w:jc w:val="center"/>
            </w:pPr>
            <w:r>
              <w:rPr>
                <w:b/>
                <w:bCs/>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5AFA6AC" w14:textId="2E664AC8" w:rsidR="00EA0D9A" w:rsidRDefault="00D018AA">
            <w:pPr>
              <w:jc w:val="center"/>
            </w:pPr>
            <w:r>
              <w:rPr>
                <w:b/>
                <w:bCs/>
                <w:color w:val="000000"/>
              </w:rPr>
              <w:t xml:space="preserve"> </w:t>
            </w:r>
          </w:p>
        </w:tc>
      </w:tr>
      <w:tr w:rsidR="00EA0D9A" w14:paraId="40E390D6"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0E7DB8" w14:textId="77777777" w:rsidR="00EA0D9A" w:rsidRDefault="00B6489A">
            <w:pPr>
              <w:jc w:val="center"/>
            </w:pPr>
            <w:r>
              <w:rPr>
                <w:color w:val="000000"/>
              </w:rPr>
              <w:t>F-statistic</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F9C114" w14:textId="77777777" w:rsidR="00EA0D9A" w:rsidRDefault="00B6489A">
            <w:pPr>
              <w:jc w:val="center"/>
            </w:pPr>
            <w:r>
              <w:rPr>
                <w:b/>
                <w:bCs/>
                <w:color w:val="000000"/>
              </w:rPr>
              <w:t>F(4,30)=4.62***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70EFCF" w14:textId="77777777" w:rsidR="00EA0D9A" w:rsidRDefault="00B6489A">
            <w:pPr>
              <w:jc w:val="center"/>
            </w:pPr>
            <w:r>
              <w:rPr>
                <w:b/>
                <w:bCs/>
                <w:color w:val="000000"/>
              </w:rPr>
              <w:t>F(4,29)=3.47**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0ACC659" w14:textId="78F275AD" w:rsidR="00EA0D9A" w:rsidRDefault="00D018AA">
            <w:pPr>
              <w:jc w:val="center"/>
            </w:pPr>
            <w:r>
              <w:rPr>
                <w:b/>
                <w:bCs/>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41F869" w14:textId="7DA4A28F" w:rsidR="00EA0D9A" w:rsidRDefault="00D018AA">
            <w:pPr>
              <w:jc w:val="center"/>
            </w:pPr>
            <w:r>
              <w:rPr>
                <w:b/>
                <w:bCs/>
                <w:color w:val="000000"/>
              </w:rPr>
              <w:t xml:space="preserve"> </w:t>
            </w:r>
          </w:p>
        </w:tc>
      </w:tr>
      <w:tr w:rsidR="00EA0D9A" w14:paraId="0A104C45" w14:textId="77777777" w:rsidTr="007523AB">
        <w:trPr>
          <w:trHeight w:val="584"/>
        </w:trPr>
        <w:tc>
          <w:tcPr>
            <w:tcW w:w="0" w:type="auto"/>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5384086" w14:textId="70A05800" w:rsidR="00EA0D9A" w:rsidRPr="003C2D12" w:rsidRDefault="003C2D12" w:rsidP="003C2D12">
            <w:pPr>
              <w:jc w:val="both"/>
            </w:pPr>
            <w:r>
              <w:rPr>
                <w:b/>
                <w:bCs/>
                <w:color w:val="0D0D0D" w:themeColor="text1" w:themeTint="F2"/>
                <w:sz w:val="18"/>
                <w:szCs w:val="18"/>
              </w:rPr>
              <w:t>Notes:</w:t>
            </w:r>
            <w:r>
              <w:rPr>
                <w:color w:val="0D0D0D" w:themeColor="text1" w:themeTint="F2"/>
                <w:sz w:val="18"/>
                <w:szCs w:val="18"/>
              </w:rPr>
              <w:t xml:space="preserve"> Reduced-form specification excludes the FI Index. Standard errors are reported in parentheses. All variance inflation factors (VIF) are below 4.0. Significance levels: *** p&lt;0.001, ** p&lt;0.01, * p&lt;0.05, † p&lt;0.10. Key results—bank density for NPS penetration and literacy for NPS female participation—remain substantively unchanged relative to the full-model specification.</w:t>
            </w:r>
          </w:p>
        </w:tc>
      </w:tr>
    </w:tbl>
    <w:p w14:paraId="3886DA7D" w14:textId="3C02399D" w:rsidR="003C2D12" w:rsidRPr="003C2D12" w:rsidRDefault="003C2D12" w:rsidP="003C2D12">
      <w:pPr>
        <w:spacing w:after="120"/>
        <w:rPr>
          <w:b/>
          <w:bCs/>
          <w:color w:val="1A3A5C"/>
          <w:sz w:val="26"/>
          <w:szCs w:val="26"/>
        </w:rPr>
      </w:pPr>
      <w:r>
        <w:rPr>
          <w:b/>
          <w:bCs/>
          <w:color w:val="000000" w:themeColor="text1"/>
        </w:rPr>
        <w:t>Source: Authors’ calculations.</w:t>
      </w:r>
    </w:p>
    <w:p w14:paraId="6C992037" w14:textId="77777777" w:rsidR="00AC063B" w:rsidRDefault="00B6489A">
      <w:pPr>
        <w:spacing w:before="120" w:after="120" w:line="276" w:lineRule="auto"/>
        <w:ind w:firstLine="720"/>
        <w:jc w:val="both"/>
      </w:pPr>
      <w:r>
        <w:rPr>
          <w:sz w:val="24"/>
          <w:szCs w:val="24"/>
        </w:rPr>
        <w:lastRenderedPageBreak/>
        <w:t xml:space="preserve">The reduced-form results rule out multicollinearity as the explanation for the main findings. Literacy </w:t>
      </w:r>
      <w:r>
        <w:rPr>
          <w:sz w:val="24"/>
          <w:szCs w:val="24"/>
        </w:rPr>
        <w:t>remains significant in Model 4R (β = 2.956, p = 0.026); bank density retains a positive association with NPS penetration (β = 0.422); all VIFs are below 4.0.</w:t>
      </w:r>
    </w:p>
    <w:p w14:paraId="5DCD6CB2" w14:textId="77777777" w:rsidR="001C3200" w:rsidRPr="00E5345C" w:rsidRDefault="00B6489A">
      <w:pPr>
        <w:pStyle w:val="Heading3"/>
        <w:rPr>
          <w:b/>
          <w:bCs/>
          <w:sz w:val="25"/>
          <w:szCs w:val="25"/>
        </w:rPr>
      </w:pPr>
      <w:r>
        <w:rPr>
          <w:b/>
          <w:bCs/>
          <w:sz w:val="25"/>
          <w:szCs w:val="25"/>
        </w:rPr>
        <w:t>5.5.1 Quantile Regression Robustness</w:t>
      </w:r>
    </w:p>
    <w:p w14:paraId="2CCFC9C6" w14:textId="77777777" w:rsidR="001C3200" w:rsidRDefault="00B6489A">
      <w:pPr>
        <w:rPr>
          <w:sz w:val="24"/>
          <w:szCs w:val="24"/>
        </w:rPr>
      </w:pPr>
      <w:proofErr w:type="spellStart"/>
      <w:r>
        <w:rPr>
          <w:sz w:val="24"/>
          <w:szCs w:val="24"/>
        </w:rPr>
        <w:t>Quantile</w:t>
      </w:r>
      <w:proofErr w:type="spellEnd"/>
      <w:r>
        <w:rPr>
          <w:sz w:val="24"/>
          <w:szCs w:val="24"/>
        </w:rPr>
        <w:t xml:space="preserve"> regression (</w:t>
      </w:r>
      <w:proofErr w:type="spellStart"/>
      <w:r>
        <w:rPr>
          <w:sz w:val="24"/>
          <w:szCs w:val="24"/>
        </w:rPr>
        <w:t>Koenker</w:t>
      </w:r>
      <w:proofErr w:type="spellEnd"/>
      <w:r>
        <w:rPr>
          <w:sz w:val="24"/>
          <w:szCs w:val="24"/>
        </w:rPr>
        <w:t xml:space="preserve"> and Bassett, 1978) was estimated at five percentiles (Q10–Q90) with bootstrap standard errors (500 replications, seed = 42) to test whether associations hold across the full conditional distribution.</w:t>
      </w:r>
    </w:p>
    <w:p w14:paraId="2356FED3" w14:textId="2B200128" w:rsidR="004C71E1" w:rsidRPr="00E5345C" w:rsidRDefault="004C71E1" w:rsidP="004C71E1">
      <w:pPr>
        <w:jc w:val="center"/>
        <w:rPr>
          <w:b/>
          <w:bCs/>
          <w:sz w:val="22"/>
          <w:szCs w:val="22"/>
        </w:rPr>
      </w:pPr>
      <w:r>
        <w:rPr>
          <w:b/>
          <w:bCs/>
          <w:sz w:val="22"/>
          <w:szCs w:val="22"/>
        </w:rPr>
        <w:t>Table 5a: Quantile Regression Estimates for NPS Penetration</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1442"/>
        <w:gridCol w:w="1284"/>
        <w:gridCol w:w="1362"/>
        <w:gridCol w:w="1362"/>
        <w:gridCol w:w="1478"/>
        <w:gridCol w:w="1516"/>
        <w:gridCol w:w="1516"/>
      </w:tblGrid>
      <w:tr w:rsidR="001C3200" w14:paraId="1BE51D12" w14:textId="77777777" w:rsidTr="00E5345C">
        <w:tc>
          <w:tcPr>
            <w:tcW w:w="0" w:type="auto"/>
            <w:shd w:val="clear" w:color="auto" w:fill="1C385C"/>
            <w:tcMar>
              <w:top w:w="80" w:type="dxa"/>
              <w:left w:w="120" w:type="dxa"/>
              <w:bottom w:w="80" w:type="dxa"/>
              <w:right w:w="120" w:type="dxa"/>
            </w:tcMar>
          </w:tcPr>
          <w:p w14:paraId="3A7C8261" w14:textId="77777777" w:rsidR="001C3200" w:rsidRPr="007523AB" w:rsidRDefault="00B6489A">
            <w:r>
              <w:rPr>
                <w:b/>
                <w:bCs/>
              </w:rPr>
              <w:t>Predictor</w:t>
            </w:r>
          </w:p>
        </w:tc>
        <w:tc>
          <w:tcPr>
            <w:tcW w:w="0" w:type="auto"/>
            <w:shd w:val="clear" w:color="auto" w:fill="1C385C"/>
            <w:tcMar>
              <w:top w:w="80" w:type="dxa"/>
              <w:left w:w="120" w:type="dxa"/>
              <w:bottom w:w="80" w:type="dxa"/>
              <w:right w:w="120" w:type="dxa"/>
            </w:tcMar>
          </w:tcPr>
          <w:p w14:paraId="55A287B9" w14:textId="77777777" w:rsidR="001C3200" w:rsidRPr="007523AB" w:rsidRDefault="00B6489A">
            <w:pPr>
              <w:jc w:val="center"/>
            </w:pPr>
            <w:r>
              <w:rPr>
                <w:b/>
                <w:bCs/>
              </w:rPr>
              <w:t>OLS β (SE)</w:t>
            </w:r>
          </w:p>
        </w:tc>
        <w:tc>
          <w:tcPr>
            <w:tcW w:w="0" w:type="auto"/>
            <w:shd w:val="clear" w:color="auto" w:fill="1C385C"/>
            <w:tcMar>
              <w:top w:w="80" w:type="dxa"/>
              <w:left w:w="120" w:type="dxa"/>
              <w:bottom w:w="80" w:type="dxa"/>
              <w:right w:w="120" w:type="dxa"/>
            </w:tcMar>
          </w:tcPr>
          <w:p w14:paraId="573D9ECB" w14:textId="77777777" w:rsidR="001C3200" w:rsidRPr="007523AB" w:rsidRDefault="00B6489A">
            <w:pPr>
              <w:jc w:val="center"/>
            </w:pPr>
            <w:r>
              <w:rPr>
                <w:b/>
                <w:bCs/>
              </w:rPr>
              <w:t>Q10</w:t>
            </w:r>
          </w:p>
        </w:tc>
        <w:tc>
          <w:tcPr>
            <w:tcW w:w="0" w:type="auto"/>
            <w:shd w:val="clear" w:color="auto" w:fill="1C385C"/>
            <w:tcMar>
              <w:top w:w="80" w:type="dxa"/>
              <w:left w:w="120" w:type="dxa"/>
              <w:bottom w:w="80" w:type="dxa"/>
              <w:right w:w="120" w:type="dxa"/>
            </w:tcMar>
          </w:tcPr>
          <w:p w14:paraId="7201C2BC" w14:textId="77777777" w:rsidR="001C3200" w:rsidRPr="007523AB" w:rsidRDefault="00B6489A">
            <w:pPr>
              <w:jc w:val="center"/>
            </w:pPr>
            <w:r>
              <w:rPr>
                <w:b/>
                <w:bCs/>
              </w:rPr>
              <w:t>Q25</w:t>
            </w:r>
          </w:p>
        </w:tc>
        <w:tc>
          <w:tcPr>
            <w:tcW w:w="0" w:type="auto"/>
            <w:shd w:val="clear" w:color="auto" w:fill="1C385C"/>
            <w:tcMar>
              <w:top w:w="80" w:type="dxa"/>
              <w:left w:w="120" w:type="dxa"/>
              <w:bottom w:w="80" w:type="dxa"/>
              <w:right w:w="120" w:type="dxa"/>
            </w:tcMar>
          </w:tcPr>
          <w:p w14:paraId="4898A334" w14:textId="77777777" w:rsidR="001C3200" w:rsidRPr="007523AB" w:rsidRDefault="00B6489A">
            <w:pPr>
              <w:jc w:val="center"/>
            </w:pPr>
            <w:r>
              <w:rPr>
                <w:b/>
                <w:bCs/>
              </w:rPr>
              <w:t>Q50</w:t>
            </w:r>
          </w:p>
        </w:tc>
        <w:tc>
          <w:tcPr>
            <w:tcW w:w="0" w:type="auto"/>
            <w:shd w:val="clear" w:color="auto" w:fill="1C385C"/>
            <w:tcMar>
              <w:top w:w="80" w:type="dxa"/>
              <w:left w:w="120" w:type="dxa"/>
              <w:bottom w:w="80" w:type="dxa"/>
              <w:right w:w="120" w:type="dxa"/>
            </w:tcMar>
          </w:tcPr>
          <w:p w14:paraId="22B9D3F0" w14:textId="77777777" w:rsidR="001C3200" w:rsidRPr="007523AB" w:rsidRDefault="00B6489A">
            <w:pPr>
              <w:jc w:val="center"/>
            </w:pPr>
            <w:r>
              <w:rPr>
                <w:b/>
                <w:bCs/>
              </w:rPr>
              <w:t>Q75</w:t>
            </w:r>
          </w:p>
        </w:tc>
        <w:tc>
          <w:tcPr>
            <w:tcW w:w="0" w:type="auto"/>
            <w:shd w:val="clear" w:color="auto" w:fill="1C385C"/>
            <w:tcMar>
              <w:top w:w="80" w:type="dxa"/>
              <w:left w:w="120" w:type="dxa"/>
              <w:bottom w:w="80" w:type="dxa"/>
              <w:right w:w="120" w:type="dxa"/>
            </w:tcMar>
          </w:tcPr>
          <w:p w14:paraId="4E04740E" w14:textId="77777777" w:rsidR="001C3200" w:rsidRPr="007523AB" w:rsidRDefault="00B6489A">
            <w:pPr>
              <w:jc w:val="center"/>
            </w:pPr>
            <w:r>
              <w:rPr>
                <w:b/>
                <w:bCs/>
              </w:rPr>
              <w:t>Q90</w:t>
            </w:r>
          </w:p>
        </w:tc>
      </w:tr>
      <w:tr w:rsidR="001C3200" w14:paraId="4E2AC1D6" w14:textId="77777777">
        <w:tc>
          <w:tcPr>
            <w:tcW w:w="0" w:type="auto"/>
            <w:shd w:val="clear" w:color="auto" w:fill="D9E1F2"/>
            <w:tcMar>
              <w:top w:w="80" w:type="dxa"/>
              <w:left w:w="120" w:type="dxa"/>
              <w:bottom w:w="80" w:type="dxa"/>
              <w:right w:w="120" w:type="dxa"/>
            </w:tcMar>
          </w:tcPr>
          <w:p w14:paraId="3F99092A"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D0170FD"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B5886DB" w14:textId="77777777" w:rsidR="001C3200" w:rsidRPr="007523AB" w:rsidRDefault="00B6489A">
            <w:pPr>
              <w:jc w:val="center"/>
            </w:pPr>
            <w:r>
              <w:t>β (SE) [sig]</w:t>
            </w:r>
          </w:p>
        </w:tc>
        <w:tc>
          <w:tcPr>
            <w:tcW w:w="0" w:type="auto"/>
            <w:shd w:val="clear" w:color="auto" w:fill="D9E1F2"/>
            <w:tcMar>
              <w:top w:w="80" w:type="dxa"/>
              <w:left w:w="120" w:type="dxa"/>
              <w:bottom w:w="80" w:type="dxa"/>
              <w:right w:w="120" w:type="dxa"/>
            </w:tcMar>
          </w:tcPr>
          <w:p w14:paraId="3E3A5D98" w14:textId="77777777" w:rsidR="001C3200" w:rsidRPr="007523AB" w:rsidRDefault="00B6489A">
            <w:pPr>
              <w:jc w:val="center"/>
            </w:pPr>
            <w:r>
              <w:t>β (SE) [sig]</w:t>
            </w:r>
          </w:p>
        </w:tc>
        <w:tc>
          <w:tcPr>
            <w:tcW w:w="0" w:type="auto"/>
            <w:shd w:val="clear" w:color="auto" w:fill="D9E1F2"/>
            <w:tcMar>
              <w:top w:w="80" w:type="dxa"/>
              <w:left w:w="120" w:type="dxa"/>
              <w:bottom w:w="80" w:type="dxa"/>
              <w:right w:w="120" w:type="dxa"/>
            </w:tcMar>
          </w:tcPr>
          <w:p w14:paraId="6025688F" w14:textId="77777777" w:rsidR="001C3200" w:rsidRPr="007523AB" w:rsidRDefault="00B6489A">
            <w:pPr>
              <w:jc w:val="center"/>
            </w:pPr>
            <w:r>
              <w:t>β (SE) [sig]</w:t>
            </w:r>
          </w:p>
        </w:tc>
        <w:tc>
          <w:tcPr>
            <w:tcW w:w="0" w:type="auto"/>
            <w:shd w:val="clear" w:color="auto" w:fill="D9E1F2"/>
            <w:tcMar>
              <w:top w:w="80" w:type="dxa"/>
              <w:left w:w="120" w:type="dxa"/>
              <w:bottom w:w="80" w:type="dxa"/>
              <w:right w:w="120" w:type="dxa"/>
            </w:tcMar>
          </w:tcPr>
          <w:p w14:paraId="162915B6" w14:textId="77777777" w:rsidR="001C3200" w:rsidRPr="007523AB" w:rsidRDefault="00B6489A">
            <w:pPr>
              <w:jc w:val="center"/>
            </w:pPr>
            <w:r>
              <w:t>β (SE) [sig]</w:t>
            </w:r>
          </w:p>
        </w:tc>
        <w:tc>
          <w:tcPr>
            <w:tcW w:w="0" w:type="auto"/>
            <w:shd w:val="clear" w:color="auto" w:fill="D9E1F2"/>
            <w:tcMar>
              <w:top w:w="80" w:type="dxa"/>
              <w:left w:w="120" w:type="dxa"/>
              <w:bottom w:w="80" w:type="dxa"/>
              <w:right w:w="120" w:type="dxa"/>
            </w:tcMar>
          </w:tcPr>
          <w:p w14:paraId="41329FD7" w14:textId="77777777" w:rsidR="001C3200" w:rsidRPr="007523AB" w:rsidRDefault="00B6489A">
            <w:pPr>
              <w:jc w:val="center"/>
            </w:pPr>
            <w:r>
              <w:t>β (SE) [sig]</w:t>
            </w:r>
          </w:p>
        </w:tc>
      </w:tr>
      <w:tr w:rsidR="001C3200" w14:paraId="4C3FFA3F" w14:textId="77777777">
        <w:tc>
          <w:tcPr>
            <w:tcW w:w="0" w:type="auto"/>
            <w:shd w:val="clear" w:color="auto" w:fill="F5F7FA"/>
            <w:tcMar>
              <w:top w:w="80" w:type="dxa"/>
              <w:left w:w="120" w:type="dxa"/>
              <w:bottom w:w="80" w:type="dxa"/>
              <w:right w:w="120" w:type="dxa"/>
            </w:tcMar>
          </w:tcPr>
          <w:p w14:paraId="595B1A90" w14:textId="77777777" w:rsidR="001C3200" w:rsidRPr="007523AB" w:rsidRDefault="00B6489A">
            <w:r>
              <w:rPr>
                <w:b/>
                <w:bCs/>
              </w:rPr>
              <w:t>Bank density</w:t>
            </w:r>
          </w:p>
        </w:tc>
        <w:tc>
          <w:tcPr>
            <w:tcW w:w="0" w:type="auto"/>
            <w:shd w:val="clear" w:color="auto" w:fill="F5F7FA"/>
            <w:tcMar>
              <w:top w:w="80" w:type="dxa"/>
              <w:left w:w="120" w:type="dxa"/>
              <w:bottom w:w="80" w:type="dxa"/>
              <w:right w:w="120" w:type="dxa"/>
            </w:tcMar>
          </w:tcPr>
          <w:p w14:paraId="1716EEC4" w14:textId="77777777" w:rsidR="001C3200" w:rsidRPr="007523AB" w:rsidRDefault="00B6489A">
            <w:pPr>
              <w:jc w:val="center"/>
            </w:pPr>
            <w:r>
              <w:t>1.094 (0.313)</w:t>
            </w:r>
          </w:p>
        </w:tc>
        <w:tc>
          <w:tcPr>
            <w:tcW w:w="0" w:type="auto"/>
            <w:shd w:val="clear" w:color="auto" w:fill="FFF3CD"/>
            <w:tcMar>
              <w:top w:w="80" w:type="dxa"/>
              <w:left w:w="120" w:type="dxa"/>
              <w:bottom w:w="80" w:type="dxa"/>
              <w:right w:w="120" w:type="dxa"/>
            </w:tcMar>
          </w:tcPr>
          <w:p w14:paraId="65D2909F" w14:textId="77777777" w:rsidR="001C3200" w:rsidRPr="007523AB" w:rsidRDefault="00B6489A">
            <w:pPr>
              <w:jc w:val="center"/>
            </w:pPr>
            <w:r>
              <w:t>0.901 (0.500)†</w:t>
            </w:r>
          </w:p>
        </w:tc>
        <w:tc>
          <w:tcPr>
            <w:tcW w:w="0" w:type="auto"/>
            <w:shd w:val="clear" w:color="auto" w:fill="E2F3E4"/>
            <w:tcMar>
              <w:top w:w="80" w:type="dxa"/>
              <w:left w:w="120" w:type="dxa"/>
              <w:bottom w:w="80" w:type="dxa"/>
              <w:right w:w="120" w:type="dxa"/>
            </w:tcMar>
          </w:tcPr>
          <w:p w14:paraId="5A02FF2C" w14:textId="77777777" w:rsidR="001C3200" w:rsidRPr="007523AB" w:rsidRDefault="00B6489A">
            <w:pPr>
              <w:jc w:val="center"/>
            </w:pPr>
            <w:r>
              <w:t>0.965 (0.478)*</w:t>
            </w:r>
          </w:p>
        </w:tc>
        <w:tc>
          <w:tcPr>
            <w:tcW w:w="0" w:type="auto"/>
            <w:shd w:val="clear" w:color="auto" w:fill="E2F3E4"/>
            <w:tcMar>
              <w:top w:w="80" w:type="dxa"/>
              <w:left w:w="120" w:type="dxa"/>
              <w:bottom w:w="80" w:type="dxa"/>
              <w:right w:w="120" w:type="dxa"/>
            </w:tcMar>
          </w:tcPr>
          <w:p w14:paraId="40042BE7" w14:textId="77777777" w:rsidR="001C3200" w:rsidRPr="007523AB" w:rsidRDefault="00B6489A">
            <w:pPr>
              <w:jc w:val="center"/>
            </w:pPr>
            <w:r>
              <w:t>1.055 (0.389)**</w:t>
            </w:r>
          </w:p>
        </w:tc>
        <w:tc>
          <w:tcPr>
            <w:tcW w:w="0" w:type="auto"/>
            <w:shd w:val="clear" w:color="auto" w:fill="E2F3E4"/>
            <w:tcMar>
              <w:top w:w="80" w:type="dxa"/>
              <w:left w:w="120" w:type="dxa"/>
              <w:bottom w:w="80" w:type="dxa"/>
              <w:right w:w="120" w:type="dxa"/>
            </w:tcMar>
          </w:tcPr>
          <w:p w14:paraId="7B150C7D" w14:textId="77777777" w:rsidR="001C3200" w:rsidRPr="007523AB" w:rsidRDefault="00B6489A">
            <w:pPr>
              <w:jc w:val="center"/>
            </w:pPr>
            <w:r>
              <w:t>1.078 (0.364)**</w:t>
            </w:r>
          </w:p>
        </w:tc>
        <w:tc>
          <w:tcPr>
            <w:tcW w:w="0" w:type="auto"/>
            <w:shd w:val="clear" w:color="auto" w:fill="FFF3CD"/>
            <w:tcMar>
              <w:top w:w="80" w:type="dxa"/>
              <w:left w:w="120" w:type="dxa"/>
              <w:bottom w:w="80" w:type="dxa"/>
              <w:right w:w="120" w:type="dxa"/>
            </w:tcMar>
          </w:tcPr>
          <w:p w14:paraId="718D13DD" w14:textId="77777777" w:rsidR="001C3200" w:rsidRPr="007523AB" w:rsidRDefault="00B6489A">
            <w:pPr>
              <w:jc w:val="center"/>
            </w:pPr>
            <w:r>
              <w:t>1.026 (0.534)†</w:t>
            </w:r>
          </w:p>
        </w:tc>
      </w:tr>
      <w:tr w:rsidR="001C3200" w14:paraId="7705B749" w14:textId="77777777">
        <w:tc>
          <w:tcPr>
            <w:tcW w:w="0" w:type="auto"/>
            <w:shd w:val="clear" w:color="auto" w:fill="FFFFFF"/>
            <w:tcMar>
              <w:top w:w="80" w:type="dxa"/>
              <w:left w:w="120" w:type="dxa"/>
              <w:bottom w:w="80" w:type="dxa"/>
              <w:right w:w="120" w:type="dxa"/>
            </w:tcMar>
          </w:tcPr>
          <w:p w14:paraId="4D70318E" w14:textId="77777777" w:rsidR="001C3200" w:rsidRPr="007523AB" w:rsidRDefault="00B6489A">
            <w:r>
              <w:rPr>
                <w:b/>
                <w:bCs/>
              </w:rPr>
              <w:t>Female LFPR</w:t>
            </w:r>
          </w:p>
        </w:tc>
        <w:tc>
          <w:tcPr>
            <w:tcW w:w="0" w:type="auto"/>
            <w:shd w:val="clear" w:color="auto" w:fill="FFFFFF"/>
            <w:tcMar>
              <w:top w:w="80" w:type="dxa"/>
              <w:left w:w="120" w:type="dxa"/>
              <w:bottom w:w="80" w:type="dxa"/>
              <w:right w:w="120" w:type="dxa"/>
            </w:tcMar>
          </w:tcPr>
          <w:p w14:paraId="6429F94A" w14:textId="77777777" w:rsidR="001C3200" w:rsidRPr="007523AB" w:rsidRDefault="00B6489A">
            <w:pPr>
              <w:jc w:val="center"/>
            </w:pPr>
            <w:r>
              <w:t>0.260 (0.134)</w:t>
            </w:r>
          </w:p>
        </w:tc>
        <w:tc>
          <w:tcPr>
            <w:tcW w:w="0" w:type="auto"/>
            <w:shd w:val="clear" w:color="auto" w:fill="FFFFFF"/>
            <w:tcMar>
              <w:top w:w="80" w:type="dxa"/>
              <w:left w:w="120" w:type="dxa"/>
              <w:bottom w:w="80" w:type="dxa"/>
              <w:right w:w="120" w:type="dxa"/>
            </w:tcMar>
          </w:tcPr>
          <w:p w14:paraId="394D6A85" w14:textId="77777777" w:rsidR="001C3200" w:rsidRPr="007523AB" w:rsidRDefault="00B6489A">
            <w:pPr>
              <w:jc w:val="center"/>
            </w:pPr>
            <w:r>
              <w:t xml:space="preserve">0.183 </w:t>
            </w:r>
            <w:r>
              <w:t>(0.185)</w:t>
            </w:r>
          </w:p>
        </w:tc>
        <w:tc>
          <w:tcPr>
            <w:tcW w:w="0" w:type="auto"/>
            <w:shd w:val="clear" w:color="auto" w:fill="FFFFFF"/>
            <w:tcMar>
              <w:top w:w="80" w:type="dxa"/>
              <w:left w:w="120" w:type="dxa"/>
              <w:bottom w:w="80" w:type="dxa"/>
              <w:right w:w="120" w:type="dxa"/>
            </w:tcMar>
          </w:tcPr>
          <w:p w14:paraId="69FC339A" w14:textId="77777777" w:rsidR="001C3200" w:rsidRPr="007523AB" w:rsidRDefault="00B6489A">
            <w:pPr>
              <w:jc w:val="center"/>
            </w:pPr>
            <w:r>
              <w:t>0.198 (0.177)</w:t>
            </w:r>
          </w:p>
        </w:tc>
        <w:tc>
          <w:tcPr>
            <w:tcW w:w="0" w:type="auto"/>
            <w:shd w:val="clear" w:color="auto" w:fill="FFFFFF"/>
            <w:tcMar>
              <w:top w:w="80" w:type="dxa"/>
              <w:left w:w="120" w:type="dxa"/>
              <w:bottom w:w="80" w:type="dxa"/>
              <w:right w:w="120" w:type="dxa"/>
            </w:tcMar>
          </w:tcPr>
          <w:p w14:paraId="0B547922" w14:textId="77777777" w:rsidR="001C3200" w:rsidRPr="007523AB" w:rsidRDefault="00B6489A">
            <w:pPr>
              <w:jc w:val="center"/>
            </w:pPr>
            <w:r>
              <w:t>0.237 (0.168)</w:t>
            </w:r>
          </w:p>
        </w:tc>
        <w:tc>
          <w:tcPr>
            <w:tcW w:w="0" w:type="auto"/>
            <w:shd w:val="clear" w:color="auto" w:fill="FFFFFF"/>
            <w:tcMar>
              <w:top w:w="80" w:type="dxa"/>
              <w:left w:w="120" w:type="dxa"/>
              <w:bottom w:w="80" w:type="dxa"/>
              <w:right w:w="120" w:type="dxa"/>
            </w:tcMar>
          </w:tcPr>
          <w:p w14:paraId="42B7CD31" w14:textId="77777777" w:rsidR="001C3200" w:rsidRPr="007523AB" w:rsidRDefault="00B6489A">
            <w:pPr>
              <w:jc w:val="center"/>
            </w:pPr>
            <w:r>
              <w:t>0.270 (0.171)</w:t>
            </w:r>
          </w:p>
        </w:tc>
        <w:tc>
          <w:tcPr>
            <w:tcW w:w="0" w:type="auto"/>
            <w:shd w:val="clear" w:color="auto" w:fill="FFFFFF"/>
            <w:tcMar>
              <w:top w:w="80" w:type="dxa"/>
              <w:left w:w="120" w:type="dxa"/>
              <w:bottom w:w="80" w:type="dxa"/>
              <w:right w:w="120" w:type="dxa"/>
            </w:tcMar>
          </w:tcPr>
          <w:p w14:paraId="2047A15A" w14:textId="77777777" w:rsidR="001C3200" w:rsidRPr="007523AB" w:rsidRDefault="00B6489A">
            <w:pPr>
              <w:jc w:val="center"/>
            </w:pPr>
            <w:r>
              <w:t>0.256 (0.203)</w:t>
            </w:r>
          </w:p>
        </w:tc>
      </w:tr>
      <w:tr w:rsidR="001C3200" w14:paraId="6F17BBF4" w14:textId="77777777">
        <w:tc>
          <w:tcPr>
            <w:tcW w:w="0" w:type="auto"/>
            <w:shd w:val="clear" w:color="auto" w:fill="F5F7FA"/>
            <w:tcMar>
              <w:top w:w="80" w:type="dxa"/>
              <w:left w:w="120" w:type="dxa"/>
              <w:bottom w:w="80" w:type="dxa"/>
              <w:right w:w="120" w:type="dxa"/>
            </w:tcMar>
          </w:tcPr>
          <w:p w14:paraId="31555133" w14:textId="77777777" w:rsidR="001C3200" w:rsidRPr="007523AB" w:rsidRDefault="00B6489A">
            <w:r>
              <w:rPr>
                <w:b/>
                <w:bCs/>
              </w:rPr>
              <w:t>Literacy rate</w:t>
            </w:r>
          </w:p>
        </w:tc>
        <w:tc>
          <w:tcPr>
            <w:tcW w:w="0" w:type="auto"/>
            <w:shd w:val="clear" w:color="auto" w:fill="F5F7FA"/>
            <w:tcMar>
              <w:top w:w="80" w:type="dxa"/>
              <w:left w:w="120" w:type="dxa"/>
              <w:bottom w:w="80" w:type="dxa"/>
              <w:right w:w="120" w:type="dxa"/>
            </w:tcMar>
          </w:tcPr>
          <w:p w14:paraId="3118D7BD" w14:textId="77777777" w:rsidR="001C3200" w:rsidRPr="007523AB" w:rsidRDefault="00B6489A">
            <w:pPr>
              <w:jc w:val="center"/>
            </w:pPr>
            <w:r>
              <w:t>0.247 (0.175)</w:t>
            </w:r>
          </w:p>
        </w:tc>
        <w:tc>
          <w:tcPr>
            <w:tcW w:w="0" w:type="auto"/>
            <w:shd w:val="clear" w:color="auto" w:fill="F5F7FA"/>
            <w:tcMar>
              <w:top w:w="80" w:type="dxa"/>
              <w:left w:w="120" w:type="dxa"/>
              <w:bottom w:w="80" w:type="dxa"/>
              <w:right w:w="120" w:type="dxa"/>
            </w:tcMar>
          </w:tcPr>
          <w:p w14:paraId="211928B5" w14:textId="77777777" w:rsidR="001C3200" w:rsidRPr="007523AB" w:rsidRDefault="00B6489A">
            <w:pPr>
              <w:jc w:val="center"/>
            </w:pPr>
            <w:r>
              <w:t>0.190 (0.328)</w:t>
            </w:r>
          </w:p>
        </w:tc>
        <w:tc>
          <w:tcPr>
            <w:tcW w:w="0" w:type="auto"/>
            <w:shd w:val="clear" w:color="auto" w:fill="F5F7FA"/>
            <w:tcMar>
              <w:top w:w="80" w:type="dxa"/>
              <w:left w:w="120" w:type="dxa"/>
              <w:bottom w:w="80" w:type="dxa"/>
              <w:right w:w="120" w:type="dxa"/>
            </w:tcMar>
          </w:tcPr>
          <w:p w14:paraId="5D3B6053" w14:textId="77777777" w:rsidR="001C3200" w:rsidRPr="007523AB" w:rsidRDefault="00B6489A">
            <w:pPr>
              <w:jc w:val="center"/>
            </w:pPr>
            <w:r>
              <w:t>0.192 (0.305)</w:t>
            </w:r>
          </w:p>
        </w:tc>
        <w:tc>
          <w:tcPr>
            <w:tcW w:w="0" w:type="auto"/>
            <w:shd w:val="clear" w:color="auto" w:fill="F5F7FA"/>
            <w:tcMar>
              <w:top w:w="80" w:type="dxa"/>
              <w:left w:w="120" w:type="dxa"/>
              <w:bottom w:w="80" w:type="dxa"/>
              <w:right w:w="120" w:type="dxa"/>
            </w:tcMar>
          </w:tcPr>
          <w:p w14:paraId="49EB2F50" w14:textId="77777777" w:rsidR="001C3200" w:rsidRPr="007523AB" w:rsidRDefault="00B6489A">
            <w:pPr>
              <w:jc w:val="center"/>
            </w:pPr>
            <w:r>
              <w:t>0.209 (0.275)</w:t>
            </w:r>
          </w:p>
        </w:tc>
        <w:tc>
          <w:tcPr>
            <w:tcW w:w="0" w:type="auto"/>
            <w:shd w:val="clear" w:color="auto" w:fill="F5F7FA"/>
            <w:tcMar>
              <w:top w:w="80" w:type="dxa"/>
              <w:left w:w="120" w:type="dxa"/>
              <w:bottom w:w="80" w:type="dxa"/>
              <w:right w:w="120" w:type="dxa"/>
            </w:tcMar>
          </w:tcPr>
          <w:p w14:paraId="5E82DDC3" w14:textId="77777777" w:rsidR="001C3200" w:rsidRPr="007523AB" w:rsidRDefault="00B6489A">
            <w:pPr>
              <w:jc w:val="center"/>
            </w:pPr>
            <w:r>
              <w:t>0.219 (0.248)</w:t>
            </w:r>
          </w:p>
        </w:tc>
        <w:tc>
          <w:tcPr>
            <w:tcW w:w="0" w:type="auto"/>
            <w:shd w:val="clear" w:color="auto" w:fill="F5F7FA"/>
            <w:tcMar>
              <w:top w:w="80" w:type="dxa"/>
              <w:left w:w="120" w:type="dxa"/>
              <w:bottom w:w="80" w:type="dxa"/>
              <w:right w:w="120" w:type="dxa"/>
            </w:tcMar>
          </w:tcPr>
          <w:p w14:paraId="5D82698A" w14:textId="77777777" w:rsidR="001C3200" w:rsidRPr="007523AB" w:rsidRDefault="00B6489A">
            <w:pPr>
              <w:jc w:val="center"/>
            </w:pPr>
            <w:r>
              <w:t>0.262 (0.254)</w:t>
            </w:r>
          </w:p>
        </w:tc>
      </w:tr>
      <w:tr w:rsidR="001C3200" w14:paraId="5694EFCD" w14:textId="77777777">
        <w:tc>
          <w:tcPr>
            <w:tcW w:w="0" w:type="auto"/>
            <w:shd w:val="clear" w:color="auto" w:fill="FFFFFF"/>
            <w:tcMar>
              <w:top w:w="80" w:type="dxa"/>
              <w:left w:w="120" w:type="dxa"/>
              <w:bottom w:w="80" w:type="dxa"/>
              <w:right w:w="120" w:type="dxa"/>
            </w:tcMar>
          </w:tcPr>
          <w:p w14:paraId="7C928443" w14:textId="77777777" w:rsidR="001C3200" w:rsidRPr="007523AB" w:rsidRDefault="00B6489A">
            <w:r>
              <w:rPr>
                <w:b/>
                <w:bCs/>
              </w:rPr>
              <w:t>ln(PCI)</w:t>
            </w:r>
          </w:p>
        </w:tc>
        <w:tc>
          <w:tcPr>
            <w:tcW w:w="0" w:type="auto"/>
            <w:shd w:val="clear" w:color="auto" w:fill="FFFFFF"/>
            <w:tcMar>
              <w:top w:w="80" w:type="dxa"/>
              <w:left w:w="120" w:type="dxa"/>
              <w:bottom w:w="80" w:type="dxa"/>
              <w:right w:w="120" w:type="dxa"/>
            </w:tcMar>
          </w:tcPr>
          <w:p w14:paraId="1BE8EBAA" w14:textId="77777777" w:rsidR="001C3200" w:rsidRPr="007523AB" w:rsidRDefault="00B6489A">
            <w:pPr>
              <w:jc w:val="center"/>
            </w:pPr>
            <w:r>
              <w:t>0.513 (0.255)</w:t>
            </w:r>
          </w:p>
        </w:tc>
        <w:tc>
          <w:tcPr>
            <w:tcW w:w="0" w:type="auto"/>
            <w:shd w:val="clear" w:color="auto" w:fill="FFFFFF"/>
            <w:tcMar>
              <w:top w:w="80" w:type="dxa"/>
              <w:left w:w="120" w:type="dxa"/>
              <w:bottom w:w="80" w:type="dxa"/>
              <w:right w:w="120" w:type="dxa"/>
            </w:tcMar>
          </w:tcPr>
          <w:p w14:paraId="51A58CD5" w14:textId="77777777" w:rsidR="001C3200" w:rsidRPr="007523AB" w:rsidRDefault="00B6489A">
            <w:pPr>
              <w:jc w:val="center"/>
            </w:pPr>
            <w:r>
              <w:t>-0.056 (0.401)</w:t>
            </w:r>
          </w:p>
        </w:tc>
        <w:tc>
          <w:tcPr>
            <w:tcW w:w="0" w:type="auto"/>
            <w:shd w:val="clear" w:color="auto" w:fill="FFFFFF"/>
            <w:tcMar>
              <w:top w:w="80" w:type="dxa"/>
              <w:left w:w="120" w:type="dxa"/>
              <w:bottom w:w="80" w:type="dxa"/>
              <w:right w:w="120" w:type="dxa"/>
            </w:tcMar>
          </w:tcPr>
          <w:p w14:paraId="5718AA6F" w14:textId="77777777" w:rsidR="001C3200" w:rsidRPr="007523AB" w:rsidRDefault="00B6489A">
            <w:pPr>
              <w:jc w:val="center"/>
            </w:pPr>
            <w:r>
              <w:t>0.157 (0.528)</w:t>
            </w:r>
          </w:p>
        </w:tc>
        <w:tc>
          <w:tcPr>
            <w:tcW w:w="0" w:type="auto"/>
            <w:shd w:val="clear" w:color="auto" w:fill="FFFFFF"/>
            <w:tcMar>
              <w:top w:w="80" w:type="dxa"/>
              <w:left w:w="120" w:type="dxa"/>
              <w:bottom w:w="80" w:type="dxa"/>
              <w:right w:w="120" w:type="dxa"/>
            </w:tcMar>
          </w:tcPr>
          <w:p w14:paraId="684F431B" w14:textId="77777777" w:rsidR="001C3200" w:rsidRPr="007523AB" w:rsidRDefault="00B6489A">
            <w:pPr>
              <w:jc w:val="center"/>
            </w:pPr>
            <w:r>
              <w:t>0.640 (0.610)</w:t>
            </w:r>
          </w:p>
        </w:tc>
        <w:tc>
          <w:tcPr>
            <w:tcW w:w="0" w:type="auto"/>
            <w:shd w:val="clear" w:color="auto" w:fill="E2F3E4"/>
            <w:tcMar>
              <w:top w:w="80" w:type="dxa"/>
              <w:left w:w="120" w:type="dxa"/>
              <w:bottom w:w="80" w:type="dxa"/>
              <w:right w:w="120" w:type="dxa"/>
            </w:tcMar>
          </w:tcPr>
          <w:p w14:paraId="43CE5A65" w14:textId="77777777" w:rsidR="001C3200" w:rsidRPr="007523AB" w:rsidRDefault="00B6489A">
            <w:pPr>
              <w:jc w:val="center"/>
            </w:pPr>
            <w:r>
              <w:t>0.936 (0.393)*</w:t>
            </w:r>
          </w:p>
        </w:tc>
        <w:tc>
          <w:tcPr>
            <w:tcW w:w="0" w:type="auto"/>
            <w:shd w:val="clear" w:color="auto" w:fill="E2F3E4"/>
            <w:tcMar>
              <w:top w:w="80" w:type="dxa"/>
              <w:left w:w="120" w:type="dxa"/>
              <w:bottom w:w="80" w:type="dxa"/>
              <w:right w:w="120" w:type="dxa"/>
            </w:tcMar>
          </w:tcPr>
          <w:p w14:paraId="5E6EAAA2" w14:textId="77777777" w:rsidR="001C3200" w:rsidRPr="007523AB" w:rsidRDefault="00B6489A">
            <w:pPr>
              <w:jc w:val="center"/>
            </w:pPr>
            <w:r>
              <w:t>1.069 (</w:t>
            </w:r>
            <w:r>
              <w:t>0.442)*</w:t>
            </w:r>
          </w:p>
        </w:tc>
      </w:tr>
      <w:tr w:rsidR="001C3200" w14:paraId="66FCC45C" w14:textId="77777777">
        <w:tc>
          <w:tcPr>
            <w:tcW w:w="0" w:type="auto"/>
            <w:shd w:val="clear" w:color="auto" w:fill="F5F7FA"/>
            <w:tcMar>
              <w:top w:w="80" w:type="dxa"/>
              <w:left w:w="120" w:type="dxa"/>
              <w:bottom w:w="80" w:type="dxa"/>
              <w:right w:w="120" w:type="dxa"/>
            </w:tcMar>
          </w:tcPr>
          <w:p w14:paraId="2AC07B58" w14:textId="77777777" w:rsidR="001C3200" w:rsidRPr="007523AB" w:rsidRDefault="00B6489A">
            <w:r>
              <w:rPr>
                <w:b/>
                <w:bCs/>
              </w:rPr>
              <w:t>FI Index</w:t>
            </w:r>
          </w:p>
        </w:tc>
        <w:tc>
          <w:tcPr>
            <w:tcW w:w="0" w:type="auto"/>
            <w:shd w:val="clear" w:color="auto" w:fill="F5F7FA"/>
            <w:tcMar>
              <w:top w:w="80" w:type="dxa"/>
              <w:left w:w="120" w:type="dxa"/>
              <w:bottom w:w="80" w:type="dxa"/>
              <w:right w:w="120" w:type="dxa"/>
            </w:tcMar>
          </w:tcPr>
          <w:p w14:paraId="354899B7" w14:textId="77777777" w:rsidR="001C3200" w:rsidRPr="007523AB" w:rsidRDefault="00B6489A">
            <w:pPr>
              <w:jc w:val="center"/>
            </w:pPr>
            <w:r>
              <w:t>-1.245 (0.403)</w:t>
            </w:r>
          </w:p>
        </w:tc>
        <w:tc>
          <w:tcPr>
            <w:tcW w:w="0" w:type="auto"/>
            <w:shd w:val="clear" w:color="auto" w:fill="F5F7FA"/>
            <w:tcMar>
              <w:top w:w="80" w:type="dxa"/>
              <w:left w:w="120" w:type="dxa"/>
              <w:bottom w:w="80" w:type="dxa"/>
              <w:right w:w="120" w:type="dxa"/>
            </w:tcMar>
          </w:tcPr>
          <w:p w14:paraId="3D3DC48B" w14:textId="77777777" w:rsidR="001C3200" w:rsidRPr="007523AB" w:rsidRDefault="00B6489A">
            <w:pPr>
              <w:jc w:val="center"/>
            </w:pPr>
            <w:r>
              <w:t>-0.588 (0.605)</w:t>
            </w:r>
          </w:p>
        </w:tc>
        <w:tc>
          <w:tcPr>
            <w:tcW w:w="0" w:type="auto"/>
            <w:shd w:val="clear" w:color="auto" w:fill="F5F7FA"/>
            <w:tcMar>
              <w:top w:w="80" w:type="dxa"/>
              <w:left w:w="120" w:type="dxa"/>
              <w:bottom w:w="80" w:type="dxa"/>
              <w:right w:w="120" w:type="dxa"/>
            </w:tcMar>
          </w:tcPr>
          <w:p w14:paraId="05A9D1C8" w14:textId="77777777" w:rsidR="001C3200" w:rsidRPr="007523AB" w:rsidRDefault="00B6489A">
            <w:pPr>
              <w:jc w:val="center"/>
            </w:pPr>
            <w:r>
              <w:t>-0.806 (0.710)</w:t>
            </w:r>
          </w:p>
        </w:tc>
        <w:tc>
          <w:tcPr>
            <w:tcW w:w="0" w:type="auto"/>
            <w:shd w:val="clear" w:color="auto" w:fill="FFF3CD"/>
            <w:tcMar>
              <w:top w:w="80" w:type="dxa"/>
              <w:left w:w="120" w:type="dxa"/>
              <w:bottom w:w="80" w:type="dxa"/>
              <w:right w:w="120" w:type="dxa"/>
            </w:tcMar>
          </w:tcPr>
          <w:p w14:paraId="5EE18B7E" w14:textId="77777777" w:rsidR="001C3200" w:rsidRPr="007523AB" w:rsidRDefault="00B6489A">
            <w:pPr>
              <w:jc w:val="center"/>
            </w:pPr>
            <w:r>
              <w:t>-1.319 (0.742)†</w:t>
            </w:r>
          </w:p>
        </w:tc>
        <w:tc>
          <w:tcPr>
            <w:tcW w:w="0" w:type="auto"/>
            <w:shd w:val="clear" w:color="auto" w:fill="E2F3E4"/>
            <w:tcMar>
              <w:top w:w="80" w:type="dxa"/>
              <w:left w:w="120" w:type="dxa"/>
              <w:bottom w:w="80" w:type="dxa"/>
              <w:right w:w="120" w:type="dxa"/>
            </w:tcMar>
          </w:tcPr>
          <w:p w14:paraId="0DB15690" w14:textId="77777777" w:rsidR="001C3200" w:rsidRPr="007523AB" w:rsidRDefault="00B6489A">
            <w:pPr>
              <w:jc w:val="center"/>
            </w:pPr>
            <w:r>
              <w:t>-1.610 (0.510)**</w:t>
            </w:r>
          </w:p>
        </w:tc>
        <w:tc>
          <w:tcPr>
            <w:tcW w:w="0" w:type="auto"/>
            <w:shd w:val="clear" w:color="auto" w:fill="E2F3E4"/>
            <w:tcMar>
              <w:top w:w="80" w:type="dxa"/>
              <w:left w:w="120" w:type="dxa"/>
              <w:bottom w:w="80" w:type="dxa"/>
              <w:right w:w="120" w:type="dxa"/>
            </w:tcMar>
          </w:tcPr>
          <w:p w14:paraId="67529A77" w14:textId="77777777" w:rsidR="001C3200" w:rsidRPr="007523AB" w:rsidRDefault="00B6489A">
            <w:pPr>
              <w:jc w:val="center"/>
            </w:pPr>
            <w:r>
              <w:t>-1.674 (0.616)**</w:t>
            </w:r>
          </w:p>
        </w:tc>
      </w:tr>
      <w:tr w:rsidR="00937AB4" w14:paraId="261FA207" w14:textId="77777777" w:rsidTr="00081F58">
        <w:tc>
          <w:tcPr>
            <w:tcW w:w="0" w:type="auto"/>
            <w:gridSpan w:val="7"/>
            <w:shd w:val="clear" w:color="auto" w:fill="F5F7FA"/>
            <w:tcMar>
              <w:top w:w="80" w:type="dxa"/>
              <w:left w:w="120" w:type="dxa"/>
              <w:bottom w:w="80" w:type="dxa"/>
              <w:right w:w="120" w:type="dxa"/>
            </w:tcMar>
          </w:tcPr>
          <w:p w14:paraId="670AD87A" w14:textId="6A55F24C" w:rsidR="00937AB4" w:rsidRPr="008C0AEA" w:rsidRDefault="00937AB4" w:rsidP="008C0AEA">
            <w:pPr>
              <w:jc w:val="both"/>
              <w:rPr>
                <w:sz w:val="18"/>
              </w:rPr>
            </w:pPr>
            <w:r>
              <w:rPr>
                <w:b/>
                <w:bCs/>
                <w:sz w:val="18"/>
              </w:rPr>
              <w:t>Notes:</w:t>
            </w:r>
            <w:r>
              <w:rPr>
                <w:sz w:val="18"/>
              </w:rPr>
              <w:t xml:space="preserve"> Coefficients are standardised (β). Bootstrap standard errors in parentheses. *** p&lt;0.001, ** p&lt;0.01, * p&lt;0.05, † p&lt;0.10. OLS estimates shown for comparison. Source: Authors’ calculations.</w:t>
            </w:r>
          </w:p>
        </w:tc>
      </w:tr>
    </w:tbl>
    <w:p w14:paraId="7D7CB7A3" w14:textId="77777777" w:rsidR="008C0AEA" w:rsidRDefault="008C0AEA" w:rsidP="008C0AEA">
      <w:pPr>
        <w:spacing w:after="120"/>
        <w:rPr>
          <w:b/>
          <w:bCs/>
          <w:color w:val="1A3A5C"/>
          <w:sz w:val="26"/>
          <w:szCs w:val="26"/>
        </w:rPr>
      </w:pPr>
      <w:r>
        <w:rPr>
          <w:b/>
          <w:bCs/>
          <w:color w:val="000000" w:themeColor="text1"/>
        </w:rPr>
        <w:t>Source: Authors’ calculations.</w:t>
      </w:r>
    </w:p>
    <w:p w14:paraId="1E0C9BDD" w14:textId="77777777" w:rsidR="004C71E1" w:rsidRPr="008C0AEA" w:rsidRDefault="004C71E1">
      <w:pPr>
        <w:rPr>
          <w:b/>
          <w:bCs/>
          <w:i/>
          <w:iCs/>
          <w:sz w:val="18"/>
        </w:rPr>
      </w:pPr>
    </w:p>
    <w:p w14:paraId="7186708A" w14:textId="6C23C3F6" w:rsidR="004C71E1" w:rsidRPr="00E5345C" w:rsidRDefault="004C71E1" w:rsidP="004C71E1">
      <w:pPr>
        <w:jc w:val="center"/>
        <w:rPr>
          <w:b/>
          <w:bCs/>
          <w:sz w:val="22"/>
          <w:szCs w:val="22"/>
        </w:rPr>
      </w:pPr>
      <w:r>
        <w:rPr>
          <w:b/>
          <w:bCs/>
          <w:sz w:val="22"/>
          <w:szCs w:val="22"/>
        </w:rPr>
        <w:t>Table 5b: Quantile Regression Estimates for NPS AC Female Share</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1535"/>
        <w:gridCol w:w="1379"/>
        <w:gridCol w:w="1378"/>
        <w:gridCol w:w="1378"/>
        <w:gridCol w:w="1378"/>
        <w:gridCol w:w="1456"/>
        <w:gridCol w:w="1456"/>
      </w:tblGrid>
      <w:tr w:rsidR="001C3200" w14:paraId="2BC9BE41" w14:textId="77777777" w:rsidTr="00E5345C">
        <w:tc>
          <w:tcPr>
            <w:tcW w:w="0" w:type="auto"/>
            <w:shd w:val="clear" w:color="auto" w:fill="1C385C"/>
            <w:tcMar>
              <w:top w:w="80" w:type="dxa"/>
              <w:left w:w="120" w:type="dxa"/>
              <w:bottom w:w="80" w:type="dxa"/>
              <w:right w:w="120" w:type="dxa"/>
            </w:tcMar>
          </w:tcPr>
          <w:p w14:paraId="1F142083" w14:textId="77777777" w:rsidR="001C3200" w:rsidRPr="007523AB" w:rsidRDefault="00B6489A">
            <w:r>
              <w:rPr>
                <w:b/>
                <w:bCs/>
              </w:rPr>
              <w:t>Predictor</w:t>
            </w:r>
          </w:p>
        </w:tc>
        <w:tc>
          <w:tcPr>
            <w:tcW w:w="0" w:type="auto"/>
            <w:shd w:val="clear" w:color="auto" w:fill="1C385C"/>
            <w:tcMar>
              <w:top w:w="80" w:type="dxa"/>
              <w:left w:w="120" w:type="dxa"/>
              <w:bottom w:w="80" w:type="dxa"/>
              <w:right w:w="120" w:type="dxa"/>
            </w:tcMar>
          </w:tcPr>
          <w:p w14:paraId="62300074" w14:textId="77777777" w:rsidR="001C3200" w:rsidRPr="007523AB" w:rsidRDefault="00B6489A">
            <w:pPr>
              <w:jc w:val="center"/>
            </w:pPr>
            <w:r>
              <w:rPr>
                <w:b/>
                <w:bCs/>
              </w:rPr>
              <w:t>OLS β (SE)</w:t>
            </w:r>
          </w:p>
        </w:tc>
        <w:tc>
          <w:tcPr>
            <w:tcW w:w="0" w:type="auto"/>
            <w:shd w:val="clear" w:color="auto" w:fill="1C385C"/>
            <w:tcMar>
              <w:top w:w="80" w:type="dxa"/>
              <w:left w:w="120" w:type="dxa"/>
              <w:bottom w:w="80" w:type="dxa"/>
              <w:right w:w="120" w:type="dxa"/>
            </w:tcMar>
          </w:tcPr>
          <w:p w14:paraId="668E4B30" w14:textId="77777777" w:rsidR="001C3200" w:rsidRPr="007523AB" w:rsidRDefault="00B6489A">
            <w:pPr>
              <w:jc w:val="center"/>
            </w:pPr>
            <w:r>
              <w:rPr>
                <w:b/>
                <w:bCs/>
              </w:rPr>
              <w:t>Q10</w:t>
            </w:r>
          </w:p>
        </w:tc>
        <w:tc>
          <w:tcPr>
            <w:tcW w:w="0" w:type="auto"/>
            <w:shd w:val="clear" w:color="auto" w:fill="1C385C"/>
            <w:tcMar>
              <w:top w:w="80" w:type="dxa"/>
              <w:left w:w="120" w:type="dxa"/>
              <w:bottom w:w="80" w:type="dxa"/>
              <w:right w:w="120" w:type="dxa"/>
            </w:tcMar>
          </w:tcPr>
          <w:p w14:paraId="7BE76399" w14:textId="77777777" w:rsidR="001C3200" w:rsidRPr="007523AB" w:rsidRDefault="00B6489A">
            <w:pPr>
              <w:jc w:val="center"/>
            </w:pPr>
            <w:r>
              <w:rPr>
                <w:b/>
                <w:bCs/>
              </w:rPr>
              <w:t>Q25</w:t>
            </w:r>
          </w:p>
        </w:tc>
        <w:tc>
          <w:tcPr>
            <w:tcW w:w="0" w:type="auto"/>
            <w:shd w:val="clear" w:color="auto" w:fill="1C385C"/>
            <w:tcMar>
              <w:top w:w="80" w:type="dxa"/>
              <w:left w:w="120" w:type="dxa"/>
              <w:bottom w:w="80" w:type="dxa"/>
              <w:right w:w="120" w:type="dxa"/>
            </w:tcMar>
          </w:tcPr>
          <w:p w14:paraId="76E4EBC0" w14:textId="77777777" w:rsidR="001C3200" w:rsidRPr="007523AB" w:rsidRDefault="00B6489A">
            <w:pPr>
              <w:jc w:val="center"/>
            </w:pPr>
            <w:r>
              <w:rPr>
                <w:b/>
                <w:bCs/>
              </w:rPr>
              <w:t>Q50</w:t>
            </w:r>
          </w:p>
        </w:tc>
        <w:tc>
          <w:tcPr>
            <w:tcW w:w="0" w:type="auto"/>
            <w:shd w:val="clear" w:color="auto" w:fill="1C385C"/>
            <w:tcMar>
              <w:top w:w="80" w:type="dxa"/>
              <w:left w:w="120" w:type="dxa"/>
              <w:bottom w:w="80" w:type="dxa"/>
              <w:right w:w="120" w:type="dxa"/>
            </w:tcMar>
          </w:tcPr>
          <w:p w14:paraId="473518AA" w14:textId="77777777" w:rsidR="001C3200" w:rsidRPr="007523AB" w:rsidRDefault="00B6489A">
            <w:pPr>
              <w:jc w:val="center"/>
            </w:pPr>
            <w:r>
              <w:rPr>
                <w:b/>
                <w:bCs/>
              </w:rPr>
              <w:t>Q75</w:t>
            </w:r>
          </w:p>
        </w:tc>
        <w:tc>
          <w:tcPr>
            <w:tcW w:w="0" w:type="auto"/>
            <w:shd w:val="clear" w:color="auto" w:fill="1C385C"/>
            <w:tcMar>
              <w:top w:w="80" w:type="dxa"/>
              <w:left w:w="120" w:type="dxa"/>
              <w:bottom w:w="80" w:type="dxa"/>
              <w:right w:w="120" w:type="dxa"/>
            </w:tcMar>
          </w:tcPr>
          <w:p w14:paraId="5B000B98" w14:textId="77777777" w:rsidR="001C3200" w:rsidRPr="007523AB" w:rsidRDefault="00B6489A">
            <w:pPr>
              <w:jc w:val="center"/>
            </w:pPr>
            <w:r>
              <w:rPr>
                <w:b/>
                <w:bCs/>
              </w:rPr>
              <w:t>Q90</w:t>
            </w:r>
          </w:p>
        </w:tc>
      </w:tr>
      <w:tr w:rsidR="001C3200" w14:paraId="6759D661" w14:textId="77777777">
        <w:tc>
          <w:tcPr>
            <w:tcW w:w="0" w:type="auto"/>
            <w:shd w:val="clear" w:color="auto" w:fill="D9E1F2"/>
            <w:tcMar>
              <w:top w:w="80" w:type="dxa"/>
              <w:left w:w="120" w:type="dxa"/>
              <w:bottom w:w="80" w:type="dxa"/>
              <w:right w:w="120" w:type="dxa"/>
            </w:tcMar>
          </w:tcPr>
          <w:p w14:paraId="75949D00"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157FD96"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07A8559D" w14:textId="77777777" w:rsidR="001C3200" w:rsidRPr="007523AB" w:rsidRDefault="00B6489A">
            <w:pPr>
              <w:jc w:val="center"/>
            </w:pPr>
            <w:r>
              <w:t>β (SE) [sig]</w:t>
            </w:r>
          </w:p>
        </w:tc>
        <w:tc>
          <w:tcPr>
            <w:tcW w:w="0" w:type="auto"/>
            <w:shd w:val="clear" w:color="auto" w:fill="D9E1F2"/>
            <w:tcMar>
              <w:top w:w="80" w:type="dxa"/>
              <w:left w:w="120" w:type="dxa"/>
              <w:bottom w:w="80" w:type="dxa"/>
              <w:right w:w="120" w:type="dxa"/>
            </w:tcMar>
          </w:tcPr>
          <w:p w14:paraId="5FE90DA6" w14:textId="77777777" w:rsidR="001C3200" w:rsidRPr="007523AB" w:rsidRDefault="00B6489A">
            <w:pPr>
              <w:jc w:val="center"/>
            </w:pPr>
            <w:r>
              <w:t>β (SE) [sig]</w:t>
            </w:r>
          </w:p>
        </w:tc>
        <w:tc>
          <w:tcPr>
            <w:tcW w:w="0" w:type="auto"/>
            <w:shd w:val="clear" w:color="auto" w:fill="D9E1F2"/>
            <w:tcMar>
              <w:top w:w="80" w:type="dxa"/>
              <w:left w:w="120" w:type="dxa"/>
              <w:bottom w:w="80" w:type="dxa"/>
              <w:right w:w="120" w:type="dxa"/>
            </w:tcMar>
          </w:tcPr>
          <w:p w14:paraId="0ABD7A31" w14:textId="77777777" w:rsidR="001C3200" w:rsidRPr="007523AB" w:rsidRDefault="00B6489A">
            <w:pPr>
              <w:jc w:val="center"/>
            </w:pPr>
            <w:r>
              <w:t>β (SE) [sig]</w:t>
            </w:r>
          </w:p>
        </w:tc>
        <w:tc>
          <w:tcPr>
            <w:tcW w:w="0" w:type="auto"/>
            <w:shd w:val="clear" w:color="auto" w:fill="D9E1F2"/>
            <w:tcMar>
              <w:top w:w="80" w:type="dxa"/>
              <w:left w:w="120" w:type="dxa"/>
              <w:bottom w:w="80" w:type="dxa"/>
              <w:right w:w="120" w:type="dxa"/>
            </w:tcMar>
          </w:tcPr>
          <w:p w14:paraId="220557F5" w14:textId="77777777" w:rsidR="001C3200" w:rsidRPr="007523AB" w:rsidRDefault="00B6489A">
            <w:pPr>
              <w:jc w:val="center"/>
            </w:pPr>
            <w:r>
              <w:t xml:space="preserve">β </w:t>
            </w:r>
            <w:r>
              <w:t>(SE) [sig]</w:t>
            </w:r>
          </w:p>
        </w:tc>
        <w:tc>
          <w:tcPr>
            <w:tcW w:w="0" w:type="auto"/>
            <w:shd w:val="clear" w:color="auto" w:fill="D9E1F2"/>
            <w:tcMar>
              <w:top w:w="80" w:type="dxa"/>
              <w:left w:w="120" w:type="dxa"/>
              <w:bottom w:w="80" w:type="dxa"/>
              <w:right w:w="120" w:type="dxa"/>
            </w:tcMar>
          </w:tcPr>
          <w:p w14:paraId="420C27A6" w14:textId="77777777" w:rsidR="001C3200" w:rsidRPr="007523AB" w:rsidRDefault="00B6489A">
            <w:pPr>
              <w:jc w:val="center"/>
            </w:pPr>
            <w:r>
              <w:t>β (SE) [sig]</w:t>
            </w:r>
          </w:p>
        </w:tc>
      </w:tr>
      <w:tr w:rsidR="001C3200" w14:paraId="2C4B4286" w14:textId="77777777">
        <w:tc>
          <w:tcPr>
            <w:tcW w:w="0" w:type="auto"/>
            <w:shd w:val="clear" w:color="auto" w:fill="F5F7FA"/>
            <w:tcMar>
              <w:top w:w="80" w:type="dxa"/>
              <w:left w:w="120" w:type="dxa"/>
              <w:bottom w:w="80" w:type="dxa"/>
              <w:right w:w="120" w:type="dxa"/>
            </w:tcMar>
          </w:tcPr>
          <w:p w14:paraId="7C824796" w14:textId="77777777" w:rsidR="001C3200" w:rsidRPr="007523AB" w:rsidRDefault="00B6489A">
            <w:r>
              <w:rPr>
                <w:b/>
                <w:bCs/>
              </w:rPr>
              <w:t>Bank density</w:t>
            </w:r>
          </w:p>
        </w:tc>
        <w:tc>
          <w:tcPr>
            <w:tcW w:w="0" w:type="auto"/>
            <w:shd w:val="clear" w:color="auto" w:fill="F5F7FA"/>
            <w:tcMar>
              <w:top w:w="80" w:type="dxa"/>
              <w:left w:w="120" w:type="dxa"/>
              <w:bottom w:w="80" w:type="dxa"/>
              <w:right w:w="120" w:type="dxa"/>
            </w:tcMar>
          </w:tcPr>
          <w:p w14:paraId="2D014B77" w14:textId="77777777" w:rsidR="001C3200" w:rsidRPr="007523AB" w:rsidRDefault="00B6489A">
            <w:pPr>
              <w:jc w:val="center"/>
            </w:pPr>
            <w:r>
              <w:t>0.598 (2.357)</w:t>
            </w:r>
          </w:p>
        </w:tc>
        <w:tc>
          <w:tcPr>
            <w:tcW w:w="0" w:type="auto"/>
            <w:shd w:val="clear" w:color="auto" w:fill="F5F7FA"/>
            <w:tcMar>
              <w:top w:w="80" w:type="dxa"/>
              <w:left w:w="120" w:type="dxa"/>
              <w:bottom w:w="80" w:type="dxa"/>
              <w:right w:w="120" w:type="dxa"/>
            </w:tcMar>
          </w:tcPr>
          <w:p w14:paraId="25B8E561" w14:textId="77777777" w:rsidR="001C3200" w:rsidRPr="007523AB" w:rsidRDefault="00B6489A">
            <w:pPr>
              <w:jc w:val="center"/>
            </w:pPr>
            <w:r>
              <w:t>-0.297 (3.118)</w:t>
            </w:r>
          </w:p>
        </w:tc>
        <w:tc>
          <w:tcPr>
            <w:tcW w:w="0" w:type="auto"/>
            <w:shd w:val="clear" w:color="auto" w:fill="F5F7FA"/>
            <w:tcMar>
              <w:top w:w="80" w:type="dxa"/>
              <w:left w:w="120" w:type="dxa"/>
              <w:bottom w:w="80" w:type="dxa"/>
              <w:right w:w="120" w:type="dxa"/>
            </w:tcMar>
          </w:tcPr>
          <w:p w14:paraId="41448937" w14:textId="77777777" w:rsidR="001C3200" w:rsidRPr="007523AB" w:rsidRDefault="00B6489A">
            <w:pPr>
              <w:jc w:val="center"/>
            </w:pPr>
            <w:r>
              <w:t>0.226 (3.245)</w:t>
            </w:r>
          </w:p>
        </w:tc>
        <w:tc>
          <w:tcPr>
            <w:tcW w:w="0" w:type="auto"/>
            <w:shd w:val="clear" w:color="auto" w:fill="F5F7FA"/>
            <w:tcMar>
              <w:top w:w="80" w:type="dxa"/>
              <w:left w:w="120" w:type="dxa"/>
              <w:bottom w:w="80" w:type="dxa"/>
              <w:right w:w="120" w:type="dxa"/>
            </w:tcMar>
          </w:tcPr>
          <w:p w14:paraId="7D50C7B0" w14:textId="77777777" w:rsidR="001C3200" w:rsidRPr="007523AB" w:rsidRDefault="00B6489A">
            <w:pPr>
              <w:jc w:val="center"/>
            </w:pPr>
            <w:r>
              <w:t>0.318 (3.600)</w:t>
            </w:r>
          </w:p>
        </w:tc>
        <w:tc>
          <w:tcPr>
            <w:tcW w:w="0" w:type="auto"/>
            <w:shd w:val="clear" w:color="auto" w:fill="F5F7FA"/>
            <w:tcMar>
              <w:top w:w="80" w:type="dxa"/>
              <w:left w:w="120" w:type="dxa"/>
              <w:bottom w:w="80" w:type="dxa"/>
              <w:right w:w="120" w:type="dxa"/>
            </w:tcMar>
          </w:tcPr>
          <w:p w14:paraId="1F099A6F" w14:textId="77777777" w:rsidR="001C3200" w:rsidRPr="007523AB" w:rsidRDefault="00B6489A">
            <w:pPr>
              <w:jc w:val="center"/>
            </w:pPr>
            <w:r>
              <w:t>1.371 (3.676)</w:t>
            </w:r>
          </w:p>
        </w:tc>
        <w:tc>
          <w:tcPr>
            <w:tcW w:w="0" w:type="auto"/>
            <w:shd w:val="clear" w:color="auto" w:fill="F5F7FA"/>
            <w:tcMar>
              <w:top w:w="80" w:type="dxa"/>
              <w:left w:w="120" w:type="dxa"/>
              <w:bottom w:w="80" w:type="dxa"/>
              <w:right w:w="120" w:type="dxa"/>
            </w:tcMar>
          </w:tcPr>
          <w:p w14:paraId="4E765297" w14:textId="77777777" w:rsidR="001C3200" w:rsidRPr="007523AB" w:rsidRDefault="00B6489A">
            <w:pPr>
              <w:jc w:val="center"/>
            </w:pPr>
            <w:r>
              <w:t>2.849 (3.801)</w:t>
            </w:r>
          </w:p>
        </w:tc>
      </w:tr>
      <w:tr w:rsidR="001C3200" w14:paraId="5BE0CB62" w14:textId="77777777">
        <w:tc>
          <w:tcPr>
            <w:tcW w:w="0" w:type="auto"/>
            <w:shd w:val="clear" w:color="auto" w:fill="FFFFFF"/>
            <w:tcMar>
              <w:top w:w="80" w:type="dxa"/>
              <w:left w:w="120" w:type="dxa"/>
              <w:bottom w:w="80" w:type="dxa"/>
              <w:right w:w="120" w:type="dxa"/>
            </w:tcMar>
          </w:tcPr>
          <w:p w14:paraId="5E43D616" w14:textId="77777777" w:rsidR="001C3200" w:rsidRPr="007523AB" w:rsidRDefault="00B6489A">
            <w:r>
              <w:rPr>
                <w:b/>
                <w:bCs/>
              </w:rPr>
              <w:t>Female LFPR</w:t>
            </w:r>
          </w:p>
        </w:tc>
        <w:tc>
          <w:tcPr>
            <w:tcW w:w="0" w:type="auto"/>
            <w:shd w:val="clear" w:color="auto" w:fill="FFFFFF"/>
            <w:tcMar>
              <w:top w:w="80" w:type="dxa"/>
              <w:left w:w="120" w:type="dxa"/>
              <w:bottom w:w="80" w:type="dxa"/>
              <w:right w:w="120" w:type="dxa"/>
            </w:tcMar>
          </w:tcPr>
          <w:p w14:paraId="6B78E7CD" w14:textId="77777777" w:rsidR="001C3200" w:rsidRPr="007523AB" w:rsidRDefault="00B6489A">
            <w:pPr>
              <w:jc w:val="center"/>
            </w:pPr>
            <w:r>
              <w:t>1.656 (1.012)</w:t>
            </w:r>
          </w:p>
        </w:tc>
        <w:tc>
          <w:tcPr>
            <w:tcW w:w="0" w:type="auto"/>
            <w:shd w:val="clear" w:color="auto" w:fill="FFFFFF"/>
            <w:tcMar>
              <w:top w:w="80" w:type="dxa"/>
              <w:left w:w="120" w:type="dxa"/>
              <w:bottom w:w="80" w:type="dxa"/>
              <w:right w:w="120" w:type="dxa"/>
            </w:tcMar>
          </w:tcPr>
          <w:p w14:paraId="18618D33" w14:textId="77777777" w:rsidR="001C3200" w:rsidRPr="007523AB" w:rsidRDefault="00B6489A">
            <w:pPr>
              <w:jc w:val="center"/>
            </w:pPr>
            <w:r>
              <w:t>-0.102 (1.552)</w:t>
            </w:r>
          </w:p>
        </w:tc>
        <w:tc>
          <w:tcPr>
            <w:tcW w:w="0" w:type="auto"/>
            <w:shd w:val="clear" w:color="auto" w:fill="FFFFFF"/>
            <w:tcMar>
              <w:top w:w="80" w:type="dxa"/>
              <w:left w:w="120" w:type="dxa"/>
              <w:bottom w:w="80" w:type="dxa"/>
              <w:right w:w="120" w:type="dxa"/>
            </w:tcMar>
          </w:tcPr>
          <w:p w14:paraId="71729C64" w14:textId="77777777" w:rsidR="001C3200" w:rsidRPr="007523AB" w:rsidRDefault="00B6489A">
            <w:pPr>
              <w:jc w:val="center"/>
            </w:pPr>
            <w:r>
              <w:t>0.486 (1.471)</w:t>
            </w:r>
          </w:p>
        </w:tc>
        <w:tc>
          <w:tcPr>
            <w:tcW w:w="0" w:type="auto"/>
            <w:shd w:val="clear" w:color="auto" w:fill="FFFFFF"/>
            <w:tcMar>
              <w:top w:w="80" w:type="dxa"/>
              <w:left w:w="120" w:type="dxa"/>
              <w:bottom w:w="80" w:type="dxa"/>
              <w:right w:w="120" w:type="dxa"/>
            </w:tcMar>
          </w:tcPr>
          <w:p w14:paraId="54E69160" w14:textId="77777777" w:rsidR="001C3200" w:rsidRPr="007523AB" w:rsidRDefault="00B6489A">
            <w:pPr>
              <w:jc w:val="center"/>
            </w:pPr>
            <w:r>
              <w:t>1.046 (1.620)</w:t>
            </w:r>
          </w:p>
        </w:tc>
        <w:tc>
          <w:tcPr>
            <w:tcW w:w="0" w:type="auto"/>
            <w:shd w:val="clear" w:color="auto" w:fill="FFFFFF"/>
            <w:tcMar>
              <w:top w:w="80" w:type="dxa"/>
              <w:left w:w="120" w:type="dxa"/>
              <w:bottom w:w="80" w:type="dxa"/>
              <w:right w:w="120" w:type="dxa"/>
            </w:tcMar>
          </w:tcPr>
          <w:p w14:paraId="2C640331" w14:textId="77777777" w:rsidR="001C3200" w:rsidRPr="007523AB" w:rsidRDefault="00B6489A">
            <w:pPr>
              <w:jc w:val="center"/>
            </w:pPr>
            <w:r>
              <w:t>2.218 (2.013)</w:t>
            </w:r>
          </w:p>
        </w:tc>
        <w:tc>
          <w:tcPr>
            <w:tcW w:w="0" w:type="auto"/>
            <w:shd w:val="clear" w:color="auto" w:fill="FFF3CD"/>
            <w:tcMar>
              <w:top w:w="80" w:type="dxa"/>
              <w:left w:w="120" w:type="dxa"/>
              <w:bottom w:w="80" w:type="dxa"/>
              <w:right w:w="120" w:type="dxa"/>
            </w:tcMar>
          </w:tcPr>
          <w:p w14:paraId="13DB372F" w14:textId="77777777" w:rsidR="001C3200" w:rsidRPr="007523AB" w:rsidRDefault="00B6489A">
            <w:pPr>
              <w:jc w:val="center"/>
            </w:pPr>
            <w:r>
              <w:t>3.647 (2.147)†</w:t>
            </w:r>
          </w:p>
        </w:tc>
      </w:tr>
      <w:tr w:rsidR="001C3200" w14:paraId="0E511223" w14:textId="77777777">
        <w:tc>
          <w:tcPr>
            <w:tcW w:w="0" w:type="auto"/>
            <w:shd w:val="clear" w:color="auto" w:fill="F5F7FA"/>
            <w:tcMar>
              <w:top w:w="80" w:type="dxa"/>
              <w:left w:w="120" w:type="dxa"/>
              <w:bottom w:w="80" w:type="dxa"/>
              <w:right w:w="120" w:type="dxa"/>
            </w:tcMar>
          </w:tcPr>
          <w:p w14:paraId="59E7491D" w14:textId="77777777" w:rsidR="001C3200" w:rsidRPr="007523AB" w:rsidRDefault="00B6489A">
            <w:r>
              <w:rPr>
                <w:b/>
                <w:bCs/>
              </w:rPr>
              <w:t>Literacy rate</w:t>
            </w:r>
          </w:p>
        </w:tc>
        <w:tc>
          <w:tcPr>
            <w:tcW w:w="0" w:type="auto"/>
            <w:shd w:val="clear" w:color="auto" w:fill="F5F7FA"/>
            <w:tcMar>
              <w:top w:w="80" w:type="dxa"/>
              <w:left w:w="120" w:type="dxa"/>
              <w:bottom w:w="80" w:type="dxa"/>
              <w:right w:w="120" w:type="dxa"/>
            </w:tcMar>
          </w:tcPr>
          <w:p w14:paraId="18ECC790" w14:textId="77777777" w:rsidR="001C3200" w:rsidRPr="007523AB" w:rsidRDefault="00B6489A">
            <w:pPr>
              <w:jc w:val="center"/>
            </w:pPr>
            <w:r>
              <w:t>3.287 (1.319)</w:t>
            </w:r>
          </w:p>
        </w:tc>
        <w:tc>
          <w:tcPr>
            <w:tcW w:w="0" w:type="auto"/>
            <w:shd w:val="clear" w:color="auto" w:fill="F5F7FA"/>
            <w:tcMar>
              <w:top w:w="80" w:type="dxa"/>
              <w:left w:w="120" w:type="dxa"/>
              <w:bottom w:w="80" w:type="dxa"/>
              <w:right w:w="120" w:type="dxa"/>
            </w:tcMar>
          </w:tcPr>
          <w:p w14:paraId="4EB0939D" w14:textId="77777777" w:rsidR="001C3200" w:rsidRPr="007523AB" w:rsidRDefault="00B6489A">
            <w:pPr>
              <w:jc w:val="center"/>
            </w:pPr>
            <w:r>
              <w:t>1.176</w:t>
            </w:r>
            <w:r>
              <w:t xml:space="preserve"> (2.910)</w:t>
            </w:r>
          </w:p>
        </w:tc>
        <w:tc>
          <w:tcPr>
            <w:tcW w:w="0" w:type="auto"/>
            <w:shd w:val="clear" w:color="auto" w:fill="F5F7FA"/>
            <w:tcMar>
              <w:top w:w="80" w:type="dxa"/>
              <w:left w:w="120" w:type="dxa"/>
              <w:bottom w:w="80" w:type="dxa"/>
              <w:right w:w="120" w:type="dxa"/>
            </w:tcMar>
          </w:tcPr>
          <w:p w14:paraId="671BBFA1" w14:textId="77777777" w:rsidR="001C3200" w:rsidRPr="007523AB" w:rsidRDefault="00B6489A">
            <w:pPr>
              <w:jc w:val="center"/>
            </w:pPr>
            <w:r>
              <w:t>1.209 (2.399)</w:t>
            </w:r>
          </w:p>
        </w:tc>
        <w:tc>
          <w:tcPr>
            <w:tcW w:w="0" w:type="auto"/>
            <w:shd w:val="clear" w:color="auto" w:fill="F5F7FA"/>
            <w:tcMar>
              <w:top w:w="80" w:type="dxa"/>
              <w:left w:w="120" w:type="dxa"/>
              <w:bottom w:w="80" w:type="dxa"/>
              <w:right w:w="120" w:type="dxa"/>
            </w:tcMar>
          </w:tcPr>
          <w:p w14:paraId="2E937C46" w14:textId="77777777" w:rsidR="001C3200" w:rsidRPr="007523AB" w:rsidRDefault="00B6489A">
            <w:pPr>
              <w:jc w:val="center"/>
            </w:pPr>
            <w:r>
              <w:t>2.768 (2.198)</w:t>
            </w:r>
          </w:p>
        </w:tc>
        <w:tc>
          <w:tcPr>
            <w:tcW w:w="0" w:type="auto"/>
            <w:shd w:val="clear" w:color="auto" w:fill="E2F3E4"/>
            <w:tcMar>
              <w:top w:w="80" w:type="dxa"/>
              <w:left w:w="120" w:type="dxa"/>
              <w:bottom w:w="80" w:type="dxa"/>
              <w:right w:w="120" w:type="dxa"/>
            </w:tcMar>
          </w:tcPr>
          <w:p w14:paraId="6B135BC6" w14:textId="77777777" w:rsidR="001C3200" w:rsidRPr="007523AB" w:rsidRDefault="00B6489A">
            <w:pPr>
              <w:jc w:val="center"/>
            </w:pPr>
            <w:r>
              <w:t>4.122 (1.799)*</w:t>
            </w:r>
          </w:p>
        </w:tc>
        <w:tc>
          <w:tcPr>
            <w:tcW w:w="0" w:type="auto"/>
            <w:shd w:val="clear" w:color="auto" w:fill="E2F3E4"/>
            <w:tcMar>
              <w:top w:w="80" w:type="dxa"/>
              <w:left w:w="120" w:type="dxa"/>
              <w:bottom w:w="80" w:type="dxa"/>
              <w:right w:w="120" w:type="dxa"/>
            </w:tcMar>
          </w:tcPr>
          <w:p w14:paraId="60B4ACAB" w14:textId="77777777" w:rsidR="001C3200" w:rsidRPr="007523AB" w:rsidRDefault="00B6489A">
            <w:pPr>
              <w:jc w:val="center"/>
            </w:pPr>
            <w:r>
              <w:t>4.185 (1.644)*</w:t>
            </w:r>
          </w:p>
        </w:tc>
      </w:tr>
      <w:tr w:rsidR="001C3200" w14:paraId="56C0D865" w14:textId="77777777">
        <w:tc>
          <w:tcPr>
            <w:tcW w:w="0" w:type="auto"/>
            <w:shd w:val="clear" w:color="auto" w:fill="FFFFFF"/>
            <w:tcMar>
              <w:top w:w="80" w:type="dxa"/>
              <w:left w:w="120" w:type="dxa"/>
              <w:bottom w:w="80" w:type="dxa"/>
              <w:right w:w="120" w:type="dxa"/>
            </w:tcMar>
          </w:tcPr>
          <w:p w14:paraId="57317F69" w14:textId="77777777" w:rsidR="001C3200" w:rsidRPr="007523AB" w:rsidRDefault="00B6489A">
            <w:r>
              <w:rPr>
                <w:b/>
                <w:bCs/>
              </w:rPr>
              <w:t>ln(PCI)</w:t>
            </w:r>
          </w:p>
        </w:tc>
        <w:tc>
          <w:tcPr>
            <w:tcW w:w="0" w:type="auto"/>
            <w:shd w:val="clear" w:color="auto" w:fill="FFFFFF"/>
            <w:tcMar>
              <w:top w:w="80" w:type="dxa"/>
              <w:left w:w="120" w:type="dxa"/>
              <w:bottom w:w="80" w:type="dxa"/>
              <w:right w:w="120" w:type="dxa"/>
            </w:tcMar>
          </w:tcPr>
          <w:p w14:paraId="20F1CFEA" w14:textId="77777777" w:rsidR="001C3200" w:rsidRPr="007523AB" w:rsidRDefault="00B6489A">
            <w:pPr>
              <w:jc w:val="center"/>
            </w:pPr>
            <w:r>
              <w:t>-0.271 (1.924)</w:t>
            </w:r>
          </w:p>
        </w:tc>
        <w:tc>
          <w:tcPr>
            <w:tcW w:w="0" w:type="auto"/>
            <w:shd w:val="clear" w:color="auto" w:fill="FFFFFF"/>
            <w:tcMar>
              <w:top w:w="80" w:type="dxa"/>
              <w:left w:w="120" w:type="dxa"/>
              <w:bottom w:w="80" w:type="dxa"/>
              <w:right w:w="120" w:type="dxa"/>
            </w:tcMar>
          </w:tcPr>
          <w:p w14:paraId="77C205A4" w14:textId="77777777" w:rsidR="001C3200" w:rsidRPr="007523AB" w:rsidRDefault="00B6489A">
            <w:pPr>
              <w:jc w:val="center"/>
            </w:pPr>
            <w:r>
              <w:t>-2.781 (2.915)</w:t>
            </w:r>
          </w:p>
        </w:tc>
        <w:tc>
          <w:tcPr>
            <w:tcW w:w="0" w:type="auto"/>
            <w:shd w:val="clear" w:color="auto" w:fill="FFFFFF"/>
            <w:tcMar>
              <w:top w:w="80" w:type="dxa"/>
              <w:left w:w="120" w:type="dxa"/>
              <w:bottom w:w="80" w:type="dxa"/>
              <w:right w:w="120" w:type="dxa"/>
            </w:tcMar>
          </w:tcPr>
          <w:p w14:paraId="695F6946" w14:textId="77777777" w:rsidR="001C3200" w:rsidRPr="007523AB" w:rsidRDefault="00B6489A">
            <w:pPr>
              <w:jc w:val="center"/>
            </w:pPr>
            <w:r>
              <w:t>-1.781 (3.248)</w:t>
            </w:r>
          </w:p>
        </w:tc>
        <w:tc>
          <w:tcPr>
            <w:tcW w:w="0" w:type="auto"/>
            <w:shd w:val="clear" w:color="auto" w:fill="FFFFFF"/>
            <w:tcMar>
              <w:top w:w="80" w:type="dxa"/>
              <w:left w:w="120" w:type="dxa"/>
              <w:bottom w:w="80" w:type="dxa"/>
              <w:right w:w="120" w:type="dxa"/>
            </w:tcMar>
          </w:tcPr>
          <w:p w14:paraId="0C5696A6" w14:textId="77777777" w:rsidR="001C3200" w:rsidRPr="007523AB" w:rsidRDefault="00B6489A">
            <w:pPr>
              <w:jc w:val="center"/>
            </w:pPr>
            <w:r>
              <w:t>-0.264 (3.471)</w:t>
            </w:r>
          </w:p>
        </w:tc>
        <w:tc>
          <w:tcPr>
            <w:tcW w:w="0" w:type="auto"/>
            <w:shd w:val="clear" w:color="auto" w:fill="FFFFFF"/>
            <w:tcMar>
              <w:top w:w="80" w:type="dxa"/>
              <w:left w:w="120" w:type="dxa"/>
              <w:bottom w:w="80" w:type="dxa"/>
              <w:right w:w="120" w:type="dxa"/>
            </w:tcMar>
          </w:tcPr>
          <w:p w14:paraId="70DE0736" w14:textId="77777777" w:rsidR="001C3200" w:rsidRPr="007523AB" w:rsidRDefault="00B6489A">
            <w:pPr>
              <w:jc w:val="center"/>
            </w:pPr>
            <w:r>
              <w:t>1.162 (2.732)</w:t>
            </w:r>
          </w:p>
        </w:tc>
        <w:tc>
          <w:tcPr>
            <w:tcW w:w="0" w:type="auto"/>
            <w:shd w:val="clear" w:color="auto" w:fill="FFFFFF"/>
            <w:tcMar>
              <w:top w:w="80" w:type="dxa"/>
              <w:left w:w="120" w:type="dxa"/>
              <w:bottom w:w="80" w:type="dxa"/>
              <w:right w:w="120" w:type="dxa"/>
            </w:tcMar>
          </w:tcPr>
          <w:p w14:paraId="10C7A991" w14:textId="77777777" w:rsidR="001C3200" w:rsidRPr="007523AB" w:rsidRDefault="00B6489A">
            <w:pPr>
              <w:jc w:val="center"/>
            </w:pPr>
            <w:r>
              <w:t>1.603 (2.324)</w:t>
            </w:r>
          </w:p>
        </w:tc>
      </w:tr>
      <w:tr w:rsidR="001C3200" w14:paraId="6C011647" w14:textId="77777777">
        <w:tc>
          <w:tcPr>
            <w:tcW w:w="0" w:type="auto"/>
            <w:shd w:val="clear" w:color="auto" w:fill="F5F7FA"/>
            <w:tcMar>
              <w:top w:w="80" w:type="dxa"/>
              <w:left w:w="120" w:type="dxa"/>
              <w:bottom w:w="80" w:type="dxa"/>
              <w:right w:w="120" w:type="dxa"/>
            </w:tcMar>
          </w:tcPr>
          <w:p w14:paraId="3F3A87CA" w14:textId="77777777" w:rsidR="001C3200" w:rsidRPr="007523AB" w:rsidRDefault="00B6489A">
            <w:r>
              <w:rPr>
                <w:b/>
                <w:bCs/>
              </w:rPr>
              <w:t>FI Index</w:t>
            </w:r>
          </w:p>
        </w:tc>
        <w:tc>
          <w:tcPr>
            <w:tcW w:w="0" w:type="auto"/>
            <w:shd w:val="clear" w:color="auto" w:fill="F5F7FA"/>
            <w:tcMar>
              <w:top w:w="80" w:type="dxa"/>
              <w:left w:w="120" w:type="dxa"/>
              <w:bottom w:w="80" w:type="dxa"/>
              <w:right w:w="120" w:type="dxa"/>
            </w:tcMar>
          </w:tcPr>
          <w:p w14:paraId="437815D7" w14:textId="77777777" w:rsidR="001C3200" w:rsidRPr="007523AB" w:rsidRDefault="00B6489A">
            <w:pPr>
              <w:jc w:val="center"/>
            </w:pPr>
            <w:r>
              <w:t>-0.276 (3.041)</w:t>
            </w:r>
          </w:p>
        </w:tc>
        <w:tc>
          <w:tcPr>
            <w:tcW w:w="0" w:type="auto"/>
            <w:shd w:val="clear" w:color="auto" w:fill="F5F7FA"/>
            <w:tcMar>
              <w:top w:w="80" w:type="dxa"/>
              <w:left w:w="120" w:type="dxa"/>
              <w:bottom w:w="80" w:type="dxa"/>
              <w:right w:w="120" w:type="dxa"/>
            </w:tcMar>
          </w:tcPr>
          <w:p w14:paraId="70EAC18E" w14:textId="77777777" w:rsidR="001C3200" w:rsidRPr="007523AB" w:rsidRDefault="00B6489A">
            <w:pPr>
              <w:jc w:val="center"/>
            </w:pPr>
            <w:r>
              <w:t>4.787 (4.226)</w:t>
            </w:r>
          </w:p>
        </w:tc>
        <w:tc>
          <w:tcPr>
            <w:tcW w:w="0" w:type="auto"/>
            <w:shd w:val="clear" w:color="auto" w:fill="F5F7FA"/>
            <w:tcMar>
              <w:top w:w="80" w:type="dxa"/>
              <w:left w:w="120" w:type="dxa"/>
              <w:bottom w:w="80" w:type="dxa"/>
              <w:right w:w="120" w:type="dxa"/>
            </w:tcMar>
          </w:tcPr>
          <w:p w14:paraId="7910465D" w14:textId="77777777" w:rsidR="001C3200" w:rsidRPr="007523AB" w:rsidRDefault="00B6489A">
            <w:pPr>
              <w:jc w:val="center"/>
            </w:pPr>
            <w:r>
              <w:t>3.370 (3.878)</w:t>
            </w:r>
          </w:p>
        </w:tc>
        <w:tc>
          <w:tcPr>
            <w:tcW w:w="0" w:type="auto"/>
            <w:shd w:val="clear" w:color="auto" w:fill="F5F7FA"/>
            <w:tcMar>
              <w:top w:w="80" w:type="dxa"/>
              <w:left w:w="120" w:type="dxa"/>
              <w:bottom w:w="80" w:type="dxa"/>
              <w:right w:w="120" w:type="dxa"/>
            </w:tcMar>
          </w:tcPr>
          <w:p w14:paraId="00685FA4" w14:textId="77777777" w:rsidR="001C3200" w:rsidRPr="007523AB" w:rsidRDefault="00B6489A">
            <w:pPr>
              <w:jc w:val="center"/>
            </w:pPr>
            <w:r>
              <w:t>0.781 (4.346)</w:t>
            </w:r>
          </w:p>
        </w:tc>
        <w:tc>
          <w:tcPr>
            <w:tcW w:w="0" w:type="auto"/>
            <w:shd w:val="clear" w:color="auto" w:fill="F5F7FA"/>
            <w:tcMar>
              <w:top w:w="80" w:type="dxa"/>
              <w:left w:w="120" w:type="dxa"/>
              <w:bottom w:w="80" w:type="dxa"/>
              <w:right w:w="120" w:type="dxa"/>
            </w:tcMar>
          </w:tcPr>
          <w:p w14:paraId="3F29C1D0" w14:textId="77777777" w:rsidR="001C3200" w:rsidRPr="007523AB" w:rsidRDefault="00B6489A">
            <w:pPr>
              <w:jc w:val="center"/>
            </w:pPr>
            <w:r>
              <w:t>-3.105 (4.449)</w:t>
            </w:r>
          </w:p>
        </w:tc>
        <w:tc>
          <w:tcPr>
            <w:tcW w:w="0" w:type="auto"/>
            <w:shd w:val="clear" w:color="auto" w:fill="F5F7FA"/>
            <w:tcMar>
              <w:top w:w="80" w:type="dxa"/>
              <w:left w:w="120" w:type="dxa"/>
              <w:bottom w:w="80" w:type="dxa"/>
              <w:right w:w="120" w:type="dxa"/>
            </w:tcMar>
          </w:tcPr>
          <w:p w14:paraId="3FFD1AFC" w14:textId="77777777" w:rsidR="001C3200" w:rsidRPr="007523AB" w:rsidRDefault="00B6489A">
            <w:pPr>
              <w:jc w:val="center"/>
            </w:pPr>
            <w:r>
              <w:t xml:space="preserve">-5.445 </w:t>
            </w:r>
            <w:r>
              <w:t>(4.184)</w:t>
            </w:r>
          </w:p>
        </w:tc>
      </w:tr>
      <w:tr w:rsidR="00937AB4" w14:paraId="15C44B6D" w14:textId="77777777" w:rsidTr="00FB288E">
        <w:tc>
          <w:tcPr>
            <w:tcW w:w="0" w:type="auto"/>
            <w:gridSpan w:val="7"/>
            <w:shd w:val="clear" w:color="auto" w:fill="F5F7FA"/>
            <w:tcMar>
              <w:top w:w="80" w:type="dxa"/>
              <w:left w:w="120" w:type="dxa"/>
              <w:bottom w:w="80" w:type="dxa"/>
              <w:right w:w="120" w:type="dxa"/>
            </w:tcMar>
          </w:tcPr>
          <w:p w14:paraId="0D692530" w14:textId="50CAC423" w:rsidR="00937AB4" w:rsidRPr="007523AB" w:rsidRDefault="00937AB4" w:rsidP="008C0AEA">
            <w:pPr>
              <w:jc w:val="both"/>
            </w:pPr>
            <w:r>
              <w:rPr>
                <w:b/>
                <w:bCs/>
                <w:color w:val="0D0D0D" w:themeColor="text1" w:themeTint="F2"/>
                <w:sz w:val="18"/>
              </w:rPr>
              <w:t>Notes:</w:t>
            </w:r>
            <w:r>
              <w:rPr>
                <w:color w:val="0D0D0D" w:themeColor="text1" w:themeTint="F2"/>
                <w:sz w:val="18"/>
              </w:rPr>
              <w:t xml:space="preserve"> Coefficients are standardised (β). Bootstrap standard errors in parentheses. OLS estimates are reported for comparison. Significance levels: *** p&lt;0.001, ** p&lt;0.01, * p&lt;0.05, † p&lt;0.10. N = 34.</w:t>
            </w:r>
          </w:p>
        </w:tc>
      </w:tr>
    </w:tbl>
    <w:p w14:paraId="60495157" w14:textId="7891692C" w:rsidR="008C0AEA" w:rsidRPr="008C0AEA" w:rsidRDefault="008C0AEA" w:rsidP="008C0AEA">
      <w:pPr>
        <w:spacing w:after="120"/>
        <w:rPr>
          <w:b/>
          <w:bCs/>
          <w:color w:val="1A3A5C"/>
          <w:sz w:val="26"/>
          <w:szCs w:val="26"/>
        </w:rPr>
      </w:pPr>
      <w:r>
        <w:rPr>
          <w:b/>
          <w:bCs/>
          <w:color w:val="000000" w:themeColor="text1"/>
        </w:rPr>
        <w:t>Source: Authors’ calculations.</w:t>
      </w:r>
    </w:p>
    <w:p w14:paraId="780F566D" w14:textId="77777777" w:rsidR="00AC063B" w:rsidRDefault="00B6489A">
      <w:pPr>
        <w:spacing w:before="80" w:after="80" w:line="276" w:lineRule="auto"/>
        <w:jc w:val="both"/>
        <w:rPr>
          <w:sz w:val="24"/>
          <w:szCs w:val="24"/>
        </w:rPr>
      </w:pPr>
      <w:r>
        <w:rPr>
          <w:sz w:val="24"/>
          <w:szCs w:val="24"/>
        </w:rPr>
        <w:t xml:space="preserve">For NPS </w:t>
      </w:r>
      <w:r>
        <w:rPr>
          <w:sz w:val="24"/>
          <w:szCs w:val="24"/>
        </w:rPr>
        <w:t xml:space="preserve">penetration (Table 5a), the bank density coefficient is stable across the full distribution (0.901 at Q10 to 1.078 at Q75), consistent with the OLS estimate of 1.094. The association is not </w:t>
      </w:r>
      <w:r>
        <w:rPr>
          <w:sz w:val="24"/>
          <w:szCs w:val="24"/>
        </w:rPr>
        <w:lastRenderedPageBreak/>
        <w:t>driven by outliers. The increasingly negative FI Index at higher q</w:t>
      </w:r>
      <w:r>
        <w:rPr>
          <w:sz w:val="24"/>
          <w:szCs w:val="24"/>
        </w:rPr>
        <w:t>uantiles reinforces the decision not to interpret it substantively.</w:t>
      </w:r>
    </w:p>
    <w:p w14:paraId="37D74D85" w14:textId="77777777" w:rsidR="00AC063B" w:rsidRDefault="00B6489A">
      <w:pPr>
        <w:spacing w:before="80" w:after="80" w:line="276" w:lineRule="auto"/>
        <w:jc w:val="both"/>
        <w:rPr>
          <w:sz w:val="24"/>
          <w:szCs w:val="24"/>
        </w:rPr>
      </w:pPr>
      <w:r>
        <w:rPr>
          <w:sz w:val="24"/>
          <w:szCs w:val="24"/>
        </w:rPr>
        <w:t xml:space="preserve">For NPS AC female share (Table 5b), the literacy coefficient rises from 1.176 at Q10 to 4.185 at Q90, suggesting the literacy–participation association is strongest in states that already </w:t>
      </w:r>
      <w:r>
        <w:rPr>
          <w:sz w:val="24"/>
          <w:szCs w:val="24"/>
        </w:rPr>
        <w:t>have higher female enrolment. The FI Index sign reversal between Q10 (+4.787) and Q90 (−5.445) further confirms it should not be interpreted substantively.</w:t>
      </w:r>
    </w:p>
    <w:p w14:paraId="5E9CF8CA" w14:textId="77777777" w:rsidR="001C3200" w:rsidRPr="00E5345C" w:rsidRDefault="00B6489A">
      <w:pPr>
        <w:pStyle w:val="Heading3"/>
        <w:rPr>
          <w:b/>
          <w:bCs/>
          <w:sz w:val="25"/>
          <w:szCs w:val="25"/>
        </w:rPr>
      </w:pPr>
      <w:r>
        <w:rPr>
          <w:b/>
          <w:bCs/>
          <w:sz w:val="25"/>
          <w:szCs w:val="25"/>
        </w:rPr>
        <w:t>5.5.2 Stacked Interaction and Panel Fixed-Effects Robustness</w:t>
      </w:r>
    </w:p>
    <w:p w14:paraId="47013F8A" w14:textId="77777777" w:rsidR="00CF4FD1" w:rsidRDefault="00CF4FD1"/>
    <w:p w14:paraId="78DC1D17" w14:textId="77777777" w:rsidR="00AC063B" w:rsidRDefault="00B6489A">
      <w:pPr>
        <w:jc w:val="both"/>
        <w:rPr>
          <w:sz w:val="24"/>
          <w:szCs w:val="24"/>
        </w:rPr>
      </w:pPr>
      <w:r>
        <w:rPr>
          <w:sz w:val="24"/>
          <w:szCs w:val="24"/>
        </w:rPr>
        <w:t xml:space="preserve">The </w:t>
      </w:r>
      <w:proofErr w:type="spellStart"/>
      <w:r>
        <w:rPr>
          <w:sz w:val="24"/>
          <w:szCs w:val="24"/>
        </w:rPr>
        <w:t>BankDen×NPS</w:t>
      </w:r>
      <w:proofErr w:type="spellEnd"/>
      <w:r>
        <w:rPr>
          <w:sz w:val="24"/>
          <w:szCs w:val="24"/>
        </w:rPr>
        <w:t xml:space="preserve"> interaction in the sta</w:t>
      </w:r>
      <w:r>
        <w:rPr>
          <w:sz w:val="24"/>
          <w:szCs w:val="24"/>
        </w:rPr>
        <w:t>cked specification (N = 70) is β = 0.411 (p = 0.0005), confirming the differential directly.</w:t>
      </w:r>
    </w:p>
    <w:p w14:paraId="7021B1AB" w14:textId="77777777" w:rsidR="00AC063B" w:rsidRDefault="00B6489A">
      <w:pPr>
        <w:jc w:val="both"/>
        <w:rPr>
          <w:sz w:val="24"/>
          <w:szCs w:val="24"/>
        </w:rPr>
      </w:pPr>
      <w:r>
        <w:rPr>
          <w:sz w:val="24"/>
          <w:szCs w:val="24"/>
        </w:rPr>
        <w:t xml:space="preserve">The two-way FE panel (N = 210) finds NPS </w:t>
      </w:r>
      <w:proofErr w:type="spellStart"/>
      <w:r>
        <w:rPr>
          <w:sz w:val="24"/>
          <w:szCs w:val="24"/>
        </w:rPr>
        <w:t>BankDen</w:t>
      </w:r>
      <w:proofErr w:type="spellEnd"/>
      <w:r>
        <w:rPr>
          <w:sz w:val="24"/>
          <w:szCs w:val="24"/>
        </w:rPr>
        <w:t xml:space="preserve"> β = 0.074 (clustered p &lt; 0.001) versus APY β = 0.065 (p = 0.25, </w:t>
      </w:r>
      <w:proofErr w:type="spellStart"/>
      <w:r>
        <w:rPr>
          <w:sz w:val="24"/>
          <w:szCs w:val="24"/>
        </w:rPr>
        <w:t>n.s</w:t>
      </w:r>
      <w:proofErr w:type="spellEnd"/>
      <w:r>
        <w:rPr>
          <w:sz w:val="24"/>
          <w:szCs w:val="24"/>
        </w:rPr>
        <w:t>.). The contrast holds within states over time.</w:t>
      </w:r>
    </w:p>
    <w:p w14:paraId="0D8AD8B2" w14:textId="77777777" w:rsidR="00937AB4" w:rsidRDefault="00937AB4" w:rsidP="007523AB">
      <w:pPr>
        <w:jc w:val="both"/>
        <w:rPr>
          <w:sz w:val="24"/>
          <w:szCs w:val="24"/>
        </w:rPr>
      </w:pPr>
    </w:p>
    <w:p w14:paraId="25290E91" w14:textId="2E63F720" w:rsidR="00133DB4" w:rsidRPr="00937AB4" w:rsidRDefault="00937AB4" w:rsidP="00937AB4">
      <w:pPr>
        <w:jc w:val="center"/>
        <w:rPr>
          <w:b/>
          <w:bCs/>
          <w:sz w:val="24"/>
          <w:szCs w:val="24"/>
        </w:rPr>
      </w:pPr>
      <w:r>
        <w:rPr>
          <w:b/>
          <w:bCs/>
          <w:sz w:val="24"/>
          <w:szCs w:val="24"/>
        </w:rPr>
        <w:t>T</w:t>
      </w:r>
      <w:r>
        <w:rPr>
          <w:b/>
          <w:bCs/>
          <w:sz w:val="22"/>
          <w:szCs w:val="22"/>
        </w:rPr>
        <w:t>able 6: Stacked Interaction and Panel Fixed-Effects Robustness Results</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3147"/>
        <w:gridCol w:w="2026"/>
        <w:gridCol w:w="2379"/>
        <w:gridCol w:w="2408"/>
      </w:tblGrid>
      <w:tr w:rsidR="001C3200" w14:paraId="5660468C" w14:textId="77777777" w:rsidTr="00E5345C">
        <w:tc>
          <w:tcPr>
            <w:tcW w:w="0" w:type="auto"/>
            <w:shd w:val="clear" w:color="auto" w:fill="1C385C"/>
            <w:tcMar>
              <w:top w:w="80" w:type="dxa"/>
              <w:left w:w="120" w:type="dxa"/>
              <w:bottom w:w="80" w:type="dxa"/>
              <w:right w:w="120" w:type="dxa"/>
            </w:tcMar>
          </w:tcPr>
          <w:p w14:paraId="4A699E38" w14:textId="77777777" w:rsidR="001C3200" w:rsidRPr="007523AB" w:rsidRDefault="001C3200"/>
        </w:tc>
        <w:tc>
          <w:tcPr>
            <w:tcW w:w="0" w:type="auto"/>
            <w:shd w:val="clear" w:color="auto" w:fill="1C385C"/>
            <w:tcMar>
              <w:top w:w="80" w:type="dxa"/>
              <w:left w:w="120" w:type="dxa"/>
              <w:bottom w:w="80" w:type="dxa"/>
              <w:right w:w="120" w:type="dxa"/>
            </w:tcMar>
          </w:tcPr>
          <w:p w14:paraId="50E7B531" w14:textId="77777777" w:rsidR="001C3200" w:rsidRPr="007523AB" w:rsidRDefault="00B6489A">
            <w:pPr>
              <w:jc w:val="center"/>
            </w:pPr>
            <w:r>
              <w:rPr>
                <w:b/>
                <w:bCs/>
              </w:rPr>
              <w:t>Spec 1 Stacked N=70</w:t>
            </w:r>
          </w:p>
        </w:tc>
        <w:tc>
          <w:tcPr>
            <w:tcW w:w="0" w:type="auto"/>
            <w:shd w:val="clear" w:color="auto" w:fill="1C385C"/>
            <w:tcMar>
              <w:top w:w="80" w:type="dxa"/>
              <w:left w:w="120" w:type="dxa"/>
              <w:bottom w:w="80" w:type="dxa"/>
              <w:right w:w="120" w:type="dxa"/>
            </w:tcMar>
          </w:tcPr>
          <w:p w14:paraId="641EF363" w14:textId="77777777" w:rsidR="001C3200" w:rsidRPr="007523AB" w:rsidRDefault="00B6489A">
            <w:pPr>
              <w:jc w:val="center"/>
            </w:pPr>
            <w:r>
              <w:rPr>
                <w:b/>
                <w:bCs/>
              </w:rPr>
              <w:t>Spec 2a Panel NPS N=210</w:t>
            </w:r>
          </w:p>
        </w:tc>
        <w:tc>
          <w:tcPr>
            <w:tcW w:w="0" w:type="auto"/>
            <w:shd w:val="clear" w:color="auto" w:fill="1C385C"/>
            <w:tcMar>
              <w:top w:w="80" w:type="dxa"/>
              <w:left w:w="120" w:type="dxa"/>
              <w:bottom w:w="80" w:type="dxa"/>
              <w:right w:w="120" w:type="dxa"/>
            </w:tcMar>
          </w:tcPr>
          <w:p w14:paraId="126C0DF6" w14:textId="77777777" w:rsidR="001C3200" w:rsidRPr="007523AB" w:rsidRDefault="00B6489A">
            <w:pPr>
              <w:jc w:val="center"/>
            </w:pPr>
            <w:r>
              <w:rPr>
                <w:b/>
                <w:bCs/>
              </w:rPr>
              <w:t>Spec 2b Panel APY N=210</w:t>
            </w:r>
          </w:p>
        </w:tc>
      </w:tr>
      <w:tr w:rsidR="001C3200" w14:paraId="21F77218" w14:textId="77777777">
        <w:tc>
          <w:tcPr>
            <w:tcW w:w="0" w:type="auto"/>
            <w:shd w:val="clear" w:color="auto" w:fill="F5F7FA"/>
            <w:tcMar>
              <w:top w:w="80" w:type="dxa"/>
              <w:left w:w="120" w:type="dxa"/>
              <w:bottom w:w="80" w:type="dxa"/>
              <w:right w:w="120" w:type="dxa"/>
            </w:tcMar>
          </w:tcPr>
          <w:p w14:paraId="467F3AD5" w14:textId="77777777" w:rsidR="001C3200" w:rsidRPr="007523AB" w:rsidRDefault="00B6489A">
            <w:r>
              <w:rPr>
                <w:b/>
                <w:bCs/>
              </w:rPr>
              <w:t>Bank density β (clustered SE)</w:t>
            </w:r>
          </w:p>
        </w:tc>
        <w:tc>
          <w:tcPr>
            <w:tcW w:w="0" w:type="auto"/>
            <w:shd w:val="clear" w:color="auto" w:fill="F5F7FA"/>
            <w:tcMar>
              <w:top w:w="80" w:type="dxa"/>
              <w:left w:w="120" w:type="dxa"/>
              <w:bottom w:w="80" w:type="dxa"/>
              <w:right w:w="120" w:type="dxa"/>
            </w:tcMar>
          </w:tcPr>
          <w:p w14:paraId="1A00CC48" w14:textId="77777777" w:rsidR="001C3200" w:rsidRPr="007523AB" w:rsidRDefault="00B6489A">
            <w:pPr>
              <w:jc w:val="center"/>
            </w:pPr>
            <w:r>
              <w:t xml:space="preserve">0.041 (0.179) </w:t>
            </w:r>
            <w:proofErr w:type="spellStart"/>
            <w:r>
              <w:t>n.s</w:t>
            </w:r>
            <w:proofErr w:type="spellEnd"/>
            <w:r>
              <w:t>.</w:t>
            </w:r>
          </w:p>
        </w:tc>
        <w:tc>
          <w:tcPr>
            <w:tcW w:w="0" w:type="auto"/>
            <w:shd w:val="clear" w:color="auto" w:fill="E2F3E4"/>
            <w:tcMar>
              <w:top w:w="80" w:type="dxa"/>
              <w:left w:w="120" w:type="dxa"/>
              <w:bottom w:w="80" w:type="dxa"/>
              <w:right w:w="120" w:type="dxa"/>
            </w:tcMar>
          </w:tcPr>
          <w:p w14:paraId="2BA9A3E6" w14:textId="77777777" w:rsidR="001C3200" w:rsidRPr="007523AB" w:rsidRDefault="00B6489A">
            <w:pPr>
              <w:jc w:val="center"/>
            </w:pPr>
            <w:r>
              <w:t>0.0742 (0.0144) ***</w:t>
            </w:r>
          </w:p>
        </w:tc>
        <w:tc>
          <w:tcPr>
            <w:tcW w:w="0" w:type="auto"/>
            <w:shd w:val="clear" w:color="auto" w:fill="FFFFFF"/>
            <w:tcMar>
              <w:top w:w="80" w:type="dxa"/>
              <w:left w:w="120" w:type="dxa"/>
              <w:bottom w:w="80" w:type="dxa"/>
              <w:right w:w="120" w:type="dxa"/>
            </w:tcMar>
          </w:tcPr>
          <w:p w14:paraId="26017BCF" w14:textId="77777777" w:rsidR="001C3200" w:rsidRPr="007523AB" w:rsidRDefault="00B6489A">
            <w:pPr>
              <w:jc w:val="center"/>
            </w:pPr>
            <w:r>
              <w:t xml:space="preserve">0.0645 (0.0549) </w:t>
            </w:r>
            <w:proofErr w:type="spellStart"/>
            <w:r>
              <w:t>n.s</w:t>
            </w:r>
            <w:proofErr w:type="spellEnd"/>
            <w:r>
              <w:t>.</w:t>
            </w:r>
          </w:p>
        </w:tc>
      </w:tr>
      <w:tr w:rsidR="001C3200" w14:paraId="33A65029" w14:textId="77777777">
        <w:tc>
          <w:tcPr>
            <w:tcW w:w="0" w:type="auto"/>
            <w:shd w:val="clear" w:color="auto" w:fill="FFFFFF"/>
            <w:tcMar>
              <w:top w:w="80" w:type="dxa"/>
              <w:left w:w="120" w:type="dxa"/>
              <w:bottom w:w="80" w:type="dxa"/>
              <w:right w:w="120" w:type="dxa"/>
            </w:tcMar>
          </w:tcPr>
          <w:p w14:paraId="2CE0B78B" w14:textId="77777777" w:rsidR="001C3200" w:rsidRPr="007523AB" w:rsidRDefault="00B6489A">
            <w:proofErr w:type="spellStart"/>
            <w:r>
              <w:rPr>
                <w:b/>
                <w:bCs/>
              </w:rPr>
              <w:t>BankDen</w:t>
            </w:r>
            <w:proofErr w:type="spellEnd"/>
            <w:r>
              <w:rPr>
                <w:b/>
                <w:bCs/>
              </w:rPr>
              <w:t xml:space="preserve"> × NPS β (H1 direct test)</w:t>
            </w:r>
          </w:p>
        </w:tc>
        <w:tc>
          <w:tcPr>
            <w:tcW w:w="0" w:type="auto"/>
            <w:shd w:val="clear" w:color="auto" w:fill="E2F3E4"/>
            <w:tcMar>
              <w:top w:w="80" w:type="dxa"/>
              <w:left w:w="120" w:type="dxa"/>
              <w:bottom w:w="80" w:type="dxa"/>
              <w:right w:w="120" w:type="dxa"/>
            </w:tcMar>
          </w:tcPr>
          <w:p w14:paraId="43EE2B82" w14:textId="77777777" w:rsidR="001C3200" w:rsidRPr="007523AB" w:rsidRDefault="00B6489A">
            <w:pPr>
              <w:jc w:val="center"/>
            </w:pPr>
            <w:r>
              <w:t>0.411 (0.107) ***</w:t>
            </w:r>
          </w:p>
        </w:tc>
        <w:tc>
          <w:tcPr>
            <w:tcW w:w="0" w:type="auto"/>
            <w:shd w:val="clear" w:color="auto" w:fill="FFFFFF"/>
            <w:tcMar>
              <w:top w:w="80" w:type="dxa"/>
              <w:left w:w="120" w:type="dxa"/>
              <w:bottom w:w="80" w:type="dxa"/>
              <w:right w:w="120" w:type="dxa"/>
            </w:tcMar>
          </w:tcPr>
          <w:p w14:paraId="2307F62A" w14:textId="13F2FF46" w:rsidR="001C3200" w:rsidRPr="007523AB" w:rsidRDefault="00D018AA">
            <w:pPr>
              <w:jc w:val="center"/>
            </w:pPr>
            <w:r>
              <w:t xml:space="preserve">  absorbed by FE</w:t>
            </w:r>
          </w:p>
        </w:tc>
        <w:tc>
          <w:tcPr>
            <w:tcW w:w="0" w:type="auto"/>
            <w:shd w:val="clear" w:color="auto" w:fill="FFFFFF"/>
            <w:tcMar>
              <w:top w:w="80" w:type="dxa"/>
              <w:left w:w="120" w:type="dxa"/>
              <w:bottom w:w="80" w:type="dxa"/>
              <w:right w:w="120" w:type="dxa"/>
            </w:tcMar>
          </w:tcPr>
          <w:p w14:paraId="037B7E3B" w14:textId="35C91172" w:rsidR="001C3200" w:rsidRPr="007523AB" w:rsidRDefault="00D018AA">
            <w:pPr>
              <w:jc w:val="center"/>
            </w:pPr>
            <w:r>
              <w:t xml:space="preserve"> </w:t>
            </w:r>
          </w:p>
        </w:tc>
      </w:tr>
      <w:tr w:rsidR="001C3200" w14:paraId="251F5BA6" w14:textId="77777777">
        <w:tc>
          <w:tcPr>
            <w:tcW w:w="0" w:type="auto"/>
            <w:shd w:val="clear" w:color="auto" w:fill="F5F7FA"/>
            <w:tcMar>
              <w:top w:w="80" w:type="dxa"/>
              <w:left w:w="120" w:type="dxa"/>
              <w:bottom w:w="80" w:type="dxa"/>
              <w:right w:w="120" w:type="dxa"/>
            </w:tcMar>
          </w:tcPr>
          <w:p w14:paraId="0E5E0D9D" w14:textId="77777777" w:rsidR="001C3200" w:rsidRPr="007523AB" w:rsidRDefault="00B6489A">
            <w:r>
              <w:t>Controls (</w:t>
            </w:r>
            <w:proofErr w:type="spellStart"/>
            <w:r>
              <w:t>lnPCI</w:t>
            </w:r>
            <w:proofErr w:type="spellEnd"/>
            <w:r>
              <w:t xml:space="preserve">, Literacy, </w:t>
            </w:r>
            <w:proofErr w:type="spellStart"/>
            <w:r>
              <w:t>FemLFPR</w:t>
            </w:r>
            <w:proofErr w:type="spellEnd"/>
            <w:r>
              <w:t>)</w:t>
            </w:r>
          </w:p>
        </w:tc>
        <w:tc>
          <w:tcPr>
            <w:tcW w:w="0" w:type="auto"/>
            <w:shd w:val="clear" w:color="auto" w:fill="F5F7FA"/>
            <w:tcMar>
              <w:top w:w="80" w:type="dxa"/>
              <w:left w:w="120" w:type="dxa"/>
              <w:bottom w:w="80" w:type="dxa"/>
              <w:right w:w="120" w:type="dxa"/>
            </w:tcMar>
          </w:tcPr>
          <w:p w14:paraId="493CF5E9" w14:textId="77777777" w:rsidR="001C3200" w:rsidRPr="007523AB" w:rsidRDefault="00B6489A">
            <w:pPr>
              <w:jc w:val="center"/>
            </w:pPr>
            <w:r>
              <w:t>Yes (z-scored)</w:t>
            </w:r>
          </w:p>
        </w:tc>
        <w:tc>
          <w:tcPr>
            <w:tcW w:w="0" w:type="auto"/>
            <w:shd w:val="clear" w:color="auto" w:fill="F5F7FA"/>
            <w:tcMar>
              <w:top w:w="80" w:type="dxa"/>
              <w:left w:w="120" w:type="dxa"/>
              <w:bottom w:w="80" w:type="dxa"/>
              <w:right w:w="120" w:type="dxa"/>
            </w:tcMar>
          </w:tcPr>
          <w:p w14:paraId="42B2B620" w14:textId="77777777" w:rsidR="001C3200" w:rsidRPr="007523AB" w:rsidRDefault="00B6489A">
            <w:pPr>
              <w:jc w:val="center"/>
            </w:pPr>
            <w:r>
              <w:t>Absorbed by state FE</w:t>
            </w:r>
          </w:p>
        </w:tc>
        <w:tc>
          <w:tcPr>
            <w:tcW w:w="0" w:type="auto"/>
            <w:shd w:val="clear" w:color="auto" w:fill="F5F7FA"/>
            <w:tcMar>
              <w:top w:w="80" w:type="dxa"/>
              <w:left w:w="120" w:type="dxa"/>
              <w:bottom w:w="80" w:type="dxa"/>
              <w:right w:w="120" w:type="dxa"/>
            </w:tcMar>
          </w:tcPr>
          <w:p w14:paraId="5D01B23B" w14:textId="77777777" w:rsidR="001C3200" w:rsidRPr="007523AB" w:rsidRDefault="00B6489A">
            <w:pPr>
              <w:jc w:val="center"/>
            </w:pPr>
            <w:r>
              <w:t>Absorbed by state FE</w:t>
            </w:r>
          </w:p>
        </w:tc>
      </w:tr>
      <w:tr w:rsidR="001C3200" w14:paraId="7BFE2B57" w14:textId="77777777">
        <w:tc>
          <w:tcPr>
            <w:tcW w:w="0" w:type="auto"/>
            <w:shd w:val="clear" w:color="auto" w:fill="FFFFFF"/>
            <w:tcMar>
              <w:top w:w="80" w:type="dxa"/>
              <w:left w:w="120" w:type="dxa"/>
              <w:bottom w:w="80" w:type="dxa"/>
              <w:right w:w="120" w:type="dxa"/>
            </w:tcMar>
          </w:tcPr>
          <w:p w14:paraId="3F0BBD75" w14:textId="77777777" w:rsidR="001C3200" w:rsidRPr="007523AB" w:rsidRDefault="00B6489A">
            <w:r>
              <w:t>State fixed effects</w:t>
            </w:r>
          </w:p>
        </w:tc>
        <w:tc>
          <w:tcPr>
            <w:tcW w:w="0" w:type="auto"/>
            <w:shd w:val="clear" w:color="auto" w:fill="FFFFFF"/>
            <w:tcMar>
              <w:top w:w="80" w:type="dxa"/>
              <w:left w:w="120" w:type="dxa"/>
              <w:bottom w:w="80" w:type="dxa"/>
              <w:right w:w="120" w:type="dxa"/>
            </w:tcMar>
          </w:tcPr>
          <w:p w14:paraId="406FF64A" w14:textId="77777777" w:rsidR="001C3200" w:rsidRPr="007523AB" w:rsidRDefault="00B6489A">
            <w:pPr>
              <w:jc w:val="center"/>
            </w:pPr>
            <w:r>
              <w:t>No</w:t>
            </w:r>
          </w:p>
        </w:tc>
        <w:tc>
          <w:tcPr>
            <w:tcW w:w="0" w:type="auto"/>
            <w:shd w:val="clear" w:color="auto" w:fill="FFFFFF"/>
            <w:tcMar>
              <w:top w:w="80" w:type="dxa"/>
              <w:left w:w="120" w:type="dxa"/>
              <w:bottom w:w="80" w:type="dxa"/>
              <w:right w:w="120" w:type="dxa"/>
            </w:tcMar>
          </w:tcPr>
          <w:p w14:paraId="224844FC" w14:textId="77777777" w:rsidR="001C3200" w:rsidRPr="007523AB" w:rsidRDefault="00B6489A">
            <w:pPr>
              <w:jc w:val="center"/>
            </w:pPr>
            <w:r>
              <w:t>Yes</w:t>
            </w:r>
          </w:p>
        </w:tc>
        <w:tc>
          <w:tcPr>
            <w:tcW w:w="0" w:type="auto"/>
            <w:shd w:val="clear" w:color="auto" w:fill="FFFFFF"/>
            <w:tcMar>
              <w:top w:w="80" w:type="dxa"/>
              <w:left w:w="120" w:type="dxa"/>
              <w:bottom w:w="80" w:type="dxa"/>
              <w:right w:w="120" w:type="dxa"/>
            </w:tcMar>
          </w:tcPr>
          <w:p w14:paraId="498B31B1" w14:textId="77777777" w:rsidR="001C3200" w:rsidRPr="007523AB" w:rsidRDefault="00B6489A">
            <w:pPr>
              <w:jc w:val="center"/>
            </w:pPr>
            <w:r>
              <w:t>Yes</w:t>
            </w:r>
          </w:p>
        </w:tc>
      </w:tr>
      <w:tr w:rsidR="001C3200" w14:paraId="604C8A0F" w14:textId="77777777">
        <w:tc>
          <w:tcPr>
            <w:tcW w:w="0" w:type="auto"/>
            <w:shd w:val="clear" w:color="auto" w:fill="F5F7FA"/>
            <w:tcMar>
              <w:top w:w="80" w:type="dxa"/>
              <w:left w:w="120" w:type="dxa"/>
              <w:bottom w:w="80" w:type="dxa"/>
              <w:right w:w="120" w:type="dxa"/>
            </w:tcMar>
          </w:tcPr>
          <w:p w14:paraId="60D192DA" w14:textId="77777777" w:rsidR="001C3200" w:rsidRPr="007523AB" w:rsidRDefault="00B6489A">
            <w:r>
              <w:t>Year fixed effects</w:t>
            </w:r>
          </w:p>
        </w:tc>
        <w:tc>
          <w:tcPr>
            <w:tcW w:w="0" w:type="auto"/>
            <w:shd w:val="clear" w:color="auto" w:fill="F5F7FA"/>
            <w:tcMar>
              <w:top w:w="80" w:type="dxa"/>
              <w:left w:w="120" w:type="dxa"/>
              <w:bottom w:w="80" w:type="dxa"/>
              <w:right w:w="120" w:type="dxa"/>
            </w:tcMar>
          </w:tcPr>
          <w:p w14:paraId="62FBA4E9" w14:textId="77777777" w:rsidR="001C3200" w:rsidRPr="007523AB" w:rsidRDefault="00B6489A">
            <w:pPr>
              <w:jc w:val="center"/>
            </w:pPr>
            <w:r>
              <w:t>No</w:t>
            </w:r>
          </w:p>
        </w:tc>
        <w:tc>
          <w:tcPr>
            <w:tcW w:w="0" w:type="auto"/>
            <w:shd w:val="clear" w:color="auto" w:fill="F5F7FA"/>
            <w:tcMar>
              <w:top w:w="80" w:type="dxa"/>
              <w:left w:w="120" w:type="dxa"/>
              <w:bottom w:w="80" w:type="dxa"/>
              <w:right w:w="120" w:type="dxa"/>
            </w:tcMar>
          </w:tcPr>
          <w:p w14:paraId="6AF2782D" w14:textId="77777777" w:rsidR="001C3200" w:rsidRPr="007523AB" w:rsidRDefault="00B6489A">
            <w:pPr>
              <w:jc w:val="center"/>
            </w:pPr>
            <w:r>
              <w:t>Yes</w:t>
            </w:r>
          </w:p>
        </w:tc>
        <w:tc>
          <w:tcPr>
            <w:tcW w:w="0" w:type="auto"/>
            <w:shd w:val="clear" w:color="auto" w:fill="F5F7FA"/>
            <w:tcMar>
              <w:top w:w="80" w:type="dxa"/>
              <w:left w:w="120" w:type="dxa"/>
              <w:bottom w:w="80" w:type="dxa"/>
              <w:right w:w="120" w:type="dxa"/>
            </w:tcMar>
          </w:tcPr>
          <w:p w14:paraId="72F94803" w14:textId="77777777" w:rsidR="001C3200" w:rsidRPr="007523AB" w:rsidRDefault="00B6489A">
            <w:pPr>
              <w:jc w:val="center"/>
            </w:pPr>
            <w:r>
              <w:t>Yes</w:t>
            </w:r>
          </w:p>
        </w:tc>
      </w:tr>
      <w:tr w:rsidR="001C3200" w14:paraId="590D8853" w14:textId="77777777">
        <w:tc>
          <w:tcPr>
            <w:tcW w:w="0" w:type="auto"/>
            <w:shd w:val="clear" w:color="auto" w:fill="FFFFFF"/>
            <w:tcMar>
              <w:top w:w="80" w:type="dxa"/>
              <w:left w:w="120" w:type="dxa"/>
              <w:bottom w:w="80" w:type="dxa"/>
              <w:right w:w="120" w:type="dxa"/>
            </w:tcMar>
          </w:tcPr>
          <w:p w14:paraId="73593BBC" w14:textId="77777777" w:rsidR="001C3200" w:rsidRPr="007523AB" w:rsidRDefault="00B6489A">
            <w:r>
              <w:t>SE clustering</w:t>
            </w:r>
          </w:p>
        </w:tc>
        <w:tc>
          <w:tcPr>
            <w:tcW w:w="0" w:type="auto"/>
            <w:shd w:val="clear" w:color="auto" w:fill="FFFFFF"/>
            <w:tcMar>
              <w:top w:w="80" w:type="dxa"/>
              <w:left w:w="120" w:type="dxa"/>
              <w:bottom w:w="80" w:type="dxa"/>
              <w:right w:w="120" w:type="dxa"/>
            </w:tcMar>
          </w:tcPr>
          <w:p w14:paraId="415596C7" w14:textId="77777777" w:rsidR="001C3200" w:rsidRPr="007523AB" w:rsidRDefault="00B6489A">
            <w:pPr>
              <w:jc w:val="center"/>
            </w:pPr>
            <w:r>
              <w:t>By state (35)</w:t>
            </w:r>
          </w:p>
        </w:tc>
        <w:tc>
          <w:tcPr>
            <w:tcW w:w="0" w:type="auto"/>
            <w:shd w:val="clear" w:color="auto" w:fill="FFFFFF"/>
            <w:tcMar>
              <w:top w:w="80" w:type="dxa"/>
              <w:left w:w="120" w:type="dxa"/>
              <w:bottom w:w="80" w:type="dxa"/>
              <w:right w:w="120" w:type="dxa"/>
            </w:tcMar>
          </w:tcPr>
          <w:p w14:paraId="0B863753" w14:textId="77777777" w:rsidR="001C3200" w:rsidRPr="007523AB" w:rsidRDefault="00B6489A">
            <w:pPr>
              <w:jc w:val="center"/>
            </w:pPr>
            <w:r>
              <w:t xml:space="preserve">By </w:t>
            </w:r>
            <w:r>
              <w:t>state (35)</w:t>
            </w:r>
          </w:p>
        </w:tc>
        <w:tc>
          <w:tcPr>
            <w:tcW w:w="0" w:type="auto"/>
            <w:shd w:val="clear" w:color="auto" w:fill="FFFFFF"/>
            <w:tcMar>
              <w:top w:w="80" w:type="dxa"/>
              <w:left w:w="120" w:type="dxa"/>
              <w:bottom w:w="80" w:type="dxa"/>
              <w:right w:w="120" w:type="dxa"/>
            </w:tcMar>
          </w:tcPr>
          <w:p w14:paraId="37051543" w14:textId="77777777" w:rsidR="001C3200" w:rsidRPr="007523AB" w:rsidRDefault="00B6489A">
            <w:pPr>
              <w:jc w:val="center"/>
            </w:pPr>
            <w:r>
              <w:t>By state (35)</w:t>
            </w:r>
          </w:p>
        </w:tc>
      </w:tr>
      <w:tr w:rsidR="001C3200" w14:paraId="3EFF6C8D" w14:textId="77777777">
        <w:tc>
          <w:tcPr>
            <w:tcW w:w="0" w:type="auto"/>
            <w:shd w:val="clear" w:color="auto" w:fill="F5F7FA"/>
            <w:tcMar>
              <w:top w:w="80" w:type="dxa"/>
              <w:left w:w="120" w:type="dxa"/>
              <w:bottom w:w="80" w:type="dxa"/>
              <w:right w:w="120" w:type="dxa"/>
            </w:tcMar>
          </w:tcPr>
          <w:p w14:paraId="7733C1F3" w14:textId="77777777" w:rsidR="001C3200" w:rsidRPr="007523AB" w:rsidRDefault="00B6489A">
            <w:r>
              <w:rPr>
                <w:b/>
                <w:bCs/>
              </w:rPr>
              <w:t>N observations</w:t>
            </w:r>
          </w:p>
        </w:tc>
        <w:tc>
          <w:tcPr>
            <w:tcW w:w="0" w:type="auto"/>
            <w:shd w:val="clear" w:color="auto" w:fill="F5F7FA"/>
            <w:tcMar>
              <w:top w:w="80" w:type="dxa"/>
              <w:left w:w="120" w:type="dxa"/>
              <w:bottom w:w="80" w:type="dxa"/>
              <w:right w:w="120" w:type="dxa"/>
            </w:tcMar>
          </w:tcPr>
          <w:p w14:paraId="17A47367" w14:textId="77777777" w:rsidR="001C3200" w:rsidRPr="007523AB" w:rsidRDefault="00B6489A">
            <w:pPr>
              <w:jc w:val="center"/>
            </w:pPr>
            <w:r>
              <w:rPr>
                <w:b/>
                <w:bCs/>
              </w:rPr>
              <w:t>70</w:t>
            </w:r>
          </w:p>
        </w:tc>
        <w:tc>
          <w:tcPr>
            <w:tcW w:w="0" w:type="auto"/>
            <w:shd w:val="clear" w:color="auto" w:fill="F5F7FA"/>
            <w:tcMar>
              <w:top w:w="80" w:type="dxa"/>
              <w:left w:w="120" w:type="dxa"/>
              <w:bottom w:w="80" w:type="dxa"/>
              <w:right w:w="120" w:type="dxa"/>
            </w:tcMar>
          </w:tcPr>
          <w:p w14:paraId="1AEBEE18" w14:textId="77777777" w:rsidR="001C3200" w:rsidRPr="007523AB" w:rsidRDefault="00B6489A">
            <w:pPr>
              <w:jc w:val="center"/>
            </w:pPr>
            <w:r>
              <w:rPr>
                <w:b/>
                <w:bCs/>
              </w:rPr>
              <w:t>210</w:t>
            </w:r>
          </w:p>
        </w:tc>
        <w:tc>
          <w:tcPr>
            <w:tcW w:w="0" w:type="auto"/>
            <w:shd w:val="clear" w:color="auto" w:fill="F5F7FA"/>
            <w:tcMar>
              <w:top w:w="80" w:type="dxa"/>
              <w:left w:w="120" w:type="dxa"/>
              <w:bottom w:w="80" w:type="dxa"/>
              <w:right w:w="120" w:type="dxa"/>
            </w:tcMar>
          </w:tcPr>
          <w:p w14:paraId="6819C09E" w14:textId="77777777" w:rsidR="001C3200" w:rsidRPr="007523AB" w:rsidRDefault="00B6489A">
            <w:pPr>
              <w:jc w:val="center"/>
            </w:pPr>
            <w:r>
              <w:rPr>
                <w:b/>
                <w:bCs/>
              </w:rPr>
              <w:t>210</w:t>
            </w:r>
          </w:p>
        </w:tc>
      </w:tr>
      <w:tr w:rsidR="001C3200" w14:paraId="6765DBF5" w14:textId="77777777">
        <w:tc>
          <w:tcPr>
            <w:tcW w:w="0" w:type="auto"/>
            <w:shd w:val="clear" w:color="auto" w:fill="FFFFFF"/>
            <w:tcMar>
              <w:top w:w="80" w:type="dxa"/>
              <w:left w:w="120" w:type="dxa"/>
              <w:bottom w:w="80" w:type="dxa"/>
              <w:right w:w="120" w:type="dxa"/>
            </w:tcMar>
          </w:tcPr>
          <w:p w14:paraId="67F4406D" w14:textId="77777777" w:rsidR="001C3200" w:rsidRPr="007523AB" w:rsidRDefault="00B6489A">
            <w:r>
              <w:t>R²</w:t>
            </w:r>
          </w:p>
        </w:tc>
        <w:tc>
          <w:tcPr>
            <w:tcW w:w="0" w:type="auto"/>
            <w:shd w:val="clear" w:color="auto" w:fill="FFFFFF"/>
            <w:tcMar>
              <w:top w:w="80" w:type="dxa"/>
              <w:left w:w="120" w:type="dxa"/>
              <w:bottom w:w="80" w:type="dxa"/>
              <w:right w:w="120" w:type="dxa"/>
            </w:tcMar>
          </w:tcPr>
          <w:p w14:paraId="20588252" w14:textId="77777777" w:rsidR="001C3200" w:rsidRPr="007523AB" w:rsidRDefault="00B6489A">
            <w:pPr>
              <w:jc w:val="center"/>
            </w:pPr>
            <w:r>
              <w:t>0.486</w:t>
            </w:r>
          </w:p>
        </w:tc>
        <w:tc>
          <w:tcPr>
            <w:tcW w:w="0" w:type="auto"/>
            <w:shd w:val="clear" w:color="auto" w:fill="FFFFFF"/>
            <w:tcMar>
              <w:top w:w="80" w:type="dxa"/>
              <w:left w:w="120" w:type="dxa"/>
              <w:bottom w:w="80" w:type="dxa"/>
              <w:right w:w="120" w:type="dxa"/>
            </w:tcMar>
          </w:tcPr>
          <w:p w14:paraId="7E8C4CC4" w14:textId="77777777" w:rsidR="001C3200" w:rsidRPr="007523AB" w:rsidRDefault="00B6489A">
            <w:pPr>
              <w:jc w:val="center"/>
            </w:pPr>
            <w:r>
              <w:t>0.444</w:t>
            </w:r>
          </w:p>
        </w:tc>
        <w:tc>
          <w:tcPr>
            <w:tcW w:w="0" w:type="auto"/>
            <w:shd w:val="clear" w:color="auto" w:fill="FFFFFF"/>
            <w:tcMar>
              <w:top w:w="80" w:type="dxa"/>
              <w:left w:w="120" w:type="dxa"/>
              <w:bottom w:w="80" w:type="dxa"/>
              <w:right w:w="120" w:type="dxa"/>
            </w:tcMar>
          </w:tcPr>
          <w:p w14:paraId="6769F842" w14:textId="77777777" w:rsidR="001C3200" w:rsidRPr="007523AB" w:rsidRDefault="00B6489A">
            <w:pPr>
              <w:jc w:val="center"/>
            </w:pPr>
            <w:r>
              <w:t>0.034</w:t>
            </w:r>
          </w:p>
        </w:tc>
      </w:tr>
      <w:tr w:rsidR="00937AB4" w14:paraId="716B72FF" w14:textId="77777777" w:rsidTr="00582FD6">
        <w:tc>
          <w:tcPr>
            <w:tcW w:w="0" w:type="auto"/>
            <w:gridSpan w:val="4"/>
            <w:shd w:val="clear" w:color="auto" w:fill="FFFFFF"/>
            <w:tcMar>
              <w:top w:w="80" w:type="dxa"/>
              <w:left w:w="120" w:type="dxa"/>
              <w:bottom w:w="80" w:type="dxa"/>
              <w:right w:w="120" w:type="dxa"/>
            </w:tcMar>
          </w:tcPr>
          <w:p w14:paraId="1F71F25C" w14:textId="192603D4" w:rsidR="00937AB4" w:rsidRPr="008C0AEA" w:rsidRDefault="00937AB4" w:rsidP="008C0AEA">
            <w:pPr>
              <w:jc w:val="both"/>
            </w:pPr>
            <w:r>
              <w:rPr>
                <w:b/>
                <w:bCs/>
                <w:sz w:val="18"/>
                <w:szCs w:val="18"/>
              </w:rPr>
              <w:t>Notes:</w:t>
            </w:r>
            <w:r>
              <w:rPr>
                <w:sz w:val="18"/>
                <w:szCs w:val="18"/>
              </w:rPr>
              <w:t xml:space="preserve"> Coefficients reported as β with clustered standard errors in parentheses. Spec 1 is a stacked cross-sectional model (N = 70) with APY and NPS as separate observations per state; the </w:t>
            </w:r>
            <w:proofErr w:type="spellStart"/>
            <w:r>
              <w:rPr>
                <w:sz w:val="18"/>
                <w:szCs w:val="18"/>
              </w:rPr>
              <w:t>BankDen</w:t>
            </w:r>
            <w:proofErr w:type="spellEnd"/>
            <w:r>
              <w:rPr>
                <w:sz w:val="18"/>
                <w:szCs w:val="18"/>
              </w:rPr>
              <w:t xml:space="preserve"> × NPS term tests differential effects across schemes. Spec 2a and 2b are </w:t>
            </w:r>
            <w:proofErr w:type="spellStart"/>
            <w:r>
              <w:rPr>
                <w:sz w:val="18"/>
                <w:szCs w:val="18"/>
              </w:rPr>
              <w:t>state×year</w:t>
            </w:r>
            <w:proofErr w:type="spellEnd"/>
            <w:r>
              <w:rPr>
                <w:sz w:val="18"/>
                <w:szCs w:val="18"/>
              </w:rPr>
              <w:t xml:space="preserve"> two-way fixed-effects panel models (N = 210) with state and year fixed effects; time-invariant controls are absorbed by fixed effects. Standard errors are clustered at the state level. Significance levels: *** p&lt;0.001, ** p&lt;0.01, * p&lt;0.05, † p&lt;0.10.</w:t>
            </w:r>
          </w:p>
        </w:tc>
      </w:tr>
    </w:tbl>
    <w:p w14:paraId="4EE3B4B8" w14:textId="1098DF4C" w:rsidR="008C0AEA" w:rsidRDefault="008C0AEA" w:rsidP="008C0AEA">
      <w:pPr>
        <w:spacing w:after="120"/>
        <w:rPr>
          <w:b/>
          <w:bCs/>
          <w:color w:val="1A3A5C"/>
          <w:sz w:val="26"/>
          <w:szCs w:val="26"/>
        </w:rPr>
      </w:pPr>
      <w:r>
        <w:rPr>
          <w:b/>
          <w:bCs/>
          <w:color w:val="000000" w:themeColor="text1"/>
        </w:rPr>
        <w:t>Source: Authors’ calculations.</w:t>
      </w:r>
    </w:p>
    <w:p w14:paraId="6ECA596C" w14:textId="77777777" w:rsidR="00AC063B" w:rsidRDefault="00B6489A">
      <w:pPr>
        <w:jc w:val="both"/>
        <w:rPr>
          <w:sz w:val="24"/>
          <w:szCs w:val="24"/>
        </w:rPr>
      </w:pPr>
      <w:r>
        <w:rPr>
          <w:sz w:val="24"/>
          <w:szCs w:val="24"/>
        </w:rPr>
        <w:t xml:space="preserve">Across all three specifications, the direction of the bank density contrast is consistent (Table 6). The constructed nature of the annual bank density series limits strong inference from the panel alone, but it </w:t>
      </w:r>
      <w:r>
        <w:rPr>
          <w:sz w:val="24"/>
          <w:szCs w:val="24"/>
        </w:rPr>
        <w:t>does not undermine the cross-sectional result.</w:t>
      </w:r>
    </w:p>
    <w:p w14:paraId="7FEA614E" w14:textId="2C22D21F" w:rsidR="00EA0D9A" w:rsidRPr="00E5345C" w:rsidRDefault="00B6489A">
      <w:pPr>
        <w:spacing w:before="280" w:after="120"/>
        <w:rPr>
          <w:sz w:val="28"/>
          <w:szCs w:val="28"/>
        </w:rPr>
      </w:pPr>
      <w:r>
        <w:rPr>
          <w:b/>
          <w:bCs/>
          <w:color w:val="1A3A5C"/>
          <w:sz w:val="28"/>
          <w:szCs w:val="28"/>
        </w:rPr>
        <w:t>6. Discussion and Limitations</w:t>
      </w:r>
    </w:p>
    <w:p w14:paraId="02DE0D67" w14:textId="77777777" w:rsidR="00BC226F" w:rsidRPr="00BC226F" w:rsidRDefault="00BC226F" w:rsidP="00BC226F">
      <w:pPr>
        <w:spacing w:before="120" w:after="120" w:line="276" w:lineRule="auto"/>
        <w:ind w:firstLine="720"/>
        <w:jc w:val="both"/>
        <w:rPr>
          <w:sz w:val="24"/>
          <w:szCs w:val="24"/>
        </w:rPr>
      </w:pPr>
      <w:r w:rsidRPr="00BC226F">
        <w:rPr>
          <w:sz w:val="24"/>
          <w:szCs w:val="24"/>
        </w:rPr>
        <w:t xml:space="preserve">The results show that the relationship between socioeconomic conditions and pension participation is contingent on scheme design. Banking infrastructure—commonly treated as a general determinant of financial inclusion—is strongly associated with NPS penetration but not APY. This difference reflects how access is structured: where enrolment requires interaction with </w:t>
      </w:r>
      <w:r w:rsidRPr="00BC226F">
        <w:rPr>
          <w:sz w:val="24"/>
          <w:szCs w:val="24"/>
        </w:rPr>
        <w:lastRenderedPageBreak/>
        <w:t>formal financial institutions, infrastructure constraints remain binding; where enrolment is embedded in auto-debit and self-help group networks, those constraints are largely bypassed.</w:t>
      </w:r>
    </w:p>
    <w:p w14:paraId="1BB4D41B" w14:textId="77777777" w:rsidR="00BC226F" w:rsidRPr="00BC226F" w:rsidRDefault="00BC226F" w:rsidP="00BC226F">
      <w:pPr>
        <w:spacing w:before="120" w:after="120" w:line="276" w:lineRule="auto"/>
        <w:ind w:firstLine="720"/>
        <w:jc w:val="both"/>
        <w:rPr>
          <w:sz w:val="24"/>
          <w:szCs w:val="24"/>
        </w:rPr>
      </w:pPr>
      <w:r w:rsidRPr="00BC226F">
        <w:rPr>
          <w:sz w:val="24"/>
          <w:szCs w:val="24"/>
        </w:rPr>
        <w:t>Literacy exhibits the same conditional pattern. Its positive association with female participation in NPS, and absence in APY, reflects differences in informational complexity. NPS requires active financial decision-making, while APY does not. Literacy therefore operates as a context-dependent determinant, relevant only where participation imposes cognitive demands. This challenges the assumption in much of the financial inclusion literature that literacy effects are uniform across products.</w:t>
      </w:r>
    </w:p>
    <w:p w14:paraId="0339BF52" w14:textId="77777777" w:rsidR="00BC226F" w:rsidRPr="00BC226F" w:rsidRDefault="00BC226F" w:rsidP="00BC226F">
      <w:pPr>
        <w:spacing w:before="120" w:after="120" w:line="276" w:lineRule="auto"/>
        <w:ind w:firstLine="720"/>
        <w:jc w:val="both"/>
        <w:rPr>
          <w:sz w:val="24"/>
          <w:szCs w:val="24"/>
        </w:rPr>
      </w:pPr>
      <w:r w:rsidRPr="00BC226F">
        <w:rPr>
          <w:sz w:val="24"/>
          <w:szCs w:val="24"/>
        </w:rPr>
        <w:t>Per-capita income and female labour force participation do not show robust associations. This likely reflects measurement limitations rather than true absence of effect. Income is highly correlated with other development indicators, making its independent contribution difficult to isolate. Female LFPR, as measured by PLFS, captures total participation rather than formal employment, which is more directly linked to NPS enrolment.</w:t>
      </w:r>
    </w:p>
    <w:p w14:paraId="596D570C" w14:textId="77777777" w:rsidR="00BC226F" w:rsidRPr="00BC226F" w:rsidRDefault="00BC226F" w:rsidP="00BC226F">
      <w:pPr>
        <w:spacing w:before="120" w:after="120" w:line="276" w:lineRule="auto"/>
        <w:ind w:firstLine="720"/>
        <w:jc w:val="both"/>
        <w:rPr>
          <w:sz w:val="24"/>
          <w:szCs w:val="24"/>
        </w:rPr>
      </w:pPr>
      <w:r w:rsidRPr="00BC226F">
        <w:rPr>
          <w:sz w:val="24"/>
          <w:szCs w:val="24"/>
        </w:rPr>
        <w:t>These findings imply that structural determinants do not operate uniformly across financial products. The effectiveness of a given policy lever depends on how participation is structured within the scheme itself.</w:t>
      </w:r>
    </w:p>
    <w:p w14:paraId="52B15249" w14:textId="77777777" w:rsidR="00BC226F" w:rsidRPr="00BC226F" w:rsidRDefault="00BC226F" w:rsidP="00BC226F">
      <w:pPr>
        <w:spacing w:before="120" w:after="120" w:line="276" w:lineRule="auto"/>
        <w:ind w:firstLine="720"/>
        <w:jc w:val="both"/>
        <w:rPr>
          <w:sz w:val="24"/>
          <w:szCs w:val="24"/>
        </w:rPr>
      </w:pPr>
      <w:r w:rsidRPr="00BC226F">
        <w:rPr>
          <w:sz w:val="24"/>
          <w:szCs w:val="24"/>
        </w:rPr>
        <w:t>Three limitations qualify the analysis. First, the cross-sectional design and small sample (N = 35) limit statistical power and preclude causal inference; results should be interpreted as associations. Second, reverse causality cannot be fully ruled out, although the pre-treatment check using earlier bank density reduces this concern. Third, key variables are imperfect proxies: literacy reflects general rather than financial capability, and female LFPR does not isolate formal-sector employment. These limitations likely bias estimates toward zero, making significant results conservative.</w:t>
      </w:r>
    </w:p>
    <w:p w14:paraId="21369D7F" w14:textId="77777777" w:rsidR="00E5345C" w:rsidRDefault="00B6489A" w:rsidP="00E5345C">
      <w:pPr>
        <w:spacing w:before="120" w:after="120" w:line="276" w:lineRule="auto"/>
        <w:jc w:val="both"/>
      </w:pPr>
      <w:r>
        <w:rPr>
          <w:b/>
          <w:bCs/>
          <w:color w:val="1A3A5C"/>
          <w:sz w:val="28"/>
          <w:szCs w:val="28"/>
        </w:rPr>
        <w:t>7. Conclusion</w:t>
      </w:r>
    </w:p>
    <w:p w14:paraId="10689E4B" w14:textId="77777777" w:rsidR="00AC063B" w:rsidRDefault="00B6489A">
      <w:pPr>
        <w:spacing w:before="120" w:after="120" w:line="276" w:lineRule="auto"/>
        <w:jc w:val="both"/>
      </w:pPr>
      <w:r>
        <w:rPr>
          <w:sz w:val="24"/>
          <w:szCs w:val="24"/>
        </w:rPr>
        <w:t>We asked whether the same socioeconomic factors predict pension participation equally across APY and NPS, or whether scheme design conditions their effects. The answer is the</w:t>
      </w:r>
      <w:r>
        <w:rPr>
          <w:sz w:val="24"/>
          <w:szCs w:val="24"/>
        </w:rPr>
        <w:t xml:space="preserve"> latter. Bank density is associated with NPS penetration but not APY. Literacy is positively associated with female NPS participation but not APY. Per-capita income and female LFPR show no robust effects in either scheme. The same state-level conditions, t</w:t>
      </w:r>
      <w:r>
        <w:rPr>
          <w:sz w:val="24"/>
          <w:szCs w:val="24"/>
        </w:rPr>
        <w:t>wo different outcomes—because the two schemes work differently.</w:t>
      </w:r>
    </w:p>
    <w:p w14:paraId="75D18A21" w14:textId="77777777" w:rsidR="00AC063B" w:rsidRDefault="00B6489A">
      <w:pPr>
        <w:spacing w:before="360" w:after="160"/>
        <w:jc w:val="both"/>
        <w:rPr>
          <w:color w:val="000000"/>
          <w:sz w:val="24"/>
          <w:szCs w:val="24"/>
        </w:rPr>
      </w:pPr>
      <w:r>
        <w:rPr>
          <w:sz w:val="24"/>
          <w:szCs w:val="24"/>
        </w:rPr>
        <w:t xml:space="preserve">For NPS, the relevant levers are branch access and financial literacy. For APY, outreach and enrolment strategies are more likely to move participation. A single uniform policy targeting both </w:t>
      </w:r>
      <w:r>
        <w:rPr>
          <w:sz w:val="24"/>
          <w:szCs w:val="24"/>
        </w:rPr>
        <w:t>will underperform on at least one.</w:t>
      </w:r>
    </w:p>
    <w:p w14:paraId="3004F1D3" w14:textId="77777777" w:rsidR="00AC063B" w:rsidRDefault="00B6489A">
      <w:pPr>
        <w:spacing w:before="360" w:after="160"/>
        <w:jc w:val="both"/>
        <w:rPr>
          <w:color w:val="000000"/>
          <w:sz w:val="24"/>
          <w:szCs w:val="24"/>
        </w:rPr>
      </w:pPr>
      <w:r>
        <w:rPr>
          <w:sz w:val="24"/>
          <w:szCs w:val="24"/>
        </w:rPr>
        <w:t>Financial inclusion is not a uniform process. The same infrastructure that opens NPS to more subscribers does not open APY, because APY was built to not need it. Ignoring that design difference—treating the two schemes as</w:t>
      </w:r>
      <w:r>
        <w:rPr>
          <w:sz w:val="24"/>
          <w:szCs w:val="24"/>
        </w:rPr>
        <w:t xml:space="preserve"> the same problem—risks misreading both the evidence and the policy options.</w:t>
      </w:r>
    </w:p>
    <w:p w14:paraId="46E2FB13" w14:textId="525DDF33" w:rsidR="00CB16C7" w:rsidRDefault="00CB16C7">
      <w:pPr>
        <w:spacing w:before="360" w:after="160"/>
        <w:rPr>
          <w:b/>
          <w:bCs/>
          <w:color w:val="1A3A5C"/>
          <w:sz w:val="24"/>
          <w:szCs w:val="24"/>
        </w:rPr>
      </w:pPr>
      <w:r>
        <w:rPr>
          <w:b/>
          <w:bCs/>
          <w:color w:val="1A3A5C"/>
          <w:sz w:val="24"/>
          <w:szCs w:val="24"/>
        </w:rPr>
        <w:lastRenderedPageBreak/>
        <w:t>References</w:t>
      </w:r>
    </w:p>
    <w:p w14:paraId="375935C3" w14:textId="77777777" w:rsidR="00490D4D" w:rsidRDefault="00490D4D">
      <w:pPr>
        <w:spacing w:after="120" w:line="276" w:lineRule="auto"/>
        <w:ind w:left="720" w:hanging="720"/>
        <w:jc w:val="both"/>
      </w:pPr>
      <w:r>
        <w:t xml:space="preserve">Agarwala, N., Maity, S., &amp; Sahu, T. N. (2024). Efficiency of Indian banks in fostering financial inclusion: An emerging economy perspective. </w:t>
      </w:r>
      <w:r>
        <w:rPr>
          <w:i/>
          <w:iCs/>
        </w:rPr>
        <w:t>Journal of Financial Services Marketing, 29</w:t>
      </w:r>
      <w:r>
        <w:t>(2), 341–353. https://doi.org/10.1057/s41264-022-00203-7</w:t>
      </w:r>
    </w:p>
    <w:p w14:paraId="74704F2E" w14:textId="77777777" w:rsidR="00490D4D" w:rsidRDefault="00490D4D">
      <w:pPr>
        <w:spacing w:after="120" w:line="276" w:lineRule="auto"/>
        <w:ind w:left="720" w:hanging="720"/>
        <w:jc w:val="both"/>
      </w:pPr>
      <w:proofErr w:type="spellStart"/>
      <w:r>
        <w:t>Annemalla</w:t>
      </w:r>
      <w:proofErr w:type="spellEnd"/>
      <w:r>
        <w:t xml:space="preserve">, R., &amp; Kasturi, A. (2025). Financial inclusion among Indian states: An analysis through financial inclusion index. </w:t>
      </w:r>
      <w:r>
        <w:rPr>
          <w:i/>
          <w:iCs/>
        </w:rPr>
        <w:t>Global Business Review</w:t>
      </w:r>
      <w:r>
        <w:t>, 1–16. https://doi.org/10.1177/09726527251356954</w:t>
      </w:r>
    </w:p>
    <w:p w14:paraId="139A93A5" w14:textId="77777777" w:rsidR="00490D4D" w:rsidRDefault="00490D4D">
      <w:pPr>
        <w:spacing w:after="120" w:line="276" w:lineRule="auto"/>
        <w:ind w:left="720" w:hanging="720"/>
        <w:jc w:val="both"/>
      </w:pPr>
      <w:r>
        <w:t xml:space="preserve">Bansal, D., &amp; Kaur, L. (2024). Financial literacy and gender gap: A study of Punjab state of India. </w:t>
      </w:r>
      <w:r>
        <w:rPr>
          <w:i/>
          <w:iCs/>
        </w:rPr>
        <w:t>Journal of Social and Economic Development, 26</w:t>
      </w:r>
      <w:r>
        <w:t>(1), 77–101. https://doi.org/10.1007/s40847-023-00253-0</w:t>
      </w:r>
    </w:p>
    <w:p w14:paraId="2C1EE534" w14:textId="77777777" w:rsidR="00490D4D" w:rsidRDefault="00490D4D">
      <w:pPr>
        <w:spacing w:after="120" w:line="276" w:lineRule="auto"/>
        <w:ind w:left="720" w:hanging="720"/>
        <w:jc w:val="both"/>
      </w:pPr>
      <w:r>
        <w:t xml:space="preserve">Becker, G. S. (1964). </w:t>
      </w:r>
      <w:r>
        <w:rPr>
          <w:i/>
          <w:iCs/>
        </w:rPr>
        <w:t>Human Capital: A Theoretical and Empirical Analysis, with Special Reference to Education.</w:t>
      </w:r>
      <w:r>
        <w:t xml:space="preserve"> New York: Columbia University Press.</w:t>
      </w:r>
    </w:p>
    <w:p w14:paraId="384BC193" w14:textId="77777777" w:rsidR="00490D4D" w:rsidRDefault="00490D4D">
      <w:pPr>
        <w:spacing w:after="120" w:line="276" w:lineRule="auto"/>
        <w:ind w:left="720" w:hanging="720"/>
        <w:jc w:val="both"/>
      </w:pPr>
      <w:r>
        <w:t xml:space="preserve">Belsley, D. A., Kuh, E., &amp; Welsch, R. E. (1980). </w:t>
      </w:r>
      <w:r>
        <w:rPr>
          <w:i/>
          <w:iCs/>
        </w:rPr>
        <w:t>Regression Diagnostics: Identifying Influential Data and Sources of Collinearity.</w:t>
      </w:r>
      <w:r>
        <w:t xml:space="preserve"> New York: Wiley.</w:t>
      </w:r>
    </w:p>
    <w:p w14:paraId="4D4DFB65" w14:textId="77777777" w:rsidR="00490D4D" w:rsidRDefault="00490D4D">
      <w:pPr>
        <w:spacing w:after="120" w:line="276" w:lineRule="auto"/>
        <w:ind w:left="720" w:hanging="720"/>
        <w:jc w:val="both"/>
      </w:pPr>
      <w:r>
        <w:t xml:space="preserve">Bhatia, S., &amp; Mahajan, P. (2022). Atal Pension Yojana: Coverage, challenges, and the road ahead. </w:t>
      </w:r>
      <w:r>
        <w:rPr>
          <w:i/>
          <w:iCs/>
        </w:rPr>
        <w:t>Economic and Political Weekly, 57</w:t>
      </w:r>
      <w:r>
        <w:t>(18), 38–46. https://www.epw.in/journal/2022/18</w:t>
      </w:r>
    </w:p>
    <w:p w14:paraId="43B2271C" w14:textId="77777777" w:rsidR="00490D4D" w:rsidRDefault="00490D4D">
      <w:pPr>
        <w:spacing w:after="120" w:line="276" w:lineRule="auto"/>
        <w:ind w:left="720" w:hanging="720"/>
        <w:jc w:val="both"/>
      </w:pPr>
      <w:r>
        <w:t xml:space="preserve">Burgess, R., &amp; Pande, R. (2005). Do rural banks matter? Evidence from the Indian social banking experiment. </w:t>
      </w:r>
      <w:r>
        <w:rPr>
          <w:i/>
          <w:iCs/>
        </w:rPr>
        <w:t>American Economic Review, 95</w:t>
      </w:r>
      <w:r>
        <w:t>(3), 780–795. https://doi.org/10.1257/0002828054201242</w:t>
      </w:r>
    </w:p>
    <w:p w14:paraId="249339B6" w14:textId="77777777" w:rsidR="00490D4D" w:rsidRDefault="00490D4D">
      <w:pPr>
        <w:spacing w:after="120" w:line="276" w:lineRule="auto"/>
        <w:ind w:left="720" w:hanging="720"/>
        <w:jc w:val="both"/>
      </w:pPr>
      <w:r>
        <w:t xml:space="preserve">Census of India. (2011). </w:t>
      </w:r>
      <w:r>
        <w:rPr>
          <w:i/>
          <w:iCs/>
        </w:rPr>
        <w:t>Population Census 2011 — State-wise Data.</w:t>
      </w:r>
      <w:r>
        <w:t xml:space="preserve"> New Delhi: Office of the Registrar General and Census Commissioner, India. Available: https://censusindia.gov.in</w:t>
      </w:r>
    </w:p>
    <w:p w14:paraId="3F19BB1B" w14:textId="77777777" w:rsidR="00490D4D" w:rsidRDefault="00490D4D">
      <w:pPr>
        <w:spacing w:after="120" w:line="276" w:lineRule="auto"/>
        <w:ind w:left="720" w:hanging="720"/>
        <w:jc w:val="both"/>
      </w:pPr>
      <w:r>
        <w:t xml:space="preserve">Claessens, S. (2006). Access to financial services: A review of the issues and public policy objectives. </w:t>
      </w:r>
      <w:r>
        <w:rPr>
          <w:i/>
          <w:iCs/>
        </w:rPr>
        <w:t>World Bank Research Observer, 21</w:t>
      </w:r>
      <w:r>
        <w:t>(2), 207–240. https://doi.org/10.1093/wbro/lkl004</w:t>
      </w:r>
    </w:p>
    <w:p w14:paraId="592BD94B" w14:textId="77777777" w:rsidR="00490D4D" w:rsidRDefault="00490D4D">
      <w:pPr>
        <w:spacing w:after="120" w:line="276" w:lineRule="auto"/>
        <w:ind w:left="720" w:hanging="720"/>
        <w:jc w:val="both"/>
      </w:pPr>
      <w:r>
        <w:t xml:space="preserve">Cohen, J. (1988). </w:t>
      </w:r>
      <w:r>
        <w:rPr>
          <w:i/>
          <w:iCs/>
        </w:rPr>
        <w:t xml:space="preserve">Statistical Power Analysis for the </w:t>
      </w:r>
      <w:proofErr w:type="spellStart"/>
      <w:r>
        <w:rPr>
          <w:i/>
          <w:iCs/>
        </w:rPr>
        <w:t>Behavioral</w:t>
      </w:r>
      <w:proofErr w:type="spellEnd"/>
      <w:r>
        <w:rPr>
          <w:i/>
          <w:iCs/>
        </w:rPr>
        <w:t xml:space="preserve"> Sciences</w:t>
      </w:r>
      <w:r>
        <w:t xml:space="preserve"> (2nd ed.). Hillsdale, NJ: Lawrence Erlbaum Associates.</w:t>
      </w:r>
    </w:p>
    <w:p w14:paraId="023BEDF6" w14:textId="77777777" w:rsidR="00490D4D" w:rsidRDefault="00490D4D">
      <w:pPr>
        <w:spacing w:after="120" w:line="276" w:lineRule="auto"/>
        <w:ind w:left="720" w:hanging="720"/>
        <w:jc w:val="both"/>
      </w:pPr>
      <w:r>
        <w:t xml:space="preserve">Duvendack, M., Sonne, L., &amp; </w:t>
      </w:r>
      <w:proofErr w:type="spellStart"/>
      <w:r>
        <w:t>Garikipati</w:t>
      </w:r>
      <w:proofErr w:type="spellEnd"/>
      <w:r>
        <w:t xml:space="preserve">, S. (2023). Gender inclusivity of India’s digital financial revolution for attainment of SDGs: Macro achievements and the micro experiences of targeted initiatives. </w:t>
      </w:r>
      <w:r>
        <w:rPr>
          <w:i/>
          <w:iCs/>
        </w:rPr>
        <w:t>The European Journal of Development Research, 35</w:t>
      </w:r>
      <w:r>
        <w:t>, 1369–1391. https://doi.org/10.1057/s41287-023-00585-x</w:t>
      </w:r>
    </w:p>
    <w:p w14:paraId="5024B66E" w14:textId="77777777" w:rsidR="00490D4D" w:rsidRDefault="00490D4D">
      <w:pPr>
        <w:spacing w:after="120" w:line="276" w:lineRule="auto"/>
        <w:ind w:left="720" w:hanging="720"/>
        <w:jc w:val="both"/>
      </w:pPr>
      <w:r>
        <w:t xml:space="preserve">Gupte, R., </w:t>
      </w:r>
      <w:proofErr w:type="spellStart"/>
      <w:r>
        <w:t>Venkataramaiah</w:t>
      </w:r>
      <w:proofErr w:type="spellEnd"/>
      <w:r>
        <w:t xml:space="preserve">, B., &amp; Gupta, P. (2012). A computation of financial inclusion index for major states of India. </w:t>
      </w:r>
      <w:r>
        <w:rPr>
          <w:i/>
          <w:iCs/>
        </w:rPr>
        <w:t xml:space="preserve">Procedia — Social and </w:t>
      </w:r>
      <w:proofErr w:type="spellStart"/>
      <w:r>
        <w:rPr>
          <w:i/>
          <w:iCs/>
        </w:rPr>
        <w:t>Behavioral</w:t>
      </w:r>
      <w:proofErr w:type="spellEnd"/>
      <w:r>
        <w:rPr>
          <w:i/>
          <w:iCs/>
        </w:rPr>
        <w:t xml:space="preserve"> Sciences, 37</w:t>
      </w:r>
      <w:r>
        <w:t>, 133–149. https://doi.org/10.1016/j.sbspro.2012.03.281</w:t>
      </w:r>
    </w:p>
    <w:p w14:paraId="2B777F6B" w14:textId="77777777" w:rsidR="00490D4D" w:rsidRDefault="00490D4D">
      <w:pPr>
        <w:spacing w:after="120" w:line="276" w:lineRule="auto"/>
        <w:ind w:left="720" w:hanging="720"/>
        <w:jc w:val="both"/>
      </w:pPr>
      <w:r>
        <w:t xml:space="preserve">Han, B., Liu, C., &amp; Ling, W. (2025). Impact of financial literacy and awareness of children’s pension responsibilities on the willingness to purchase pension insurance. </w:t>
      </w:r>
      <w:r>
        <w:rPr>
          <w:i/>
          <w:iCs/>
        </w:rPr>
        <w:t>Finance Research Letters, 76</w:t>
      </w:r>
      <w:r>
        <w:t>, 107015. https://doi.org/10.1016/j.frl.2025.107015</w:t>
      </w:r>
    </w:p>
    <w:p w14:paraId="225FF41B" w14:textId="77777777" w:rsidR="00490D4D" w:rsidRDefault="00490D4D">
      <w:pPr>
        <w:spacing w:after="120" w:line="276" w:lineRule="auto"/>
        <w:ind w:left="720" w:hanging="720"/>
        <w:jc w:val="both"/>
      </w:pPr>
      <w:r>
        <w:t xml:space="preserve">International Institute for Population Sciences (IIPS) and ICF. (2021). </w:t>
      </w:r>
      <w:r>
        <w:rPr>
          <w:i/>
          <w:iCs/>
        </w:rPr>
        <w:t>National Family Health Survey (NFHS-5), 2019–21: India Report.</w:t>
      </w:r>
      <w:r>
        <w:t xml:space="preserve"> Mumbai: IIPS. Available: https://www.nfhsiips.in</w:t>
      </w:r>
    </w:p>
    <w:p w14:paraId="5624672E" w14:textId="77777777" w:rsidR="00490D4D" w:rsidRDefault="00490D4D">
      <w:pPr>
        <w:spacing w:after="120" w:line="276" w:lineRule="auto"/>
        <w:ind w:left="720" w:hanging="720"/>
        <w:jc w:val="both"/>
      </w:pPr>
      <w:r>
        <w:t xml:space="preserve">Khandelwal, A., </w:t>
      </w:r>
      <w:proofErr w:type="spellStart"/>
      <w:r>
        <w:t>Vajjala</w:t>
      </w:r>
      <w:proofErr w:type="spellEnd"/>
      <w:r>
        <w:t xml:space="preserve">, A., &amp; Tagat, A. (2025). Financial literacy and inclusion in India: Evidence from household-level data after demonetization. </w:t>
      </w:r>
      <w:r>
        <w:rPr>
          <w:i/>
          <w:iCs/>
        </w:rPr>
        <w:t>Journal of Emerging Market Finance, 24</w:t>
      </w:r>
      <w:r>
        <w:t>, 331–359. https://doi.org/10.1177/09726527251320228</w:t>
      </w:r>
    </w:p>
    <w:p w14:paraId="4D973277" w14:textId="77777777" w:rsidR="00490D4D" w:rsidRDefault="00490D4D">
      <w:pPr>
        <w:spacing w:after="120" w:line="276" w:lineRule="auto"/>
        <w:ind w:left="720" w:hanging="720"/>
        <w:jc w:val="both"/>
      </w:pPr>
      <w:r>
        <w:t xml:space="preserve">Koenker, R., &amp; Bassett, G. (1978). Regression quantiles. </w:t>
      </w:r>
      <w:proofErr w:type="spellStart"/>
      <w:r>
        <w:rPr>
          <w:i/>
          <w:iCs/>
        </w:rPr>
        <w:t>Econometrica</w:t>
      </w:r>
      <w:proofErr w:type="spellEnd"/>
      <w:r>
        <w:rPr>
          <w:i/>
          <w:iCs/>
        </w:rPr>
        <w:t>, 46</w:t>
      </w:r>
      <w:r>
        <w:t>(1), 33–50. https://doi.org/10.2307/1913643</w:t>
      </w:r>
    </w:p>
    <w:p w14:paraId="3C77E881" w14:textId="77777777" w:rsidR="00490D4D" w:rsidRDefault="00490D4D">
      <w:pPr>
        <w:spacing w:after="120" w:line="276" w:lineRule="auto"/>
        <w:ind w:left="720" w:hanging="720"/>
        <w:jc w:val="both"/>
      </w:pPr>
      <w:r>
        <w:t xml:space="preserve">Kumar, I. (2024). Banking services and financial inclusion in India’s poorest regions. </w:t>
      </w:r>
      <w:r>
        <w:rPr>
          <w:i/>
          <w:iCs/>
        </w:rPr>
        <w:t>Journal of Banking Regulation, 25</w:t>
      </w:r>
      <w:r>
        <w:t>(2), 145–159. https://doi.org/10.1057/s41261-023-00224-9</w:t>
      </w:r>
    </w:p>
    <w:p w14:paraId="5F1F7E91" w14:textId="77777777" w:rsidR="00490D4D" w:rsidRDefault="00490D4D">
      <w:pPr>
        <w:spacing w:after="120" w:line="276" w:lineRule="auto"/>
        <w:ind w:left="720" w:hanging="720"/>
        <w:jc w:val="both"/>
      </w:pPr>
      <w:r>
        <w:t xml:space="preserve">Luan, D., Xu, B., &amp; Chen, L. (2025). Financial pension security, digital literacy, and the well-being perception of the elderly population. </w:t>
      </w:r>
      <w:r>
        <w:rPr>
          <w:i/>
          <w:iCs/>
        </w:rPr>
        <w:t>Finance Research Letters</w:t>
      </w:r>
      <w:r>
        <w:t>, 107857. https://doi.org/10.1016/j.frl.2025.107857</w:t>
      </w:r>
    </w:p>
    <w:p w14:paraId="56477B7B" w14:textId="77777777" w:rsidR="00490D4D" w:rsidRDefault="00490D4D">
      <w:pPr>
        <w:spacing w:after="120" w:line="276" w:lineRule="auto"/>
        <w:ind w:left="720" w:hanging="720"/>
        <w:jc w:val="both"/>
      </w:pPr>
      <w:r>
        <w:lastRenderedPageBreak/>
        <w:t xml:space="preserve">Lusardi, A., &amp; Mitchell, O. S. (2014). The economic importance of financial literacy: Theory and evidence. </w:t>
      </w:r>
      <w:r>
        <w:rPr>
          <w:i/>
          <w:iCs/>
        </w:rPr>
        <w:t>Journal of Economic Literature, 52</w:t>
      </w:r>
      <w:r>
        <w:t>(1), 5–44. https://doi.org/10.1257/jel.52.1.5</w:t>
      </w:r>
    </w:p>
    <w:p w14:paraId="0F5912BA" w14:textId="77777777" w:rsidR="00490D4D" w:rsidRDefault="00490D4D">
      <w:pPr>
        <w:spacing w:after="120" w:line="276" w:lineRule="auto"/>
        <w:ind w:left="720" w:hanging="720"/>
        <w:jc w:val="both"/>
      </w:pPr>
      <w:r>
        <w:t xml:space="preserve">Marotta, G. (2020). Behind the success of dominated personal pension plans: Sales force and financial literacy factors. </w:t>
      </w:r>
      <w:r>
        <w:rPr>
          <w:i/>
          <w:iCs/>
        </w:rPr>
        <w:t>Journal of Pension Economics and Finance, 19</w:t>
      </w:r>
      <w:r>
        <w:t>(4), 532–547. https://doi.org/10.1017/S1474747219000209</w:t>
      </w:r>
    </w:p>
    <w:p w14:paraId="67301267" w14:textId="77777777" w:rsidR="00490D4D" w:rsidRDefault="00490D4D">
      <w:pPr>
        <w:spacing w:after="120" w:line="276" w:lineRule="auto"/>
        <w:ind w:left="720" w:hanging="720"/>
        <w:jc w:val="both"/>
      </w:pPr>
      <w:r>
        <w:t xml:space="preserve">Ministry of Labour and Employment. (2023). </w:t>
      </w:r>
      <w:r>
        <w:rPr>
          <w:i/>
          <w:iCs/>
        </w:rPr>
        <w:t>Periodic Labour Force Survey (PLFS) Annual Report 2022–23.</w:t>
      </w:r>
      <w:r>
        <w:t xml:space="preserve"> New Delhi: Government of India. Available: https://mospi.gov.in/web/plfs/reports-notebooks</w:t>
      </w:r>
    </w:p>
    <w:p w14:paraId="3A3EF965" w14:textId="77777777" w:rsidR="00490D4D" w:rsidRDefault="00490D4D">
      <w:pPr>
        <w:spacing w:after="120" w:line="276" w:lineRule="auto"/>
        <w:ind w:left="720" w:hanging="720"/>
        <w:jc w:val="both"/>
      </w:pPr>
      <w:r>
        <w:t>Ministry of Statistics and Programme Implementation (</w:t>
      </w:r>
      <w:proofErr w:type="spellStart"/>
      <w:r>
        <w:t>MoSPI</w:t>
      </w:r>
      <w:proofErr w:type="spellEnd"/>
      <w:r>
        <w:t xml:space="preserve">). (2023). </w:t>
      </w:r>
      <w:r>
        <w:rPr>
          <w:i/>
          <w:iCs/>
        </w:rPr>
        <w:t>State-wise Per Capita Net State Domestic Product at Current Prices.</w:t>
      </w:r>
      <w:r>
        <w:t xml:space="preserve"> New Delhi: Government of India. Available: https://mospi.gov.in/web/mospi/national-statistical-office</w:t>
      </w:r>
    </w:p>
    <w:p w14:paraId="1CF27AD3" w14:textId="77777777" w:rsidR="00490D4D" w:rsidRDefault="00490D4D">
      <w:pPr>
        <w:spacing w:after="120" w:line="276" w:lineRule="auto"/>
        <w:ind w:left="720" w:hanging="720"/>
        <w:jc w:val="both"/>
      </w:pPr>
      <w:r>
        <w:t xml:space="preserve">Mohanty, B. B., &amp; Behera, D. K. (2022). Financial inclusion and gender gap in India. </w:t>
      </w:r>
      <w:r>
        <w:rPr>
          <w:i/>
          <w:iCs/>
        </w:rPr>
        <w:t>Economic and Political Weekly, 57</w:t>
      </w:r>
      <w:r>
        <w:t>(12), 44–51.</w:t>
      </w:r>
    </w:p>
    <w:p w14:paraId="1D5EB00B" w14:textId="77777777" w:rsidR="00490D4D" w:rsidRDefault="00490D4D">
      <w:pPr>
        <w:spacing w:after="120" w:line="276" w:lineRule="auto"/>
        <w:ind w:left="720" w:hanging="720"/>
        <w:jc w:val="both"/>
      </w:pPr>
      <w:r>
        <w:t xml:space="preserve">Niu, G., Zhou, Y., &amp; Gan, H. (2020). Financial literacy and retirement preparation in China. </w:t>
      </w:r>
      <w:r>
        <w:rPr>
          <w:i/>
          <w:iCs/>
        </w:rPr>
        <w:t>Pacific-Basin Finance Journal, 59</w:t>
      </w:r>
      <w:r>
        <w:t>, 101262. https://doi.org/10.1016/j.pacfin.2020.101262</w:t>
      </w:r>
    </w:p>
    <w:p w14:paraId="54946319" w14:textId="77777777" w:rsidR="00490D4D" w:rsidRDefault="00490D4D">
      <w:pPr>
        <w:spacing w:after="120" w:line="276" w:lineRule="auto"/>
        <w:ind w:left="720" w:hanging="720"/>
        <w:jc w:val="both"/>
      </w:pPr>
      <w:proofErr w:type="spellStart"/>
      <w:r>
        <w:t>Oggero</w:t>
      </w:r>
      <w:proofErr w:type="spellEnd"/>
      <w:r>
        <w:t xml:space="preserve">, N., Figari, F., Fornero, E., &amp; Rossi, M. (2023). Support for pension reforms: What is the role of financial literacy and pension knowledge? </w:t>
      </w:r>
      <w:r>
        <w:rPr>
          <w:i/>
          <w:iCs/>
        </w:rPr>
        <w:t>Journal of Accounting and Public Policy, 42</w:t>
      </w:r>
      <w:r>
        <w:t>(4), 107096. https://doi.org/10.1016/j.jaccpubpol.2023.107096</w:t>
      </w:r>
    </w:p>
    <w:p w14:paraId="5BAA8C66" w14:textId="77777777" w:rsidR="00490D4D" w:rsidRDefault="00490D4D">
      <w:pPr>
        <w:spacing w:after="120" w:line="276" w:lineRule="auto"/>
        <w:ind w:left="720" w:hanging="720"/>
        <w:jc w:val="both"/>
      </w:pPr>
      <w:r>
        <w:t xml:space="preserve">Pandey, A., Wadhawan, N., &amp; Kiran, R. (2026). Transforming digital financial inclusion into inclusive development: The critical role of financial literacy. </w:t>
      </w:r>
      <w:r>
        <w:rPr>
          <w:i/>
          <w:iCs/>
        </w:rPr>
        <w:t>Information Technology for Development, 32</w:t>
      </w:r>
      <w:r>
        <w:t>(1). https://doi.org/10.1080/02681102.2025.2462026</w:t>
      </w:r>
    </w:p>
    <w:p w14:paraId="38D9087C" w14:textId="77777777" w:rsidR="00490D4D" w:rsidRDefault="00490D4D">
      <w:pPr>
        <w:spacing w:after="120" w:line="276" w:lineRule="auto"/>
        <w:ind w:left="720" w:hanging="720"/>
        <w:jc w:val="both"/>
      </w:pPr>
      <w:r>
        <w:t xml:space="preserve">Pension Fund Regulatory and Development Authority (PFRDA). (2020–2025). </w:t>
      </w:r>
      <w:r>
        <w:rPr>
          <w:i/>
          <w:iCs/>
        </w:rPr>
        <w:t>Annual Reports 2019–20 to 2024–25.</w:t>
      </w:r>
      <w:r>
        <w:t xml:space="preserve"> New Delhi: PFRDA. Available: https://www.pfrda.org.in/web/pfrda/research-publications/annual-reports</w:t>
      </w:r>
    </w:p>
    <w:p w14:paraId="7927584E" w14:textId="77777777" w:rsidR="00490D4D" w:rsidRDefault="00490D4D">
      <w:pPr>
        <w:spacing w:after="120" w:line="276" w:lineRule="auto"/>
        <w:ind w:left="720" w:hanging="720"/>
        <w:jc w:val="both"/>
      </w:pPr>
      <w:r>
        <w:t xml:space="preserve">Preston, A., &amp; Wright, R. E. (2023). Gender, financial literacy and pension savings. </w:t>
      </w:r>
      <w:r>
        <w:rPr>
          <w:i/>
          <w:iCs/>
        </w:rPr>
        <w:t>Economic Record, 99</w:t>
      </w:r>
      <w:r>
        <w:t>(324), 58–83. https://doi.org/10.1111/1475-4932.12708</w:t>
      </w:r>
    </w:p>
    <w:p w14:paraId="7573B1AD" w14:textId="77777777" w:rsidR="00490D4D" w:rsidRDefault="00490D4D">
      <w:pPr>
        <w:spacing w:after="120" w:line="276" w:lineRule="auto"/>
        <w:ind w:left="720" w:hanging="720"/>
        <w:jc w:val="both"/>
      </w:pPr>
      <w:r>
        <w:t xml:space="preserve">Reserve Bank of India. (2021). </w:t>
      </w:r>
      <w:r>
        <w:rPr>
          <w:i/>
          <w:iCs/>
        </w:rPr>
        <w:t>Report on Financial Inclusion in India / Financial Inclusion Index.</w:t>
      </w:r>
      <w:r>
        <w:t xml:space="preserve"> Mumbai: RBI. Available: https://rbi.org.in</w:t>
      </w:r>
    </w:p>
    <w:p w14:paraId="72743819" w14:textId="77777777" w:rsidR="00490D4D" w:rsidRDefault="00490D4D">
      <w:pPr>
        <w:spacing w:after="120" w:line="276" w:lineRule="auto"/>
        <w:ind w:left="720" w:hanging="720"/>
        <w:jc w:val="both"/>
      </w:pPr>
      <w:proofErr w:type="spellStart"/>
      <w:r>
        <w:t>Rooj</w:t>
      </w:r>
      <w:proofErr w:type="spellEnd"/>
      <w:r>
        <w:t xml:space="preserve">, D., &amp; Sengupta, R. (2025). Contributory pension scheme and formal retirement savings: Is there a trade-off? Evidence from India’s Atal Pension Yojana using copula regression methodology. </w:t>
      </w:r>
      <w:r>
        <w:rPr>
          <w:i/>
          <w:iCs/>
        </w:rPr>
        <w:t>Review of Economics of the Household, 23</w:t>
      </w:r>
      <w:r>
        <w:t>, 225–244. https://doi.org/10.1007/s11150-024-09705-w</w:t>
      </w:r>
    </w:p>
    <w:p w14:paraId="6F9919D4" w14:textId="77777777" w:rsidR="00490D4D" w:rsidRDefault="00490D4D">
      <w:pPr>
        <w:spacing w:after="120" w:line="276" w:lineRule="auto"/>
        <w:ind w:left="720" w:hanging="720"/>
        <w:jc w:val="both"/>
      </w:pPr>
      <w:r>
        <w:t xml:space="preserve">Sane, R., &amp; Thomas, S. (2015). In search of inclusion: Informal sector participation in a voluntary, defined contribution pension system. </w:t>
      </w:r>
      <w:r>
        <w:rPr>
          <w:i/>
          <w:iCs/>
        </w:rPr>
        <w:t>Journal of Development Studies, 51</w:t>
      </w:r>
      <w:r>
        <w:t>(10), 1409–1424. https://doi.org/10.1080/00220388.2015.1036040</w:t>
      </w:r>
    </w:p>
    <w:p w14:paraId="5F80D8DE" w14:textId="77777777" w:rsidR="00490D4D" w:rsidRDefault="00490D4D">
      <w:pPr>
        <w:spacing w:after="120" w:line="276" w:lineRule="auto"/>
        <w:ind w:left="720" w:hanging="720"/>
        <w:jc w:val="both"/>
      </w:pPr>
      <w:r>
        <w:t xml:space="preserve">Sarma, M., &amp; Pais, J. (2011). Financial inclusion and development. </w:t>
      </w:r>
      <w:r>
        <w:rPr>
          <w:i/>
          <w:iCs/>
        </w:rPr>
        <w:t>Journal of International Development, 23</w:t>
      </w:r>
      <w:r>
        <w:t>(5), 613–628. https://doi.org/10.1002/jid.1698</w:t>
      </w:r>
    </w:p>
    <w:p w14:paraId="6D0CAA6A" w14:textId="77777777" w:rsidR="00490D4D" w:rsidRDefault="00490D4D">
      <w:pPr>
        <w:spacing w:after="120" w:line="276" w:lineRule="auto"/>
        <w:ind w:left="720" w:hanging="720"/>
        <w:jc w:val="both"/>
      </w:pPr>
      <w:proofErr w:type="spellStart"/>
      <w:r>
        <w:t>Verberi</w:t>
      </w:r>
      <w:proofErr w:type="spellEnd"/>
      <w:r>
        <w:t xml:space="preserve">, C., &amp; Kaplan, M. (2025). The impact of personality, </w:t>
      </w:r>
      <w:proofErr w:type="spellStart"/>
      <w:r>
        <w:t>behavior</w:t>
      </w:r>
      <w:proofErr w:type="spellEnd"/>
      <w:r>
        <w:t xml:space="preserve">, and geography on participation in the private pension system in </w:t>
      </w:r>
      <w:proofErr w:type="spellStart"/>
      <w:r>
        <w:t>Turkiye</w:t>
      </w:r>
      <w:proofErr w:type="spellEnd"/>
      <w:r>
        <w:t xml:space="preserve">. </w:t>
      </w:r>
      <w:r>
        <w:rPr>
          <w:i/>
          <w:iCs/>
        </w:rPr>
        <w:t>Borsa Istanbul Review, 25</w:t>
      </w:r>
      <w:r>
        <w:t>(1), 149–162. https://doi.org/10.1016/j.bir.2024.12.010</w:t>
      </w:r>
    </w:p>
    <w:p w14:paraId="19F2A8AF" w14:textId="77777777" w:rsidR="00490D4D" w:rsidRDefault="00490D4D">
      <w:pPr>
        <w:spacing w:after="120" w:line="276" w:lineRule="auto"/>
        <w:ind w:left="720" w:hanging="720"/>
        <w:jc w:val="both"/>
      </w:pPr>
      <w:r>
        <w:t xml:space="preserve">Xia, C., He, Y., Heng, Y., Kang, K., </w:t>
      </w:r>
      <w:proofErr w:type="spellStart"/>
      <w:r>
        <w:t>Shenchen</w:t>
      </w:r>
      <w:proofErr w:type="spellEnd"/>
      <w:r>
        <w:t xml:space="preserve">, H., Hao, Y., &amp; Meng, Z. (2025). Pension system reform, financial security, and the well-being of the elderly population. </w:t>
      </w:r>
      <w:r>
        <w:rPr>
          <w:i/>
          <w:iCs/>
        </w:rPr>
        <w:t>International Review of Economics and Finance</w:t>
      </w:r>
      <w:r>
        <w:t>, 104241. https://doi.org/10.1016/j.iref.2025.104241</w:t>
      </w:r>
    </w:p>
    <w:p w14:paraId="0D3E04F0" w14:textId="77777777" w:rsidR="00490D4D" w:rsidRDefault="00490D4D">
      <w:pPr>
        <w:spacing w:after="120" w:line="276" w:lineRule="auto"/>
        <w:ind w:left="720" w:hanging="720"/>
        <w:jc w:val="both"/>
      </w:pPr>
      <w:r>
        <w:t xml:space="preserve">Xu, S., Ali, S. T., Yang, Z., &amp; Li, Y. (2023). Effect of household’s financial literacy on pension decision making: Evidence from China’s new rural pension program. </w:t>
      </w:r>
      <w:proofErr w:type="spellStart"/>
      <w:r>
        <w:rPr>
          <w:i/>
          <w:iCs/>
        </w:rPr>
        <w:t>Kybernetes</w:t>
      </w:r>
      <w:proofErr w:type="spellEnd"/>
      <w:r>
        <w:rPr>
          <w:i/>
          <w:iCs/>
        </w:rPr>
        <w:t>, 52</w:t>
      </w:r>
      <w:r>
        <w:t>(10), 4611–4644. https://doi.org/10.1108/K-03-2022-0321</w:t>
      </w:r>
    </w:p>
    <w:p w14:paraId="1B71AE7B" w14:textId="5D52A724" w:rsidR="00EA0D9A" w:rsidRPr="00016E8E" w:rsidRDefault="00B6489A">
      <w:pPr>
        <w:spacing w:before="360" w:after="160"/>
        <w:rPr>
          <w:b/>
          <w:bCs/>
          <w:color w:val="1A3A5C"/>
          <w:sz w:val="24"/>
          <w:szCs w:val="24"/>
        </w:rPr>
      </w:pPr>
      <w:r>
        <w:rPr>
          <w:b/>
          <w:bCs/>
          <w:color w:val="1A3A5C"/>
          <w:sz w:val="24"/>
          <w:szCs w:val="24"/>
        </w:rPr>
        <w:lastRenderedPageBreak/>
        <w:t>Appendix A: Descriptive Statistics (N=35)</w:t>
      </w:r>
    </w:p>
    <w:p w14:paraId="3F89AE7E" w14:textId="7F444B47" w:rsidR="00937AB4" w:rsidRPr="00937AB4" w:rsidRDefault="00937AB4" w:rsidP="00937AB4">
      <w:pPr>
        <w:jc w:val="center"/>
        <w:rPr>
          <w:b/>
          <w:bCs/>
          <w:sz w:val="22"/>
          <w:szCs w:val="22"/>
        </w:rPr>
      </w:pPr>
      <w:r>
        <w:rPr>
          <w:b/>
          <w:bCs/>
          <w:sz w:val="22"/>
          <w:szCs w:val="22"/>
        </w:rPr>
        <w:t>Table A1: Descriptive Statistics of Variables (N = 35)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57"/>
        <w:gridCol w:w="788"/>
        <w:gridCol w:w="1306"/>
        <w:gridCol w:w="1056"/>
        <w:gridCol w:w="1067"/>
        <w:gridCol w:w="1126"/>
      </w:tblGrid>
      <w:tr w:rsidR="00EA0D9A" w14:paraId="3ACA09E5" w14:textId="77777777">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33F6665" w14:textId="77777777" w:rsidR="00EA0D9A" w:rsidRDefault="00B6489A" w:rsidP="00937AB4">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24815FE" w14:textId="77777777" w:rsidR="00EA0D9A" w:rsidRDefault="00B6489A" w:rsidP="00937AB4">
            <w:pPr>
              <w:jc w:val="center"/>
            </w:pPr>
            <w:r>
              <w:rPr>
                <w:b/>
                <w:bCs/>
                <w:color w:val="FFFFFF"/>
              </w:rPr>
              <w:t>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80A14C" w14:textId="77777777" w:rsidR="00EA0D9A" w:rsidRDefault="00B6489A" w:rsidP="00937AB4">
            <w:pPr>
              <w:jc w:val="center"/>
            </w:pPr>
            <w:r>
              <w:rPr>
                <w:b/>
                <w:bCs/>
                <w:color w:val="FFFFFF"/>
              </w:rPr>
              <w:t>Mean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BB882EE" w14:textId="77777777" w:rsidR="00EA0D9A" w:rsidRDefault="00B6489A" w:rsidP="00937AB4">
            <w:pPr>
              <w:jc w:val="center"/>
            </w:pPr>
            <w:r>
              <w:rPr>
                <w:b/>
                <w:bCs/>
                <w:color w:val="FFFFFF"/>
              </w:rPr>
              <w:t>SD</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0839F49" w14:textId="77777777" w:rsidR="00EA0D9A" w:rsidRDefault="00B6489A" w:rsidP="00937AB4">
            <w:pPr>
              <w:jc w:val="center"/>
            </w:pPr>
            <w:r>
              <w:rPr>
                <w:b/>
                <w:bCs/>
                <w:color w:val="FFFFFF"/>
              </w:rPr>
              <w:t>Min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4826E31" w14:textId="77777777" w:rsidR="00EA0D9A" w:rsidRDefault="00B6489A" w:rsidP="00937AB4">
            <w:pPr>
              <w:jc w:val="center"/>
            </w:pPr>
            <w:r>
              <w:rPr>
                <w:b/>
                <w:bCs/>
                <w:color w:val="FFFFFF"/>
              </w:rPr>
              <w:t>Max</w:t>
            </w:r>
          </w:p>
        </w:tc>
      </w:tr>
      <w:tr w:rsidR="00EA0D9A" w14:paraId="7BE2DBD1"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3EA6397" w14:textId="77777777" w:rsidR="00EA0D9A" w:rsidRDefault="00B6489A">
            <w:r>
              <w:rPr>
                <w:b/>
                <w:bCs/>
                <w:color w:val="000000"/>
              </w:rPr>
              <w:t>APY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1FB8A0D"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EBC14F" w14:textId="77777777" w:rsidR="00EA0D9A" w:rsidRDefault="00B6489A">
            <w:pPr>
              <w:jc w:val="center"/>
            </w:pPr>
            <w:r>
              <w:rPr>
                <w:color w:val="000000"/>
              </w:rPr>
              <w:t>0.89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463AA19" w14:textId="77777777" w:rsidR="00EA0D9A" w:rsidRDefault="00B6489A">
            <w:pPr>
              <w:jc w:val="center"/>
            </w:pPr>
            <w:r>
              <w:rPr>
                <w:color w:val="000000"/>
              </w:rPr>
              <w:t>0.44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E816CFB" w14:textId="77777777" w:rsidR="00EA0D9A" w:rsidRDefault="00B6489A">
            <w:pPr>
              <w:jc w:val="center"/>
            </w:pPr>
            <w:r>
              <w:rPr>
                <w:color w:val="000000"/>
              </w:rPr>
              <w:t>0.20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63EA23E" w14:textId="77777777" w:rsidR="00EA0D9A" w:rsidRDefault="00B6489A">
            <w:pPr>
              <w:jc w:val="center"/>
            </w:pPr>
            <w:r>
              <w:rPr>
                <w:color w:val="000000"/>
              </w:rPr>
              <w:t>2.60</w:t>
            </w:r>
          </w:p>
        </w:tc>
      </w:tr>
      <w:tr w:rsidR="00EA0D9A" w14:paraId="40B99B64"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17E313" w14:textId="77777777" w:rsidR="00EA0D9A" w:rsidRDefault="00B6489A">
            <w:r>
              <w:rPr>
                <w:b/>
                <w:bCs/>
                <w:color w:val="000000"/>
              </w:rPr>
              <w:t>NPS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46F3D60"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924DD0" w14:textId="77777777" w:rsidR="00EA0D9A" w:rsidRDefault="00B6489A">
            <w:pPr>
              <w:jc w:val="center"/>
            </w:pPr>
            <w:r>
              <w:rPr>
                <w:color w:val="000000"/>
              </w:rPr>
              <w:t>1.66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BFF868" w14:textId="77777777" w:rsidR="00EA0D9A" w:rsidRDefault="00B6489A">
            <w:pPr>
              <w:jc w:val="center"/>
            </w:pPr>
            <w:r>
              <w:rPr>
                <w:color w:val="000000"/>
              </w:rPr>
              <w:t>0.93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4A9916F" w14:textId="77777777" w:rsidR="00EA0D9A" w:rsidRDefault="00B6489A">
            <w:pPr>
              <w:jc w:val="center"/>
            </w:pPr>
            <w:r>
              <w:rPr>
                <w:color w:val="000000"/>
              </w:rPr>
              <w:t>0.20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83D3F7E" w14:textId="77777777" w:rsidR="00EA0D9A" w:rsidRDefault="00B6489A">
            <w:pPr>
              <w:jc w:val="center"/>
            </w:pPr>
            <w:r>
              <w:rPr>
                <w:color w:val="000000"/>
              </w:rPr>
              <w:t>3.99</w:t>
            </w:r>
          </w:p>
        </w:tc>
      </w:tr>
      <w:tr w:rsidR="00EA0D9A" w14:paraId="48FA979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8B2445" w14:textId="77777777" w:rsidR="00EA0D9A" w:rsidRDefault="00B6489A">
            <w:r>
              <w:rPr>
                <w:b/>
                <w:bCs/>
                <w:color w:val="000000"/>
              </w:rPr>
              <w:t>APY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3FB35D9" w14:textId="77777777" w:rsidR="00EA0D9A" w:rsidRDefault="00B6489A">
            <w:pPr>
              <w:jc w:val="center"/>
            </w:pPr>
            <w:r>
              <w:rPr>
                <w:color w:val="000000"/>
              </w:rPr>
              <w:t>34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74D83F3" w14:textId="77777777" w:rsidR="00EA0D9A" w:rsidRDefault="00B6489A">
            <w:pPr>
              <w:jc w:val="center"/>
            </w:pPr>
            <w:r>
              <w:rPr>
                <w:color w:val="000000"/>
              </w:rPr>
              <w:t>46.2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3CBCB01" w14:textId="77777777" w:rsidR="00EA0D9A" w:rsidRDefault="00B6489A">
            <w:pPr>
              <w:jc w:val="center"/>
            </w:pPr>
            <w:r>
              <w:rPr>
                <w:color w:val="000000"/>
              </w:rPr>
              <w:t>11.4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C37DB61" w14:textId="77777777" w:rsidR="00EA0D9A" w:rsidRDefault="00B6489A">
            <w:pPr>
              <w:jc w:val="center"/>
            </w:pPr>
            <w:r>
              <w:rPr>
                <w:color w:val="000000"/>
              </w:rPr>
              <w:t>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5E7CEF0" w14:textId="77777777" w:rsidR="00EA0D9A" w:rsidRDefault="00B6489A">
            <w:pPr>
              <w:jc w:val="center"/>
            </w:pPr>
            <w:r>
              <w:rPr>
                <w:color w:val="000000"/>
              </w:rPr>
              <w:t>61.3</w:t>
            </w:r>
          </w:p>
        </w:tc>
      </w:tr>
      <w:tr w:rsidR="00EA0D9A" w14:paraId="5A344DB6"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09663DB" w14:textId="77777777" w:rsidR="00EA0D9A" w:rsidRDefault="00B6489A">
            <w:r>
              <w:rPr>
                <w:b/>
                <w:bCs/>
                <w:color w:val="000000"/>
              </w:rPr>
              <w:t>NPS AC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481A6E5"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EC6CF7" w14:textId="77777777" w:rsidR="00EA0D9A" w:rsidRDefault="00B6489A">
            <w:pPr>
              <w:jc w:val="center"/>
            </w:pPr>
            <w:r>
              <w:rPr>
                <w:color w:val="000000"/>
              </w:rPr>
              <w:t>27.0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51D2E66" w14:textId="77777777" w:rsidR="00EA0D9A" w:rsidRDefault="00B6489A">
            <w:pPr>
              <w:jc w:val="center"/>
            </w:pPr>
            <w:r>
              <w:rPr>
                <w:color w:val="000000"/>
              </w:rPr>
              <w:t>6.2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B89E3D6" w14:textId="77777777" w:rsidR="00EA0D9A" w:rsidRDefault="00B6489A">
            <w:pPr>
              <w:jc w:val="center"/>
            </w:pPr>
            <w:r>
              <w:rPr>
                <w:color w:val="000000"/>
              </w:rPr>
              <w:t>13.6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3F647FB" w14:textId="77777777" w:rsidR="00EA0D9A" w:rsidRDefault="00B6489A">
            <w:pPr>
              <w:jc w:val="center"/>
            </w:pPr>
            <w:r>
              <w:rPr>
                <w:color w:val="000000"/>
              </w:rPr>
              <w:t>40.3</w:t>
            </w:r>
          </w:p>
        </w:tc>
      </w:tr>
      <w:tr w:rsidR="00EA0D9A" w14:paraId="1726D1E8"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3961DAE" w14:textId="77777777" w:rsidR="00EA0D9A" w:rsidRDefault="00B6489A">
            <w:r>
              <w:rPr>
                <w:b/>
                <w:bCs/>
                <w:color w:val="000000"/>
              </w:rPr>
              <w:t>Bank Density (per 100k)</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0FD5887"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23A155A" w14:textId="77777777" w:rsidR="00EA0D9A" w:rsidRDefault="00B6489A">
            <w:pPr>
              <w:jc w:val="center"/>
            </w:pPr>
            <w:r>
              <w:rPr>
                <w:color w:val="000000"/>
              </w:rPr>
              <w:t>16.1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51DD29" w14:textId="77777777" w:rsidR="00EA0D9A" w:rsidRDefault="00B6489A">
            <w:pPr>
              <w:jc w:val="center"/>
            </w:pPr>
            <w:r>
              <w:rPr>
                <w:color w:val="000000"/>
              </w:rPr>
              <w:t>8.2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49E41F7" w14:textId="77777777" w:rsidR="00EA0D9A" w:rsidRDefault="00B6489A">
            <w:pPr>
              <w:jc w:val="center"/>
            </w:pPr>
            <w:r>
              <w:rPr>
                <w:color w:val="000000"/>
              </w:rPr>
              <w:t>6.1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5572EE" w14:textId="77777777" w:rsidR="00EA0D9A" w:rsidRDefault="00B6489A">
            <w:pPr>
              <w:jc w:val="center"/>
            </w:pPr>
            <w:r>
              <w:rPr>
                <w:color w:val="000000"/>
              </w:rPr>
              <w:t>38.1</w:t>
            </w:r>
          </w:p>
        </w:tc>
      </w:tr>
      <w:tr w:rsidR="00EA0D9A" w14:paraId="1EF67ADE"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74F62A9" w14:textId="77777777" w:rsidR="00EA0D9A" w:rsidRDefault="00B6489A">
            <w:r>
              <w:rPr>
                <w:b/>
                <w:bCs/>
                <w:color w:val="000000"/>
              </w:rPr>
              <w:t>Female LFPR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B88BBC5"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7984E41" w14:textId="77777777" w:rsidR="00EA0D9A" w:rsidRDefault="00B6489A">
            <w:pPr>
              <w:jc w:val="center"/>
            </w:pPr>
            <w:r>
              <w:rPr>
                <w:color w:val="000000"/>
              </w:rPr>
              <w:t>25.2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8FEFDB7" w14:textId="77777777" w:rsidR="00EA0D9A" w:rsidRDefault="00B6489A">
            <w:pPr>
              <w:jc w:val="center"/>
            </w:pPr>
            <w:r>
              <w:rPr>
                <w:color w:val="000000"/>
              </w:rPr>
              <w:t>8.2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95810C0" w14:textId="77777777" w:rsidR="00EA0D9A" w:rsidRDefault="00B6489A">
            <w:pPr>
              <w:jc w:val="center"/>
            </w:pPr>
            <w:r>
              <w:rPr>
                <w:color w:val="000000"/>
              </w:rPr>
              <w:t>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287633B" w14:textId="77777777" w:rsidR="00EA0D9A" w:rsidRDefault="00B6489A">
            <w:pPr>
              <w:jc w:val="center"/>
            </w:pPr>
            <w:r>
              <w:rPr>
                <w:color w:val="000000"/>
              </w:rPr>
              <w:t>45.8</w:t>
            </w:r>
          </w:p>
        </w:tc>
      </w:tr>
      <w:tr w:rsidR="00EA0D9A" w14:paraId="0BE508A3"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0D46579" w14:textId="77777777" w:rsidR="00EA0D9A" w:rsidRDefault="00B6489A">
            <w:r>
              <w:rPr>
                <w:b/>
                <w:bCs/>
                <w:color w:val="000000"/>
              </w:rPr>
              <w:t>Literacy Rate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45C719"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F3D289" w14:textId="77777777" w:rsidR="00EA0D9A" w:rsidRDefault="00B6489A">
            <w:pPr>
              <w:jc w:val="center"/>
            </w:pPr>
            <w:r>
              <w:rPr>
                <w:color w:val="000000"/>
              </w:rPr>
              <w:t>78.3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EE0C468" w14:textId="77777777" w:rsidR="00EA0D9A" w:rsidRDefault="00B6489A">
            <w:pPr>
              <w:jc w:val="center"/>
            </w:pPr>
            <w:r>
              <w:rPr>
                <w:color w:val="000000"/>
              </w:rPr>
              <w:t>8.4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DBC68A" w14:textId="77777777" w:rsidR="00EA0D9A" w:rsidRDefault="00B6489A">
            <w:pPr>
              <w:jc w:val="center"/>
            </w:pPr>
            <w:r>
              <w:rPr>
                <w:color w:val="000000"/>
              </w:rPr>
              <w:t>63.8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5C603D" w14:textId="77777777" w:rsidR="00EA0D9A" w:rsidRDefault="00B6489A">
            <w:pPr>
              <w:jc w:val="center"/>
            </w:pPr>
            <w:r>
              <w:rPr>
                <w:color w:val="000000"/>
              </w:rPr>
              <w:t>94.0</w:t>
            </w:r>
          </w:p>
        </w:tc>
      </w:tr>
      <w:tr w:rsidR="00EA0D9A" w14:paraId="57516B63"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890E15" w14:textId="77777777" w:rsidR="00EA0D9A" w:rsidRDefault="00B6489A">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0EE36A9"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DB3D520" w14:textId="77777777" w:rsidR="00EA0D9A" w:rsidRDefault="00B6489A">
            <w:pPr>
              <w:jc w:val="center"/>
            </w:pPr>
            <w:r>
              <w:rPr>
                <w:color w:val="000000"/>
              </w:rPr>
              <w:t>5.01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703FD65" w14:textId="77777777" w:rsidR="00EA0D9A" w:rsidRDefault="00B6489A">
            <w:pPr>
              <w:jc w:val="center"/>
            </w:pPr>
            <w:r>
              <w:rPr>
                <w:color w:val="000000"/>
              </w:rPr>
              <w:t>0.43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F1D048E" w14:textId="77777777" w:rsidR="00EA0D9A" w:rsidRDefault="00B6489A">
            <w:pPr>
              <w:jc w:val="center"/>
            </w:pPr>
            <w:r>
              <w:rPr>
                <w:color w:val="000000"/>
              </w:rPr>
              <w:t>3.85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446E8A" w14:textId="77777777" w:rsidR="00EA0D9A" w:rsidRDefault="00B6489A">
            <w:pPr>
              <w:jc w:val="center"/>
            </w:pPr>
            <w:r>
              <w:rPr>
                <w:color w:val="000000"/>
              </w:rPr>
              <w:t>6.22</w:t>
            </w:r>
          </w:p>
        </w:tc>
      </w:tr>
      <w:tr w:rsidR="00EA0D9A" w14:paraId="4FCFD4E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991AB33" w14:textId="77777777" w:rsidR="00EA0D9A" w:rsidRDefault="00B6489A">
            <w:r>
              <w:rPr>
                <w:b/>
                <w:bCs/>
                <w:color w:val="000000"/>
              </w:rPr>
              <w:t>FI Index (0-100)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461B57F" w14:textId="77777777" w:rsidR="00EA0D9A" w:rsidRDefault="00B6489A">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37C872E" w14:textId="77777777" w:rsidR="00EA0D9A" w:rsidRDefault="00B6489A">
            <w:pPr>
              <w:jc w:val="center"/>
            </w:pPr>
            <w:r>
              <w:rPr>
                <w:color w:val="000000"/>
              </w:rPr>
              <w:t>53.8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B5AB279" w14:textId="77777777" w:rsidR="00EA0D9A" w:rsidRDefault="00B6489A">
            <w:pPr>
              <w:jc w:val="center"/>
            </w:pPr>
            <w:r>
              <w:rPr>
                <w:color w:val="000000"/>
              </w:rPr>
              <w:t>14.2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17D9FBA" w14:textId="77777777" w:rsidR="00EA0D9A" w:rsidRDefault="00B6489A">
            <w:pPr>
              <w:jc w:val="center"/>
            </w:pPr>
            <w:r>
              <w:rPr>
                <w:color w:val="000000"/>
              </w:rPr>
              <w:t>28.4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B657F43" w14:textId="77777777" w:rsidR="00EA0D9A" w:rsidRDefault="00B6489A">
            <w:pPr>
              <w:jc w:val="center"/>
            </w:pPr>
            <w:r>
              <w:rPr>
                <w:color w:val="000000"/>
              </w:rPr>
              <w:t>83.2</w:t>
            </w:r>
          </w:p>
        </w:tc>
      </w:tr>
      <w:tr w:rsidR="00937AB4" w14:paraId="4FBD124E" w14:textId="77777777" w:rsidTr="008459BC">
        <w:tc>
          <w:tcPr>
            <w:tcW w:w="0" w:type="auto"/>
            <w:gridSpan w:val="6"/>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C4A76D0" w14:textId="2765C9A2" w:rsidR="00937AB4" w:rsidRDefault="00937AB4" w:rsidP="00937AB4">
            <w:pPr>
              <w:jc w:val="both"/>
              <w:rPr>
                <w:color w:val="000000"/>
              </w:rPr>
            </w:pPr>
            <w:r>
              <w:rPr>
                <w:b/>
                <w:bCs/>
                <w:color w:val="000000"/>
                <w:sz w:val="18"/>
                <w:szCs w:val="18"/>
              </w:rPr>
              <w:t>Notes:</w:t>
            </w:r>
            <w:r>
              <w:rPr>
                <w:color w:val="000000"/>
                <w:sz w:val="18"/>
                <w:szCs w:val="18"/>
              </w:rPr>
              <w:t xml:space="preserve"> Sikkim is excluded as a structural outlier. APY Female Share (%) includes Ladakh (0.0%) due to the absence of gender-disaggregated APY data; Ladakh is excluded from Model 3 regression (N = 34). All statistics are based on state-level averages for 2019–20 to 2024–25.</w:t>
            </w:r>
          </w:p>
        </w:tc>
      </w:tr>
    </w:tbl>
    <w:p w14:paraId="719A301A" w14:textId="77777777" w:rsidR="00937AB4" w:rsidRDefault="00937AB4" w:rsidP="00937AB4">
      <w:pPr>
        <w:rPr>
          <w:b/>
          <w:bCs/>
          <w:color w:val="000000" w:themeColor="text1"/>
        </w:rPr>
      </w:pPr>
      <w:r>
        <w:rPr>
          <w:b/>
          <w:bCs/>
          <w:color w:val="000000" w:themeColor="text1"/>
        </w:rPr>
        <w:t>Source: Authors’ calculations.</w:t>
      </w:r>
    </w:p>
    <w:p w14:paraId="56B3DACA" w14:textId="77777777" w:rsidR="00937AB4" w:rsidRDefault="00937AB4" w:rsidP="00937AB4">
      <w:pPr>
        <w:rPr>
          <w:b/>
          <w:bCs/>
          <w:color w:val="1A3A5C"/>
          <w:sz w:val="28"/>
          <w:szCs w:val="28"/>
        </w:rPr>
      </w:pPr>
    </w:p>
    <w:p w14:paraId="2BC9825C" w14:textId="71C2BC04" w:rsidR="00937AB4" w:rsidRPr="00016E8E" w:rsidRDefault="00B6489A" w:rsidP="00937AB4">
      <w:pPr>
        <w:rPr>
          <w:b/>
          <w:bCs/>
          <w:color w:val="1A3A5C"/>
          <w:sz w:val="24"/>
          <w:szCs w:val="24"/>
        </w:rPr>
      </w:pPr>
      <w:r>
        <w:rPr>
          <w:b/>
          <w:bCs/>
          <w:color w:val="1A3A5C"/>
          <w:sz w:val="24"/>
          <w:szCs w:val="24"/>
        </w:rPr>
        <w:t>Appendix B: Pearson Correlation Matrix</w:t>
      </w:r>
    </w:p>
    <w:p w14:paraId="42DB4A6B" w14:textId="0212D1EB" w:rsidR="00937AB4" w:rsidRPr="00937AB4" w:rsidRDefault="00937AB4" w:rsidP="00937AB4">
      <w:pPr>
        <w:jc w:val="center"/>
        <w:rPr>
          <w:b/>
          <w:bCs/>
          <w:color w:val="000000" w:themeColor="text1"/>
          <w:sz w:val="22"/>
          <w:szCs w:val="22"/>
        </w:rPr>
      </w:pPr>
      <w:r>
        <w:rPr>
          <w:b/>
          <w:bCs/>
          <w:color w:val="000000" w:themeColor="text1"/>
          <w:sz w:val="22"/>
          <w:szCs w:val="22"/>
        </w:rPr>
        <w:t>Table B1: Pearson Correlation Matrix of Key Variables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8"/>
        <w:gridCol w:w="883"/>
        <w:gridCol w:w="883"/>
        <w:gridCol w:w="1332"/>
        <w:gridCol w:w="1458"/>
        <w:gridCol w:w="1231"/>
        <w:gridCol w:w="1027"/>
        <w:gridCol w:w="928"/>
      </w:tblGrid>
      <w:tr w:rsidR="00EA0D9A" w14:paraId="129A2E95" w14:textId="77777777">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58BD1797" w14:textId="77777777" w:rsidR="00EA0D9A" w:rsidRDefault="00EA0D9A">
            <w:pPr>
              <w:jc w:val="center"/>
            </w:pP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93EEC65" w14:textId="77777777" w:rsidR="00EA0D9A" w:rsidRDefault="00B6489A">
            <w:pPr>
              <w:jc w:val="center"/>
            </w:pPr>
            <w:r>
              <w:rPr>
                <w:b/>
                <w:bCs/>
                <w:color w:val="FFFFFF"/>
              </w:rPr>
              <w:t>APY</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DFFD827" w14:textId="77777777" w:rsidR="00EA0D9A" w:rsidRDefault="00B6489A">
            <w:pPr>
              <w:jc w:val="center"/>
            </w:pPr>
            <w:r>
              <w:rPr>
                <w:b/>
                <w:bCs/>
                <w:color w:val="FFFFFF"/>
              </w:rPr>
              <w:t>NPS</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B141481" w14:textId="77777777" w:rsidR="00EA0D9A" w:rsidRDefault="00B6489A">
            <w:pPr>
              <w:jc w:val="center"/>
            </w:pPr>
            <w:proofErr w:type="spellStart"/>
            <w:r>
              <w:rPr>
                <w:b/>
                <w:bCs/>
                <w:color w:val="FFFFFF"/>
              </w:rPr>
              <w:t>BankDen</w:t>
            </w:r>
            <w:proofErr w:type="spellEnd"/>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5C636583" w14:textId="77777777" w:rsidR="00EA0D9A" w:rsidRDefault="00B6489A">
            <w:pPr>
              <w:jc w:val="center"/>
            </w:pPr>
            <w:proofErr w:type="spellStart"/>
            <w:r>
              <w:rPr>
                <w:b/>
                <w:bCs/>
                <w:color w:val="FFFFFF"/>
              </w:rPr>
              <w:t>FemLFPR</w:t>
            </w:r>
            <w:proofErr w:type="spellEnd"/>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C3A4BD2" w14:textId="77777777" w:rsidR="00EA0D9A" w:rsidRDefault="00B6489A">
            <w:pPr>
              <w:jc w:val="center"/>
            </w:pPr>
            <w:r>
              <w:rPr>
                <w:b/>
                <w:bCs/>
                <w:color w:val="FFFFFF"/>
              </w:rPr>
              <w:t>Literacy</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37BB373" w14:textId="77777777" w:rsidR="00EA0D9A" w:rsidRDefault="00B6489A">
            <w:pPr>
              <w:jc w:val="center"/>
            </w:pPr>
            <w:r>
              <w:rPr>
                <w:b/>
                <w:bCs/>
                <w:color w:val="FFFFFF"/>
              </w:rPr>
              <w:t>PCI</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B9FF582" w14:textId="77777777" w:rsidR="00EA0D9A" w:rsidRDefault="00B6489A">
            <w:pPr>
              <w:jc w:val="center"/>
            </w:pPr>
            <w:r>
              <w:rPr>
                <w:b/>
                <w:bCs/>
                <w:color w:val="FFFFFF"/>
              </w:rPr>
              <w:t>FI-</w:t>
            </w:r>
            <w:proofErr w:type="spellStart"/>
            <w:r>
              <w:rPr>
                <w:b/>
                <w:bCs/>
                <w:color w:val="FFFFFF"/>
              </w:rPr>
              <w:t>Idx</w:t>
            </w:r>
            <w:proofErr w:type="spellEnd"/>
          </w:p>
        </w:tc>
      </w:tr>
      <w:tr w:rsidR="00EA0D9A" w14:paraId="65FBC75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F9C001" w14:textId="77777777" w:rsidR="00EA0D9A" w:rsidRDefault="00B6489A">
            <w:r>
              <w:rPr>
                <w:b/>
                <w:bCs/>
                <w:color w:val="000000"/>
              </w:rPr>
              <w:t>APY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B47B0D7" w14:textId="77777777" w:rsidR="00EA0D9A" w:rsidRDefault="00B6489A">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8581713" w14:textId="77777777" w:rsidR="00EA0D9A" w:rsidRDefault="00B6489A">
            <w:pPr>
              <w:jc w:val="center"/>
            </w:pPr>
            <w:r>
              <w:rPr>
                <w:color w:val="000000"/>
              </w:rPr>
              <w:t>0.425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67A0E31" w14:textId="77777777" w:rsidR="00EA0D9A" w:rsidRDefault="00B6489A">
            <w:pPr>
              <w:jc w:val="center"/>
            </w:pPr>
            <w:r>
              <w:rPr>
                <w:color w:val="000000"/>
              </w:rPr>
              <w:t>0.332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7F42EC" w14:textId="77777777" w:rsidR="00EA0D9A" w:rsidRDefault="00B6489A">
            <w:pPr>
              <w:jc w:val="center"/>
            </w:pPr>
            <w:r>
              <w:rPr>
                <w:color w:val="000000"/>
              </w:rPr>
              <w:t>0.221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371866" w14:textId="77777777" w:rsidR="00EA0D9A" w:rsidRDefault="00B6489A">
            <w:pPr>
              <w:jc w:val="center"/>
            </w:pPr>
            <w:r>
              <w:rPr>
                <w:color w:val="000000"/>
              </w:rPr>
              <w:t>0.296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0AFD187" w14:textId="77777777" w:rsidR="00EA0D9A" w:rsidRDefault="00B6489A">
            <w:pPr>
              <w:jc w:val="center"/>
            </w:pPr>
            <w:r>
              <w:rPr>
                <w:color w:val="000000"/>
              </w:rPr>
              <w:t>0.355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060508" w14:textId="77777777" w:rsidR="00EA0D9A" w:rsidRDefault="00B6489A">
            <w:pPr>
              <w:jc w:val="center"/>
            </w:pPr>
            <w:r>
              <w:rPr>
                <w:color w:val="000000"/>
              </w:rPr>
              <w:t>0.297</w:t>
            </w:r>
          </w:p>
        </w:tc>
      </w:tr>
      <w:tr w:rsidR="00EA0D9A" w14:paraId="04D240BD"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71B40BB" w14:textId="77777777" w:rsidR="00EA0D9A" w:rsidRDefault="00B6489A">
            <w:r>
              <w:rPr>
                <w:b/>
                <w:bCs/>
                <w:color w:val="000000"/>
              </w:rPr>
              <w:t>NPS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B8EFD88" w14:textId="77777777" w:rsidR="00EA0D9A" w:rsidRDefault="00B6489A">
            <w:pPr>
              <w:jc w:val="center"/>
            </w:pPr>
            <w:r>
              <w:rPr>
                <w:color w:val="000000"/>
              </w:rPr>
              <w:t>0.425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7A11BB3" w14:textId="77777777" w:rsidR="00EA0D9A" w:rsidRDefault="00B6489A">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B0A54C" w14:textId="77777777" w:rsidR="00EA0D9A" w:rsidRDefault="00B6489A">
            <w:pPr>
              <w:jc w:val="center"/>
            </w:pPr>
            <w:r>
              <w:rPr>
                <w:color w:val="000000"/>
              </w:rPr>
              <w:t>0.601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5C25DCD" w14:textId="77777777" w:rsidR="00EA0D9A" w:rsidRDefault="00B6489A">
            <w:pPr>
              <w:jc w:val="center"/>
            </w:pPr>
            <w:r>
              <w:rPr>
                <w:color w:val="000000"/>
              </w:rPr>
              <w:t>0.069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9571CA" w14:textId="77777777" w:rsidR="00EA0D9A" w:rsidRDefault="00B6489A">
            <w:pPr>
              <w:jc w:val="center"/>
            </w:pPr>
            <w:r>
              <w:rPr>
                <w:color w:val="000000"/>
              </w:rPr>
              <w:t>0.521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3B36F0" w14:textId="77777777" w:rsidR="00EA0D9A" w:rsidRDefault="00B6489A">
            <w:pPr>
              <w:jc w:val="center"/>
            </w:pPr>
            <w:r>
              <w:rPr>
                <w:color w:val="000000"/>
              </w:rPr>
              <w:t>0.539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6B76609" w14:textId="77777777" w:rsidR="00EA0D9A" w:rsidRDefault="00B6489A">
            <w:pPr>
              <w:jc w:val="center"/>
            </w:pPr>
            <w:r>
              <w:rPr>
                <w:color w:val="000000"/>
              </w:rPr>
              <w:t>0.460</w:t>
            </w:r>
          </w:p>
        </w:tc>
      </w:tr>
      <w:tr w:rsidR="00EA0D9A" w14:paraId="0959C0F9"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10A417E" w14:textId="77777777" w:rsidR="00EA0D9A" w:rsidRDefault="00B6489A">
            <w:proofErr w:type="spellStart"/>
            <w:r>
              <w:rPr>
                <w:b/>
                <w:bCs/>
                <w:color w:val="000000"/>
              </w:rPr>
              <w:t>BankDen</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17F4667" w14:textId="77777777" w:rsidR="00EA0D9A" w:rsidRDefault="00B6489A">
            <w:pPr>
              <w:jc w:val="center"/>
            </w:pPr>
            <w:r>
              <w:rPr>
                <w:color w:val="000000"/>
              </w:rPr>
              <w:t>0.332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ABCD023" w14:textId="77777777" w:rsidR="00EA0D9A" w:rsidRDefault="00B6489A">
            <w:pPr>
              <w:jc w:val="center"/>
            </w:pPr>
            <w:r>
              <w:rPr>
                <w:color w:val="000000"/>
              </w:rPr>
              <w:t>0.601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88985B6" w14:textId="77777777" w:rsidR="00EA0D9A" w:rsidRDefault="00B6489A">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EDB7D65" w14:textId="77777777" w:rsidR="00EA0D9A" w:rsidRDefault="00B6489A">
            <w:pPr>
              <w:jc w:val="center"/>
            </w:pPr>
            <w:r>
              <w:rPr>
                <w:color w:val="000000"/>
              </w:rPr>
              <w:t>−0.013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5666335" w14:textId="77777777" w:rsidR="00EA0D9A" w:rsidRDefault="00B6489A">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F8C817" w14:textId="77777777" w:rsidR="00EA0D9A" w:rsidRDefault="00B6489A">
            <w:pPr>
              <w:jc w:val="center"/>
            </w:pPr>
            <w:r>
              <w:rPr>
                <w:color w:val="C0392B"/>
              </w:rPr>
              <w:t>0.805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A20DA0B" w14:textId="77777777" w:rsidR="00EA0D9A" w:rsidRDefault="00B6489A">
            <w:pPr>
              <w:jc w:val="center"/>
            </w:pPr>
            <w:r>
              <w:rPr>
                <w:color w:val="C0392B"/>
              </w:rPr>
              <w:t>0.908</w:t>
            </w:r>
          </w:p>
        </w:tc>
      </w:tr>
      <w:tr w:rsidR="00EA0D9A" w14:paraId="76A29DA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34CD64A" w14:textId="77777777" w:rsidR="00EA0D9A" w:rsidRDefault="00B6489A">
            <w:proofErr w:type="spellStart"/>
            <w:r>
              <w:rPr>
                <w:b/>
                <w:bCs/>
                <w:color w:val="000000"/>
              </w:rPr>
              <w:t>FemLFPR</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5C5B9D0" w14:textId="77777777" w:rsidR="00EA0D9A" w:rsidRDefault="00B6489A">
            <w:pPr>
              <w:jc w:val="center"/>
            </w:pPr>
            <w:r>
              <w:rPr>
                <w:color w:val="000000"/>
              </w:rPr>
              <w:t>0.221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D762DBD" w14:textId="77777777" w:rsidR="00EA0D9A" w:rsidRDefault="00B6489A">
            <w:pPr>
              <w:jc w:val="center"/>
            </w:pPr>
            <w:r>
              <w:rPr>
                <w:color w:val="000000"/>
              </w:rPr>
              <w:t>0.069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C588F2" w14:textId="77777777" w:rsidR="00EA0D9A" w:rsidRDefault="00B6489A">
            <w:pPr>
              <w:jc w:val="center"/>
            </w:pPr>
            <w:r>
              <w:rPr>
                <w:color w:val="000000"/>
              </w:rPr>
              <w:t>−0.013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A238B39" w14:textId="77777777" w:rsidR="00EA0D9A" w:rsidRDefault="00B6489A">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0A0E559" w14:textId="77777777" w:rsidR="00EA0D9A" w:rsidRDefault="00B6489A">
            <w:pPr>
              <w:jc w:val="center"/>
            </w:pPr>
            <w:r>
              <w:rPr>
                <w:color w:val="000000"/>
              </w:rPr>
              <w:t>0.053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8B406E" w14:textId="77777777" w:rsidR="00EA0D9A" w:rsidRDefault="00B6489A">
            <w:pPr>
              <w:jc w:val="center"/>
            </w:pPr>
            <w:r>
              <w:rPr>
                <w:color w:val="000000"/>
              </w:rPr>
              <w:t>−0.103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4337F2C" w14:textId="77777777" w:rsidR="00EA0D9A" w:rsidRDefault="00B6489A">
            <w:pPr>
              <w:jc w:val="center"/>
            </w:pPr>
            <w:r>
              <w:rPr>
                <w:color w:val="000000"/>
              </w:rPr>
              <w:t>0.172</w:t>
            </w:r>
          </w:p>
        </w:tc>
      </w:tr>
      <w:tr w:rsidR="00EA0D9A" w14:paraId="058DA160"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876523" w14:textId="77777777" w:rsidR="00EA0D9A" w:rsidRDefault="00B6489A">
            <w:r>
              <w:rPr>
                <w:b/>
                <w:bCs/>
                <w:color w:val="000000"/>
              </w:rPr>
              <w:t>Literacy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3FDC97" w14:textId="77777777" w:rsidR="00EA0D9A" w:rsidRDefault="00B6489A">
            <w:pPr>
              <w:jc w:val="center"/>
            </w:pPr>
            <w:r>
              <w:rPr>
                <w:color w:val="000000"/>
              </w:rPr>
              <w:t>0.296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CFE3D69" w14:textId="77777777" w:rsidR="00EA0D9A" w:rsidRDefault="00B6489A">
            <w:pPr>
              <w:jc w:val="center"/>
            </w:pPr>
            <w:r>
              <w:rPr>
                <w:color w:val="000000"/>
              </w:rPr>
              <w:t>0.521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086B399" w14:textId="77777777" w:rsidR="00EA0D9A" w:rsidRDefault="00B6489A">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AA4BD43" w14:textId="77777777" w:rsidR="00EA0D9A" w:rsidRDefault="00B6489A">
            <w:pPr>
              <w:jc w:val="center"/>
            </w:pPr>
            <w:r>
              <w:rPr>
                <w:color w:val="000000"/>
              </w:rPr>
              <w:t>0.053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CFD9485" w14:textId="77777777" w:rsidR="00EA0D9A" w:rsidRDefault="00B6489A">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737A2B6" w14:textId="77777777" w:rsidR="00EA0D9A" w:rsidRDefault="00B6489A">
            <w:pPr>
              <w:jc w:val="center"/>
            </w:pPr>
            <w:r>
              <w:rPr>
                <w:color w:val="000000"/>
              </w:rPr>
              <w:t>0.603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C69E546" w14:textId="77777777" w:rsidR="00EA0D9A" w:rsidRDefault="00B6489A">
            <w:pPr>
              <w:jc w:val="center"/>
            </w:pPr>
            <w:r>
              <w:rPr>
                <w:color w:val="000000"/>
              </w:rPr>
              <w:t>0.727</w:t>
            </w:r>
          </w:p>
        </w:tc>
      </w:tr>
      <w:tr w:rsidR="00EA0D9A" w14:paraId="6FAF1BE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5748591" w14:textId="77777777" w:rsidR="00EA0D9A" w:rsidRDefault="00B6489A">
            <w:r>
              <w:rPr>
                <w:b/>
                <w:bCs/>
                <w:color w:val="000000"/>
              </w:rPr>
              <w:t>PCI</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234CD2B" w14:textId="77777777" w:rsidR="00EA0D9A" w:rsidRDefault="00B6489A">
            <w:pPr>
              <w:jc w:val="center"/>
            </w:pPr>
            <w:r>
              <w:rPr>
                <w:color w:val="000000"/>
              </w:rPr>
              <w:t>0.355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EAF94A8" w14:textId="77777777" w:rsidR="00EA0D9A" w:rsidRDefault="00B6489A">
            <w:pPr>
              <w:jc w:val="center"/>
            </w:pPr>
            <w:r>
              <w:rPr>
                <w:color w:val="000000"/>
              </w:rPr>
              <w:t>0.539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0E6C70C" w14:textId="77777777" w:rsidR="00EA0D9A" w:rsidRDefault="00B6489A">
            <w:pPr>
              <w:jc w:val="center"/>
            </w:pPr>
            <w:r>
              <w:rPr>
                <w:color w:val="C0392B"/>
              </w:rPr>
              <w:t>0.805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06F1C48" w14:textId="77777777" w:rsidR="00EA0D9A" w:rsidRDefault="00B6489A">
            <w:pPr>
              <w:jc w:val="center"/>
            </w:pPr>
            <w:r>
              <w:rPr>
                <w:color w:val="000000"/>
              </w:rPr>
              <w:t>−0.103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19CD8FD" w14:textId="77777777" w:rsidR="00EA0D9A" w:rsidRDefault="00B6489A">
            <w:pPr>
              <w:jc w:val="center"/>
            </w:pPr>
            <w:r>
              <w:rPr>
                <w:color w:val="000000"/>
              </w:rPr>
              <w:t>0.603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93D2BCB" w14:textId="77777777" w:rsidR="00EA0D9A" w:rsidRDefault="00B6489A">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AC5C1F8" w14:textId="77777777" w:rsidR="00EA0D9A" w:rsidRDefault="00B6489A">
            <w:pPr>
              <w:jc w:val="center"/>
            </w:pPr>
            <w:r>
              <w:rPr>
                <w:color w:val="C0392B"/>
              </w:rPr>
              <w:t>0.820</w:t>
            </w:r>
          </w:p>
        </w:tc>
      </w:tr>
      <w:tr w:rsidR="00EA0D9A" w14:paraId="70F546CE"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CEAB2A" w14:textId="77777777" w:rsidR="00EA0D9A" w:rsidRDefault="00B6489A">
            <w:r>
              <w:rPr>
                <w:b/>
                <w:bCs/>
                <w:color w:val="000000"/>
              </w:rPr>
              <w:t>FI-</w:t>
            </w:r>
            <w:proofErr w:type="spellStart"/>
            <w:r>
              <w:rPr>
                <w:b/>
                <w:bCs/>
                <w:color w:val="000000"/>
              </w:rPr>
              <w:t>Idx</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28924EE" w14:textId="77777777" w:rsidR="00EA0D9A" w:rsidRDefault="00B6489A">
            <w:pPr>
              <w:jc w:val="center"/>
            </w:pPr>
            <w:r>
              <w:rPr>
                <w:color w:val="000000"/>
              </w:rPr>
              <w:t>0.297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5A7A8D" w14:textId="77777777" w:rsidR="00EA0D9A" w:rsidRDefault="00B6489A">
            <w:pPr>
              <w:jc w:val="center"/>
            </w:pPr>
            <w:r>
              <w:rPr>
                <w:color w:val="000000"/>
              </w:rPr>
              <w:t>0.460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41C66FC" w14:textId="77777777" w:rsidR="00EA0D9A" w:rsidRDefault="00B6489A">
            <w:pPr>
              <w:jc w:val="center"/>
            </w:pPr>
            <w:r>
              <w:rPr>
                <w:color w:val="C0392B"/>
              </w:rPr>
              <w:t>0.908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A7C3BE" w14:textId="77777777" w:rsidR="00EA0D9A" w:rsidRDefault="00B6489A">
            <w:pPr>
              <w:jc w:val="center"/>
            </w:pPr>
            <w:r>
              <w:rPr>
                <w:color w:val="000000"/>
              </w:rPr>
              <w:t>0.172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0CFC9B" w14:textId="77777777" w:rsidR="00EA0D9A" w:rsidRDefault="00B6489A">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043A312" w14:textId="77777777" w:rsidR="00EA0D9A" w:rsidRDefault="00B6489A">
            <w:pPr>
              <w:jc w:val="center"/>
            </w:pPr>
            <w:r>
              <w:rPr>
                <w:color w:val="C0392B"/>
              </w:rPr>
              <w:t>0.820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D3C9E5" w14:textId="77777777" w:rsidR="00EA0D9A" w:rsidRDefault="00B6489A">
            <w:pPr>
              <w:jc w:val="center"/>
            </w:pPr>
            <w:r>
              <w:rPr>
                <w:color w:val="000000"/>
              </w:rPr>
              <w:t>1.000</w:t>
            </w:r>
          </w:p>
        </w:tc>
      </w:tr>
      <w:tr w:rsidR="00937AB4" w14:paraId="1AC22D2F" w14:textId="77777777" w:rsidTr="007C5FA0">
        <w:tc>
          <w:tcPr>
            <w:tcW w:w="0" w:type="auto"/>
            <w:gridSpan w:val="8"/>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F6F454A" w14:textId="2B70C9DD" w:rsidR="00937AB4" w:rsidRDefault="00937AB4" w:rsidP="00937AB4">
            <w:pPr>
              <w:jc w:val="both"/>
              <w:rPr>
                <w:color w:val="000000"/>
              </w:rPr>
            </w:pPr>
            <w:r>
              <w:rPr>
                <w:b/>
                <w:bCs/>
                <w:color w:val="000000"/>
              </w:rPr>
              <w:t>Notes:</w:t>
            </w:r>
            <w:r>
              <w:rPr>
                <w:color w:val="000000"/>
              </w:rPr>
              <w:t xml:space="preserve"> Entries represent Pearson correlation coefficients (r). Values greater than 0.80 indicate high collinearity. Strong correlations are observed among Bank Density, </w:t>
            </w:r>
            <w:proofErr w:type="gramStart"/>
            <w:r>
              <w:rPr>
                <w:color w:val="000000"/>
              </w:rPr>
              <w:t>ln(</w:t>
            </w:r>
            <w:proofErr w:type="gramEnd"/>
            <w:r>
              <w:rPr>
                <w:color w:val="000000"/>
              </w:rPr>
              <w:t>Per Capita Income), and the FI Index, reflecting their role as related development indicators.</w:t>
            </w:r>
          </w:p>
        </w:tc>
      </w:tr>
    </w:tbl>
    <w:p w14:paraId="5BA76EBE" w14:textId="415062A3" w:rsidR="00937AB4" w:rsidRDefault="00937AB4" w:rsidP="00937AB4">
      <w:pPr>
        <w:rPr>
          <w:b/>
          <w:bCs/>
          <w:color w:val="1A3A5C"/>
          <w:sz w:val="28"/>
          <w:szCs w:val="28"/>
        </w:rPr>
      </w:pPr>
      <w:r>
        <w:rPr>
          <w:b/>
          <w:bCs/>
          <w:color w:val="000000" w:themeColor="text1"/>
        </w:rPr>
        <w:t>Source: Authors’ calculations.</w:t>
      </w:r>
    </w:p>
    <w:p w14:paraId="21DBEA73" w14:textId="43BA42F4" w:rsidR="00CE2225" w:rsidRPr="00016E8E" w:rsidRDefault="00CE2225" w:rsidP="00CE2225">
      <w:pPr>
        <w:spacing w:before="360" w:after="160"/>
        <w:rPr>
          <w:b/>
          <w:bCs/>
          <w:color w:val="1A3A5C"/>
          <w:sz w:val="24"/>
          <w:szCs w:val="24"/>
        </w:rPr>
      </w:pPr>
      <w:r>
        <w:rPr>
          <w:b/>
          <w:bCs/>
          <w:color w:val="1A3A5C"/>
          <w:sz w:val="24"/>
          <w:szCs w:val="24"/>
        </w:rPr>
        <w:t>Appendix C: Principal Components Analysis of Correlated Development Predictors</w:t>
      </w:r>
    </w:p>
    <w:p w14:paraId="66562DE9" w14:textId="77777777" w:rsidR="00AC063B" w:rsidRDefault="00B6489A">
      <w:pPr>
        <w:spacing w:before="80" w:after="80" w:line="276" w:lineRule="auto"/>
        <w:jc w:val="both"/>
        <w:rPr>
          <w:sz w:val="24"/>
          <w:szCs w:val="24"/>
        </w:rPr>
      </w:pPr>
      <w:r>
        <w:rPr>
          <w:sz w:val="24"/>
          <w:szCs w:val="24"/>
        </w:rPr>
        <w:t xml:space="preserve">Bank density, </w:t>
      </w:r>
      <w:proofErr w:type="gramStart"/>
      <w:r>
        <w:rPr>
          <w:sz w:val="24"/>
          <w:szCs w:val="24"/>
        </w:rPr>
        <w:t>ln(</w:t>
      </w:r>
      <w:proofErr w:type="gramEnd"/>
      <w:r>
        <w:rPr>
          <w:sz w:val="24"/>
          <w:szCs w:val="24"/>
        </w:rPr>
        <w:t xml:space="preserve">PCI), and the FI Index correlate at r &gt; 0.80 across all three pairs (Appendix B), creating </w:t>
      </w:r>
      <w:r>
        <w:rPr>
          <w:sz w:val="24"/>
          <w:szCs w:val="24"/>
        </w:rPr>
        <w:t xml:space="preserve">multicollinearity in the full five-predictor model (VIF up to 11.92 for FI Index). As a sensitivity check, PCA was applied to these three variables to extract a single composite dimension. PC1 explains 91.1% of their combined variance and loads positively </w:t>
      </w:r>
      <w:r>
        <w:rPr>
          <w:sz w:val="24"/>
          <w:szCs w:val="24"/>
        </w:rPr>
        <w:t>on all three (</w:t>
      </w:r>
      <w:proofErr w:type="spellStart"/>
      <w:r>
        <w:rPr>
          <w:sz w:val="24"/>
          <w:szCs w:val="24"/>
        </w:rPr>
        <w:t>BankDen</w:t>
      </w:r>
      <w:proofErr w:type="spellEnd"/>
      <w:r>
        <w:rPr>
          <w:sz w:val="24"/>
          <w:szCs w:val="24"/>
        </w:rPr>
        <w:t xml:space="preserve">: 0.5741; </w:t>
      </w:r>
      <w:proofErr w:type="spellStart"/>
      <w:r>
        <w:rPr>
          <w:sz w:val="24"/>
          <w:szCs w:val="24"/>
        </w:rPr>
        <w:lastRenderedPageBreak/>
        <w:t>lnPCI</w:t>
      </w:r>
      <w:proofErr w:type="spellEnd"/>
      <w:r>
        <w:rPr>
          <w:sz w:val="24"/>
          <w:szCs w:val="24"/>
        </w:rPr>
        <w:t>: 0.5679; FI Index: 0.5898), suggesting they represent a common underlying dimension of state-level economic development.</w:t>
      </w:r>
    </w:p>
    <w:p w14:paraId="146637A6" w14:textId="13A4A43F" w:rsidR="005231D9" w:rsidRPr="00C457CE" w:rsidRDefault="00C457CE" w:rsidP="00C457CE">
      <w:pPr>
        <w:spacing w:before="80"/>
        <w:jc w:val="center"/>
        <w:rPr>
          <w:b/>
          <w:bCs/>
          <w:sz w:val="22"/>
          <w:szCs w:val="22"/>
        </w:rPr>
      </w:pPr>
      <w:r>
        <w:rPr>
          <w:b/>
          <w:bCs/>
          <w:sz w:val="22"/>
          <w:szCs w:val="22"/>
        </w:rPr>
        <w:t>Table C1: Principal Component Analysis (PCA) Loadings and Explained Variance</w:t>
      </w:r>
    </w:p>
    <w:tbl>
      <w:tblPr>
        <w:tblW w:w="9000" w:type="dxa"/>
        <w:jc w:val="center"/>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3000"/>
        <w:gridCol w:w="2000"/>
        <w:gridCol w:w="2000"/>
        <w:gridCol w:w="2000"/>
      </w:tblGrid>
      <w:tr w:rsidR="005231D9" w14:paraId="51EF71A4" w14:textId="77777777" w:rsidTr="00016E8E">
        <w:trPr>
          <w:jc w:val="center"/>
        </w:trPr>
        <w:tc>
          <w:tcPr>
            <w:tcW w:w="3000" w:type="dxa"/>
            <w:shd w:val="clear" w:color="auto" w:fill="1C385C"/>
            <w:tcMar>
              <w:top w:w="80" w:type="dxa"/>
              <w:left w:w="120" w:type="dxa"/>
              <w:bottom w:w="80" w:type="dxa"/>
              <w:right w:w="120" w:type="dxa"/>
            </w:tcMar>
          </w:tcPr>
          <w:p w14:paraId="3071A749" w14:textId="77777777" w:rsidR="005231D9" w:rsidRDefault="00B6489A">
            <w:r>
              <w:rPr>
                <w:b/>
              </w:rPr>
              <w:t>Variable</w:t>
            </w:r>
          </w:p>
        </w:tc>
        <w:tc>
          <w:tcPr>
            <w:tcW w:w="2000" w:type="dxa"/>
            <w:shd w:val="clear" w:color="auto" w:fill="1C385C"/>
            <w:tcMar>
              <w:top w:w="80" w:type="dxa"/>
              <w:left w:w="120" w:type="dxa"/>
              <w:bottom w:w="80" w:type="dxa"/>
              <w:right w:w="120" w:type="dxa"/>
            </w:tcMar>
          </w:tcPr>
          <w:p w14:paraId="132B560B" w14:textId="77777777" w:rsidR="005231D9" w:rsidRDefault="00B6489A">
            <w:r>
              <w:rPr>
                <w:b/>
              </w:rPr>
              <w:t>PC1</w:t>
            </w:r>
          </w:p>
        </w:tc>
        <w:tc>
          <w:tcPr>
            <w:tcW w:w="2000" w:type="dxa"/>
            <w:shd w:val="clear" w:color="auto" w:fill="1C385C"/>
            <w:tcMar>
              <w:top w:w="80" w:type="dxa"/>
              <w:left w:w="120" w:type="dxa"/>
              <w:bottom w:w="80" w:type="dxa"/>
              <w:right w:w="120" w:type="dxa"/>
            </w:tcMar>
          </w:tcPr>
          <w:p w14:paraId="00909228" w14:textId="77777777" w:rsidR="005231D9" w:rsidRDefault="00B6489A">
            <w:r>
              <w:rPr>
                <w:b/>
              </w:rPr>
              <w:t>PC2</w:t>
            </w:r>
          </w:p>
        </w:tc>
        <w:tc>
          <w:tcPr>
            <w:tcW w:w="2000" w:type="dxa"/>
            <w:shd w:val="clear" w:color="auto" w:fill="1C385C"/>
            <w:tcMar>
              <w:top w:w="80" w:type="dxa"/>
              <w:left w:w="120" w:type="dxa"/>
              <w:bottom w:w="80" w:type="dxa"/>
              <w:right w:w="120" w:type="dxa"/>
            </w:tcMar>
          </w:tcPr>
          <w:p w14:paraId="4543B7D0" w14:textId="77777777" w:rsidR="005231D9" w:rsidRDefault="00B6489A">
            <w:r>
              <w:rPr>
                <w:b/>
              </w:rPr>
              <w:t>PC3</w:t>
            </w:r>
          </w:p>
        </w:tc>
      </w:tr>
      <w:tr w:rsidR="005231D9" w14:paraId="46D2B33F" w14:textId="77777777">
        <w:trPr>
          <w:jc w:val="center"/>
        </w:trPr>
        <w:tc>
          <w:tcPr>
            <w:tcW w:w="3000" w:type="dxa"/>
            <w:tcMar>
              <w:top w:w="80" w:type="dxa"/>
              <w:left w:w="120" w:type="dxa"/>
              <w:bottom w:w="80" w:type="dxa"/>
              <w:right w:w="120" w:type="dxa"/>
            </w:tcMar>
          </w:tcPr>
          <w:p w14:paraId="69E78607" w14:textId="77777777" w:rsidR="005231D9" w:rsidRDefault="00B6489A">
            <w:proofErr w:type="spellStart"/>
            <w:r>
              <w:t>BankDen</w:t>
            </w:r>
            <w:proofErr w:type="spellEnd"/>
          </w:p>
        </w:tc>
        <w:tc>
          <w:tcPr>
            <w:tcW w:w="2000" w:type="dxa"/>
            <w:tcMar>
              <w:top w:w="80" w:type="dxa"/>
              <w:left w:w="120" w:type="dxa"/>
              <w:bottom w:w="80" w:type="dxa"/>
              <w:right w:w="120" w:type="dxa"/>
            </w:tcMar>
          </w:tcPr>
          <w:p w14:paraId="720DB87F" w14:textId="77777777" w:rsidR="005231D9" w:rsidRDefault="00B6489A">
            <w:r>
              <w:t>0.5741</w:t>
            </w:r>
          </w:p>
        </w:tc>
        <w:tc>
          <w:tcPr>
            <w:tcW w:w="2000" w:type="dxa"/>
            <w:tcMar>
              <w:top w:w="80" w:type="dxa"/>
              <w:left w:w="120" w:type="dxa"/>
              <w:bottom w:w="80" w:type="dxa"/>
              <w:right w:w="120" w:type="dxa"/>
            </w:tcMar>
          </w:tcPr>
          <w:p w14:paraId="136BC6F1" w14:textId="77777777" w:rsidR="005231D9" w:rsidRDefault="00B6489A">
            <w:r>
              <w:t>−0.6453</w:t>
            </w:r>
          </w:p>
        </w:tc>
        <w:tc>
          <w:tcPr>
            <w:tcW w:w="2000" w:type="dxa"/>
            <w:tcMar>
              <w:top w:w="80" w:type="dxa"/>
              <w:left w:w="120" w:type="dxa"/>
              <w:bottom w:w="80" w:type="dxa"/>
              <w:right w:w="120" w:type="dxa"/>
            </w:tcMar>
          </w:tcPr>
          <w:p w14:paraId="28BBC71F" w14:textId="77777777" w:rsidR="005231D9" w:rsidRDefault="00B6489A">
            <w:r>
              <w:t>−0.5039</w:t>
            </w:r>
          </w:p>
        </w:tc>
      </w:tr>
      <w:tr w:rsidR="005231D9" w14:paraId="70C5507B" w14:textId="77777777">
        <w:trPr>
          <w:jc w:val="center"/>
        </w:trPr>
        <w:tc>
          <w:tcPr>
            <w:tcW w:w="3000" w:type="dxa"/>
            <w:tcMar>
              <w:top w:w="80" w:type="dxa"/>
              <w:left w:w="120" w:type="dxa"/>
              <w:bottom w:w="80" w:type="dxa"/>
              <w:right w:w="120" w:type="dxa"/>
            </w:tcMar>
          </w:tcPr>
          <w:p w14:paraId="1C336090" w14:textId="77777777" w:rsidR="005231D9" w:rsidRDefault="00B6489A">
            <w:proofErr w:type="spellStart"/>
            <w:r>
              <w:t>lnPCI</w:t>
            </w:r>
            <w:proofErr w:type="spellEnd"/>
          </w:p>
        </w:tc>
        <w:tc>
          <w:tcPr>
            <w:tcW w:w="2000" w:type="dxa"/>
            <w:tcMar>
              <w:top w:w="80" w:type="dxa"/>
              <w:left w:w="120" w:type="dxa"/>
              <w:bottom w:w="80" w:type="dxa"/>
              <w:right w:w="120" w:type="dxa"/>
            </w:tcMar>
          </w:tcPr>
          <w:p w14:paraId="7A0C44A2" w14:textId="77777777" w:rsidR="005231D9" w:rsidRDefault="00B6489A">
            <w:r>
              <w:t>0.5679</w:t>
            </w:r>
          </w:p>
        </w:tc>
        <w:tc>
          <w:tcPr>
            <w:tcW w:w="2000" w:type="dxa"/>
            <w:tcMar>
              <w:top w:w="80" w:type="dxa"/>
              <w:left w:w="120" w:type="dxa"/>
              <w:bottom w:w="80" w:type="dxa"/>
              <w:right w:w="120" w:type="dxa"/>
            </w:tcMar>
          </w:tcPr>
          <w:p w14:paraId="43B1F044" w14:textId="77777777" w:rsidR="005231D9" w:rsidRDefault="00B6489A">
            <w:r>
              <w:t>0.7572</w:t>
            </w:r>
          </w:p>
        </w:tc>
        <w:tc>
          <w:tcPr>
            <w:tcW w:w="2000" w:type="dxa"/>
            <w:tcMar>
              <w:top w:w="80" w:type="dxa"/>
              <w:left w:w="120" w:type="dxa"/>
              <w:bottom w:w="80" w:type="dxa"/>
              <w:right w:w="120" w:type="dxa"/>
            </w:tcMar>
          </w:tcPr>
          <w:p w14:paraId="1C5B2C75" w14:textId="77777777" w:rsidR="005231D9" w:rsidRDefault="00B6489A">
            <w:r>
              <w:t>−0.3226</w:t>
            </w:r>
          </w:p>
        </w:tc>
      </w:tr>
      <w:tr w:rsidR="005231D9" w14:paraId="5E92F9FC" w14:textId="77777777">
        <w:trPr>
          <w:jc w:val="center"/>
        </w:trPr>
        <w:tc>
          <w:tcPr>
            <w:tcW w:w="3000" w:type="dxa"/>
            <w:tcMar>
              <w:top w:w="80" w:type="dxa"/>
              <w:left w:w="120" w:type="dxa"/>
              <w:bottom w:w="80" w:type="dxa"/>
              <w:right w:w="120" w:type="dxa"/>
            </w:tcMar>
          </w:tcPr>
          <w:p w14:paraId="5CAD5F91" w14:textId="77777777" w:rsidR="005231D9" w:rsidRDefault="00B6489A">
            <w:r>
              <w:t>FI Index</w:t>
            </w:r>
          </w:p>
        </w:tc>
        <w:tc>
          <w:tcPr>
            <w:tcW w:w="2000" w:type="dxa"/>
            <w:tcMar>
              <w:top w:w="80" w:type="dxa"/>
              <w:left w:w="120" w:type="dxa"/>
              <w:bottom w:w="80" w:type="dxa"/>
              <w:right w:w="120" w:type="dxa"/>
            </w:tcMar>
          </w:tcPr>
          <w:p w14:paraId="02381246" w14:textId="77777777" w:rsidR="005231D9" w:rsidRDefault="00B6489A">
            <w:r>
              <w:t>0.5898</w:t>
            </w:r>
          </w:p>
        </w:tc>
        <w:tc>
          <w:tcPr>
            <w:tcW w:w="2000" w:type="dxa"/>
            <w:tcMar>
              <w:top w:w="80" w:type="dxa"/>
              <w:left w:w="120" w:type="dxa"/>
              <w:bottom w:w="80" w:type="dxa"/>
              <w:right w:w="120" w:type="dxa"/>
            </w:tcMar>
          </w:tcPr>
          <w:p w14:paraId="3C21BDAE" w14:textId="77777777" w:rsidR="005231D9" w:rsidRDefault="00B6489A">
            <w:r>
              <w:t>−0.1010</w:t>
            </w:r>
          </w:p>
        </w:tc>
        <w:tc>
          <w:tcPr>
            <w:tcW w:w="2000" w:type="dxa"/>
            <w:tcMar>
              <w:top w:w="80" w:type="dxa"/>
              <w:left w:w="120" w:type="dxa"/>
              <w:bottom w:w="80" w:type="dxa"/>
              <w:right w:w="120" w:type="dxa"/>
            </w:tcMar>
          </w:tcPr>
          <w:p w14:paraId="7576832B" w14:textId="77777777" w:rsidR="005231D9" w:rsidRDefault="00B6489A">
            <w:r>
              <w:t>0.8012</w:t>
            </w:r>
          </w:p>
        </w:tc>
      </w:tr>
      <w:tr w:rsidR="005231D9" w14:paraId="7FE92C3C" w14:textId="77777777">
        <w:trPr>
          <w:jc w:val="center"/>
        </w:trPr>
        <w:tc>
          <w:tcPr>
            <w:tcW w:w="3000" w:type="dxa"/>
            <w:shd w:val="clear" w:color="auto" w:fill="EEF2F9"/>
            <w:tcMar>
              <w:top w:w="80" w:type="dxa"/>
              <w:left w:w="120" w:type="dxa"/>
              <w:bottom w:w="80" w:type="dxa"/>
              <w:right w:w="120" w:type="dxa"/>
            </w:tcMar>
          </w:tcPr>
          <w:p w14:paraId="478D3201" w14:textId="77777777" w:rsidR="005231D9" w:rsidRDefault="00B6489A">
            <w:r>
              <w:rPr>
                <w:b/>
              </w:rPr>
              <w:t>Eigenvalue</w:t>
            </w:r>
          </w:p>
        </w:tc>
        <w:tc>
          <w:tcPr>
            <w:tcW w:w="2000" w:type="dxa"/>
            <w:shd w:val="clear" w:color="auto" w:fill="EEF2F9"/>
            <w:tcMar>
              <w:top w:w="80" w:type="dxa"/>
              <w:left w:w="120" w:type="dxa"/>
              <w:bottom w:w="80" w:type="dxa"/>
              <w:right w:w="120" w:type="dxa"/>
            </w:tcMar>
          </w:tcPr>
          <w:p w14:paraId="0EC43B11" w14:textId="77777777" w:rsidR="005231D9" w:rsidRDefault="00B6489A">
            <w:r>
              <w:t>2.8123</w:t>
            </w:r>
          </w:p>
        </w:tc>
        <w:tc>
          <w:tcPr>
            <w:tcW w:w="2000" w:type="dxa"/>
            <w:shd w:val="clear" w:color="auto" w:fill="EEF2F9"/>
            <w:tcMar>
              <w:top w:w="80" w:type="dxa"/>
              <w:left w:w="120" w:type="dxa"/>
              <w:bottom w:w="80" w:type="dxa"/>
              <w:right w:w="120" w:type="dxa"/>
            </w:tcMar>
          </w:tcPr>
          <w:p w14:paraId="191AA178" w14:textId="77777777" w:rsidR="005231D9" w:rsidRPr="00C457CE" w:rsidRDefault="00B6489A">
            <w:pPr>
              <w:rPr>
                <w:b/>
              </w:rPr>
            </w:pPr>
            <w:r>
              <w:rPr>
                <w:b/>
              </w:rPr>
              <w:t>0.1995</w:t>
            </w:r>
          </w:p>
        </w:tc>
        <w:tc>
          <w:tcPr>
            <w:tcW w:w="2000" w:type="dxa"/>
            <w:shd w:val="clear" w:color="auto" w:fill="EEF2F9"/>
            <w:tcMar>
              <w:top w:w="80" w:type="dxa"/>
              <w:left w:w="120" w:type="dxa"/>
              <w:bottom w:w="80" w:type="dxa"/>
              <w:right w:w="120" w:type="dxa"/>
            </w:tcMar>
          </w:tcPr>
          <w:p w14:paraId="2DB1251A" w14:textId="77777777" w:rsidR="005231D9" w:rsidRDefault="00B6489A">
            <w:r>
              <w:t>0.0765</w:t>
            </w:r>
          </w:p>
        </w:tc>
      </w:tr>
      <w:tr w:rsidR="005231D9" w14:paraId="1CBF27A4" w14:textId="77777777">
        <w:trPr>
          <w:jc w:val="center"/>
        </w:trPr>
        <w:tc>
          <w:tcPr>
            <w:tcW w:w="3000" w:type="dxa"/>
            <w:shd w:val="clear" w:color="auto" w:fill="EEF2F9"/>
            <w:tcMar>
              <w:top w:w="80" w:type="dxa"/>
              <w:left w:w="120" w:type="dxa"/>
              <w:bottom w:w="80" w:type="dxa"/>
              <w:right w:w="120" w:type="dxa"/>
            </w:tcMar>
          </w:tcPr>
          <w:p w14:paraId="2F52F92D" w14:textId="77777777" w:rsidR="005231D9" w:rsidRDefault="00B6489A">
            <w:r>
              <w:rPr>
                <w:b/>
              </w:rPr>
              <w:t>Variance explained (%)</w:t>
            </w:r>
          </w:p>
        </w:tc>
        <w:tc>
          <w:tcPr>
            <w:tcW w:w="2000" w:type="dxa"/>
            <w:shd w:val="clear" w:color="auto" w:fill="EEF2F9"/>
            <w:tcMar>
              <w:top w:w="80" w:type="dxa"/>
              <w:left w:w="120" w:type="dxa"/>
              <w:bottom w:w="80" w:type="dxa"/>
              <w:right w:w="120" w:type="dxa"/>
            </w:tcMar>
          </w:tcPr>
          <w:p w14:paraId="1D2E0519" w14:textId="77777777" w:rsidR="005231D9" w:rsidRDefault="00B6489A">
            <w:r>
              <w:t>91.1</w:t>
            </w:r>
          </w:p>
        </w:tc>
        <w:tc>
          <w:tcPr>
            <w:tcW w:w="2000" w:type="dxa"/>
            <w:shd w:val="clear" w:color="auto" w:fill="EEF2F9"/>
            <w:tcMar>
              <w:top w:w="80" w:type="dxa"/>
              <w:left w:w="120" w:type="dxa"/>
              <w:bottom w:w="80" w:type="dxa"/>
              <w:right w:w="120" w:type="dxa"/>
            </w:tcMar>
          </w:tcPr>
          <w:p w14:paraId="09864A15" w14:textId="77777777" w:rsidR="005231D9" w:rsidRDefault="00B6489A">
            <w:r>
              <w:t>6.5</w:t>
            </w:r>
          </w:p>
        </w:tc>
        <w:tc>
          <w:tcPr>
            <w:tcW w:w="2000" w:type="dxa"/>
            <w:shd w:val="clear" w:color="auto" w:fill="EEF2F9"/>
            <w:tcMar>
              <w:top w:w="80" w:type="dxa"/>
              <w:left w:w="120" w:type="dxa"/>
              <w:bottom w:w="80" w:type="dxa"/>
              <w:right w:w="120" w:type="dxa"/>
            </w:tcMar>
          </w:tcPr>
          <w:p w14:paraId="7FD4AB5E" w14:textId="77777777" w:rsidR="005231D9" w:rsidRDefault="00B6489A">
            <w:r>
              <w:t>2.5</w:t>
            </w:r>
          </w:p>
        </w:tc>
      </w:tr>
      <w:tr w:rsidR="005231D9" w14:paraId="1E2D713B" w14:textId="77777777">
        <w:trPr>
          <w:jc w:val="center"/>
        </w:trPr>
        <w:tc>
          <w:tcPr>
            <w:tcW w:w="3000" w:type="dxa"/>
            <w:shd w:val="clear" w:color="auto" w:fill="EEF2F9"/>
            <w:tcMar>
              <w:top w:w="80" w:type="dxa"/>
              <w:left w:w="120" w:type="dxa"/>
              <w:bottom w:w="80" w:type="dxa"/>
              <w:right w:w="120" w:type="dxa"/>
            </w:tcMar>
          </w:tcPr>
          <w:p w14:paraId="6C608708" w14:textId="77777777" w:rsidR="005231D9" w:rsidRDefault="00B6489A">
            <w:r>
              <w:rPr>
                <w:b/>
              </w:rPr>
              <w:t>Cumulative (%)</w:t>
            </w:r>
          </w:p>
        </w:tc>
        <w:tc>
          <w:tcPr>
            <w:tcW w:w="2000" w:type="dxa"/>
            <w:shd w:val="clear" w:color="auto" w:fill="EEF2F9"/>
            <w:tcMar>
              <w:top w:w="80" w:type="dxa"/>
              <w:left w:w="120" w:type="dxa"/>
              <w:bottom w:w="80" w:type="dxa"/>
              <w:right w:w="120" w:type="dxa"/>
            </w:tcMar>
          </w:tcPr>
          <w:p w14:paraId="4E29308C" w14:textId="77777777" w:rsidR="005231D9" w:rsidRDefault="00B6489A">
            <w:r>
              <w:t>91.1</w:t>
            </w:r>
          </w:p>
        </w:tc>
        <w:tc>
          <w:tcPr>
            <w:tcW w:w="2000" w:type="dxa"/>
            <w:shd w:val="clear" w:color="auto" w:fill="EEF2F9"/>
            <w:tcMar>
              <w:top w:w="80" w:type="dxa"/>
              <w:left w:w="120" w:type="dxa"/>
              <w:bottom w:w="80" w:type="dxa"/>
              <w:right w:w="120" w:type="dxa"/>
            </w:tcMar>
          </w:tcPr>
          <w:p w14:paraId="1D384167" w14:textId="77777777" w:rsidR="005231D9" w:rsidRDefault="00B6489A">
            <w:r>
              <w:t>97.5</w:t>
            </w:r>
          </w:p>
        </w:tc>
        <w:tc>
          <w:tcPr>
            <w:tcW w:w="2000" w:type="dxa"/>
            <w:shd w:val="clear" w:color="auto" w:fill="EEF2F9"/>
            <w:tcMar>
              <w:top w:w="80" w:type="dxa"/>
              <w:left w:w="120" w:type="dxa"/>
              <w:bottom w:w="80" w:type="dxa"/>
              <w:right w:w="120" w:type="dxa"/>
            </w:tcMar>
          </w:tcPr>
          <w:p w14:paraId="1231DE65" w14:textId="77777777" w:rsidR="005231D9" w:rsidRDefault="00B6489A">
            <w:r>
              <w:t>100.0</w:t>
            </w:r>
          </w:p>
        </w:tc>
      </w:tr>
      <w:tr w:rsidR="00C457CE" w14:paraId="28040A63" w14:textId="77777777" w:rsidTr="000E334B">
        <w:trPr>
          <w:jc w:val="center"/>
        </w:trPr>
        <w:tc>
          <w:tcPr>
            <w:tcW w:w="9000" w:type="dxa"/>
            <w:gridSpan w:val="4"/>
            <w:shd w:val="clear" w:color="auto" w:fill="EEF2F9"/>
            <w:tcMar>
              <w:top w:w="80" w:type="dxa"/>
              <w:left w:w="120" w:type="dxa"/>
              <w:bottom w:w="80" w:type="dxa"/>
              <w:right w:w="120" w:type="dxa"/>
            </w:tcMar>
          </w:tcPr>
          <w:p w14:paraId="55909DD6" w14:textId="4EDEF086" w:rsidR="00C457CE" w:rsidRDefault="00C457CE" w:rsidP="00C457CE">
            <w:pPr>
              <w:jc w:val="both"/>
            </w:pPr>
            <w:r>
              <w:rPr>
                <w:b/>
                <w:bCs/>
              </w:rPr>
              <w:t>Notes:</w:t>
            </w:r>
            <w:r>
              <w:t xml:space="preserve"> PCA is applied to Bank Density, </w:t>
            </w:r>
            <w:proofErr w:type="gramStart"/>
            <w:r>
              <w:t>ln(</w:t>
            </w:r>
            <w:proofErr w:type="gramEnd"/>
            <w:r>
              <w:t>Per Capita Income), and the Financial Inclusion (FI) Index. The first principal component (PC1; eigenvalue = 2.81) explains 91.1% of the total variance and loads positively on all three variables. PC1 is used as a composite development indicator in the robustness analysis.</w:t>
            </w:r>
          </w:p>
        </w:tc>
      </w:tr>
    </w:tbl>
    <w:p w14:paraId="27EB91AF" w14:textId="11463107" w:rsidR="00C457CE" w:rsidRPr="00016E8E" w:rsidRDefault="00C457CE" w:rsidP="00016E8E">
      <w:pPr>
        <w:rPr>
          <w:b/>
          <w:bCs/>
          <w:color w:val="000000" w:themeColor="text1"/>
        </w:rPr>
      </w:pPr>
      <w:r>
        <w:rPr>
          <w:b/>
          <w:bCs/>
          <w:color w:val="000000" w:themeColor="text1"/>
        </w:rPr>
        <w:t>Source: Authors’ calculations.</w:t>
      </w:r>
    </w:p>
    <w:p w14:paraId="13101745" w14:textId="77777777" w:rsidR="00AC063B" w:rsidRDefault="00B6489A">
      <w:pPr>
        <w:spacing w:before="80" w:after="80" w:line="276" w:lineRule="auto"/>
        <w:jc w:val="both"/>
        <w:rPr>
          <w:sz w:val="24"/>
          <w:szCs w:val="24"/>
        </w:rPr>
      </w:pPr>
      <w:r>
        <w:rPr>
          <w:sz w:val="24"/>
          <w:szCs w:val="24"/>
        </w:rPr>
        <w:t xml:space="preserve">Substituting PC1 for the three individual development predictors in a three-predictor model (PC1, Female LFPR, Literacy) returns results consistent with the main findings: PC1 is positively associated with NPS </w:t>
      </w:r>
      <w:r>
        <w:rPr>
          <w:sz w:val="24"/>
          <w:szCs w:val="24"/>
        </w:rPr>
        <w:t xml:space="preserve">penetration (β = 0.332, p = 0.111), and literacy is significantly associated with NPS AC female share (β = 3.396, p = 0.012). The literacy finding is robust across the full model, reduced-form model, and PCA specification. The reduced-form model (Table 4) </w:t>
      </w:r>
      <w:r>
        <w:rPr>
          <w:sz w:val="24"/>
          <w:szCs w:val="24"/>
        </w:rPr>
        <w:t>remains the preferred specification for H1a because it preserves the separable bank density signal rather than folding it into a composite index.</w:t>
      </w:r>
    </w:p>
    <w:sectPr w:rsidR="00AC063B">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476D5"/>
    <w:multiLevelType w:val="hybridMultilevel"/>
    <w:tmpl w:val="051A2EDA"/>
    <w:lvl w:ilvl="0" w:tplc="D0B8CFC2">
      <w:start w:val="1"/>
      <w:numFmt w:val="bullet"/>
      <w:lvlText w:val="●"/>
      <w:lvlJc w:val="left"/>
      <w:pPr>
        <w:ind w:left="720" w:hanging="360"/>
      </w:pPr>
    </w:lvl>
    <w:lvl w:ilvl="1" w:tplc="E2520C2E">
      <w:start w:val="1"/>
      <w:numFmt w:val="bullet"/>
      <w:lvlText w:val="○"/>
      <w:lvlJc w:val="left"/>
      <w:pPr>
        <w:ind w:left="1440" w:hanging="360"/>
      </w:pPr>
    </w:lvl>
    <w:lvl w:ilvl="2" w:tplc="AE9C4B22">
      <w:start w:val="1"/>
      <w:numFmt w:val="bullet"/>
      <w:lvlText w:val="■"/>
      <w:lvlJc w:val="left"/>
      <w:pPr>
        <w:ind w:left="2160" w:hanging="360"/>
      </w:pPr>
    </w:lvl>
    <w:lvl w:ilvl="3" w:tplc="C40CBD96">
      <w:start w:val="1"/>
      <w:numFmt w:val="bullet"/>
      <w:lvlText w:val="●"/>
      <w:lvlJc w:val="left"/>
      <w:pPr>
        <w:ind w:left="2880" w:hanging="360"/>
      </w:pPr>
    </w:lvl>
    <w:lvl w:ilvl="4" w:tplc="AB82365E">
      <w:start w:val="1"/>
      <w:numFmt w:val="bullet"/>
      <w:lvlText w:val="○"/>
      <w:lvlJc w:val="left"/>
      <w:pPr>
        <w:ind w:left="3600" w:hanging="360"/>
      </w:pPr>
    </w:lvl>
    <w:lvl w:ilvl="5" w:tplc="244A70E4">
      <w:start w:val="1"/>
      <w:numFmt w:val="bullet"/>
      <w:lvlText w:val="■"/>
      <w:lvlJc w:val="left"/>
      <w:pPr>
        <w:ind w:left="4320" w:hanging="360"/>
      </w:pPr>
    </w:lvl>
    <w:lvl w:ilvl="6" w:tplc="643A6092">
      <w:start w:val="1"/>
      <w:numFmt w:val="bullet"/>
      <w:lvlText w:val="●"/>
      <w:lvlJc w:val="left"/>
      <w:pPr>
        <w:ind w:left="5040" w:hanging="360"/>
      </w:pPr>
    </w:lvl>
    <w:lvl w:ilvl="7" w:tplc="53ECF90E">
      <w:start w:val="1"/>
      <w:numFmt w:val="bullet"/>
      <w:lvlText w:val="●"/>
      <w:lvlJc w:val="left"/>
      <w:pPr>
        <w:ind w:left="5760" w:hanging="360"/>
      </w:pPr>
    </w:lvl>
    <w:lvl w:ilvl="8" w:tplc="1430C74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9A"/>
    <w:rsid w:val="00016E8E"/>
    <w:rsid w:val="00071D29"/>
    <w:rsid w:val="001143D5"/>
    <w:rsid w:val="00133DB4"/>
    <w:rsid w:val="0019349A"/>
    <w:rsid w:val="0019482A"/>
    <w:rsid w:val="001964BB"/>
    <w:rsid w:val="001A5381"/>
    <w:rsid w:val="001C3200"/>
    <w:rsid w:val="001D2409"/>
    <w:rsid w:val="001F3833"/>
    <w:rsid w:val="002900AC"/>
    <w:rsid w:val="0036480C"/>
    <w:rsid w:val="00371D08"/>
    <w:rsid w:val="00374933"/>
    <w:rsid w:val="003C2D12"/>
    <w:rsid w:val="003C58AD"/>
    <w:rsid w:val="004304AC"/>
    <w:rsid w:val="004362A1"/>
    <w:rsid w:val="0046146C"/>
    <w:rsid w:val="00490D4D"/>
    <w:rsid w:val="004C71E1"/>
    <w:rsid w:val="004F0D7C"/>
    <w:rsid w:val="005231D9"/>
    <w:rsid w:val="00551A20"/>
    <w:rsid w:val="00586F38"/>
    <w:rsid w:val="005C5331"/>
    <w:rsid w:val="005D7FCC"/>
    <w:rsid w:val="006934FA"/>
    <w:rsid w:val="006C1B2E"/>
    <w:rsid w:val="007452E0"/>
    <w:rsid w:val="007523AB"/>
    <w:rsid w:val="00827F3A"/>
    <w:rsid w:val="008400EE"/>
    <w:rsid w:val="008C0AEA"/>
    <w:rsid w:val="008C4FCA"/>
    <w:rsid w:val="00937AB4"/>
    <w:rsid w:val="009D1DF8"/>
    <w:rsid w:val="009D47EB"/>
    <w:rsid w:val="00A17EB8"/>
    <w:rsid w:val="00AC063B"/>
    <w:rsid w:val="00AC1F21"/>
    <w:rsid w:val="00AD518C"/>
    <w:rsid w:val="00AE63CC"/>
    <w:rsid w:val="00B0688A"/>
    <w:rsid w:val="00B56A6C"/>
    <w:rsid w:val="00B6489A"/>
    <w:rsid w:val="00BB4375"/>
    <w:rsid w:val="00BC226F"/>
    <w:rsid w:val="00BF0651"/>
    <w:rsid w:val="00C04F5D"/>
    <w:rsid w:val="00C24F67"/>
    <w:rsid w:val="00C457CE"/>
    <w:rsid w:val="00C67A67"/>
    <w:rsid w:val="00CB1128"/>
    <w:rsid w:val="00CB16C7"/>
    <w:rsid w:val="00CB717B"/>
    <w:rsid w:val="00CE2225"/>
    <w:rsid w:val="00CF4FD1"/>
    <w:rsid w:val="00D018AA"/>
    <w:rsid w:val="00D42B26"/>
    <w:rsid w:val="00D825FE"/>
    <w:rsid w:val="00DB4E97"/>
    <w:rsid w:val="00DC2DA4"/>
    <w:rsid w:val="00DD4507"/>
    <w:rsid w:val="00DF7FD9"/>
    <w:rsid w:val="00E34E22"/>
    <w:rsid w:val="00E5345C"/>
    <w:rsid w:val="00E61E29"/>
    <w:rsid w:val="00E964D7"/>
    <w:rsid w:val="00EA0D9A"/>
    <w:rsid w:val="00F47FB1"/>
    <w:rsid w:val="00F9225C"/>
    <w:rsid w:val="00FD078B"/>
    <w:rsid w:val="00FE31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71D29"/>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71D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8CC4-144F-4A09-902B-39BEB0E7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6688</Words>
  <Characters>38127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13</cp:revision>
  <cp:lastPrinted>2026-03-20T14:05:00Z</cp:lastPrinted>
  <dcterms:created xsi:type="dcterms:W3CDTF">2026-03-20T15:05:00Z</dcterms:created>
  <dcterms:modified xsi:type="dcterms:W3CDTF">2026-03-24T09:13:00Z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905052a3-f13d-41e3-bec9-c1d6bc87cd78</vt:lpwstr>
  </property>
</Properties>
</file>