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70F7A" w14:textId="78C4FBD9" w:rsidR="009002F2" w:rsidRPr="009002F2" w:rsidRDefault="009002F2" w:rsidP="009002F2">
      <w:pPr>
        <w:spacing w:before="240" w:after="240" w:line="240" w:lineRule="auto"/>
        <w:jc w:val="center"/>
        <w:rPr>
          <w:rFonts w:ascii="Times New Roman" w:hAnsi="Times New Roman" w:cs="Times New Roman"/>
          <w:b/>
          <w:bCs/>
          <w:sz w:val="36"/>
          <w:szCs w:val="36"/>
        </w:rPr>
      </w:pPr>
      <w:r w:rsidRPr="009002F2">
        <w:rPr>
          <w:rFonts w:ascii="Times New Roman" w:hAnsi="Times New Roman" w:cs="Times New Roman"/>
          <w:b/>
          <w:bCs/>
          <w:sz w:val="36"/>
          <w:szCs w:val="36"/>
        </w:rPr>
        <w:t>Assessing and enhancing community perception and knowledge about the endemic Rameshwaram Ornamental Tarantula through conservation education</w:t>
      </w:r>
    </w:p>
    <w:p w14:paraId="66D51509" w14:textId="0B384356" w:rsidR="009002F2" w:rsidRPr="009002F2" w:rsidRDefault="00A2105A" w:rsidP="008D2C0A">
      <w:pPr>
        <w:spacing w:before="240" w:after="240" w:line="240" w:lineRule="auto"/>
        <w:jc w:val="both"/>
        <w:rPr>
          <w:rFonts w:ascii="Times New Roman" w:hAnsi="Times New Roman" w:cs="Times New Roman"/>
          <w:sz w:val="28"/>
          <w:szCs w:val="28"/>
        </w:rPr>
      </w:pPr>
      <w:bookmarkStart w:id="0" w:name="_GoBack"/>
      <w:bookmarkEnd w:id="0"/>
      <w:r w:rsidRPr="00322C5C">
        <w:rPr>
          <w:rFonts w:ascii="Times New Roman" w:hAnsi="Times New Roman" w:cs="Times New Roman"/>
          <w:b/>
          <w:bCs/>
          <w:sz w:val="28"/>
          <w:szCs w:val="28"/>
        </w:rPr>
        <w:t>ABSTRACT</w:t>
      </w:r>
    </w:p>
    <w:p w14:paraId="1794F7A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Conservation efforts are generally hindered by public misconceptions and negative perceptions toward spiders, especially for rare and endemic species. The critically endangered arboreal tarantula </w:t>
      </w:r>
      <w:r w:rsidRPr="009002F2">
        <w:rPr>
          <w:rFonts w:ascii="Times New Roman" w:hAnsi="Times New Roman" w:cs="Times New Roman"/>
          <w:i/>
          <w:iCs/>
        </w:rPr>
        <w:t>Poecilotheria hanumavilasumica</w:t>
      </w:r>
      <w:r w:rsidRPr="009002F2">
        <w:rPr>
          <w:rFonts w:ascii="Times New Roman" w:hAnsi="Times New Roman" w:cs="Times New Roman"/>
        </w:rPr>
        <w:t xml:space="preserve">, which is native to Rameswaram Island in India, is the focus of this study, which evaluates the effectiveness of conservation awareness initiatives carried out at the island. Negative perceptions regarding the species usually arise from local people's fear, misconceptions, and misunderstanding of facts. To address existing knowledge gaps and misconceptions, structured conservation awareness programmes were carried out across local communities, schools, and colleges at Rameswaram Island using both direct and indirect outreach methods. Through awareness-raising initiatives, 2,871 participants were directly reached as a result of these initiatives, with additional indirect outreach achieved through the dissemination of educational materials and various community knowledge-sharing activities. In order to measure the efficacy of the awareness programmes, 402 school students aged 11–14 years participated in a pre- and post-assessment survey were selected. The results showed a significant improvement in participants’ knowledge after the awareness interventions, with mean scores increasing from 7.25 (SD = 2.02) in the pre-test to 10.64 (SD = 2.52) in the post-test. Statistical analysis revealed a significant difference between pre- and post-assessment scores (t = 23.62, </w:t>
      </w:r>
      <w:proofErr w:type="spellStart"/>
      <w:r w:rsidRPr="009002F2">
        <w:rPr>
          <w:rFonts w:ascii="Times New Roman" w:hAnsi="Times New Roman" w:cs="Times New Roman"/>
        </w:rPr>
        <w:t>df</w:t>
      </w:r>
      <w:proofErr w:type="spellEnd"/>
      <w:r w:rsidRPr="009002F2">
        <w:rPr>
          <w:rFonts w:ascii="Times New Roman" w:hAnsi="Times New Roman" w:cs="Times New Roman"/>
        </w:rPr>
        <w:t xml:space="preserve"> = 401, p &lt; 0.001), indicating a strong positive impact of the educational programmes. These results demonstrate how effectively environmental education programmes help dispel myths and foster positive perceptions of endangered species like </w:t>
      </w:r>
      <w:r w:rsidRPr="009002F2">
        <w:rPr>
          <w:rFonts w:ascii="Times New Roman" w:hAnsi="Times New Roman" w:cs="Times New Roman"/>
          <w:i/>
          <w:iCs/>
        </w:rPr>
        <w:t>Poecilotheria hanumavilasumica</w:t>
      </w:r>
      <w:r w:rsidRPr="009002F2">
        <w:rPr>
          <w:rFonts w:ascii="Times New Roman" w:hAnsi="Times New Roman" w:cs="Times New Roman"/>
        </w:rPr>
        <w:t>.</w:t>
      </w:r>
    </w:p>
    <w:p w14:paraId="48EC8A8B" w14:textId="4427F3F0"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Keywords:</w:t>
      </w:r>
      <w:r w:rsidRPr="009002F2">
        <w:rPr>
          <w:rFonts w:ascii="Times New Roman" w:hAnsi="Times New Roman" w:cs="Times New Roman"/>
        </w:rPr>
        <w:t xml:space="preserve"> Conservation awareness; Environmental education; Spider perception; Pre–post assessment; </w:t>
      </w:r>
      <w:r w:rsidRPr="009002F2">
        <w:rPr>
          <w:rFonts w:ascii="Times New Roman" w:hAnsi="Times New Roman" w:cs="Times New Roman"/>
          <w:i/>
          <w:iCs/>
        </w:rPr>
        <w:t>Poecilotheria hanumavilasumica</w:t>
      </w:r>
    </w:p>
    <w:p w14:paraId="358BD309" w14:textId="171BE958"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INTRODUCTION</w:t>
      </w:r>
    </w:p>
    <w:p w14:paraId="502BC042"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Biodiversity conservation increasingly recognises education and public awareness as crucial elements of successful conservation strategies. Conservation education programmes involving community stakeholders and educators have been recognised as effective approaches for improving public engagement in biodiversity conservation (Daniel &amp; Marimuthu, 2012; Daniel, 2014). Conservation education programmes play an important role in promoting coexistence between humans and wildlife and improving public understanding of conservation issues (Daniel, 2012). Long-term conservation success ultimately depends on human attitudes, perceptions, behavioural intentions, and community support for threatened species and ecosystems, even while laws, enforcement, and protection of habitat remain essential (Washington et al., 2015). As a result, awareness-raising efforts and education programmes are often promoted as ways of influencing people's attitudes and behaviours regarding the conservation of biodiversity.</w:t>
      </w:r>
    </w:p>
    <w:p w14:paraId="397B827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Environmental education is usually associated with formal learning at educational institutions. Global frameworks, such as the 2030 Agenda for Sustainable Development and UNESCO’s Education for Sustainable Development (ESD) for 2030, highlight the significance of both formal and informal education in promoting awareness of the environment and sustainable practices. SDG 4.7, which aims to ensure that all learners acquire knowledge and skills essential for promoting sustainable development, including environmental conservation, climate action, and conservation of biodiversity.</w:t>
      </w:r>
    </w:p>
    <w:p w14:paraId="5248C494"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It has been proven that awareness initiatives, especially non-formal education strategies like community programmes and outreach projects, influence public opinion and promote environmentally friendly behaviour (Howe et al., 2012). But more knowledge may not be enough to change attitudes on its own. Changes in knowledge, attitudes, and behavioural intention are requirements for long-term behavioural outcomes in order for education programmes to significantly contribute to conservation success (Caro et al., 1994; Mehta &amp; </w:t>
      </w:r>
      <w:proofErr w:type="spellStart"/>
      <w:r w:rsidRPr="009002F2">
        <w:rPr>
          <w:rFonts w:ascii="Times New Roman" w:hAnsi="Times New Roman" w:cs="Times New Roman"/>
        </w:rPr>
        <w:lastRenderedPageBreak/>
        <w:t>Heinen</w:t>
      </w:r>
      <w:proofErr w:type="spellEnd"/>
      <w:r w:rsidRPr="009002F2">
        <w:rPr>
          <w:rFonts w:ascii="Times New Roman" w:hAnsi="Times New Roman" w:cs="Times New Roman"/>
        </w:rPr>
        <w:t xml:space="preserve">, 2001; </w:t>
      </w:r>
      <w:proofErr w:type="spellStart"/>
      <w:r w:rsidRPr="009002F2">
        <w:rPr>
          <w:rFonts w:ascii="Times New Roman" w:hAnsi="Times New Roman" w:cs="Times New Roman"/>
        </w:rPr>
        <w:t>Aipanjiguly</w:t>
      </w:r>
      <w:proofErr w:type="spellEnd"/>
      <w:r w:rsidRPr="009002F2">
        <w:rPr>
          <w:rFonts w:ascii="Times New Roman" w:hAnsi="Times New Roman" w:cs="Times New Roman"/>
        </w:rPr>
        <w:t xml:space="preserve"> et al., 2002). Therefore, to find out if educational efforts result in quantifiable conservation-relevant achievements, a systematic evaluation of awareness initiatives is required.</w:t>
      </w:r>
    </w:p>
    <w:p w14:paraId="4CAA4831" w14:textId="1FE94D75"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present study focuses on </w:t>
      </w:r>
      <w:r w:rsidRPr="009002F2">
        <w:rPr>
          <w:rFonts w:ascii="Times New Roman" w:hAnsi="Times New Roman" w:cs="Times New Roman"/>
          <w:i/>
          <w:iCs/>
        </w:rPr>
        <w:t>Poecilotheria hanumavilasumica</w:t>
      </w:r>
      <w:r w:rsidRPr="009002F2">
        <w:rPr>
          <w:rFonts w:ascii="Times New Roman" w:hAnsi="Times New Roman" w:cs="Times New Roman"/>
        </w:rPr>
        <w:t xml:space="preserve">, which is a critically endangered arboreal, nocturnal tarantula endemic to India and Sri Lanka (Smith, 2004., Siliwal et al., 2008; Nanayakkara </w:t>
      </w:r>
      <w:r w:rsidRPr="009002F2">
        <w:rPr>
          <w:rFonts w:ascii="Times New Roman" w:hAnsi="Times New Roman" w:cs="Times New Roman"/>
          <w:i/>
          <w:iCs/>
        </w:rPr>
        <w:t>et al</w:t>
      </w:r>
      <w:r w:rsidRPr="009002F2">
        <w:rPr>
          <w:rFonts w:ascii="Times New Roman" w:hAnsi="Times New Roman" w:cs="Times New Roman"/>
        </w:rPr>
        <w:t>., 2015). Based on the field survey, this species was selected as the focal species to promote conservation through education and awareness programmes because of its limited distribution and the widespread fear and misconceptions that residents have about spiders. </w:t>
      </w:r>
    </w:p>
    <w:p w14:paraId="3BA0654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In order to create awareness of the target species among a wide range of audiences, educational outreach programmes that are implemented in schools, colleges, and local communities are essential. By combining experiential, participative, and cognitive learning methods, these programmes foster reflective behaviour, interaction, and critical thinking, which in turn increases awareness and responsibility for conservation (Meadows, 2011). In order to assess these programmes' efficacy and improve outreach methods in the future, evaluation is crucial. </w:t>
      </w:r>
    </w:p>
    <w:p w14:paraId="1359463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Pre- and post-assessment methods have become popular in recent years for assessing the success of conservation education programmes. These assessments provide concrete evidence of learning outcomes and changes in perception by comparing participants' knowledge and attitudes before and after awareness interventions. While attitudinal assessments provide information about participants' readiness to support conservation efforts and policies, improvements in post-assessment scores indicate improved awareness of species ecology, threats, and conservation significance (Howe et al., 2012; </w:t>
      </w:r>
      <w:proofErr w:type="spellStart"/>
      <w:r w:rsidRPr="009002F2">
        <w:rPr>
          <w:rFonts w:ascii="Times New Roman" w:hAnsi="Times New Roman" w:cs="Times New Roman"/>
        </w:rPr>
        <w:t>Aipanjiguly</w:t>
      </w:r>
      <w:proofErr w:type="spellEnd"/>
      <w:r w:rsidRPr="009002F2">
        <w:rPr>
          <w:rFonts w:ascii="Times New Roman" w:hAnsi="Times New Roman" w:cs="Times New Roman"/>
        </w:rPr>
        <w:t xml:space="preserve"> et al., 2002; </w:t>
      </w:r>
      <w:proofErr w:type="spellStart"/>
      <w:r w:rsidRPr="009002F2">
        <w:rPr>
          <w:rFonts w:ascii="Times New Roman" w:hAnsi="Times New Roman" w:cs="Times New Roman"/>
        </w:rPr>
        <w:t>Zjalic</w:t>
      </w:r>
      <w:proofErr w:type="spellEnd"/>
      <w:r w:rsidRPr="009002F2">
        <w:rPr>
          <w:rFonts w:ascii="Times New Roman" w:hAnsi="Times New Roman" w:cs="Times New Roman"/>
        </w:rPr>
        <w:t xml:space="preserve"> et al., 2024).</w:t>
      </w:r>
    </w:p>
    <w:p w14:paraId="62E71FB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The present study evaluates the effectiveness of structured awareness programmes conducted among selected target groups using a questionnaire-based pre- and post-assessment framework. The programmes were designed to increase awareness, dispel myths, and develop positive attitudes toward conservation, especially with regard to the target species (</w:t>
      </w:r>
      <w:r w:rsidRPr="009002F2">
        <w:rPr>
          <w:rFonts w:ascii="Times New Roman" w:hAnsi="Times New Roman" w:cs="Times New Roman"/>
          <w:i/>
          <w:iCs/>
        </w:rPr>
        <w:t>P. hanumavilasumica</w:t>
      </w:r>
      <w:r w:rsidRPr="009002F2">
        <w:rPr>
          <w:rFonts w:ascii="Times New Roman" w:hAnsi="Times New Roman" w:cs="Times New Roman"/>
        </w:rPr>
        <w:t>). Pre- and post-assessment scores were compared to quantify changes in attitudes and knowledge levels. </w:t>
      </w:r>
    </w:p>
    <w:p w14:paraId="57B7AB3B"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In conservation awareness programs, indirect reach is essential because information acquired by direct participants can be disseminated through social interactions and community networks. Diffusion theory explains how information spreads through social systems over time through communication channels (Rogers, 2003), whereas social learning theory suggests that people learn and transmit knowledge by watching and interacting with others (Bandura, 1977).</w:t>
      </w:r>
    </w:p>
    <w:p w14:paraId="3C30DFC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This study offers an in-depth evaluation of direct and indirect awareness programmes outcomes and highlights the role of conservation education as a useful and quantifiable conservation intervention by incorporating assessments of knowledge improvement, attitudinal change, and behavioural intention.</w:t>
      </w:r>
    </w:p>
    <w:p w14:paraId="3A05E455" w14:textId="63797FD3"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METHODOLOGY</w:t>
      </w:r>
    </w:p>
    <w:p w14:paraId="0F15613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Study Area and Target Groups</w:t>
      </w:r>
    </w:p>
    <w:p w14:paraId="423ED6F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Since the Rameshwaram Ornamental Spider, the target species, is endemic to Rameswaram Island (9°25′–9°31′ N; 79°05′–79°31′ E), the study was carried out there. To reach a wide range of audience, including tourists and different groups of the community, both direct and indirect awareness programmes were conducted at schools, colleges, local villages, and Panchayat meetings. For the direct awareness programmes, school students between the ages of 11 and 14 were chosen as participants for the assessment part of the study. Participants in the awareness programmes were students from selected educational institutions and were chosen using convenience sampling, and participation was completely voluntary. Before data collection, the objectives of the programme were clearly explained to all participants. The study was carried out between April 2023 and November 2024. </w:t>
      </w:r>
    </w:p>
    <w:p w14:paraId="7FC8A73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Study Design</w:t>
      </w:r>
    </w:p>
    <w:p w14:paraId="4FC4477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lastRenderedPageBreak/>
        <w:t>The conservation awareness programmes were implemented using both direct and indirect outreach methods across schools, institutions, and local communities on Rameswaram Island. In order to assess the efficacy of structured awareness programmes, the current study used a pre-experimental one-group pre-test–post-test approach. This method is frequently used in studies on conservation education to evaluate how educational interventions influence knowledge, attitudes, and perceptions related to conservation (Howe et al., 2012; Washington et al., 2015).</w:t>
      </w:r>
    </w:p>
    <w:p w14:paraId="37F59F2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Development of Species-Specific Educational Materials </w:t>
      </w:r>
    </w:p>
    <w:p w14:paraId="64E6901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A comprehensive set of species-specific teaching resources focused on </w:t>
      </w:r>
      <w:r w:rsidRPr="009002F2">
        <w:rPr>
          <w:rFonts w:ascii="Times New Roman" w:hAnsi="Times New Roman" w:cs="Times New Roman"/>
          <w:i/>
          <w:iCs/>
        </w:rPr>
        <w:t>Poecilotheria hanumavilasumica</w:t>
      </w:r>
      <w:r w:rsidRPr="009002F2">
        <w:rPr>
          <w:rFonts w:ascii="Times New Roman" w:hAnsi="Times New Roman" w:cs="Times New Roman"/>
        </w:rPr>
        <w:t xml:space="preserve"> was developed to support outreach initiatives. These materials were designed to convey scientific facts interestingly and simply for various age groups. A species booklet, an informative brochure, a myths and scientific facts sheet, species stickers, and keychains with a species theme were all included in the teaching toolkit. Additionally, in order to foster interest and coexistence with the species from a young age, spider masks were developed for young children to create an interactive learning experience. The fact that all the educational resources and the questionnaire for evaluation were developed in Tamil, the local language, was an essential aspect of this programme.</w:t>
      </w:r>
    </w:p>
    <w:p w14:paraId="7C330A7C"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Awareness Programme Content </w:t>
      </w:r>
    </w:p>
    <w:p w14:paraId="4D263D78"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awareness programme was organised and delivered through interactive sessions and displays. </w:t>
      </w:r>
      <w:proofErr w:type="spellStart"/>
      <w:r w:rsidRPr="009002F2">
        <w:rPr>
          <w:rFonts w:ascii="Times New Roman" w:hAnsi="Times New Roman" w:cs="Times New Roman"/>
          <w:i/>
          <w:iCs/>
        </w:rPr>
        <w:t>Poecilotheria</w:t>
      </w:r>
      <w:proofErr w:type="spellEnd"/>
      <w:r w:rsidRPr="009002F2">
        <w:rPr>
          <w:rFonts w:ascii="Times New Roman" w:hAnsi="Times New Roman" w:cs="Times New Roman"/>
          <w:i/>
          <w:iCs/>
        </w:rPr>
        <w:t xml:space="preserve"> </w:t>
      </w:r>
      <w:proofErr w:type="spellStart"/>
      <w:r w:rsidRPr="009002F2">
        <w:rPr>
          <w:rFonts w:ascii="Times New Roman" w:hAnsi="Times New Roman" w:cs="Times New Roman"/>
          <w:i/>
          <w:iCs/>
        </w:rPr>
        <w:t>hanumavilasumica</w:t>
      </w:r>
      <w:r w:rsidRPr="009002F2">
        <w:rPr>
          <w:rFonts w:ascii="Times New Roman" w:hAnsi="Times New Roman" w:cs="Times New Roman"/>
        </w:rPr>
        <w:t>'s</w:t>
      </w:r>
      <w:proofErr w:type="spellEnd"/>
      <w:r w:rsidRPr="009002F2">
        <w:rPr>
          <w:rFonts w:ascii="Times New Roman" w:hAnsi="Times New Roman" w:cs="Times New Roman"/>
        </w:rPr>
        <w:t xml:space="preserve"> biology and ecology, taxonomic status, endemic range, preference for arboreal habitat, and ecological significance were all covered in detail in the content. Its limited geographic range and Critically Endangered status were highlighted in particular. The programme addressed common misconceptions and myths about tarantulas, particularly exaggerated fears about their aggressive nature and venomous toxicity. The goal of dispelling these myths was to reduce fear-based misconceptions against the species, which frequently serve as the cause of spider death caused by humans. Major risks to the species, such as habitat degradation, felling of trees, fear-based persecution, and illegal collection for trade, were explained to the participants. The significance of awareness and responsible behaviour in species conservation was highlighted by the discussion regarding these risk factors in connection with human activities.   The participants were given an explanation of wildlife conservation laws and regulations, particularly the regulations of the Wildlife (Protection) Act, 1972, and the importance of legal protection for threatened species and the discussion were focused on how people might promote wildlife conservation by following the law and reporting illegal activity.</w:t>
      </w:r>
    </w:p>
    <w:p w14:paraId="4F10F95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Direct Awareness Programmes and Outreach Activities</w:t>
      </w:r>
    </w:p>
    <w:p w14:paraId="593A42C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Direct awareness programmes were conducted in selected schools, colleges, local villages, and Panchayat meetings on Rameswaram Island to improve public understanding of biodiversity conservation, with a particular focus on the endemic species </w:t>
      </w:r>
      <w:r w:rsidRPr="009002F2">
        <w:rPr>
          <w:rFonts w:ascii="Times New Roman" w:hAnsi="Times New Roman" w:cs="Times New Roman"/>
          <w:i/>
          <w:iCs/>
        </w:rPr>
        <w:t>Poecilotheria hanumavilasumica</w:t>
      </w:r>
      <w:r w:rsidRPr="009002F2">
        <w:rPr>
          <w:rFonts w:ascii="Times New Roman" w:hAnsi="Times New Roman" w:cs="Times New Roman"/>
        </w:rPr>
        <w:t>. The objective of educational programmes in schools and colleges was to increase the students' awareness of the conservation status and ecological significance of the species. Interactive sessions, group discussions, and the distribution of educational materials were all part of these sessions. To encourage community members to participate in conservation efforts, similar education programmes were conducted for local villages and during Panchayat meetings. Participants were encouraged to share their perceptions and experiences, which helped address widespread misconceptions and promote positive attitudes toward the species.</w:t>
      </w:r>
    </w:p>
    <w:p w14:paraId="2B21247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A two-day workshop was arranged to provide students a deeper knowledge of species ecology, conservation issues, and the importance of long-term species conservation in addition to regular awareness activities. Interactive sessions, group discussions, and PowerPoint presentations were all part of the workshop. To encourage participation and reinforcing objectives for learning, a quiz competition with a conservation theme was conducted at the end of the workshop. It is generally accepted that educational outreach and participatory learning approaches, such as interactive discussions, workshops, and community engagement activities, are effective ways to improve participants' environmental knowledge and foster positive conservation attitudes (Monroe et al., 2008; Jacobson et al., 2015; Ardoin et al., 2020).</w:t>
      </w:r>
    </w:p>
    <w:p w14:paraId="31809DFB"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lastRenderedPageBreak/>
        <w:t>Indirect Awareness Programmes and Outreach Activities</w:t>
      </w:r>
    </w:p>
    <w:p w14:paraId="1BA22C1B" w14:textId="77777777" w:rsidR="000452DA"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b/>
          <w:bCs/>
        </w:rPr>
        <w:t>Wall Paintings</w:t>
      </w:r>
    </w:p>
    <w:p w14:paraId="2E397B3B" w14:textId="7DFADAA0" w:rsidR="009002F2" w:rsidRPr="009002F2"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rPr>
        <w:t xml:space="preserve">Wall paintings were created in selected schools located along the main roads on Rameswaram Island to reach a wider audience, in addition to school students and their parents. The locations were strategically chosen to maximise visibility to pedestrians and tourists. In order to ensure cultural importance and a deeper connection with the community, the paintings were intentionally created by local artists. Each wall painting included an illustration of the endemic species </w:t>
      </w:r>
      <w:r w:rsidRPr="009002F2">
        <w:rPr>
          <w:rFonts w:ascii="Times New Roman" w:hAnsi="Times New Roman" w:cs="Times New Roman"/>
          <w:i/>
          <w:iCs/>
        </w:rPr>
        <w:t>Poecilotheria hanumavilasumica</w:t>
      </w:r>
      <w:r w:rsidRPr="009002F2">
        <w:rPr>
          <w:rFonts w:ascii="Times New Roman" w:hAnsi="Times New Roman" w:cs="Times New Roman"/>
        </w:rPr>
        <w:t>, along with commonly reported myths and key conservation messages presented in the local Tamil language to improve understanding and public engagement.</w:t>
      </w:r>
    </w:p>
    <w:p w14:paraId="0250C8A3" w14:textId="77777777" w:rsidR="000452DA"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b/>
          <w:bCs/>
        </w:rPr>
        <w:t>Popular Articles</w:t>
      </w:r>
    </w:p>
    <w:p w14:paraId="6E394020" w14:textId="2EBC2128"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To spread knowledge about conservation and the significance of conserving the endemic tarantula species </w:t>
      </w:r>
      <w:r w:rsidRPr="009002F2">
        <w:rPr>
          <w:rFonts w:ascii="Times New Roman" w:hAnsi="Times New Roman" w:cs="Times New Roman"/>
          <w:i/>
          <w:iCs/>
        </w:rPr>
        <w:t>Poecilotheria hanumavilasumica</w:t>
      </w:r>
      <w:r w:rsidRPr="009002F2">
        <w:rPr>
          <w:rFonts w:ascii="Times New Roman" w:hAnsi="Times New Roman" w:cs="Times New Roman"/>
        </w:rPr>
        <w:t>, popular articles were written and disseminated in local media and outreach platforms. Beyond direct education initiatives, these components intended to reach a wider audience.</w:t>
      </w:r>
    </w:p>
    <w:p w14:paraId="291372FD" w14:textId="77777777" w:rsidR="000452DA"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b/>
          <w:bCs/>
        </w:rPr>
        <w:t>Awareness Boards and Flex (Banners)</w:t>
      </w:r>
    </w:p>
    <w:p w14:paraId="255E0696" w14:textId="26F1E60E"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To reach a wide range of visitors and island residents, awareness boards were installed at Rameswaram Island's main roads and at popular tourist spots. Pictures of the target species, </w:t>
      </w:r>
      <w:r w:rsidRPr="009002F2">
        <w:rPr>
          <w:rFonts w:ascii="Times New Roman" w:hAnsi="Times New Roman" w:cs="Times New Roman"/>
          <w:i/>
          <w:iCs/>
        </w:rPr>
        <w:t>Poecilotheria hanumavilasumica,</w:t>
      </w:r>
      <w:r w:rsidRPr="009002F2">
        <w:rPr>
          <w:rFonts w:ascii="Times New Roman" w:hAnsi="Times New Roman" w:cs="Times New Roman"/>
        </w:rPr>
        <w:t xml:space="preserve"> were displayed on these boards along with key information regarding its ecological significance and the importance of its conservation. In order to maximise visibility during large public gatherings, large-format awareness banners (flex) were also put up throughout the island's major festival events. This strategy fostered ongoing public awareness of the species and its protection by ensuring that conservation messages reached a wider audience, including locals, pilgrims, and tourists.</w:t>
      </w:r>
    </w:p>
    <w:p w14:paraId="232F5ED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Pre - and Post-Assessment Survey</w:t>
      </w:r>
    </w:p>
    <w:p w14:paraId="6B5545D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Both before and after the awareness session, participants' knowledge and attitudes were assessed using a structured questionnaire. Both knowledge-based and attitude-based questions were included in the survey. </w:t>
      </w:r>
    </w:p>
    <w:p w14:paraId="4165927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Questions about species identification and ecological role, conservation status, threats and myths about the species, and legal protection measures were all part of the knowledge assessment. One mark was given for each right answer, and the total scores were transformed into percentage values for analysis. Likert-scale comments were used to assess participants' attitudes regarding spiders and wildlife, willingness to support conservation efforts, acceptability of coexisting with wildlife, and sense of responsibility for conserving this endemic spider. Since positive attitudes generally lead to behavioural change, attitude assessment is considered as a critical indicator of the effectiveness of conservation education (Caro et al., 1994; Mehta &amp; Heinen, 2001). Additionally, questions about participants' desire to learn more about wildlife, willingness to engage in conservation activities, and readiness to raise awareness among friends and communities were used to measure their interest in conservation. These indicators provide insight on behavioural intention, which is a crucial requirement for long-term conservation effects (Howe et al., 2012).</w:t>
      </w:r>
    </w:p>
    <w:p w14:paraId="70AFAF3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Statistical Analysis</w:t>
      </w:r>
    </w:p>
    <w:p w14:paraId="1EE2041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R statistical software was used to evaluate data from 402 participants who finished both pre- and post-assessments. A paired-samples t-test was used to assess differences between pre- and post-intervention scores, and descriptive statistics were used to summarise knowledge gain and attitudinal changes in accordance with standard methods in conservation education evaluation (Washington et al., 2015). The Shapiro-Wilk test was used to determine whether the difference scores were normal. Cohen's d was used to determine the effect size.</w:t>
      </w:r>
    </w:p>
    <w:p w14:paraId="5FC29215" w14:textId="240AEDC1"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RESULTS</w:t>
      </w:r>
    </w:p>
    <w:p w14:paraId="466B1947" w14:textId="77777777" w:rsidR="009002F2" w:rsidRPr="009002F2"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b/>
          <w:bCs/>
        </w:rPr>
        <w:t>Outreach Reach and Coverage (Direct &amp; Indirect)</w:t>
      </w:r>
    </w:p>
    <w:p w14:paraId="15B596FB"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lastRenderedPageBreak/>
        <w:t>Through structured educational programmes conducted in colleges, schools, and local communities on Rameswaram Island, the conservation awareness programme directly reached 2,871 individuals. A range of species-specific educational materials was developed as part of the outreach to enhance conservation education retention and communication. A species-specific handbook, informative pamphlets, myth-and-fact sheets, stickers, keychains, and spider masks designed for younger participants included these materials. To ensure accessibility and enhanced understanding among local audiences, all educational materials and questionnaires were created in the local Tamil language.</w:t>
      </w:r>
    </w:p>
    <w:p w14:paraId="726DDB0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To enhance student engagement, a two-day awareness workshop and quiz programme focused on tarantula conservation and the conservation of </w:t>
      </w:r>
      <w:r w:rsidRPr="009002F2">
        <w:rPr>
          <w:rFonts w:ascii="Times New Roman" w:hAnsi="Times New Roman" w:cs="Times New Roman"/>
          <w:i/>
          <w:iCs/>
        </w:rPr>
        <w:t>Poecilotheria hanumavilasumica</w:t>
      </w:r>
      <w:r w:rsidRPr="009002F2">
        <w:rPr>
          <w:rFonts w:ascii="Times New Roman" w:hAnsi="Times New Roman" w:cs="Times New Roman"/>
        </w:rPr>
        <w:t xml:space="preserve"> was conducted in addition to regular awareness sessions. In order to enhance students' understanding of species ecology, conservation issues, and long-term biodiversity protection, the workshop includes active teaching tools, group discussions, and participatory learning activities.</w:t>
      </w:r>
    </w:p>
    <w:p w14:paraId="7B7845B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To increase the popularity of conservation awareness, a variety of indirect outreach initiatives have been implemented in addition to the direct engagement efforts. These included popular science articles produced in Tamil, awareness wall paintings in public areas and schools, informational boards placed along main roads and popular tourist spots, and large conservation banners displayed during the island's major festivals. The effort's indirect reach was calculated to be roughly 1,53,000 individuals based on the anticipated visibility of outreach materials and information sharing within participant networks.</w:t>
      </w:r>
    </w:p>
    <w:p w14:paraId="5017D499" w14:textId="723E0205"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For instance, during one rescue incident reported through the Forest Department a local resident contacted the team after encountering the species and reported that he had learned about the spider from his daughter, who had learned about it from her brother following a school awareness program. Such observations indicate that conservation messages circulate across family and community networks beyond the directly involved participants during outreach initiatives. An estimated 1,55,871 people were reached by the program's total direct and indirect outreach.</w:t>
      </w:r>
    </w:p>
    <w:p w14:paraId="3D43DE4E" w14:textId="33502B9E"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 xml:space="preserve">Pre &amp; Post </w:t>
      </w:r>
      <w:r w:rsidR="00A2105A" w:rsidRPr="009002F2">
        <w:rPr>
          <w:rFonts w:ascii="Times New Roman" w:hAnsi="Times New Roman" w:cs="Times New Roman"/>
          <w:b/>
          <w:bCs/>
        </w:rPr>
        <w:t>Assessments</w:t>
      </w:r>
    </w:p>
    <w:p w14:paraId="6FB41F5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To quantitatively evaluate the effectiveness of the intervention, 402 participants completed both pre- and post-programme assessments. Following the awareness programmes, participants' knowledge significantly improved, as shown in the distribution of knowledge scores showing a clear shift towards higher values in the post-assessment compared to the pre-assessment (</w:t>
      </w:r>
      <w:r w:rsidRPr="009002F2">
        <w:rPr>
          <w:rFonts w:ascii="Times New Roman" w:hAnsi="Times New Roman" w:cs="Times New Roman"/>
          <w:i/>
          <w:iCs/>
        </w:rPr>
        <w:t>Figure 1</w:t>
      </w:r>
      <w:r w:rsidRPr="009002F2">
        <w:rPr>
          <w:rFonts w:ascii="Times New Roman" w:hAnsi="Times New Roman" w:cs="Times New Roman"/>
        </w:rPr>
        <w:t>). The mean pre-test score was 7.25 (SD = 2.02), while the mean post-test score increased to 10.64 (SD = 2.52), representing an average improvement of 3.39 points (</w:t>
      </w:r>
      <w:r w:rsidRPr="009002F2">
        <w:rPr>
          <w:rFonts w:ascii="Times New Roman" w:hAnsi="Times New Roman" w:cs="Times New Roman"/>
          <w:i/>
          <w:iCs/>
        </w:rPr>
        <w:t xml:space="preserve">Fig. 2 </w:t>
      </w:r>
      <w:r w:rsidRPr="009002F2">
        <w:rPr>
          <w:rFonts w:ascii="Times New Roman" w:hAnsi="Times New Roman" w:cs="Times New Roman"/>
        </w:rPr>
        <w:t>&amp;</w:t>
      </w:r>
      <w:r w:rsidRPr="009002F2">
        <w:rPr>
          <w:rFonts w:ascii="Times New Roman" w:hAnsi="Times New Roman" w:cs="Times New Roman"/>
          <w:i/>
          <w:iCs/>
        </w:rPr>
        <w:t xml:space="preserve"> Table 1</w:t>
      </w:r>
      <w:r w:rsidRPr="009002F2">
        <w:rPr>
          <w:rFonts w:ascii="Times New Roman" w:hAnsi="Times New Roman" w:cs="Times New Roman"/>
        </w:rPr>
        <w:t>). When expressed relative to the maximum possible score of 13, the mean score increased from 55.8% in the pre-test to 81.8% in the post-test, indicating a 26.04 percentage-point increase in knowledge.</w:t>
      </w:r>
    </w:p>
    <w:p w14:paraId="6C223D1E" w14:textId="0EA13BED"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noProof/>
          <w:lang w:eastAsia="en-IN"/>
        </w:rPr>
        <w:lastRenderedPageBreak/>
        <w:drawing>
          <wp:inline distT="0" distB="0" distL="0" distR="0" wp14:anchorId="02873975" wp14:editId="17170EAF">
            <wp:extent cx="3843867" cy="3269783"/>
            <wp:effectExtent l="0" t="0" r="4445" b="6985"/>
            <wp:docPr id="192669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9713" cy="3274756"/>
                    </a:xfrm>
                    <a:prstGeom prst="rect">
                      <a:avLst/>
                    </a:prstGeom>
                    <a:noFill/>
                    <a:ln>
                      <a:noFill/>
                    </a:ln>
                  </pic:spPr>
                </pic:pic>
              </a:graphicData>
            </a:graphic>
          </wp:inline>
        </w:drawing>
      </w:r>
    </w:p>
    <w:p w14:paraId="788F87E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i/>
          <w:iCs/>
        </w:rPr>
        <w:t>Figure 1:</w:t>
      </w:r>
      <w:r w:rsidRPr="009002F2">
        <w:rPr>
          <w:rFonts w:ascii="Times New Roman" w:hAnsi="Times New Roman" w:cs="Times New Roman"/>
        </w:rPr>
        <w:t xml:space="preserve"> </w:t>
      </w:r>
      <w:r w:rsidRPr="009002F2">
        <w:rPr>
          <w:rFonts w:ascii="Times New Roman" w:hAnsi="Times New Roman" w:cs="Times New Roman"/>
          <w:i/>
          <w:iCs/>
        </w:rPr>
        <w:t>Density distribution of pre-test (blue) and post-test (green) knowledge scores showing an increase in participants’ knowledge after the awareness programme.</w:t>
      </w:r>
    </w:p>
    <w:p w14:paraId="355CB6CE" w14:textId="5E06369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noProof/>
          <w:lang w:eastAsia="en-IN"/>
        </w:rPr>
        <w:drawing>
          <wp:inline distT="0" distB="0" distL="0" distR="0" wp14:anchorId="18B3FDA5" wp14:editId="7C22CC58">
            <wp:extent cx="4107180" cy="4625340"/>
            <wp:effectExtent l="0" t="0" r="7620" b="3810"/>
            <wp:docPr id="294682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7180" cy="4625340"/>
                    </a:xfrm>
                    <a:prstGeom prst="rect">
                      <a:avLst/>
                    </a:prstGeom>
                    <a:noFill/>
                    <a:ln>
                      <a:noFill/>
                    </a:ln>
                  </pic:spPr>
                </pic:pic>
              </a:graphicData>
            </a:graphic>
          </wp:inline>
        </w:drawing>
      </w:r>
    </w:p>
    <w:p w14:paraId="15D866AF" w14:textId="748119CA"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i/>
          <w:iCs/>
        </w:rPr>
        <w:t>Figure 2:</w:t>
      </w:r>
      <w:r w:rsidRPr="009002F2">
        <w:rPr>
          <w:rFonts w:ascii="Times New Roman" w:hAnsi="Times New Roman" w:cs="Times New Roman"/>
        </w:rPr>
        <w:t xml:space="preserve"> Mean score improvement between pre-test and post-test assessments, showing a substantial increase in participants’ knowledge following the awareness intervention.</w:t>
      </w:r>
    </w:p>
    <w:p w14:paraId="29E7FB5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A paired-samples t-test (Table 1) revealed that this improvement was statistically highly significant, </w:t>
      </w:r>
      <w:proofErr w:type="gramStart"/>
      <w:r w:rsidRPr="009002F2">
        <w:rPr>
          <w:rFonts w:ascii="Times New Roman" w:hAnsi="Times New Roman" w:cs="Times New Roman"/>
          <w:i/>
          <w:iCs/>
        </w:rPr>
        <w:t>t</w:t>
      </w:r>
      <w:r w:rsidRPr="009002F2">
        <w:rPr>
          <w:rFonts w:ascii="Times New Roman" w:hAnsi="Times New Roman" w:cs="Times New Roman"/>
        </w:rPr>
        <w:t>(</w:t>
      </w:r>
      <w:proofErr w:type="gramEnd"/>
      <w:r w:rsidRPr="009002F2">
        <w:rPr>
          <w:rFonts w:ascii="Times New Roman" w:hAnsi="Times New Roman" w:cs="Times New Roman"/>
        </w:rPr>
        <w:t xml:space="preserve">401) = 23.62, </w:t>
      </w:r>
      <w:r w:rsidRPr="009002F2">
        <w:rPr>
          <w:rFonts w:ascii="Times New Roman" w:hAnsi="Times New Roman" w:cs="Times New Roman"/>
          <w:i/>
          <w:iCs/>
        </w:rPr>
        <w:t>p</w:t>
      </w:r>
      <w:r w:rsidRPr="009002F2">
        <w:rPr>
          <w:rFonts w:ascii="Times New Roman" w:hAnsi="Times New Roman" w:cs="Times New Roman"/>
        </w:rPr>
        <w:t xml:space="preserve"> &lt; .001, with a 95% confidence interval for the mean difference ranging from 3.10 to 3.67. The effect </w:t>
      </w:r>
      <w:r w:rsidRPr="009002F2">
        <w:rPr>
          <w:rFonts w:ascii="Times New Roman" w:hAnsi="Times New Roman" w:cs="Times New Roman"/>
        </w:rPr>
        <w:lastRenderedPageBreak/>
        <w:t>size was very large (Cohen’s d = 1.48), indicating a substantial positive impact of the awareness programme on participants’ knowledge.</w:t>
      </w:r>
    </w:p>
    <w:tbl>
      <w:tblP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03"/>
        <w:gridCol w:w="709"/>
        <w:gridCol w:w="567"/>
        <w:gridCol w:w="708"/>
        <w:gridCol w:w="709"/>
        <w:gridCol w:w="851"/>
        <w:gridCol w:w="1984"/>
        <w:gridCol w:w="1701"/>
        <w:gridCol w:w="1985"/>
      </w:tblGrid>
      <w:tr w:rsidR="000452DA" w:rsidRPr="009002F2" w14:paraId="6E48AAFD" w14:textId="77777777" w:rsidTr="00D713B6">
        <w:tc>
          <w:tcPr>
            <w:tcW w:w="1403" w:type="dxa"/>
            <w:vAlign w:val="center"/>
            <w:hideMark/>
          </w:tcPr>
          <w:p w14:paraId="43A272E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Assessment</w:t>
            </w:r>
          </w:p>
        </w:tc>
        <w:tc>
          <w:tcPr>
            <w:tcW w:w="709" w:type="dxa"/>
            <w:vAlign w:val="center"/>
            <w:hideMark/>
          </w:tcPr>
          <w:p w14:paraId="4A1DEAA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M</w:t>
            </w:r>
          </w:p>
        </w:tc>
        <w:tc>
          <w:tcPr>
            <w:tcW w:w="567" w:type="dxa"/>
            <w:vAlign w:val="center"/>
            <w:hideMark/>
          </w:tcPr>
          <w:p w14:paraId="78BF8BA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SD</w:t>
            </w:r>
          </w:p>
        </w:tc>
        <w:tc>
          <w:tcPr>
            <w:tcW w:w="708" w:type="dxa"/>
            <w:vAlign w:val="center"/>
            <w:hideMark/>
          </w:tcPr>
          <w:p w14:paraId="675DDCC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t</w:t>
            </w:r>
          </w:p>
        </w:tc>
        <w:tc>
          <w:tcPr>
            <w:tcW w:w="709" w:type="dxa"/>
            <w:vAlign w:val="center"/>
            <w:hideMark/>
          </w:tcPr>
          <w:p w14:paraId="16EBF7BE" w14:textId="77777777" w:rsidR="009002F2" w:rsidRPr="009002F2" w:rsidRDefault="009002F2" w:rsidP="008D2C0A">
            <w:pPr>
              <w:spacing w:before="240" w:after="240" w:line="240" w:lineRule="auto"/>
              <w:jc w:val="both"/>
              <w:rPr>
                <w:rFonts w:ascii="Times New Roman" w:hAnsi="Times New Roman" w:cs="Times New Roman"/>
              </w:rPr>
            </w:pPr>
            <w:proofErr w:type="spellStart"/>
            <w:r w:rsidRPr="009002F2">
              <w:rPr>
                <w:rFonts w:ascii="Times New Roman" w:hAnsi="Times New Roman" w:cs="Times New Roman"/>
                <w:b/>
                <w:bCs/>
              </w:rPr>
              <w:t>df</w:t>
            </w:r>
            <w:proofErr w:type="spellEnd"/>
          </w:p>
        </w:tc>
        <w:tc>
          <w:tcPr>
            <w:tcW w:w="851" w:type="dxa"/>
            <w:vAlign w:val="center"/>
            <w:hideMark/>
          </w:tcPr>
          <w:p w14:paraId="758BFD0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p</w:t>
            </w:r>
          </w:p>
        </w:tc>
        <w:tc>
          <w:tcPr>
            <w:tcW w:w="1984" w:type="dxa"/>
            <w:vAlign w:val="center"/>
            <w:hideMark/>
          </w:tcPr>
          <w:p w14:paraId="1675E60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Mean Difference</w:t>
            </w:r>
          </w:p>
        </w:tc>
        <w:tc>
          <w:tcPr>
            <w:tcW w:w="1701" w:type="dxa"/>
            <w:vAlign w:val="center"/>
            <w:hideMark/>
          </w:tcPr>
          <w:p w14:paraId="44078712"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95% CI</w:t>
            </w:r>
          </w:p>
        </w:tc>
        <w:tc>
          <w:tcPr>
            <w:tcW w:w="1985" w:type="dxa"/>
            <w:vAlign w:val="center"/>
            <w:hideMark/>
          </w:tcPr>
          <w:p w14:paraId="6FD58B2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Cohen’s d</w:t>
            </w:r>
          </w:p>
        </w:tc>
      </w:tr>
      <w:tr w:rsidR="000452DA" w:rsidRPr="009002F2" w14:paraId="77C6AFEC" w14:textId="77777777" w:rsidTr="00D713B6">
        <w:tc>
          <w:tcPr>
            <w:tcW w:w="1403" w:type="dxa"/>
            <w:vAlign w:val="center"/>
            <w:hideMark/>
          </w:tcPr>
          <w:p w14:paraId="74D498EE"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Pre-test</w:t>
            </w:r>
          </w:p>
        </w:tc>
        <w:tc>
          <w:tcPr>
            <w:tcW w:w="709" w:type="dxa"/>
            <w:vAlign w:val="center"/>
            <w:hideMark/>
          </w:tcPr>
          <w:p w14:paraId="1AFBC764"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7.25</w:t>
            </w:r>
          </w:p>
        </w:tc>
        <w:tc>
          <w:tcPr>
            <w:tcW w:w="567" w:type="dxa"/>
            <w:vAlign w:val="center"/>
            <w:hideMark/>
          </w:tcPr>
          <w:p w14:paraId="481D1494"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2.02</w:t>
            </w:r>
          </w:p>
        </w:tc>
        <w:tc>
          <w:tcPr>
            <w:tcW w:w="708" w:type="dxa"/>
            <w:vAlign w:val="center"/>
            <w:hideMark/>
          </w:tcPr>
          <w:p w14:paraId="1EAB5606" w14:textId="77777777" w:rsidR="009002F2" w:rsidRPr="009002F2" w:rsidRDefault="009002F2" w:rsidP="008D2C0A">
            <w:pPr>
              <w:spacing w:before="240" w:after="240" w:line="240" w:lineRule="auto"/>
              <w:jc w:val="both"/>
              <w:rPr>
                <w:rFonts w:ascii="Times New Roman" w:hAnsi="Times New Roman" w:cs="Times New Roman"/>
              </w:rPr>
            </w:pPr>
          </w:p>
        </w:tc>
        <w:tc>
          <w:tcPr>
            <w:tcW w:w="709" w:type="dxa"/>
            <w:vAlign w:val="center"/>
            <w:hideMark/>
          </w:tcPr>
          <w:p w14:paraId="2E0FD901" w14:textId="77777777" w:rsidR="009002F2" w:rsidRPr="009002F2" w:rsidRDefault="009002F2" w:rsidP="008D2C0A">
            <w:pPr>
              <w:spacing w:before="240" w:after="240" w:line="240" w:lineRule="auto"/>
              <w:jc w:val="both"/>
              <w:rPr>
                <w:rFonts w:ascii="Times New Roman" w:hAnsi="Times New Roman" w:cs="Times New Roman"/>
              </w:rPr>
            </w:pPr>
          </w:p>
        </w:tc>
        <w:tc>
          <w:tcPr>
            <w:tcW w:w="851" w:type="dxa"/>
            <w:vAlign w:val="center"/>
            <w:hideMark/>
          </w:tcPr>
          <w:p w14:paraId="3104D760" w14:textId="77777777" w:rsidR="009002F2" w:rsidRPr="009002F2" w:rsidRDefault="009002F2" w:rsidP="008D2C0A">
            <w:pPr>
              <w:spacing w:before="240" w:after="240" w:line="240" w:lineRule="auto"/>
              <w:jc w:val="both"/>
              <w:rPr>
                <w:rFonts w:ascii="Times New Roman" w:hAnsi="Times New Roman" w:cs="Times New Roman"/>
              </w:rPr>
            </w:pPr>
          </w:p>
        </w:tc>
        <w:tc>
          <w:tcPr>
            <w:tcW w:w="1984" w:type="dxa"/>
            <w:vAlign w:val="center"/>
            <w:hideMark/>
          </w:tcPr>
          <w:p w14:paraId="21C759D0" w14:textId="77777777" w:rsidR="009002F2" w:rsidRPr="009002F2" w:rsidRDefault="009002F2" w:rsidP="008D2C0A">
            <w:pPr>
              <w:spacing w:before="240" w:after="240" w:line="240" w:lineRule="auto"/>
              <w:jc w:val="both"/>
              <w:rPr>
                <w:rFonts w:ascii="Times New Roman" w:hAnsi="Times New Roman" w:cs="Times New Roman"/>
              </w:rPr>
            </w:pPr>
          </w:p>
        </w:tc>
        <w:tc>
          <w:tcPr>
            <w:tcW w:w="1701" w:type="dxa"/>
            <w:vAlign w:val="center"/>
            <w:hideMark/>
          </w:tcPr>
          <w:p w14:paraId="77CD5587" w14:textId="77777777" w:rsidR="009002F2" w:rsidRPr="009002F2" w:rsidRDefault="009002F2" w:rsidP="008D2C0A">
            <w:pPr>
              <w:spacing w:before="240" w:after="240" w:line="240" w:lineRule="auto"/>
              <w:jc w:val="both"/>
              <w:rPr>
                <w:rFonts w:ascii="Times New Roman" w:hAnsi="Times New Roman" w:cs="Times New Roman"/>
              </w:rPr>
            </w:pPr>
          </w:p>
        </w:tc>
        <w:tc>
          <w:tcPr>
            <w:tcW w:w="1985" w:type="dxa"/>
            <w:vAlign w:val="center"/>
            <w:hideMark/>
          </w:tcPr>
          <w:p w14:paraId="1B571B80" w14:textId="77777777" w:rsidR="009002F2" w:rsidRPr="009002F2" w:rsidRDefault="009002F2" w:rsidP="008D2C0A">
            <w:pPr>
              <w:spacing w:before="240" w:after="240" w:line="240" w:lineRule="auto"/>
              <w:jc w:val="both"/>
              <w:rPr>
                <w:rFonts w:ascii="Times New Roman" w:hAnsi="Times New Roman" w:cs="Times New Roman"/>
              </w:rPr>
            </w:pPr>
          </w:p>
        </w:tc>
      </w:tr>
      <w:tr w:rsidR="000452DA" w:rsidRPr="009002F2" w14:paraId="363621E1" w14:textId="77777777" w:rsidTr="00D713B6">
        <w:tc>
          <w:tcPr>
            <w:tcW w:w="1403" w:type="dxa"/>
            <w:vAlign w:val="center"/>
            <w:hideMark/>
          </w:tcPr>
          <w:p w14:paraId="1C57FA4E"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Post-test</w:t>
            </w:r>
          </w:p>
        </w:tc>
        <w:tc>
          <w:tcPr>
            <w:tcW w:w="709" w:type="dxa"/>
            <w:vAlign w:val="center"/>
            <w:hideMark/>
          </w:tcPr>
          <w:p w14:paraId="762A48B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10.64</w:t>
            </w:r>
          </w:p>
        </w:tc>
        <w:tc>
          <w:tcPr>
            <w:tcW w:w="567" w:type="dxa"/>
            <w:vAlign w:val="center"/>
            <w:hideMark/>
          </w:tcPr>
          <w:p w14:paraId="4F339DA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2.52</w:t>
            </w:r>
          </w:p>
        </w:tc>
        <w:tc>
          <w:tcPr>
            <w:tcW w:w="708" w:type="dxa"/>
            <w:vAlign w:val="center"/>
            <w:hideMark/>
          </w:tcPr>
          <w:p w14:paraId="0A3399C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23.62</w:t>
            </w:r>
          </w:p>
        </w:tc>
        <w:tc>
          <w:tcPr>
            <w:tcW w:w="709" w:type="dxa"/>
            <w:vAlign w:val="center"/>
            <w:hideMark/>
          </w:tcPr>
          <w:p w14:paraId="789F7B7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401</w:t>
            </w:r>
          </w:p>
        </w:tc>
        <w:tc>
          <w:tcPr>
            <w:tcW w:w="851" w:type="dxa"/>
            <w:vAlign w:val="center"/>
            <w:hideMark/>
          </w:tcPr>
          <w:p w14:paraId="1951C248"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&lt; .001</w:t>
            </w:r>
          </w:p>
        </w:tc>
        <w:tc>
          <w:tcPr>
            <w:tcW w:w="1984" w:type="dxa"/>
            <w:vAlign w:val="center"/>
            <w:hideMark/>
          </w:tcPr>
          <w:p w14:paraId="70970378"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3.39</w:t>
            </w:r>
          </w:p>
        </w:tc>
        <w:tc>
          <w:tcPr>
            <w:tcW w:w="1701" w:type="dxa"/>
            <w:vAlign w:val="center"/>
            <w:hideMark/>
          </w:tcPr>
          <w:p w14:paraId="6C6CFF1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[3.10, 3.67]</w:t>
            </w:r>
          </w:p>
        </w:tc>
        <w:tc>
          <w:tcPr>
            <w:tcW w:w="1985" w:type="dxa"/>
            <w:vAlign w:val="center"/>
            <w:hideMark/>
          </w:tcPr>
          <w:p w14:paraId="2C82EFCC"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1.48</w:t>
            </w:r>
          </w:p>
        </w:tc>
      </w:tr>
    </w:tbl>
    <w:p w14:paraId="55BE742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i/>
          <w:iCs/>
        </w:rPr>
        <w:t>Note. Maximum possible score = 13. Mean difference = Post − Pre. Cohen’s d indicates a very large effect size.</w:t>
      </w:r>
    </w:p>
    <w:p w14:paraId="0679E318"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i/>
          <w:iCs/>
        </w:rPr>
        <w:t>Table 1</w:t>
      </w:r>
      <w:r w:rsidRPr="009002F2">
        <w:rPr>
          <w:rFonts w:ascii="Times New Roman" w:hAnsi="Times New Roman" w:cs="Times New Roman"/>
          <w:b/>
          <w:bCs/>
        </w:rPr>
        <w:t>:</w:t>
      </w:r>
      <w:r w:rsidRPr="009002F2">
        <w:rPr>
          <w:rFonts w:ascii="Times New Roman" w:hAnsi="Times New Roman" w:cs="Times New Roman"/>
        </w:rPr>
        <w:t xml:space="preserve"> A paired-samples t-test revealed that post-test scores (M = 10.64) were significantly higher than pre-test scores (M = 7.25), </w:t>
      </w:r>
      <w:proofErr w:type="gramStart"/>
      <w:r w:rsidRPr="009002F2">
        <w:rPr>
          <w:rFonts w:ascii="Times New Roman" w:hAnsi="Times New Roman" w:cs="Times New Roman"/>
        </w:rPr>
        <w:t>t(</w:t>
      </w:r>
      <w:proofErr w:type="gramEnd"/>
      <w:r w:rsidRPr="009002F2">
        <w:rPr>
          <w:rFonts w:ascii="Times New Roman" w:hAnsi="Times New Roman" w:cs="Times New Roman"/>
        </w:rPr>
        <w:t>401) = 23.62, p &lt; .001. The mean increase was 3.39 points (95% CI [3.10, 3.67]), representing a large effect (Cohen’s d = 1.48).</w:t>
      </w:r>
    </w:p>
    <w:p w14:paraId="0D09BFAD" w14:textId="6EBF05B4"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DISCUSSION</w:t>
      </w:r>
    </w:p>
    <w:p w14:paraId="4A0B0CE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programme's primary goal was to raise awareness of </w:t>
      </w:r>
      <w:r w:rsidRPr="009002F2">
        <w:rPr>
          <w:rFonts w:ascii="Times New Roman" w:hAnsi="Times New Roman" w:cs="Times New Roman"/>
          <w:i/>
          <w:iCs/>
        </w:rPr>
        <w:t>Poecilotheria hanumavilasumica</w:t>
      </w:r>
      <w:r w:rsidRPr="009002F2">
        <w:rPr>
          <w:rFonts w:ascii="Times New Roman" w:hAnsi="Times New Roman" w:cs="Times New Roman"/>
        </w:rPr>
        <w:t>, an arboreal tarantula that is critically endangered. For species facing fear-based persecution and negative public attitudes, a greater awareness of the ecology, threats, and significance of conservation is especially important. It has been demonstrated that conservation education programmes influence people's perceptions of wildlife and promote conservation-focused behaviour in both communities and students (Ardoin et al., 2020).</w:t>
      </w:r>
    </w:p>
    <w:p w14:paraId="24FB484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The present study used a pre-experimental same group pre-test–post-test design to assess how effectively these awareness programmes improved participants' knowledge. The outcomes show that knowledge levels significantly improved after the educational intervention, proving the importance of structured awareness campaigns in raising awareness of the focal species conservation.</w:t>
      </w:r>
    </w:p>
    <w:p w14:paraId="5710620C"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Only a small percentage of participants exhibited no change (5.47%) in scores, and a significant amount (85.57%) showed improved scores in the post-assessment. These results indicate that participants' knowledge was significantly improved by the awareness education session. Numerous conservation education studies have demonstrated similar increases in environmental knowledge after educational interventions (Howe et al., 2012; Washington et al., 2015).</w:t>
      </w:r>
    </w:p>
    <w:p w14:paraId="2A8E3E2D"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The use of interactive communication techniques like discussions, visual presentations, and species-specific educational materials may be responsible for the observed increase in post-test results. The use of structured education materials (booklets, pamphlets, myth-fact sheets, and visuals) and participatory learning methods has been recommended as an effective strategy for improving conservation awareness and community involvement and can greatly improve participants' environmental literacy and knowledge retention (Daniel &amp; Marimuthu, 2012; Daniel, 2012 &amp; 2014; Jacobson et al., 2015). All educational materials and surveys in the present study were developed in the regional Tamil language, which improved comprehension and was accessible to a larger audience.</w:t>
      </w:r>
    </w:p>
    <w:p w14:paraId="2DF419B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By promoting active student participation, participatory events including awareness sessions, workshops, and quizzes further enhanced the educational and outreach effectiveness. According to Monroe et al. (2008), interactive learning techniques have been shown to increase knowledge retention and promote sustained interest in biodiversity conservation.</w:t>
      </w:r>
    </w:p>
    <w:p w14:paraId="088A70D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findings reveal the importance of indirect outreach strategies for spreading conservation awareness to people who aren't directly involved. Although 2,871 people were reached through direct participation, the total outreach increased significantly when indirect strategies were taken into account, with an estimated reach of </w:t>
      </w:r>
      <w:r w:rsidRPr="009002F2">
        <w:rPr>
          <w:rFonts w:ascii="Times New Roman" w:hAnsi="Times New Roman" w:cs="Times New Roman"/>
        </w:rPr>
        <w:lastRenderedPageBreak/>
        <w:t xml:space="preserve">approximately 1,55,871 people. This shows how important passive communication techniques are in broadening the influence of conservation beyond regular classrooms. These methods are generally acknowledged to be successful in raising public awareness of conservation issues and enhancing awareness about endangered species (Meadows, 2011). Furthermore, evidence from community interactions, including a documented rescue incident reported by a local resident, provides practical support for knowledge diffusion through social and familial networks. In the present case, information on the species was shared within the family after a school awareness program, demonstrating how conservation knowledge can naturally spread within communities. In areas like Rameswaram Island, where social interaction plays an important role in shaping perspectives, this kind of informal knowledge transfer is especially important. These results reveal that the long-term impact of conservation interventions can be significantly increased by combining direct teaching with indirect and community-mediated pathways, especially for lesser-known endemic species like </w:t>
      </w:r>
      <w:r w:rsidRPr="009002F2">
        <w:rPr>
          <w:rFonts w:ascii="Times New Roman" w:hAnsi="Times New Roman" w:cs="Times New Roman"/>
          <w:i/>
          <w:iCs/>
        </w:rPr>
        <w:t>Poecilotheria hanumavilasumica</w:t>
      </w:r>
      <w:r w:rsidRPr="009002F2">
        <w:rPr>
          <w:rFonts w:ascii="Times New Roman" w:hAnsi="Times New Roman" w:cs="Times New Roman"/>
        </w:rPr>
        <w:t>.</w:t>
      </w:r>
    </w:p>
    <w:p w14:paraId="4218DF1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Overall, the study's findings show that structured awareness programmes can greatly enhance people's understanding of and perceptions of endangered species when they are supported by regionally specific educational resources and a variety of outreach strategies. Increasing public knowledge through these kinds of educational efforts can be crucial for fostering sustained support for Rameshwaram Ornamental Spider conservation.</w:t>
      </w:r>
    </w:p>
    <w:p w14:paraId="4F34865F" w14:textId="1A963A36"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CONCLUSION</w:t>
      </w:r>
    </w:p>
    <w:p w14:paraId="2D13C9B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present study shows that structured awareness programmes can play an important role in improving people’s understanding about conservation issues. The comparison between pre-test and post-test results clearly indicates that participants gained better knowledge after attending the awareness sessions. Most of the participants showed improvement in their scores, suggesting that the programme was effective in communicating basic concepts related to protection and conservation of the target species. The use of interactive presentations, discussions and species-specific educational materials helped participants understand the ecological importance of </w:t>
      </w:r>
      <w:r w:rsidRPr="009002F2">
        <w:rPr>
          <w:rFonts w:ascii="Times New Roman" w:hAnsi="Times New Roman" w:cs="Times New Roman"/>
          <w:i/>
          <w:iCs/>
        </w:rPr>
        <w:t>Poecilotheria hanumavilasumica</w:t>
      </w:r>
      <w:r w:rsidRPr="009002F2">
        <w:rPr>
          <w:rFonts w:ascii="Times New Roman" w:hAnsi="Times New Roman" w:cs="Times New Roman"/>
        </w:rPr>
        <w:t>. Preparing the educational materials and questionnaires in the local Tamil language also made the information easier to understand for the participants and increased their interest in the programme.</w:t>
      </w:r>
    </w:p>
    <w:p w14:paraId="6B2F790E"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Apart from the direct awareness sessions, several indirect outreach activities such as wall paintings, awareness boards at public places, popular science articles and conservation banners displayed during festival gatherings also helped spread the conservation message to a wider audience, including local residents and tourists. These activities increased the visibility of the species and highlighted the importance of public participation in spider conservation. Overall, the study indicates that combining educational programmes with community-based outreach and locally appropriate communication methods can be an effective approach for promoting conservation awareness and developing positive attitudes towards threatened species. Conducting similar programmes regularly in schools and communities may further help strengthen long-term conservation efforts.</w:t>
      </w:r>
    </w:p>
    <w:p w14:paraId="1743F1AB" w14:textId="17E7437C" w:rsidR="009002F2" w:rsidRPr="009002F2" w:rsidRDefault="00A2105A" w:rsidP="008D2C0A">
      <w:pPr>
        <w:spacing w:before="240" w:after="240" w:line="240" w:lineRule="auto"/>
        <w:jc w:val="both"/>
        <w:rPr>
          <w:rFonts w:ascii="Times New Roman" w:hAnsi="Times New Roman" w:cs="Times New Roman"/>
          <w:sz w:val="28"/>
          <w:szCs w:val="28"/>
        </w:rPr>
      </w:pPr>
      <w:r w:rsidRPr="00A2105A">
        <w:rPr>
          <w:rFonts w:ascii="Times New Roman" w:hAnsi="Times New Roman" w:cs="Times New Roman"/>
          <w:b/>
          <w:bCs/>
          <w:sz w:val="28"/>
          <w:szCs w:val="28"/>
        </w:rPr>
        <w:t>REFERENCES</w:t>
      </w:r>
    </w:p>
    <w:p w14:paraId="466D293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proofErr w:type="spellStart"/>
      <w:r w:rsidRPr="000452DA">
        <w:rPr>
          <w:rFonts w:ascii="Times New Roman" w:hAnsi="Times New Roman" w:cs="Times New Roman"/>
          <w:b/>
          <w:bCs/>
        </w:rPr>
        <w:t>Aipanjiguly</w:t>
      </w:r>
      <w:proofErr w:type="spellEnd"/>
      <w:r w:rsidRPr="000452DA">
        <w:rPr>
          <w:rFonts w:ascii="Times New Roman" w:hAnsi="Times New Roman" w:cs="Times New Roman"/>
          <w:b/>
          <w:bCs/>
        </w:rPr>
        <w:t>, S., Jacobson, S. K., &amp; Flamm, R. O. (2002).</w:t>
      </w:r>
      <w:r w:rsidRPr="000452DA">
        <w:rPr>
          <w:rFonts w:ascii="Times New Roman" w:hAnsi="Times New Roman" w:cs="Times New Roman"/>
        </w:rPr>
        <w:t xml:space="preserve"> Conserving manatees: Knowledge, attitudes, and intentions of boaters in Tampa Bay, Florida. </w:t>
      </w:r>
      <w:r w:rsidRPr="000452DA">
        <w:rPr>
          <w:rFonts w:ascii="Times New Roman" w:hAnsi="Times New Roman" w:cs="Times New Roman"/>
          <w:i/>
          <w:iCs/>
        </w:rPr>
        <w:t>Conservation Biology</w:t>
      </w:r>
      <w:r w:rsidRPr="000452DA">
        <w:rPr>
          <w:rFonts w:ascii="Times New Roman" w:hAnsi="Times New Roman" w:cs="Times New Roman"/>
        </w:rPr>
        <w:t>, 16(5), 1265–1274.</w:t>
      </w:r>
      <w:hyperlink r:id="rId8" w:history="1">
        <w:r w:rsidRPr="000452DA">
          <w:rPr>
            <w:rStyle w:val="Hyperlink"/>
            <w:rFonts w:ascii="Times New Roman" w:hAnsi="Times New Roman" w:cs="Times New Roman"/>
          </w:rPr>
          <w:t xml:space="preserve"> https://doi.org/10.1046/j.1523-1739.2002.01008.x</w:t>
        </w:r>
      </w:hyperlink>
    </w:p>
    <w:p w14:paraId="64D34D5E"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Ardoin, N. M., Bowers, A. W., &amp; Gaillard, E. (2020). </w:t>
      </w:r>
      <w:r w:rsidRPr="000452DA">
        <w:rPr>
          <w:rFonts w:ascii="Times New Roman" w:hAnsi="Times New Roman" w:cs="Times New Roman"/>
        </w:rPr>
        <w:t xml:space="preserve">Environmental education outcomes for conservation: A systematic review. Biological Conservation, 241, 108224. </w:t>
      </w:r>
      <w:hyperlink r:id="rId9" w:history="1">
        <w:r w:rsidRPr="000452DA">
          <w:rPr>
            <w:rStyle w:val="Hyperlink"/>
            <w:rFonts w:ascii="Times New Roman" w:hAnsi="Times New Roman" w:cs="Times New Roman"/>
          </w:rPr>
          <w:t>https://doi.org/10.1016/j.biocon.2019.108224</w:t>
        </w:r>
      </w:hyperlink>
      <w:r w:rsidRPr="000452DA">
        <w:rPr>
          <w:rFonts w:ascii="Times New Roman" w:hAnsi="Times New Roman" w:cs="Times New Roman"/>
        </w:rPr>
        <w:t> </w:t>
      </w:r>
    </w:p>
    <w:p w14:paraId="194BEAF0"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Bandura, A. (1977).</w:t>
      </w:r>
      <w:r w:rsidRPr="000452DA">
        <w:rPr>
          <w:rFonts w:ascii="Times New Roman" w:hAnsi="Times New Roman" w:cs="Times New Roman"/>
        </w:rPr>
        <w:t xml:space="preserve"> Social Learning Theory. Englewood Cliffs, NJ: Prentice-Hall.</w:t>
      </w:r>
    </w:p>
    <w:p w14:paraId="1080C03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Caro, T. M., Pelkey, N., </w:t>
      </w:r>
      <w:proofErr w:type="spellStart"/>
      <w:r w:rsidRPr="000452DA">
        <w:rPr>
          <w:rFonts w:ascii="Times New Roman" w:hAnsi="Times New Roman" w:cs="Times New Roman"/>
          <w:b/>
          <w:bCs/>
        </w:rPr>
        <w:t>Grigione</w:t>
      </w:r>
      <w:proofErr w:type="spellEnd"/>
      <w:r w:rsidRPr="000452DA">
        <w:rPr>
          <w:rFonts w:ascii="Times New Roman" w:hAnsi="Times New Roman" w:cs="Times New Roman"/>
          <w:b/>
          <w:bCs/>
        </w:rPr>
        <w:t>, M., Irons, K., Campbell, K., Kelt, D., Burnett, J., Parsons, M., &amp; Shih, K. (1994).</w:t>
      </w:r>
      <w:r w:rsidRPr="000452DA">
        <w:rPr>
          <w:rFonts w:ascii="Times New Roman" w:hAnsi="Times New Roman" w:cs="Times New Roman"/>
        </w:rPr>
        <w:t xml:space="preserve"> Effects of conservation biology education on attitudes toward nature. </w:t>
      </w:r>
      <w:r w:rsidRPr="000452DA">
        <w:rPr>
          <w:rFonts w:ascii="Times New Roman" w:hAnsi="Times New Roman" w:cs="Times New Roman"/>
          <w:i/>
          <w:iCs/>
        </w:rPr>
        <w:t>Conservation Biology</w:t>
      </w:r>
      <w:r w:rsidRPr="000452DA">
        <w:rPr>
          <w:rFonts w:ascii="Times New Roman" w:hAnsi="Times New Roman" w:cs="Times New Roman"/>
        </w:rPr>
        <w:t>, 8(3), 846–852.</w:t>
      </w:r>
      <w:hyperlink r:id="rId10" w:history="1">
        <w:r w:rsidRPr="000452DA">
          <w:rPr>
            <w:rStyle w:val="Hyperlink"/>
            <w:rFonts w:ascii="Times New Roman" w:hAnsi="Times New Roman" w:cs="Times New Roman"/>
          </w:rPr>
          <w:t xml:space="preserve"> https://doi.org/10.1046/j.1523-1739.1994.08030846.x</w:t>
        </w:r>
      </w:hyperlink>
    </w:p>
    <w:p w14:paraId="365B05AD"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Daniel, B. A. (2012). </w:t>
      </w:r>
      <w:r w:rsidRPr="000452DA">
        <w:rPr>
          <w:rFonts w:ascii="Times New Roman" w:hAnsi="Times New Roman" w:cs="Times New Roman"/>
        </w:rPr>
        <w:t xml:space="preserve">Measurable impacts of </w:t>
      </w:r>
      <w:proofErr w:type="spellStart"/>
      <w:r w:rsidRPr="000452DA">
        <w:rPr>
          <w:rFonts w:ascii="Times New Roman" w:hAnsi="Times New Roman" w:cs="Times New Roman"/>
        </w:rPr>
        <w:t>HECx</w:t>
      </w:r>
      <w:proofErr w:type="spellEnd"/>
      <w:r w:rsidRPr="000452DA">
        <w:rPr>
          <w:rFonts w:ascii="Times New Roman" w:hAnsi="Times New Roman" w:cs="Times New Roman"/>
        </w:rPr>
        <w:t xml:space="preserve"> education programmes in HEC areas of Kanchanaburi, Thailand. </w:t>
      </w:r>
      <w:r w:rsidRPr="000452DA">
        <w:rPr>
          <w:rFonts w:ascii="Times New Roman" w:hAnsi="Times New Roman" w:cs="Times New Roman"/>
          <w:i/>
          <w:iCs/>
        </w:rPr>
        <w:t>Zoo’s Print</w:t>
      </w:r>
      <w:r w:rsidRPr="000452DA">
        <w:rPr>
          <w:rFonts w:ascii="Times New Roman" w:hAnsi="Times New Roman" w:cs="Times New Roman"/>
        </w:rPr>
        <w:t>, 27(3), 16–18.</w:t>
      </w:r>
    </w:p>
    <w:p w14:paraId="5CF595D0"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lastRenderedPageBreak/>
        <w:t>Daniel, B. A., &amp; Marimuthu, R. (2012).</w:t>
      </w:r>
      <w:r w:rsidRPr="000452DA">
        <w:rPr>
          <w:rFonts w:ascii="Times New Roman" w:hAnsi="Times New Roman" w:cs="Times New Roman"/>
        </w:rPr>
        <w:t xml:space="preserve"> Human Elephant Coexistence teaching and educator skills training workshop: Nilgiri report. </w:t>
      </w:r>
      <w:r w:rsidRPr="000452DA">
        <w:rPr>
          <w:rFonts w:ascii="Times New Roman" w:hAnsi="Times New Roman" w:cs="Times New Roman"/>
          <w:i/>
          <w:iCs/>
        </w:rPr>
        <w:t>Zoo’s Print</w:t>
      </w:r>
      <w:r w:rsidRPr="000452DA">
        <w:rPr>
          <w:rFonts w:ascii="Times New Roman" w:hAnsi="Times New Roman" w:cs="Times New Roman"/>
        </w:rPr>
        <w:t>, 27(10), 14–15.</w:t>
      </w:r>
    </w:p>
    <w:p w14:paraId="54812FD7"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Daniel, B.A. (2014).</w:t>
      </w:r>
      <w:r w:rsidRPr="000452DA">
        <w:rPr>
          <w:rFonts w:ascii="Times New Roman" w:hAnsi="Times New Roman" w:cs="Times New Roman"/>
        </w:rPr>
        <w:t xml:space="preserve"> Involving community, stakeholders and journalists for the conservation of</w:t>
      </w:r>
      <w:proofErr w:type="gramStart"/>
      <w:r w:rsidRPr="000452DA">
        <w:rPr>
          <w:rFonts w:ascii="Times New Roman" w:hAnsi="Times New Roman" w:cs="Times New Roman"/>
        </w:rPr>
        <w:t>  Freshwater</w:t>
      </w:r>
      <w:proofErr w:type="gramEnd"/>
      <w:r w:rsidRPr="000452DA">
        <w:rPr>
          <w:rFonts w:ascii="Times New Roman" w:hAnsi="Times New Roman" w:cs="Times New Roman"/>
        </w:rPr>
        <w:t xml:space="preserve"> Biodiversity of Western Ghats. Zoo’s Print: 29(2), 11-16.  (https://zoosprint.org/ind </w:t>
      </w:r>
      <w:proofErr w:type="spellStart"/>
      <w:r w:rsidRPr="000452DA">
        <w:rPr>
          <w:rFonts w:ascii="Times New Roman" w:hAnsi="Times New Roman" w:cs="Times New Roman"/>
        </w:rPr>
        <w:t>ex.php</w:t>
      </w:r>
      <w:proofErr w:type="spellEnd"/>
      <w:r w:rsidRPr="000452DA">
        <w:rPr>
          <w:rFonts w:ascii="Times New Roman" w:hAnsi="Times New Roman" w:cs="Times New Roman"/>
        </w:rPr>
        <w:t>/</w:t>
      </w:r>
      <w:proofErr w:type="spellStart"/>
      <w:r w:rsidRPr="000452DA">
        <w:rPr>
          <w:rFonts w:ascii="Times New Roman" w:hAnsi="Times New Roman" w:cs="Times New Roman"/>
        </w:rPr>
        <w:t>zp</w:t>
      </w:r>
      <w:proofErr w:type="spellEnd"/>
      <w:r w:rsidRPr="000452DA">
        <w:rPr>
          <w:rFonts w:ascii="Times New Roman" w:hAnsi="Times New Roman" w:cs="Times New Roman"/>
        </w:rPr>
        <w:t>/article/view/858)</w:t>
      </w:r>
    </w:p>
    <w:p w14:paraId="7B153ECB"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Howe, C., Obgenova, O., &amp; Milner-Gulland, E. J. (2012).</w:t>
      </w:r>
      <w:r w:rsidRPr="000452DA">
        <w:rPr>
          <w:rFonts w:ascii="Times New Roman" w:hAnsi="Times New Roman" w:cs="Times New Roman"/>
        </w:rPr>
        <w:t xml:space="preserve"> </w:t>
      </w:r>
      <w:r w:rsidRPr="000452DA">
        <w:rPr>
          <w:rFonts w:ascii="Times New Roman" w:hAnsi="Times New Roman" w:cs="Times New Roman"/>
          <w:i/>
          <w:iCs/>
        </w:rPr>
        <w:t xml:space="preserve">Evaluating the effectiveness of a public awareness campaign as a conservation intervention. </w:t>
      </w:r>
      <w:r w:rsidRPr="000452DA">
        <w:rPr>
          <w:rFonts w:ascii="Times New Roman" w:hAnsi="Times New Roman" w:cs="Times New Roman"/>
        </w:rPr>
        <w:t>Oryx, 46(2), 269–277.</w:t>
      </w:r>
      <w:hyperlink r:id="rId11" w:history="1">
        <w:r w:rsidRPr="000452DA">
          <w:rPr>
            <w:rStyle w:val="Hyperlink"/>
            <w:rFonts w:ascii="Times New Roman" w:hAnsi="Times New Roman" w:cs="Times New Roman"/>
          </w:rPr>
          <w:t xml:space="preserve"> https://doi.org/10.1017/S0030605311000030</w:t>
        </w:r>
      </w:hyperlink>
      <w:r w:rsidRPr="000452DA">
        <w:rPr>
          <w:rFonts w:ascii="Times New Roman" w:hAnsi="Times New Roman" w:cs="Times New Roman"/>
        </w:rPr>
        <w:t> </w:t>
      </w:r>
    </w:p>
    <w:p w14:paraId="7916DCF7"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Jacobson, S. K., McDuff, M. D., &amp; Monroe, M. C. (2015).</w:t>
      </w:r>
      <w:r w:rsidRPr="000452DA">
        <w:rPr>
          <w:rFonts w:ascii="Times New Roman" w:hAnsi="Times New Roman" w:cs="Times New Roman"/>
        </w:rPr>
        <w:t xml:space="preserve"> Conservation education and outreach techniques (2nd ed.). Oxford University Press. </w:t>
      </w:r>
      <w:hyperlink r:id="rId12" w:history="1">
        <w:r w:rsidRPr="000452DA">
          <w:rPr>
            <w:rStyle w:val="Hyperlink"/>
            <w:rFonts w:ascii="Times New Roman" w:hAnsi="Times New Roman" w:cs="Times New Roman"/>
          </w:rPr>
          <w:t>https://doi.org/10.1093/acprof:oso/9780198716686.001.0001</w:t>
        </w:r>
      </w:hyperlink>
      <w:r w:rsidRPr="000452DA">
        <w:rPr>
          <w:rFonts w:ascii="Times New Roman" w:hAnsi="Times New Roman" w:cs="Times New Roman"/>
        </w:rPr>
        <w:t> </w:t>
      </w:r>
    </w:p>
    <w:p w14:paraId="7D27ED3B"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Meadows, D. H. (2011). </w:t>
      </w:r>
      <w:r w:rsidRPr="000452DA">
        <w:rPr>
          <w:rFonts w:ascii="Times New Roman" w:hAnsi="Times New Roman" w:cs="Times New Roman"/>
          <w:i/>
          <w:iCs/>
        </w:rPr>
        <w:t>Thinking in systems: A primer</w:t>
      </w:r>
      <w:r w:rsidRPr="000452DA">
        <w:rPr>
          <w:rFonts w:ascii="Times New Roman" w:hAnsi="Times New Roman" w:cs="Times New Roman"/>
        </w:rPr>
        <w:t>. Chelsea Green Publishing, Vermont, USA.</w:t>
      </w:r>
    </w:p>
    <w:p w14:paraId="7FC4FA3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Mehta, J. N., &amp; Heinen, J. T. (2001). </w:t>
      </w:r>
      <w:r w:rsidRPr="000452DA">
        <w:rPr>
          <w:rFonts w:ascii="Times New Roman" w:hAnsi="Times New Roman" w:cs="Times New Roman"/>
        </w:rPr>
        <w:t xml:space="preserve">Does community-based conservation shape favourable attitudes among locals? </w:t>
      </w:r>
      <w:r w:rsidRPr="000452DA">
        <w:rPr>
          <w:rFonts w:ascii="Times New Roman" w:hAnsi="Times New Roman" w:cs="Times New Roman"/>
          <w:i/>
          <w:iCs/>
        </w:rPr>
        <w:t>Environmental Management</w:t>
      </w:r>
      <w:r w:rsidRPr="000452DA">
        <w:rPr>
          <w:rFonts w:ascii="Times New Roman" w:hAnsi="Times New Roman" w:cs="Times New Roman"/>
        </w:rPr>
        <w:t>, 28(2), 165–177.</w:t>
      </w:r>
      <w:hyperlink r:id="rId13" w:history="1">
        <w:r w:rsidRPr="000452DA">
          <w:rPr>
            <w:rStyle w:val="Hyperlink"/>
            <w:rFonts w:ascii="Times New Roman" w:hAnsi="Times New Roman" w:cs="Times New Roman"/>
          </w:rPr>
          <w:t xml:space="preserve"> https://doi.org/10.1007/s002670010215</w:t>
        </w:r>
      </w:hyperlink>
    </w:p>
    <w:p w14:paraId="42C05E68"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Monroe, M. C., Andrews, E., &amp; </w:t>
      </w:r>
      <w:proofErr w:type="spellStart"/>
      <w:r w:rsidRPr="000452DA">
        <w:rPr>
          <w:rFonts w:ascii="Times New Roman" w:hAnsi="Times New Roman" w:cs="Times New Roman"/>
          <w:b/>
          <w:bCs/>
        </w:rPr>
        <w:t>Biedenweg</w:t>
      </w:r>
      <w:proofErr w:type="spellEnd"/>
      <w:r w:rsidRPr="000452DA">
        <w:rPr>
          <w:rFonts w:ascii="Times New Roman" w:hAnsi="Times New Roman" w:cs="Times New Roman"/>
          <w:b/>
          <w:bCs/>
        </w:rPr>
        <w:t>, K. (2008).</w:t>
      </w:r>
      <w:r w:rsidRPr="000452DA">
        <w:rPr>
          <w:rFonts w:ascii="Times New Roman" w:hAnsi="Times New Roman" w:cs="Times New Roman"/>
        </w:rPr>
        <w:t xml:space="preserve"> </w:t>
      </w:r>
      <w:r w:rsidRPr="000452DA">
        <w:rPr>
          <w:rFonts w:ascii="Times New Roman" w:hAnsi="Times New Roman" w:cs="Times New Roman"/>
          <w:i/>
          <w:iCs/>
        </w:rPr>
        <w:t>A framework for environmental education strategies.</w:t>
      </w:r>
      <w:r w:rsidRPr="000452DA">
        <w:rPr>
          <w:rFonts w:ascii="Times New Roman" w:hAnsi="Times New Roman" w:cs="Times New Roman"/>
        </w:rPr>
        <w:t xml:space="preserve"> Applied Environmental Education &amp; Communication, 7(1), 17–28. </w:t>
      </w:r>
      <w:hyperlink r:id="rId14" w:history="1">
        <w:r w:rsidRPr="000452DA">
          <w:rPr>
            <w:rStyle w:val="Hyperlink"/>
            <w:rFonts w:ascii="Times New Roman" w:hAnsi="Times New Roman" w:cs="Times New Roman"/>
          </w:rPr>
          <w:t>https://doi.org/10.1080/15330150802058542</w:t>
        </w:r>
      </w:hyperlink>
      <w:r w:rsidRPr="000452DA">
        <w:rPr>
          <w:rFonts w:ascii="Times New Roman" w:hAnsi="Times New Roman" w:cs="Times New Roman"/>
        </w:rPr>
        <w:t> </w:t>
      </w:r>
    </w:p>
    <w:p w14:paraId="68F2A5CD"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Nanayakkara, R. P., </w:t>
      </w:r>
      <w:proofErr w:type="spellStart"/>
      <w:r w:rsidRPr="000452DA">
        <w:rPr>
          <w:rFonts w:ascii="Times New Roman" w:hAnsi="Times New Roman" w:cs="Times New Roman"/>
          <w:b/>
          <w:bCs/>
        </w:rPr>
        <w:t>Ganehiarachchi</w:t>
      </w:r>
      <w:proofErr w:type="spellEnd"/>
      <w:r w:rsidRPr="000452DA">
        <w:rPr>
          <w:rFonts w:ascii="Times New Roman" w:hAnsi="Times New Roman" w:cs="Times New Roman"/>
          <w:b/>
          <w:bCs/>
        </w:rPr>
        <w:t xml:space="preserve">, G. A. S. M., Vishvanath, N., &amp; </w:t>
      </w:r>
      <w:proofErr w:type="spellStart"/>
      <w:r w:rsidRPr="000452DA">
        <w:rPr>
          <w:rFonts w:ascii="Times New Roman" w:hAnsi="Times New Roman" w:cs="Times New Roman"/>
          <w:b/>
          <w:bCs/>
        </w:rPr>
        <w:t>Kusuminda</w:t>
      </w:r>
      <w:proofErr w:type="spellEnd"/>
      <w:r w:rsidRPr="000452DA">
        <w:rPr>
          <w:rFonts w:ascii="Times New Roman" w:hAnsi="Times New Roman" w:cs="Times New Roman"/>
          <w:b/>
          <w:bCs/>
        </w:rPr>
        <w:t xml:space="preserve">, T. G. T. (2015). </w:t>
      </w:r>
      <w:r w:rsidRPr="000452DA">
        <w:rPr>
          <w:rFonts w:ascii="Times New Roman" w:hAnsi="Times New Roman" w:cs="Times New Roman"/>
        </w:rPr>
        <w:t xml:space="preserve">Discovery of the critically endangered tarantula species of the genus </w:t>
      </w:r>
      <w:r w:rsidRPr="000452DA">
        <w:rPr>
          <w:rFonts w:ascii="Times New Roman" w:hAnsi="Times New Roman" w:cs="Times New Roman"/>
          <w:i/>
          <w:iCs/>
        </w:rPr>
        <w:t>Poecilotheria</w:t>
      </w:r>
      <w:r w:rsidRPr="000452DA">
        <w:rPr>
          <w:rFonts w:ascii="Times New Roman" w:hAnsi="Times New Roman" w:cs="Times New Roman"/>
        </w:rPr>
        <w:t xml:space="preserve"> (Araneae: Theraphosidae), </w:t>
      </w:r>
      <w:r w:rsidRPr="000452DA">
        <w:rPr>
          <w:rFonts w:ascii="Times New Roman" w:hAnsi="Times New Roman" w:cs="Times New Roman"/>
          <w:i/>
          <w:iCs/>
        </w:rPr>
        <w:t>Poecilotheria hanumavilasumica</w:t>
      </w:r>
      <w:r w:rsidRPr="000452DA">
        <w:rPr>
          <w:rFonts w:ascii="Times New Roman" w:hAnsi="Times New Roman" w:cs="Times New Roman"/>
        </w:rPr>
        <w:t xml:space="preserve">, from Sri Lanka. </w:t>
      </w:r>
      <w:r w:rsidRPr="000452DA">
        <w:rPr>
          <w:rFonts w:ascii="Times New Roman" w:hAnsi="Times New Roman" w:cs="Times New Roman"/>
          <w:i/>
          <w:iCs/>
        </w:rPr>
        <w:t>Journal of Asia-Pacific Biodiversity</w:t>
      </w:r>
      <w:r w:rsidRPr="000452DA">
        <w:rPr>
          <w:rFonts w:ascii="Times New Roman" w:hAnsi="Times New Roman" w:cs="Times New Roman"/>
        </w:rPr>
        <w:t xml:space="preserve">, </w:t>
      </w:r>
      <w:r w:rsidRPr="000452DA">
        <w:rPr>
          <w:rFonts w:ascii="Times New Roman" w:hAnsi="Times New Roman" w:cs="Times New Roman"/>
          <w:i/>
          <w:iCs/>
        </w:rPr>
        <w:t>8</w:t>
      </w:r>
      <w:r w:rsidRPr="000452DA">
        <w:rPr>
          <w:rFonts w:ascii="Times New Roman" w:hAnsi="Times New Roman" w:cs="Times New Roman"/>
        </w:rPr>
        <w:t>(1), 1-6.</w:t>
      </w:r>
      <w:hyperlink r:id="rId15" w:history="1">
        <w:r w:rsidRPr="000452DA">
          <w:rPr>
            <w:rStyle w:val="Hyperlink"/>
            <w:rFonts w:ascii="Times New Roman" w:hAnsi="Times New Roman" w:cs="Times New Roman"/>
          </w:rPr>
          <w:t xml:space="preserve"> https://doi.org/10.1016/j.japb.2015.01.002</w:t>
        </w:r>
      </w:hyperlink>
      <w:r w:rsidRPr="000452DA">
        <w:rPr>
          <w:rFonts w:ascii="Times New Roman" w:hAnsi="Times New Roman" w:cs="Times New Roman"/>
        </w:rPr>
        <w:t> </w:t>
      </w:r>
    </w:p>
    <w:p w14:paraId="3FCFAA80"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Rogers, E. M. (2003). </w:t>
      </w:r>
      <w:r w:rsidRPr="000452DA">
        <w:rPr>
          <w:rFonts w:ascii="Times New Roman" w:hAnsi="Times New Roman" w:cs="Times New Roman"/>
        </w:rPr>
        <w:t>Diffusion of Innovations (5th ed.). New York: Free Press.</w:t>
      </w:r>
    </w:p>
    <w:p w14:paraId="1CCCC21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Siliwal, M., </w:t>
      </w:r>
      <w:proofErr w:type="spellStart"/>
      <w:r w:rsidRPr="000452DA">
        <w:rPr>
          <w:rFonts w:ascii="Times New Roman" w:hAnsi="Times New Roman" w:cs="Times New Roman"/>
          <w:b/>
          <w:bCs/>
        </w:rPr>
        <w:t>Molur</w:t>
      </w:r>
      <w:proofErr w:type="spellEnd"/>
      <w:r w:rsidRPr="000452DA">
        <w:rPr>
          <w:rFonts w:ascii="Times New Roman" w:hAnsi="Times New Roman" w:cs="Times New Roman"/>
          <w:b/>
          <w:bCs/>
        </w:rPr>
        <w:t>, S., &amp; Daniel, B. A. (2008).</w:t>
      </w:r>
      <w:r w:rsidRPr="000452DA">
        <w:rPr>
          <w:rFonts w:ascii="Times New Roman" w:hAnsi="Times New Roman" w:cs="Times New Roman"/>
        </w:rPr>
        <w:t xml:space="preserve"> </w:t>
      </w:r>
      <w:r w:rsidRPr="000452DA">
        <w:rPr>
          <w:rFonts w:ascii="Times New Roman" w:hAnsi="Times New Roman" w:cs="Times New Roman"/>
          <w:i/>
          <w:iCs/>
        </w:rPr>
        <w:t>Poecilotheria hanumavilasumica</w:t>
      </w:r>
      <w:r w:rsidRPr="000452DA">
        <w:rPr>
          <w:rFonts w:ascii="Times New Roman" w:hAnsi="Times New Roman" w:cs="Times New Roman"/>
        </w:rPr>
        <w:t>. In IUCN Red List of Threatened Species. IUCN, Gland, Switzerland.</w:t>
      </w:r>
      <w:hyperlink r:id="rId16" w:history="1">
        <w:r w:rsidRPr="000452DA">
          <w:rPr>
            <w:rStyle w:val="Hyperlink"/>
            <w:rFonts w:ascii="Times New Roman" w:hAnsi="Times New Roman" w:cs="Times New Roman"/>
          </w:rPr>
          <w:t xml:space="preserve"> https://www.iucnredlist.org</w:t>
        </w:r>
      </w:hyperlink>
    </w:p>
    <w:p w14:paraId="763F0B80"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Smith, A (2004). </w:t>
      </w:r>
      <w:r w:rsidRPr="000452DA">
        <w:rPr>
          <w:rFonts w:ascii="Times New Roman" w:hAnsi="Times New Roman" w:cs="Times New Roman"/>
        </w:rPr>
        <w:t xml:space="preserve">Smith, A.M. 2004. A new species of the Arboreal Theraphosid, Genus </w:t>
      </w:r>
      <w:r w:rsidRPr="000452DA">
        <w:rPr>
          <w:rFonts w:ascii="Times New Roman" w:hAnsi="Times New Roman" w:cs="Times New Roman"/>
          <w:i/>
          <w:iCs/>
        </w:rPr>
        <w:t>Poecilotheria</w:t>
      </w:r>
      <w:r w:rsidRPr="000452DA">
        <w:rPr>
          <w:rFonts w:ascii="Times New Roman" w:hAnsi="Times New Roman" w:cs="Times New Roman"/>
        </w:rPr>
        <w:t>, from Southern India (</w:t>
      </w:r>
      <w:proofErr w:type="spellStart"/>
      <w:r w:rsidRPr="000452DA">
        <w:rPr>
          <w:rFonts w:ascii="Times New Roman" w:hAnsi="Times New Roman" w:cs="Times New Roman"/>
        </w:rPr>
        <w:t>Araneae</w:t>
      </w:r>
      <w:proofErr w:type="spellEnd"/>
      <w:r w:rsidRPr="000452DA">
        <w:rPr>
          <w:rFonts w:ascii="Times New Roman" w:hAnsi="Times New Roman" w:cs="Times New Roman"/>
        </w:rPr>
        <w:t xml:space="preserve">, </w:t>
      </w:r>
      <w:proofErr w:type="spellStart"/>
      <w:r w:rsidRPr="000452DA">
        <w:rPr>
          <w:rFonts w:ascii="Times New Roman" w:hAnsi="Times New Roman" w:cs="Times New Roman"/>
        </w:rPr>
        <w:t>Mygalomorphae</w:t>
      </w:r>
      <w:proofErr w:type="spellEnd"/>
      <w:r w:rsidRPr="000452DA">
        <w:rPr>
          <w:rFonts w:ascii="Times New Roman" w:hAnsi="Times New Roman" w:cs="Times New Roman"/>
        </w:rPr>
        <w:t xml:space="preserve">, </w:t>
      </w:r>
      <w:proofErr w:type="spellStart"/>
      <w:r w:rsidRPr="000452DA">
        <w:rPr>
          <w:rFonts w:ascii="Times New Roman" w:hAnsi="Times New Roman" w:cs="Times New Roman"/>
        </w:rPr>
        <w:t>Theraphosidae</w:t>
      </w:r>
      <w:proofErr w:type="spellEnd"/>
      <w:r w:rsidRPr="000452DA">
        <w:rPr>
          <w:rFonts w:ascii="Times New Roman" w:hAnsi="Times New Roman" w:cs="Times New Roman"/>
        </w:rPr>
        <w:t xml:space="preserve">) with notes on its Conservation Status. </w:t>
      </w:r>
      <w:r w:rsidRPr="000452DA">
        <w:rPr>
          <w:rFonts w:ascii="Times New Roman" w:hAnsi="Times New Roman" w:cs="Times New Roman"/>
          <w:i/>
          <w:iCs/>
        </w:rPr>
        <w:t>Journal of the British Tarantula Society</w:t>
      </w:r>
      <w:r w:rsidRPr="000452DA">
        <w:rPr>
          <w:rFonts w:ascii="Times New Roman" w:hAnsi="Times New Roman" w:cs="Times New Roman"/>
        </w:rPr>
        <w:t xml:space="preserve"> 19(2):  3-64.</w:t>
      </w:r>
    </w:p>
    <w:p w14:paraId="6BA92635"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United Nations (2015). </w:t>
      </w:r>
      <w:r w:rsidRPr="000452DA">
        <w:rPr>
          <w:rFonts w:ascii="Times New Roman" w:hAnsi="Times New Roman" w:cs="Times New Roman"/>
          <w:i/>
          <w:iCs/>
        </w:rPr>
        <w:t xml:space="preserve">Transforming our world: The 2030 Agenda for Sustainable Development. </w:t>
      </w:r>
      <w:r w:rsidRPr="000452DA">
        <w:rPr>
          <w:rFonts w:ascii="Times New Roman" w:hAnsi="Times New Roman" w:cs="Times New Roman"/>
        </w:rPr>
        <w:t xml:space="preserve">Available at: </w:t>
      </w:r>
      <w:hyperlink r:id="rId17" w:history="1">
        <w:r w:rsidRPr="000452DA">
          <w:rPr>
            <w:rStyle w:val="Hyperlink"/>
            <w:rFonts w:ascii="Times New Roman" w:hAnsi="Times New Roman" w:cs="Times New Roman"/>
          </w:rPr>
          <w:t>https://sdgs.un.org/publications/transforming-our-world-2030-agenda-sustainable-development-17981</w:t>
        </w:r>
      </w:hyperlink>
    </w:p>
    <w:p w14:paraId="532BB112"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Washington, H., Baillie, J., Waterman, C., &amp; Milner-Gulland, E. J. (2015).</w:t>
      </w:r>
      <w:r w:rsidRPr="000452DA">
        <w:rPr>
          <w:rFonts w:ascii="Times New Roman" w:hAnsi="Times New Roman" w:cs="Times New Roman"/>
        </w:rPr>
        <w:t xml:space="preserve"> A framework for evaluating the effectiveness of conservation attention at the species level. </w:t>
      </w:r>
      <w:r w:rsidRPr="000452DA">
        <w:rPr>
          <w:rFonts w:ascii="Times New Roman" w:hAnsi="Times New Roman" w:cs="Times New Roman"/>
          <w:i/>
          <w:iCs/>
        </w:rPr>
        <w:t>Oryx</w:t>
      </w:r>
      <w:r w:rsidRPr="000452DA">
        <w:rPr>
          <w:rFonts w:ascii="Times New Roman" w:hAnsi="Times New Roman" w:cs="Times New Roman"/>
        </w:rPr>
        <w:t>, 49(3), 481–491.</w:t>
      </w:r>
      <w:hyperlink r:id="rId18" w:history="1">
        <w:r w:rsidRPr="000452DA">
          <w:rPr>
            <w:rStyle w:val="Hyperlink"/>
            <w:rFonts w:ascii="Times New Roman" w:hAnsi="Times New Roman" w:cs="Times New Roman"/>
          </w:rPr>
          <w:t xml:space="preserve"> https://doi.org/10.1017/S0030605314000763</w:t>
        </w:r>
      </w:hyperlink>
    </w:p>
    <w:p w14:paraId="4E34D615"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Washington, H., Taylor, B., </w:t>
      </w:r>
      <w:proofErr w:type="spellStart"/>
      <w:r w:rsidRPr="000452DA">
        <w:rPr>
          <w:rFonts w:ascii="Times New Roman" w:hAnsi="Times New Roman" w:cs="Times New Roman"/>
          <w:b/>
          <w:bCs/>
        </w:rPr>
        <w:t>Kopnina</w:t>
      </w:r>
      <w:proofErr w:type="spellEnd"/>
      <w:r w:rsidRPr="000452DA">
        <w:rPr>
          <w:rFonts w:ascii="Times New Roman" w:hAnsi="Times New Roman" w:cs="Times New Roman"/>
          <w:b/>
          <w:bCs/>
        </w:rPr>
        <w:t xml:space="preserve">, H., Cryer, P., &amp; Piccolo, J. J. (2015). </w:t>
      </w:r>
      <w:r w:rsidRPr="000452DA">
        <w:rPr>
          <w:rFonts w:ascii="Times New Roman" w:hAnsi="Times New Roman" w:cs="Times New Roman"/>
        </w:rPr>
        <w:t xml:space="preserve">Education for biodiversity conservation. </w:t>
      </w:r>
      <w:r w:rsidRPr="000452DA">
        <w:rPr>
          <w:rFonts w:ascii="Times New Roman" w:hAnsi="Times New Roman" w:cs="Times New Roman"/>
          <w:i/>
          <w:iCs/>
        </w:rPr>
        <w:t>Pacific Conservation Biology</w:t>
      </w:r>
      <w:r w:rsidRPr="000452DA">
        <w:rPr>
          <w:rFonts w:ascii="Times New Roman" w:hAnsi="Times New Roman" w:cs="Times New Roman"/>
        </w:rPr>
        <w:t>, 21(4), 280–287.</w:t>
      </w:r>
      <w:hyperlink r:id="rId19" w:history="1">
        <w:r w:rsidRPr="000452DA">
          <w:rPr>
            <w:rStyle w:val="Hyperlink"/>
            <w:rFonts w:ascii="Times New Roman" w:hAnsi="Times New Roman" w:cs="Times New Roman"/>
          </w:rPr>
          <w:t xml:space="preserve"> https://doi.org/10.1071/PC15021</w:t>
        </w:r>
      </w:hyperlink>
      <w:r w:rsidRPr="000452DA">
        <w:rPr>
          <w:rFonts w:ascii="Times New Roman" w:hAnsi="Times New Roman" w:cs="Times New Roman"/>
        </w:rPr>
        <w:t> </w:t>
      </w:r>
    </w:p>
    <w:p w14:paraId="5C05B59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proofErr w:type="spellStart"/>
      <w:r w:rsidRPr="000452DA">
        <w:rPr>
          <w:rFonts w:ascii="Times New Roman" w:hAnsi="Times New Roman" w:cs="Times New Roman"/>
          <w:b/>
          <w:bCs/>
        </w:rPr>
        <w:t>Zjalic</w:t>
      </w:r>
      <w:proofErr w:type="spellEnd"/>
      <w:r w:rsidRPr="000452DA">
        <w:rPr>
          <w:rFonts w:ascii="Times New Roman" w:hAnsi="Times New Roman" w:cs="Times New Roman"/>
          <w:b/>
          <w:bCs/>
        </w:rPr>
        <w:t xml:space="preserve">, D., Perilli, A., </w:t>
      </w:r>
      <w:proofErr w:type="spellStart"/>
      <w:r w:rsidRPr="000452DA">
        <w:rPr>
          <w:rFonts w:ascii="Times New Roman" w:hAnsi="Times New Roman" w:cs="Times New Roman"/>
          <w:b/>
          <w:bCs/>
        </w:rPr>
        <w:t>Nachira</w:t>
      </w:r>
      <w:proofErr w:type="spellEnd"/>
      <w:r w:rsidRPr="000452DA">
        <w:rPr>
          <w:rFonts w:ascii="Times New Roman" w:hAnsi="Times New Roman" w:cs="Times New Roman"/>
          <w:b/>
          <w:bCs/>
        </w:rPr>
        <w:t>, L., Lombardi, G. S., &amp; Cadeddu, C. (2024).</w:t>
      </w:r>
      <w:r w:rsidRPr="000452DA">
        <w:rPr>
          <w:rFonts w:ascii="Times New Roman" w:hAnsi="Times New Roman" w:cs="Times New Roman"/>
        </w:rPr>
        <w:t xml:space="preserve"> PERSIST: a pre–post study to assess an educational methodology to enhance youth climate literacy and systems thinking ability. </w:t>
      </w:r>
      <w:r w:rsidRPr="000452DA">
        <w:rPr>
          <w:rFonts w:ascii="Times New Roman" w:hAnsi="Times New Roman" w:cs="Times New Roman"/>
          <w:i/>
          <w:iCs/>
        </w:rPr>
        <w:t>The Lancet Planetary Health, 8</w:t>
      </w:r>
      <w:r w:rsidRPr="000452DA">
        <w:rPr>
          <w:rFonts w:ascii="Times New Roman" w:hAnsi="Times New Roman" w:cs="Times New Roman"/>
        </w:rPr>
        <w:t>(</w:t>
      </w:r>
      <w:proofErr w:type="spellStart"/>
      <w:r w:rsidRPr="000452DA">
        <w:rPr>
          <w:rFonts w:ascii="Times New Roman" w:hAnsi="Times New Roman" w:cs="Times New Roman"/>
        </w:rPr>
        <w:t>Suppl</w:t>
      </w:r>
      <w:proofErr w:type="spellEnd"/>
      <w:r w:rsidRPr="000452DA">
        <w:rPr>
          <w:rFonts w:ascii="Times New Roman" w:hAnsi="Times New Roman" w:cs="Times New Roman"/>
        </w:rPr>
        <w:t xml:space="preserve"> 1), S7. </w:t>
      </w:r>
      <w:hyperlink r:id="rId20" w:history="1">
        <w:r w:rsidRPr="000452DA">
          <w:rPr>
            <w:rStyle w:val="Hyperlink"/>
            <w:rFonts w:ascii="Times New Roman" w:hAnsi="Times New Roman" w:cs="Times New Roman"/>
          </w:rPr>
          <w:t>https://doi.org/10.1016/S2542-5196(24)00072-X</w:t>
        </w:r>
      </w:hyperlink>
    </w:p>
    <w:sectPr w:rsidR="000452DA" w:rsidRPr="000452DA" w:rsidSect="009002F2">
      <w:pgSz w:w="11906" w:h="16838" w:code="9"/>
      <w:pgMar w:top="1094" w:right="601" w:bottom="601" w:left="601"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52F2"/>
    <w:multiLevelType w:val="multilevel"/>
    <w:tmpl w:val="CB32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95610A"/>
    <w:multiLevelType w:val="hybridMultilevel"/>
    <w:tmpl w:val="322081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F2"/>
    <w:rsid w:val="000452DA"/>
    <w:rsid w:val="0024589F"/>
    <w:rsid w:val="00322C5C"/>
    <w:rsid w:val="0044613C"/>
    <w:rsid w:val="008D2C0A"/>
    <w:rsid w:val="009002F2"/>
    <w:rsid w:val="00A2105A"/>
    <w:rsid w:val="00B93403"/>
    <w:rsid w:val="00C93874"/>
    <w:rsid w:val="00D713B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0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2F2"/>
    <w:rPr>
      <w:rFonts w:eastAsiaTheme="majorEastAsia" w:cstheme="majorBidi"/>
      <w:color w:val="272727" w:themeColor="text1" w:themeTint="D8"/>
    </w:rPr>
  </w:style>
  <w:style w:type="paragraph" w:styleId="Title">
    <w:name w:val="Title"/>
    <w:basedOn w:val="Normal"/>
    <w:next w:val="Normal"/>
    <w:link w:val="TitleChar"/>
    <w:uiPriority w:val="10"/>
    <w:qFormat/>
    <w:rsid w:val="0090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2F2"/>
    <w:pPr>
      <w:spacing w:before="160"/>
      <w:jc w:val="center"/>
    </w:pPr>
    <w:rPr>
      <w:i/>
      <w:iCs/>
      <w:color w:val="404040" w:themeColor="text1" w:themeTint="BF"/>
    </w:rPr>
  </w:style>
  <w:style w:type="character" w:customStyle="1" w:styleId="QuoteChar">
    <w:name w:val="Quote Char"/>
    <w:basedOn w:val="DefaultParagraphFont"/>
    <w:link w:val="Quote"/>
    <w:uiPriority w:val="29"/>
    <w:rsid w:val="009002F2"/>
    <w:rPr>
      <w:i/>
      <w:iCs/>
      <w:color w:val="404040" w:themeColor="text1" w:themeTint="BF"/>
    </w:rPr>
  </w:style>
  <w:style w:type="paragraph" w:styleId="ListParagraph">
    <w:name w:val="List Paragraph"/>
    <w:basedOn w:val="Normal"/>
    <w:uiPriority w:val="34"/>
    <w:qFormat/>
    <w:rsid w:val="009002F2"/>
    <w:pPr>
      <w:ind w:left="720"/>
      <w:contextualSpacing/>
    </w:pPr>
  </w:style>
  <w:style w:type="character" w:styleId="IntenseEmphasis">
    <w:name w:val="Intense Emphasis"/>
    <w:basedOn w:val="DefaultParagraphFont"/>
    <w:uiPriority w:val="21"/>
    <w:qFormat/>
    <w:rsid w:val="009002F2"/>
    <w:rPr>
      <w:i/>
      <w:iCs/>
      <w:color w:val="0F4761" w:themeColor="accent1" w:themeShade="BF"/>
    </w:rPr>
  </w:style>
  <w:style w:type="paragraph" w:styleId="IntenseQuote">
    <w:name w:val="Intense Quote"/>
    <w:basedOn w:val="Normal"/>
    <w:next w:val="Normal"/>
    <w:link w:val="IntenseQuoteChar"/>
    <w:uiPriority w:val="30"/>
    <w:qFormat/>
    <w:rsid w:val="00900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2F2"/>
    <w:rPr>
      <w:i/>
      <w:iCs/>
      <w:color w:val="0F4761" w:themeColor="accent1" w:themeShade="BF"/>
    </w:rPr>
  </w:style>
  <w:style w:type="character" w:styleId="IntenseReference">
    <w:name w:val="Intense Reference"/>
    <w:basedOn w:val="DefaultParagraphFont"/>
    <w:uiPriority w:val="32"/>
    <w:qFormat/>
    <w:rsid w:val="009002F2"/>
    <w:rPr>
      <w:b/>
      <w:bCs/>
      <w:smallCaps/>
      <w:color w:val="0F4761" w:themeColor="accent1" w:themeShade="BF"/>
      <w:spacing w:val="5"/>
    </w:rPr>
  </w:style>
  <w:style w:type="character" w:styleId="Hyperlink">
    <w:name w:val="Hyperlink"/>
    <w:basedOn w:val="DefaultParagraphFont"/>
    <w:uiPriority w:val="99"/>
    <w:unhideWhenUsed/>
    <w:rsid w:val="009002F2"/>
    <w:rPr>
      <w:color w:val="467886" w:themeColor="hyperlink"/>
      <w:u w:val="single"/>
    </w:rPr>
  </w:style>
  <w:style w:type="character" w:customStyle="1" w:styleId="UnresolvedMention">
    <w:name w:val="Unresolved Mention"/>
    <w:basedOn w:val="DefaultParagraphFont"/>
    <w:uiPriority w:val="99"/>
    <w:semiHidden/>
    <w:unhideWhenUsed/>
    <w:rsid w:val="009002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0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2F2"/>
    <w:rPr>
      <w:rFonts w:eastAsiaTheme="majorEastAsia" w:cstheme="majorBidi"/>
      <w:color w:val="272727" w:themeColor="text1" w:themeTint="D8"/>
    </w:rPr>
  </w:style>
  <w:style w:type="paragraph" w:styleId="Title">
    <w:name w:val="Title"/>
    <w:basedOn w:val="Normal"/>
    <w:next w:val="Normal"/>
    <w:link w:val="TitleChar"/>
    <w:uiPriority w:val="10"/>
    <w:qFormat/>
    <w:rsid w:val="0090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2F2"/>
    <w:pPr>
      <w:spacing w:before="160"/>
      <w:jc w:val="center"/>
    </w:pPr>
    <w:rPr>
      <w:i/>
      <w:iCs/>
      <w:color w:val="404040" w:themeColor="text1" w:themeTint="BF"/>
    </w:rPr>
  </w:style>
  <w:style w:type="character" w:customStyle="1" w:styleId="QuoteChar">
    <w:name w:val="Quote Char"/>
    <w:basedOn w:val="DefaultParagraphFont"/>
    <w:link w:val="Quote"/>
    <w:uiPriority w:val="29"/>
    <w:rsid w:val="009002F2"/>
    <w:rPr>
      <w:i/>
      <w:iCs/>
      <w:color w:val="404040" w:themeColor="text1" w:themeTint="BF"/>
    </w:rPr>
  </w:style>
  <w:style w:type="paragraph" w:styleId="ListParagraph">
    <w:name w:val="List Paragraph"/>
    <w:basedOn w:val="Normal"/>
    <w:uiPriority w:val="34"/>
    <w:qFormat/>
    <w:rsid w:val="009002F2"/>
    <w:pPr>
      <w:ind w:left="720"/>
      <w:contextualSpacing/>
    </w:pPr>
  </w:style>
  <w:style w:type="character" w:styleId="IntenseEmphasis">
    <w:name w:val="Intense Emphasis"/>
    <w:basedOn w:val="DefaultParagraphFont"/>
    <w:uiPriority w:val="21"/>
    <w:qFormat/>
    <w:rsid w:val="009002F2"/>
    <w:rPr>
      <w:i/>
      <w:iCs/>
      <w:color w:val="0F4761" w:themeColor="accent1" w:themeShade="BF"/>
    </w:rPr>
  </w:style>
  <w:style w:type="paragraph" w:styleId="IntenseQuote">
    <w:name w:val="Intense Quote"/>
    <w:basedOn w:val="Normal"/>
    <w:next w:val="Normal"/>
    <w:link w:val="IntenseQuoteChar"/>
    <w:uiPriority w:val="30"/>
    <w:qFormat/>
    <w:rsid w:val="00900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2F2"/>
    <w:rPr>
      <w:i/>
      <w:iCs/>
      <w:color w:val="0F4761" w:themeColor="accent1" w:themeShade="BF"/>
    </w:rPr>
  </w:style>
  <w:style w:type="character" w:styleId="IntenseReference">
    <w:name w:val="Intense Reference"/>
    <w:basedOn w:val="DefaultParagraphFont"/>
    <w:uiPriority w:val="32"/>
    <w:qFormat/>
    <w:rsid w:val="009002F2"/>
    <w:rPr>
      <w:b/>
      <w:bCs/>
      <w:smallCaps/>
      <w:color w:val="0F4761" w:themeColor="accent1" w:themeShade="BF"/>
      <w:spacing w:val="5"/>
    </w:rPr>
  </w:style>
  <w:style w:type="character" w:styleId="Hyperlink">
    <w:name w:val="Hyperlink"/>
    <w:basedOn w:val="DefaultParagraphFont"/>
    <w:uiPriority w:val="99"/>
    <w:unhideWhenUsed/>
    <w:rsid w:val="009002F2"/>
    <w:rPr>
      <w:color w:val="467886" w:themeColor="hyperlink"/>
      <w:u w:val="single"/>
    </w:rPr>
  </w:style>
  <w:style w:type="character" w:customStyle="1" w:styleId="UnresolvedMention">
    <w:name w:val="Unresolved Mention"/>
    <w:basedOn w:val="DefaultParagraphFont"/>
    <w:uiPriority w:val="99"/>
    <w:semiHidden/>
    <w:unhideWhenUsed/>
    <w:rsid w:val="0090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6/j.1523-1739.2002.01008.x" TargetMode="External"/><Relationship Id="rId13" Type="http://schemas.openxmlformats.org/officeDocument/2006/relationships/hyperlink" Target="https://doi.org/10.1007/s002670010215" TargetMode="External"/><Relationship Id="rId18" Type="http://schemas.openxmlformats.org/officeDocument/2006/relationships/hyperlink" Target="https://doi.org/10.1017/S0030605314000763"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doi.org/10.1093/acprof:oso/9780198716686.001.0001" TargetMode="External"/><Relationship Id="rId17" Type="http://schemas.openxmlformats.org/officeDocument/2006/relationships/hyperlink" Target="https://sdgs.un.org/publications/transforming-our-world-2030-agenda-sustainable-development-17981?utm_source=chatgpt.com" TargetMode="External"/><Relationship Id="rId2" Type="http://schemas.openxmlformats.org/officeDocument/2006/relationships/styles" Target="styles.xml"/><Relationship Id="rId16" Type="http://schemas.openxmlformats.org/officeDocument/2006/relationships/hyperlink" Target="https://www.iucnredlist.org" TargetMode="External"/><Relationship Id="rId20" Type="http://schemas.openxmlformats.org/officeDocument/2006/relationships/hyperlink" Target="https://doi.org/10.1016/S2542-5196(24)00072-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7/S0030605311000030" TargetMode="External"/><Relationship Id="rId5" Type="http://schemas.openxmlformats.org/officeDocument/2006/relationships/webSettings" Target="webSettings.xml"/><Relationship Id="rId15" Type="http://schemas.openxmlformats.org/officeDocument/2006/relationships/hyperlink" Target="https://doi.org/10.1016/j.japb.2015.01.002" TargetMode="External"/><Relationship Id="rId10" Type="http://schemas.openxmlformats.org/officeDocument/2006/relationships/hyperlink" Target="https://doi.org/10.1046/j.1523-1739.1994.08030846.x" TargetMode="External"/><Relationship Id="rId19" Type="http://schemas.openxmlformats.org/officeDocument/2006/relationships/hyperlink" Target="https://doi.org/10.1071/PC15021" TargetMode="External"/><Relationship Id="rId4" Type="http://schemas.openxmlformats.org/officeDocument/2006/relationships/settings" Target="settings.xml"/><Relationship Id="rId9" Type="http://schemas.openxmlformats.org/officeDocument/2006/relationships/hyperlink" Target="https://doi.org/10.1016/j.biocon.2019.108224" TargetMode="External"/><Relationship Id="rId14" Type="http://schemas.openxmlformats.org/officeDocument/2006/relationships/hyperlink" Target="https://doi.org/10.1080/153301508020585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Shahidh</dc:creator>
  <cp:keywords/>
  <dc:description/>
  <cp:lastModifiedBy>qwert</cp:lastModifiedBy>
  <cp:revision>3</cp:revision>
  <dcterms:created xsi:type="dcterms:W3CDTF">2026-03-23T11:20:00Z</dcterms:created>
  <dcterms:modified xsi:type="dcterms:W3CDTF">2026-03-24T10:51:00Z</dcterms:modified>
</cp:coreProperties>
</file>