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D0D69" w14:textId="77777777" w:rsidR="003C11B1"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ETHICAL CLIMATE AS A MODERATOR IN THE INFLUENCE OF INTERNAL CONTROL EFFECTIVENESS ON TREASURY PERFORMANCE AMONG LOCAL GOVERNMENT UNITS</w:t>
      </w:r>
    </w:p>
    <w:p w14:paraId="4B2797EF" w14:textId="77777777" w:rsidR="003C11B1" w:rsidRDefault="00000000">
      <w:pPr>
        <w:pStyle w:val="Heading1"/>
      </w:pPr>
      <w:bookmarkStart w:id="0" w:name="_ph40i7o3s4os" w:colFirst="0" w:colLast="0"/>
      <w:bookmarkEnd w:id="0"/>
      <w:r>
        <w:t>ABSTRACT</w:t>
      </w:r>
    </w:p>
    <w:p w14:paraId="48FC98B2"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government units (LGUs) are entrusted with managing public funds and resources efficiently, transparently, and in accordance with regulations. Effective treasury operations depend on strong internal control systems, which are formally mandated in public institutions to enhance financial discipline, cash management, and organizational performance, but variations in implementation and ethical context may influence how these controls translate into actual performance outcomes. Supported by Agency Theory, Stewardship Theory, and Ethical Climate Theory, this study investigated the influence of internal control effectiveness on local treasury performance among LGUs in Misamis Oriental. It also determined whether the ethical climate has a significant moderating effect on the relationship between these variables. A quantitative design with moderation analysis was employed with 120 respondents across the selected 24 LGUs. Quantitative data were gathered using structured surveys, while key informant interviews (KII) were conducted to gather qualitative information. Descriptive statistics, non-parametric tests, and both simple linear and multiple regression were employed to analyze the data. The findings showed that the internal control effectiveness has a significant influence on local treasury performance. Furthermore, among the dimensions of internal control effectiveness, the control environment and monitoring strongly predict performance, highlighting the importance of leadership tone, integrity, and accountability, as well as continuous oversight of treasury operations. Moreover, no significant differences in internal control effectiveness or local treasury performance were observed when respondents were grouped by age, sex, or years of service, since public service requires integrity and adherence to standardized governance systems rather than demographic attributes. Finally, ethical climate did not significantly moderate the influence of internal control effectiveness on local treasury performance, but it did show a significant positive direct effect on such performance since a positive ethical environment independently reinforces responsible behavior and performance, even when formal control systems are already in place in the LGUs. Qualitative findings identified implementation challenges, including resource constraints, weak ethical leadership &amp; political influence, insufficient training, and resistance to change. The study further implies that treasury performance may be strengthened by institutionalizing ethical oversight structures, feedback mechanisms, embedding ethics in evaluation systems, investing in continuous training, and adopting digitalization and periodic internal audit review.</w:t>
      </w:r>
    </w:p>
    <w:p w14:paraId="1D7ABB95" w14:textId="77777777" w:rsidR="003C11B1" w:rsidRDefault="003C11B1">
      <w:pPr>
        <w:spacing w:line="240" w:lineRule="auto"/>
        <w:jc w:val="both"/>
        <w:rPr>
          <w:rFonts w:ascii="Times New Roman" w:eastAsia="Times New Roman" w:hAnsi="Times New Roman" w:cs="Times New Roman"/>
          <w:sz w:val="24"/>
          <w:szCs w:val="24"/>
        </w:rPr>
      </w:pPr>
    </w:p>
    <w:p w14:paraId="087B1195" w14:textId="590587D6" w:rsidR="003C11B1" w:rsidRDefault="0000000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i/>
          <w:iCs/>
          <w:sz w:val="24"/>
          <w:szCs w:val="24"/>
        </w:rPr>
        <w:t xml:space="preserve"> Ethical Culture, Financial Stewardship, Public Financial Management, Public Sector Accountability</w:t>
      </w:r>
      <w:r w:rsidR="00747364">
        <w:rPr>
          <w:rFonts w:ascii="Times New Roman" w:eastAsia="Times New Roman" w:hAnsi="Times New Roman" w:cs="Times New Roman"/>
          <w:i/>
          <w:iCs/>
          <w:sz w:val="24"/>
          <w:szCs w:val="24"/>
        </w:rPr>
        <w:t xml:space="preserve">, </w:t>
      </w:r>
      <w:r w:rsidR="00747364" w:rsidRPr="00747364">
        <w:rPr>
          <w:rFonts w:ascii="Times New Roman" w:eastAsia="Times New Roman" w:hAnsi="Times New Roman" w:cs="Times New Roman"/>
          <w:i/>
          <w:iCs/>
          <w:sz w:val="24"/>
          <w:szCs w:val="24"/>
        </w:rPr>
        <w:t>Internal Control System, Public Governance, Financial Transparency</w:t>
      </w:r>
    </w:p>
    <w:p w14:paraId="745E3B6C" w14:textId="77777777" w:rsidR="003C11B1" w:rsidRDefault="003C11B1">
      <w:pPr>
        <w:spacing w:line="240" w:lineRule="auto"/>
        <w:jc w:val="both"/>
        <w:rPr>
          <w:rFonts w:ascii="Times New Roman" w:eastAsia="Times New Roman" w:hAnsi="Times New Roman" w:cs="Times New Roman"/>
          <w:i/>
          <w:iCs/>
          <w:sz w:val="24"/>
          <w:szCs w:val="24"/>
        </w:rPr>
      </w:pPr>
    </w:p>
    <w:p w14:paraId="5E1A8436" w14:textId="77777777" w:rsidR="003C11B1" w:rsidRDefault="003C11B1">
      <w:pPr>
        <w:spacing w:line="240" w:lineRule="auto"/>
        <w:jc w:val="both"/>
        <w:rPr>
          <w:rFonts w:ascii="Times New Roman" w:eastAsia="Times New Roman" w:hAnsi="Times New Roman" w:cs="Times New Roman"/>
          <w:i/>
          <w:iCs/>
          <w:sz w:val="24"/>
          <w:szCs w:val="24"/>
        </w:rPr>
      </w:pPr>
    </w:p>
    <w:p w14:paraId="3A4EEDB3" w14:textId="77777777" w:rsidR="003C11B1" w:rsidRDefault="003C11B1">
      <w:pPr>
        <w:spacing w:line="240" w:lineRule="auto"/>
        <w:jc w:val="both"/>
        <w:rPr>
          <w:rFonts w:ascii="Times New Roman" w:eastAsia="Times New Roman" w:hAnsi="Times New Roman" w:cs="Times New Roman"/>
          <w:i/>
          <w:iCs/>
          <w:sz w:val="24"/>
          <w:szCs w:val="24"/>
        </w:rPr>
      </w:pPr>
    </w:p>
    <w:p w14:paraId="0101BCF4" w14:textId="77777777" w:rsidR="003C11B1" w:rsidRDefault="003C11B1">
      <w:pPr>
        <w:spacing w:line="240" w:lineRule="auto"/>
        <w:jc w:val="both"/>
        <w:rPr>
          <w:rFonts w:ascii="Times New Roman" w:eastAsia="Times New Roman" w:hAnsi="Times New Roman" w:cs="Times New Roman"/>
          <w:i/>
          <w:iCs/>
          <w:sz w:val="24"/>
          <w:szCs w:val="24"/>
        </w:rPr>
      </w:pPr>
    </w:p>
    <w:p w14:paraId="3ABA96B6" w14:textId="77777777" w:rsidR="003C11B1" w:rsidRDefault="003C11B1">
      <w:pPr>
        <w:spacing w:line="240" w:lineRule="auto"/>
        <w:jc w:val="both"/>
        <w:rPr>
          <w:rFonts w:ascii="Times New Roman" w:eastAsia="Times New Roman" w:hAnsi="Times New Roman" w:cs="Times New Roman"/>
          <w:i/>
          <w:iCs/>
          <w:sz w:val="24"/>
          <w:szCs w:val="24"/>
        </w:rPr>
      </w:pPr>
    </w:p>
    <w:p w14:paraId="23349531" w14:textId="77777777" w:rsidR="003C11B1" w:rsidRDefault="00000000">
      <w:pPr>
        <w:pStyle w:val="Heading1"/>
      </w:pPr>
      <w:bookmarkStart w:id="1" w:name="_mmsofd2fnbqt" w:colFirst="0" w:colLast="0"/>
      <w:bookmarkEnd w:id="1"/>
      <w:r>
        <w:t>INTRODUCTION</w:t>
      </w:r>
    </w:p>
    <w:p w14:paraId="334C4C46"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service begins with a simple but powerful idea: public office is a public trust. Local government units (LGUs) demonstrate this trust by gathering, safeguarding, and allocating public funds to community needs. The local treasury office is in charge of collecting taxes, fees, and other revenue and ensuring that the money is deposited, documented, and reported legally (Bureau of </w:t>
      </w:r>
      <w:r>
        <w:rPr>
          <w:rFonts w:ascii="Times New Roman" w:eastAsia="Times New Roman" w:hAnsi="Times New Roman" w:cs="Times New Roman"/>
          <w:sz w:val="24"/>
          <w:szCs w:val="24"/>
        </w:rPr>
        <w:lastRenderedPageBreak/>
        <w:t>Local Government Finance [BLGF], 2019). When treasury operations are effective, citizens see roads repaired, water systems maintained, and public services sustained.  Thus, sound financial management promotes local development and public trust (Ansa, 2013, as cited in Erricoa et al., 2023).</w:t>
      </w:r>
    </w:p>
    <w:p w14:paraId="1116DA3F"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Governments everywhere acknowledge that ethical behavior, accountability, and transparency are critical to providing high-quality public services. The World Bank (2023) says that managing public money responsibly prevents its misuse and improves services. Similarly, integrity is emphasized as a cornerstone of public financial management by the Chartered Institute of Public Finance and Accountancy (CIPFA, 2022). According to Farazmand et al. (2022), the likelihood of corruption and poor management rises when oversight is inadequate and transparency decreases. These global insights are very important for the Philippines, where LGUs work within detailed legal and audit frameworks.</w:t>
      </w:r>
    </w:p>
    <w:p w14:paraId="34BF5AEF"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Local Government Code of 1991 (Republic Act 7160), Commission on Audit (COA) circulars, and public sector internal control standards necessitate accurate, reliable financial reporting, timely deposits, proper documentation, and accountability for unauthorized spending. The Anti-Graft and Corrupt Practices Act (Republic Act 3019) and the Code of Conduct and Ethical Standards for Public Officials (Republic Act 6713) both serve to further strengthen ethical standards. At first glance, the system seems both thorough and rigorous.</w:t>
      </w:r>
    </w:p>
    <w:p w14:paraId="2C105792"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Nonetheless, persistent COA findings, such as unreconciled accounts, unliquidated cash advances, missing records, and delayed deposits, indicate that there may still be compliance gaps. Court cases involving finance and treasury officials demonstrate that control failures can result in administrative sanctions, including civil and criminal liability.</w:t>
      </w:r>
    </w:p>
    <w:p w14:paraId="09FC403A"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control systems do provide formal safeguards (COSO, 2013, as cited in Pkatey, 2024), but they don't work alone. Research on organizational behavior indicates that employees' conduct is shaped by the ethical climate of their workplace, defined as their collective perception of what is right or wrong (Victor &amp; Cullen, 1987, 1988, as cited in Newman et al., 2020). Over time, small lapses may become normalized if they are accepted (Mendoza et al., 2025). People use Bandura's idea of moral disengagement to explain how they make excuses for bad behavior, especially when there doesn't seem to be much oversight (Bandura, 1999, as cited in Newman et al., 2020).</w:t>
      </w:r>
    </w:p>
    <w:p w14:paraId="2D38AFC9"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international studies link internal controls and ethical climate to organizational performance (Abdou et al., 2024; Bashaija, 2022; Mahadeen et al., 2016), limited empirical research examines how these factors interact within Philippine LGU treasury offices. This gap is particularly relevant in provinces like Misamis Oriental, where LGUs operate under the same laws yet differ in fiscal capacity and governance performance (National Competitiveness Council, 2023).</w:t>
      </w:r>
    </w:p>
    <w:p w14:paraId="72BC8D21"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this study seeks to examine how local treasury performance is influenced by the internal control effectiveness and how this relationship is moderated by the ethical climate. By concentrating on city and municipal treasury offices in Misamis Oriental, the study seeks to examine how workplace ethics and structural systems interact to influence accountability and financial governance in local governments.</w:t>
      </w:r>
    </w:p>
    <w:p w14:paraId="467F2665" w14:textId="77777777" w:rsidR="003C11B1" w:rsidRDefault="003C11B1">
      <w:pPr>
        <w:spacing w:line="240" w:lineRule="auto"/>
        <w:ind w:firstLine="720"/>
        <w:jc w:val="both"/>
        <w:rPr>
          <w:rFonts w:ascii="Times New Roman" w:eastAsia="Times New Roman" w:hAnsi="Times New Roman" w:cs="Times New Roman"/>
          <w:sz w:val="24"/>
          <w:szCs w:val="24"/>
        </w:rPr>
      </w:pPr>
    </w:p>
    <w:p w14:paraId="16F0D0D4" w14:textId="77777777" w:rsidR="003C11B1" w:rsidRDefault="00000000">
      <w:pPr>
        <w:pStyle w:val="Heading1"/>
      </w:pPr>
      <w:bookmarkStart w:id="2" w:name="_wuskvdh3nzan" w:colFirst="0" w:colLast="0"/>
      <w:bookmarkEnd w:id="2"/>
      <w:r>
        <w:t>METHODOLOGY</w:t>
      </w:r>
    </w:p>
    <w:p w14:paraId="2F880A37" w14:textId="77777777" w:rsidR="003C11B1"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This study employed a quantitative research design with moderation analysis to examine the relationships among internal control effectiveness, ethical climate, and local treasury performance in selected local government units (LGUs) of Misamis Oriental. The study aimed to measure perceptions quantitatively, test hypothesized relationships, and determine whether internal control effectiveness significantly influences local treasury performance. Moderation analysis was utilized to assess whether ethical climate alters or conditions the strength of this relationship.</w:t>
      </w:r>
    </w:p>
    <w:p w14:paraId="10FCB879"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in the 22 municipalities and 2 component cities of Misamis Oriental, excluding Cagayan de Oro City due to its political and fiscal independence as a highly urbanized city. Although these LGUs operate under uniform national laws and audit regulations, they vary in income classification and fiscal capacity, making the province an appropriate setting for examining differences in treasury performance within the same regulatory environment.</w:t>
      </w:r>
    </w:p>
    <w:p w14:paraId="4A3DC14A"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consisted of 120 treasury-involved personnel, with five (5) respondents selected from each of the twenty-four (24) LGUs requested. These individuals hold key financial positions or designations directly engaged in fiscal management. Their responsibilities include revenue collection, fund custody, disbursement processing, obligation control, financial recording, and compliance with audit requirements. Random selection within identified treasury-related positions ensured appropriate representation of finance personnel and enhanced data reliability, consistent with the principle that sampling strategies must align with the study’s purpose (Etikan &amp; Bala, 2017).</w:t>
      </w:r>
    </w:p>
    <w:p w14:paraId="3E2D0ABA"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gathered using a structured questionnaire composed of four sections: respondent profile, internal control effectiveness, ethical climate, and local treasury performance. The instrument for internal control effectiveness was adapted from the Office of the Comptroller of the Currency (OCC) Internal Control Questionnaire (ICQ), which is based on the Committee of Sponsoring Organizations of the Treadway Commission (COSO) Framework. Local treasury performance was measured using a contextualized adaptation of the Individual Work Performance Questionnaire (IWPQ) developed by Koopmans et al. (2012), tailored to reflect treasury-related functions within LGUs. Ethical climate was assessed using an adapted version of the Ethical Climate Index (ECI) developed by Arnaud (2010, as cited in Loke, 2019), aligned with public sector governance settings. All items were measured using a four-point Likert scale. The instrument underwent expert validation by three experts in public financial management and was pilot-tested with 30 LGU personnel apart from the study’s respondents. Reliability testing yielded strong internal consistency (Cronbach’s alpha ranging from .92 to .95).</w:t>
      </w:r>
    </w:p>
    <w:p w14:paraId="6101490D"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data collection, necessary approvals were secured from the concerned authorities. Participation was voluntary, and confidentiality was strictly maintained. Data were analyzed using SPSS. Descriptive statistics summarized respondent profiles and variable levels. Multiple regression analysis determined the influence of internal control effectiveness on local treasury performance, while moderation analysis tested the interaction effect between internal control effectiveness and ethical climate.</w:t>
      </w:r>
    </w:p>
    <w:p w14:paraId="095C5C81"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methodological approach provided a systematic and statistically grounded basis for explaining how structural internal controls and ethical climate jointly influence treasury performance in LGUs.</w:t>
      </w:r>
    </w:p>
    <w:p w14:paraId="3755801B" w14:textId="77777777" w:rsidR="003C11B1" w:rsidRDefault="003C11B1">
      <w:pPr>
        <w:spacing w:line="240" w:lineRule="auto"/>
        <w:ind w:firstLine="720"/>
        <w:jc w:val="both"/>
        <w:rPr>
          <w:rFonts w:ascii="Times New Roman" w:eastAsia="Times New Roman" w:hAnsi="Times New Roman" w:cs="Times New Roman"/>
          <w:sz w:val="24"/>
          <w:szCs w:val="24"/>
        </w:rPr>
      </w:pPr>
    </w:p>
    <w:p w14:paraId="66204AF9" w14:textId="77777777" w:rsidR="003C11B1" w:rsidRDefault="00000000">
      <w:pPr>
        <w:pStyle w:val="Heading1"/>
      </w:pPr>
      <w:bookmarkStart w:id="3" w:name="_a1xbkjjw0qdb" w:colFirst="0" w:colLast="0"/>
      <w:bookmarkEnd w:id="3"/>
      <w:r>
        <w:lastRenderedPageBreak/>
        <w:t>RESULTS AND DISCUSSION</w:t>
      </w:r>
    </w:p>
    <w:p w14:paraId="7FE91103"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presents the findings of the study on the influence of internal control effectiveness on local treasury performance and the moderating role of ethical climate in selected local government units (LGUs) of Misamis Oriental. The research questions reflected in Chapter 1 are restated for presentation purposes.</w:t>
      </w:r>
    </w:p>
    <w:p w14:paraId="2B3EA923" w14:textId="77777777" w:rsidR="003C11B1" w:rsidRDefault="003C11B1">
      <w:pPr>
        <w:spacing w:line="240" w:lineRule="auto"/>
        <w:ind w:firstLine="720"/>
        <w:jc w:val="both"/>
        <w:rPr>
          <w:rFonts w:ascii="Times New Roman" w:eastAsia="Times New Roman" w:hAnsi="Times New Roman" w:cs="Times New Roman"/>
          <w:sz w:val="24"/>
          <w:szCs w:val="24"/>
        </w:rPr>
      </w:pPr>
    </w:p>
    <w:p w14:paraId="1DEB5FBC" w14:textId="77777777" w:rsidR="003C11B1" w:rsidRDefault="00000000" w:rsidP="004F0A22">
      <w:pPr>
        <w:pStyle w:val="Heading3"/>
        <w:spacing w:before="240"/>
      </w:pPr>
      <w:bookmarkStart w:id="4" w:name="_6om0uj31o2b4" w:colFirst="0" w:colLast="0"/>
      <w:bookmarkEnd w:id="4"/>
      <w:r>
        <w:t>Profile of the Treasury-involved Personnel</w:t>
      </w:r>
    </w:p>
    <w:p w14:paraId="69C475BA" w14:textId="77777777" w:rsidR="003C11B1" w:rsidRDefault="00000000" w:rsidP="004F0A2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respondents who answered the survey are professionals who work in treasury and hold key financial positions in their LGUs. The majority are in middle adulthood, meaning many are in the developed stage of their professional tenure and may have broad organizational exposure, which can help them build deeper institutional knowledge, professional competence, and work experience. Erikson's Psychosocial Theory (1963, as cited in Cherry, 2023) posits that individuals in this stage of life exhibit generativity and are driven to make significant contributions to society and to responsibly lead institutions. Stewardship Theory (Davis et al., 1997, as cited in Ceschi et al., 2017; Schillemans &amp; Bjurstrøm, 2019) says that public officials are naturally motivated to do what is best for the organization and the people they serve. This developmental orientation is especially important for people who are in charge of public funds. Additionally, the group is predominantly female, which is indicative of their strong involvement in administrative and financial management tasks, and they play a major role in upholding financial accountability and governance in governmental organizations. Furthermore, their years in service span from early-career to veteran stages, with many falling into the developing stage of their careers, where workers are still honing their institutional knowledge and skills while already having hands-on experience with government financial procedures. Overall, the profile shows experienced public finance professionals tasked with protecting public funds, implementing internal controls, and maintaining accountability, which enhances the validity and comprehensiveness of the study's findings.</w:t>
      </w:r>
    </w:p>
    <w:p w14:paraId="30E556E2" w14:textId="77777777" w:rsidR="003C11B1" w:rsidRDefault="003C11B1">
      <w:pPr>
        <w:spacing w:line="240" w:lineRule="auto"/>
        <w:jc w:val="both"/>
        <w:rPr>
          <w:rFonts w:ascii="Times New Roman" w:eastAsia="Times New Roman" w:hAnsi="Times New Roman" w:cs="Times New Roman"/>
          <w:sz w:val="24"/>
          <w:szCs w:val="24"/>
        </w:rPr>
      </w:pPr>
    </w:p>
    <w:p w14:paraId="6942EEAC" w14:textId="77777777" w:rsidR="003C11B1" w:rsidRDefault="00000000">
      <w:pPr>
        <w:pStyle w:val="Heading3"/>
      </w:pPr>
      <w:bookmarkStart w:id="5" w:name="_w2toiz3rmsgk" w:colFirst="0" w:colLast="0"/>
      <w:bookmarkEnd w:id="5"/>
      <w:r>
        <w:t>Perception of Internal Control Effectiveness</w:t>
      </w:r>
    </w:p>
    <w:p w14:paraId="47CB1CC4" w14:textId="77777777" w:rsidR="003C11B1" w:rsidRDefault="003C11B1">
      <w:pPr>
        <w:spacing w:line="240" w:lineRule="auto"/>
        <w:jc w:val="both"/>
        <w:rPr>
          <w:rFonts w:ascii="Times New Roman" w:eastAsia="Times New Roman" w:hAnsi="Times New Roman" w:cs="Times New Roman"/>
          <w:b/>
          <w:bCs/>
          <w:sz w:val="24"/>
          <w:szCs w:val="24"/>
        </w:rPr>
      </w:pPr>
    </w:p>
    <w:p w14:paraId="561B74B3" w14:textId="77777777" w:rsidR="003C11B1"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p>
    <w:p w14:paraId="7658EDA3" w14:textId="77777777" w:rsidR="003C11B1" w:rsidRDefault="00000000">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rPr>
        <w:t>Summary Result of Internal Control Effectivenes</w:t>
      </w:r>
      <w:r>
        <w:rPr>
          <w:rFonts w:ascii="Times New Roman" w:eastAsia="Times New Roman" w:hAnsi="Times New Roman" w:cs="Times New Roman"/>
          <w:i/>
          <w:iCs/>
          <w:sz w:val="20"/>
          <w:szCs w:val="20"/>
        </w:rPr>
        <w:t>s</w:t>
      </w:r>
    </w:p>
    <w:tbl>
      <w:tblPr>
        <w:tblStyle w:val="a"/>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1"/>
        <w:gridCol w:w="1142"/>
        <w:gridCol w:w="981"/>
        <w:gridCol w:w="2226"/>
      </w:tblGrid>
      <w:tr w:rsidR="003C11B1" w14:paraId="1BD95702" w14:textId="77777777">
        <w:trPr>
          <w:trHeight w:val="266"/>
        </w:trPr>
        <w:tc>
          <w:tcPr>
            <w:tcW w:w="4290" w:type="dxa"/>
            <w:tcBorders>
              <w:top w:val="single" w:sz="8" w:space="0" w:color="000000"/>
              <w:left w:val="nil"/>
              <w:bottom w:val="single" w:sz="8" w:space="0" w:color="000000"/>
              <w:right w:val="nil"/>
            </w:tcBorders>
            <w:tcMar>
              <w:top w:w="0" w:type="dxa"/>
              <w:left w:w="100" w:type="dxa"/>
              <w:bottom w:w="0" w:type="dxa"/>
              <w:right w:w="100" w:type="dxa"/>
            </w:tcMar>
          </w:tcPr>
          <w:p w14:paraId="4CA174A9"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Dimension</w:t>
            </w:r>
          </w:p>
        </w:tc>
        <w:tc>
          <w:tcPr>
            <w:tcW w:w="1142" w:type="dxa"/>
            <w:tcBorders>
              <w:top w:val="single" w:sz="8" w:space="0" w:color="000000"/>
              <w:left w:val="nil"/>
              <w:bottom w:val="single" w:sz="8" w:space="0" w:color="000000"/>
              <w:right w:val="nil"/>
            </w:tcBorders>
            <w:tcMar>
              <w:top w:w="0" w:type="dxa"/>
              <w:left w:w="100" w:type="dxa"/>
              <w:bottom w:w="0" w:type="dxa"/>
              <w:right w:w="100" w:type="dxa"/>
            </w:tcMar>
          </w:tcPr>
          <w:p w14:paraId="69054757"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w:t>
            </w:r>
          </w:p>
        </w:tc>
        <w:tc>
          <w:tcPr>
            <w:tcW w:w="981" w:type="dxa"/>
            <w:tcBorders>
              <w:top w:val="single" w:sz="8" w:space="0" w:color="000000"/>
              <w:left w:val="nil"/>
              <w:bottom w:val="single" w:sz="8" w:space="0" w:color="000000"/>
              <w:right w:val="nil"/>
            </w:tcBorders>
            <w:tcMar>
              <w:top w:w="0" w:type="dxa"/>
              <w:left w:w="100" w:type="dxa"/>
              <w:bottom w:w="0" w:type="dxa"/>
              <w:right w:w="100" w:type="dxa"/>
            </w:tcMar>
          </w:tcPr>
          <w:p w14:paraId="0A8ECD8B"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SD</w:t>
            </w:r>
          </w:p>
        </w:tc>
        <w:tc>
          <w:tcPr>
            <w:tcW w:w="2225" w:type="dxa"/>
            <w:tcBorders>
              <w:top w:val="single" w:sz="8" w:space="0" w:color="000000"/>
              <w:left w:val="nil"/>
              <w:bottom w:val="single" w:sz="8" w:space="0" w:color="000000"/>
              <w:right w:val="nil"/>
            </w:tcBorders>
            <w:tcMar>
              <w:top w:w="0" w:type="dxa"/>
              <w:left w:w="100" w:type="dxa"/>
              <w:bottom w:w="0" w:type="dxa"/>
              <w:right w:w="100" w:type="dxa"/>
            </w:tcMar>
          </w:tcPr>
          <w:p w14:paraId="2370076B"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Description</w:t>
            </w:r>
          </w:p>
        </w:tc>
      </w:tr>
      <w:tr w:rsidR="003C11B1" w14:paraId="456FD1A0" w14:textId="77777777">
        <w:trPr>
          <w:trHeight w:val="266"/>
        </w:trPr>
        <w:tc>
          <w:tcPr>
            <w:tcW w:w="4290" w:type="dxa"/>
            <w:tcBorders>
              <w:top w:val="nil"/>
              <w:left w:val="nil"/>
              <w:bottom w:val="nil"/>
              <w:right w:val="nil"/>
            </w:tcBorders>
            <w:tcMar>
              <w:top w:w="0" w:type="dxa"/>
              <w:left w:w="100" w:type="dxa"/>
              <w:bottom w:w="0" w:type="dxa"/>
              <w:right w:w="100" w:type="dxa"/>
            </w:tcMar>
          </w:tcPr>
          <w:p w14:paraId="7BEBB7F9"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 Control Environment</w:t>
            </w:r>
          </w:p>
        </w:tc>
        <w:tc>
          <w:tcPr>
            <w:tcW w:w="1142" w:type="dxa"/>
            <w:tcBorders>
              <w:top w:val="nil"/>
              <w:left w:val="nil"/>
              <w:bottom w:val="nil"/>
              <w:right w:val="nil"/>
            </w:tcBorders>
            <w:tcMar>
              <w:top w:w="0" w:type="dxa"/>
              <w:left w:w="100" w:type="dxa"/>
              <w:bottom w:w="0" w:type="dxa"/>
              <w:right w:w="100" w:type="dxa"/>
            </w:tcMar>
          </w:tcPr>
          <w:p w14:paraId="1CFDB9E7"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w:t>
            </w:r>
          </w:p>
        </w:tc>
        <w:tc>
          <w:tcPr>
            <w:tcW w:w="981" w:type="dxa"/>
            <w:tcBorders>
              <w:top w:val="nil"/>
              <w:left w:val="nil"/>
              <w:bottom w:val="nil"/>
              <w:right w:val="nil"/>
            </w:tcBorders>
            <w:tcMar>
              <w:top w:w="0" w:type="dxa"/>
              <w:left w:w="100" w:type="dxa"/>
              <w:bottom w:w="0" w:type="dxa"/>
              <w:right w:w="100" w:type="dxa"/>
            </w:tcMar>
          </w:tcPr>
          <w:p w14:paraId="4CD1A2DE"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w:t>
            </w:r>
          </w:p>
        </w:tc>
        <w:tc>
          <w:tcPr>
            <w:tcW w:w="2225" w:type="dxa"/>
            <w:tcBorders>
              <w:top w:val="nil"/>
              <w:left w:val="nil"/>
              <w:bottom w:val="nil"/>
              <w:right w:val="nil"/>
            </w:tcBorders>
            <w:tcMar>
              <w:top w:w="0" w:type="dxa"/>
              <w:left w:w="100" w:type="dxa"/>
              <w:bottom w:w="0" w:type="dxa"/>
              <w:right w:w="100" w:type="dxa"/>
            </w:tcMar>
          </w:tcPr>
          <w:p w14:paraId="2161F139"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r>
      <w:tr w:rsidR="003C11B1" w14:paraId="08A7573C" w14:textId="77777777">
        <w:trPr>
          <w:trHeight w:val="266"/>
        </w:trPr>
        <w:tc>
          <w:tcPr>
            <w:tcW w:w="4290" w:type="dxa"/>
            <w:tcBorders>
              <w:top w:val="nil"/>
              <w:left w:val="nil"/>
              <w:bottom w:val="nil"/>
              <w:right w:val="nil"/>
            </w:tcBorders>
            <w:tcMar>
              <w:top w:w="0" w:type="dxa"/>
              <w:left w:w="100" w:type="dxa"/>
              <w:bottom w:w="0" w:type="dxa"/>
              <w:right w:w="100" w:type="dxa"/>
            </w:tcMar>
          </w:tcPr>
          <w:p w14:paraId="6DC9D09F"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 Risk Assessment</w:t>
            </w:r>
          </w:p>
        </w:tc>
        <w:tc>
          <w:tcPr>
            <w:tcW w:w="1142" w:type="dxa"/>
            <w:tcBorders>
              <w:top w:val="nil"/>
              <w:left w:val="nil"/>
              <w:bottom w:val="nil"/>
              <w:right w:val="nil"/>
            </w:tcBorders>
            <w:tcMar>
              <w:top w:w="0" w:type="dxa"/>
              <w:left w:w="100" w:type="dxa"/>
              <w:bottom w:w="0" w:type="dxa"/>
              <w:right w:w="100" w:type="dxa"/>
            </w:tcMar>
          </w:tcPr>
          <w:p w14:paraId="72555A5F"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w:t>
            </w:r>
          </w:p>
        </w:tc>
        <w:tc>
          <w:tcPr>
            <w:tcW w:w="981" w:type="dxa"/>
            <w:tcBorders>
              <w:top w:val="nil"/>
              <w:left w:val="nil"/>
              <w:bottom w:val="nil"/>
              <w:right w:val="nil"/>
            </w:tcBorders>
            <w:tcMar>
              <w:top w:w="0" w:type="dxa"/>
              <w:left w:w="100" w:type="dxa"/>
              <w:bottom w:w="0" w:type="dxa"/>
              <w:right w:w="100" w:type="dxa"/>
            </w:tcMar>
          </w:tcPr>
          <w:p w14:paraId="4F78DD08"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0.59</w:t>
            </w:r>
          </w:p>
        </w:tc>
        <w:tc>
          <w:tcPr>
            <w:tcW w:w="2225" w:type="dxa"/>
            <w:tcBorders>
              <w:top w:val="nil"/>
              <w:left w:val="nil"/>
              <w:bottom w:val="nil"/>
              <w:right w:val="nil"/>
            </w:tcBorders>
            <w:tcMar>
              <w:top w:w="0" w:type="dxa"/>
              <w:left w:w="100" w:type="dxa"/>
              <w:bottom w:w="0" w:type="dxa"/>
              <w:right w:w="100" w:type="dxa"/>
            </w:tcMar>
          </w:tcPr>
          <w:p w14:paraId="6AC452BF"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r>
      <w:tr w:rsidR="003C11B1" w14:paraId="23AA7198" w14:textId="77777777">
        <w:trPr>
          <w:trHeight w:val="266"/>
        </w:trPr>
        <w:tc>
          <w:tcPr>
            <w:tcW w:w="4290" w:type="dxa"/>
            <w:tcBorders>
              <w:top w:val="nil"/>
              <w:left w:val="nil"/>
              <w:bottom w:val="nil"/>
              <w:right w:val="nil"/>
            </w:tcBorders>
            <w:tcMar>
              <w:top w:w="0" w:type="dxa"/>
              <w:left w:w="100" w:type="dxa"/>
              <w:bottom w:w="0" w:type="dxa"/>
              <w:right w:w="100" w:type="dxa"/>
            </w:tcMar>
          </w:tcPr>
          <w:p w14:paraId="16CA5737"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 Control Activities</w:t>
            </w:r>
          </w:p>
        </w:tc>
        <w:tc>
          <w:tcPr>
            <w:tcW w:w="1142" w:type="dxa"/>
            <w:tcBorders>
              <w:top w:val="nil"/>
              <w:left w:val="nil"/>
              <w:bottom w:val="nil"/>
              <w:right w:val="nil"/>
            </w:tcBorders>
            <w:tcMar>
              <w:top w:w="0" w:type="dxa"/>
              <w:left w:w="100" w:type="dxa"/>
              <w:bottom w:w="0" w:type="dxa"/>
              <w:right w:w="100" w:type="dxa"/>
            </w:tcMar>
          </w:tcPr>
          <w:p w14:paraId="6B809838"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w:t>
            </w:r>
          </w:p>
        </w:tc>
        <w:tc>
          <w:tcPr>
            <w:tcW w:w="981" w:type="dxa"/>
            <w:tcBorders>
              <w:top w:val="nil"/>
              <w:left w:val="nil"/>
              <w:bottom w:val="nil"/>
              <w:right w:val="nil"/>
            </w:tcBorders>
            <w:tcMar>
              <w:top w:w="0" w:type="dxa"/>
              <w:left w:w="100" w:type="dxa"/>
              <w:bottom w:w="0" w:type="dxa"/>
              <w:right w:w="100" w:type="dxa"/>
            </w:tcMar>
          </w:tcPr>
          <w:p w14:paraId="3F5C81DF"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2225" w:type="dxa"/>
            <w:tcBorders>
              <w:top w:val="nil"/>
              <w:left w:val="nil"/>
              <w:bottom w:val="nil"/>
              <w:right w:val="nil"/>
            </w:tcBorders>
            <w:tcMar>
              <w:top w:w="0" w:type="dxa"/>
              <w:left w:w="100" w:type="dxa"/>
              <w:bottom w:w="0" w:type="dxa"/>
              <w:right w:w="100" w:type="dxa"/>
            </w:tcMar>
          </w:tcPr>
          <w:p w14:paraId="5AEF26A5"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r>
      <w:tr w:rsidR="003C11B1" w14:paraId="6C20806B" w14:textId="77777777">
        <w:trPr>
          <w:trHeight w:val="216"/>
        </w:trPr>
        <w:tc>
          <w:tcPr>
            <w:tcW w:w="4290" w:type="dxa"/>
            <w:tcBorders>
              <w:top w:val="nil"/>
              <w:left w:val="nil"/>
              <w:bottom w:val="nil"/>
              <w:right w:val="nil"/>
            </w:tcBorders>
            <w:tcMar>
              <w:top w:w="0" w:type="dxa"/>
              <w:left w:w="100" w:type="dxa"/>
              <w:bottom w:w="0" w:type="dxa"/>
              <w:right w:w="100" w:type="dxa"/>
            </w:tcMar>
          </w:tcPr>
          <w:p w14:paraId="5CD48C0A"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 Information and Communication Systems</w:t>
            </w:r>
          </w:p>
        </w:tc>
        <w:tc>
          <w:tcPr>
            <w:tcW w:w="1142" w:type="dxa"/>
            <w:tcBorders>
              <w:top w:val="nil"/>
              <w:left w:val="nil"/>
              <w:bottom w:val="nil"/>
              <w:right w:val="nil"/>
            </w:tcBorders>
            <w:tcMar>
              <w:top w:w="0" w:type="dxa"/>
              <w:left w:w="100" w:type="dxa"/>
              <w:bottom w:w="0" w:type="dxa"/>
              <w:right w:w="100" w:type="dxa"/>
            </w:tcMar>
          </w:tcPr>
          <w:p w14:paraId="610D41D5"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w:t>
            </w:r>
          </w:p>
        </w:tc>
        <w:tc>
          <w:tcPr>
            <w:tcW w:w="981" w:type="dxa"/>
            <w:tcBorders>
              <w:top w:val="nil"/>
              <w:left w:val="nil"/>
              <w:bottom w:val="nil"/>
              <w:right w:val="nil"/>
            </w:tcBorders>
            <w:tcMar>
              <w:top w:w="0" w:type="dxa"/>
              <w:left w:w="100" w:type="dxa"/>
              <w:bottom w:w="0" w:type="dxa"/>
              <w:right w:w="100" w:type="dxa"/>
            </w:tcMar>
          </w:tcPr>
          <w:p w14:paraId="54A37F4A"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0.62</w:t>
            </w:r>
          </w:p>
        </w:tc>
        <w:tc>
          <w:tcPr>
            <w:tcW w:w="2225" w:type="dxa"/>
            <w:tcBorders>
              <w:top w:val="nil"/>
              <w:left w:val="nil"/>
              <w:bottom w:val="nil"/>
              <w:right w:val="nil"/>
            </w:tcBorders>
            <w:tcMar>
              <w:top w:w="0" w:type="dxa"/>
              <w:left w:w="100" w:type="dxa"/>
              <w:bottom w:w="0" w:type="dxa"/>
              <w:right w:w="100" w:type="dxa"/>
            </w:tcMar>
          </w:tcPr>
          <w:p w14:paraId="1F571DD7"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r>
      <w:tr w:rsidR="003C11B1" w14:paraId="0E689A2B" w14:textId="77777777">
        <w:trPr>
          <w:trHeight w:val="266"/>
        </w:trPr>
        <w:tc>
          <w:tcPr>
            <w:tcW w:w="4290" w:type="dxa"/>
            <w:tcBorders>
              <w:top w:val="nil"/>
              <w:left w:val="nil"/>
              <w:bottom w:val="single" w:sz="8" w:space="0" w:color="000000"/>
              <w:right w:val="nil"/>
            </w:tcBorders>
            <w:tcMar>
              <w:top w:w="0" w:type="dxa"/>
              <w:left w:w="100" w:type="dxa"/>
              <w:bottom w:w="0" w:type="dxa"/>
              <w:right w:w="100" w:type="dxa"/>
            </w:tcMar>
          </w:tcPr>
          <w:p w14:paraId="35EB755E"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 Monitoring</w:t>
            </w:r>
          </w:p>
        </w:tc>
        <w:tc>
          <w:tcPr>
            <w:tcW w:w="1142" w:type="dxa"/>
            <w:tcBorders>
              <w:top w:val="nil"/>
              <w:left w:val="nil"/>
              <w:bottom w:val="single" w:sz="8" w:space="0" w:color="000000"/>
              <w:right w:val="nil"/>
            </w:tcBorders>
            <w:tcMar>
              <w:top w:w="0" w:type="dxa"/>
              <w:left w:w="100" w:type="dxa"/>
              <w:bottom w:w="0" w:type="dxa"/>
              <w:right w:w="100" w:type="dxa"/>
            </w:tcMar>
          </w:tcPr>
          <w:p w14:paraId="25027197"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w:t>
            </w:r>
          </w:p>
        </w:tc>
        <w:tc>
          <w:tcPr>
            <w:tcW w:w="981" w:type="dxa"/>
            <w:tcBorders>
              <w:top w:val="nil"/>
              <w:left w:val="nil"/>
              <w:bottom w:val="single" w:sz="8" w:space="0" w:color="000000"/>
              <w:right w:val="nil"/>
            </w:tcBorders>
            <w:tcMar>
              <w:top w:w="0" w:type="dxa"/>
              <w:left w:w="100" w:type="dxa"/>
              <w:bottom w:w="0" w:type="dxa"/>
              <w:right w:w="100" w:type="dxa"/>
            </w:tcMar>
          </w:tcPr>
          <w:p w14:paraId="69CC6A8C"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0.58</w:t>
            </w:r>
          </w:p>
        </w:tc>
        <w:tc>
          <w:tcPr>
            <w:tcW w:w="2225" w:type="dxa"/>
            <w:tcBorders>
              <w:top w:val="nil"/>
              <w:left w:val="nil"/>
              <w:bottom w:val="single" w:sz="8" w:space="0" w:color="000000"/>
              <w:right w:val="nil"/>
            </w:tcBorders>
            <w:tcMar>
              <w:top w:w="0" w:type="dxa"/>
              <w:left w:w="100" w:type="dxa"/>
              <w:bottom w:w="0" w:type="dxa"/>
              <w:right w:w="100" w:type="dxa"/>
            </w:tcMar>
          </w:tcPr>
          <w:p w14:paraId="62205BA4"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r>
      <w:tr w:rsidR="003C11B1" w14:paraId="71C579EB" w14:textId="77777777">
        <w:trPr>
          <w:trHeight w:val="266"/>
        </w:trPr>
        <w:tc>
          <w:tcPr>
            <w:tcW w:w="4290" w:type="dxa"/>
            <w:tcBorders>
              <w:top w:val="nil"/>
              <w:left w:val="nil"/>
              <w:bottom w:val="single" w:sz="8" w:space="0" w:color="000000"/>
              <w:right w:val="nil"/>
            </w:tcBorders>
            <w:tcMar>
              <w:top w:w="0" w:type="dxa"/>
              <w:left w:w="100" w:type="dxa"/>
              <w:bottom w:w="0" w:type="dxa"/>
              <w:right w:w="100" w:type="dxa"/>
            </w:tcMar>
          </w:tcPr>
          <w:p w14:paraId="5DEF1333"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Overall</w:t>
            </w:r>
          </w:p>
        </w:tc>
        <w:tc>
          <w:tcPr>
            <w:tcW w:w="1142" w:type="dxa"/>
            <w:tcBorders>
              <w:top w:val="nil"/>
              <w:left w:val="nil"/>
              <w:bottom w:val="single" w:sz="8" w:space="0" w:color="000000"/>
              <w:right w:val="nil"/>
            </w:tcBorders>
            <w:tcMar>
              <w:top w:w="0" w:type="dxa"/>
              <w:left w:w="100" w:type="dxa"/>
              <w:bottom w:w="0" w:type="dxa"/>
              <w:right w:w="100" w:type="dxa"/>
            </w:tcMar>
          </w:tcPr>
          <w:p w14:paraId="37C0727B"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3.51</w:t>
            </w:r>
          </w:p>
        </w:tc>
        <w:tc>
          <w:tcPr>
            <w:tcW w:w="981" w:type="dxa"/>
            <w:tcBorders>
              <w:top w:val="nil"/>
              <w:left w:val="nil"/>
              <w:bottom w:val="single" w:sz="8" w:space="0" w:color="000000"/>
              <w:right w:val="nil"/>
            </w:tcBorders>
            <w:tcMar>
              <w:top w:w="0" w:type="dxa"/>
              <w:left w:w="100" w:type="dxa"/>
              <w:bottom w:w="0" w:type="dxa"/>
              <w:right w:w="100" w:type="dxa"/>
            </w:tcMar>
          </w:tcPr>
          <w:p w14:paraId="6CF4A230"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0.58</w:t>
            </w:r>
          </w:p>
        </w:tc>
        <w:tc>
          <w:tcPr>
            <w:tcW w:w="2225" w:type="dxa"/>
            <w:tcBorders>
              <w:top w:val="nil"/>
              <w:left w:val="nil"/>
              <w:bottom w:val="single" w:sz="8" w:space="0" w:color="000000"/>
              <w:right w:val="nil"/>
            </w:tcBorders>
            <w:tcMar>
              <w:top w:w="0" w:type="dxa"/>
              <w:left w:w="100" w:type="dxa"/>
              <w:bottom w:w="0" w:type="dxa"/>
              <w:right w:w="100" w:type="dxa"/>
            </w:tcMar>
          </w:tcPr>
          <w:p w14:paraId="7FFEEC8A"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Very High</w:t>
            </w:r>
          </w:p>
        </w:tc>
      </w:tr>
    </w:tbl>
    <w:p w14:paraId="3FE31C17"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shows that internal control effectiveness is rated Very High (M = 3.51). The control environment is the strongest dimension, showing that treasury operations are guided by strong leadership integrity, accountability frameworks, duty awareness, feedback mechanisms, and audit responsiveness. Monitoring, although still very high, had the lowest mean, which means that oversight and timely corrective actions need to be improved all the time. These findings are consistent with Agency Theory (Jensen &amp; Meckling, 1976, as cited in Zogning, 2017), which emphasizes formal controls to ensure accountability, and Stewardship Theory (Davis et al., 1997, </w:t>
      </w:r>
      <w:r>
        <w:rPr>
          <w:rFonts w:ascii="Times New Roman" w:eastAsia="Times New Roman" w:hAnsi="Times New Roman" w:cs="Times New Roman"/>
          <w:sz w:val="24"/>
          <w:szCs w:val="24"/>
        </w:rPr>
        <w:lastRenderedPageBreak/>
        <w:t>as cited in Madison et al., 2016), which proposes that public officials act in the best interests of the organization and community. The results show that internal controls in LGUs are not just tools for compliance; they are also part of a culture of accountability that helps the treasury work well.</w:t>
      </w:r>
    </w:p>
    <w:p w14:paraId="06B9719B" w14:textId="77777777" w:rsidR="003C11B1" w:rsidRDefault="003C11B1">
      <w:pPr>
        <w:spacing w:line="240" w:lineRule="auto"/>
        <w:jc w:val="both"/>
        <w:rPr>
          <w:rFonts w:ascii="Times New Roman" w:eastAsia="Times New Roman" w:hAnsi="Times New Roman" w:cs="Times New Roman"/>
          <w:sz w:val="24"/>
          <w:szCs w:val="24"/>
        </w:rPr>
      </w:pPr>
    </w:p>
    <w:p w14:paraId="1347F338" w14:textId="77777777" w:rsidR="003C11B1" w:rsidRDefault="00000000">
      <w:pPr>
        <w:pStyle w:val="Heading3"/>
      </w:pPr>
      <w:bookmarkStart w:id="6" w:name="_pwksrysfwccf" w:colFirst="0" w:colLast="0"/>
      <w:bookmarkEnd w:id="6"/>
      <w:r>
        <w:t>Perception of Local Treasury Performance</w:t>
      </w:r>
    </w:p>
    <w:p w14:paraId="4A4A6FC1" w14:textId="77777777" w:rsidR="003C11B1"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p>
    <w:p w14:paraId="24AE12BC" w14:textId="77777777" w:rsidR="003C11B1"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Table 2</w:t>
      </w:r>
    </w:p>
    <w:p w14:paraId="4511850C" w14:textId="77777777" w:rsidR="003C11B1" w:rsidRDefault="00000000">
      <w:pPr>
        <w:spacing w:line="240" w:lineRule="auto"/>
        <w:rPr>
          <w:rFonts w:ascii="Times New Roman" w:eastAsia="Times New Roman" w:hAnsi="Times New Roman" w:cs="Times New Roman"/>
          <w:i/>
          <w:iCs/>
        </w:rPr>
      </w:pPr>
      <w:r>
        <w:rPr>
          <w:rFonts w:ascii="Times New Roman" w:eastAsia="Times New Roman" w:hAnsi="Times New Roman" w:cs="Times New Roman"/>
          <w:i/>
          <w:iCs/>
        </w:rPr>
        <w:t>Summary Result of Local Treasury Performance</w:t>
      </w:r>
    </w:p>
    <w:tbl>
      <w:tblPr>
        <w:tblStyle w:val="a0"/>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84"/>
        <w:gridCol w:w="1144"/>
        <w:gridCol w:w="982"/>
        <w:gridCol w:w="2230"/>
      </w:tblGrid>
      <w:tr w:rsidR="003C11B1" w14:paraId="342376DE" w14:textId="77777777">
        <w:trPr>
          <w:trHeight w:val="216"/>
        </w:trPr>
        <w:tc>
          <w:tcPr>
            <w:tcW w:w="4283" w:type="dxa"/>
            <w:tcBorders>
              <w:top w:val="single" w:sz="8" w:space="0" w:color="000000"/>
              <w:left w:val="nil"/>
              <w:bottom w:val="single" w:sz="8" w:space="0" w:color="000000"/>
              <w:right w:val="nil"/>
            </w:tcBorders>
            <w:tcMar>
              <w:top w:w="0" w:type="dxa"/>
              <w:left w:w="100" w:type="dxa"/>
              <w:bottom w:w="0" w:type="dxa"/>
              <w:right w:w="100" w:type="dxa"/>
            </w:tcMar>
          </w:tcPr>
          <w:p w14:paraId="4C29F387"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Dimension</w:t>
            </w:r>
          </w:p>
        </w:tc>
        <w:tc>
          <w:tcPr>
            <w:tcW w:w="1144" w:type="dxa"/>
            <w:tcBorders>
              <w:top w:val="single" w:sz="8" w:space="0" w:color="000000"/>
              <w:left w:val="nil"/>
              <w:bottom w:val="single" w:sz="8" w:space="0" w:color="000000"/>
              <w:right w:val="nil"/>
            </w:tcBorders>
            <w:tcMar>
              <w:top w:w="0" w:type="dxa"/>
              <w:left w:w="100" w:type="dxa"/>
              <w:bottom w:w="0" w:type="dxa"/>
              <w:right w:w="100" w:type="dxa"/>
            </w:tcMar>
          </w:tcPr>
          <w:p w14:paraId="0070578A"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w:t>
            </w:r>
          </w:p>
        </w:tc>
        <w:tc>
          <w:tcPr>
            <w:tcW w:w="982" w:type="dxa"/>
            <w:tcBorders>
              <w:top w:val="single" w:sz="8" w:space="0" w:color="000000"/>
              <w:left w:val="nil"/>
              <w:bottom w:val="single" w:sz="8" w:space="0" w:color="000000"/>
              <w:right w:val="nil"/>
            </w:tcBorders>
            <w:tcMar>
              <w:top w:w="0" w:type="dxa"/>
              <w:left w:w="100" w:type="dxa"/>
              <w:bottom w:w="0" w:type="dxa"/>
              <w:right w:w="100" w:type="dxa"/>
            </w:tcMar>
          </w:tcPr>
          <w:p w14:paraId="70DB0646"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SD</w:t>
            </w:r>
          </w:p>
        </w:tc>
        <w:tc>
          <w:tcPr>
            <w:tcW w:w="2229" w:type="dxa"/>
            <w:tcBorders>
              <w:top w:val="single" w:sz="8" w:space="0" w:color="000000"/>
              <w:left w:val="nil"/>
              <w:bottom w:val="single" w:sz="8" w:space="0" w:color="000000"/>
              <w:right w:val="nil"/>
            </w:tcBorders>
            <w:tcMar>
              <w:top w:w="0" w:type="dxa"/>
              <w:left w:w="100" w:type="dxa"/>
              <w:bottom w:w="0" w:type="dxa"/>
              <w:right w:w="100" w:type="dxa"/>
            </w:tcMar>
          </w:tcPr>
          <w:p w14:paraId="1D8C8DAA"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Description</w:t>
            </w:r>
          </w:p>
        </w:tc>
      </w:tr>
      <w:tr w:rsidR="003C11B1" w14:paraId="22B16F9A" w14:textId="77777777">
        <w:trPr>
          <w:trHeight w:val="245"/>
        </w:trPr>
        <w:tc>
          <w:tcPr>
            <w:tcW w:w="4283" w:type="dxa"/>
            <w:tcBorders>
              <w:top w:val="nil"/>
              <w:left w:val="nil"/>
              <w:bottom w:val="nil"/>
              <w:right w:val="nil"/>
            </w:tcBorders>
            <w:tcMar>
              <w:top w:w="0" w:type="dxa"/>
              <w:left w:w="100" w:type="dxa"/>
              <w:bottom w:w="0" w:type="dxa"/>
              <w:right w:w="100" w:type="dxa"/>
            </w:tcMar>
          </w:tcPr>
          <w:p w14:paraId="4F9400C2"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Revenue Generation and Collection Efficiency</w:t>
            </w:r>
          </w:p>
        </w:tc>
        <w:tc>
          <w:tcPr>
            <w:tcW w:w="1144" w:type="dxa"/>
            <w:tcBorders>
              <w:top w:val="nil"/>
              <w:left w:val="nil"/>
              <w:bottom w:val="nil"/>
              <w:right w:val="nil"/>
            </w:tcBorders>
            <w:tcMar>
              <w:top w:w="0" w:type="dxa"/>
              <w:left w:w="100" w:type="dxa"/>
              <w:bottom w:w="0" w:type="dxa"/>
              <w:right w:w="100" w:type="dxa"/>
            </w:tcMar>
          </w:tcPr>
          <w:p w14:paraId="7BEDF1B5"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3.51</w:t>
            </w:r>
          </w:p>
        </w:tc>
        <w:tc>
          <w:tcPr>
            <w:tcW w:w="982" w:type="dxa"/>
            <w:tcBorders>
              <w:top w:val="nil"/>
              <w:left w:val="nil"/>
              <w:bottom w:val="nil"/>
              <w:right w:val="nil"/>
            </w:tcBorders>
            <w:tcMar>
              <w:top w:w="0" w:type="dxa"/>
              <w:left w:w="100" w:type="dxa"/>
              <w:bottom w:w="0" w:type="dxa"/>
              <w:right w:w="100" w:type="dxa"/>
            </w:tcMar>
          </w:tcPr>
          <w:p w14:paraId="725EA7C9"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2229" w:type="dxa"/>
            <w:tcBorders>
              <w:top w:val="nil"/>
              <w:left w:val="nil"/>
              <w:bottom w:val="nil"/>
              <w:right w:val="nil"/>
            </w:tcBorders>
            <w:tcMar>
              <w:top w:w="0" w:type="dxa"/>
              <w:left w:w="100" w:type="dxa"/>
              <w:bottom w:w="0" w:type="dxa"/>
              <w:right w:w="100" w:type="dxa"/>
            </w:tcMar>
          </w:tcPr>
          <w:p w14:paraId="3457ADC0"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Good</w:t>
            </w:r>
          </w:p>
        </w:tc>
      </w:tr>
      <w:tr w:rsidR="003C11B1" w14:paraId="2DEA2007" w14:textId="77777777">
        <w:trPr>
          <w:trHeight w:val="245"/>
        </w:trPr>
        <w:tc>
          <w:tcPr>
            <w:tcW w:w="4283" w:type="dxa"/>
            <w:tcBorders>
              <w:top w:val="nil"/>
              <w:left w:val="nil"/>
              <w:bottom w:val="nil"/>
              <w:right w:val="nil"/>
            </w:tcBorders>
            <w:tcMar>
              <w:top w:w="0" w:type="dxa"/>
              <w:left w:w="100" w:type="dxa"/>
              <w:bottom w:w="0" w:type="dxa"/>
              <w:right w:w="100" w:type="dxa"/>
            </w:tcMar>
          </w:tcPr>
          <w:p w14:paraId="0C131A0D"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Disbursement Timeliness and Fund Management</w:t>
            </w:r>
          </w:p>
        </w:tc>
        <w:tc>
          <w:tcPr>
            <w:tcW w:w="1144" w:type="dxa"/>
            <w:tcBorders>
              <w:top w:val="nil"/>
              <w:left w:val="nil"/>
              <w:bottom w:val="nil"/>
              <w:right w:val="nil"/>
            </w:tcBorders>
            <w:tcMar>
              <w:top w:w="0" w:type="dxa"/>
              <w:left w:w="100" w:type="dxa"/>
              <w:bottom w:w="0" w:type="dxa"/>
              <w:right w:w="100" w:type="dxa"/>
            </w:tcMar>
          </w:tcPr>
          <w:p w14:paraId="53DB138D"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3.56</w:t>
            </w:r>
          </w:p>
        </w:tc>
        <w:tc>
          <w:tcPr>
            <w:tcW w:w="982" w:type="dxa"/>
            <w:tcBorders>
              <w:top w:val="nil"/>
              <w:left w:val="nil"/>
              <w:bottom w:val="nil"/>
              <w:right w:val="nil"/>
            </w:tcBorders>
            <w:tcMar>
              <w:top w:w="0" w:type="dxa"/>
              <w:left w:w="100" w:type="dxa"/>
              <w:bottom w:w="0" w:type="dxa"/>
              <w:right w:w="100" w:type="dxa"/>
            </w:tcMar>
          </w:tcPr>
          <w:p w14:paraId="1689F638"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w:t>
            </w:r>
          </w:p>
        </w:tc>
        <w:tc>
          <w:tcPr>
            <w:tcW w:w="2229" w:type="dxa"/>
            <w:tcBorders>
              <w:top w:val="nil"/>
              <w:left w:val="nil"/>
              <w:bottom w:val="nil"/>
              <w:right w:val="nil"/>
            </w:tcBorders>
            <w:tcMar>
              <w:top w:w="0" w:type="dxa"/>
              <w:left w:w="100" w:type="dxa"/>
              <w:bottom w:w="0" w:type="dxa"/>
              <w:right w:w="100" w:type="dxa"/>
            </w:tcMar>
          </w:tcPr>
          <w:p w14:paraId="45B78EB2"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Good</w:t>
            </w:r>
          </w:p>
        </w:tc>
      </w:tr>
      <w:tr w:rsidR="003C11B1" w14:paraId="377B5D09" w14:textId="77777777">
        <w:trPr>
          <w:trHeight w:val="195"/>
        </w:trPr>
        <w:tc>
          <w:tcPr>
            <w:tcW w:w="4283" w:type="dxa"/>
            <w:tcBorders>
              <w:top w:val="nil"/>
              <w:left w:val="nil"/>
              <w:bottom w:val="nil"/>
              <w:right w:val="nil"/>
            </w:tcBorders>
            <w:tcMar>
              <w:top w:w="0" w:type="dxa"/>
              <w:left w:w="100" w:type="dxa"/>
              <w:bottom w:w="0" w:type="dxa"/>
              <w:right w:w="100" w:type="dxa"/>
            </w:tcMar>
          </w:tcPr>
          <w:p w14:paraId="09DB6C76"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Compliance and Reporting</w:t>
            </w:r>
          </w:p>
        </w:tc>
        <w:tc>
          <w:tcPr>
            <w:tcW w:w="1144" w:type="dxa"/>
            <w:tcBorders>
              <w:top w:val="nil"/>
              <w:left w:val="nil"/>
              <w:bottom w:val="nil"/>
              <w:right w:val="nil"/>
            </w:tcBorders>
            <w:tcMar>
              <w:top w:w="0" w:type="dxa"/>
              <w:left w:w="100" w:type="dxa"/>
              <w:bottom w:w="0" w:type="dxa"/>
              <w:right w:w="100" w:type="dxa"/>
            </w:tcMar>
          </w:tcPr>
          <w:p w14:paraId="41DC9C05"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w:t>
            </w:r>
          </w:p>
        </w:tc>
        <w:tc>
          <w:tcPr>
            <w:tcW w:w="982" w:type="dxa"/>
            <w:tcBorders>
              <w:top w:val="nil"/>
              <w:left w:val="nil"/>
              <w:bottom w:val="nil"/>
              <w:right w:val="nil"/>
            </w:tcBorders>
            <w:tcMar>
              <w:top w:w="0" w:type="dxa"/>
              <w:left w:w="100" w:type="dxa"/>
              <w:bottom w:w="0" w:type="dxa"/>
              <w:right w:w="100" w:type="dxa"/>
            </w:tcMar>
          </w:tcPr>
          <w:p w14:paraId="475A4BA6"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0.48</w:t>
            </w:r>
          </w:p>
        </w:tc>
        <w:tc>
          <w:tcPr>
            <w:tcW w:w="2229" w:type="dxa"/>
            <w:tcBorders>
              <w:top w:val="nil"/>
              <w:left w:val="nil"/>
              <w:bottom w:val="nil"/>
              <w:right w:val="nil"/>
            </w:tcBorders>
            <w:tcMar>
              <w:top w:w="0" w:type="dxa"/>
              <w:left w:w="100" w:type="dxa"/>
              <w:bottom w:w="0" w:type="dxa"/>
              <w:right w:w="100" w:type="dxa"/>
            </w:tcMar>
          </w:tcPr>
          <w:p w14:paraId="6E15055B"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Good</w:t>
            </w:r>
          </w:p>
        </w:tc>
      </w:tr>
      <w:tr w:rsidR="003C11B1" w14:paraId="475D9D67" w14:textId="77777777">
        <w:trPr>
          <w:trHeight w:val="195"/>
        </w:trPr>
        <w:tc>
          <w:tcPr>
            <w:tcW w:w="4283" w:type="dxa"/>
            <w:tcBorders>
              <w:top w:val="nil"/>
              <w:left w:val="nil"/>
              <w:bottom w:val="nil"/>
              <w:right w:val="nil"/>
            </w:tcBorders>
            <w:tcMar>
              <w:top w:w="0" w:type="dxa"/>
              <w:left w:w="100" w:type="dxa"/>
              <w:bottom w:w="0" w:type="dxa"/>
              <w:right w:w="100" w:type="dxa"/>
            </w:tcMar>
          </w:tcPr>
          <w:p w14:paraId="12ACE82E"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Service Delivery to Stakeholders</w:t>
            </w:r>
          </w:p>
        </w:tc>
        <w:tc>
          <w:tcPr>
            <w:tcW w:w="1144" w:type="dxa"/>
            <w:tcBorders>
              <w:top w:val="nil"/>
              <w:left w:val="nil"/>
              <w:bottom w:val="nil"/>
              <w:right w:val="nil"/>
            </w:tcBorders>
            <w:tcMar>
              <w:top w:w="0" w:type="dxa"/>
              <w:left w:w="100" w:type="dxa"/>
              <w:bottom w:w="0" w:type="dxa"/>
              <w:right w:w="100" w:type="dxa"/>
            </w:tcMar>
          </w:tcPr>
          <w:p w14:paraId="0E53F23F"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w:t>
            </w:r>
          </w:p>
        </w:tc>
        <w:tc>
          <w:tcPr>
            <w:tcW w:w="982" w:type="dxa"/>
            <w:tcBorders>
              <w:top w:val="nil"/>
              <w:left w:val="nil"/>
              <w:bottom w:val="nil"/>
              <w:right w:val="nil"/>
            </w:tcBorders>
            <w:tcMar>
              <w:top w:w="0" w:type="dxa"/>
              <w:left w:w="100" w:type="dxa"/>
              <w:bottom w:w="0" w:type="dxa"/>
              <w:right w:w="100" w:type="dxa"/>
            </w:tcMar>
          </w:tcPr>
          <w:p w14:paraId="458123F1"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c>
          <w:tcPr>
            <w:tcW w:w="2229" w:type="dxa"/>
            <w:tcBorders>
              <w:top w:val="nil"/>
              <w:left w:val="nil"/>
              <w:bottom w:val="nil"/>
              <w:right w:val="nil"/>
            </w:tcBorders>
            <w:tcMar>
              <w:top w:w="0" w:type="dxa"/>
              <w:left w:w="100" w:type="dxa"/>
              <w:bottom w:w="0" w:type="dxa"/>
              <w:right w:w="100" w:type="dxa"/>
            </w:tcMar>
          </w:tcPr>
          <w:p w14:paraId="064CB237"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Good</w:t>
            </w:r>
          </w:p>
        </w:tc>
      </w:tr>
      <w:tr w:rsidR="003C11B1" w14:paraId="5460E1A6" w14:textId="77777777">
        <w:trPr>
          <w:trHeight w:val="203"/>
        </w:trPr>
        <w:tc>
          <w:tcPr>
            <w:tcW w:w="4283" w:type="dxa"/>
            <w:tcBorders>
              <w:top w:val="nil"/>
              <w:left w:val="nil"/>
              <w:bottom w:val="single" w:sz="8" w:space="0" w:color="000000"/>
              <w:right w:val="nil"/>
            </w:tcBorders>
            <w:tcMar>
              <w:top w:w="0" w:type="dxa"/>
              <w:left w:w="100" w:type="dxa"/>
              <w:bottom w:w="0" w:type="dxa"/>
              <w:right w:w="100" w:type="dxa"/>
            </w:tcMar>
          </w:tcPr>
          <w:p w14:paraId="6D6C65D0"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Internal Operational Efficiency</w:t>
            </w:r>
          </w:p>
        </w:tc>
        <w:tc>
          <w:tcPr>
            <w:tcW w:w="1144" w:type="dxa"/>
            <w:tcBorders>
              <w:top w:val="nil"/>
              <w:left w:val="nil"/>
              <w:bottom w:val="single" w:sz="8" w:space="0" w:color="000000"/>
              <w:right w:val="nil"/>
            </w:tcBorders>
            <w:tcMar>
              <w:top w:w="0" w:type="dxa"/>
              <w:left w:w="100" w:type="dxa"/>
              <w:bottom w:w="0" w:type="dxa"/>
              <w:right w:w="100" w:type="dxa"/>
            </w:tcMar>
          </w:tcPr>
          <w:p w14:paraId="728ABDE4"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w:t>
            </w:r>
          </w:p>
        </w:tc>
        <w:tc>
          <w:tcPr>
            <w:tcW w:w="982" w:type="dxa"/>
            <w:tcBorders>
              <w:top w:val="nil"/>
              <w:left w:val="nil"/>
              <w:bottom w:val="single" w:sz="8" w:space="0" w:color="000000"/>
              <w:right w:val="nil"/>
            </w:tcBorders>
            <w:tcMar>
              <w:top w:w="0" w:type="dxa"/>
              <w:left w:w="100" w:type="dxa"/>
              <w:bottom w:w="0" w:type="dxa"/>
              <w:right w:w="100" w:type="dxa"/>
            </w:tcMar>
          </w:tcPr>
          <w:p w14:paraId="4FA3D23B"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2229" w:type="dxa"/>
            <w:tcBorders>
              <w:top w:val="nil"/>
              <w:left w:val="nil"/>
              <w:bottom w:val="single" w:sz="8" w:space="0" w:color="000000"/>
              <w:right w:val="nil"/>
            </w:tcBorders>
            <w:tcMar>
              <w:top w:w="0" w:type="dxa"/>
              <w:left w:w="100" w:type="dxa"/>
              <w:bottom w:w="0" w:type="dxa"/>
              <w:right w:w="100" w:type="dxa"/>
            </w:tcMar>
          </w:tcPr>
          <w:p w14:paraId="5AC50BC1"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Good</w:t>
            </w:r>
          </w:p>
        </w:tc>
      </w:tr>
      <w:tr w:rsidR="003C11B1" w14:paraId="2E6B9410" w14:textId="77777777">
        <w:trPr>
          <w:trHeight w:val="216"/>
        </w:trPr>
        <w:tc>
          <w:tcPr>
            <w:tcW w:w="4283" w:type="dxa"/>
            <w:tcBorders>
              <w:top w:val="nil"/>
              <w:left w:val="nil"/>
              <w:bottom w:val="single" w:sz="8" w:space="0" w:color="000000"/>
              <w:right w:val="nil"/>
            </w:tcBorders>
            <w:tcMar>
              <w:top w:w="0" w:type="dxa"/>
              <w:left w:w="100" w:type="dxa"/>
              <w:bottom w:w="0" w:type="dxa"/>
              <w:right w:w="100" w:type="dxa"/>
            </w:tcMar>
          </w:tcPr>
          <w:p w14:paraId="23BD84C8"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Overall</w:t>
            </w:r>
          </w:p>
        </w:tc>
        <w:tc>
          <w:tcPr>
            <w:tcW w:w="1144" w:type="dxa"/>
            <w:tcBorders>
              <w:top w:val="nil"/>
              <w:left w:val="nil"/>
              <w:bottom w:val="single" w:sz="8" w:space="0" w:color="000000"/>
              <w:right w:val="nil"/>
            </w:tcBorders>
            <w:tcMar>
              <w:top w:w="0" w:type="dxa"/>
              <w:left w:w="100" w:type="dxa"/>
              <w:bottom w:w="0" w:type="dxa"/>
              <w:right w:w="100" w:type="dxa"/>
            </w:tcMar>
          </w:tcPr>
          <w:p w14:paraId="389BC094"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3.58</w:t>
            </w:r>
          </w:p>
        </w:tc>
        <w:tc>
          <w:tcPr>
            <w:tcW w:w="982" w:type="dxa"/>
            <w:tcBorders>
              <w:top w:val="nil"/>
              <w:left w:val="nil"/>
              <w:bottom w:val="single" w:sz="8" w:space="0" w:color="000000"/>
              <w:right w:val="nil"/>
            </w:tcBorders>
            <w:tcMar>
              <w:top w:w="0" w:type="dxa"/>
              <w:left w:w="100" w:type="dxa"/>
              <w:bottom w:w="0" w:type="dxa"/>
              <w:right w:w="100" w:type="dxa"/>
            </w:tcMar>
          </w:tcPr>
          <w:p w14:paraId="4A37B206"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0.52</w:t>
            </w:r>
          </w:p>
        </w:tc>
        <w:tc>
          <w:tcPr>
            <w:tcW w:w="2229" w:type="dxa"/>
            <w:tcBorders>
              <w:top w:val="nil"/>
              <w:left w:val="nil"/>
              <w:bottom w:val="single" w:sz="8" w:space="0" w:color="000000"/>
              <w:right w:val="nil"/>
            </w:tcBorders>
            <w:tcMar>
              <w:top w:w="0" w:type="dxa"/>
              <w:left w:w="100" w:type="dxa"/>
              <w:bottom w:w="0" w:type="dxa"/>
              <w:right w:w="100" w:type="dxa"/>
            </w:tcMar>
          </w:tcPr>
          <w:p w14:paraId="55B57C3A"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Very Good</w:t>
            </w:r>
          </w:p>
        </w:tc>
      </w:tr>
    </w:tbl>
    <w:p w14:paraId="701BFF3A"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treasury performance is rated Very Good (M = 3.58) in Table 2, which suggests that it is effectively implemented in key areas such as operational efficiency, revenue management, compliance, disbursement procedures, and service delivery. Compliance and Reporting had the highest mean, reflecting strict adherence to regulations, timely reporting, and responsiveness to audit requirements, whereas Revenue Generation and Collection Efficiency, while still very good, had the lowest mean, indicating room for improvement in optimizing local revenue strategies. These results are in line with Agency Theory (Jensen &amp; Meckling, 1976, as cited in Zogning, 2017), which stresses transparency and accountability, and Stewardship Theory (Davis et al., 1997, as cited in Madison et al., 2016), which says that treasury-involved personnel help the organization and the community by having strong governance structures and a strong sense of ethics.</w:t>
      </w:r>
    </w:p>
    <w:p w14:paraId="7D1B56F7" w14:textId="77777777" w:rsidR="003C11B1" w:rsidRDefault="003C11B1">
      <w:pPr>
        <w:spacing w:line="240" w:lineRule="auto"/>
        <w:jc w:val="both"/>
        <w:rPr>
          <w:rFonts w:ascii="Times New Roman" w:eastAsia="Times New Roman" w:hAnsi="Times New Roman" w:cs="Times New Roman"/>
          <w:sz w:val="24"/>
          <w:szCs w:val="24"/>
        </w:rPr>
      </w:pPr>
    </w:p>
    <w:p w14:paraId="1CE44E86" w14:textId="77777777" w:rsidR="003C11B1" w:rsidRDefault="00000000">
      <w:pPr>
        <w:pStyle w:val="Heading3"/>
      </w:pPr>
      <w:bookmarkStart w:id="7" w:name="_fhp7ks76go4h" w:colFirst="0" w:colLast="0"/>
      <w:bookmarkEnd w:id="7"/>
      <w:r>
        <w:t>Perception of Ethical Climate</w:t>
      </w:r>
    </w:p>
    <w:p w14:paraId="7DA529D7" w14:textId="77777777" w:rsidR="003C11B1" w:rsidRDefault="003C11B1">
      <w:pPr>
        <w:spacing w:line="240" w:lineRule="auto"/>
        <w:jc w:val="both"/>
        <w:rPr>
          <w:rFonts w:ascii="Times New Roman" w:eastAsia="Times New Roman" w:hAnsi="Times New Roman" w:cs="Times New Roman"/>
          <w:b/>
          <w:bCs/>
          <w:sz w:val="24"/>
          <w:szCs w:val="24"/>
        </w:rPr>
      </w:pPr>
    </w:p>
    <w:p w14:paraId="44432207" w14:textId="77777777" w:rsidR="003C11B1" w:rsidRDefault="00000000">
      <w:pPr>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Table 3</w:t>
      </w:r>
    </w:p>
    <w:p w14:paraId="5E7D495F" w14:textId="77777777" w:rsidR="003C11B1" w:rsidRDefault="00000000">
      <w:pPr>
        <w:pBdr>
          <w:top w:val="nil"/>
          <w:left w:val="nil"/>
          <w:bottom w:val="nil"/>
          <w:right w:val="nil"/>
          <w:between w:val="nil"/>
        </w:pBdr>
        <w:spacing w:line="240" w:lineRule="auto"/>
        <w:rPr>
          <w:rFonts w:ascii="Times New Roman" w:eastAsia="Times New Roman" w:hAnsi="Times New Roman" w:cs="Times New Roman"/>
          <w:i/>
          <w:iCs/>
        </w:rPr>
      </w:pPr>
      <w:r>
        <w:rPr>
          <w:rFonts w:ascii="Times New Roman" w:eastAsia="Times New Roman" w:hAnsi="Times New Roman" w:cs="Times New Roman"/>
          <w:i/>
          <w:iCs/>
        </w:rPr>
        <w:t>Summary Result of Ethical Climate</w:t>
      </w:r>
    </w:p>
    <w:tbl>
      <w:tblPr>
        <w:tblStyle w:val="a1"/>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62"/>
        <w:gridCol w:w="1142"/>
        <w:gridCol w:w="995"/>
        <w:gridCol w:w="2241"/>
      </w:tblGrid>
      <w:tr w:rsidR="003C11B1" w14:paraId="6723E481" w14:textId="77777777">
        <w:trPr>
          <w:trHeight w:val="255"/>
        </w:trPr>
        <w:tc>
          <w:tcPr>
            <w:tcW w:w="4261" w:type="dxa"/>
            <w:tcBorders>
              <w:top w:val="single" w:sz="8" w:space="0" w:color="000000"/>
              <w:left w:val="nil"/>
              <w:bottom w:val="single" w:sz="8" w:space="0" w:color="000000"/>
              <w:right w:val="nil"/>
            </w:tcBorders>
            <w:tcMar>
              <w:top w:w="0" w:type="dxa"/>
              <w:left w:w="100" w:type="dxa"/>
              <w:bottom w:w="0" w:type="dxa"/>
              <w:right w:w="100" w:type="dxa"/>
            </w:tcMar>
          </w:tcPr>
          <w:p w14:paraId="0774B1C2"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Dimension</w:t>
            </w:r>
          </w:p>
        </w:tc>
        <w:tc>
          <w:tcPr>
            <w:tcW w:w="1142" w:type="dxa"/>
            <w:tcBorders>
              <w:top w:val="single" w:sz="8" w:space="0" w:color="000000"/>
              <w:left w:val="nil"/>
              <w:bottom w:val="single" w:sz="8" w:space="0" w:color="000000"/>
              <w:right w:val="nil"/>
            </w:tcBorders>
            <w:tcMar>
              <w:top w:w="0" w:type="dxa"/>
              <w:left w:w="100" w:type="dxa"/>
              <w:bottom w:w="0" w:type="dxa"/>
              <w:right w:w="100" w:type="dxa"/>
            </w:tcMar>
          </w:tcPr>
          <w:p w14:paraId="22D416B3"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w:t>
            </w:r>
          </w:p>
        </w:tc>
        <w:tc>
          <w:tcPr>
            <w:tcW w:w="995" w:type="dxa"/>
            <w:tcBorders>
              <w:top w:val="single" w:sz="8" w:space="0" w:color="000000"/>
              <w:left w:val="nil"/>
              <w:bottom w:val="single" w:sz="8" w:space="0" w:color="000000"/>
              <w:right w:val="nil"/>
            </w:tcBorders>
            <w:tcMar>
              <w:top w:w="0" w:type="dxa"/>
              <w:left w:w="100" w:type="dxa"/>
              <w:bottom w:w="0" w:type="dxa"/>
              <w:right w:w="100" w:type="dxa"/>
            </w:tcMar>
          </w:tcPr>
          <w:p w14:paraId="3D77A5D9"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SD</w:t>
            </w:r>
          </w:p>
        </w:tc>
        <w:tc>
          <w:tcPr>
            <w:tcW w:w="2240" w:type="dxa"/>
            <w:tcBorders>
              <w:top w:val="single" w:sz="8" w:space="0" w:color="000000"/>
              <w:left w:val="nil"/>
              <w:bottom w:val="single" w:sz="8" w:space="0" w:color="000000"/>
              <w:right w:val="nil"/>
            </w:tcBorders>
            <w:tcMar>
              <w:top w:w="0" w:type="dxa"/>
              <w:left w:w="100" w:type="dxa"/>
              <w:bottom w:w="0" w:type="dxa"/>
              <w:right w:w="100" w:type="dxa"/>
            </w:tcMar>
          </w:tcPr>
          <w:p w14:paraId="322240FC"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Description</w:t>
            </w:r>
          </w:p>
        </w:tc>
      </w:tr>
      <w:tr w:rsidR="003C11B1" w14:paraId="2A6171C5" w14:textId="77777777">
        <w:trPr>
          <w:trHeight w:val="240"/>
        </w:trPr>
        <w:tc>
          <w:tcPr>
            <w:tcW w:w="4261" w:type="dxa"/>
            <w:tcBorders>
              <w:top w:val="nil"/>
              <w:left w:val="nil"/>
              <w:bottom w:val="nil"/>
              <w:right w:val="nil"/>
            </w:tcBorders>
            <w:tcMar>
              <w:top w:w="0" w:type="dxa"/>
              <w:left w:w="100" w:type="dxa"/>
              <w:bottom w:w="0" w:type="dxa"/>
              <w:right w:w="100" w:type="dxa"/>
            </w:tcMar>
          </w:tcPr>
          <w:p w14:paraId="67020459"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Collective Moral Sensitivity</w:t>
            </w:r>
          </w:p>
        </w:tc>
        <w:tc>
          <w:tcPr>
            <w:tcW w:w="1142" w:type="dxa"/>
            <w:tcBorders>
              <w:top w:val="nil"/>
              <w:left w:val="nil"/>
              <w:bottom w:val="nil"/>
              <w:right w:val="nil"/>
            </w:tcBorders>
            <w:tcMar>
              <w:top w:w="0" w:type="dxa"/>
              <w:left w:w="100" w:type="dxa"/>
              <w:bottom w:w="0" w:type="dxa"/>
              <w:right w:w="100" w:type="dxa"/>
            </w:tcMar>
          </w:tcPr>
          <w:p w14:paraId="536DC237"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3.29</w:t>
            </w:r>
          </w:p>
        </w:tc>
        <w:tc>
          <w:tcPr>
            <w:tcW w:w="995" w:type="dxa"/>
            <w:tcBorders>
              <w:top w:val="nil"/>
              <w:left w:val="nil"/>
              <w:bottom w:val="nil"/>
              <w:right w:val="nil"/>
            </w:tcBorders>
            <w:tcMar>
              <w:top w:w="0" w:type="dxa"/>
              <w:left w:w="100" w:type="dxa"/>
              <w:bottom w:w="0" w:type="dxa"/>
              <w:right w:w="100" w:type="dxa"/>
            </w:tcMar>
          </w:tcPr>
          <w:p w14:paraId="34C0A9CC"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0.68</w:t>
            </w:r>
          </w:p>
        </w:tc>
        <w:tc>
          <w:tcPr>
            <w:tcW w:w="2240" w:type="dxa"/>
            <w:tcBorders>
              <w:top w:val="nil"/>
              <w:left w:val="nil"/>
              <w:bottom w:val="nil"/>
              <w:right w:val="nil"/>
            </w:tcBorders>
            <w:tcMar>
              <w:top w:w="0" w:type="dxa"/>
              <w:left w:w="100" w:type="dxa"/>
              <w:bottom w:w="0" w:type="dxa"/>
              <w:right w:w="100" w:type="dxa"/>
            </w:tcMar>
          </w:tcPr>
          <w:p w14:paraId="5E3ECD93"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Positive</w:t>
            </w:r>
          </w:p>
        </w:tc>
      </w:tr>
      <w:tr w:rsidR="003C11B1" w14:paraId="679A82EA" w14:textId="77777777">
        <w:trPr>
          <w:trHeight w:val="225"/>
        </w:trPr>
        <w:tc>
          <w:tcPr>
            <w:tcW w:w="4261" w:type="dxa"/>
            <w:tcBorders>
              <w:top w:val="nil"/>
              <w:left w:val="nil"/>
              <w:bottom w:val="nil"/>
              <w:right w:val="nil"/>
            </w:tcBorders>
            <w:tcMar>
              <w:top w:w="0" w:type="dxa"/>
              <w:left w:w="100" w:type="dxa"/>
              <w:bottom w:w="0" w:type="dxa"/>
              <w:right w:w="100" w:type="dxa"/>
            </w:tcMar>
          </w:tcPr>
          <w:p w14:paraId="77566595"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Collective Moral Judgment</w:t>
            </w:r>
          </w:p>
        </w:tc>
        <w:tc>
          <w:tcPr>
            <w:tcW w:w="1142" w:type="dxa"/>
            <w:tcBorders>
              <w:top w:val="nil"/>
              <w:left w:val="nil"/>
              <w:bottom w:val="nil"/>
              <w:right w:val="nil"/>
            </w:tcBorders>
            <w:tcMar>
              <w:top w:w="0" w:type="dxa"/>
              <w:left w:w="100" w:type="dxa"/>
              <w:bottom w:w="0" w:type="dxa"/>
              <w:right w:w="100" w:type="dxa"/>
            </w:tcMar>
          </w:tcPr>
          <w:p w14:paraId="48840F39"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w:t>
            </w:r>
          </w:p>
        </w:tc>
        <w:tc>
          <w:tcPr>
            <w:tcW w:w="995" w:type="dxa"/>
            <w:tcBorders>
              <w:top w:val="nil"/>
              <w:left w:val="nil"/>
              <w:bottom w:val="nil"/>
              <w:right w:val="nil"/>
            </w:tcBorders>
            <w:tcMar>
              <w:top w:w="0" w:type="dxa"/>
              <w:left w:w="100" w:type="dxa"/>
              <w:bottom w:w="0" w:type="dxa"/>
              <w:right w:w="100" w:type="dxa"/>
            </w:tcMar>
          </w:tcPr>
          <w:p w14:paraId="0D48CE8F"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2240" w:type="dxa"/>
            <w:tcBorders>
              <w:top w:val="nil"/>
              <w:left w:val="nil"/>
              <w:bottom w:val="nil"/>
              <w:right w:val="nil"/>
            </w:tcBorders>
            <w:tcMar>
              <w:top w:w="0" w:type="dxa"/>
              <w:left w:w="100" w:type="dxa"/>
              <w:bottom w:w="0" w:type="dxa"/>
              <w:right w:w="100" w:type="dxa"/>
            </w:tcMar>
          </w:tcPr>
          <w:p w14:paraId="3D28F70D"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Positive</w:t>
            </w:r>
          </w:p>
        </w:tc>
      </w:tr>
      <w:tr w:rsidR="003C11B1" w14:paraId="6E15011E" w14:textId="77777777">
        <w:trPr>
          <w:trHeight w:val="225"/>
        </w:trPr>
        <w:tc>
          <w:tcPr>
            <w:tcW w:w="4261" w:type="dxa"/>
            <w:tcBorders>
              <w:top w:val="nil"/>
              <w:left w:val="nil"/>
              <w:bottom w:val="nil"/>
              <w:right w:val="nil"/>
            </w:tcBorders>
            <w:tcMar>
              <w:top w:w="0" w:type="dxa"/>
              <w:left w:w="100" w:type="dxa"/>
              <w:bottom w:w="0" w:type="dxa"/>
              <w:right w:w="100" w:type="dxa"/>
            </w:tcMar>
          </w:tcPr>
          <w:p w14:paraId="2D9D3901"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Collective Moral Motivation</w:t>
            </w:r>
          </w:p>
        </w:tc>
        <w:tc>
          <w:tcPr>
            <w:tcW w:w="1142" w:type="dxa"/>
            <w:tcBorders>
              <w:top w:val="nil"/>
              <w:left w:val="nil"/>
              <w:bottom w:val="nil"/>
              <w:right w:val="nil"/>
            </w:tcBorders>
            <w:tcMar>
              <w:top w:w="0" w:type="dxa"/>
              <w:left w:w="100" w:type="dxa"/>
              <w:bottom w:w="0" w:type="dxa"/>
              <w:right w:w="100" w:type="dxa"/>
            </w:tcMar>
          </w:tcPr>
          <w:p w14:paraId="03A0A7B8"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w:t>
            </w:r>
          </w:p>
        </w:tc>
        <w:tc>
          <w:tcPr>
            <w:tcW w:w="995" w:type="dxa"/>
            <w:tcBorders>
              <w:top w:val="nil"/>
              <w:left w:val="nil"/>
              <w:bottom w:val="nil"/>
              <w:right w:val="nil"/>
            </w:tcBorders>
            <w:tcMar>
              <w:top w:w="0" w:type="dxa"/>
              <w:left w:w="100" w:type="dxa"/>
              <w:bottom w:w="0" w:type="dxa"/>
              <w:right w:w="100" w:type="dxa"/>
            </w:tcMar>
          </w:tcPr>
          <w:p w14:paraId="454EF4D7"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2240" w:type="dxa"/>
            <w:tcBorders>
              <w:top w:val="nil"/>
              <w:left w:val="nil"/>
              <w:bottom w:val="nil"/>
              <w:right w:val="nil"/>
            </w:tcBorders>
            <w:tcMar>
              <w:top w:w="0" w:type="dxa"/>
              <w:left w:w="100" w:type="dxa"/>
              <w:bottom w:w="0" w:type="dxa"/>
              <w:right w:w="100" w:type="dxa"/>
            </w:tcMar>
          </w:tcPr>
          <w:p w14:paraId="0113C263"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Positive</w:t>
            </w:r>
          </w:p>
        </w:tc>
      </w:tr>
      <w:tr w:rsidR="003C11B1" w14:paraId="77F795F2" w14:textId="77777777">
        <w:trPr>
          <w:trHeight w:val="240"/>
        </w:trPr>
        <w:tc>
          <w:tcPr>
            <w:tcW w:w="4261" w:type="dxa"/>
            <w:tcBorders>
              <w:top w:val="nil"/>
              <w:left w:val="nil"/>
              <w:bottom w:val="nil"/>
              <w:right w:val="nil"/>
            </w:tcBorders>
            <w:tcMar>
              <w:top w:w="0" w:type="dxa"/>
              <w:left w:w="100" w:type="dxa"/>
              <w:bottom w:w="0" w:type="dxa"/>
              <w:right w:w="100" w:type="dxa"/>
            </w:tcMar>
          </w:tcPr>
          <w:p w14:paraId="36D8BBBC"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Collective Moral Character</w:t>
            </w:r>
          </w:p>
        </w:tc>
        <w:tc>
          <w:tcPr>
            <w:tcW w:w="1142" w:type="dxa"/>
            <w:tcBorders>
              <w:top w:val="nil"/>
              <w:left w:val="nil"/>
              <w:bottom w:val="nil"/>
              <w:right w:val="nil"/>
            </w:tcBorders>
            <w:tcMar>
              <w:top w:w="0" w:type="dxa"/>
              <w:left w:w="100" w:type="dxa"/>
              <w:bottom w:w="0" w:type="dxa"/>
              <w:right w:w="100" w:type="dxa"/>
            </w:tcMar>
          </w:tcPr>
          <w:p w14:paraId="33A6E69A"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w:t>
            </w:r>
          </w:p>
        </w:tc>
        <w:tc>
          <w:tcPr>
            <w:tcW w:w="995" w:type="dxa"/>
            <w:tcBorders>
              <w:top w:val="nil"/>
              <w:left w:val="nil"/>
              <w:bottom w:val="nil"/>
              <w:right w:val="nil"/>
            </w:tcBorders>
            <w:tcMar>
              <w:top w:w="0" w:type="dxa"/>
              <w:left w:w="100" w:type="dxa"/>
              <w:bottom w:w="0" w:type="dxa"/>
              <w:right w:w="100" w:type="dxa"/>
            </w:tcMar>
          </w:tcPr>
          <w:p w14:paraId="24E96A7A"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w:t>
            </w:r>
          </w:p>
        </w:tc>
        <w:tc>
          <w:tcPr>
            <w:tcW w:w="2240" w:type="dxa"/>
            <w:tcBorders>
              <w:top w:val="nil"/>
              <w:left w:val="nil"/>
              <w:bottom w:val="nil"/>
              <w:right w:val="nil"/>
            </w:tcBorders>
            <w:tcMar>
              <w:top w:w="0" w:type="dxa"/>
              <w:left w:w="100" w:type="dxa"/>
              <w:bottom w:w="0" w:type="dxa"/>
              <w:right w:w="100" w:type="dxa"/>
            </w:tcMar>
          </w:tcPr>
          <w:p w14:paraId="29A69D91"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Positive</w:t>
            </w:r>
          </w:p>
        </w:tc>
      </w:tr>
      <w:tr w:rsidR="003C11B1" w14:paraId="3A3AEC9F" w14:textId="77777777">
        <w:trPr>
          <w:trHeight w:val="255"/>
        </w:trPr>
        <w:tc>
          <w:tcPr>
            <w:tcW w:w="4261" w:type="dxa"/>
            <w:tcBorders>
              <w:top w:val="single" w:sz="8" w:space="0" w:color="000000"/>
              <w:left w:val="nil"/>
              <w:bottom w:val="single" w:sz="8" w:space="0" w:color="000000"/>
              <w:right w:val="nil"/>
            </w:tcBorders>
            <w:tcMar>
              <w:top w:w="0" w:type="dxa"/>
              <w:left w:w="100" w:type="dxa"/>
              <w:bottom w:w="0" w:type="dxa"/>
              <w:right w:w="100" w:type="dxa"/>
            </w:tcMar>
          </w:tcPr>
          <w:p w14:paraId="70404FAF"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Overall</w:t>
            </w:r>
          </w:p>
        </w:tc>
        <w:tc>
          <w:tcPr>
            <w:tcW w:w="1142" w:type="dxa"/>
            <w:tcBorders>
              <w:top w:val="single" w:sz="8" w:space="0" w:color="000000"/>
              <w:left w:val="nil"/>
              <w:bottom w:val="single" w:sz="8" w:space="0" w:color="000000"/>
              <w:right w:val="nil"/>
            </w:tcBorders>
            <w:tcMar>
              <w:top w:w="0" w:type="dxa"/>
              <w:left w:w="100" w:type="dxa"/>
              <w:bottom w:w="0" w:type="dxa"/>
              <w:right w:w="100" w:type="dxa"/>
            </w:tcMar>
          </w:tcPr>
          <w:p w14:paraId="6E3DE6A1"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3.44</w:t>
            </w:r>
          </w:p>
        </w:tc>
        <w:tc>
          <w:tcPr>
            <w:tcW w:w="995" w:type="dxa"/>
            <w:tcBorders>
              <w:top w:val="single" w:sz="8" w:space="0" w:color="000000"/>
              <w:left w:val="nil"/>
              <w:bottom w:val="single" w:sz="8" w:space="0" w:color="000000"/>
              <w:right w:val="nil"/>
            </w:tcBorders>
            <w:tcMar>
              <w:top w:w="0" w:type="dxa"/>
              <w:left w:w="100" w:type="dxa"/>
              <w:bottom w:w="0" w:type="dxa"/>
              <w:right w:w="100" w:type="dxa"/>
            </w:tcMar>
          </w:tcPr>
          <w:p w14:paraId="57C5AAA5"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0.59</w:t>
            </w:r>
          </w:p>
        </w:tc>
        <w:tc>
          <w:tcPr>
            <w:tcW w:w="2240" w:type="dxa"/>
            <w:tcBorders>
              <w:top w:val="single" w:sz="8" w:space="0" w:color="000000"/>
              <w:left w:val="nil"/>
              <w:bottom w:val="single" w:sz="8" w:space="0" w:color="000000"/>
              <w:right w:val="nil"/>
            </w:tcBorders>
            <w:tcMar>
              <w:top w:w="0" w:type="dxa"/>
              <w:left w:w="100" w:type="dxa"/>
              <w:bottom w:w="0" w:type="dxa"/>
              <w:right w:w="100" w:type="dxa"/>
            </w:tcMar>
          </w:tcPr>
          <w:p w14:paraId="55305508"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Very Positive</w:t>
            </w:r>
          </w:p>
        </w:tc>
      </w:tr>
    </w:tbl>
    <w:p w14:paraId="01946C01"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shows that the overall ethical climate is Very Positive (M = 3.44), implying that ethical values are deeply embedded in treasury operations. Collective Moral Character had the highest mean, indicating strong integrity, fairness, and commitment to public trust, whereas Collective Moral Sensitivity, while still very positive, had the lowest mean, indicating the need for improved early detection of ethical issues. These findings are consistent with the Four-Component Model of Ethical Climate of Arnaud (2010, as cited in Loke, 2019), as the presence of strong moral character and motivation indicates that employees recognize ethical standards and apply them consistently. They also support Agency Theory (Jensen &amp; Meckling, 1976, as cited in Zogning, 2017), which says that a strong ethical climate stops people from being opportunistic by making them more accountable, and Stewardship Theory (Davis et al., 1997, as cited in Madison et al., </w:t>
      </w:r>
      <w:r>
        <w:rPr>
          <w:rFonts w:ascii="Times New Roman" w:eastAsia="Times New Roman" w:hAnsi="Times New Roman" w:cs="Times New Roman"/>
          <w:sz w:val="24"/>
          <w:szCs w:val="24"/>
        </w:rPr>
        <w:lastRenderedPageBreak/>
        <w:t>2016), which says that when people internalize ethical values, they act in the best interest of the organization and the public. Overall, the results show that a good ethical climate makes the treasury work better when people are responsible and accountable.</w:t>
      </w:r>
    </w:p>
    <w:p w14:paraId="3600067B" w14:textId="77777777" w:rsidR="003C11B1" w:rsidRDefault="003C11B1">
      <w:pPr>
        <w:spacing w:line="240" w:lineRule="auto"/>
        <w:jc w:val="both"/>
        <w:rPr>
          <w:rFonts w:ascii="Times New Roman" w:eastAsia="Times New Roman" w:hAnsi="Times New Roman" w:cs="Times New Roman"/>
          <w:sz w:val="24"/>
          <w:szCs w:val="24"/>
        </w:rPr>
      </w:pPr>
    </w:p>
    <w:p w14:paraId="3A05654A" w14:textId="77777777" w:rsidR="003C11B1" w:rsidRDefault="00000000">
      <w:pPr>
        <w:pStyle w:val="Heading3"/>
      </w:pPr>
      <w:bookmarkStart w:id="8" w:name="_aldhnbbd2c3n" w:colFirst="0" w:colLast="0"/>
      <w:bookmarkEnd w:id="8"/>
      <w:r>
        <w:t>Significant Difference in Internal Control Effectiveness as influenced by Profile</w:t>
      </w:r>
    </w:p>
    <w:p w14:paraId="7C0BAD8F" w14:textId="77777777" w:rsidR="003C11B1" w:rsidRDefault="003C11B1">
      <w:pPr>
        <w:spacing w:line="240" w:lineRule="auto"/>
        <w:jc w:val="both"/>
        <w:rPr>
          <w:rFonts w:ascii="Times New Roman" w:eastAsia="Times New Roman" w:hAnsi="Times New Roman" w:cs="Times New Roman"/>
          <w:sz w:val="24"/>
          <w:szCs w:val="24"/>
        </w:rPr>
      </w:pPr>
    </w:p>
    <w:p w14:paraId="670E3371" w14:textId="77777777" w:rsidR="003C11B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4</w:t>
      </w:r>
    </w:p>
    <w:p w14:paraId="26D876DB" w14:textId="77777777" w:rsidR="003C11B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Test of significant difference in internal control effectiveness when grouped based on profile</w:t>
      </w:r>
    </w:p>
    <w:tbl>
      <w:tblPr>
        <w:tblStyle w:val="a2"/>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2115"/>
        <w:gridCol w:w="930"/>
        <w:gridCol w:w="1080"/>
        <w:gridCol w:w="975"/>
        <w:gridCol w:w="1050"/>
        <w:gridCol w:w="1635"/>
      </w:tblGrid>
      <w:tr w:rsidR="003C11B1" w14:paraId="3E7709A2" w14:textId="77777777">
        <w:trPr>
          <w:trHeight w:val="435"/>
        </w:trPr>
        <w:tc>
          <w:tcPr>
            <w:tcW w:w="975" w:type="dxa"/>
            <w:tcBorders>
              <w:top w:val="single" w:sz="8" w:space="0" w:color="000000"/>
              <w:left w:val="nil"/>
              <w:bottom w:val="single" w:sz="8" w:space="0" w:color="000000"/>
              <w:right w:val="nil"/>
            </w:tcBorders>
            <w:tcMar>
              <w:top w:w="0" w:type="dxa"/>
              <w:left w:w="100" w:type="dxa"/>
              <w:bottom w:w="0" w:type="dxa"/>
              <w:right w:w="100" w:type="dxa"/>
            </w:tcMar>
          </w:tcPr>
          <w:p w14:paraId="59546C40"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Profile</w:t>
            </w:r>
          </w:p>
        </w:tc>
        <w:tc>
          <w:tcPr>
            <w:tcW w:w="2115" w:type="dxa"/>
            <w:tcBorders>
              <w:top w:val="single" w:sz="8" w:space="0" w:color="000000"/>
              <w:left w:val="nil"/>
              <w:bottom w:val="single" w:sz="8" w:space="0" w:color="000000"/>
              <w:right w:val="nil"/>
            </w:tcBorders>
            <w:tcMar>
              <w:top w:w="0" w:type="dxa"/>
              <w:left w:w="100" w:type="dxa"/>
              <w:bottom w:w="0" w:type="dxa"/>
              <w:right w:w="100" w:type="dxa"/>
            </w:tcMar>
          </w:tcPr>
          <w:p w14:paraId="16C9B20A"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Category</w:t>
            </w:r>
          </w:p>
        </w:tc>
        <w:tc>
          <w:tcPr>
            <w:tcW w:w="930" w:type="dxa"/>
            <w:tcBorders>
              <w:top w:val="single" w:sz="8" w:space="0" w:color="000000"/>
              <w:left w:val="nil"/>
              <w:bottom w:val="single" w:sz="8" w:space="0" w:color="000000"/>
              <w:right w:val="nil"/>
            </w:tcBorders>
            <w:tcMar>
              <w:top w:w="0" w:type="dxa"/>
              <w:left w:w="100" w:type="dxa"/>
              <w:bottom w:w="0" w:type="dxa"/>
              <w:right w:w="100" w:type="dxa"/>
            </w:tcMar>
          </w:tcPr>
          <w:p w14:paraId="52BFD47E"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Mean Rank</w:t>
            </w:r>
          </w:p>
        </w:tc>
        <w:tc>
          <w:tcPr>
            <w:tcW w:w="1080" w:type="dxa"/>
            <w:tcBorders>
              <w:top w:val="single" w:sz="8" w:space="0" w:color="000000"/>
              <w:left w:val="nil"/>
              <w:bottom w:val="single" w:sz="8" w:space="0" w:color="000000"/>
              <w:right w:val="nil"/>
            </w:tcBorders>
            <w:tcMar>
              <w:top w:w="0" w:type="dxa"/>
              <w:left w:w="100" w:type="dxa"/>
              <w:bottom w:w="0" w:type="dxa"/>
              <w:right w:w="100" w:type="dxa"/>
            </w:tcMar>
          </w:tcPr>
          <w:p w14:paraId="2447BBB8"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Test Statistic</w:t>
            </w:r>
          </w:p>
        </w:tc>
        <w:tc>
          <w:tcPr>
            <w:tcW w:w="975" w:type="dxa"/>
            <w:tcBorders>
              <w:top w:val="single" w:sz="8" w:space="0" w:color="000000"/>
              <w:left w:val="nil"/>
              <w:bottom w:val="single" w:sz="8" w:space="0" w:color="000000"/>
              <w:right w:val="nil"/>
            </w:tcBorders>
            <w:tcMar>
              <w:top w:w="0" w:type="dxa"/>
              <w:left w:w="100" w:type="dxa"/>
              <w:bottom w:w="0" w:type="dxa"/>
              <w:right w:w="100" w:type="dxa"/>
            </w:tcMar>
          </w:tcPr>
          <w:p w14:paraId="6EF9426E"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p-value</w:t>
            </w:r>
          </w:p>
        </w:tc>
        <w:tc>
          <w:tcPr>
            <w:tcW w:w="1050" w:type="dxa"/>
            <w:tcBorders>
              <w:top w:val="single" w:sz="8" w:space="0" w:color="000000"/>
              <w:left w:val="nil"/>
              <w:bottom w:val="single" w:sz="8" w:space="0" w:color="000000"/>
              <w:right w:val="nil"/>
            </w:tcBorders>
            <w:tcMar>
              <w:top w:w="0" w:type="dxa"/>
              <w:left w:w="100" w:type="dxa"/>
              <w:bottom w:w="0" w:type="dxa"/>
              <w:right w:w="100" w:type="dxa"/>
            </w:tcMar>
          </w:tcPr>
          <w:p w14:paraId="6B7665D4"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Decision</w:t>
            </w:r>
          </w:p>
        </w:tc>
        <w:tc>
          <w:tcPr>
            <w:tcW w:w="1635" w:type="dxa"/>
            <w:tcBorders>
              <w:top w:val="single" w:sz="8" w:space="0" w:color="000000"/>
              <w:left w:val="nil"/>
              <w:bottom w:val="single" w:sz="8" w:space="0" w:color="000000"/>
              <w:right w:val="nil"/>
            </w:tcBorders>
            <w:tcMar>
              <w:top w:w="0" w:type="dxa"/>
              <w:left w:w="100" w:type="dxa"/>
              <w:bottom w:w="0" w:type="dxa"/>
              <w:right w:w="100" w:type="dxa"/>
            </w:tcMar>
          </w:tcPr>
          <w:p w14:paraId="382D5733"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Interpretation</w:t>
            </w:r>
          </w:p>
        </w:tc>
      </w:tr>
      <w:tr w:rsidR="003C11B1" w14:paraId="6D5755C3" w14:textId="77777777">
        <w:trPr>
          <w:trHeight w:val="367"/>
        </w:trPr>
        <w:tc>
          <w:tcPr>
            <w:tcW w:w="975" w:type="dxa"/>
            <w:tcBorders>
              <w:top w:val="nil"/>
              <w:left w:val="nil"/>
              <w:bottom w:val="single" w:sz="8" w:space="0" w:color="000000"/>
              <w:right w:val="nil"/>
            </w:tcBorders>
            <w:tcMar>
              <w:top w:w="0" w:type="dxa"/>
              <w:left w:w="100" w:type="dxa"/>
              <w:bottom w:w="0" w:type="dxa"/>
              <w:right w:w="100" w:type="dxa"/>
            </w:tcMar>
          </w:tcPr>
          <w:p w14:paraId="77B957FA"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Age</w:t>
            </w:r>
          </w:p>
        </w:tc>
        <w:tc>
          <w:tcPr>
            <w:tcW w:w="2115" w:type="dxa"/>
            <w:tcBorders>
              <w:top w:val="nil"/>
              <w:left w:val="nil"/>
              <w:bottom w:val="single" w:sz="8" w:space="0" w:color="000000"/>
              <w:right w:val="nil"/>
            </w:tcBorders>
            <w:tcMar>
              <w:top w:w="0" w:type="dxa"/>
              <w:left w:w="100" w:type="dxa"/>
              <w:bottom w:w="0" w:type="dxa"/>
              <w:right w:w="100" w:type="dxa"/>
            </w:tcMar>
          </w:tcPr>
          <w:p w14:paraId="1C7100A4"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18-40 years old</w:t>
            </w:r>
          </w:p>
          <w:p w14:paraId="36325FEE"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41-65 years old</w:t>
            </w:r>
          </w:p>
        </w:tc>
        <w:tc>
          <w:tcPr>
            <w:tcW w:w="930" w:type="dxa"/>
            <w:tcBorders>
              <w:top w:val="nil"/>
              <w:left w:val="nil"/>
              <w:bottom w:val="single" w:sz="8" w:space="0" w:color="000000"/>
              <w:right w:val="nil"/>
            </w:tcBorders>
            <w:tcMar>
              <w:top w:w="0" w:type="dxa"/>
              <w:left w:w="100" w:type="dxa"/>
              <w:bottom w:w="0" w:type="dxa"/>
              <w:right w:w="100" w:type="dxa"/>
            </w:tcMar>
          </w:tcPr>
          <w:p w14:paraId="45970AD2"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57.18</w:t>
            </w:r>
          </w:p>
          <w:p w14:paraId="4E870091"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63.50</w:t>
            </w:r>
          </w:p>
        </w:tc>
        <w:tc>
          <w:tcPr>
            <w:tcW w:w="1080" w:type="dxa"/>
            <w:tcBorders>
              <w:top w:val="nil"/>
              <w:left w:val="nil"/>
              <w:bottom w:val="single" w:sz="8" w:space="0" w:color="000000"/>
              <w:right w:val="nil"/>
            </w:tcBorders>
            <w:tcMar>
              <w:top w:w="0" w:type="dxa"/>
              <w:left w:w="100" w:type="dxa"/>
              <w:bottom w:w="0" w:type="dxa"/>
              <w:right w:w="100" w:type="dxa"/>
            </w:tcMar>
          </w:tcPr>
          <w:p w14:paraId="2C2D9232"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-1.128</w:t>
            </w:r>
          </w:p>
        </w:tc>
        <w:tc>
          <w:tcPr>
            <w:tcW w:w="975" w:type="dxa"/>
            <w:tcBorders>
              <w:top w:val="nil"/>
              <w:left w:val="nil"/>
              <w:bottom w:val="single" w:sz="8" w:space="0" w:color="000000"/>
              <w:right w:val="nil"/>
            </w:tcBorders>
            <w:tcMar>
              <w:top w:w="0" w:type="dxa"/>
              <w:left w:w="100" w:type="dxa"/>
              <w:bottom w:w="0" w:type="dxa"/>
              <w:right w:w="100" w:type="dxa"/>
            </w:tcMar>
          </w:tcPr>
          <w:p w14:paraId="6B4E41A2"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0.260</w:t>
            </w:r>
          </w:p>
        </w:tc>
        <w:tc>
          <w:tcPr>
            <w:tcW w:w="1050" w:type="dxa"/>
            <w:tcBorders>
              <w:top w:val="nil"/>
              <w:left w:val="nil"/>
              <w:bottom w:val="single" w:sz="8" w:space="0" w:color="000000"/>
              <w:right w:val="nil"/>
            </w:tcBorders>
            <w:tcMar>
              <w:top w:w="0" w:type="dxa"/>
              <w:left w:w="100" w:type="dxa"/>
              <w:bottom w:w="0" w:type="dxa"/>
              <w:right w:w="100" w:type="dxa"/>
            </w:tcMar>
          </w:tcPr>
          <w:p w14:paraId="3438C9E8"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H01a</w:t>
            </w:r>
          </w:p>
        </w:tc>
        <w:tc>
          <w:tcPr>
            <w:tcW w:w="1635" w:type="dxa"/>
            <w:tcBorders>
              <w:top w:val="nil"/>
              <w:left w:val="nil"/>
              <w:bottom w:val="single" w:sz="8" w:space="0" w:color="000000"/>
              <w:right w:val="nil"/>
            </w:tcBorders>
            <w:tcMar>
              <w:top w:w="0" w:type="dxa"/>
              <w:left w:w="100" w:type="dxa"/>
              <w:bottom w:w="0" w:type="dxa"/>
              <w:right w:w="100" w:type="dxa"/>
            </w:tcMar>
          </w:tcPr>
          <w:p w14:paraId="01A68C0C"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r w:rsidR="003C11B1" w14:paraId="7396CD3B" w14:textId="77777777">
        <w:trPr>
          <w:trHeight w:val="367"/>
        </w:trPr>
        <w:tc>
          <w:tcPr>
            <w:tcW w:w="975" w:type="dxa"/>
            <w:tcBorders>
              <w:top w:val="nil"/>
              <w:left w:val="nil"/>
              <w:bottom w:val="single" w:sz="8" w:space="0" w:color="000000"/>
              <w:right w:val="nil"/>
            </w:tcBorders>
            <w:tcMar>
              <w:top w:w="0" w:type="dxa"/>
              <w:left w:w="100" w:type="dxa"/>
              <w:bottom w:w="0" w:type="dxa"/>
              <w:right w:w="100" w:type="dxa"/>
            </w:tcMar>
          </w:tcPr>
          <w:p w14:paraId="4A821CE4"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Sex</w:t>
            </w:r>
          </w:p>
        </w:tc>
        <w:tc>
          <w:tcPr>
            <w:tcW w:w="2115" w:type="dxa"/>
            <w:tcBorders>
              <w:top w:val="nil"/>
              <w:left w:val="nil"/>
              <w:bottom w:val="single" w:sz="8" w:space="0" w:color="000000"/>
              <w:right w:val="nil"/>
            </w:tcBorders>
            <w:tcMar>
              <w:top w:w="0" w:type="dxa"/>
              <w:left w:w="100" w:type="dxa"/>
              <w:bottom w:w="0" w:type="dxa"/>
              <w:right w:w="100" w:type="dxa"/>
            </w:tcMar>
          </w:tcPr>
          <w:p w14:paraId="7C9B305D"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Male</w:t>
            </w:r>
          </w:p>
          <w:p w14:paraId="689B624F"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Female</w:t>
            </w:r>
          </w:p>
        </w:tc>
        <w:tc>
          <w:tcPr>
            <w:tcW w:w="930" w:type="dxa"/>
            <w:tcBorders>
              <w:top w:val="nil"/>
              <w:left w:val="nil"/>
              <w:bottom w:val="single" w:sz="8" w:space="0" w:color="000000"/>
              <w:right w:val="nil"/>
            </w:tcBorders>
            <w:tcMar>
              <w:top w:w="0" w:type="dxa"/>
              <w:left w:w="100" w:type="dxa"/>
              <w:bottom w:w="0" w:type="dxa"/>
              <w:right w:w="100" w:type="dxa"/>
            </w:tcMar>
          </w:tcPr>
          <w:p w14:paraId="2C175AB9"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59.25</w:t>
            </w:r>
          </w:p>
          <w:p w14:paraId="170045E0"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61.08</w:t>
            </w:r>
          </w:p>
        </w:tc>
        <w:tc>
          <w:tcPr>
            <w:tcW w:w="1080" w:type="dxa"/>
            <w:tcBorders>
              <w:top w:val="nil"/>
              <w:left w:val="nil"/>
              <w:bottom w:val="single" w:sz="8" w:space="0" w:color="000000"/>
              <w:right w:val="nil"/>
            </w:tcBorders>
            <w:tcMar>
              <w:top w:w="0" w:type="dxa"/>
              <w:left w:w="100" w:type="dxa"/>
              <w:bottom w:w="0" w:type="dxa"/>
              <w:right w:w="100" w:type="dxa"/>
            </w:tcMar>
          </w:tcPr>
          <w:p w14:paraId="00854D9D"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-0.304</w:t>
            </w:r>
          </w:p>
        </w:tc>
        <w:tc>
          <w:tcPr>
            <w:tcW w:w="975" w:type="dxa"/>
            <w:tcBorders>
              <w:top w:val="nil"/>
              <w:left w:val="nil"/>
              <w:bottom w:val="single" w:sz="8" w:space="0" w:color="000000"/>
              <w:right w:val="nil"/>
            </w:tcBorders>
            <w:tcMar>
              <w:top w:w="0" w:type="dxa"/>
              <w:left w:w="100" w:type="dxa"/>
              <w:bottom w:w="0" w:type="dxa"/>
              <w:right w:w="100" w:type="dxa"/>
            </w:tcMar>
          </w:tcPr>
          <w:p w14:paraId="14FF2C19"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0.761</w:t>
            </w:r>
          </w:p>
        </w:tc>
        <w:tc>
          <w:tcPr>
            <w:tcW w:w="1050" w:type="dxa"/>
            <w:tcBorders>
              <w:top w:val="nil"/>
              <w:left w:val="nil"/>
              <w:bottom w:val="single" w:sz="8" w:space="0" w:color="000000"/>
              <w:right w:val="nil"/>
            </w:tcBorders>
            <w:tcMar>
              <w:top w:w="0" w:type="dxa"/>
              <w:left w:w="100" w:type="dxa"/>
              <w:bottom w:w="0" w:type="dxa"/>
              <w:right w:w="100" w:type="dxa"/>
            </w:tcMar>
          </w:tcPr>
          <w:p w14:paraId="1C4B6712"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H01b</w:t>
            </w:r>
          </w:p>
        </w:tc>
        <w:tc>
          <w:tcPr>
            <w:tcW w:w="1635" w:type="dxa"/>
            <w:tcBorders>
              <w:top w:val="nil"/>
              <w:left w:val="nil"/>
              <w:bottom w:val="single" w:sz="8" w:space="0" w:color="000000"/>
              <w:right w:val="nil"/>
            </w:tcBorders>
            <w:tcMar>
              <w:top w:w="0" w:type="dxa"/>
              <w:left w:w="100" w:type="dxa"/>
              <w:bottom w:w="0" w:type="dxa"/>
              <w:right w:w="100" w:type="dxa"/>
            </w:tcMar>
          </w:tcPr>
          <w:p w14:paraId="13BDCE0F"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r w:rsidR="003C11B1" w14:paraId="00741EE5" w14:textId="77777777">
        <w:trPr>
          <w:trHeight w:val="1114"/>
        </w:trPr>
        <w:tc>
          <w:tcPr>
            <w:tcW w:w="975" w:type="dxa"/>
            <w:tcBorders>
              <w:top w:val="nil"/>
              <w:left w:val="nil"/>
              <w:bottom w:val="single" w:sz="8" w:space="0" w:color="000000"/>
              <w:right w:val="nil"/>
            </w:tcBorders>
            <w:tcMar>
              <w:top w:w="0" w:type="dxa"/>
              <w:left w:w="100" w:type="dxa"/>
              <w:bottom w:w="0" w:type="dxa"/>
              <w:right w:w="100" w:type="dxa"/>
            </w:tcMar>
          </w:tcPr>
          <w:p w14:paraId="7B4C4654"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Years in Service</w:t>
            </w:r>
          </w:p>
        </w:tc>
        <w:tc>
          <w:tcPr>
            <w:tcW w:w="2115" w:type="dxa"/>
            <w:tcBorders>
              <w:top w:val="nil"/>
              <w:left w:val="nil"/>
              <w:bottom w:val="single" w:sz="8" w:space="0" w:color="000000"/>
              <w:right w:val="nil"/>
            </w:tcBorders>
            <w:tcMar>
              <w:top w:w="0" w:type="dxa"/>
              <w:left w:w="100" w:type="dxa"/>
              <w:bottom w:w="0" w:type="dxa"/>
              <w:right w:w="100" w:type="dxa"/>
            </w:tcMar>
          </w:tcPr>
          <w:p w14:paraId="383310B5"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 years</w:t>
            </w:r>
          </w:p>
          <w:p w14:paraId="1A14C3E7"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 years</w:t>
            </w:r>
          </w:p>
          <w:p w14:paraId="29AC27B9"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10-19 years</w:t>
            </w:r>
          </w:p>
          <w:p w14:paraId="4C7C9D87"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20-29 years</w:t>
            </w:r>
          </w:p>
          <w:p w14:paraId="63B41C28"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 years and above</w:t>
            </w:r>
          </w:p>
        </w:tc>
        <w:tc>
          <w:tcPr>
            <w:tcW w:w="930" w:type="dxa"/>
            <w:tcBorders>
              <w:top w:val="nil"/>
              <w:left w:val="nil"/>
              <w:bottom w:val="single" w:sz="8" w:space="0" w:color="000000"/>
              <w:right w:val="nil"/>
            </w:tcBorders>
            <w:tcMar>
              <w:top w:w="0" w:type="dxa"/>
              <w:left w:w="100" w:type="dxa"/>
              <w:bottom w:w="0" w:type="dxa"/>
              <w:right w:w="100" w:type="dxa"/>
            </w:tcMar>
          </w:tcPr>
          <w:p w14:paraId="0FA91BC0"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62.68</w:t>
            </w:r>
          </w:p>
          <w:p w14:paraId="659A59D5"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55.66</w:t>
            </w:r>
          </w:p>
          <w:p w14:paraId="6D752C59"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67.89</w:t>
            </w:r>
          </w:p>
          <w:p w14:paraId="433348B8"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63.03</w:t>
            </w:r>
          </w:p>
          <w:p w14:paraId="21799463"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67.17</w:t>
            </w:r>
          </w:p>
        </w:tc>
        <w:tc>
          <w:tcPr>
            <w:tcW w:w="1080" w:type="dxa"/>
            <w:tcBorders>
              <w:top w:val="nil"/>
              <w:left w:val="nil"/>
              <w:bottom w:val="single" w:sz="8" w:space="0" w:color="000000"/>
              <w:right w:val="nil"/>
            </w:tcBorders>
            <w:tcMar>
              <w:top w:w="0" w:type="dxa"/>
              <w:left w:w="100" w:type="dxa"/>
              <w:bottom w:w="0" w:type="dxa"/>
              <w:right w:w="100" w:type="dxa"/>
            </w:tcMar>
          </w:tcPr>
          <w:p w14:paraId="503E4FC3"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3.170</w:t>
            </w:r>
          </w:p>
        </w:tc>
        <w:tc>
          <w:tcPr>
            <w:tcW w:w="975" w:type="dxa"/>
            <w:tcBorders>
              <w:top w:val="nil"/>
              <w:left w:val="nil"/>
              <w:bottom w:val="single" w:sz="8" w:space="0" w:color="000000"/>
              <w:right w:val="nil"/>
            </w:tcBorders>
            <w:tcMar>
              <w:top w:w="0" w:type="dxa"/>
              <w:left w:w="100" w:type="dxa"/>
              <w:bottom w:w="0" w:type="dxa"/>
              <w:right w:w="100" w:type="dxa"/>
            </w:tcMar>
          </w:tcPr>
          <w:p w14:paraId="0186D5B8"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0.530</w:t>
            </w:r>
          </w:p>
        </w:tc>
        <w:tc>
          <w:tcPr>
            <w:tcW w:w="1050" w:type="dxa"/>
            <w:tcBorders>
              <w:top w:val="nil"/>
              <w:left w:val="nil"/>
              <w:bottom w:val="single" w:sz="8" w:space="0" w:color="000000"/>
              <w:right w:val="nil"/>
            </w:tcBorders>
            <w:tcMar>
              <w:top w:w="0" w:type="dxa"/>
              <w:left w:w="100" w:type="dxa"/>
              <w:bottom w:w="0" w:type="dxa"/>
              <w:right w:w="100" w:type="dxa"/>
            </w:tcMar>
          </w:tcPr>
          <w:p w14:paraId="2CC19A35"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H01d</w:t>
            </w:r>
          </w:p>
        </w:tc>
        <w:tc>
          <w:tcPr>
            <w:tcW w:w="1635" w:type="dxa"/>
            <w:tcBorders>
              <w:top w:val="nil"/>
              <w:left w:val="nil"/>
              <w:bottom w:val="single" w:sz="8" w:space="0" w:color="000000"/>
              <w:right w:val="nil"/>
            </w:tcBorders>
            <w:tcMar>
              <w:top w:w="0" w:type="dxa"/>
              <w:left w:w="100" w:type="dxa"/>
              <w:bottom w:w="0" w:type="dxa"/>
              <w:right w:w="100" w:type="dxa"/>
            </w:tcMar>
          </w:tcPr>
          <w:p w14:paraId="1A45BD19"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bl>
    <w:p w14:paraId="01D1F8DF"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 Table 4 indicate no significant differences in internal control effectiveness when categorized by age, sex, or years of service (p &gt; 0.05), suggesting that the implementation and perception of controls are consistent among respondents. This indicates that internal control systems in LGUs are standardized and institutionalized, influenced by uniform policies, procedures, and compliance mechanisms rather than personal attributes. Backed by earlier research (Ashbaugh-Skaife et al., 2007, as cited in Hua et al., 2022; Schneid et al., 2016; Quinal &amp; Dupa, 2024; Gregorio, 2025), the findings emphasize that formal governance frameworks and adherence to regulations are essential for maintaining the reliability, stability, and integrity of treasury operations.</w:t>
      </w:r>
    </w:p>
    <w:p w14:paraId="6F452B49" w14:textId="77777777" w:rsidR="003C11B1" w:rsidRDefault="003C11B1">
      <w:pPr>
        <w:spacing w:line="240" w:lineRule="auto"/>
        <w:ind w:firstLine="720"/>
        <w:jc w:val="both"/>
        <w:rPr>
          <w:rFonts w:ascii="Times New Roman" w:eastAsia="Times New Roman" w:hAnsi="Times New Roman" w:cs="Times New Roman"/>
          <w:sz w:val="24"/>
          <w:szCs w:val="24"/>
        </w:rPr>
      </w:pPr>
    </w:p>
    <w:p w14:paraId="4B9A79EA" w14:textId="77777777" w:rsidR="003C11B1" w:rsidRDefault="00000000">
      <w:pPr>
        <w:pStyle w:val="Heading3"/>
      </w:pPr>
      <w:bookmarkStart w:id="9" w:name="_vjppe1fo81d9" w:colFirst="0" w:colLast="0"/>
      <w:bookmarkEnd w:id="9"/>
      <w:r>
        <w:t>Significant Difference in Local Treasury Performance as influenced by Profile</w:t>
      </w:r>
    </w:p>
    <w:p w14:paraId="0043EC97" w14:textId="77777777" w:rsidR="003C11B1"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p>
    <w:p w14:paraId="48D80385" w14:textId="77777777" w:rsidR="003C11B1" w:rsidRDefault="00000000">
      <w:pPr>
        <w:pBdr>
          <w:top w:val="nil"/>
          <w:left w:val="nil"/>
          <w:bottom w:val="nil"/>
          <w:right w:val="nil"/>
          <w:between w:val="nil"/>
        </w:pBd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5</w:t>
      </w:r>
    </w:p>
    <w:p w14:paraId="220BD4AB" w14:textId="77777777" w:rsidR="003C11B1" w:rsidRDefault="00000000">
      <w:pPr>
        <w:pBdr>
          <w:top w:val="nil"/>
          <w:left w:val="nil"/>
          <w:bottom w:val="nil"/>
          <w:right w:val="nil"/>
          <w:between w:val="nil"/>
        </w:pBd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Test of significant difference in local treasury performance when grouped based on profile</w:t>
      </w:r>
    </w:p>
    <w:tbl>
      <w:tblPr>
        <w:tblStyle w:val="a3"/>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2115"/>
        <w:gridCol w:w="930"/>
        <w:gridCol w:w="1095"/>
        <w:gridCol w:w="1035"/>
        <w:gridCol w:w="1140"/>
        <w:gridCol w:w="1665"/>
      </w:tblGrid>
      <w:tr w:rsidR="003C11B1" w14:paraId="44F43266" w14:textId="77777777">
        <w:trPr>
          <w:trHeight w:val="372"/>
        </w:trPr>
        <w:tc>
          <w:tcPr>
            <w:tcW w:w="975" w:type="dxa"/>
            <w:tcBorders>
              <w:top w:val="single" w:sz="8" w:space="0" w:color="000000"/>
              <w:left w:val="nil"/>
              <w:bottom w:val="single" w:sz="8" w:space="0" w:color="000000"/>
              <w:right w:val="nil"/>
            </w:tcBorders>
            <w:tcMar>
              <w:top w:w="0" w:type="dxa"/>
              <w:left w:w="100" w:type="dxa"/>
              <w:bottom w:w="0" w:type="dxa"/>
              <w:right w:w="100" w:type="dxa"/>
            </w:tcMar>
          </w:tcPr>
          <w:p w14:paraId="3AEA73B2"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Profile</w:t>
            </w:r>
          </w:p>
        </w:tc>
        <w:tc>
          <w:tcPr>
            <w:tcW w:w="2115" w:type="dxa"/>
            <w:tcBorders>
              <w:top w:val="single" w:sz="8" w:space="0" w:color="000000"/>
              <w:left w:val="nil"/>
              <w:bottom w:val="single" w:sz="8" w:space="0" w:color="000000"/>
              <w:right w:val="nil"/>
            </w:tcBorders>
            <w:tcMar>
              <w:top w:w="0" w:type="dxa"/>
              <w:left w:w="100" w:type="dxa"/>
              <w:bottom w:w="0" w:type="dxa"/>
              <w:right w:w="100" w:type="dxa"/>
            </w:tcMar>
          </w:tcPr>
          <w:p w14:paraId="4F6549C2"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Category</w:t>
            </w:r>
          </w:p>
        </w:tc>
        <w:tc>
          <w:tcPr>
            <w:tcW w:w="930" w:type="dxa"/>
            <w:tcBorders>
              <w:top w:val="single" w:sz="8" w:space="0" w:color="000000"/>
              <w:left w:val="nil"/>
              <w:bottom w:val="single" w:sz="8" w:space="0" w:color="000000"/>
              <w:right w:val="nil"/>
            </w:tcBorders>
            <w:tcMar>
              <w:top w:w="0" w:type="dxa"/>
              <w:left w:w="100" w:type="dxa"/>
              <w:bottom w:w="0" w:type="dxa"/>
              <w:right w:w="100" w:type="dxa"/>
            </w:tcMar>
          </w:tcPr>
          <w:p w14:paraId="7BCB6600"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Mean Rank</w:t>
            </w:r>
          </w:p>
        </w:tc>
        <w:tc>
          <w:tcPr>
            <w:tcW w:w="1095" w:type="dxa"/>
            <w:tcBorders>
              <w:top w:val="single" w:sz="8" w:space="0" w:color="000000"/>
              <w:left w:val="nil"/>
              <w:bottom w:val="single" w:sz="8" w:space="0" w:color="000000"/>
              <w:right w:val="nil"/>
            </w:tcBorders>
            <w:tcMar>
              <w:top w:w="0" w:type="dxa"/>
              <w:left w:w="100" w:type="dxa"/>
              <w:bottom w:w="0" w:type="dxa"/>
              <w:right w:w="100" w:type="dxa"/>
            </w:tcMar>
          </w:tcPr>
          <w:p w14:paraId="4514F5A0"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Test Statistic</w:t>
            </w:r>
          </w:p>
        </w:tc>
        <w:tc>
          <w:tcPr>
            <w:tcW w:w="1035" w:type="dxa"/>
            <w:tcBorders>
              <w:top w:val="single" w:sz="8" w:space="0" w:color="000000"/>
              <w:left w:val="nil"/>
              <w:bottom w:val="single" w:sz="8" w:space="0" w:color="000000"/>
              <w:right w:val="nil"/>
            </w:tcBorders>
            <w:tcMar>
              <w:top w:w="0" w:type="dxa"/>
              <w:left w:w="100" w:type="dxa"/>
              <w:bottom w:w="0" w:type="dxa"/>
              <w:right w:w="100" w:type="dxa"/>
            </w:tcMar>
          </w:tcPr>
          <w:p w14:paraId="501FDD0E"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p-value</w:t>
            </w:r>
          </w:p>
        </w:tc>
        <w:tc>
          <w:tcPr>
            <w:tcW w:w="1140" w:type="dxa"/>
            <w:tcBorders>
              <w:top w:val="single" w:sz="8" w:space="0" w:color="000000"/>
              <w:left w:val="nil"/>
              <w:bottom w:val="single" w:sz="8" w:space="0" w:color="000000"/>
              <w:right w:val="nil"/>
            </w:tcBorders>
            <w:tcMar>
              <w:top w:w="0" w:type="dxa"/>
              <w:left w:w="100" w:type="dxa"/>
              <w:bottom w:w="0" w:type="dxa"/>
              <w:right w:w="100" w:type="dxa"/>
            </w:tcMar>
          </w:tcPr>
          <w:p w14:paraId="71704B6F"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Decision</w:t>
            </w:r>
          </w:p>
        </w:tc>
        <w:tc>
          <w:tcPr>
            <w:tcW w:w="1665" w:type="dxa"/>
            <w:tcBorders>
              <w:top w:val="single" w:sz="8" w:space="0" w:color="000000"/>
              <w:left w:val="nil"/>
              <w:bottom w:val="single" w:sz="8" w:space="0" w:color="000000"/>
              <w:right w:val="nil"/>
            </w:tcBorders>
            <w:tcMar>
              <w:top w:w="0" w:type="dxa"/>
              <w:left w:w="100" w:type="dxa"/>
              <w:bottom w:w="0" w:type="dxa"/>
              <w:right w:w="100" w:type="dxa"/>
            </w:tcMar>
          </w:tcPr>
          <w:p w14:paraId="7C0AC9FF"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Interpretation</w:t>
            </w:r>
          </w:p>
        </w:tc>
      </w:tr>
      <w:tr w:rsidR="003C11B1" w14:paraId="117BC03E" w14:textId="77777777">
        <w:trPr>
          <w:trHeight w:val="482"/>
        </w:trPr>
        <w:tc>
          <w:tcPr>
            <w:tcW w:w="975" w:type="dxa"/>
            <w:tcBorders>
              <w:top w:val="nil"/>
              <w:left w:val="nil"/>
              <w:bottom w:val="single" w:sz="8" w:space="0" w:color="000000"/>
              <w:right w:val="nil"/>
            </w:tcBorders>
            <w:tcMar>
              <w:top w:w="0" w:type="dxa"/>
              <w:left w:w="100" w:type="dxa"/>
              <w:bottom w:w="0" w:type="dxa"/>
              <w:right w:w="100" w:type="dxa"/>
            </w:tcMar>
          </w:tcPr>
          <w:p w14:paraId="673E4925"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Age</w:t>
            </w:r>
          </w:p>
        </w:tc>
        <w:tc>
          <w:tcPr>
            <w:tcW w:w="2115" w:type="dxa"/>
            <w:tcBorders>
              <w:top w:val="nil"/>
              <w:left w:val="nil"/>
              <w:bottom w:val="single" w:sz="8" w:space="0" w:color="000000"/>
              <w:right w:val="nil"/>
            </w:tcBorders>
            <w:tcMar>
              <w:top w:w="0" w:type="dxa"/>
              <w:left w:w="100" w:type="dxa"/>
              <w:bottom w:w="0" w:type="dxa"/>
              <w:right w:w="100" w:type="dxa"/>
            </w:tcMar>
          </w:tcPr>
          <w:p w14:paraId="5B890554"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18-40 years old</w:t>
            </w:r>
          </w:p>
          <w:p w14:paraId="329E4F25"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41-65 years old</w:t>
            </w:r>
          </w:p>
        </w:tc>
        <w:tc>
          <w:tcPr>
            <w:tcW w:w="930" w:type="dxa"/>
            <w:tcBorders>
              <w:top w:val="nil"/>
              <w:left w:val="nil"/>
              <w:bottom w:val="single" w:sz="8" w:space="0" w:color="000000"/>
              <w:right w:val="nil"/>
            </w:tcBorders>
            <w:tcMar>
              <w:top w:w="0" w:type="dxa"/>
              <w:left w:w="100" w:type="dxa"/>
              <w:bottom w:w="0" w:type="dxa"/>
              <w:right w:w="100" w:type="dxa"/>
            </w:tcMar>
          </w:tcPr>
          <w:p w14:paraId="7E4EF9EE"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60.57</w:t>
            </w:r>
          </w:p>
          <w:p w14:paraId="36D72835"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60.44</w:t>
            </w:r>
          </w:p>
        </w:tc>
        <w:tc>
          <w:tcPr>
            <w:tcW w:w="1095" w:type="dxa"/>
            <w:tcBorders>
              <w:top w:val="nil"/>
              <w:left w:val="nil"/>
              <w:bottom w:val="single" w:sz="8" w:space="0" w:color="000000"/>
              <w:right w:val="nil"/>
            </w:tcBorders>
            <w:tcMar>
              <w:top w:w="0" w:type="dxa"/>
              <w:left w:w="100" w:type="dxa"/>
              <w:bottom w:w="0" w:type="dxa"/>
              <w:right w:w="100" w:type="dxa"/>
            </w:tcMar>
          </w:tcPr>
          <w:p w14:paraId="772E3FC2"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-0.025</w:t>
            </w:r>
          </w:p>
        </w:tc>
        <w:tc>
          <w:tcPr>
            <w:tcW w:w="1035" w:type="dxa"/>
            <w:tcBorders>
              <w:top w:val="nil"/>
              <w:left w:val="nil"/>
              <w:bottom w:val="single" w:sz="8" w:space="0" w:color="000000"/>
              <w:right w:val="nil"/>
            </w:tcBorders>
            <w:tcMar>
              <w:top w:w="0" w:type="dxa"/>
              <w:left w:w="100" w:type="dxa"/>
              <w:bottom w:w="0" w:type="dxa"/>
              <w:right w:w="100" w:type="dxa"/>
            </w:tcMar>
          </w:tcPr>
          <w:p w14:paraId="4450F2C2"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0.980</w:t>
            </w:r>
          </w:p>
        </w:tc>
        <w:tc>
          <w:tcPr>
            <w:tcW w:w="1140" w:type="dxa"/>
            <w:tcBorders>
              <w:top w:val="nil"/>
              <w:left w:val="nil"/>
              <w:bottom w:val="single" w:sz="8" w:space="0" w:color="000000"/>
              <w:right w:val="nil"/>
            </w:tcBorders>
            <w:tcMar>
              <w:top w:w="0" w:type="dxa"/>
              <w:left w:w="100" w:type="dxa"/>
              <w:bottom w:w="0" w:type="dxa"/>
              <w:right w:w="100" w:type="dxa"/>
            </w:tcMar>
          </w:tcPr>
          <w:p w14:paraId="707DCAED"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H02a</w:t>
            </w:r>
          </w:p>
        </w:tc>
        <w:tc>
          <w:tcPr>
            <w:tcW w:w="1665" w:type="dxa"/>
            <w:tcBorders>
              <w:top w:val="nil"/>
              <w:left w:val="nil"/>
              <w:bottom w:val="single" w:sz="8" w:space="0" w:color="000000"/>
              <w:right w:val="nil"/>
            </w:tcBorders>
            <w:tcMar>
              <w:top w:w="0" w:type="dxa"/>
              <w:left w:w="100" w:type="dxa"/>
              <w:bottom w:w="0" w:type="dxa"/>
              <w:right w:w="100" w:type="dxa"/>
            </w:tcMar>
          </w:tcPr>
          <w:p w14:paraId="24DEC6C2"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r w:rsidR="003C11B1" w14:paraId="55F5BAEC" w14:textId="77777777">
        <w:trPr>
          <w:trHeight w:val="482"/>
        </w:trPr>
        <w:tc>
          <w:tcPr>
            <w:tcW w:w="975" w:type="dxa"/>
            <w:tcBorders>
              <w:top w:val="nil"/>
              <w:left w:val="nil"/>
              <w:bottom w:val="single" w:sz="8" w:space="0" w:color="000000"/>
              <w:right w:val="nil"/>
            </w:tcBorders>
            <w:tcMar>
              <w:top w:w="0" w:type="dxa"/>
              <w:left w:w="100" w:type="dxa"/>
              <w:bottom w:w="0" w:type="dxa"/>
              <w:right w:w="100" w:type="dxa"/>
            </w:tcMar>
          </w:tcPr>
          <w:p w14:paraId="538AD41A"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Sex</w:t>
            </w:r>
          </w:p>
        </w:tc>
        <w:tc>
          <w:tcPr>
            <w:tcW w:w="2115" w:type="dxa"/>
            <w:tcBorders>
              <w:top w:val="nil"/>
              <w:left w:val="nil"/>
              <w:bottom w:val="single" w:sz="8" w:space="0" w:color="000000"/>
              <w:right w:val="nil"/>
            </w:tcBorders>
            <w:tcMar>
              <w:top w:w="0" w:type="dxa"/>
              <w:left w:w="100" w:type="dxa"/>
              <w:bottom w:w="0" w:type="dxa"/>
              <w:right w:w="100" w:type="dxa"/>
            </w:tcMar>
          </w:tcPr>
          <w:p w14:paraId="0FF7D186"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Male</w:t>
            </w:r>
          </w:p>
          <w:p w14:paraId="312DC09F"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Female</w:t>
            </w:r>
          </w:p>
        </w:tc>
        <w:tc>
          <w:tcPr>
            <w:tcW w:w="930" w:type="dxa"/>
            <w:tcBorders>
              <w:top w:val="nil"/>
              <w:left w:val="nil"/>
              <w:bottom w:val="single" w:sz="8" w:space="0" w:color="000000"/>
              <w:right w:val="nil"/>
            </w:tcBorders>
            <w:tcMar>
              <w:top w:w="0" w:type="dxa"/>
              <w:left w:w="100" w:type="dxa"/>
              <w:bottom w:w="0" w:type="dxa"/>
              <w:right w:w="100" w:type="dxa"/>
            </w:tcMar>
          </w:tcPr>
          <w:p w14:paraId="43435D6B"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55.99</w:t>
            </w:r>
          </w:p>
          <w:p w14:paraId="0A639A8E"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62.59</w:t>
            </w:r>
          </w:p>
        </w:tc>
        <w:tc>
          <w:tcPr>
            <w:tcW w:w="1095" w:type="dxa"/>
            <w:tcBorders>
              <w:top w:val="nil"/>
              <w:left w:val="nil"/>
              <w:bottom w:val="single" w:sz="8" w:space="0" w:color="000000"/>
              <w:right w:val="nil"/>
            </w:tcBorders>
            <w:tcMar>
              <w:top w:w="0" w:type="dxa"/>
              <w:left w:w="100" w:type="dxa"/>
              <w:bottom w:w="0" w:type="dxa"/>
              <w:right w:w="100" w:type="dxa"/>
            </w:tcMar>
          </w:tcPr>
          <w:p w14:paraId="2A2CF468"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-1.141</w:t>
            </w:r>
          </w:p>
        </w:tc>
        <w:tc>
          <w:tcPr>
            <w:tcW w:w="1035" w:type="dxa"/>
            <w:tcBorders>
              <w:top w:val="nil"/>
              <w:left w:val="nil"/>
              <w:bottom w:val="single" w:sz="8" w:space="0" w:color="000000"/>
              <w:right w:val="nil"/>
            </w:tcBorders>
            <w:tcMar>
              <w:top w:w="0" w:type="dxa"/>
              <w:left w:w="100" w:type="dxa"/>
              <w:bottom w:w="0" w:type="dxa"/>
              <w:right w:w="100" w:type="dxa"/>
            </w:tcMar>
          </w:tcPr>
          <w:p w14:paraId="19A903D0"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0.254</w:t>
            </w:r>
          </w:p>
        </w:tc>
        <w:tc>
          <w:tcPr>
            <w:tcW w:w="1140" w:type="dxa"/>
            <w:tcBorders>
              <w:top w:val="nil"/>
              <w:left w:val="nil"/>
              <w:bottom w:val="single" w:sz="8" w:space="0" w:color="000000"/>
              <w:right w:val="nil"/>
            </w:tcBorders>
            <w:tcMar>
              <w:top w:w="0" w:type="dxa"/>
              <w:left w:w="100" w:type="dxa"/>
              <w:bottom w:w="0" w:type="dxa"/>
              <w:right w:w="100" w:type="dxa"/>
            </w:tcMar>
          </w:tcPr>
          <w:p w14:paraId="040407BA"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H02b</w:t>
            </w:r>
          </w:p>
        </w:tc>
        <w:tc>
          <w:tcPr>
            <w:tcW w:w="1665" w:type="dxa"/>
            <w:tcBorders>
              <w:top w:val="nil"/>
              <w:left w:val="nil"/>
              <w:bottom w:val="single" w:sz="8" w:space="0" w:color="000000"/>
              <w:right w:val="nil"/>
            </w:tcBorders>
            <w:tcMar>
              <w:top w:w="0" w:type="dxa"/>
              <w:left w:w="100" w:type="dxa"/>
              <w:bottom w:w="0" w:type="dxa"/>
              <w:right w:w="100" w:type="dxa"/>
            </w:tcMar>
          </w:tcPr>
          <w:p w14:paraId="29A910C9"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r w:rsidR="003C11B1" w14:paraId="761F968C" w14:textId="77777777">
        <w:trPr>
          <w:trHeight w:val="939"/>
        </w:trPr>
        <w:tc>
          <w:tcPr>
            <w:tcW w:w="975" w:type="dxa"/>
            <w:tcBorders>
              <w:top w:val="nil"/>
              <w:left w:val="nil"/>
              <w:bottom w:val="single" w:sz="8" w:space="0" w:color="000000"/>
              <w:right w:val="nil"/>
            </w:tcBorders>
            <w:tcMar>
              <w:top w:w="0" w:type="dxa"/>
              <w:left w:w="100" w:type="dxa"/>
              <w:bottom w:w="0" w:type="dxa"/>
              <w:right w:w="100" w:type="dxa"/>
            </w:tcMar>
          </w:tcPr>
          <w:p w14:paraId="4F10C9A6"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Years in Service</w:t>
            </w:r>
          </w:p>
        </w:tc>
        <w:tc>
          <w:tcPr>
            <w:tcW w:w="2115" w:type="dxa"/>
            <w:tcBorders>
              <w:top w:val="nil"/>
              <w:left w:val="nil"/>
              <w:bottom w:val="single" w:sz="8" w:space="0" w:color="000000"/>
              <w:right w:val="nil"/>
            </w:tcBorders>
            <w:tcMar>
              <w:top w:w="0" w:type="dxa"/>
              <w:left w:w="100" w:type="dxa"/>
              <w:bottom w:w="0" w:type="dxa"/>
              <w:right w:w="100" w:type="dxa"/>
            </w:tcMar>
          </w:tcPr>
          <w:p w14:paraId="5214BDF2"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 years</w:t>
            </w:r>
          </w:p>
          <w:p w14:paraId="00C7C230"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 years</w:t>
            </w:r>
          </w:p>
          <w:p w14:paraId="0A7153AD"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10-19 years</w:t>
            </w:r>
          </w:p>
          <w:p w14:paraId="38A3DC15"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20-29 years</w:t>
            </w:r>
          </w:p>
          <w:p w14:paraId="013ED482"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 years and above</w:t>
            </w:r>
          </w:p>
        </w:tc>
        <w:tc>
          <w:tcPr>
            <w:tcW w:w="930" w:type="dxa"/>
            <w:tcBorders>
              <w:top w:val="nil"/>
              <w:left w:val="nil"/>
              <w:bottom w:val="single" w:sz="8" w:space="0" w:color="000000"/>
              <w:right w:val="nil"/>
            </w:tcBorders>
            <w:tcMar>
              <w:top w:w="0" w:type="dxa"/>
              <w:left w:w="100" w:type="dxa"/>
              <w:bottom w:w="0" w:type="dxa"/>
              <w:right w:w="100" w:type="dxa"/>
            </w:tcMar>
          </w:tcPr>
          <w:p w14:paraId="626B23F1"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65.41</w:t>
            </w:r>
          </w:p>
          <w:p w14:paraId="434EAE8A"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56.72</w:t>
            </w:r>
          </w:p>
          <w:p w14:paraId="3C8ACF35"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70.32</w:t>
            </w:r>
          </w:p>
          <w:p w14:paraId="343BED63"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60.44</w:t>
            </w:r>
          </w:p>
          <w:p w14:paraId="7A0EAD3A"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60.43</w:t>
            </w:r>
          </w:p>
        </w:tc>
        <w:tc>
          <w:tcPr>
            <w:tcW w:w="1095" w:type="dxa"/>
            <w:tcBorders>
              <w:top w:val="nil"/>
              <w:left w:val="nil"/>
              <w:bottom w:val="single" w:sz="8" w:space="0" w:color="000000"/>
              <w:right w:val="nil"/>
            </w:tcBorders>
            <w:tcMar>
              <w:top w:w="0" w:type="dxa"/>
              <w:left w:w="100" w:type="dxa"/>
              <w:bottom w:w="0" w:type="dxa"/>
              <w:right w:w="100" w:type="dxa"/>
            </w:tcMar>
          </w:tcPr>
          <w:p w14:paraId="2018881A"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2.972</w:t>
            </w:r>
          </w:p>
        </w:tc>
        <w:tc>
          <w:tcPr>
            <w:tcW w:w="1035" w:type="dxa"/>
            <w:tcBorders>
              <w:top w:val="nil"/>
              <w:left w:val="nil"/>
              <w:bottom w:val="single" w:sz="8" w:space="0" w:color="000000"/>
              <w:right w:val="nil"/>
            </w:tcBorders>
            <w:tcMar>
              <w:top w:w="0" w:type="dxa"/>
              <w:left w:w="100" w:type="dxa"/>
              <w:bottom w:w="0" w:type="dxa"/>
              <w:right w:w="100" w:type="dxa"/>
            </w:tcMar>
          </w:tcPr>
          <w:p w14:paraId="682A1500"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0.562</w:t>
            </w:r>
          </w:p>
        </w:tc>
        <w:tc>
          <w:tcPr>
            <w:tcW w:w="1140" w:type="dxa"/>
            <w:tcBorders>
              <w:top w:val="nil"/>
              <w:left w:val="nil"/>
              <w:bottom w:val="single" w:sz="8" w:space="0" w:color="000000"/>
              <w:right w:val="nil"/>
            </w:tcBorders>
            <w:tcMar>
              <w:top w:w="0" w:type="dxa"/>
              <w:left w:w="100" w:type="dxa"/>
              <w:bottom w:w="0" w:type="dxa"/>
              <w:right w:w="100" w:type="dxa"/>
            </w:tcMar>
          </w:tcPr>
          <w:p w14:paraId="31748CC0"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H02d</w:t>
            </w:r>
          </w:p>
        </w:tc>
        <w:tc>
          <w:tcPr>
            <w:tcW w:w="1665" w:type="dxa"/>
            <w:tcBorders>
              <w:top w:val="nil"/>
              <w:left w:val="nil"/>
              <w:bottom w:val="single" w:sz="8" w:space="0" w:color="000000"/>
              <w:right w:val="nil"/>
            </w:tcBorders>
            <w:tcMar>
              <w:top w:w="0" w:type="dxa"/>
              <w:left w:w="100" w:type="dxa"/>
              <w:bottom w:w="0" w:type="dxa"/>
              <w:right w:w="100" w:type="dxa"/>
            </w:tcMar>
          </w:tcPr>
          <w:p w14:paraId="5F485CDE"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bl>
    <w:p w14:paraId="34DF7A43"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 Table 5 show that there are no big differences in how well local treasuries do when they are grouped by age, sex, or years of service (p &gt; 0.05). This means that performance is the same for all demographic groups. This implies that standardized systems, institutional controls, and accountability mechanisms, not individual traits, are what lead to results in revenue collection, timely payments, compliance, and fund management. In line with previous research </w:t>
      </w:r>
      <w:r>
        <w:rPr>
          <w:rFonts w:ascii="Times New Roman" w:eastAsia="Times New Roman" w:hAnsi="Times New Roman" w:cs="Times New Roman"/>
          <w:sz w:val="24"/>
          <w:szCs w:val="24"/>
        </w:rPr>
        <w:lastRenderedPageBreak/>
        <w:t>(Cotingjo et al., 2025; Enero et al., 2024; Ng &amp; Feldman, 2013, as cited in Castaño et al., 2024), the results underscore that structured governance frameworks and regulatory compliance are more significant determinants of local treasury performance than demographic factors.</w:t>
      </w:r>
    </w:p>
    <w:p w14:paraId="7C622A7D" w14:textId="77777777" w:rsidR="003C11B1" w:rsidRDefault="003C11B1">
      <w:pPr>
        <w:spacing w:line="240" w:lineRule="auto"/>
        <w:jc w:val="both"/>
        <w:rPr>
          <w:rFonts w:ascii="Times New Roman" w:eastAsia="Times New Roman" w:hAnsi="Times New Roman" w:cs="Times New Roman"/>
          <w:sz w:val="24"/>
          <w:szCs w:val="24"/>
        </w:rPr>
      </w:pPr>
    </w:p>
    <w:p w14:paraId="5D04E88E" w14:textId="77777777" w:rsidR="003C11B1" w:rsidRDefault="00000000">
      <w:pPr>
        <w:pStyle w:val="Heading3"/>
      </w:pPr>
      <w:bookmarkStart w:id="10" w:name="_tziupnmuup0p" w:colFirst="0" w:colLast="0"/>
      <w:bookmarkEnd w:id="10"/>
      <w:r>
        <w:t>Significant Influence of Internal Control Effectiveness on Local Treasury Performance</w:t>
      </w:r>
    </w:p>
    <w:p w14:paraId="205A8633" w14:textId="77777777" w:rsidR="003C11B1" w:rsidRDefault="00000000">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simple linear regression results reveal that internal control effectiveness significantly influences local treasury performance, explaining approximately 63.7% of its variance (R² = 0.637), with a statistically significant model (F = 206.832, p &lt; 0.001), as shown in Table 6.</w:t>
      </w:r>
    </w:p>
    <w:p w14:paraId="4BDB1A9C" w14:textId="77777777" w:rsidR="003C11B1" w:rsidRDefault="003C11B1">
      <w:pPr>
        <w:spacing w:line="240" w:lineRule="auto"/>
        <w:jc w:val="both"/>
        <w:rPr>
          <w:rFonts w:ascii="Times New Roman" w:eastAsia="Times New Roman" w:hAnsi="Times New Roman" w:cs="Times New Roman"/>
          <w:b/>
          <w:bCs/>
          <w:sz w:val="24"/>
          <w:szCs w:val="24"/>
        </w:rPr>
      </w:pPr>
    </w:p>
    <w:p w14:paraId="2F98A279" w14:textId="77777777" w:rsidR="003C11B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6</w:t>
      </w:r>
    </w:p>
    <w:p w14:paraId="0D9DC098" w14:textId="77777777" w:rsidR="003C11B1" w:rsidRDefault="00000000">
      <w:pPr>
        <w:pBdr>
          <w:top w:val="nil"/>
          <w:left w:val="nil"/>
          <w:bottom w:val="nil"/>
          <w:right w:val="nil"/>
          <w:between w:val="nil"/>
        </w:pBd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Model 1 Test on the Significant Influence of Internal Control Effectiveness on Local Treasury Performance</w:t>
      </w:r>
    </w:p>
    <w:tbl>
      <w:tblPr>
        <w:tblStyle w:val="a4"/>
        <w:tblW w:w="873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10"/>
        <w:gridCol w:w="1665"/>
        <w:gridCol w:w="1380"/>
        <w:gridCol w:w="870"/>
        <w:gridCol w:w="870"/>
        <w:gridCol w:w="990"/>
        <w:gridCol w:w="1551"/>
      </w:tblGrid>
      <w:tr w:rsidR="003C11B1" w14:paraId="54B8D6BF" w14:textId="77777777">
        <w:trPr>
          <w:trHeight w:val="520"/>
        </w:trPr>
        <w:tc>
          <w:tcPr>
            <w:tcW w:w="1410" w:type="dxa"/>
            <w:tcBorders>
              <w:top w:val="single" w:sz="8" w:space="0" w:color="000000"/>
              <w:left w:val="nil"/>
              <w:bottom w:val="single" w:sz="8" w:space="0" w:color="000000"/>
              <w:right w:val="nil"/>
            </w:tcBorders>
            <w:tcMar>
              <w:top w:w="0" w:type="dxa"/>
              <w:left w:w="100" w:type="dxa"/>
              <w:bottom w:w="0" w:type="dxa"/>
              <w:right w:w="100" w:type="dxa"/>
            </w:tcMar>
          </w:tcPr>
          <w:p w14:paraId="77F24961"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Predictor</w:t>
            </w:r>
          </w:p>
        </w:tc>
        <w:tc>
          <w:tcPr>
            <w:tcW w:w="1665" w:type="dxa"/>
            <w:tcBorders>
              <w:top w:val="single" w:sz="8" w:space="0" w:color="000000"/>
              <w:left w:val="nil"/>
              <w:bottom w:val="single" w:sz="8" w:space="0" w:color="000000"/>
              <w:right w:val="nil"/>
            </w:tcBorders>
            <w:tcMar>
              <w:top w:w="0" w:type="dxa"/>
              <w:left w:w="100" w:type="dxa"/>
              <w:bottom w:w="0" w:type="dxa"/>
              <w:right w:w="100" w:type="dxa"/>
            </w:tcMar>
          </w:tcPr>
          <w:p w14:paraId="24F5F6FD"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Unstandardized Coefficients (B)</w:t>
            </w:r>
          </w:p>
        </w:tc>
        <w:tc>
          <w:tcPr>
            <w:tcW w:w="1380" w:type="dxa"/>
            <w:tcBorders>
              <w:top w:val="single" w:sz="8" w:space="0" w:color="000000"/>
              <w:left w:val="nil"/>
              <w:bottom w:val="single" w:sz="8" w:space="0" w:color="000000"/>
              <w:right w:val="nil"/>
            </w:tcBorders>
            <w:tcMar>
              <w:top w:w="0" w:type="dxa"/>
              <w:left w:w="100" w:type="dxa"/>
              <w:bottom w:w="0" w:type="dxa"/>
              <w:right w:w="100" w:type="dxa"/>
            </w:tcMar>
          </w:tcPr>
          <w:p w14:paraId="0B111F5B"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Standardized Coefficients (</w:t>
            </w:r>
            <w:r>
              <w:rPr>
                <w:rFonts w:ascii="Times New Roman" w:eastAsia="Times New Roman" w:hAnsi="Times New Roman" w:cs="Times New Roman"/>
                <w:sz w:val="17"/>
                <w:szCs w:val="17"/>
              </w:rPr>
              <w:t>𝜷</w:t>
            </w:r>
            <w:r>
              <w:rPr>
                <w:rFonts w:ascii="Times New Roman" w:eastAsia="Times New Roman" w:hAnsi="Times New Roman" w:cs="Times New Roman"/>
                <w:b/>
                <w:bCs/>
                <w:sz w:val="17"/>
                <w:szCs w:val="17"/>
              </w:rPr>
              <w:t>)</w:t>
            </w:r>
          </w:p>
        </w:tc>
        <w:tc>
          <w:tcPr>
            <w:tcW w:w="870" w:type="dxa"/>
            <w:tcBorders>
              <w:top w:val="single" w:sz="8" w:space="0" w:color="000000"/>
              <w:left w:val="nil"/>
              <w:bottom w:val="single" w:sz="8" w:space="0" w:color="000000"/>
              <w:right w:val="nil"/>
            </w:tcBorders>
            <w:tcMar>
              <w:top w:w="0" w:type="dxa"/>
              <w:left w:w="100" w:type="dxa"/>
              <w:bottom w:w="0" w:type="dxa"/>
              <w:right w:w="100" w:type="dxa"/>
            </w:tcMar>
          </w:tcPr>
          <w:p w14:paraId="2AEC9890"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t-value</w:t>
            </w:r>
          </w:p>
        </w:tc>
        <w:tc>
          <w:tcPr>
            <w:tcW w:w="870" w:type="dxa"/>
            <w:tcBorders>
              <w:top w:val="single" w:sz="8" w:space="0" w:color="000000"/>
              <w:left w:val="nil"/>
              <w:bottom w:val="single" w:sz="8" w:space="0" w:color="000000"/>
              <w:right w:val="nil"/>
            </w:tcBorders>
            <w:tcMar>
              <w:top w:w="0" w:type="dxa"/>
              <w:left w:w="100" w:type="dxa"/>
              <w:bottom w:w="0" w:type="dxa"/>
              <w:right w:w="100" w:type="dxa"/>
            </w:tcMar>
          </w:tcPr>
          <w:p w14:paraId="51A5901F"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p-value</w:t>
            </w:r>
          </w:p>
        </w:tc>
        <w:tc>
          <w:tcPr>
            <w:tcW w:w="990" w:type="dxa"/>
            <w:tcBorders>
              <w:top w:val="single" w:sz="8" w:space="0" w:color="000000"/>
              <w:left w:val="nil"/>
              <w:bottom w:val="single" w:sz="8" w:space="0" w:color="000000"/>
              <w:right w:val="nil"/>
            </w:tcBorders>
            <w:tcMar>
              <w:top w:w="0" w:type="dxa"/>
              <w:left w:w="100" w:type="dxa"/>
              <w:bottom w:w="0" w:type="dxa"/>
              <w:right w:w="100" w:type="dxa"/>
            </w:tcMar>
          </w:tcPr>
          <w:p w14:paraId="5796DDDC"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Decision</w:t>
            </w:r>
          </w:p>
        </w:tc>
        <w:tc>
          <w:tcPr>
            <w:tcW w:w="1551" w:type="dxa"/>
            <w:tcBorders>
              <w:top w:val="single" w:sz="8" w:space="0" w:color="000000"/>
              <w:left w:val="nil"/>
              <w:bottom w:val="single" w:sz="8" w:space="0" w:color="000000"/>
              <w:right w:val="nil"/>
            </w:tcBorders>
            <w:tcMar>
              <w:top w:w="0" w:type="dxa"/>
              <w:left w:w="100" w:type="dxa"/>
              <w:bottom w:w="0" w:type="dxa"/>
              <w:right w:w="100" w:type="dxa"/>
            </w:tcMar>
          </w:tcPr>
          <w:p w14:paraId="51CA30A4"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Interpretation</w:t>
            </w:r>
          </w:p>
        </w:tc>
      </w:tr>
      <w:tr w:rsidR="003C11B1" w14:paraId="280768B6" w14:textId="77777777">
        <w:trPr>
          <w:trHeight w:val="210"/>
        </w:trPr>
        <w:tc>
          <w:tcPr>
            <w:tcW w:w="1410" w:type="dxa"/>
            <w:tcBorders>
              <w:top w:val="nil"/>
              <w:left w:val="nil"/>
              <w:bottom w:val="nil"/>
              <w:right w:val="nil"/>
            </w:tcBorders>
            <w:tcMar>
              <w:top w:w="0" w:type="dxa"/>
              <w:left w:w="100" w:type="dxa"/>
              <w:bottom w:w="0" w:type="dxa"/>
              <w:right w:w="100" w:type="dxa"/>
            </w:tcMar>
          </w:tcPr>
          <w:p w14:paraId="52134F0D"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(Constant)</w:t>
            </w:r>
          </w:p>
        </w:tc>
        <w:tc>
          <w:tcPr>
            <w:tcW w:w="1665" w:type="dxa"/>
            <w:tcBorders>
              <w:top w:val="nil"/>
              <w:left w:val="nil"/>
              <w:bottom w:val="nil"/>
              <w:right w:val="nil"/>
            </w:tcBorders>
            <w:tcMar>
              <w:top w:w="0" w:type="dxa"/>
              <w:left w:w="100" w:type="dxa"/>
              <w:bottom w:w="0" w:type="dxa"/>
              <w:right w:w="100" w:type="dxa"/>
            </w:tcMar>
          </w:tcPr>
          <w:p w14:paraId="49CC949E"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1.006</w:t>
            </w:r>
          </w:p>
        </w:tc>
        <w:tc>
          <w:tcPr>
            <w:tcW w:w="1380" w:type="dxa"/>
            <w:tcBorders>
              <w:top w:val="nil"/>
              <w:left w:val="nil"/>
              <w:bottom w:val="nil"/>
              <w:right w:val="nil"/>
            </w:tcBorders>
            <w:tcMar>
              <w:top w:w="0" w:type="dxa"/>
              <w:left w:w="100" w:type="dxa"/>
              <w:bottom w:w="0" w:type="dxa"/>
              <w:right w:w="100" w:type="dxa"/>
            </w:tcMar>
          </w:tcPr>
          <w:p w14:paraId="486E44A5"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70" w:type="dxa"/>
            <w:tcBorders>
              <w:top w:val="nil"/>
              <w:left w:val="nil"/>
              <w:bottom w:val="nil"/>
              <w:right w:val="nil"/>
            </w:tcBorders>
            <w:tcMar>
              <w:top w:w="0" w:type="dxa"/>
              <w:left w:w="100" w:type="dxa"/>
              <w:bottom w:w="0" w:type="dxa"/>
              <w:right w:w="100" w:type="dxa"/>
            </w:tcMar>
          </w:tcPr>
          <w:p w14:paraId="494C4036"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5.579</w:t>
            </w:r>
          </w:p>
        </w:tc>
        <w:tc>
          <w:tcPr>
            <w:tcW w:w="870" w:type="dxa"/>
            <w:tcBorders>
              <w:top w:val="nil"/>
              <w:left w:val="nil"/>
              <w:bottom w:val="nil"/>
              <w:right w:val="nil"/>
            </w:tcBorders>
            <w:tcMar>
              <w:top w:w="0" w:type="dxa"/>
              <w:left w:w="100" w:type="dxa"/>
              <w:bottom w:w="0" w:type="dxa"/>
              <w:right w:w="100" w:type="dxa"/>
            </w:tcMar>
          </w:tcPr>
          <w:p w14:paraId="0D484265"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c>
          <w:tcPr>
            <w:tcW w:w="990" w:type="dxa"/>
            <w:tcBorders>
              <w:top w:val="nil"/>
              <w:left w:val="nil"/>
              <w:bottom w:val="nil"/>
              <w:right w:val="nil"/>
            </w:tcBorders>
            <w:tcMar>
              <w:top w:w="0" w:type="dxa"/>
              <w:left w:w="100" w:type="dxa"/>
              <w:bottom w:w="0" w:type="dxa"/>
              <w:right w:w="100" w:type="dxa"/>
            </w:tcMar>
          </w:tcPr>
          <w:p w14:paraId="2827C9F3"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551" w:type="dxa"/>
            <w:tcBorders>
              <w:top w:val="nil"/>
              <w:left w:val="nil"/>
              <w:bottom w:val="nil"/>
              <w:right w:val="nil"/>
            </w:tcBorders>
            <w:tcMar>
              <w:top w:w="0" w:type="dxa"/>
              <w:left w:w="100" w:type="dxa"/>
              <w:bottom w:w="0" w:type="dxa"/>
              <w:right w:w="100" w:type="dxa"/>
            </w:tcMar>
          </w:tcPr>
          <w:p w14:paraId="197B3E08"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3C11B1" w14:paraId="2EB90BDB" w14:textId="77777777">
        <w:trPr>
          <w:trHeight w:val="630"/>
        </w:trPr>
        <w:tc>
          <w:tcPr>
            <w:tcW w:w="1410" w:type="dxa"/>
            <w:tcBorders>
              <w:top w:val="nil"/>
              <w:left w:val="nil"/>
              <w:bottom w:val="single" w:sz="8" w:space="0" w:color="000000"/>
              <w:right w:val="nil"/>
            </w:tcBorders>
            <w:tcMar>
              <w:top w:w="0" w:type="dxa"/>
              <w:left w:w="100" w:type="dxa"/>
              <w:bottom w:w="0" w:type="dxa"/>
              <w:right w:w="100" w:type="dxa"/>
            </w:tcMar>
          </w:tcPr>
          <w:p w14:paraId="3F48E39C"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Internal Control Effectiveness</w:t>
            </w:r>
          </w:p>
        </w:tc>
        <w:tc>
          <w:tcPr>
            <w:tcW w:w="1665" w:type="dxa"/>
            <w:tcBorders>
              <w:top w:val="nil"/>
              <w:left w:val="nil"/>
              <w:bottom w:val="single" w:sz="8" w:space="0" w:color="000000"/>
              <w:right w:val="nil"/>
            </w:tcBorders>
            <w:tcMar>
              <w:top w:w="0" w:type="dxa"/>
              <w:left w:w="100" w:type="dxa"/>
              <w:bottom w:w="0" w:type="dxa"/>
              <w:right w:w="100" w:type="dxa"/>
            </w:tcMar>
          </w:tcPr>
          <w:p w14:paraId="6A50BB2D"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0.735</w:t>
            </w:r>
          </w:p>
        </w:tc>
        <w:tc>
          <w:tcPr>
            <w:tcW w:w="1380" w:type="dxa"/>
            <w:tcBorders>
              <w:top w:val="nil"/>
              <w:left w:val="nil"/>
              <w:bottom w:val="single" w:sz="8" w:space="0" w:color="000000"/>
              <w:right w:val="nil"/>
            </w:tcBorders>
            <w:tcMar>
              <w:top w:w="0" w:type="dxa"/>
              <w:left w:w="100" w:type="dxa"/>
              <w:bottom w:w="0" w:type="dxa"/>
              <w:right w:w="100" w:type="dxa"/>
            </w:tcMar>
          </w:tcPr>
          <w:p w14:paraId="36298F94"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0.798</w:t>
            </w:r>
          </w:p>
        </w:tc>
        <w:tc>
          <w:tcPr>
            <w:tcW w:w="870" w:type="dxa"/>
            <w:tcBorders>
              <w:top w:val="nil"/>
              <w:left w:val="nil"/>
              <w:bottom w:val="single" w:sz="8" w:space="0" w:color="000000"/>
              <w:right w:val="nil"/>
            </w:tcBorders>
            <w:tcMar>
              <w:top w:w="0" w:type="dxa"/>
              <w:left w:w="100" w:type="dxa"/>
              <w:bottom w:w="0" w:type="dxa"/>
              <w:right w:w="100" w:type="dxa"/>
            </w:tcMar>
          </w:tcPr>
          <w:p w14:paraId="7375FF9F"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14.382</w:t>
            </w:r>
          </w:p>
        </w:tc>
        <w:tc>
          <w:tcPr>
            <w:tcW w:w="870" w:type="dxa"/>
            <w:tcBorders>
              <w:top w:val="nil"/>
              <w:left w:val="nil"/>
              <w:bottom w:val="single" w:sz="8" w:space="0" w:color="000000"/>
              <w:right w:val="nil"/>
            </w:tcBorders>
            <w:tcMar>
              <w:top w:w="0" w:type="dxa"/>
              <w:left w:w="100" w:type="dxa"/>
              <w:bottom w:w="0" w:type="dxa"/>
              <w:right w:w="100" w:type="dxa"/>
            </w:tcMar>
          </w:tcPr>
          <w:p w14:paraId="10DC7552"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c>
          <w:tcPr>
            <w:tcW w:w="990" w:type="dxa"/>
            <w:tcBorders>
              <w:top w:val="nil"/>
              <w:left w:val="nil"/>
              <w:bottom w:val="single" w:sz="8" w:space="0" w:color="000000"/>
              <w:right w:val="nil"/>
            </w:tcBorders>
            <w:tcMar>
              <w:top w:w="0" w:type="dxa"/>
              <w:left w:w="100" w:type="dxa"/>
              <w:bottom w:w="0" w:type="dxa"/>
              <w:right w:w="100" w:type="dxa"/>
            </w:tcMar>
          </w:tcPr>
          <w:p w14:paraId="748D7652" w14:textId="77777777" w:rsidR="003C11B1" w:rsidRDefault="00000000">
            <w:pPr>
              <w:jc w:val="center"/>
              <w:rPr>
                <w:rFonts w:ascii="Times New Roman" w:eastAsia="Times New Roman" w:hAnsi="Times New Roman" w:cs="Times New Roman"/>
                <w:sz w:val="18"/>
                <w:szCs w:val="18"/>
                <w:vertAlign w:val="subscript"/>
              </w:rPr>
            </w:pPr>
            <w:r>
              <w:rPr>
                <w:rFonts w:ascii="Times New Roman" w:eastAsia="Times New Roman" w:hAnsi="Times New Roman" w:cs="Times New Roman"/>
                <w:sz w:val="18"/>
                <w:szCs w:val="18"/>
              </w:rPr>
              <w:t>Reject H</w:t>
            </w:r>
            <w:r>
              <w:rPr>
                <w:rFonts w:ascii="Times New Roman" w:eastAsia="Times New Roman" w:hAnsi="Times New Roman" w:cs="Times New Roman"/>
                <w:sz w:val="18"/>
                <w:szCs w:val="18"/>
                <w:vertAlign w:val="subscript"/>
              </w:rPr>
              <w:t>03</w:t>
            </w:r>
          </w:p>
        </w:tc>
        <w:tc>
          <w:tcPr>
            <w:tcW w:w="1551" w:type="dxa"/>
            <w:tcBorders>
              <w:top w:val="nil"/>
              <w:left w:val="nil"/>
              <w:bottom w:val="single" w:sz="8" w:space="0" w:color="000000"/>
              <w:right w:val="nil"/>
            </w:tcBorders>
            <w:tcMar>
              <w:top w:w="0" w:type="dxa"/>
              <w:left w:w="100" w:type="dxa"/>
              <w:bottom w:w="0" w:type="dxa"/>
              <w:right w:w="100" w:type="dxa"/>
            </w:tcMar>
          </w:tcPr>
          <w:p w14:paraId="72011615"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Significant</w:t>
            </w:r>
          </w:p>
        </w:tc>
      </w:tr>
      <w:tr w:rsidR="003C11B1" w14:paraId="373A7FC4" w14:textId="77777777">
        <w:trPr>
          <w:trHeight w:val="315"/>
        </w:trPr>
        <w:tc>
          <w:tcPr>
            <w:tcW w:w="8736" w:type="dxa"/>
            <w:gridSpan w:val="7"/>
            <w:tcBorders>
              <w:top w:val="nil"/>
              <w:left w:val="nil"/>
              <w:bottom w:val="single" w:sz="8" w:space="0" w:color="000000"/>
              <w:right w:val="nil"/>
            </w:tcBorders>
            <w:tcMar>
              <w:top w:w="0" w:type="dxa"/>
              <w:left w:w="100" w:type="dxa"/>
              <w:bottom w:w="0" w:type="dxa"/>
              <w:right w:w="100" w:type="dxa"/>
            </w:tcMar>
          </w:tcPr>
          <w:p w14:paraId="0C089D83" w14:textId="77777777" w:rsidR="003C11B1" w:rsidRDefault="00000000">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Model Summary:</w:t>
            </w:r>
          </w:p>
          <w:p w14:paraId="418F72F9" w14:textId="77777777" w:rsidR="003C11B1" w:rsidRDefault="00000000">
            <w:pP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R</w:t>
            </w:r>
            <w:r>
              <w:rPr>
                <w:rFonts w:ascii="Times New Roman" w:eastAsia="Times New Roman" w:hAnsi="Times New Roman" w:cs="Times New Roman"/>
                <w:i/>
                <w:iCs/>
                <w:sz w:val="18"/>
                <w:szCs w:val="18"/>
                <w:vertAlign w:val="superscript"/>
              </w:rPr>
              <w:t>2</w:t>
            </w:r>
            <w:r>
              <w:rPr>
                <w:rFonts w:ascii="Times New Roman" w:eastAsia="Times New Roman" w:hAnsi="Times New Roman" w:cs="Times New Roman"/>
                <w:i/>
                <w:iCs/>
                <w:sz w:val="18"/>
                <w:szCs w:val="18"/>
              </w:rPr>
              <w:t>=0.637; Adjusted R</w:t>
            </w:r>
            <w:r>
              <w:rPr>
                <w:rFonts w:ascii="Times New Roman" w:eastAsia="Times New Roman" w:hAnsi="Times New Roman" w:cs="Times New Roman"/>
                <w:i/>
                <w:iCs/>
                <w:sz w:val="18"/>
                <w:szCs w:val="18"/>
                <w:vertAlign w:val="superscript"/>
              </w:rPr>
              <w:t>2</w:t>
            </w:r>
            <w:r>
              <w:rPr>
                <w:rFonts w:ascii="Times New Roman" w:eastAsia="Times New Roman" w:hAnsi="Times New Roman" w:cs="Times New Roman"/>
                <w:i/>
                <w:iCs/>
                <w:sz w:val="18"/>
                <w:szCs w:val="18"/>
              </w:rPr>
              <w:t xml:space="preserve">=0.634; F-value=206.832; p-value &lt;0.001; Interpretation = </w:t>
            </w:r>
            <w:r>
              <w:rPr>
                <w:rFonts w:ascii="Times New Roman" w:eastAsia="Times New Roman" w:hAnsi="Times New Roman" w:cs="Times New Roman"/>
                <w:sz w:val="18"/>
                <w:szCs w:val="18"/>
              </w:rPr>
              <w:t>Significant</w:t>
            </w:r>
          </w:p>
        </w:tc>
      </w:tr>
    </w:tbl>
    <w:p w14:paraId="5A445CB7" w14:textId="77777777" w:rsidR="003C11B1" w:rsidRDefault="00000000">
      <w:pPr>
        <w:spacing w:before="200"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sz w:val="24"/>
          <w:szCs w:val="24"/>
        </w:rPr>
        <w:t>Improvements in internal control systems significantly enhance local treasury outcomes according to the strong positive standardized coefficient (β = 0.798, p &lt; 0.001). This result is consistent with global evidence that strong internal controls enhance transparency and accountability (Raudhatinur et al., 2023; Ongonge, 2024), as well as organizational performance and financial discipline in public institutions (Priantono &amp; Vidiyastutik, 2022; Gyimah et al., 2024; Razzouki, 2024). Given that audit observations in the Philippines are frequently the result of control failures, the findings highlight how crucial structured control mechanisms are to maintaining credible and efficient local treasury operations.</w:t>
      </w:r>
    </w:p>
    <w:p w14:paraId="0BA5C282" w14:textId="77777777" w:rsidR="003C11B1" w:rsidRDefault="003C11B1">
      <w:pPr>
        <w:spacing w:line="240" w:lineRule="auto"/>
        <w:jc w:val="both"/>
        <w:rPr>
          <w:rFonts w:ascii="Times New Roman" w:eastAsia="Times New Roman" w:hAnsi="Times New Roman" w:cs="Times New Roman"/>
          <w:sz w:val="24"/>
          <w:szCs w:val="24"/>
        </w:rPr>
      </w:pPr>
    </w:p>
    <w:p w14:paraId="7123A986" w14:textId="77777777" w:rsidR="003C11B1"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Table 7</w:t>
      </w:r>
    </w:p>
    <w:p w14:paraId="002B71A5" w14:textId="77777777" w:rsidR="003C11B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Model 2 Test on the Significant Influence of the Dimensions of Internal Control Effectiveness on Local Treasury Performance</w:t>
      </w:r>
    </w:p>
    <w:tbl>
      <w:tblPr>
        <w:tblStyle w:val="a5"/>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6"/>
        <w:gridCol w:w="1764"/>
        <w:gridCol w:w="1460"/>
        <w:gridCol w:w="1020"/>
        <w:gridCol w:w="990"/>
        <w:gridCol w:w="1485"/>
        <w:gridCol w:w="555"/>
      </w:tblGrid>
      <w:tr w:rsidR="003C11B1" w14:paraId="15A238C2" w14:textId="77777777">
        <w:trPr>
          <w:trHeight w:val="465"/>
        </w:trPr>
        <w:tc>
          <w:tcPr>
            <w:tcW w:w="1575" w:type="dxa"/>
            <w:tcBorders>
              <w:top w:val="single" w:sz="8" w:space="0" w:color="000000"/>
              <w:left w:val="nil"/>
              <w:bottom w:val="single" w:sz="8" w:space="0" w:color="000000"/>
              <w:right w:val="nil"/>
            </w:tcBorders>
            <w:tcMar>
              <w:top w:w="0" w:type="dxa"/>
              <w:left w:w="100" w:type="dxa"/>
              <w:bottom w:w="0" w:type="dxa"/>
              <w:right w:w="100" w:type="dxa"/>
            </w:tcMar>
          </w:tcPr>
          <w:p w14:paraId="1DB37314"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Predictors</w:t>
            </w:r>
          </w:p>
        </w:tc>
        <w:tc>
          <w:tcPr>
            <w:tcW w:w="1764" w:type="dxa"/>
            <w:tcBorders>
              <w:top w:val="single" w:sz="8" w:space="0" w:color="000000"/>
              <w:left w:val="nil"/>
              <w:bottom w:val="single" w:sz="8" w:space="0" w:color="000000"/>
              <w:right w:val="nil"/>
            </w:tcBorders>
            <w:tcMar>
              <w:top w:w="0" w:type="dxa"/>
              <w:left w:w="100" w:type="dxa"/>
              <w:bottom w:w="0" w:type="dxa"/>
              <w:right w:w="100" w:type="dxa"/>
            </w:tcMar>
          </w:tcPr>
          <w:p w14:paraId="08527939"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Unstandardized Coefficients (B)</w:t>
            </w:r>
          </w:p>
        </w:tc>
        <w:tc>
          <w:tcPr>
            <w:tcW w:w="1460" w:type="dxa"/>
            <w:tcBorders>
              <w:top w:val="single" w:sz="8" w:space="0" w:color="000000"/>
              <w:left w:val="nil"/>
              <w:bottom w:val="single" w:sz="8" w:space="0" w:color="000000"/>
              <w:right w:val="nil"/>
            </w:tcBorders>
            <w:tcMar>
              <w:top w:w="0" w:type="dxa"/>
              <w:left w:w="100" w:type="dxa"/>
              <w:bottom w:w="0" w:type="dxa"/>
              <w:right w:w="100" w:type="dxa"/>
            </w:tcMar>
          </w:tcPr>
          <w:p w14:paraId="5F012EFC"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Standardized Coefficients (</w:t>
            </w:r>
            <w:r>
              <w:rPr>
                <w:rFonts w:ascii="Times New Roman" w:eastAsia="Times New Roman" w:hAnsi="Times New Roman" w:cs="Times New Roman"/>
                <w:sz w:val="17"/>
                <w:szCs w:val="17"/>
              </w:rPr>
              <w:t>𝜷</w:t>
            </w:r>
            <w:r>
              <w:rPr>
                <w:rFonts w:ascii="Times New Roman" w:eastAsia="Times New Roman" w:hAnsi="Times New Roman" w:cs="Times New Roman"/>
                <w:b/>
                <w:bCs/>
                <w:sz w:val="17"/>
                <w:szCs w:val="17"/>
              </w:rPr>
              <w:t>)</w:t>
            </w:r>
          </w:p>
        </w:tc>
        <w:tc>
          <w:tcPr>
            <w:tcW w:w="1020" w:type="dxa"/>
            <w:tcBorders>
              <w:top w:val="single" w:sz="8" w:space="0" w:color="000000"/>
              <w:left w:val="nil"/>
              <w:bottom w:val="single" w:sz="8" w:space="0" w:color="000000"/>
              <w:right w:val="nil"/>
            </w:tcBorders>
            <w:tcMar>
              <w:top w:w="0" w:type="dxa"/>
              <w:left w:w="100" w:type="dxa"/>
              <w:bottom w:w="0" w:type="dxa"/>
              <w:right w:w="100" w:type="dxa"/>
            </w:tcMar>
          </w:tcPr>
          <w:p w14:paraId="4B746AFD"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t-value</w:t>
            </w:r>
          </w:p>
        </w:tc>
        <w:tc>
          <w:tcPr>
            <w:tcW w:w="990" w:type="dxa"/>
            <w:tcBorders>
              <w:top w:val="single" w:sz="8" w:space="0" w:color="000000"/>
              <w:left w:val="nil"/>
              <w:bottom w:val="single" w:sz="8" w:space="0" w:color="000000"/>
              <w:right w:val="nil"/>
            </w:tcBorders>
            <w:tcMar>
              <w:top w:w="0" w:type="dxa"/>
              <w:left w:w="100" w:type="dxa"/>
              <w:bottom w:w="0" w:type="dxa"/>
              <w:right w:w="100" w:type="dxa"/>
            </w:tcMar>
          </w:tcPr>
          <w:p w14:paraId="4C3945E6"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p-value</w:t>
            </w:r>
          </w:p>
        </w:tc>
        <w:tc>
          <w:tcPr>
            <w:tcW w:w="1485" w:type="dxa"/>
            <w:tcBorders>
              <w:top w:val="single" w:sz="8" w:space="0" w:color="000000"/>
              <w:left w:val="nil"/>
              <w:bottom w:val="single" w:sz="8" w:space="0" w:color="000000"/>
              <w:right w:val="nil"/>
            </w:tcBorders>
            <w:tcMar>
              <w:top w:w="0" w:type="dxa"/>
              <w:left w:w="100" w:type="dxa"/>
              <w:bottom w:w="0" w:type="dxa"/>
              <w:right w:w="100" w:type="dxa"/>
            </w:tcMar>
          </w:tcPr>
          <w:p w14:paraId="4C3B682A"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Interpretation</w:t>
            </w:r>
          </w:p>
        </w:tc>
        <w:tc>
          <w:tcPr>
            <w:tcW w:w="555" w:type="dxa"/>
            <w:tcBorders>
              <w:top w:val="single" w:sz="8" w:space="0" w:color="000000"/>
              <w:left w:val="nil"/>
              <w:bottom w:val="single" w:sz="8" w:space="0" w:color="000000"/>
              <w:right w:val="nil"/>
            </w:tcBorders>
            <w:tcMar>
              <w:top w:w="0" w:type="dxa"/>
              <w:left w:w="100" w:type="dxa"/>
              <w:bottom w:w="0" w:type="dxa"/>
              <w:right w:w="100" w:type="dxa"/>
            </w:tcMar>
          </w:tcPr>
          <w:p w14:paraId="1E17E468" w14:textId="77777777" w:rsidR="003C11B1" w:rsidRDefault="00000000">
            <w:pPr>
              <w:spacing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r>
      <w:tr w:rsidR="003C11B1" w14:paraId="5714B4A0" w14:textId="77777777">
        <w:trPr>
          <w:trHeight w:val="278"/>
        </w:trPr>
        <w:tc>
          <w:tcPr>
            <w:tcW w:w="1575" w:type="dxa"/>
            <w:tcBorders>
              <w:top w:val="nil"/>
              <w:left w:val="nil"/>
              <w:bottom w:val="nil"/>
              <w:right w:val="nil"/>
            </w:tcBorders>
            <w:tcMar>
              <w:top w:w="0" w:type="dxa"/>
              <w:left w:w="100" w:type="dxa"/>
              <w:bottom w:w="0" w:type="dxa"/>
              <w:right w:w="100" w:type="dxa"/>
            </w:tcMar>
          </w:tcPr>
          <w:p w14:paraId="0B682F30"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(Constant)</w:t>
            </w:r>
          </w:p>
        </w:tc>
        <w:tc>
          <w:tcPr>
            <w:tcW w:w="1764" w:type="dxa"/>
            <w:tcBorders>
              <w:top w:val="nil"/>
              <w:left w:val="nil"/>
              <w:bottom w:val="nil"/>
              <w:right w:val="nil"/>
            </w:tcBorders>
            <w:tcMar>
              <w:top w:w="0" w:type="dxa"/>
              <w:left w:w="100" w:type="dxa"/>
              <w:bottom w:w="0" w:type="dxa"/>
              <w:right w:w="100" w:type="dxa"/>
            </w:tcMar>
          </w:tcPr>
          <w:p w14:paraId="36E70D92"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0.810</w:t>
            </w:r>
          </w:p>
        </w:tc>
        <w:tc>
          <w:tcPr>
            <w:tcW w:w="1460" w:type="dxa"/>
            <w:tcBorders>
              <w:top w:val="nil"/>
              <w:left w:val="nil"/>
              <w:bottom w:val="nil"/>
              <w:right w:val="nil"/>
            </w:tcBorders>
            <w:tcMar>
              <w:top w:w="0" w:type="dxa"/>
              <w:left w:w="100" w:type="dxa"/>
              <w:bottom w:w="0" w:type="dxa"/>
              <w:right w:w="100" w:type="dxa"/>
            </w:tcMar>
          </w:tcPr>
          <w:p w14:paraId="5900584E"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1020" w:type="dxa"/>
            <w:tcBorders>
              <w:top w:val="nil"/>
              <w:left w:val="nil"/>
              <w:bottom w:val="nil"/>
              <w:right w:val="nil"/>
            </w:tcBorders>
            <w:tcMar>
              <w:top w:w="0" w:type="dxa"/>
              <w:left w:w="100" w:type="dxa"/>
              <w:bottom w:w="0" w:type="dxa"/>
              <w:right w:w="100" w:type="dxa"/>
            </w:tcMar>
          </w:tcPr>
          <w:p w14:paraId="7D488000"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4.627</w:t>
            </w:r>
          </w:p>
        </w:tc>
        <w:tc>
          <w:tcPr>
            <w:tcW w:w="990" w:type="dxa"/>
            <w:tcBorders>
              <w:top w:val="nil"/>
              <w:left w:val="nil"/>
              <w:bottom w:val="nil"/>
              <w:right w:val="nil"/>
            </w:tcBorders>
            <w:tcMar>
              <w:top w:w="0" w:type="dxa"/>
              <w:left w:w="100" w:type="dxa"/>
              <w:bottom w:w="0" w:type="dxa"/>
              <w:right w:w="100" w:type="dxa"/>
            </w:tcMar>
          </w:tcPr>
          <w:p w14:paraId="61636DC5"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&lt;0.001</w:t>
            </w:r>
          </w:p>
        </w:tc>
        <w:tc>
          <w:tcPr>
            <w:tcW w:w="1485" w:type="dxa"/>
            <w:tcBorders>
              <w:top w:val="nil"/>
              <w:left w:val="nil"/>
              <w:bottom w:val="nil"/>
              <w:right w:val="nil"/>
            </w:tcBorders>
            <w:tcMar>
              <w:top w:w="0" w:type="dxa"/>
              <w:left w:w="100" w:type="dxa"/>
              <w:bottom w:w="0" w:type="dxa"/>
              <w:right w:w="100" w:type="dxa"/>
            </w:tcMar>
          </w:tcPr>
          <w:p w14:paraId="3E76FC7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555" w:type="dxa"/>
            <w:tcBorders>
              <w:top w:val="nil"/>
              <w:left w:val="nil"/>
              <w:bottom w:val="nil"/>
              <w:right w:val="nil"/>
            </w:tcBorders>
            <w:tcMar>
              <w:top w:w="0" w:type="dxa"/>
              <w:left w:w="100" w:type="dxa"/>
              <w:bottom w:w="0" w:type="dxa"/>
              <w:right w:w="100" w:type="dxa"/>
            </w:tcMar>
          </w:tcPr>
          <w:p w14:paraId="75BFB877"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0D4F552F" w14:textId="77777777">
        <w:trPr>
          <w:trHeight w:val="420"/>
        </w:trPr>
        <w:tc>
          <w:tcPr>
            <w:tcW w:w="1575" w:type="dxa"/>
            <w:tcBorders>
              <w:top w:val="nil"/>
              <w:left w:val="nil"/>
              <w:bottom w:val="nil"/>
              <w:right w:val="nil"/>
            </w:tcBorders>
            <w:tcMar>
              <w:top w:w="0" w:type="dxa"/>
              <w:left w:w="100" w:type="dxa"/>
              <w:bottom w:w="0" w:type="dxa"/>
              <w:right w:w="100" w:type="dxa"/>
            </w:tcMar>
          </w:tcPr>
          <w:p w14:paraId="506240A8"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Control Environment</w:t>
            </w:r>
          </w:p>
        </w:tc>
        <w:tc>
          <w:tcPr>
            <w:tcW w:w="1764" w:type="dxa"/>
            <w:tcBorders>
              <w:top w:val="nil"/>
              <w:left w:val="nil"/>
              <w:bottom w:val="nil"/>
              <w:right w:val="nil"/>
            </w:tcBorders>
            <w:tcMar>
              <w:top w:w="0" w:type="dxa"/>
              <w:left w:w="100" w:type="dxa"/>
              <w:bottom w:w="0" w:type="dxa"/>
              <w:right w:w="100" w:type="dxa"/>
            </w:tcMar>
          </w:tcPr>
          <w:p w14:paraId="64574166"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0.377</w:t>
            </w:r>
          </w:p>
        </w:tc>
        <w:tc>
          <w:tcPr>
            <w:tcW w:w="1460" w:type="dxa"/>
            <w:tcBorders>
              <w:top w:val="nil"/>
              <w:left w:val="nil"/>
              <w:bottom w:val="nil"/>
              <w:right w:val="nil"/>
            </w:tcBorders>
            <w:tcMar>
              <w:top w:w="0" w:type="dxa"/>
              <w:left w:w="100" w:type="dxa"/>
              <w:bottom w:w="0" w:type="dxa"/>
              <w:right w:w="100" w:type="dxa"/>
            </w:tcMar>
          </w:tcPr>
          <w:p w14:paraId="0274D421"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0.437</w:t>
            </w:r>
          </w:p>
        </w:tc>
        <w:tc>
          <w:tcPr>
            <w:tcW w:w="1020" w:type="dxa"/>
            <w:tcBorders>
              <w:top w:val="nil"/>
              <w:left w:val="nil"/>
              <w:bottom w:val="nil"/>
              <w:right w:val="nil"/>
            </w:tcBorders>
            <w:tcMar>
              <w:top w:w="0" w:type="dxa"/>
              <w:left w:w="100" w:type="dxa"/>
              <w:bottom w:w="0" w:type="dxa"/>
              <w:right w:w="100" w:type="dxa"/>
            </w:tcMar>
          </w:tcPr>
          <w:p w14:paraId="56FAA2F2"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5.405</w:t>
            </w:r>
          </w:p>
        </w:tc>
        <w:tc>
          <w:tcPr>
            <w:tcW w:w="990" w:type="dxa"/>
            <w:tcBorders>
              <w:top w:val="nil"/>
              <w:left w:val="nil"/>
              <w:bottom w:val="nil"/>
              <w:right w:val="nil"/>
            </w:tcBorders>
            <w:tcMar>
              <w:top w:w="0" w:type="dxa"/>
              <w:left w:w="100" w:type="dxa"/>
              <w:bottom w:w="0" w:type="dxa"/>
              <w:right w:w="100" w:type="dxa"/>
            </w:tcMar>
          </w:tcPr>
          <w:p w14:paraId="6849F727"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&lt;0.001</w:t>
            </w:r>
          </w:p>
        </w:tc>
        <w:tc>
          <w:tcPr>
            <w:tcW w:w="1485" w:type="dxa"/>
            <w:tcBorders>
              <w:top w:val="nil"/>
              <w:left w:val="nil"/>
              <w:bottom w:val="nil"/>
              <w:right w:val="nil"/>
            </w:tcBorders>
            <w:tcMar>
              <w:top w:w="0" w:type="dxa"/>
              <w:left w:w="100" w:type="dxa"/>
              <w:bottom w:w="0" w:type="dxa"/>
              <w:right w:w="100" w:type="dxa"/>
            </w:tcMar>
          </w:tcPr>
          <w:p w14:paraId="789B90D2"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Significant</w:t>
            </w:r>
          </w:p>
        </w:tc>
        <w:tc>
          <w:tcPr>
            <w:tcW w:w="555" w:type="dxa"/>
            <w:tcBorders>
              <w:top w:val="nil"/>
              <w:left w:val="nil"/>
              <w:bottom w:val="nil"/>
              <w:right w:val="nil"/>
            </w:tcBorders>
            <w:tcMar>
              <w:top w:w="0" w:type="dxa"/>
              <w:left w:w="100" w:type="dxa"/>
              <w:bottom w:w="0" w:type="dxa"/>
              <w:right w:w="100" w:type="dxa"/>
            </w:tcMar>
          </w:tcPr>
          <w:p w14:paraId="030FB996"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7A24A032" w14:textId="77777777">
        <w:trPr>
          <w:trHeight w:val="60"/>
        </w:trPr>
        <w:tc>
          <w:tcPr>
            <w:tcW w:w="1575" w:type="dxa"/>
            <w:tcBorders>
              <w:top w:val="nil"/>
              <w:left w:val="nil"/>
              <w:bottom w:val="nil"/>
              <w:right w:val="nil"/>
            </w:tcBorders>
            <w:tcMar>
              <w:top w:w="0" w:type="dxa"/>
              <w:left w:w="100" w:type="dxa"/>
              <w:bottom w:w="0" w:type="dxa"/>
              <w:right w:w="100" w:type="dxa"/>
            </w:tcMar>
          </w:tcPr>
          <w:p w14:paraId="3783AD91"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Risk Assessment</w:t>
            </w:r>
          </w:p>
        </w:tc>
        <w:tc>
          <w:tcPr>
            <w:tcW w:w="1764" w:type="dxa"/>
            <w:tcBorders>
              <w:top w:val="nil"/>
              <w:left w:val="nil"/>
              <w:bottom w:val="nil"/>
              <w:right w:val="nil"/>
            </w:tcBorders>
            <w:tcMar>
              <w:top w:w="0" w:type="dxa"/>
              <w:left w:w="100" w:type="dxa"/>
              <w:bottom w:w="0" w:type="dxa"/>
              <w:right w:w="100" w:type="dxa"/>
            </w:tcMar>
          </w:tcPr>
          <w:p w14:paraId="51A654B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0.106</w:t>
            </w:r>
          </w:p>
        </w:tc>
        <w:tc>
          <w:tcPr>
            <w:tcW w:w="1460" w:type="dxa"/>
            <w:tcBorders>
              <w:top w:val="nil"/>
              <w:left w:val="nil"/>
              <w:bottom w:val="nil"/>
              <w:right w:val="nil"/>
            </w:tcBorders>
            <w:tcMar>
              <w:top w:w="0" w:type="dxa"/>
              <w:left w:w="100" w:type="dxa"/>
              <w:bottom w:w="0" w:type="dxa"/>
              <w:right w:w="100" w:type="dxa"/>
            </w:tcMar>
          </w:tcPr>
          <w:p w14:paraId="750C616B"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0.134</w:t>
            </w:r>
          </w:p>
        </w:tc>
        <w:tc>
          <w:tcPr>
            <w:tcW w:w="1020" w:type="dxa"/>
            <w:tcBorders>
              <w:top w:val="nil"/>
              <w:left w:val="nil"/>
              <w:bottom w:val="nil"/>
              <w:right w:val="nil"/>
            </w:tcBorders>
            <w:tcMar>
              <w:top w:w="0" w:type="dxa"/>
              <w:left w:w="100" w:type="dxa"/>
              <w:bottom w:w="0" w:type="dxa"/>
              <w:right w:w="100" w:type="dxa"/>
            </w:tcMar>
          </w:tcPr>
          <w:p w14:paraId="7702328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1.560</w:t>
            </w:r>
          </w:p>
        </w:tc>
        <w:tc>
          <w:tcPr>
            <w:tcW w:w="990" w:type="dxa"/>
            <w:tcBorders>
              <w:top w:val="nil"/>
              <w:left w:val="nil"/>
              <w:bottom w:val="nil"/>
              <w:right w:val="nil"/>
            </w:tcBorders>
            <w:tcMar>
              <w:top w:w="0" w:type="dxa"/>
              <w:left w:w="100" w:type="dxa"/>
              <w:bottom w:w="0" w:type="dxa"/>
              <w:right w:w="100" w:type="dxa"/>
            </w:tcMar>
          </w:tcPr>
          <w:p w14:paraId="2A58DA7B"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0.122</w:t>
            </w:r>
          </w:p>
        </w:tc>
        <w:tc>
          <w:tcPr>
            <w:tcW w:w="1485" w:type="dxa"/>
            <w:tcBorders>
              <w:top w:val="nil"/>
              <w:left w:val="nil"/>
              <w:bottom w:val="nil"/>
              <w:right w:val="nil"/>
            </w:tcBorders>
            <w:tcMar>
              <w:top w:w="0" w:type="dxa"/>
              <w:left w:w="100" w:type="dxa"/>
              <w:bottom w:w="0" w:type="dxa"/>
              <w:right w:w="100" w:type="dxa"/>
            </w:tcMar>
          </w:tcPr>
          <w:p w14:paraId="2DC26325"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Not Significant</w:t>
            </w:r>
          </w:p>
        </w:tc>
        <w:tc>
          <w:tcPr>
            <w:tcW w:w="555" w:type="dxa"/>
            <w:tcBorders>
              <w:top w:val="nil"/>
              <w:left w:val="nil"/>
              <w:bottom w:val="nil"/>
              <w:right w:val="nil"/>
            </w:tcBorders>
            <w:tcMar>
              <w:top w:w="0" w:type="dxa"/>
              <w:left w:w="100" w:type="dxa"/>
              <w:bottom w:w="0" w:type="dxa"/>
              <w:right w:w="100" w:type="dxa"/>
            </w:tcMar>
          </w:tcPr>
          <w:p w14:paraId="156260B4"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7EB04407" w14:textId="77777777">
        <w:trPr>
          <w:trHeight w:val="204"/>
        </w:trPr>
        <w:tc>
          <w:tcPr>
            <w:tcW w:w="1575" w:type="dxa"/>
            <w:tcBorders>
              <w:top w:val="nil"/>
              <w:left w:val="nil"/>
              <w:bottom w:val="nil"/>
              <w:right w:val="nil"/>
            </w:tcBorders>
            <w:tcMar>
              <w:top w:w="0" w:type="dxa"/>
              <w:left w:w="100" w:type="dxa"/>
              <w:bottom w:w="0" w:type="dxa"/>
              <w:right w:w="100" w:type="dxa"/>
            </w:tcMar>
          </w:tcPr>
          <w:p w14:paraId="6A2290F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Control Activities</w:t>
            </w:r>
          </w:p>
        </w:tc>
        <w:tc>
          <w:tcPr>
            <w:tcW w:w="1764" w:type="dxa"/>
            <w:tcBorders>
              <w:top w:val="nil"/>
              <w:left w:val="nil"/>
              <w:bottom w:val="nil"/>
              <w:right w:val="nil"/>
            </w:tcBorders>
            <w:tcMar>
              <w:top w:w="0" w:type="dxa"/>
              <w:left w:w="100" w:type="dxa"/>
              <w:bottom w:w="0" w:type="dxa"/>
              <w:right w:w="100" w:type="dxa"/>
            </w:tcMar>
          </w:tcPr>
          <w:p w14:paraId="4B1FC4F8"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0.151</w:t>
            </w:r>
          </w:p>
        </w:tc>
        <w:tc>
          <w:tcPr>
            <w:tcW w:w="1460" w:type="dxa"/>
            <w:tcBorders>
              <w:top w:val="nil"/>
              <w:left w:val="nil"/>
              <w:bottom w:val="nil"/>
              <w:right w:val="nil"/>
            </w:tcBorders>
            <w:tcMar>
              <w:top w:w="0" w:type="dxa"/>
              <w:left w:w="100" w:type="dxa"/>
              <w:bottom w:w="0" w:type="dxa"/>
              <w:right w:w="100" w:type="dxa"/>
            </w:tcMar>
          </w:tcPr>
          <w:p w14:paraId="1CD44041"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0.180</w:t>
            </w:r>
          </w:p>
        </w:tc>
        <w:tc>
          <w:tcPr>
            <w:tcW w:w="1020" w:type="dxa"/>
            <w:tcBorders>
              <w:top w:val="nil"/>
              <w:left w:val="nil"/>
              <w:bottom w:val="nil"/>
              <w:right w:val="nil"/>
            </w:tcBorders>
            <w:tcMar>
              <w:top w:w="0" w:type="dxa"/>
              <w:left w:w="100" w:type="dxa"/>
              <w:bottom w:w="0" w:type="dxa"/>
              <w:right w:w="100" w:type="dxa"/>
            </w:tcMar>
          </w:tcPr>
          <w:p w14:paraId="15B1AF25"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1.811</w:t>
            </w:r>
          </w:p>
        </w:tc>
        <w:tc>
          <w:tcPr>
            <w:tcW w:w="990" w:type="dxa"/>
            <w:tcBorders>
              <w:top w:val="nil"/>
              <w:left w:val="nil"/>
              <w:bottom w:val="nil"/>
              <w:right w:val="nil"/>
            </w:tcBorders>
            <w:tcMar>
              <w:top w:w="0" w:type="dxa"/>
              <w:left w:w="100" w:type="dxa"/>
              <w:bottom w:w="0" w:type="dxa"/>
              <w:right w:w="100" w:type="dxa"/>
            </w:tcMar>
          </w:tcPr>
          <w:p w14:paraId="5C98D463"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0.073</w:t>
            </w:r>
          </w:p>
        </w:tc>
        <w:tc>
          <w:tcPr>
            <w:tcW w:w="1485" w:type="dxa"/>
            <w:tcBorders>
              <w:top w:val="nil"/>
              <w:left w:val="nil"/>
              <w:bottom w:val="nil"/>
              <w:right w:val="nil"/>
            </w:tcBorders>
            <w:tcMar>
              <w:top w:w="0" w:type="dxa"/>
              <w:left w:w="100" w:type="dxa"/>
              <w:bottom w:w="0" w:type="dxa"/>
              <w:right w:w="100" w:type="dxa"/>
            </w:tcMar>
          </w:tcPr>
          <w:p w14:paraId="6E18D1C6"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Not Significant</w:t>
            </w:r>
          </w:p>
        </w:tc>
        <w:tc>
          <w:tcPr>
            <w:tcW w:w="555" w:type="dxa"/>
            <w:tcBorders>
              <w:top w:val="nil"/>
              <w:left w:val="nil"/>
              <w:bottom w:val="nil"/>
              <w:right w:val="nil"/>
            </w:tcBorders>
            <w:tcMar>
              <w:top w:w="0" w:type="dxa"/>
              <w:left w:w="100" w:type="dxa"/>
              <w:bottom w:w="0" w:type="dxa"/>
              <w:right w:w="100" w:type="dxa"/>
            </w:tcMar>
          </w:tcPr>
          <w:p w14:paraId="493483C7"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62DFF2B0" w14:textId="77777777">
        <w:trPr>
          <w:trHeight w:val="615"/>
        </w:trPr>
        <w:tc>
          <w:tcPr>
            <w:tcW w:w="1575" w:type="dxa"/>
            <w:tcBorders>
              <w:top w:val="nil"/>
              <w:left w:val="nil"/>
              <w:bottom w:val="nil"/>
              <w:right w:val="nil"/>
            </w:tcBorders>
            <w:tcMar>
              <w:top w:w="0" w:type="dxa"/>
              <w:left w:w="100" w:type="dxa"/>
              <w:bottom w:w="0" w:type="dxa"/>
              <w:right w:w="100" w:type="dxa"/>
            </w:tcMar>
          </w:tcPr>
          <w:p w14:paraId="4B2EBF79"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Information and Communication Systems</w:t>
            </w:r>
          </w:p>
        </w:tc>
        <w:tc>
          <w:tcPr>
            <w:tcW w:w="1764" w:type="dxa"/>
            <w:tcBorders>
              <w:top w:val="nil"/>
              <w:left w:val="nil"/>
              <w:bottom w:val="nil"/>
              <w:right w:val="nil"/>
            </w:tcBorders>
            <w:tcMar>
              <w:top w:w="0" w:type="dxa"/>
              <w:left w:w="100" w:type="dxa"/>
              <w:bottom w:w="0" w:type="dxa"/>
              <w:right w:w="100" w:type="dxa"/>
            </w:tcMar>
          </w:tcPr>
          <w:p w14:paraId="5B745368"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-0.139</w:t>
            </w:r>
          </w:p>
        </w:tc>
        <w:tc>
          <w:tcPr>
            <w:tcW w:w="1460" w:type="dxa"/>
            <w:tcBorders>
              <w:top w:val="nil"/>
              <w:left w:val="nil"/>
              <w:bottom w:val="nil"/>
              <w:right w:val="nil"/>
            </w:tcBorders>
            <w:tcMar>
              <w:top w:w="0" w:type="dxa"/>
              <w:left w:w="100" w:type="dxa"/>
              <w:bottom w:w="0" w:type="dxa"/>
              <w:right w:w="100" w:type="dxa"/>
            </w:tcMar>
          </w:tcPr>
          <w:p w14:paraId="18B09D71"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-0.181</w:t>
            </w:r>
          </w:p>
        </w:tc>
        <w:tc>
          <w:tcPr>
            <w:tcW w:w="1020" w:type="dxa"/>
            <w:tcBorders>
              <w:top w:val="nil"/>
              <w:left w:val="nil"/>
              <w:bottom w:val="nil"/>
              <w:right w:val="nil"/>
            </w:tcBorders>
            <w:tcMar>
              <w:top w:w="0" w:type="dxa"/>
              <w:left w:w="100" w:type="dxa"/>
              <w:bottom w:w="0" w:type="dxa"/>
              <w:right w:w="100" w:type="dxa"/>
            </w:tcMar>
          </w:tcPr>
          <w:p w14:paraId="4A94B7AA"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-1.813</w:t>
            </w:r>
          </w:p>
        </w:tc>
        <w:tc>
          <w:tcPr>
            <w:tcW w:w="990" w:type="dxa"/>
            <w:tcBorders>
              <w:top w:val="nil"/>
              <w:left w:val="nil"/>
              <w:bottom w:val="nil"/>
              <w:right w:val="nil"/>
            </w:tcBorders>
            <w:tcMar>
              <w:top w:w="0" w:type="dxa"/>
              <w:left w:w="100" w:type="dxa"/>
              <w:bottom w:w="0" w:type="dxa"/>
              <w:right w:w="100" w:type="dxa"/>
            </w:tcMar>
          </w:tcPr>
          <w:p w14:paraId="4656D6C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0.073</w:t>
            </w:r>
          </w:p>
        </w:tc>
        <w:tc>
          <w:tcPr>
            <w:tcW w:w="1485" w:type="dxa"/>
            <w:tcBorders>
              <w:top w:val="nil"/>
              <w:left w:val="nil"/>
              <w:bottom w:val="nil"/>
              <w:right w:val="nil"/>
            </w:tcBorders>
            <w:tcMar>
              <w:top w:w="0" w:type="dxa"/>
              <w:left w:w="100" w:type="dxa"/>
              <w:bottom w:w="0" w:type="dxa"/>
              <w:right w:w="100" w:type="dxa"/>
            </w:tcMar>
          </w:tcPr>
          <w:p w14:paraId="0C79E729"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Not Significant</w:t>
            </w:r>
          </w:p>
        </w:tc>
        <w:tc>
          <w:tcPr>
            <w:tcW w:w="555" w:type="dxa"/>
            <w:tcBorders>
              <w:top w:val="nil"/>
              <w:left w:val="nil"/>
              <w:bottom w:val="nil"/>
              <w:right w:val="nil"/>
            </w:tcBorders>
            <w:tcMar>
              <w:top w:w="0" w:type="dxa"/>
              <w:left w:w="100" w:type="dxa"/>
              <w:bottom w:w="0" w:type="dxa"/>
              <w:right w:w="100" w:type="dxa"/>
            </w:tcMar>
          </w:tcPr>
          <w:p w14:paraId="3BA5CE16"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552B5A0C" w14:textId="77777777">
        <w:trPr>
          <w:trHeight w:val="210"/>
        </w:trPr>
        <w:tc>
          <w:tcPr>
            <w:tcW w:w="1575" w:type="dxa"/>
            <w:tcBorders>
              <w:top w:val="nil"/>
              <w:left w:val="nil"/>
              <w:bottom w:val="single" w:sz="8" w:space="0" w:color="000000"/>
              <w:right w:val="nil"/>
            </w:tcBorders>
            <w:tcMar>
              <w:top w:w="0" w:type="dxa"/>
              <w:left w:w="100" w:type="dxa"/>
              <w:bottom w:w="0" w:type="dxa"/>
              <w:right w:w="100" w:type="dxa"/>
            </w:tcMar>
          </w:tcPr>
          <w:p w14:paraId="446E3BD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Monitoring</w:t>
            </w:r>
          </w:p>
        </w:tc>
        <w:tc>
          <w:tcPr>
            <w:tcW w:w="1764" w:type="dxa"/>
            <w:tcBorders>
              <w:top w:val="nil"/>
              <w:left w:val="nil"/>
              <w:bottom w:val="single" w:sz="8" w:space="0" w:color="000000"/>
              <w:right w:val="nil"/>
            </w:tcBorders>
            <w:tcMar>
              <w:top w:w="0" w:type="dxa"/>
              <w:left w:w="100" w:type="dxa"/>
              <w:bottom w:w="0" w:type="dxa"/>
              <w:right w:w="100" w:type="dxa"/>
            </w:tcMar>
          </w:tcPr>
          <w:p w14:paraId="53FA1173"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0.286</w:t>
            </w:r>
          </w:p>
        </w:tc>
        <w:tc>
          <w:tcPr>
            <w:tcW w:w="1460" w:type="dxa"/>
            <w:tcBorders>
              <w:top w:val="nil"/>
              <w:left w:val="nil"/>
              <w:bottom w:val="single" w:sz="8" w:space="0" w:color="000000"/>
              <w:right w:val="nil"/>
            </w:tcBorders>
            <w:tcMar>
              <w:top w:w="0" w:type="dxa"/>
              <w:left w:w="100" w:type="dxa"/>
              <w:bottom w:w="0" w:type="dxa"/>
              <w:right w:w="100" w:type="dxa"/>
            </w:tcMar>
          </w:tcPr>
          <w:p w14:paraId="3B7C5606"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0.379</w:t>
            </w:r>
          </w:p>
        </w:tc>
        <w:tc>
          <w:tcPr>
            <w:tcW w:w="1020" w:type="dxa"/>
            <w:tcBorders>
              <w:top w:val="nil"/>
              <w:left w:val="nil"/>
              <w:bottom w:val="single" w:sz="8" w:space="0" w:color="000000"/>
              <w:right w:val="nil"/>
            </w:tcBorders>
            <w:tcMar>
              <w:top w:w="0" w:type="dxa"/>
              <w:left w:w="100" w:type="dxa"/>
              <w:bottom w:w="0" w:type="dxa"/>
              <w:right w:w="100" w:type="dxa"/>
            </w:tcMar>
          </w:tcPr>
          <w:p w14:paraId="2BFCF79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4.678</w:t>
            </w:r>
          </w:p>
        </w:tc>
        <w:tc>
          <w:tcPr>
            <w:tcW w:w="990" w:type="dxa"/>
            <w:tcBorders>
              <w:top w:val="nil"/>
              <w:left w:val="nil"/>
              <w:bottom w:val="single" w:sz="8" w:space="0" w:color="000000"/>
              <w:right w:val="nil"/>
            </w:tcBorders>
            <w:tcMar>
              <w:top w:w="0" w:type="dxa"/>
              <w:left w:w="100" w:type="dxa"/>
              <w:bottom w:w="0" w:type="dxa"/>
              <w:right w:w="100" w:type="dxa"/>
            </w:tcMar>
          </w:tcPr>
          <w:p w14:paraId="22B2A29D"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&lt;0.001</w:t>
            </w:r>
          </w:p>
        </w:tc>
        <w:tc>
          <w:tcPr>
            <w:tcW w:w="1485" w:type="dxa"/>
            <w:tcBorders>
              <w:top w:val="nil"/>
              <w:left w:val="nil"/>
              <w:bottom w:val="single" w:sz="8" w:space="0" w:color="000000"/>
              <w:right w:val="nil"/>
            </w:tcBorders>
            <w:tcMar>
              <w:top w:w="0" w:type="dxa"/>
              <w:left w:w="100" w:type="dxa"/>
              <w:bottom w:w="0" w:type="dxa"/>
              <w:right w:w="100" w:type="dxa"/>
            </w:tcMar>
          </w:tcPr>
          <w:p w14:paraId="3A151D3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Significant</w:t>
            </w:r>
          </w:p>
        </w:tc>
        <w:tc>
          <w:tcPr>
            <w:tcW w:w="555" w:type="dxa"/>
            <w:tcBorders>
              <w:top w:val="nil"/>
              <w:left w:val="nil"/>
              <w:bottom w:val="single" w:sz="8" w:space="0" w:color="000000"/>
              <w:right w:val="nil"/>
            </w:tcBorders>
            <w:tcMar>
              <w:top w:w="0" w:type="dxa"/>
              <w:left w:w="100" w:type="dxa"/>
              <w:bottom w:w="0" w:type="dxa"/>
              <w:right w:w="100" w:type="dxa"/>
            </w:tcMar>
          </w:tcPr>
          <w:p w14:paraId="570E2842"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20507782" w14:textId="77777777">
        <w:trPr>
          <w:trHeight w:val="513"/>
        </w:trPr>
        <w:tc>
          <w:tcPr>
            <w:tcW w:w="8849" w:type="dxa"/>
            <w:gridSpan w:val="7"/>
            <w:tcBorders>
              <w:top w:val="nil"/>
              <w:left w:val="nil"/>
              <w:bottom w:val="single" w:sz="8" w:space="0" w:color="000000"/>
              <w:right w:val="nil"/>
            </w:tcBorders>
            <w:tcMar>
              <w:top w:w="0" w:type="dxa"/>
              <w:left w:w="100" w:type="dxa"/>
              <w:bottom w:w="0" w:type="dxa"/>
              <w:right w:w="100" w:type="dxa"/>
            </w:tcMar>
          </w:tcPr>
          <w:p w14:paraId="7B2A51AD" w14:textId="77777777" w:rsidR="003C11B1"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Model Summary:</w:t>
            </w:r>
          </w:p>
          <w:p w14:paraId="218C5974" w14:textId="77777777" w:rsidR="003C11B1"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i/>
                <w:iCs/>
                <w:sz w:val="18"/>
                <w:szCs w:val="18"/>
              </w:rPr>
              <w:t>R</w:t>
            </w:r>
            <w:r>
              <w:rPr>
                <w:rFonts w:ascii="Times New Roman" w:eastAsia="Times New Roman" w:hAnsi="Times New Roman" w:cs="Times New Roman"/>
                <w:i/>
                <w:iCs/>
                <w:sz w:val="18"/>
                <w:szCs w:val="18"/>
                <w:vertAlign w:val="superscript"/>
              </w:rPr>
              <w:t>2</w:t>
            </w:r>
            <w:r>
              <w:rPr>
                <w:rFonts w:ascii="Times New Roman" w:eastAsia="Times New Roman" w:hAnsi="Times New Roman" w:cs="Times New Roman"/>
                <w:i/>
                <w:iCs/>
                <w:sz w:val="18"/>
                <w:szCs w:val="18"/>
              </w:rPr>
              <w:t>=0.696; Adjusted R</w:t>
            </w:r>
            <w:r>
              <w:rPr>
                <w:rFonts w:ascii="Times New Roman" w:eastAsia="Times New Roman" w:hAnsi="Times New Roman" w:cs="Times New Roman"/>
                <w:i/>
                <w:iCs/>
                <w:sz w:val="18"/>
                <w:szCs w:val="18"/>
                <w:vertAlign w:val="superscript"/>
              </w:rPr>
              <w:t>2</w:t>
            </w:r>
            <w:r>
              <w:rPr>
                <w:rFonts w:ascii="Times New Roman" w:eastAsia="Times New Roman" w:hAnsi="Times New Roman" w:cs="Times New Roman"/>
                <w:i/>
                <w:iCs/>
                <w:sz w:val="18"/>
                <w:szCs w:val="18"/>
              </w:rPr>
              <w:t xml:space="preserve">=0.682 ; F-value=52.101; p-value &lt;0.001; Interpretation = </w:t>
            </w:r>
            <w:r>
              <w:rPr>
                <w:rFonts w:ascii="Times New Roman" w:eastAsia="Times New Roman" w:hAnsi="Times New Roman" w:cs="Times New Roman"/>
                <w:sz w:val="18"/>
                <w:szCs w:val="18"/>
              </w:rPr>
              <w:t>Significant</w:t>
            </w:r>
          </w:p>
        </w:tc>
      </w:tr>
    </w:tbl>
    <w:p w14:paraId="4A056AD3"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results lend support to global frameworks for public financial management that highlight oversight mechanisms and governance foundations as key determinants of fiscal performance (PEFA, 2022). Strong control environments and effective monitoring are linked to better revenue management and financial accountability, which is in line with research conducted </w:t>
      </w:r>
      <w:r>
        <w:rPr>
          <w:rFonts w:ascii="Times New Roman" w:eastAsia="Times New Roman" w:hAnsi="Times New Roman" w:cs="Times New Roman"/>
          <w:sz w:val="24"/>
          <w:szCs w:val="24"/>
        </w:rPr>
        <w:lastRenderedPageBreak/>
        <w:t>in Tanzania and Uganda (Eton et al., 2022; Hyera et al., 2025). Thus, the findings offer empirical proof that improving local treasury performance in LGUs requires strong governance integrity and ongoing oversight mechanisms.</w:t>
      </w:r>
    </w:p>
    <w:p w14:paraId="4CE00E1F" w14:textId="77777777" w:rsidR="003C11B1" w:rsidRDefault="003C11B1">
      <w:pPr>
        <w:spacing w:line="240" w:lineRule="auto"/>
        <w:ind w:firstLine="720"/>
        <w:jc w:val="both"/>
        <w:rPr>
          <w:rFonts w:ascii="Times New Roman" w:eastAsia="Times New Roman" w:hAnsi="Times New Roman" w:cs="Times New Roman"/>
          <w:sz w:val="24"/>
          <w:szCs w:val="24"/>
        </w:rPr>
      </w:pPr>
    </w:p>
    <w:p w14:paraId="4A8AA390" w14:textId="77777777" w:rsidR="003C11B1" w:rsidRDefault="00000000">
      <w:pPr>
        <w:pStyle w:val="Heading3"/>
      </w:pPr>
      <w:bookmarkStart w:id="11" w:name="_pmknonmq8pzf" w:colFirst="0" w:colLast="0"/>
      <w:bookmarkEnd w:id="11"/>
      <w:r>
        <w:t>Moderating Effect of Ethical Climate on the Influence of Internal Control Effectiveness on Local Treasury Performance</w:t>
      </w:r>
    </w:p>
    <w:p w14:paraId="43B19F28" w14:textId="77777777" w:rsidR="003C11B1" w:rsidRDefault="003C11B1">
      <w:pPr>
        <w:spacing w:line="240" w:lineRule="auto"/>
        <w:jc w:val="both"/>
        <w:rPr>
          <w:rFonts w:ascii="Times New Roman" w:eastAsia="Times New Roman" w:hAnsi="Times New Roman" w:cs="Times New Roman"/>
          <w:b/>
          <w:bCs/>
          <w:sz w:val="24"/>
          <w:szCs w:val="24"/>
        </w:rPr>
      </w:pPr>
    </w:p>
    <w:p w14:paraId="1033A530" w14:textId="77777777" w:rsidR="003C11B1"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Table 8</w:t>
      </w:r>
    </w:p>
    <w:p w14:paraId="2854EC3E" w14:textId="77777777" w:rsidR="003C11B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Moderation Analysis of Ethical Climate in the Influence of Internal Control Effectiveness on Local Treasury Performance</w:t>
      </w:r>
    </w:p>
    <w:tbl>
      <w:tblPr>
        <w:tblStyle w:val="a6"/>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35"/>
        <w:gridCol w:w="825"/>
        <w:gridCol w:w="1140"/>
        <w:gridCol w:w="780"/>
        <w:gridCol w:w="975"/>
        <w:gridCol w:w="1140"/>
        <w:gridCol w:w="1815"/>
      </w:tblGrid>
      <w:tr w:rsidR="003C11B1" w14:paraId="70603C57" w14:textId="77777777">
        <w:trPr>
          <w:trHeight w:val="315"/>
        </w:trPr>
        <w:tc>
          <w:tcPr>
            <w:tcW w:w="2235" w:type="dxa"/>
            <w:tcBorders>
              <w:top w:val="single" w:sz="8" w:space="0" w:color="000000"/>
              <w:bottom w:val="single" w:sz="8" w:space="0" w:color="000000"/>
            </w:tcBorders>
            <w:tcMar>
              <w:top w:w="0" w:type="dxa"/>
              <w:bottom w:w="0" w:type="dxa"/>
            </w:tcMar>
            <w:vAlign w:val="center"/>
          </w:tcPr>
          <w:p w14:paraId="5CF7DD24"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Variables</w:t>
            </w:r>
          </w:p>
        </w:tc>
        <w:tc>
          <w:tcPr>
            <w:tcW w:w="825" w:type="dxa"/>
            <w:tcBorders>
              <w:top w:val="single" w:sz="8" w:space="0" w:color="000000"/>
              <w:bottom w:val="single" w:sz="8" w:space="0" w:color="000000"/>
            </w:tcBorders>
            <w:tcMar>
              <w:top w:w="0" w:type="dxa"/>
              <w:bottom w:w="0" w:type="dxa"/>
            </w:tcMar>
            <w:vAlign w:val="center"/>
          </w:tcPr>
          <w:p w14:paraId="2BEB8705"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B</w:t>
            </w:r>
          </w:p>
        </w:tc>
        <w:tc>
          <w:tcPr>
            <w:tcW w:w="1140" w:type="dxa"/>
            <w:tcBorders>
              <w:top w:val="single" w:sz="8" w:space="0" w:color="000000"/>
              <w:bottom w:val="single" w:sz="8" w:space="0" w:color="000000"/>
            </w:tcBorders>
            <w:tcMar>
              <w:top w:w="0" w:type="dxa"/>
              <w:bottom w:w="0" w:type="dxa"/>
            </w:tcMar>
            <w:vAlign w:val="center"/>
          </w:tcPr>
          <w:p w14:paraId="05A79599"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SE</w:t>
            </w:r>
          </w:p>
        </w:tc>
        <w:tc>
          <w:tcPr>
            <w:tcW w:w="780" w:type="dxa"/>
            <w:tcBorders>
              <w:top w:val="single" w:sz="8" w:space="0" w:color="000000"/>
              <w:bottom w:val="single" w:sz="8" w:space="0" w:color="000000"/>
            </w:tcBorders>
            <w:tcMar>
              <w:top w:w="0" w:type="dxa"/>
              <w:bottom w:w="0" w:type="dxa"/>
            </w:tcMar>
            <w:vAlign w:val="center"/>
          </w:tcPr>
          <w:p w14:paraId="0922CCB4"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z</w:t>
            </w:r>
          </w:p>
        </w:tc>
        <w:tc>
          <w:tcPr>
            <w:tcW w:w="975" w:type="dxa"/>
            <w:tcBorders>
              <w:top w:val="single" w:sz="8" w:space="0" w:color="000000"/>
              <w:bottom w:val="single" w:sz="8" w:space="0" w:color="000000"/>
            </w:tcBorders>
            <w:tcMar>
              <w:top w:w="0" w:type="dxa"/>
              <w:bottom w:w="0" w:type="dxa"/>
            </w:tcMar>
            <w:vAlign w:val="center"/>
          </w:tcPr>
          <w:p w14:paraId="1713B8C2"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p-value</w:t>
            </w:r>
          </w:p>
        </w:tc>
        <w:tc>
          <w:tcPr>
            <w:tcW w:w="1140" w:type="dxa"/>
            <w:tcBorders>
              <w:top w:val="single" w:sz="8" w:space="0" w:color="000000"/>
              <w:bottom w:val="single" w:sz="8" w:space="0" w:color="000000"/>
            </w:tcBorders>
            <w:tcMar>
              <w:top w:w="0" w:type="dxa"/>
              <w:bottom w:w="0" w:type="dxa"/>
            </w:tcMar>
            <w:vAlign w:val="center"/>
          </w:tcPr>
          <w:p w14:paraId="6AA3BA20"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Decision</w:t>
            </w:r>
          </w:p>
        </w:tc>
        <w:tc>
          <w:tcPr>
            <w:tcW w:w="1815" w:type="dxa"/>
            <w:tcBorders>
              <w:top w:val="single" w:sz="8" w:space="0" w:color="000000"/>
              <w:bottom w:val="single" w:sz="8" w:space="0" w:color="000000"/>
            </w:tcBorders>
            <w:tcMar>
              <w:top w:w="0" w:type="dxa"/>
              <w:bottom w:w="0" w:type="dxa"/>
            </w:tcMar>
            <w:vAlign w:val="center"/>
          </w:tcPr>
          <w:p w14:paraId="26283AB0"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3C11B1" w14:paraId="30F86A3A" w14:textId="77777777">
        <w:trPr>
          <w:trHeight w:val="315"/>
        </w:trPr>
        <w:tc>
          <w:tcPr>
            <w:tcW w:w="2235" w:type="dxa"/>
            <w:tcBorders>
              <w:top w:val="single" w:sz="8" w:space="0" w:color="000000"/>
            </w:tcBorders>
            <w:tcMar>
              <w:top w:w="0" w:type="dxa"/>
              <w:bottom w:w="0" w:type="dxa"/>
            </w:tcMar>
            <w:vAlign w:val="center"/>
          </w:tcPr>
          <w:p w14:paraId="36F7BD9B" w14:textId="77777777" w:rsidR="003C11B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Constant</w:t>
            </w:r>
          </w:p>
        </w:tc>
        <w:tc>
          <w:tcPr>
            <w:tcW w:w="825" w:type="dxa"/>
            <w:tcBorders>
              <w:top w:val="single" w:sz="8" w:space="0" w:color="000000"/>
            </w:tcBorders>
            <w:tcMar>
              <w:top w:w="0" w:type="dxa"/>
              <w:bottom w:w="0" w:type="dxa"/>
            </w:tcMar>
            <w:vAlign w:val="center"/>
          </w:tcPr>
          <w:p w14:paraId="5931C1A4"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0.543</w:t>
            </w:r>
          </w:p>
        </w:tc>
        <w:tc>
          <w:tcPr>
            <w:tcW w:w="1140" w:type="dxa"/>
            <w:tcBorders>
              <w:top w:val="single" w:sz="8" w:space="0" w:color="000000"/>
            </w:tcBorders>
            <w:tcMar>
              <w:top w:w="0" w:type="dxa"/>
              <w:bottom w:w="0" w:type="dxa"/>
            </w:tcMar>
            <w:vAlign w:val="center"/>
          </w:tcPr>
          <w:p w14:paraId="64DEA4B7"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0.050</w:t>
            </w:r>
          </w:p>
        </w:tc>
        <w:tc>
          <w:tcPr>
            <w:tcW w:w="780" w:type="dxa"/>
            <w:tcBorders>
              <w:top w:val="single" w:sz="8" w:space="0" w:color="000000"/>
            </w:tcBorders>
            <w:tcMar>
              <w:top w:w="0" w:type="dxa"/>
              <w:bottom w:w="0" w:type="dxa"/>
            </w:tcMar>
            <w:vAlign w:val="center"/>
          </w:tcPr>
          <w:p w14:paraId="4C61EF26"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10.77</w:t>
            </w:r>
          </w:p>
        </w:tc>
        <w:tc>
          <w:tcPr>
            <w:tcW w:w="975" w:type="dxa"/>
            <w:tcBorders>
              <w:top w:val="single" w:sz="8" w:space="0" w:color="000000"/>
            </w:tcBorders>
            <w:tcMar>
              <w:top w:w="0" w:type="dxa"/>
              <w:bottom w:w="0" w:type="dxa"/>
            </w:tcMar>
            <w:vAlign w:val="center"/>
          </w:tcPr>
          <w:p w14:paraId="64206982"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&lt;0.001</w:t>
            </w:r>
          </w:p>
        </w:tc>
        <w:tc>
          <w:tcPr>
            <w:tcW w:w="1140" w:type="dxa"/>
            <w:tcBorders>
              <w:top w:val="single" w:sz="8" w:space="0" w:color="000000"/>
            </w:tcBorders>
            <w:tcMar>
              <w:top w:w="0" w:type="dxa"/>
              <w:bottom w:w="0" w:type="dxa"/>
            </w:tcMar>
            <w:vAlign w:val="center"/>
          </w:tcPr>
          <w:p w14:paraId="4A7C7EDC"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15" w:type="dxa"/>
            <w:tcBorders>
              <w:top w:val="single" w:sz="8" w:space="0" w:color="000000"/>
            </w:tcBorders>
            <w:tcMar>
              <w:top w:w="0" w:type="dxa"/>
              <w:bottom w:w="0" w:type="dxa"/>
            </w:tcMar>
            <w:vAlign w:val="center"/>
          </w:tcPr>
          <w:p w14:paraId="251BA793"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3C11B1" w14:paraId="7F7DBF33" w14:textId="77777777">
        <w:trPr>
          <w:trHeight w:val="315"/>
        </w:trPr>
        <w:tc>
          <w:tcPr>
            <w:tcW w:w="2235" w:type="dxa"/>
            <w:tcMar>
              <w:top w:w="0" w:type="dxa"/>
              <w:bottom w:w="0" w:type="dxa"/>
            </w:tcMar>
            <w:vAlign w:val="center"/>
          </w:tcPr>
          <w:p w14:paraId="450FF2E9" w14:textId="77777777" w:rsidR="003C11B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Internal Control Effectiveness (ICE)</w:t>
            </w:r>
          </w:p>
        </w:tc>
        <w:tc>
          <w:tcPr>
            <w:tcW w:w="825" w:type="dxa"/>
            <w:tcMar>
              <w:top w:w="0" w:type="dxa"/>
              <w:bottom w:w="0" w:type="dxa"/>
            </w:tcMar>
            <w:vAlign w:val="center"/>
          </w:tcPr>
          <w:p w14:paraId="0FE6A532"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0.543</w:t>
            </w:r>
          </w:p>
        </w:tc>
        <w:tc>
          <w:tcPr>
            <w:tcW w:w="1140" w:type="dxa"/>
            <w:tcMar>
              <w:top w:w="0" w:type="dxa"/>
              <w:bottom w:w="0" w:type="dxa"/>
            </w:tcMar>
            <w:vAlign w:val="center"/>
          </w:tcPr>
          <w:p w14:paraId="1E5C2CC2"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0.050</w:t>
            </w:r>
          </w:p>
        </w:tc>
        <w:tc>
          <w:tcPr>
            <w:tcW w:w="780" w:type="dxa"/>
            <w:tcMar>
              <w:top w:w="0" w:type="dxa"/>
              <w:bottom w:w="0" w:type="dxa"/>
            </w:tcMar>
            <w:vAlign w:val="center"/>
          </w:tcPr>
          <w:p w14:paraId="512DCDCA"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10.77</w:t>
            </w:r>
          </w:p>
        </w:tc>
        <w:tc>
          <w:tcPr>
            <w:tcW w:w="975" w:type="dxa"/>
            <w:tcMar>
              <w:top w:w="0" w:type="dxa"/>
              <w:bottom w:w="0" w:type="dxa"/>
            </w:tcMar>
            <w:vAlign w:val="center"/>
          </w:tcPr>
          <w:p w14:paraId="653CAAE1"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&lt;0.001</w:t>
            </w:r>
          </w:p>
        </w:tc>
        <w:tc>
          <w:tcPr>
            <w:tcW w:w="1140" w:type="dxa"/>
            <w:tcMar>
              <w:top w:w="0" w:type="dxa"/>
              <w:bottom w:w="0" w:type="dxa"/>
            </w:tcMar>
            <w:vAlign w:val="center"/>
          </w:tcPr>
          <w:p w14:paraId="6374542D"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15" w:type="dxa"/>
            <w:tcMar>
              <w:top w:w="0" w:type="dxa"/>
              <w:bottom w:w="0" w:type="dxa"/>
            </w:tcMar>
            <w:vAlign w:val="center"/>
          </w:tcPr>
          <w:p w14:paraId="00CE2568"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Significant</w:t>
            </w:r>
          </w:p>
        </w:tc>
      </w:tr>
      <w:tr w:rsidR="003C11B1" w14:paraId="1F324229" w14:textId="77777777">
        <w:trPr>
          <w:trHeight w:val="315"/>
        </w:trPr>
        <w:tc>
          <w:tcPr>
            <w:tcW w:w="2235" w:type="dxa"/>
            <w:tcMar>
              <w:top w:w="0" w:type="dxa"/>
              <w:bottom w:w="0" w:type="dxa"/>
            </w:tcMar>
            <w:vAlign w:val="center"/>
          </w:tcPr>
          <w:p w14:paraId="161CFF1E" w14:textId="77777777" w:rsidR="003C11B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Ethical Climate (EC)</w:t>
            </w:r>
          </w:p>
        </w:tc>
        <w:tc>
          <w:tcPr>
            <w:tcW w:w="825" w:type="dxa"/>
            <w:tcMar>
              <w:top w:w="0" w:type="dxa"/>
              <w:bottom w:w="0" w:type="dxa"/>
            </w:tcMar>
            <w:vAlign w:val="center"/>
          </w:tcPr>
          <w:p w14:paraId="7173DD04"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0.287</w:t>
            </w:r>
          </w:p>
        </w:tc>
        <w:tc>
          <w:tcPr>
            <w:tcW w:w="1140" w:type="dxa"/>
            <w:tcMar>
              <w:top w:w="0" w:type="dxa"/>
              <w:bottom w:w="0" w:type="dxa"/>
            </w:tcMar>
            <w:vAlign w:val="center"/>
          </w:tcPr>
          <w:p w14:paraId="04F2C85C"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0.049</w:t>
            </w:r>
          </w:p>
        </w:tc>
        <w:tc>
          <w:tcPr>
            <w:tcW w:w="780" w:type="dxa"/>
            <w:tcMar>
              <w:top w:w="0" w:type="dxa"/>
              <w:bottom w:w="0" w:type="dxa"/>
            </w:tcMar>
            <w:vAlign w:val="center"/>
          </w:tcPr>
          <w:p w14:paraId="70FD2618"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5.856</w:t>
            </w:r>
          </w:p>
        </w:tc>
        <w:tc>
          <w:tcPr>
            <w:tcW w:w="975" w:type="dxa"/>
            <w:tcMar>
              <w:top w:w="0" w:type="dxa"/>
              <w:bottom w:w="0" w:type="dxa"/>
            </w:tcMar>
            <w:vAlign w:val="center"/>
          </w:tcPr>
          <w:p w14:paraId="3AAB5B28"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&lt;0.001</w:t>
            </w:r>
          </w:p>
        </w:tc>
        <w:tc>
          <w:tcPr>
            <w:tcW w:w="1140" w:type="dxa"/>
            <w:tcMar>
              <w:top w:w="0" w:type="dxa"/>
              <w:bottom w:w="0" w:type="dxa"/>
            </w:tcMar>
            <w:vAlign w:val="center"/>
          </w:tcPr>
          <w:p w14:paraId="5AD4F1DC"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15" w:type="dxa"/>
            <w:tcMar>
              <w:top w:w="0" w:type="dxa"/>
              <w:bottom w:w="0" w:type="dxa"/>
            </w:tcMar>
            <w:vAlign w:val="center"/>
          </w:tcPr>
          <w:p w14:paraId="364F6714"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Significant</w:t>
            </w:r>
          </w:p>
        </w:tc>
      </w:tr>
      <w:tr w:rsidR="003C11B1" w14:paraId="6F14EA9B" w14:textId="77777777">
        <w:trPr>
          <w:trHeight w:val="315"/>
        </w:trPr>
        <w:tc>
          <w:tcPr>
            <w:tcW w:w="2235" w:type="dxa"/>
            <w:tcMar>
              <w:top w:w="0" w:type="dxa"/>
              <w:bottom w:w="0" w:type="dxa"/>
            </w:tcMar>
            <w:vAlign w:val="center"/>
          </w:tcPr>
          <w:p w14:paraId="6620D4D7" w14:textId="77777777" w:rsidR="003C11B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ICE x EC</w:t>
            </w:r>
          </w:p>
        </w:tc>
        <w:tc>
          <w:tcPr>
            <w:tcW w:w="825" w:type="dxa"/>
            <w:tcMar>
              <w:top w:w="0" w:type="dxa"/>
              <w:bottom w:w="0" w:type="dxa"/>
            </w:tcMar>
            <w:vAlign w:val="center"/>
          </w:tcPr>
          <w:p w14:paraId="149233EB"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0.041</w:t>
            </w:r>
          </w:p>
        </w:tc>
        <w:tc>
          <w:tcPr>
            <w:tcW w:w="1140" w:type="dxa"/>
            <w:tcMar>
              <w:top w:w="0" w:type="dxa"/>
              <w:bottom w:w="0" w:type="dxa"/>
            </w:tcMar>
            <w:vAlign w:val="center"/>
          </w:tcPr>
          <w:p w14:paraId="47DE82DB"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0.107</w:t>
            </w:r>
          </w:p>
        </w:tc>
        <w:tc>
          <w:tcPr>
            <w:tcW w:w="780" w:type="dxa"/>
            <w:tcMar>
              <w:top w:w="0" w:type="dxa"/>
              <w:bottom w:w="0" w:type="dxa"/>
            </w:tcMar>
            <w:vAlign w:val="center"/>
          </w:tcPr>
          <w:p w14:paraId="3E4EE626"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0.382</w:t>
            </w:r>
          </w:p>
        </w:tc>
        <w:tc>
          <w:tcPr>
            <w:tcW w:w="975" w:type="dxa"/>
            <w:tcMar>
              <w:top w:w="0" w:type="dxa"/>
              <w:bottom w:w="0" w:type="dxa"/>
            </w:tcMar>
            <w:vAlign w:val="center"/>
          </w:tcPr>
          <w:p w14:paraId="73E00A6E" w14:textId="77777777" w:rsidR="003C11B1" w:rsidRDefault="00000000">
            <w:pPr>
              <w:spacing w:line="240" w:lineRule="auto"/>
              <w:jc w:val="center"/>
              <w:rPr>
                <w:rFonts w:ascii="Times New Roman" w:eastAsia="Times New Roman" w:hAnsi="Times New Roman" w:cs="Times New Roman"/>
                <w:highlight w:val="yellow"/>
              </w:rPr>
            </w:pPr>
            <w:r w:rsidRPr="004F0A22">
              <w:rPr>
                <w:rFonts w:ascii="Times New Roman" w:eastAsia="Times New Roman" w:hAnsi="Times New Roman" w:cs="Times New Roman"/>
              </w:rPr>
              <w:t>0.702</w:t>
            </w:r>
          </w:p>
        </w:tc>
        <w:tc>
          <w:tcPr>
            <w:tcW w:w="1140" w:type="dxa"/>
            <w:tcMar>
              <w:top w:w="0" w:type="dxa"/>
              <w:bottom w:w="0" w:type="dxa"/>
            </w:tcMar>
            <w:vAlign w:val="center"/>
          </w:tcPr>
          <w:p w14:paraId="74FD1ADD"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15" w:type="dxa"/>
            <w:tcMar>
              <w:top w:w="0" w:type="dxa"/>
              <w:bottom w:w="0" w:type="dxa"/>
            </w:tcMar>
            <w:vAlign w:val="center"/>
          </w:tcPr>
          <w:p w14:paraId="2CFC88B2"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r>
      <w:tr w:rsidR="003C11B1" w14:paraId="00956E61" w14:textId="77777777">
        <w:trPr>
          <w:trHeight w:val="560"/>
        </w:trPr>
        <w:tc>
          <w:tcPr>
            <w:tcW w:w="2235" w:type="dxa"/>
            <w:tcBorders>
              <w:bottom w:val="single" w:sz="8" w:space="0" w:color="000000"/>
            </w:tcBorders>
            <w:tcMar>
              <w:top w:w="0" w:type="dxa"/>
              <w:bottom w:w="0" w:type="dxa"/>
            </w:tcMar>
            <w:vAlign w:val="center"/>
          </w:tcPr>
          <w:p w14:paraId="10792343" w14:textId="77777777" w:rsidR="003C11B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Interaction Effect</w:t>
            </w:r>
          </w:p>
        </w:tc>
        <w:tc>
          <w:tcPr>
            <w:tcW w:w="825" w:type="dxa"/>
            <w:tcBorders>
              <w:bottom w:val="single" w:sz="8" w:space="0" w:color="000000"/>
            </w:tcBorders>
            <w:tcMar>
              <w:top w:w="0" w:type="dxa"/>
              <w:bottom w:w="0" w:type="dxa"/>
            </w:tcMar>
            <w:vAlign w:val="center"/>
          </w:tcPr>
          <w:p w14:paraId="124A8AFF"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140" w:type="dxa"/>
            <w:tcBorders>
              <w:bottom w:val="single" w:sz="8" w:space="0" w:color="000000"/>
            </w:tcBorders>
            <w:tcMar>
              <w:top w:w="0" w:type="dxa"/>
              <w:bottom w:w="0" w:type="dxa"/>
            </w:tcMar>
            <w:vAlign w:val="center"/>
          </w:tcPr>
          <w:p w14:paraId="50C32151"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780" w:type="dxa"/>
            <w:tcBorders>
              <w:bottom w:val="single" w:sz="8" w:space="0" w:color="000000"/>
            </w:tcBorders>
            <w:tcMar>
              <w:top w:w="0" w:type="dxa"/>
              <w:bottom w:w="0" w:type="dxa"/>
            </w:tcMar>
            <w:vAlign w:val="center"/>
          </w:tcPr>
          <w:p w14:paraId="68E2019B"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75" w:type="dxa"/>
            <w:tcBorders>
              <w:bottom w:val="single" w:sz="8" w:space="0" w:color="000000"/>
            </w:tcBorders>
            <w:tcMar>
              <w:top w:w="0" w:type="dxa"/>
              <w:bottom w:w="0" w:type="dxa"/>
            </w:tcMar>
            <w:vAlign w:val="center"/>
          </w:tcPr>
          <w:p w14:paraId="416487B4"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&gt;0.05</w:t>
            </w:r>
          </w:p>
        </w:tc>
        <w:tc>
          <w:tcPr>
            <w:tcW w:w="1140" w:type="dxa"/>
            <w:tcBorders>
              <w:bottom w:val="single" w:sz="8" w:space="0" w:color="000000"/>
            </w:tcBorders>
            <w:tcMar>
              <w:top w:w="0" w:type="dxa"/>
              <w:bottom w:w="0" w:type="dxa"/>
            </w:tcMar>
            <w:vAlign w:val="center"/>
          </w:tcPr>
          <w:p w14:paraId="48B6C98D" w14:textId="77777777" w:rsidR="003C11B1" w:rsidRDefault="00000000">
            <w:pPr>
              <w:spacing w:line="240" w:lineRule="auto"/>
              <w:jc w:val="center"/>
              <w:rPr>
                <w:rFonts w:ascii="Times New Roman" w:eastAsia="Times New Roman" w:hAnsi="Times New Roman" w:cs="Times New Roman"/>
                <w:vertAlign w:val="subscript"/>
              </w:rPr>
            </w:pPr>
            <w:r>
              <w:rPr>
                <w:rFonts w:ascii="Times New Roman" w:eastAsia="Times New Roman" w:hAnsi="Times New Roman" w:cs="Times New Roman"/>
              </w:rPr>
              <w:t>Do not reject H</w:t>
            </w:r>
            <w:r>
              <w:rPr>
                <w:rFonts w:ascii="Times New Roman" w:eastAsia="Times New Roman" w:hAnsi="Times New Roman" w:cs="Times New Roman"/>
                <w:vertAlign w:val="subscript"/>
              </w:rPr>
              <w:t>04</w:t>
            </w:r>
          </w:p>
        </w:tc>
        <w:tc>
          <w:tcPr>
            <w:tcW w:w="1815" w:type="dxa"/>
            <w:tcBorders>
              <w:bottom w:val="single" w:sz="8" w:space="0" w:color="000000"/>
            </w:tcBorders>
            <w:tcMar>
              <w:top w:w="0" w:type="dxa"/>
              <w:bottom w:w="0" w:type="dxa"/>
            </w:tcMar>
            <w:vAlign w:val="center"/>
          </w:tcPr>
          <w:p w14:paraId="275EF2CD"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r>
    </w:tbl>
    <w:p w14:paraId="7FB832C9" w14:textId="77777777" w:rsidR="003C11B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i/>
          <w:iCs/>
        </w:rPr>
        <w:t>Note: Ethical climate is treated as a single composite moderating variable since it is not categorical.</w:t>
      </w:r>
    </w:p>
    <w:p w14:paraId="58814806" w14:textId="77777777" w:rsidR="003C11B1" w:rsidRDefault="003C11B1">
      <w:pPr>
        <w:spacing w:line="240" w:lineRule="auto"/>
        <w:jc w:val="both"/>
        <w:rPr>
          <w:rFonts w:ascii="Times New Roman" w:eastAsia="Times New Roman" w:hAnsi="Times New Roman" w:cs="Times New Roman"/>
          <w:b/>
          <w:bCs/>
          <w:sz w:val="24"/>
          <w:szCs w:val="24"/>
        </w:rPr>
      </w:pPr>
    </w:p>
    <w:p w14:paraId="72B4EF0F"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Table 8, the moderation analysis demonstrates that both internal control effectiveness (ICE) and ethical climate (EC) are significant independent predictors of local treasury performance (p &lt; 0.001); however, their interaction is not significant (p = 0.702), suggesting that ethical climate does not moderate the relationship. This means that internal control systems consistently improve local treasury performance regardless of variations in the ethical climate. This indicates that internal controls in LGUs independently function as highly institutionalized and standardized mechanisms, contrary to previous studies (Abdou et al., 2024; Janwarin &amp; Narsa, 2022). The results are consistent with Agency Theory, which underscores the importance of structured controls in promoting accountability (Jensen &amp; Meckling, 1976, as cited in Ceschi et al., 2017), and Stewardship Theory, which posits that ethical values independently improve performance (Davis et al., 1997, as cited in Schillemans &amp; Bjurstrøm, 2019). Conversely, they contest Contingency Theory by demonstrating that internal controls are effective even in the absence of contextual moderation. In general, the effectiveness of internal controls is a stable structural driver, while the ethical climate supports performance in a parallel, non-interactive role.</w:t>
      </w:r>
    </w:p>
    <w:p w14:paraId="22440D55" w14:textId="77777777" w:rsidR="003C11B1" w:rsidRDefault="003C11B1">
      <w:pPr>
        <w:spacing w:line="240" w:lineRule="auto"/>
        <w:jc w:val="both"/>
        <w:rPr>
          <w:rFonts w:ascii="Times New Roman" w:eastAsia="Times New Roman" w:hAnsi="Times New Roman" w:cs="Times New Roman"/>
          <w:b/>
          <w:bCs/>
          <w:sz w:val="24"/>
          <w:szCs w:val="24"/>
        </w:rPr>
      </w:pPr>
    </w:p>
    <w:p w14:paraId="27C04B86" w14:textId="77777777" w:rsidR="003C11B1" w:rsidRDefault="00000000">
      <w:pPr>
        <w:pStyle w:val="Heading3"/>
      </w:pPr>
      <w:bookmarkStart w:id="12" w:name="_q5ya5wrqvlu5" w:colFirst="0" w:colLast="0"/>
      <w:bookmarkEnd w:id="12"/>
      <w:r>
        <w:t>Implementation Challenges of Internal Controls and Ethical Climate</w:t>
      </w:r>
    </w:p>
    <w:p w14:paraId="171E1EC3" w14:textId="77777777" w:rsidR="003C11B1" w:rsidRDefault="003C11B1">
      <w:pPr>
        <w:spacing w:line="240" w:lineRule="auto"/>
        <w:jc w:val="both"/>
        <w:rPr>
          <w:rFonts w:ascii="Times New Roman" w:eastAsia="Times New Roman" w:hAnsi="Times New Roman" w:cs="Times New Roman"/>
          <w:b/>
          <w:bCs/>
          <w:sz w:val="24"/>
          <w:szCs w:val="24"/>
        </w:rPr>
      </w:pPr>
    </w:p>
    <w:p w14:paraId="798ED276"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in Table 9, following Virginia Braun and Victoria Clarke (2006, 2024), a thematic analysis of ten key informant responses identified five major challenges: resource constraints, weak ethical leadership and political interference, weak segregation of duties &amp; structural deficiencies, insufficient training &amp; capacity development, and resistance to change. These themes, distinct from the preceding variable dimensions, were obtained from key informant interviews and reveal operational and contextual challenges not reflected in the survey’s high ratings of internal control effectiveness and ethical climate. Earlier research shows that lacking sufficient resources hinders control implementation (Talla et al., 2025), and unclear segregation of duties increases risk-taking (DBM, 2023). Furthermore, weak leadership and political interference </w:t>
      </w:r>
      <w:r>
        <w:rPr>
          <w:rFonts w:ascii="Times New Roman" w:eastAsia="Times New Roman" w:hAnsi="Times New Roman" w:cs="Times New Roman"/>
          <w:sz w:val="24"/>
          <w:szCs w:val="24"/>
        </w:rPr>
        <w:lastRenderedPageBreak/>
        <w:t>undermine the "tone at the top" highlighted by COSO (2013, as cited in Pkatey, 2024) and ethical leadership (Brown &amp; Treviño, 2006, as cited in Bedi et al., 2024). These findings show that practical and behavioral constraints still affect implementation, even though there are strong formal systems in place. This shows that LGUs need stronger leadership commitment, institutional support, and continuous capacity-building to keep up good internal control and ethical governance.</w:t>
      </w:r>
    </w:p>
    <w:p w14:paraId="772CFED6" w14:textId="77777777" w:rsidR="003C11B1" w:rsidRDefault="003C11B1">
      <w:pPr>
        <w:spacing w:line="240" w:lineRule="auto"/>
        <w:jc w:val="both"/>
        <w:rPr>
          <w:rFonts w:ascii="Times New Roman" w:eastAsia="Times New Roman" w:hAnsi="Times New Roman" w:cs="Times New Roman"/>
          <w:b/>
          <w:bCs/>
          <w:sz w:val="24"/>
          <w:szCs w:val="24"/>
        </w:rPr>
      </w:pPr>
    </w:p>
    <w:p w14:paraId="14394F41" w14:textId="77777777" w:rsidR="003C11B1"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z w:val="24"/>
          <w:szCs w:val="24"/>
          <w:highlight w:val="white"/>
        </w:rPr>
        <w:t xml:space="preserve"> 9</w:t>
      </w:r>
    </w:p>
    <w:p w14:paraId="75A23FA9" w14:textId="77777777" w:rsidR="003C11B1"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Implementation Challenges of Effective Internal Controls &amp; Ethical Climate</w:t>
      </w:r>
    </w:p>
    <w:p w14:paraId="6C71286F" w14:textId="77777777" w:rsidR="003C11B1" w:rsidRDefault="003C11B1">
      <w:pPr>
        <w:spacing w:line="240" w:lineRule="auto"/>
        <w:jc w:val="both"/>
        <w:rPr>
          <w:rFonts w:ascii="Times New Roman" w:eastAsia="Times New Roman" w:hAnsi="Times New Roman" w:cs="Times New Roman"/>
          <w:sz w:val="6"/>
          <w:szCs w:val="6"/>
        </w:rPr>
      </w:pPr>
    </w:p>
    <w:p w14:paraId="4C2915D9" w14:textId="77777777" w:rsidR="003C11B1" w:rsidRDefault="003C11B1">
      <w:pPr>
        <w:spacing w:line="240" w:lineRule="auto"/>
        <w:jc w:val="both"/>
        <w:rPr>
          <w:rFonts w:ascii="Times New Roman" w:eastAsia="Times New Roman" w:hAnsi="Times New Roman" w:cs="Times New Roman"/>
          <w:sz w:val="6"/>
          <w:szCs w:val="6"/>
        </w:rPr>
      </w:pPr>
    </w:p>
    <w:tbl>
      <w:tblPr>
        <w:tblStyle w:val="a7"/>
        <w:tblW w:w="88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4665"/>
        <w:gridCol w:w="1350"/>
      </w:tblGrid>
      <w:tr w:rsidR="003C11B1" w14:paraId="78507645" w14:textId="77777777">
        <w:trPr>
          <w:jc w:val="center"/>
        </w:trPr>
        <w:tc>
          <w:tcPr>
            <w:tcW w:w="2865" w:type="dxa"/>
            <w:tcBorders>
              <w:left w:val="single" w:sz="4" w:space="0" w:color="FFFFFF"/>
              <w:right w:val="single" w:sz="4" w:space="0" w:color="FFFFFF"/>
            </w:tcBorders>
            <w:shd w:val="clear" w:color="auto" w:fill="FFFFFF"/>
            <w:vAlign w:val="center"/>
          </w:tcPr>
          <w:p w14:paraId="5F37F27B"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Theme</w:t>
            </w:r>
          </w:p>
        </w:tc>
        <w:tc>
          <w:tcPr>
            <w:tcW w:w="4665" w:type="dxa"/>
            <w:tcBorders>
              <w:left w:val="single" w:sz="4" w:space="0" w:color="FFFFFF"/>
              <w:right w:val="single" w:sz="4" w:space="0" w:color="FFFFFF"/>
            </w:tcBorders>
            <w:shd w:val="clear" w:color="auto" w:fill="FFFFFF"/>
            <w:vAlign w:val="center"/>
          </w:tcPr>
          <w:p w14:paraId="005E51EC"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c>
          <w:tcPr>
            <w:tcW w:w="1350" w:type="dxa"/>
            <w:tcBorders>
              <w:left w:val="single" w:sz="4" w:space="0" w:color="FFFFFF"/>
              <w:right w:val="single" w:sz="4" w:space="0" w:color="FFFFFF"/>
            </w:tcBorders>
            <w:shd w:val="clear" w:color="auto" w:fill="FFFFFF"/>
            <w:vAlign w:val="center"/>
          </w:tcPr>
          <w:p w14:paraId="3D797A2A"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Responses</w:t>
            </w:r>
          </w:p>
        </w:tc>
      </w:tr>
      <w:tr w:rsidR="003C11B1" w14:paraId="2029E8E0" w14:textId="77777777">
        <w:trPr>
          <w:trHeight w:val="311"/>
          <w:jc w:val="center"/>
        </w:trPr>
        <w:tc>
          <w:tcPr>
            <w:tcW w:w="2865"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41D63B90" w14:textId="77777777" w:rsidR="003C11B1" w:rsidRDefault="00000000">
            <w:p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1. Resource Constraints</w:t>
            </w:r>
          </w:p>
        </w:tc>
        <w:tc>
          <w:tcPr>
            <w:tcW w:w="4665"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52B7DEF3"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Lack of manpower, limited budget, and outdated systems</w:t>
            </w:r>
          </w:p>
        </w:tc>
        <w:tc>
          <w:tcPr>
            <w:tcW w:w="1350"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72F0EFBC"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C11B1" w14:paraId="29F8BBF8" w14:textId="77777777">
        <w:trPr>
          <w:trHeight w:val="311"/>
          <w:jc w:val="center"/>
        </w:trPr>
        <w:tc>
          <w:tcPr>
            <w:tcW w:w="2865" w:type="dxa"/>
            <w:tcBorders>
              <w:top w:val="single" w:sz="4" w:space="0" w:color="FFFFFF"/>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02D78A4F" w14:textId="77777777" w:rsidR="003C11B1" w:rsidRDefault="00000000">
            <w:p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2. Weak Ethical Leadership &amp; Political Interference</w:t>
            </w:r>
          </w:p>
        </w:tc>
        <w:tc>
          <w:tcPr>
            <w:tcW w:w="4665"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21E19D44"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Tolerance of wrongdoing and political influence</w:t>
            </w:r>
          </w:p>
        </w:tc>
        <w:tc>
          <w:tcPr>
            <w:tcW w:w="1350"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675B05C1"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C11B1" w14:paraId="6BE3502F" w14:textId="77777777">
        <w:trPr>
          <w:trHeight w:val="290"/>
          <w:jc w:val="center"/>
        </w:trPr>
        <w:tc>
          <w:tcPr>
            <w:tcW w:w="2865" w:type="dxa"/>
            <w:tcBorders>
              <w:top w:val="single" w:sz="4" w:space="0" w:color="FFFFFF"/>
              <w:left w:val="single" w:sz="4" w:space="0" w:color="FFFFFF"/>
              <w:right w:val="single" w:sz="4" w:space="0" w:color="FFFFFF"/>
            </w:tcBorders>
            <w:shd w:val="clear" w:color="auto" w:fill="FFFFFF"/>
            <w:tcMar>
              <w:top w:w="11" w:type="dxa"/>
              <w:left w:w="11" w:type="dxa"/>
              <w:bottom w:w="11" w:type="dxa"/>
              <w:right w:w="11" w:type="dxa"/>
            </w:tcMar>
          </w:tcPr>
          <w:p w14:paraId="464FE06D" w14:textId="77777777" w:rsidR="003C11B1" w:rsidRDefault="00000000">
            <w:p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 Weak Segregation of Duties and Structural Deficiencies</w:t>
            </w:r>
          </w:p>
        </w:tc>
        <w:tc>
          <w:tcPr>
            <w:tcW w:w="4665"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01618C72"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Structural deficiencies and lack of Internal Audit Services (IAS)</w:t>
            </w:r>
          </w:p>
        </w:tc>
        <w:tc>
          <w:tcPr>
            <w:tcW w:w="1350"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16559289"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C11B1" w14:paraId="0E3C5014" w14:textId="77777777">
        <w:trPr>
          <w:trHeight w:val="311"/>
          <w:jc w:val="center"/>
        </w:trPr>
        <w:tc>
          <w:tcPr>
            <w:tcW w:w="2865" w:type="dxa"/>
            <w:tcBorders>
              <w:top w:val="single" w:sz="4" w:space="0" w:color="FFFFFF"/>
              <w:left w:val="single" w:sz="4" w:space="0" w:color="FFFFFF"/>
              <w:right w:val="single" w:sz="4" w:space="0" w:color="FFFFFF"/>
            </w:tcBorders>
            <w:shd w:val="clear" w:color="auto" w:fill="FFFFFF"/>
            <w:tcMar>
              <w:top w:w="11" w:type="dxa"/>
              <w:left w:w="11" w:type="dxa"/>
              <w:bottom w:w="11" w:type="dxa"/>
              <w:right w:w="11" w:type="dxa"/>
            </w:tcMar>
          </w:tcPr>
          <w:p w14:paraId="0A880C2F" w14:textId="77777777" w:rsidR="003C11B1" w:rsidRDefault="00000000">
            <w:p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4. Insufficient Training and Capacity Development</w:t>
            </w:r>
          </w:p>
        </w:tc>
        <w:tc>
          <w:tcPr>
            <w:tcW w:w="4665"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20480E90"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Lack of ethics training and professional development</w:t>
            </w:r>
          </w:p>
        </w:tc>
        <w:tc>
          <w:tcPr>
            <w:tcW w:w="1350"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07637997"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C11B1" w14:paraId="22B9174E" w14:textId="77777777">
        <w:trPr>
          <w:trHeight w:val="240"/>
          <w:jc w:val="center"/>
        </w:trPr>
        <w:tc>
          <w:tcPr>
            <w:tcW w:w="2865" w:type="dxa"/>
            <w:tcBorders>
              <w:top w:val="single" w:sz="4" w:space="0" w:color="FFFFFF"/>
              <w:left w:val="single" w:sz="4" w:space="0" w:color="FFFFFF"/>
              <w:right w:val="single" w:sz="4" w:space="0" w:color="FFFFFF"/>
            </w:tcBorders>
            <w:shd w:val="clear" w:color="auto" w:fill="FFFFFF"/>
            <w:tcMar>
              <w:top w:w="11" w:type="dxa"/>
              <w:left w:w="11" w:type="dxa"/>
              <w:bottom w:w="11" w:type="dxa"/>
              <w:right w:w="11" w:type="dxa"/>
            </w:tcMar>
          </w:tcPr>
          <w:p w14:paraId="3AD8C7E9" w14:textId="77777777" w:rsidR="003C11B1" w:rsidRDefault="00000000">
            <w:p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5. Resistance to Change</w:t>
            </w:r>
          </w:p>
        </w:tc>
        <w:tc>
          <w:tcPr>
            <w:tcW w:w="4665" w:type="dxa"/>
            <w:tcBorders>
              <w:top w:val="single" w:sz="4" w:space="0" w:color="FFFFFF"/>
              <w:left w:val="single" w:sz="4" w:space="0" w:color="FFFFFF"/>
              <w:right w:val="single" w:sz="4" w:space="0" w:color="FFFFFF"/>
            </w:tcBorders>
            <w:shd w:val="clear" w:color="auto" w:fill="FFFFFF"/>
            <w:tcMar>
              <w:top w:w="11" w:type="dxa"/>
              <w:left w:w="11" w:type="dxa"/>
              <w:bottom w:w="11" w:type="dxa"/>
              <w:right w:w="11" w:type="dxa"/>
            </w:tcMar>
          </w:tcPr>
          <w:p w14:paraId="297A1BC6"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Bureaucracy, innovation resistance</w:t>
            </w:r>
          </w:p>
        </w:tc>
        <w:tc>
          <w:tcPr>
            <w:tcW w:w="1350" w:type="dxa"/>
            <w:tcBorders>
              <w:top w:val="single" w:sz="4" w:space="0" w:color="FFFFFF"/>
              <w:left w:val="single" w:sz="4" w:space="0" w:color="FFFFFF"/>
              <w:right w:val="single" w:sz="4" w:space="0" w:color="FFFFFF"/>
            </w:tcBorders>
            <w:shd w:val="clear" w:color="auto" w:fill="FFFFFF"/>
            <w:tcMar>
              <w:top w:w="11" w:type="dxa"/>
              <w:left w:w="11" w:type="dxa"/>
              <w:bottom w:w="11" w:type="dxa"/>
              <w:right w:w="11" w:type="dxa"/>
            </w:tcMar>
          </w:tcPr>
          <w:p w14:paraId="4C884482"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bl>
    <w:p w14:paraId="31BFCA47" w14:textId="77777777" w:rsidR="003C11B1" w:rsidRDefault="003C11B1">
      <w:pPr>
        <w:spacing w:line="240" w:lineRule="auto"/>
        <w:ind w:firstLine="720"/>
        <w:jc w:val="both"/>
        <w:rPr>
          <w:rFonts w:ascii="Times New Roman" w:eastAsia="Times New Roman" w:hAnsi="Times New Roman" w:cs="Times New Roman"/>
          <w:sz w:val="24"/>
          <w:szCs w:val="24"/>
        </w:rPr>
      </w:pPr>
    </w:p>
    <w:p w14:paraId="25BFCF73" w14:textId="77777777" w:rsidR="003C11B1" w:rsidRDefault="003C11B1">
      <w:pPr>
        <w:spacing w:line="240" w:lineRule="auto"/>
        <w:jc w:val="both"/>
        <w:rPr>
          <w:rFonts w:ascii="Times New Roman" w:eastAsia="Times New Roman" w:hAnsi="Times New Roman" w:cs="Times New Roman"/>
          <w:sz w:val="24"/>
          <w:szCs w:val="24"/>
        </w:rPr>
      </w:pPr>
    </w:p>
    <w:p w14:paraId="4A863775" w14:textId="77777777" w:rsidR="003C11B1" w:rsidRDefault="00000000">
      <w:pPr>
        <w:pStyle w:val="Heading2"/>
      </w:pPr>
      <w:bookmarkStart w:id="13" w:name="_a7eexnq73aky" w:colFirst="0" w:colLast="0"/>
      <w:bookmarkEnd w:id="13"/>
      <w:r>
        <w:t>CONCLUSION</w:t>
      </w:r>
    </w:p>
    <w:p w14:paraId="1A0A64B0" w14:textId="77777777" w:rsidR="003C11B1"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This study investigated the influence of internal control effectiveness on local treasury performance and the moderating effect of ethical climate within local government units in Misamis Oriental. The findings indicate that internal control effectiveness is a strong and significant predictor of treasury performance, particularly through control environment and monitoring, emphasizing the importance of leadership integrity, accountability, and consistent oversight. Ethical climate has a direct positive effect on performance, but it does not alter the relationship. This means that internal controls work as stable, institutionalized governance mechanisms, no matter what the ethical or demographic variations are. However, qualitative findings reveal persistent challenges such as resource constraints, political interference, weak ethical leadership, weak segregation of duties, structural deficiencies, insufficient training and capacity development, and resistance to change, which may impede optimal implementation. Overall, the study suggests that improving local treasury performance necessitates not only strong internal control systems, but also increased institutional support through ethical oversight structures, feedback mechanisms, ongoing capacity development, and adaptive governance reforms to ensure long-term, accountable, and effective public financial management.</w:t>
      </w:r>
    </w:p>
    <w:p w14:paraId="1BC57DF8" w14:textId="77777777" w:rsidR="003C11B1" w:rsidRDefault="003C11B1">
      <w:pPr>
        <w:spacing w:line="240" w:lineRule="auto"/>
        <w:ind w:firstLine="720"/>
        <w:jc w:val="both"/>
        <w:rPr>
          <w:rFonts w:ascii="Times New Roman" w:eastAsia="Times New Roman" w:hAnsi="Times New Roman" w:cs="Times New Roman"/>
          <w:sz w:val="24"/>
          <w:szCs w:val="24"/>
        </w:rPr>
      </w:pPr>
    </w:p>
    <w:p w14:paraId="027E5842" w14:textId="77777777" w:rsidR="003C11B1" w:rsidRDefault="003C11B1">
      <w:pPr>
        <w:pStyle w:val="Heading2"/>
      </w:pPr>
      <w:bookmarkStart w:id="14" w:name="_hyvh8nujy6on" w:colFirst="0" w:colLast="0"/>
      <w:bookmarkEnd w:id="14"/>
    </w:p>
    <w:p w14:paraId="440C8231" w14:textId="77777777" w:rsidR="003C11B1" w:rsidRDefault="003C11B1">
      <w:pPr>
        <w:pStyle w:val="Heading2"/>
      </w:pPr>
      <w:bookmarkStart w:id="15" w:name="_x67y7h89lig7" w:colFirst="0" w:colLast="0"/>
      <w:bookmarkEnd w:id="15"/>
    </w:p>
    <w:p w14:paraId="2EEB5DB5" w14:textId="77777777" w:rsidR="003C11B1" w:rsidRDefault="00000000">
      <w:pPr>
        <w:pStyle w:val="Heading2"/>
      </w:pPr>
      <w:bookmarkStart w:id="16" w:name="_wok0o13n14qk" w:colFirst="0" w:colLast="0"/>
      <w:bookmarkEnd w:id="16"/>
      <w:r>
        <w:t>About the Author</w:t>
      </w:r>
    </w:p>
    <w:p w14:paraId="1676B34F" w14:textId="77777777" w:rsidR="003C11B1"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Apgrant F. Cagoco, CPA, CTT, MBA, is a Doctor of Management student at Capitol University, Cagayan de Oro City, and a graduate of La Salle University, Ozamiz City, where he earned his MBA (2018) and BS-Accountancy (2013). He has served the Local Government Unit of Kinoguitan as the Municipal Accountant since 2018. Passing the Civil Service Commission’s Basic Competency on Local Treasury Examination (BCLTE) in 2022 qualified him to be appointed as the Acting Municipal Treasurer in the same agency. He also serves as a part-time faculty member at Tagoloan Community College (TCC), teaching in accounting subjects. He has likewise been invited as a speaker in online seminars and onsite local government trainings where he shares technical knowledge of treasury and accounting operations, governance reforms, and fiscal responsibility. His professional and academic engagements reflect a strong commitment to capacity-building, ethical leadership, and sustainable public financial management in the Philippines.</w:t>
      </w:r>
    </w:p>
    <w:p w14:paraId="62C9AD45" w14:textId="77777777" w:rsidR="003C11B1" w:rsidRDefault="003C11B1">
      <w:pPr>
        <w:spacing w:line="240" w:lineRule="auto"/>
        <w:jc w:val="both"/>
        <w:rPr>
          <w:rFonts w:ascii="Times New Roman" w:eastAsia="Times New Roman" w:hAnsi="Times New Roman" w:cs="Times New Roman"/>
          <w:sz w:val="24"/>
          <w:szCs w:val="24"/>
        </w:rPr>
      </w:pPr>
    </w:p>
    <w:p w14:paraId="6E092C85" w14:textId="77777777" w:rsidR="003C11B1" w:rsidRDefault="003C11B1">
      <w:pPr>
        <w:spacing w:line="240" w:lineRule="auto"/>
        <w:jc w:val="both"/>
        <w:rPr>
          <w:rFonts w:ascii="Times New Roman" w:eastAsia="Times New Roman" w:hAnsi="Times New Roman" w:cs="Times New Roman"/>
          <w:sz w:val="24"/>
          <w:szCs w:val="24"/>
        </w:rPr>
      </w:pPr>
    </w:p>
    <w:p w14:paraId="70FDDF34" w14:textId="77777777" w:rsidR="003C11B1" w:rsidRDefault="00000000">
      <w:pPr>
        <w:pStyle w:val="Heading2"/>
        <w:rPr>
          <w:color w:val="0000FF"/>
          <w:u w:val="single"/>
        </w:rPr>
      </w:pPr>
      <w:bookmarkStart w:id="17" w:name="_bqr1rkn7ebg2" w:colFirst="0" w:colLast="0"/>
      <w:bookmarkEnd w:id="17"/>
      <w:r>
        <w:t>References</w:t>
      </w:r>
    </w:p>
    <w:p w14:paraId="5668B584"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Abdou, A. H., Sharma, R., &amp; Albakhit, A. I. A. (2024). Boosting the organizational performance: Ethical climate as a moderator for optimizing risk management practices in the Saudi public sector. </w:t>
      </w:r>
      <w:r>
        <w:rPr>
          <w:rFonts w:ascii="Times New Roman" w:eastAsia="Times New Roman" w:hAnsi="Times New Roman" w:cs="Times New Roman"/>
          <w:i/>
          <w:iCs/>
          <w:sz w:val="24"/>
          <w:szCs w:val="24"/>
        </w:rPr>
        <w:t>Global Business &amp; Finance Review, 29</w:t>
      </w:r>
      <w:r>
        <w:rPr>
          <w:rFonts w:ascii="Times New Roman" w:eastAsia="Times New Roman" w:hAnsi="Times New Roman" w:cs="Times New Roman"/>
          <w:sz w:val="24"/>
          <w:szCs w:val="24"/>
        </w:rPr>
        <w:t>(3), 42–56.</w:t>
      </w:r>
      <w:hyperlink r:id="rId4">
        <w:r w:rsidR="003C11B1">
          <w:rPr>
            <w:rFonts w:ascii="Times New Roman" w:eastAsia="Times New Roman" w:hAnsi="Times New Roman" w:cs="Times New Roman"/>
            <w:sz w:val="24"/>
            <w:szCs w:val="24"/>
          </w:rPr>
          <w:t xml:space="preserve"> </w:t>
        </w:r>
      </w:hyperlink>
      <w:hyperlink r:id="rId5">
        <w:r w:rsidR="003C11B1">
          <w:rPr>
            <w:rFonts w:ascii="Times New Roman" w:eastAsia="Times New Roman" w:hAnsi="Times New Roman" w:cs="Times New Roman"/>
            <w:color w:val="0000FF"/>
            <w:sz w:val="24"/>
            <w:szCs w:val="24"/>
            <w:u w:val="single"/>
          </w:rPr>
          <w:t>https://www.econstor.eu/bitstream/10419/305968/1/id604.pdf</w:t>
        </w:r>
      </w:hyperlink>
    </w:p>
    <w:p w14:paraId="0A086AE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Bashaija, W. (2022). The effect of internal control systems on the financial performance of commercial banks in Rwanda. </w:t>
      </w:r>
      <w:r>
        <w:rPr>
          <w:rFonts w:ascii="Times New Roman" w:eastAsia="Times New Roman" w:hAnsi="Times New Roman" w:cs="Times New Roman"/>
          <w:i/>
          <w:iCs/>
          <w:sz w:val="24"/>
          <w:szCs w:val="24"/>
        </w:rPr>
        <w:t>Journal of Finance and Accounting</w:t>
      </w:r>
      <w:r>
        <w:rPr>
          <w:rFonts w:ascii="Times New Roman" w:eastAsia="Times New Roman" w:hAnsi="Times New Roman" w:cs="Times New Roman"/>
          <w:sz w:val="24"/>
          <w:szCs w:val="24"/>
        </w:rPr>
        <w:t xml:space="preserve">, 10(6), 244–252. </w:t>
      </w:r>
      <w:hyperlink r:id="rId6">
        <w:r w:rsidR="003C11B1">
          <w:rPr>
            <w:rFonts w:ascii="Times New Roman" w:eastAsia="Times New Roman" w:hAnsi="Times New Roman" w:cs="Times New Roman"/>
            <w:color w:val="0000FF"/>
            <w:sz w:val="24"/>
            <w:szCs w:val="24"/>
            <w:u w:val="single"/>
          </w:rPr>
          <w:t>https://www.sciencepublishinggroup.com/article/10.11648/j.jfa.20221006.12</w:t>
        </w:r>
      </w:hyperlink>
    </w:p>
    <w:p w14:paraId="7FF94972"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Bedi, A., Alpaslan, C. M., &amp; Green, S. (2016). A meta-analytic review of ethical leadership outcomes and moderators. </w:t>
      </w:r>
      <w:r>
        <w:rPr>
          <w:rFonts w:ascii="Times New Roman" w:eastAsia="Times New Roman" w:hAnsi="Times New Roman" w:cs="Times New Roman"/>
          <w:i/>
          <w:iCs/>
          <w:sz w:val="24"/>
          <w:szCs w:val="24"/>
        </w:rPr>
        <w:t>Journal of Business Ethics, 139</w:t>
      </w:r>
      <w:r>
        <w:rPr>
          <w:rFonts w:ascii="Times New Roman" w:eastAsia="Times New Roman" w:hAnsi="Times New Roman" w:cs="Times New Roman"/>
          <w:sz w:val="24"/>
          <w:szCs w:val="24"/>
        </w:rPr>
        <w:t>(3), 517–536.</w:t>
      </w:r>
      <w:hyperlink r:id="rId7">
        <w:r w:rsidR="003C11B1">
          <w:rPr>
            <w:rFonts w:ascii="Times New Roman" w:eastAsia="Times New Roman" w:hAnsi="Times New Roman" w:cs="Times New Roman"/>
            <w:sz w:val="24"/>
            <w:szCs w:val="24"/>
          </w:rPr>
          <w:t xml:space="preserve"> </w:t>
        </w:r>
      </w:hyperlink>
      <w:hyperlink r:id="rId8">
        <w:r w:rsidR="003C11B1">
          <w:rPr>
            <w:rFonts w:ascii="Times New Roman" w:eastAsia="Times New Roman" w:hAnsi="Times New Roman" w:cs="Times New Roman"/>
            <w:color w:val="0000FF"/>
            <w:sz w:val="24"/>
            <w:szCs w:val="24"/>
            <w:u w:val="single"/>
          </w:rPr>
          <w:t>https://doi.org/10.1007/s10551-015-2625-1</w:t>
        </w:r>
      </w:hyperlink>
    </w:p>
    <w:p w14:paraId="1983A974"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Braun, V., &amp; Clarke, V. (2024). A critical review of the reporting of reflexive thematic analysis in </w:t>
      </w:r>
      <w:r>
        <w:rPr>
          <w:rFonts w:ascii="Times New Roman" w:eastAsia="Times New Roman" w:hAnsi="Times New Roman" w:cs="Times New Roman"/>
          <w:i/>
          <w:iCs/>
          <w:sz w:val="24"/>
          <w:szCs w:val="24"/>
        </w:rPr>
        <w:t>Health Promotion International, 39</w:t>
      </w:r>
      <w:r>
        <w:rPr>
          <w:rFonts w:ascii="Times New Roman" w:eastAsia="Times New Roman" w:hAnsi="Times New Roman" w:cs="Times New Roman"/>
          <w:sz w:val="24"/>
          <w:szCs w:val="24"/>
        </w:rPr>
        <w:t>(3), daae049.</w:t>
      </w:r>
      <w:hyperlink r:id="rId9">
        <w:r w:rsidR="003C11B1">
          <w:rPr>
            <w:rFonts w:ascii="Times New Roman" w:eastAsia="Times New Roman" w:hAnsi="Times New Roman" w:cs="Times New Roman"/>
            <w:sz w:val="24"/>
            <w:szCs w:val="24"/>
          </w:rPr>
          <w:t xml:space="preserve"> </w:t>
        </w:r>
      </w:hyperlink>
      <w:hyperlink r:id="rId10">
        <w:r w:rsidR="003C11B1">
          <w:rPr>
            <w:rFonts w:ascii="Times New Roman" w:eastAsia="Times New Roman" w:hAnsi="Times New Roman" w:cs="Times New Roman"/>
            <w:color w:val="0000FF"/>
            <w:sz w:val="24"/>
            <w:szCs w:val="24"/>
            <w:u w:val="single"/>
          </w:rPr>
          <w:t>https://doi.org/10.1093/heapro/daae049</w:t>
        </w:r>
      </w:hyperlink>
    </w:p>
    <w:p w14:paraId="6B08978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Bureau of Local Government Finance. (2019). Local Treasury Operations Manual: Book I (2nd ed.). Department of Finance. </w:t>
      </w:r>
      <w:hyperlink r:id="rId11">
        <w:r w:rsidR="003C11B1">
          <w:rPr>
            <w:rFonts w:ascii="Times New Roman" w:eastAsia="Times New Roman" w:hAnsi="Times New Roman" w:cs="Times New Roman"/>
            <w:color w:val="0000FF"/>
            <w:sz w:val="24"/>
            <w:szCs w:val="24"/>
            <w:u w:val="single"/>
          </w:rPr>
          <w:t>https://blgf.gov.ph/wp-content/uploads/2022/10/LTOM-Book-1-E-Copy.pdf</w:t>
        </w:r>
      </w:hyperlink>
    </w:p>
    <w:p w14:paraId="43AA5F27"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Castaño, A. M., Zuazua-Vega, M., Stone, D. L., &amp; García-Izquierdo, A. L. (2024). Are there gender differences between skills and job performance in public management positions? </w:t>
      </w:r>
      <w:r>
        <w:rPr>
          <w:rFonts w:ascii="Times New Roman" w:eastAsia="Times New Roman" w:hAnsi="Times New Roman" w:cs="Times New Roman"/>
          <w:i/>
          <w:iCs/>
          <w:sz w:val="24"/>
          <w:szCs w:val="24"/>
        </w:rPr>
        <w:t>Journal of Work and Organizational Psychology,</w:t>
      </w:r>
      <w:r>
        <w:rPr>
          <w:rFonts w:ascii="Times New Roman" w:eastAsia="Times New Roman" w:hAnsi="Times New Roman" w:cs="Times New Roman"/>
          <w:sz w:val="24"/>
          <w:szCs w:val="24"/>
        </w:rPr>
        <w:t xml:space="preserve"> 40(2), 119–129. </w:t>
      </w:r>
      <w:hyperlink r:id="rId12">
        <w:r w:rsidR="003C11B1">
          <w:rPr>
            <w:rFonts w:ascii="Times New Roman" w:eastAsia="Times New Roman" w:hAnsi="Times New Roman" w:cs="Times New Roman"/>
            <w:color w:val="0000FF"/>
            <w:sz w:val="24"/>
            <w:szCs w:val="24"/>
            <w:u w:val="single"/>
          </w:rPr>
          <w:t>https://doi.org/10.5093/jwop2024a10</w:t>
        </w:r>
      </w:hyperlink>
    </w:p>
    <w:p w14:paraId="7A1122B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Chartered Institute of Public Finance and Accountancy. (2022). Public financial management: A whole system approach (Vol. 1). </w:t>
      </w:r>
      <w:r>
        <w:rPr>
          <w:rFonts w:ascii="Times New Roman" w:eastAsia="Times New Roman" w:hAnsi="Times New Roman" w:cs="Times New Roman"/>
          <w:i/>
          <w:iCs/>
          <w:sz w:val="24"/>
          <w:szCs w:val="24"/>
        </w:rPr>
        <w:t>CIPFA</w:t>
      </w:r>
      <w:r>
        <w:rPr>
          <w:rFonts w:ascii="Times New Roman" w:eastAsia="Times New Roman" w:hAnsi="Times New Roman" w:cs="Times New Roman"/>
          <w:sz w:val="24"/>
          <w:szCs w:val="24"/>
        </w:rPr>
        <w:t xml:space="preserve">. </w:t>
      </w:r>
      <w:hyperlink r:id="rId13">
        <w:r w:rsidR="003C11B1">
          <w:rPr>
            <w:rFonts w:ascii="Times New Roman" w:eastAsia="Times New Roman" w:hAnsi="Times New Roman" w:cs="Times New Roman"/>
            <w:color w:val="0000FF"/>
            <w:sz w:val="24"/>
            <w:szCs w:val="24"/>
            <w:u w:val="single"/>
          </w:rPr>
          <w:t>https://www.cipfa.org/-/media/files/publications/pfm_wsa_vol1.pdf</w:t>
        </w:r>
      </w:hyperlink>
    </w:p>
    <w:p w14:paraId="7E6DFEF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Cherry, K. (2023). Erik Erikson’s stages of psychosocial development. </w:t>
      </w:r>
      <w:r>
        <w:rPr>
          <w:rFonts w:ascii="Times New Roman" w:eastAsia="Times New Roman" w:hAnsi="Times New Roman" w:cs="Times New Roman"/>
          <w:i/>
          <w:iCs/>
          <w:sz w:val="24"/>
          <w:szCs w:val="24"/>
        </w:rPr>
        <w:t>Verywell Mind</w:t>
      </w:r>
      <w:r>
        <w:rPr>
          <w:rFonts w:ascii="Times New Roman" w:eastAsia="Times New Roman" w:hAnsi="Times New Roman" w:cs="Times New Roman"/>
          <w:sz w:val="24"/>
          <w:szCs w:val="24"/>
        </w:rPr>
        <w:t xml:space="preserve">. </w:t>
      </w:r>
      <w:hyperlink r:id="rId14">
        <w:r w:rsidR="003C11B1">
          <w:rPr>
            <w:rFonts w:ascii="Times New Roman" w:eastAsia="Times New Roman" w:hAnsi="Times New Roman" w:cs="Times New Roman"/>
            <w:color w:val="0000FF"/>
            <w:sz w:val="24"/>
            <w:szCs w:val="24"/>
            <w:u w:val="single"/>
          </w:rPr>
          <w:t>https://www.verywellmind.com/erik-eriksons-stages-of-psychosocial-development-2795740</w:t>
        </w:r>
      </w:hyperlink>
    </w:p>
    <w:p w14:paraId="5CDAB845"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Ceschi, A., Demerouti, E., Sartori, R., &amp; Weller, J. (2017). Decision-making processes in the workplace: How exhaustion, lack of resources and job demands impair them and affect performance. </w:t>
      </w:r>
      <w:r>
        <w:rPr>
          <w:rFonts w:ascii="Times New Roman" w:eastAsia="Times New Roman" w:hAnsi="Times New Roman" w:cs="Times New Roman"/>
          <w:i/>
          <w:iCs/>
          <w:sz w:val="24"/>
          <w:szCs w:val="24"/>
        </w:rPr>
        <w:t>Frontiers in Psychology, 8</w:t>
      </w:r>
      <w:r>
        <w:rPr>
          <w:rFonts w:ascii="Times New Roman" w:eastAsia="Times New Roman" w:hAnsi="Times New Roman" w:cs="Times New Roman"/>
          <w:sz w:val="24"/>
          <w:szCs w:val="24"/>
        </w:rPr>
        <w:t>, Article 313.</w:t>
      </w:r>
      <w:hyperlink r:id="rId15">
        <w:r w:rsidR="003C11B1">
          <w:rPr>
            <w:rFonts w:ascii="Times New Roman" w:eastAsia="Times New Roman" w:hAnsi="Times New Roman" w:cs="Times New Roman"/>
            <w:sz w:val="24"/>
            <w:szCs w:val="24"/>
          </w:rPr>
          <w:t xml:space="preserve"> </w:t>
        </w:r>
      </w:hyperlink>
      <w:hyperlink r:id="rId16">
        <w:r w:rsidR="003C11B1">
          <w:rPr>
            <w:rFonts w:ascii="Times New Roman" w:eastAsia="Times New Roman" w:hAnsi="Times New Roman" w:cs="Times New Roman"/>
            <w:color w:val="0000FF"/>
            <w:sz w:val="24"/>
            <w:szCs w:val="24"/>
            <w:u w:val="single"/>
          </w:rPr>
          <w:t>https://doi.org/10.3389/fpsyg.2017.00313</w:t>
        </w:r>
      </w:hyperlink>
    </w:p>
    <w:p w14:paraId="4DDC22FB"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Cotingjo, L. E., Pegalan, S. Z. V., &amp; Bulajao, E. J. (2025). Assessing the financial management skills among barangay treasurers of Tangub City. </w:t>
      </w:r>
      <w:r>
        <w:rPr>
          <w:rFonts w:ascii="Times New Roman" w:eastAsia="Times New Roman" w:hAnsi="Times New Roman" w:cs="Times New Roman"/>
          <w:i/>
          <w:iCs/>
          <w:sz w:val="24"/>
          <w:szCs w:val="24"/>
        </w:rPr>
        <w:t>International Journal of Research and Innovation in Social Science</w:t>
      </w:r>
      <w:r>
        <w:rPr>
          <w:rFonts w:ascii="Times New Roman" w:eastAsia="Times New Roman" w:hAnsi="Times New Roman" w:cs="Times New Roman"/>
          <w:sz w:val="24"/>
          <w:szCs w:val="24"/>
        </w:rPr>
        <w:t xml:space="preserve">, 9(10), 4643–4683. </w:t>
      </w:r>
      <w:hyperlink r:id="rId17">
        <w:r w:rsidR="003C11B1">
          <w:rPr>
            <w:rFonts w:ascii="Times New Roman" w:eastAsia="Times New Roman" w:hAnsi="Times New Roman" w:cs="Times New Roman"/>
            <w:color w:val="0000FF"/>
            <w:sz w:val="24"/>
            <w:szCs w:val="24"/>
            <w:u w:val="single"/>
          </w:rPr>
          <w:t>https://doi.org/10.47772/IJRISS.2025.910000384</w:t>
        </w:r>
      </w:hyperlink>
      <w:r>
        <w:rPr>
          <w:rFonts w:ascii="Times New Roman" w:eastAsia="Times New Roman" w:hAnsi="Times New Roman" w:cs="Times New Roman"/>
          <w:color w:val="0000FF"/>
          <w:sz w:val="24"/>
          <w:szCs w:val="24"/>
        </w:rPr>
        <w:t xml:space="preserve"> </w:t>
      </w:r>
    </w:p>
    <w:p w14:paraId="1136D0F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Enero, F. M. L., Baes, J. O., Falloran, L. H., Naparota, L. C., Gerzon, D. A., Bergado, D. B., &amp; Calamba, G. P. O. (2024). Capabilities and challenges encountered by barangay officials of selected barangays in Dipolog City on local budgeting process. </w:t>
      </w:r>
      <w:r>
        <w:rPr>
          <w:rFonts w:ascii="Times New Roman" w:eastAsia="Times New Roman" w:hAnsi="Times New Roman" w:cs="Times New Roman"/>
          <w:i/>
          <w:iCs/>
          <w:sz w:val="24"/>
          <w:szCs w:val="24"/>
        </w:rPr>
        <w:t>International Journal of Arts and Social Science</w:t>
      </w:r>
      <w:r>
        <w:rPr>
          <w:rFonts w:ascii="Times New Roman" w:eastAsia="Times New Roman" w:hAnsi="Times New Roman" w:cs="Times New Roman"/>
          <w:sz w:val="24"/>
          <w:szCs w:val="24"/>
        </w:rPr>
        <w:t xml:space="preserve">, 7(11), 11–29. </w:t>
      </w:r>
      <w:hyperlink r:id="rId18">
        <w:r w:rsidR="003C11B1">
          <w:rPr>
            <w:rFonts w:ascii="Times New Roman" w:eastAsia="Times New Roman" w:hAnsi="Times New Roman" w:cs="Times New Roman"/>
            <w:color w:val="0000FF"/>
            <w:sz w:val="24"/>
            <w:szCs w:val="24"/>
            <w:u w:val="single"/>
          </w:rPr>
          <w:t>https://www.ijassjournal.com/2024/V7I11/41466639805.pdf</w:t>
        </w:r>
      </w:hyperlink>
    </w:p>
    <w:p w14:paraId="7EFAC4FA"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Erricoa, M., Hines, J., &amp; Spencer, W. (2023). The role of revenue decentralization in disciplining local government spending. </w:t>
      </w:r>
      <w:r>
        <w:rPr>
          <w:rFonts w:ascii="Times New Roman" w:eastAsia="Times New Roman" w:hAnsi="Times New Roman" w:cs="Times New Roman"/>
          <w:i/>
          <w:iCs/>
          <w:sz w:val="24"/>
          <w:szCs w:val="24"/>
        </w:rPr>
        <w:t>University of Michigan Working Paper</w:t>
      </w:r>
      <w:r>
        <w:rPr>
          <w:rFonts w:ascii="Times New Roman" w:eastAsia="Times New Roman" w:hAnsi="Times New Roman" w:cs="Times New Roman"/>
          <w:sz w:val="24"/>
          <w:szCs w:val="24"/>
        </w:rPr>
        <w:t xml:space="preserve">. </w:t>
      </w:r>
      <w:hyperlink r:id="rId19">
        <w:r w:rsidR="003C11B1">
          <w:rPr>
            <w:rFonts w:ascii="Times New Roman" w:eastAsia="Times New Roman" w:hAnsi="Times New Roman" w:cs="Times New Roman"/>
            <w:color w:val="0000FF"/>
            <w:sz w:val="24"/>
            <w:szCs w:val="24"/>
            <w:u w:val="single"/>
          </w:rPr>
          <w:t>https://accounting.wharton.upenn.edu/wp-content/uploads/2024/05/EHSW_Wharton-003-DELPHINE-revised.pdf</w:t>
        </w:r>
      </w:hyperlink>
    </w:p>
    <w:p w14:paraId="7563AEB1"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Etikan, I., &amp; Bala, K. (2017). Sampling and sampling methods. </w:t>
      </w:r>
      <w:r>
        <w:rPr>
          <w:rFonts w:ascii="Times New Roman" w:eastAsia="Times New Roman" w:hAnsi="Times New Roman" w:cs="Times New Roman"/>
          <w:i/>
          <w:iCs/>
          <w:sz w:val="24"/>
          <w:szCs w:val="24"/>
        </w:rPr>
        <w:t>Biometrics &amp; Biostatistics International Journal</w:t>
      </w:r>
      <w:r>
        <w:rPr>
          <w:rFonts w:ascii="Times New Roman" w:eastAsia="Times New Roman" w:hAnsi="Times New Roman" w:cs="Times New Roman"/>
          <w:sz w:val="24"/>
          <w:szCs w:val="24"/>
        </w:rPr>
        <w:t xml:space="preserve">, 5(6), 215–217. </w:t>
      </w:r>
      <w:hyperlink r:id="rId20">
        <w:r w:rsidR="003C11B1">
          <w:rPr>
            <w:rFonts w:ascii="Times New Roman" w:eastAsia="Times New Roman" w:hAnsi="Times New Roman" w:cs="Times New Roman"/>
            <w:color w:val="0000FF"/>
            <w:sz w:val="24"/>
            <w:szCs w:val="24"/>
            <w:u w:val="single"/>
          </w:rPr>
          <w:t>https://www.semanticscholar.org/paper/Sampling-and-Sampling-Methods-Etikan-Bala/02989ba11561966a6c36e188e22e2f5bbc1e5343</w:t>
        </w:r>
      </w:hyperlink>
    </w:p>
    <w:p w14:paraId="0C31B085"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Eton, M., Mwosi, F., &amp; Ogwel, B. P. (2022). Are internal controls important in financial accountability? Evidence from Lira District Local Government, Uganda. </w:t>
      </w:r>
      <w:r>
        <w:rPr>
          <w:rFonts w:ascii="Times New Roman" w:eastAsia="Times New Roman" w:hAnsi="Times New Roman" w:cs="Times New Roman"/>
          <w:i/>
          <w:iCs/>
          <w:sz w:val="24"/>
          <w:szCs w:val="24"/>
        </w:rPr>
        <w:t>International Journal of Financial, Accounting and Management, 3</w:t>
      </w:r>
      <w:r>
        <w:rPr>
          <w:rFonts w:ascii="Times New Roman" w:eastAsia="Times New Roman" w:hAnsi="Times New Roman" w:cs="Times New Roman"/>
          <w:sz w:val="24"/>
          <w:szCs w:val="24"/>
        </w:rPr>
        <w:t>(4), 359–372.</w:t>
      </w:r>
      <w:hyperlink r:id="rId21">
        <w:r w:rsidR="003C11B1">
          <w:rPr>
            <w:rFonts w:ascii="Times New Roman" w:eastAsia="Times New Roman" w:hAnsi="Times New Roman" w:cs="Times New Roman"/>
            <w:sz w:val="24"/>
            <w:szCs w:val="24"/>
          </w:rPr>
          <w:t xml:space="preserve"> </w:t>
        </w:r>
      </w:hyperlink>
      <w:hyperlink r:id="rId22">
        <w:r w:rsidR="003C11B1">
          <w:rPr>
            <w:rFonts w:ascii="Times New Roman" w:eastAsia="Times New Roman" w:hAnsi="Times New Roman" w:cs="Times New Roman"/>
            <w:color w:val="0000FF"/>
            <w:sz w:val="24"/>
            <w:szCs w:val="24"/>
            <w:u w:val="single"/>
          </w:rPr>
          <w:t>https://doi.org/10.35912/ijfam.v3i4.810</w:t>
        </w:r>
      </w:hyperlink>
    </w:p>
    <w:p w14:paraId="694D874D"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Farazmand, A., De Simone, E., Gaeta, G. L., &amp; others. (2022). Corruption, lack of transparency and the misuse of public funds in times of crisis: An introduction. Public Organization Review, 22(3), 497–503. </w:t>
      </w:r>
      <w:hyperlink r:id="rId23">
        <w:r w:rsidR="003C11B1">
          <w:rPr>
            <w:rFonts w:ascii="Times New Roman" w:eastAsia="Times New Roman" w:hAnsi="Times New Roman" w:cs="Times New Roman"/>
            <w:color w:val="0000FF"/>
            <w:sz w:val="24"/>
            <w:szCs w:val="24"/>
            <w:u w:val="single"/>
          </w:rPr>
          <w:t>https://doi.org/10.1007/s11115-022-00651-8</w:t>
        </w:r>
      </w:hyperlink>
    </w:p>
    <w:p w14:paraId="5E4C7C86"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Gregorio, M. C. (2025). Relationship of emotional intelligence (EI) and administrative performance of private school principals: Basis for EI training program. </w:t>
      </w:r>
      <w:r>
        <w:rPr>
          <w:rFonts w:ascii="Times New Roman" w:eastAsia="Times New Roman" w:hAnsi="Times New Roman" w:cs="Times New Roman"/>
          <w:i/>
          <w:iCs/>
          <w:sz w:val="24"/>
          <w:szCs w:val="24"/>
        </w:rPr>
        <w:t>International Journal of Research and Innovation in Social Science</w:t>
      </w:r>
      <w:r>
        <w:rPr>
          <w:rFonts w:ascii="Times New Roman" w:eastAsia="Times New Roman" w:hAnsi="Times New Roman" w:cs="Times New Roman"/>
          <w:sz w:val="24"/>
          <w:szCs w:val="24"/>
        </w:rPr>
        <w:t xml:space="preserve">. </w:t>
      </w:r>
      <w:hyperlink r:id="rId24">
        <w:r w:rsidR="003C11B1">
          <w:rPr>
            <w:rFonts w:ascii="Times New Roman" w:eastAsia="Times New Roman" w:hAnsi="Times New Roman" w:cs="Times New Roman"/>
            <w:color w:val="0000FF"/>
            <w:sz w:val="24"/>
            <w:szCs w:val="24"/>
            <w:u w:val="single"/>
          </w:rPr>
          <w:t>https://rsisinternational.org/journals/ijriss/articles/relationship-of-emotional-intelligence-ei-and-administrative-performance-of-private-school-principals-basis-for-ei-training-program/</w:t>
        </w:r>
      </w:hyperlink>
    </w:p>
    <w:p w14:paraId="3751FB92" w14:textId="77777777" w:rsidR="003C11B1"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Gyimah, A. G. G., Addai, B., &amp; Tetteh, D. D. (2024). Impact of internal control systems on financial irregularities in local governments: Insights from the developing world. </w:t>
      </w:r>
      <w:r>
        <w:rPr>
          <w:rFonts w:ascii="Times New Roman" w:eastAsia="Times New Roman" w:hAnsi="Times New Roman" w:cs="Times New Roman"/>
          <w:i/>
          <w:iCs/>
          <w:sz w:val="24"/>
          <w:szCs w:val="24"/>
        </w:rPr>
        <w:t>RISUS – Journal on Innovation and Sustainability</w:t>
      </w:r>
      <w:r>
        <w:rPr>
          <w:rFonts w:ascii="Times New Roman" w:eastAsia="Times New Roman" w:hAnsi="Times New Roman" w:cs="Times New Roman"/>
          <w:sz w:val="24"/>
          <w:szCs w:val="24"/>
        </w:rPr>
        <w:t xml:space="preserve">, 15(2), 16–32. </w:t>
      </w:r>
      <w:hyperlink r:id="rId25">
        <w:r w:rsidR="003C11B1">
          <w:rPr>
            <w:rFonts w:ascii="Times New Roman" w:eastAsia="Times New Roman" w:hAnsi="Times New Roman" w:cs="Times New Roman"/>
            <w:color w:val="0000FF"/>
            <w:sz w:val="24"/>
            <w:szCs w:val="24"/>
            <w:u w:val="single"/>
          </w:rPr>
          <w:t>https://doi.org/10.23925/2179-3565.2024v15i2p16-32</w:t>
        </w:r>
      </w:hyperlink>
    </w:p>
    <w:p w14:paraId="5F2CD02D"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Hayes, A. F. (2018). </w:t>
      </w:r>
      <w:r>
        <w:rPr>
          <w:rFonts w:ascii="Times New Roman" w:eastAsia="Times New Roman" w:hAnsi="Times New Roman" w:cs="Times New Roman"/>
          <w:i/>
          <w:iCs/>
          <w:sz w:val="24"/>
          <w:szCs w:val="24"/>
        </w:rPr>
        <w:t>Introduction to mediation, moderation, and conditional process analysis: A regression-based approach</w:t>
      </w:r>
      <w:r>
        <w:rPr>
          <w:rFonts w:ascii="Times New Roman" w:eastAsia="Times New Roman" w:hAnsi="Times New Roman" w:cs="Times New Roman"/>
          <w:sz w:val="24"/>
          <w:szCs w:val="24"/>
        </w:rPr>
        <w:t xml:space="preserve"> (2nd ed.). Guilford Press.</w:t>
      </w:r>
      <w:hyperlink r:id="rId26">
        <w:r w:rsidR="003C11B1">
          <w:rPr>
            <w:rFonts w:ascii="Times New Roman" w:eastAsia="Times New Roman" w:hAnsi="Times New Roman" w:cs="Times New Roman"/>
            <w:sz w:val="24"/>
            <w:szCs w:val="24"/>
          </w:rPr>
          <w:t xml:space="preserve"> </w:t>
        </w:r>
      </w:hyperlink>
      <w:hyperlink r:id="rId27">
        <w:r w:rsidR="003C11B1">
          <w:rPr>
            <w:rFonts w:ascii="Times New Roman" w:eastAsia="Times New Roman" w:hAnsi="Times New Roman" w:cs="Times New Roman"/>
            <w:color w:val="0000FF"/>
            <w:sz w:val="24"/>
            <w:szCs w:val="24"/>
            <w:u w:val="single"/>
          </w:rPr>
          <w:t>https://eli.johogo.com/Class/CCU/SEM/_Introduction%20to%20Mediation%20Moderation%20and%20Conditional%20Process%20Analysis%20by%20Andrew%20F%20Hayes.pdf</w:t>
        </w:r>
      </w:hyperlink>
    </w:p>
    <w:p w14:paraId="553B3AC5"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Hua, S., Sun, X. C., Lou, R., &amp; Chen, H. (2022). Female CEO and internal control weaknesses. </w:t>
      </w:r>
      <w:r>
        <w:rPr>
          <w:rFonts w:ascii="Times New Roman" w:eastAsia="Times New Roman" w:hAnsi="Times New Roman" w:cs="Times New Roman"/>
          <w:i/>
          <w:iCs/>
          <w:sz w:val="24"/>
          <w:szCs w:val="24"/>
        </w:rPr>
        <w:t>Corporate Governance and Sustainability Review, 6</w:t>
      </w:r>
      <w:r>
        <w:rPr>
          <w:rFonts w:ascii="Times New Roman" w:eastAsia="Times New Roman" w:hAnsi="Times New Roman" w:cs="Times New Roman"/>
          <w:sz w:val="24"/>
          <w:szCs w:val="24"/>
        </w:rPr>
        <w:t>(2), 42–53.</w:t>
      </w:r>
      <w:hyperlink r:id="rId28">
        <w:r w:rsidR="003C11B1">
          <w:rPr>
            <w:rFonts w:ascii="Times New Roman" w:eastAsia="Times New Roman" w:hAnsi="Times New Roman" w:cs="Times New Roman"/>
            <w:sz w:val="24"/>
            <w:szCs w:val="24"/>
          </w:rPr>
          <w:t xml:space="preserve"> </w:t>
        </w:r>
      </w:hyperlink>
      <w:hyperlink r:id="rId29">
        <w:r w:rsidR="003C11B1">
          <w:rPr>
            <w:rFonts w:ascii="Times New Roman" w:eastAsia="Times New Roman" w:hAnsi="Times New Roman" w:cs="Times New Roman"/>
            <w:color w:val="0000FF"/>
            <w:sz w:val="24"/>
            <w:szCs w:val="24"/>
            <w:u w:val="single"/>
          </w:rPr>
          <w:t>https://doi.org/10.22495/cgsrv6i2p4</w:t>
        </w:r>
      </w:hyperlink>
    </w:p>
    <w:p w14:paraId="5C4A6B0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Hyera, D. W., Kadigi, M. L., &amp; Ndyetabula, D. W. (2025). Internal control systems and the revenue collection performance among local government authorities in Tanzania. </w:t>
      </w:r>
      <w:r>
        <w:rPr>
          <w:rFonts w:ascii="Times New Roman" w:eastAsia="Times New Roman" w:hAnsi="Times New Roman" w:cs="Times New Roman"/>
          <w:i/>
          <w:iCs/>
          <w:sz w:val="24"/>
          <w:szCs w:val="24"/>
        </w:rPr>
        <w:t>Journal of Policy and Development Studies, 4</w:t>
      </w:r>
      <w:r>
        <w:rPr>
          <w:rFonts w:ascii="Times New Roman" w:eastAsia="Times New Roman" w:hAnsi="Times New Roman" w:cs="Times New Roman"/>
          <w:sz w:val="24"/>
          <w:szCs w:val="24"/>
        </w:rPr>
        <w:t>(1), 1–15.</w:t>
      </w:r>
      <w:hyperlink r:id="rId30">
        <w:r w:rsidR="003C11B1">
          <w:rPr>
            <w:rFonts w:ascii="Times New Roman" w:eastAsia="Times New Roman" w:hAnsi="Times New Roman" w:cs="Times New Roman"/>
            <w:sz w:val="24"/>
            <w:szCs w:val="24"/>
          </w:rPr>
          <w:t xml:space="preserve"> </w:t>
        </w:r>
      </w:hyperlink>
      <w:hyperlink r:id="rId31">
        <w:r w:rsidR="003C11B1">
          <w:rPr>
            <w:rFonts w:ascii="Times New Roman" w:eastAsia="Times New Roman" w:hAnsi="Times New Roman" w:cs="Times New Roman"/>
            <w:color w:val="0000FF"/>
            <w:sz w:val="24"/>
            <w:szCs w:val="24"/>
            <w:u w:val="single"/>
          </w:rPr>
          <w:t>https://doi.org/10.51317/jpds.v4i1.676</w:t>
        </w:r>
      </w:hyperlink>
    </w:p>
    <w:p w14:paraId="2DF91F72"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Janwarin, X. M. Y., &amp; Narsa, I. M. (2022). The internal control and financial statements as moderating of ethical climate. </w:t>
      </w:r>
      <w:r>
        <w:rPr>
          <w:rFonts w:ascii="Times New Roman" w:eastAsia="Times New Roman" w:hAnsi="Times New Roman" w:cs="Times New Roman"/>
          <w:i/>
          <w:iCs/>
          <w:sz w:val="24"/>
          <w:szCs w:val="24"/>
        </w:rPr>
        <w:t>Jurnal Akuntansi, 26</w:t>
      </w:r>
      <w:r>
        <w:rPr>
          <w:rFonts w:ascii="Times New Roman" w:eastAsia="Times New Roman" w:hAnsi="Times New Roman" w:cs="Times New Roman"/>
          <w:sz w:val="24"/>
          <w:szCs w:val="24"/>
        </w:rPr>
        <w:t>(4).</w:t>
      </w:r>
      <w:hyperlink r:id="rId32">
        <w:r w:rsidR="003C11B1">
          <w:rPr>
            <w:rFonts w:ascii="Times New Roman" w:eastAsia="Times New Roman" w:hAnsi="Times New Roman" w:cs="Times New Roman"/>
            <w:sz w:val="24"/>
            <w:szCs w:val="24"/>
          </w:rPr>
          <w:t xml:space="preserve"> </w:t>
        </w:r>
      </w:hyperlink>
      <w:hyperlink r:id="rId33">
        <w:r w:rsidR="003C11B1">
          <w:rPr>
            <w:rFonts w:ascii="Times New Roman" w:eastAsia="Times New Roman" w:hAnsi="Times New Roman" w:cs="Times New Roman"/>
            <w:color w:val="0000FF"/>
            <w:sz w:val="24"/>
            <w:szCs w:val="24"/>
            <w:u w:val="single"/>
          </w:rPr>
          <w:t>https://www.ecojoin.org/index.php/EJA/article/download/1046/883</w:t>
        </w:r>
      </w:hyperlink>
    </w:p>
    <w:p w14:paraId="493836D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Koopmans, Linda, Bernaards, Claire, Hildebrandt, Vincent , Buuren, Stef van, van der Beek, Allard J., de Vet, Henrica C.W. (2012, November 30).  Development of an individual work performance questionnaire. </w:t>
      </w:r>
      <w:r>
        <w:rPr>
          <w:rFonts w:ascii="Times New Roman" w:eastAsia="Times New Roman" w:hAnsi="Times New Roman" w:cs="Times New Roman"/>
          <w:i/>
          <w:iCs/>
          <w:sz w:val="24"/>
          <w:szCs w:val="24"/>
        </w:rPr>
        <w:t>International Journal of Productivity and Performance Management</w:t>
      </w:r>
      <w:r>
        <w:rPr>
          <w:rFonts w:ascii="Times New Roman" w:eastAsia="Times New Roman" w:hAnsi="Times New Roman" w:cs="Times New Roman"/>
          <w:sz w:val="24"/>
          <w:szCs w:val="24"/>
        </w:rPr>
        <w:t xml:space="preserve">, 62 (1), 6–28. </w:t>
      </w:r>
      <w:hyperlink r:id="rId34">
        <w:r w:rsidR="003C11B1">
          <w:rPr>
            <w:rFonts w:ascii="Times New Roman" w:eastAsia="Times New Roman" w:hAnsi="Times New Roman" w:cs="Times New Roman"/>
            <w:color w:val="0000FF"/>
            <w:sz w:val="24"/>
            <w:szCs w:val="24"/>
            <w:u w:val="single"/>
          </w:rPr>
          <w:t>https://doi.org/10.1108/17410401311285273</w:t>
        </w:r>
      </w:hyperlink>
    </w:p>
    <w:p w14:paraId="0C9C1166"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Loke, C. H., Ismail, S., &amp; Fatima, H. (2019). Validation of Arnaud’s ethical climate index by public sector auditors in Malaysia. </w:t>
      </w:r>
      <w:r>
        <w:rPr>
          <w:rFonts w:ascii="Times New Roman" w:eastAsia="Times New Roman" w:hAnsi="Times New Roman" w:cs="Times New Roman"/>
          <w:i/>
          <w:iCs/>
          <w:sz w:val="24"/>
          <w:szCs w:val="24"/>
        </w:rPr>
        <w:t>International Journal of Ethics and Systems.</w:t>
      </w:r>
      <w:hyperlink r:id="rId35">
        <w:r w:rsidR="003C11B1">
          <w:rPr>
            <w:rFonts w:ascii="Times New Roman" w:eastAsia="Times New Roman" w:hAnsi="Times New Roman" w:cs="Times New Roman"/>
            <w:sz w:val="24"/>
            <w:szCs w:val="24"/>
          </w:rPr>
          <w:t xml:space="preserve"> </w:t>
        </w:r>
      </w:hyperlink>
      <w:hyperlink r:id="rId36">
        <w:r w:rsidR="003C11B1">
          <w:rPr>
            <w:rFonts w:ascii="Times New Roman" w:eastAsia="Times New Roman" w:hAnsi="Times New Roman" w:cs="Times New Roman"/>
            <w:color w:val="0000FF"/>
            <w:sz w:val="24"/>
            <w:szCs w:val="24"/>
            <w:u w:val="single"/>
          </w:rPr>
          <w:t>https://www.researchgate.net/publication/334485001</w:t>
        </w:r>
      </w:hyperlink>
    </w:p>
    <w:p w14:paraId="5A543A3D"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Madison, K., Holt, D. T., Kellermanns, F. W., &amp; Ranft, A. L. (2016). Viewing family firm behavior through the lens of agency and stewardship theories. </w:t>
      </w:r>
      <w:r>
        <w:rPr>
          <w:rFonts w:ascii="Times New Roman" w:eastAsia="Times New Roman" w:hAnsi="Times New Roman" w:cs="Times New Roman"/>
          <w:i/>
          <w:iCs/>
          <w:sz w:val="24"/>
          <w:szCs w:val="24"/>
        </w:rPr>
        <w:t>Family Business Review, 29</w:t>
      </w:r>
      <w:r>
        <w:rPr>
          <w:rFonts w:ascii="Times New Roman" w:eastAsia="Times New Roman" w:hAnsi="Times New Roman" w:cs="Times New Roman"/>
          <w:sz w:val="24"/>
          <w:szCs w:val="24"/>
        </w:rPr>
        <w:t>(1), 65–93.</w:t>
      </w:r>
      <w:hyperlink r:id="rId37">
        <w:r w:rsidR="003C11B1">
          <w:rPr>
            <w:rFonts w:ascii="Times New Roman" w:eastAsia="Times New Roman" w:hAnsi="Times New Roman" w:cs="Times New Roman"/>
            <w:sz w:val="24"/>
            <w:szCs w:val="24"/>
          </w:rPr>
          <w:t xml:space="preserve"> </w:t>
        </w:r>
      </w:hyperlink>
      <w:hyperlink r:id="rId38">
        <w:r w:rsidR="003C11B1">
          <w:rPr>
            <w:rFonts w:ascii="Times New Roman" w:eastAsia="Times New Roman" w:hAnsi="Times New Roman" w:cs="Times New Roman"/>
            <w:color w:val="0000FF"/>
            <w:sz w:val="24"/>
            <w:szCs w:val="24"/>
            <w:u w:val="single"/>
          </w:rPr>
          <w:t>https://journals.sagepub.com/doi/10.1177/0894486515594292</w:t>
        </w:r>
      </w:hyperlink>
    </w:p>
    <w:p w14:paraId="6C4B1B3C"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Mahadeen, B., Tarhini, A., Al-Dmour, R. H., &amp; Obeidat, B. Y. (2016). Examining the effect of the organization’s internal control system on organizational effectiveness: a Jordanian empirical study. </w:t>
      </w:r>
      <w:r>
        <w:rPr>
          <w:rFonts w:ascii="Times New Roman" w:eastAsia="Times New Roman" w:hAnsi="Times New Roman" w:cs="Times New Roman"/>
          <w:i/>
          <w:iCs/>
          <w:sz w:val="24"/>
          <w:szCs w:val="24"/>
        </w:rPr>
        <w:t>International Journal of Business Administration</w:t>
      </w:r>
      <w:r>
        <w:rPr>
          <w:rFonts w:ascii="Times New Roman" w:eastAsia="Times New Roman" w:hAnsi="Times New Roman" w:cs="Times New Roman"/>
          <w:sz w:val="24"/>
          <w:szCs w:val="24"/>
        </w:rPr>
        <w:t xml:space="preserve">, 7(6). </w:t>
      </w:r>
      <w:hyperlink r:id="rId39">
        <w:r w:rsidR="003C11B1">
          <w:rPr>
            <w:rFonts w:ascii="Times New Roman" w:eastAsia="Times New Roman" w:hAnsi="Times New Roman" w:cs="Times New Roman"/>
            <w:color w:val="0000FF"/>
            <w:sz w:val="24"/>
            <w:szCs w:val="24"/>
            <w:u w:val="single"/>
          </w:rPr>
          <w:t>https://doi.org/10.5430/ijba.v7n6p22</w:t>
        </w:r>
      </w:hyperlink>
    </w:p>
    <w:p w14:paraId="1860CE47"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Martin, K. D., &amp; Cullen, J. B. (2006). Continuities and extensions of ethical climate theory: A meta-analytic review. </w:t>
      </w:r>
      <w:r>
        <w:rPr>
          <w:rFonts w:ascii="Times New Roman" w:eastAsia="Times New Roman" w:hAnsi="Times New Roman" w:cs="Times New Roman"/>
          <w:i/>
          <w:iCs/>
          <w:sz w:val="24"/>
          <w:szCs w:val="24"/>
        </w:rPr>
        <w:t>Journal of Business Ethics, 69</w:t>
      </w:r>
      <w:r>
        <w:rPr>
          <w:rFonts w:ascii="Times New Roman" w:eastAsia="Times New Roman" w:hAnsi="Times New Roman" w:cs="Times New Roman"/>
          <w:sz w:val="24"/>
          <w:szCs w:val="24"/>
        </w:rPr>
        <w:t>(2), 175–194.</w:t>
      </w:r>
      <w:hyperlink r:id="rId40">
        <w:r w:rsidR="003C11B1">
          <w:rPr>
            <w:rFonts w:ascii="Times New Roman" w:eastAsia="Times New Roman" w:hAnsi="Times New Roman" w:cs="Times New Roman"/>
            <w:sz w:val="24"/>
            <w:szCs w:val="24"/>
          </w:rPr>
          <w:t xml:space="preserve"> </w:t>
        </w:r>
      </w:hyperlink>
      <w:hyperlink r:id="rId41">
        <w:r w:rsidR="003C11B1">
          <w:rPr>
            <w:rFonts w:ascii="Times New Roman" w:eastAsia="Times New Roman" w:hAnsi="Times New Roman" w:cs="Times New Roman"/>
            <w:color w:val="0000FF"/>
            <w:sz w:val="24"/>
            <w:szCs w:val="24"/>
            <w:u w:val="single"/>
          </w:rPr>
          <w:t>https://doi.org/10.1007/s10551-006-9084-7</w:t>
        </w:r>
      </w:hyperlink>
    </w:p>
    <w:p w14:paraId="54D62879" w14:textId="77777777" w:rsidR="003C11B1"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Mendoza, R. U., Bulaong, O. G., &amp; Mendoza, G. a. S. (2025). Anti-Corruption reforms in the Philippines: Quo Vadis? </w:t>
      </w:r>
      <w:r>
        <w:rPr>
          <w:rFonts w:ascii="Times New Roman" w:eastAsia="Times New Roman" w:hAnsi="Times New Roman" w:cs="Times New Roman"/>
          <w:i/>
          <w:iCs/>
          <w:sz w:val="24"/>
          <w:szCs w:val="24"/>
        </w:rPr>
        <w:t>Millennial Asia</w:t>
      </w:r>
      <w:r>
        <w:rPr>
          <w:rFonts w:ascii="Times New Roman" w:eastAsia="Times New Roman" w:hAnsi="Times New Roman" w:cs="Times New Roman"/>
          <w:sz w:val="24"/>
          <w:szCs w:val="24"/>
        </w:rPr>
        <w:t xml:space="preserve">, 16(3), 364–387. </w:t>
      </w:r>
      <w:hyperlink r:id="rId42">
        <w:r w:rsidR="003C11B1">
          <w:rPr>
            <w:rFonts w:ascii="Times New Roman" w:eastAsia="Times New Roman" w:hAnsi="Times New Roman" w:cs="Times New Roman"/>
            <w:color w:val="1155CC"/>
            <w:sz w:val="24"/>
            <w:szCs w:val="24"/>
            <w:u w:val="single"/>
          </w:rPr>
          <w:t>https://journals.sagepub.com/doi/10.1177/09763996251333209</w:t>
        </w:r>
      </w:hyperlink>
    </w:p>
    <w:p w14:paraId="36DB8A04"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National Competitiveness Council. (2023). Misamis Oriental profile: Cities and municipalities competitiveness index. Department of Trade and Industry. </w:t>
      </w:r>
      <w:hyperlink r:id="rId43">
        <w:r w:rsidR="003C11B1">
          <w:rPr>
            <w:rFonts w:ascii="Times New Roman" w:eastAsia="Times New Roman" w:hAnsi="Times New Roman" w:cs="Times New Roman"/>
            <w:color w:val="0000FF"/>
            <w:sz w:val="24"/>
            <w:szCs w:val="24"/>
            <w:u w:val="single"/>
          </w:rPr>
          <w:t>https://cmci.dti.gov.ph/prov-profile.php?prov=Misamis%20Oriental</w:t>
        </w:r>
      </w:hyperlink>
    </w:p>
    <w:p w14:paraId="1F4A900D"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Newman, A., Le, H., North-Samardzic, A., &amp; Cohen, M. (2020). Moral disengagement at work: A review and research agenda. </w:t>
      </w:r>
      <w:r>
        <w:rPr>
          <w:rFonts w:ascii="Times New Roman" w:eastAsia="Times New Roman" w:hAnsi="Times New Roman" w:cs="Times New Roman"/>
          <w:i/>
          <w:iCs/>
          <w:sz w:val="24"/>
          <w:szCs w:val="24"/>
        </w:rPr>
        <w:t>Journal of Business Ethics, 167</w:t>
      </w:r>
      <w:r>
        <w:rPr>
          <w:rFonts w:ascii="Times New Roman" w:eastAsia="Times New Roman" w:hAnsi="Times New Roman" w:cs="Times New Roman"/>
          <w:sz w:val="24"/>
          <w:szCs w:val="24"/>
        </w:rPr>
        <w:t>(3), 535–570.</w:t>
      </w:r>
      <w:hyperlink r:id="rId44">
        <w:r w:rsidR="003C11B1">
          <w:rPr>
            <w:rFonts w:ascii="Times New Roman" w:eastAsia="Times New Roman" w:hAnsi="Times New Roman" w:cs="Times New Roman"/>
            <w:sz w:val="24"/>
            <w:szCs w:val="24"/>
          </w:rPr>
          <w:t xml:space="preserve"> </w:t>
        </w:r>
      </w:hyperlink>
      <w:hyperlink r:id="rId45">
        <w:r w:rsidR="003C11B1">
          <w:rPr>
            <w:rFonts w:ascii="Times New Roman" w:eastAsia="Times New Roman" w:hAnsi="Times New Roman" w:cs="Times New Roman"/>
            <w:color w:val="0000FF"/>
            <w:sz w:val="24"/>
            <w:szCs w:val="24"/>
            <w:u w:val="single"/>
          </w:rPr>
          <w:t>https://psycnet.apa.org/record/2019-26495-001</w:t>
        </w:r>
      </w:hyperlink>
    </w:p>
    <w:p w14:paraId="0A84F8F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Office of the Ombudsman. (1989, February 20). Republic Act No. 6713.  An act establishing a code of conduct and ethical standards for public officials and employees. </w:t>
      </w:r>
      <w:hyperlink r:id="rId46">
        <w:r w:rsidR="003C11B1">
          <w:rPr>
            <w:rFonts w:ascii="Times New Roman" w:eastAsia="Times New Roman" w:hAnsi="Times New Roman" w:cs="Times New Roman"/>
            <w:color w:val="0000FF"/>
            <w:sz w:val="24"/>
            <w:szCs w:val="24"/>
            <w:u w:val="single"/>
          </w:rPr>
          <w:t>https://www.ombudsman.gov.ph/docs/republicacts/Republic_Act_No_6713.pdf</w:t>
        </w:r>
      </w:hyperlink>
    </w:p>
    <w:p w14:paraId="2A502F6A"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Ongonge, M. (2024). The effect of internal controls on financial performance of state enterprises in Kenya. </w:t>
      </w:r>
      <w:r>
        <w:rPr>
          <w:rFonts w:ascii="Times New Roman" w:eastAsia="Times New Roman" w:hAnsi="Times New Roman" w:cs="Times New Roman"/>
          <w:i/>
          <w:iCs/>
          <w:sz w:val="24"/>
          <w:szCs w:val="24"/>
        </w:rPr>
        <w:t>International Journal of Professional Business Review, 9</w:t>
      </w:r>
      <w:r>
        <w:rPr>
          <w:rFonts w:ascii="Times New Roman" w:eastAsia="Times New Roman" w:hAnsi="Times New Roman" w:cs="Times New Roman"/>
          <w:sz w:val="24"/>
          <w:szCs w:val="24"/>
        </w:rPr>
        <w:t>(12), e05156.</w:t>
      </w:r>
      <w:hyperlink r:id="rId47">
        <w:r w:rsidR="003C11B1">
          <w:rPr>
            <w:rFonts w:ascii="Times New Roman" w:eastAsia="Times New Roman" w:hAnsi="Times New Roman" w:cs="Times New Roman"/>
            <w:sz w:val="24"/>
            <w:szCs w:val="24"/>
          </w:rPr>
          <w:t xml:space="preserve"> </w:t>
        </w:r>
      </w:hyperlink>
      <w:hyperlink r:id="rId48">
        <w:r w:rsidR="003C11B1">
          <w:rPr>
            <w:rFonts w:ascii="Times New Roman" w:eastAsia="Times New Roman" w:hAnsi="Times New Roman" w:cs="Times New Roman"/>
            <w:color w:val="0000FF"/>
            <w:sz w:val="24"/>
            <w:szCs w:val="24"/>
            <w:u w:val="single"/>
          </w:rPr>
          <w:t>https://openaccessojs.com/JBReview/article/view/5156/2147</w:t>
        </w:r>
      </w:hyperlink>
    </w:p>
    <w:p w14:paraId="6137CFDF"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Pkatey J.K. (2024) Internal control systems and performance of county government in Kenya; A review of the literature. </w:t>
      </w:r>
      <w:r>
        <w:rPr>
          <w:rFonts w:ascii="Times New Roman" w:eastAsia="Times New Roman" w:hAnsi="Times New Roman" w:cs="Times New Roman"/>
          <w:i/>
          <w:iCs/>
          <w:sz w:val="24"/>
          <w:szCs w:val="24"/>
        </w:rPr>
        <w:t>European Journal of Accounting, Auditing and Finance Research</w:t>
      </w:r>
      <w:r>
        <w:rPr>
          <w:rFonts w:ascii="Times New Roman" w:eastAsia="Times New Roman" w:hAnsi="Times New Roman" w:cs="Times New Roman"/>
          <w:sz w:val="24"/>
          <w:szCs w:val="24"/>
        </w:rPr>
        <w:t xml:space="preserve">, 12 (11), 58-77. </w:t>
      </w:r>
      <w:hyperlink r:id="rId49">
        <w:r w:rsidR="003C11B1">
          <w:rPr>
            <w:rFonts w:ascii="Times New Roman" w:eastAsia="Times New Roman" w:hAnsi="Times New Roman" w:cs="Times New Roman"/>
            <w:color w:val="0000FF"/>
            <w:sz w:val="24"/>
            <w:szCs w:val="24"/>
            <w:u w:val="single"/>
          </w:rPr>
          <w:t>https://eajournals.org/ejaafr/wp-content/uploads/sites/16/2024/12/Internal-Control-Systems.pdf</w:t>
        </w:r>
      </w:hyperlink>
    </w:p>
    <w:p w14:paraId="352E7A1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Priantono, S., &amp; Vidiyastutik, E. D. (2022). The Influence of Internal Control System and Accountability of Village Fund Allocation Management on Village Financial Performance. </w:t>
      </w:r>
      <w:r>
        <w:rPr>
          <w:rFonts w:ascii="Times New Roman" w:eastAsia="Times New Roman" w:hAnsi="Times New Roman" w:cs="Times New Roman"/>
          <w:i/>
          <w:iCs/>
          <w:sz w:val="24"/>
          <w:szCs w:val="24"/>
        </w:rPr>
        <w:t>International Journal of Social Science and Business</w:t>
      </w:r>
      <w:r>
        <w:rPr>
          <w:rFonts w:ascii="Times New Roman" w:eastAsia="Times New Roman" w:hAnsi="Times New Roman" w:cs="Times New Roman"/>
          <w:sz w:val="24"/>
          <w:szCs w:val="24"/>
        </w:rPr>
        <w:t xml:space="preserve">, 6(1), 1-10. </w:t>
      </w:r>
      <w:hyperlink r:id="rId50">
        <w:r w:rsidR="003C11B1">
          <w:rPr>
            <w:rFonts w:ascii="Times New Roman" w:eastAsia="Times New Roman" w:hAnsi="Times New Roman" w:cs="Times New Roman"/>
            <w:color w:val="0000FF"/>
            <w:sz w:val="24"/>
            <w:szCs w:val="24"/>
            <w:u w:val="single"/>
          </w:rPr>
          <w:t>https://www.researchgate.net/publication/361130946_The_Influence_of_Internal_Control_System_and_Accountability_of_Village_Fund_Allocation_Management_on_Village_Financial_Performance</w:t>
        </w:r>
      </w:hyperlink>
    </w:p>
    <w:p w14:paraId="530EF3FD"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Public Expenditure and Financial Accountability (PEFA). (2022). 2022 global report on public financial management. World Bank. </w:t>
      </w:r>
      <w:hyperlink r:id="rId51">
        <w:r w:rsidR="003C11B1">
          <w:rPr>
            <w:rFonts w:ascii="Times New Roman" w:eastAsia="Times New Roman" w:hAnsi="Times New Roman" w:cs="Times New Roman"/>
            <w:color w:val="0000FF"/>
            <w:sz w:val="24"/>
            <w:szCs w:val="24"/>
            <w:u w:val="single"/>
          </w:rPr>
          <w:t>https://www.pefa.org/global-report-2022/en/</w:t>
        </w:r>
      </w:hyperlink>
    </w:p>
    <w:p w14:paraId="7FB301C1"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Quinal, N. C., &amp; Dupa, H. J. P. (2024). Decision-making skills and leadership effectiveness among public school administrators in Tarragona District, Davao Oriental. </w:t>
      </w:r>
      <w:r>
        <w:rPr>
          <w:rFonts w:ascii="Times New Roman" w:eastAsia="Times New Roman" w:hAnsi="Times New Roman" w:cs="Times New Roman"/>
          <w:i/>
          <w:iCs/>
          <w:sz w:val="24"/>
          <w:szCs w:val="24"/>
        </w:rPr>
        <w:t>Davao Research Journal</w:t>
      </w:r>
      <w:r>
        <w:rPr>
          <w:rFonts w:ascii="Times New Roman" w:eastAsia="Times New Roman" w:hAnsi="Times New Roman" w:cs="Times New Roman"/>
          <w:sz w:val="24"/>
          <w:szCs w:val="24"/>
        </w:rPr>
        <w:t xml:space="preserve">, 15(2), 6–19. </w:t>
      </w:r>
      <w:hyperlink r:id="rId52">
        <w:r w:rsidR="003C11B1">
          <w:rPr>
            <w:rFonts w:ascii="Times New Roman" w:eastAsia="Times New Roman" w:hAnsi="Times New Roman" w:cs="Times New Roman"/>
            <w:color w:val="0000FF"/>
            <w:sz w:val="24"/>
            <w:szCs w:val="24"/>
            <w:u w:val="single"/>
          </w:rPr>
          <w:t>https://doi.org/10.59120/drj.v15iNo.2.166</w:t>
        </w:r>
      </w:hyperlink>
    </w:p>
    <w:p w14:paraId="115748F2"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Raudhatinur, R., Meutia, R., &amp; Saputra, M. (2023). The effect of human resource competency and government internal control system on the quality of local government financial report. </w:t>
      </w:r>
      <w:r>
        <w:rPr>
          <w:rFonts w:ascii="Times New Roman" w:eastAsia="Times New Roman" w:hAnsi="Times New Roman" w:cs="Times New Roman"/>
          <w:i/>
          <w:iCs/>
          <w:sz w:val="24"/>
          <w:szCs w:val="24"/>
        </w:rPr>
        <w:t>International Journal of Current Science Research and Review, 6</w:t>
      </w:r>
      <w:r>
        <w:rPr>
          <w:rFonts w:ascii="Times New Roman" w:eastAsia="Times New Roman" w:hAnsi="Times New Roman" w:cs="Times New Roman"/>
          <w:sz w:val="24"/>
          <w:szCs w:val="24"/>
        </w:rPr>
        <w:t>(1), 608–619.</w:t>
      </w:r>
      <w:hyperlink r:id="rId53">
        <w:r w:rsidR="003C11B1">
          <w:rPr>
            <w:rFonts w:ascii="Times New Roman" w:eastAsia="Times New Roman" w:hAnsi="Times New Roman" w:cs="Times New Roman"/>
            <w:sz w:val="24"/>
            <w:szCs w:val="24"/>
          </w:rPr>
          <w:t xml:space="preserve"> </w:t>
        </w:r>
      </w:hyperlink>
      <w:hyperlink r:id="rId54">
        <w:r w:rsidR="003C11B1">
          <w:rPr>
            <w:rFonts w:ascii="Times New Roman" w:eastAsia="Times New Roman" w:hAnsi="Times New Roman" w:cs="Times New Roman"/>
            <w:color w:val="0000FF"/>
            <w:sz w:val="24"/>
            <w:szCs w:val="24"/>
            <w:u w:val="single"/>
          </w:rPr>
          <w:t>https://doi.org/10.47191/ijcsrr/V6-i1-67</w:t>
        </w:r>
      </w:hyperlink>
    </w:p>
    <w:p w14:paraId="5C961AE5"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Razzouki, M., et al. (2024). Internal control system, innovation and performance of Moroccan public organizations. </w:t>
      </w:r>
      <w:r>
        <w:rPr>
          <w:rFonts w:ascii="Times New Roman" w:eastAsia="Times New Roman" w:hAnsi="Times New Roman" w:cs="Times New Roman"/>
          <w:i/>
          <w:iCs/>
          <w:sz w:val="24"/>
          <w:szCs w:val="24"/>
        </w:rPr>
        <w:t>Management Studies and Journal, 12</w:t>
      </w:r>
      <w:r>
        <w:rPr>
          <w:rFonts w:ascii="Times New Roman" w:eastAsia="Times New Roman" w:hAnsi="Times New Roman" w:cs="Times New Roman"/>
          <w:sz w:val="24"/>
          <w:szCs w:val="24"/>
        </w:rPr>
        <w:t>(1).</w:t>
      </w:r>
      <w:hyperlink r:id="rId55">
        <w:r w:rsidR="003C11B1">
          <w:rPr>
            <w:rFonts w:ascii="Times New Roman" w:eastAsia="Times New Roman" w:hAnsi="Times New Roman" w:cs="Times New Roman"/>
            <w:sz w:val="24"/>
            <w:szCs w:val="24"/>
          </w:rPr>
          <w:t xml:space="preserve"> </w:t>
        </w:r>
      </w:hyperlink>
      <w:hyperlink r:id="rId56">
        <w:r w:rsidR="003C11B1">
          <w:rPr>
            <w:rFonts w:ascii="Times New Roman" w:eastAsia="Times New Roman" w:hAnsi="Times New Roman" w:cs="Times New Roman"/>
            <w:color w:val="0000FF"/>
            <w:sz w:val="24"/>
            <w:szCs w:val="24"/>
            <w:u w:val="single"/>
          </w:rPr>
          <w:t>https://www.researchgate.net/publication/379132737</w:t>
        </w:r>
      </w:hyperlink>
    </w:p>
    <w:p w14:paraId="059298C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Republic Act No. 3019. 1960, August 17). Anti-Graft and Corrupt Practices Act.</w:t>
      </w:r>
      <w:r>
        <w:rPr>
          <w:rFonts w:ascii="Times New Roman" w:eastAsia="Times New Roman" w:hAnsi="Times New Roman" w:cs="Times New Roman"/>
          <w:color w:val="0000FF"/>
          <w:sz w:val="24"/>
          <w:szCs w:val="24"/>
          <w:u w:val="single"/>
        </w:rPr>
        <w:t xml:space="preserve"> </w:t>
      </w:r>
      <w:hyperlink r:id="rId57">
        <w:r w:rsidR="003C11B1">
          <w:rPr>
            <w:rFonts w:ascii="Times New Roman" w:eastAsia="Times New Roman" w:hAnsi="Times New Roman" w:cs="Times New Roman"/>
            <w:color w:val="0000FF"/>
            <w:sz w:val="24"/>
            <w:szCs w:val="24"/>
            <w:u w:val="single"/>
          </w:rPr>
          <w:t>https://www.ombudsman.gov.ph/docs/republicacts/Republic_Act_No_3019.pdf</w:t>
        </w:r>
      </w:hyperlink>
    </w:p>
    <w:p w14:paraId="63FB34F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Republic Act No. 7160 (Local Government Code of 1991). (1991, October 10). An Act Providing for a Local Government Code of 1991. </w:t>
      </w:r>
      <w:r>
        <w:rPr>
          <w:rFonts w:ascii="Times New Roman" w:eastAsia="Times New Roman" w:hAnsi="Times New Roman" w:cs="Times New Roman"/>
          <w:i/>
          <w:iCs/>
          <w:sz w:val="24"/>
          <w:szCs w:val="24"/>
        </w:rPr>
        <w:t>LawPhil</w:t>
      </w:r>
      <w:r>
        <w:rPr>
          <w:rFonts w:ascii="Times New Roman" w:eastAsia="Times New Roman" w:hAnsi="Times New Roman" w:cs="Times New Roman"/>
          <w:sz w:val="24"/>
          <w:szCs w:val="24"/>
        </w:rPr>
        <w:t xml:space="preserve">. </w:t>
      </w:r>
      <w:hyperlink r:id="rId58">
        <w:r w:rsidR="003C11B1">
          <w:rPr>
            <w:rFonts w:ascii="Times New Roman" w:eastAsia="Times New Roman" w:hAnsi="Times New Roman" w:cs="Times New Roman"/>
            <w:color w:val="0000FF"/>
            <w:sz w:val="24"/>
            <w:szCs w:val="24"/>
            <w:u w:val="single"/>
          </w:rPr>
          <w:t>https://lawphil.net/statutes/repacts/ra1991/ra_7160_1991.html</w:t>
        </w:r>
      </w:hyperlink>
    </w:p>
    <w:p w14:paraId="372B2C6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Schillemans, T., &amp; Bjurstrøm, K. H. (2019). Trust and verification: Balancing agency and stewardship theory in the governance of agencies. </w:t>
      </w:r>
      <w:r>
        <w:rPr>
          <w:rFonts w:ascii="Times New Roman" w:eastAsia="Times New Roman" w:hAnsi="Times New Roman" w:cs="Times New Roman"/>
          <w:i/>
          <w:iCs/>
          <w:sz w:val="24"/>
          <w:szCs w:val="24"/>
        </w:rPr>
        <w:t>International Public Management Journal, 23</w:t>
      </w:r>
      <w:r>
        <w:rPr>
          <w:rFonts w:ascii="Times New Roman" w:eastAsia="Times New Roman" w:hAnsi="Times New Roman" w:cs="Times New Roman"/>
          <w:sz w:val="24"/>
          <w:szCs w:val="24"/>
        </w:rPr>
        <w:t>(1), 3–30.</w:t>
      </w:r>
      <w:hyperlink r:id="rId59">
        <w:r w:rsidR="003C11B1">
          <w:rPr>
            <w:rFonts w:ascii="Times New Roman" w:eastAsia="Times New Roman" w:hAnsi="Times New Roman" w:cs="Times New Roman"/>
            <w:color w:val="0000FF"/>
            <w:sz w:val="24"/>
            <w:szCs w:val="24"/>
          </w:rPr>
          <w:t xml:space="preserve"> </w:t>
        </w:r>
      </w:hyperlink>
      <w:hyperlink r:id="rId60">
        <w:r w:rsidR="003C11B1">
          <w:rPr>
            <w:rFonts w:ascii="Times New Roman" w:eastAsia="Times New Roman" w:hAnsi="Times New Roman" w:cs="Times New Roman"/>
            <w:color w:val="0000FF"/>
            <w:sz w:val="24"/>
            <w:szCs w:val="24"/>
            <w:u w:val="single"/>
          </w:rPr>
          <w:t>https://doi.org/10.1080/10967494.2018.1553807</w:t>
        </w:r>
      </w:hyperlink>
    </w:p>
    <w:p w14:paraId="0E52B134"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Schneid, M., Isidor, R., Steinmetz, H., &amp; Kabst, R. (2016). Age diversity and team outcomes: A quantitative review. </w:t>
      </w:r>
      <w:r>
        <w:rPr>
          <w:rFonts w:ascii="Times New Roman" w:eastAsia="Times New Roman" w:hAnsi="Times New Roman" w:cs="Times New Roman"/>
          <w:i/>
          <w:iCs/>
          <w:sz w:val="24"/>
          <w:szCs w:val="24"/>
        </w:rPr>
        <w:t>Journal of Managerial Psychology</w:t>
      </w:r>
      <w:r>
        <w:rPr>
          <w:rFonts w:ascii="Times New Roman" w:eastAsia="Times New Roman" w:hAnsi="Times New Roman" w:cs="Times New Roman"/>
          <w:sz w:val="24"/>
          <w:szCs w:val="24"/>
        </w:rPr>
        <w:t xml:space="preserve">, 31(1), 2–17. </w:t>
      </w:r>
      <w:hyperlink r:id="rId61">
        <w:r w:rsidR="003C11B1">
          <w:rPr>
            <w:rFonts w:ascii="Times New Roman" w:eastAsia="Times New Roman" w:hAnsi="Times New Roman" w:cs="Times New Roman"/>
            <w:color w:val="0000FF"/>
            <w:sz w:val="24"/>
            <w:szCs w:val="24"/>
            <w:u w:val="single"/>
          </w:rPr>
          <w:t>https://doi.org/10.1108/JMP-07-2012-0228</w:t>
        </w:r>
      </w:hyperlink>
    </w:p>
    <w:p w14:paraId="1564C63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Talla, A., Sapulette, S. G., &amp; Limba, F. B. (2025). The relationship between public sector internal controls and fraud prevention. </w:t>
      </w:r>
      <w:r>
        <w:rPr>
          <w:rFonts w:ascii="Times New Roman" w:eastAsia="Times New Roman" w:hAnsi="Times New Roman" w:cs="Times New Roman"/>
          <w:i/>
          <w:iCs/>
          <w:sz w:val="24"/>
          <w:szCs w:val="24"/>
        </w:rPr>
        <w:t>International Journal of Economic Literature, 2</w:t>
      </w:r>
      <w:r>
        <w:rPr>
          <w:rFonts w:ascii="Times New Roman" w:eastAsia="Times New Roman" w:hAnsi="Times New Roman" w:cs="Times New Roman"/>
          <w:sz w:val="24"/>
          <w:szCs w:val="24"/>
        </w:rPr>
        <w:t>(12), 2150–2170.</w:t>
      </w:r>
      <w:hyperlink r:id="rId62">
        <w:r w:rsidR="003C11B1">
          <w:rPr>
            <w:rFonts w:ascii="Times New Roman" w:eastAsia="Times New Roman" w:hAnsi="Times New Roman" w:cs="Times New Roman"/>
            <w:sz w:val="24"/>
            <w:szCs w:val="24"/>
          </w:rPr>
          <w:t xml:space="preserve"> </w:t>
        </w:r>
      </w:hyperlink>
      <w:hyperlink r:id="rId63">
        <w:r w:rsidR="003C11B1">
          <w:rPr>
            <w:rFonts w:ascii="Times New Roman" w:eastAsia="Times New Roman" w:hAnsi="Times New Roman" w:cs="Times New Roman"/>
            <w:color w:val="0000FF"/>
            <w:sz w:val="24"/>
            <w:szCs w:val="24"/>
            <w:u w:val="single"/>
          </w:rPr>
          <w:t>https://sociohum.net/index.php/INJOLE/article/view/256</w:t>
        </w:r>
      </w:hyperlink>
    </w:p>
    <w:p w14:paraId="56144FBE"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Weber, J., &amp; Opoku-Dakwa, A. (2022). Ethical work climate 2.0: A normative reformulation of Victor and Cullen’s 1988 framework. </w:t>
      </w:r>
      <w:r>
        <w:rPr>
          <w:rFonts w:ascii="Times New Roman" w:eastAsia="Times New Roman" w:hAnsi="Times New Roman" w:cs="Times New Roman"/>
          <w:i/>
          <w:iCs/>
          <w:sz w:val="24"/>
          <w:szCs w:val="24"/>
        </w:rPr>
        <w:t>Journal of Business Ethics, 178</w:t>
      </w:r>
      <w:r>
        <w:rPr>
          <w:rFonts w:ascii="Times New Roman" w:eastAsia="Times New Roman" w:hAnsi="Times New Roman" w:cs="Times New Roman"/>
          <w:sz w:val="24"/>
          <w:szCs w:val="24"/>
        </w:rPr>
        <w:t>(3), 629–646.</w:t>
      </w:r>
      <w:hyperlink r:id="rId64">
        <w:r w:rsidR="003C11B1">
          <w:rPr>
            <w:rFonts w:ascii="Times New Roman" w:eastAsia="Times New Roman" w:hAnsi="Times New Roman" w:cs="Times New Roman"/>
            <w:sz w:val="24"/>
            <w:szCs w:val="24"/>
          </w:rPr>
          <w:t xml:space="preserve"> </w:t>
        </w:r>
      </w:hyperlink>
      <w:hyperlink r:id="rId65">
        <w:r w:rsidR="003C11B1">
          <w:rPr>
            <w:rFonts w:ascii="Times New Roman" w:eastAsia="Times New Roman" w:hAnsi="Times New Roman" w:cs="Times New Roman"/>
            <w:color w:val="0000FF"/>
            <w:sz w:val="24"/>
            <w:szCs w:val="24"/>
            <w:u w:val="single"/>
          </w:rPr>
          <w:t>https://www.researchgate.net/publication/349759604</w:t>
        </w:r>
      </w:hyperlink>
    </w:p>
    <w:p w14:paraId="6444153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World Bank. (2023). Financial Management Umbrella Program (FMUP): 2023 Annual Report. </w:t>
      </w:r>
      <w:hyperlink r:id="rId66">
        <w:r w:rsidR="003C11B1">
          <w:rPr>
            <w:rFonts w:ascii="Times New Roman" w:eastAsia="Times New Roman" w:hAnsi="Times New Roman" w:cs="Times New Roman"/>
            <w:color w:val="0000FF"/>
            <w:sz w:val="24"/>
            <w:szCs w:val="24"/>
            <w:u w:val="single"/>
          </w:rPr>
          <w:t>https://thedocs.worldbank.org/en/doc/3d1885e1e767f84aa7a5ceecec95e8ab-0060072025/original/Financial-Management-Annual-Report-2023-Public-Version.pdf</w:t>
        </w:r>
      </w:hyperlink>
    </w:p>
    <w:p w14:paraId="22EF067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Zogning, F. (2017). Agency theory: A critical review. </w:t>
      </w:r>
      <w:r>
        <w:rPr>
          <w:rFonts w:ascii="Times New Roman" w:eastAsia="Times New Roman" w:hAnsi="Times New Roman" w:cs="Times New Roman"/>
          <w:i/>
          <w:iCs/>
          <w:sz w:val="24"/>
          <w:szCs w:val="24"/>
        </w:rPr>
        <w:t>EJ Business &amp; Management, 5</w:t>
      </w:r>
      <w:r>
        <w:rPr>
          <w:rFonts w:ascii="Times New Roman" w:eastAsia="Times New Roman" w:hAnsi="Times New Roman" w:cs="Times New Roman"/>
          <w:sz w:val="24"/>
          <w:szCs w:val="24"/>
        </w:rPr>
        <w:t>(4), 249–260.</w:t>
      </w:r>
      <w:hyperlink r:id="rId67">
        <w:r w:rsidR="003C11B1">
          <w:rPr>
            <w:rFonts w:ascii="Times New Roman" w:eastAsia="Times New Roman" w:hAnsi="Times New Roman" w:cs="Times New Roman"/>
            <w:sz w:val="24"/>
            <w:szCs w:val="24"/>
          </w:rPr>
          <w:t xml:space="preserve"> </w:t>
        </w:r>
      </w:hyperlink>
      <w:hyperlink r:id="rId68">
        <w:r w:rsidR="003C11B1">
          <w:rPr>
            <w:rFonts w:ascii="Times New Roman" w:eastAsia="Times New Roman" w:hAnsi="Times New Roman" w:cs="Times New Roman"/>
            <w:color w:val="0000FF"/>
            <w:sz w:val="24"/>
            <w:szCs w:val="24"/>
            <w:u w:val="single"/>
          </w:rPr>
          <w:t>https://www.researchgate.net/publication/364812853</w:t>
        </w:r>
      </w:hyperlink>
    </w:p>
    <w:p w14:paraId="46D71BFB" w14:textId="77777777" w:rsidR="003C11B1" w:rsidRDefault="003C11B1">
      <w:pPr>
        <w:spacing w:line="240" w:lineRule="auto"/>
        <w:jc w:val="both"/>
        <w:rPr>
          <w:rFonts w:ascii="Times New Roman" w:eastAsia="Times New Roman" w:hAnsi="Times New Roman" w:cs="Times New Roman"/>
          <w:sz w:val="24"/>
          <w:szCs w:val="24"/>
        </w:rPr>
      </w:pPr>
    </w:p>
    <w:p w14:paraId="45593A7C" w14:textId="77777777" w:rsidR="003C11B1" w:rsidRDefault="003C11B1">
      <w:pPr>
        <w:spacing w:line="240" w:lineRule="auto"/>
        <w:jc w:val="both"/>
        <w:rPr>
          <w:rFonts w:ascii="Times New Roman" w:eastAsia="Times New Roman" w:hAnsi="Times New Roman" w:cs="Times New Roman"/>
          <w:sz w:val="24"/>
          <w:szCs w:val="24"/>
        </w:rPr>
      </w:pPr>
    </w:p>
    <w:sectPr w:rsidR="003C11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02F8913-3060-4AC6-B386-567A10F63AC5}"/>
  </w:font>
  <w:font w:name="Cambria">
    <w:panose1 w:val="02040503050406030204"/>
    <w:charset w:val="00"/>
    <w:family w:val="roman"/>
    <w:pitch w:val="variable"/>
    <w:sig w:usb0="E00006FF" w:usb1="420024FF" w:usb2="02000000" w:usb3="00000000" w:csb0="0000019F" w:csb1="00000000"/>
    <w:embedRegular r:id="rId2" w:fontKey="{A07E3962-7C95-480B-9A92-289A6686A9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1B1"/>
    <w:rsid w:val="00311101"/>
    <w:rsid w:val="003C11B1"/>
    <w:rsid w:val="003F5115"/>
    <w:rsid w:val="004F0A22"/>
    <w:rsid w:val="006B3EC6"/>
    <w:rsid w:val="00747364"/>
    <w:rsid w:val="00F56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154C6"/>
  <w15:docId w15:val="{5BB4388F-EE38-4D1F-9425-249F9FDA4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both"/>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unhideWhenUsed/>
    <w:qFormat/>
    <w:pPr>
      <w:keepNext/>
      <w:keepLines/>
      <w:spacing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unhideWhenUsed/>
    <w:qFormat/>
    <w:pPr>
      <w:keepNext/>
      <w:keepLines/>
      <w:spacing w:line="240" w:lineRule="auto"/>
      <w:jc w:val="both"/>
      <w:outlineLvl w:val="2"/>
    </w:pPr>
    <w:rPr>
      <w:rFonts w:ascii="Times New Roman" w:eastAsia="Times New Roman" w:hAnsi="Times New Roman" w:cs="Times New Roman"/>
      <w:b/>
      <w:bC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pPr>
      <w:spacing w:line="240" w:lineRule="auto"/>
    </w:pPr>
    <w:tblPr>
      <w:tblStyleRowBandSize w:val="1"/>
      <w:tblStyleColBandSize w:val="1"/>
      <w:tblCellMar>
        <w:top w:w="0" w:type="dxa"/>
        <w:left w:w="115" w:type="dxa"/>
        <w:bottom w:w="0" w:type="dxa"/>
        <w:right w:w="115" w:type="dxa"/>
      </w:tblCellMar>
    </w:tblPr>
    <w:tcPr>
      <w:shd w:val="clear" w:color="auto" w:fill="ECF1F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li.johogo.com/Class/CCU/SEM/_Introduction%20to%20Mediation%20Moderation%20and%20Conditional%20Process%20Analysis%20by%20Andrew%20F%20Hayes.pdf" TargetMode="External"/><Relationship Id="rId21" Type="http://schemas.openxmlformats.org/officeDocument/2006/relationships/hyperlink" Target="https://doi.org/10.35912/ijfam.v3i4.810" TargetMode="External"/><Relationship Id="rId42" Type="http://schemas.openxmlformats.org/officeDocument/2006/relationships/hyperlink" Target="https://journals.sagepub.com/doi/10.1177/09763996251333209" TargetMode="External"/><Relationship Id="rId47" Type="http://schemas.openxmlformats.org/officeDocument/2006/relationships/hyperlink" Target="https://openaccessojs.com/JBReview/article/view/5156/2147" TargetMode="External"/><Relationship Id="rId63" Type="http://schemas.openxmlformats.org/officeDocument/2006/relationships/hyperlink" Target="https://sociohum.net/index.php/INJOLE/article/view/256" TargetMode="External"/><Relationship Id="rId68" Type="http://schemas.openxmlformats.org/officeDocument/2006/relationships/hyperlink" Target="https://www.researchgate.net/publication/364812853" TargetMode="External"/><Relationship Id="rId7" Type="http://schemas.openxmlformats.org/officeDocument/2006/relationships/hyperlink" Target="https://doi.org/10.1007/s10551-015-2625-1" TargetMode="External"/><Relationship Id="rId2" Type="http://schemas.openxmlformats.org/officeDocument/2006/relationships/settings" Target="settings.xml"/><Relationship Id="rId16" Type="http://schemas.openxmlformats.org/officeDocument/2006/relationships/hyperlink" Target="https://doi.org/10.3389/fpsyg.2017.00313" TargetMode="External"/><Relationship Id="rId29" Type="http://schemas.openxmlformats.org/officeDocument/2006/relationships/hyperlink" Target="https://doi.org/10.22495/cgsrv6i2p4" TargetMode="External"/><Relationship Id="rId11" Type="http://schemas.openxmlformats.org/officeDocument/2006/relationships/hyperlink" Target="https://blgf.gov.ph/wp-content/uploads/2022/10/LTOM-Book-1-E-Copy.pdf" TargetMode="External"/><Relationship Id="rId24" Type="http://schemas.openxmlformats.org/officeDocument/2006/relationships/hyperlink" Target="https://rsisinternational.org/journals/ijriss/articles/relationship-of-emotional-intelligence-ei-and-administrative-performance-of-private-school-principals-basis-for-ei-training-program/" TargetMode="External"/><Relationship Id="rId32" Type="http://schemas.openxmlformats.org/officeDocument/2006/relationships/hyperlink" Target="https://www.ecojoin.org/index.php/EJA/article/download/1046/883" TargetMode="External"/><Relationship Id="rId37" Type="http://schemas.openxmlformats.org/officeDocument/2006/relationships/hyperlink" Target="https://journals.sagepub.com/doi/10.1177/0894486515594292" TargetMode="External"/><Relationship Id="rId40" Type="http://schemas.openxmlformats.org/officeDocument/2006/relationships/hyperlink" Target="https://doi.org/10.1007/s10551-006-9084-7" TargetMode="External"/><Relationship Id="rId45" Type="http://schemas.openxmlformats.org/officeDocument/2006/relationships/hyperlink" Target="https://psycnet.apa.org/record/2019-26495-001" TargetMode="External"/><Relationship Id="rId53" Type="http://schemas.openxmlformats.org/officeDocument/2006/relationships/hyperlink" Target="https://doi.org/10.47191/ijcsrr/V6-i1-67" TargetMode="External"/><Relationship Id="rId58" Type="http://schemas.openxmlformats.org/officeDocument/2006/relationships/hyperlink" Target="https://lawphil.net/statutes/repacts/ra1991/ra_7160_1991.html" TargetMode="External"/><Relationship Id="rId66" Type="http://schemas.openxmlformats.org/officeDocument/2006/relationships/hyperlink" Target="https://thedocs.worldbank.org/en/doc/3d1885e1e767f84aa7a5ceecec95e8ab-0060072025/original/Financial-Management-Annual-Report-2023-Public-Version.pdf" TargetMode="External"/><Relationship Id="rId5" Type="http://schemas.openxmlformats.org/officeDocument/2006/relationships/hyperlink" Target="https://www.econstor.eu/bitstream/10419/305968/1/id604.pdf" TargetMode="External"/><Relationship Id="rId61" Type="http://schemas.openxmlformats.org/officeDocument/2006/relationships/hyperlink" Target="https://doi.org/10.1108/JMP-07-2012-0228" TargetMode="External"/><Relationship Id="rId19" Type="http://schemas.openxmlformats.org/officeDocument/2006/relationships/hyperlink" Target="https://accounting.wharton.upenn.edu/wp-content/uploads/2024/05/EHSW_Wharton-003-DELPHINE-revised.pdf" TargetMode="External"/><Relationship Id="rId14" Type="http://schemas.openxmlformats.org/officeDocument/2006/relationships/hyperlink" Target="https://www.verywellmind.com/erik-eriksons-stages-of-psychosocial-development-2795740" TargetMode="External"/><Relationship Id="rId22" Type="http://schemas.openxmlformats.org/officeDocument/2006/relationships/hyperlink" Target="https://doi.org/10.35912/ijfam.v3i4.810" TargetMode="External"/><Relationship Id="rId27" Type="http://schemas.openxmlformats.org/officeDocument/2006/relationships/hyperlink" Target="https://eli.johogo.com/Class/CCU/SEM/_Introduction%20to%20Mediation%20Moderation%20and%20Conditional%20Process%20Analysis%20by%20Andrew%20F%20Hayes.pdf" TargetMode="External"/><Relationship Id="rId30" Type="http://schemas.openxmlformats.org/officeDocument/2006/relationships/hyperlink" Target="https://doi.org/10.51317/jpds.v4i1.676" TargetMode="External"/><Relationship Id="rId35" Type="http://schemas.openxmlformats.org/officeDocument/2006/relationships/hyperlink" Target="https://www.researchgate.net/publication/334485001" TargetMode="External"/><Relationship Id="rId43" Type="http://schemas.openxmlformats.org/officeDocument/2006/relationships/hyperlink" Target="https://cmci.dti.gov.ph/prov-profile.php?prov=Misamis%20Oriental" TargetMode="External"/><Relationship Id="rId48" Type="http://schemas.openxmlformats.org/officeDocument/2006/relationships/hyperlink" Target="https://openaccessojs.com/JBReview/article/view/5156/2147" TargetMode="External"/><Relationship Id="rId56" Type="http://schemas.openxmlformats.org/officeDocument/2006/relationships/hyperlink" Target="https://www.researchgate.net/publication/379132737" TargetMode="External"/><Relationship Id="rId64" Type="http://schemas.openxmlformats.org/officeDocument/2006/relationships/hyperlink" Target="https://www.researchgate.net/publication/349759604" TargetMode="External"/><Relationship Id="rId69" Type="http://schemas.openxmlformats.org/officeDocument/2006/relationships/fontTable" Target="fontTable.xml"/><Relationship Id="rId8" Type="http://schemas.openxmlformats.org/officeDocument/2006/relationships/hyperlink" Target="https://doi.org/10.1007/s10551-015-2625-1" TargetMode="External"/><Relationship Id="rId51" Type="http://schemas.openxmlformats.org/officeDocument/2006/relationships/hyperlink" Target="https://www.pefa.org/global-report-2022/en/" TargetMode="External"/><Relationship Id="rId3" Type="http://schemas.openxmlformats.org/officeDocument/2006/relationships/webSettings" Target="webSettings.xml"/><Relationship Id="rId12" Type="http://schemas.openxmlformats.org/officeDocument/2006/relationships/hyperlink" Target="https://doi.org/10.5093/jwop2024a10" TargetMode="External"/><Relationship Id="rId17" Type="http://schemas.openxmlformats.org/officeDocument/2006/relationships/hyperlink" Target="https://doi.org/10.47772/IJRISS.2025.910000384" TargetMode="External"/><Relationship Id="rId25" Type="http://schemas.openxmlformats.org/officeDocument/2006/relationships/hyperlink" Target="https://doi.org/10.23925/2179-3565.2024v15i2p16-32" TargetMode="External"/><Relationship Id="rId33" Type="http://schemas.openxmlformats.org/officeDocument/2006/relationships/hyperlink" Target="https://www.ecojoin.org/index.php/EJA/article/download/1046/883" TargetMode="External"/><Relationship Id="rId38" Type="http://schemas.openxmlformats.org/officeDocument/2006/relationships/hyperlink" Target="https://journals.sagepub.com/doi/10.1177/0894486515594292" TargetMode="External"/><Relationship Id="rId46" Type="http://schemas.openxmlformats.org/officeDocument/2006/relationships/hyperlink" Target="https://www.ombudsman.gov.ph/docs/republicacts/Republic_Act_No_6713.pdf" TargetMode="External"/><Relationship Id="rId59" Type="http://schemas.openxmlformats.org/officeDocument/2006/relationships/hyperlink" Target="https://doi.org/10.1080/10967494.2018.1553807" TargetMode="External"/><Relationship Id="rId67" Type="http://schemas.openxmlformats.org/officeDocument/2006/relationships/hyperlink" Target="https://www.researchgate.net/publication/364812853" TargetMode="External"/><Relationship Id="rId20" Type="http://schemas.openxmlformats.org/officeDocument/2006/relationships/hyperlink" Target="https://www.semanticscholar.org/paper/Sampling-and-Sampling-Methods-Etikan-Bala/02989ba11561966a6c36e188e22e2f5bbc1e5343" TargetMode="External"/><Relationship Id="rId41" Type="http://schemas.openxmlformats.org/officeDocument/2006/relationships/hyperlink" Target="https://doi.org/10.1007/s10551-006-9084-7" TargetMode="External"/><Relationship Id="rId54" Type="http://schemas.openxmlformats.org/officeDocument/2006/relationships/hyperlink" Target="https://doi.org/10.47191/ijcsrr/V6-i1-67" TargetMode="External"/><Relationship Id="rId62" Type="http://schemas.openxmlformats.org/officeDocument/2006/relationships/hyperlink" Target="https://sociohum.net/index.php/INJOLE/article/view/256" TargetMode="Externa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ciencepublishinggroup.com/article/10.11648/j.jfa.20221006.12" TargetMode="External"/><Relationship Id="rId15" Type="http://schemas.openxmlformats.org/officeDocument/2006/relationships/hyperlink" Target="https://doi.org/10.3389/fpsyg.2017.00313" TargetMode="External"/><Relationship Id="rId23" Type="http://schemas.openxmlformats.org/officeDocument/2006/relationships/hyperlink" Target="https://doi.org/10.1007/s11115-022-00651-8" TargetMode="External"/><Relationship Id="rId28" Type="http://schemas.openxmlformats.org/officeDocument/2006/relationships/hyperlink" Target="https://doi.org/10.22495/cgsrv6i2p4" TargetMode="External"/><Relationship Id="rId36" Type="http://schemas.openxmlformats.org/officeDocument/2006/relationships/hyperlink" Target="https://www.researchgate.net/publication/334485001" TargetMode="External"/><Relationship Id="rId49" Type="http://schemas.openxmlformats.org/officeDocument/2006/relationships/hyperlink" Target="https://eajournals.org/ejaafr/wp-content/uploads/sites/16/2024/12/Internal-Control-Systems.pdf" TargetMode="External"/><Relationship Id="rId57" Type="http://schemas.openxmlformats.org/officeDocument/2006/relationships/hyperlink" Target="https://www.ombudsman.gov.ph/docs/republicacts/Republic_Act_No_3019.pdf" TargetMode="External"/><Relationship Id="rId10" Type="http://schemas.openxmlformats.org/officeDocument/2006/relationships/hyperlink" Target="https://doi.org/10.1093/heapro/daae049" TargetMode="External"/><Relationship Id="rId31" Type="http://schemas.openxmlformats.org/officeDocument/2006/relationships/hyperlink" Target="https://doi.org/10.51317/jpds.v4i1.676" TargetMode="External"/><Relationship Id="rId44" Type="http://schemas.openxmlformats.org/officeDocument/2006/relationships/hyperlink" Target="https://psycnet.apa.org/record/2019-26495-001" TargetMode="External"/><Relationship Id="rId52" Type="http://schemas.openxmlformats.org/officeDocument/2006/relationships/hyperlink" Target="https://doi.org/10.59120/drj.v15iNo.2.166" TargetMode="External"/><Relationship Id="rId60" Type="http://schemas.openxmlformats.org/officeDocument/2006/relationships/hyperlink" Target="https://doi.org/10.1080/10967494.2018.1553807" TargetMode="External"/><Relationship Id="rId65" Type="http://schemas.openxmlformats.org/officeDocument/2006/relationships/hyperlink" Target="https://www.researchgate.net/publication/349759604" TargetMode="External"/><Relationship Id="rId4" Type="http://schemas.openxmlformats.org/officeDocument/2006/relationships/hyperlink" Target="https://www.econstor.eu/bitstream/10419/305968/1/id604.pdf" TargetMode="External"/><Relationship Id="rId9" Type="http://schemas.openxmlformats.org/officeDocument/2006/relationships/hyperlink" Target="https://doi.org/10.1093/heapro/daae049" TargetMode="External"/><Relationship Id="rId13" Type="http://schemas.openxmlformats.org/officeDocument/2006/relationships/hyperlink" Target="https://www.cipfa.org/-/media/files/publications/pfm_wsa_vol1.pdf" TargetMode="External"/><Relationship Id="rId18" Type="http://schemas.openxmlformats.org/officeDocument/2006/relationships/hyperlink" Target="https://www.ijassjournal.com/2024/V7I11/41466639805.pdf" TargetMode="External"/><Relationship Id="rId39" Type="http://schemas.openxmlformats.org/officeDocument/2006/relationships/hyperlink" Target="https://doi.org/10.5430/ijba.v7n6p22" TargetMode="External"/><Relationship Id="rId34" Type="http://schemas.openxmlformats.org/officeDocument/2006/relationships/hyperlink" Target="https://doi.org/10.1108/17410401311285273" TargetMode="External"/><Relationship Id="rId50" Type="http://schemas.openxmlformats.org/officeDocument/2006/relationships/hyperlink" Target="https://www.researchgate.net/publication/361130946_The_Influence_of_Internal_Control_System_and_Accountability_of_Village_Fund_Allocation_Management_on_Village_Financial_Performance" TargetMode="External"/><Relationship Id="rId55" Type="http://schemas.openxmlformats.org/officeDocument/2006/relationships/hyperlink" Target="https://www.researchgate.net/publication/37913273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6761</Words>
  <Characters>38544</Characters>
  <Application>Microsoft Office Word</Application>
  <DocSecurity>0</DocSecurity>
  <Lines>321</Lines>
  <Paragraphs>90</Paragraphs>
  <ScaleCrop>false</ScaleCrop>
  <Company/>
  <LinksUpToDate>false</LinksUpToDate>
  <CharactersWithSpaces>45215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4</cp:revision>
  <dcterms:created xsi:type="dcterms:W3CDTF">2026-03-24T15:59:00Z</dcterms:created>
  <dcterms:modified xsi:type="dcterms:W3CDTF">2026-03-25T11:15:00Z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21b528d8-cc4e-4574-8954-878d76c1d713</vt:lpwstr>
  </property>
</Properties>
</file>