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059E" w14:textId="77777777" w:rsidR="000C3B11" w:rsidRDefault="000C3B11" w:rsidP="00A339E6">
      <w:pPr>
        <w:jc w:val="center"/>
        <w:rPr>
          <w:rFonts w:ascii="Times New Roman" w:hAnsi="Times New Roman" w:cs="Times New Roman"/>
          <w:b/>
          <w:bCs/>
          <w:sz w:val="44"/>
          <w:szCs w:val="44"/>
        </w:rPr>
      </w:pPr>
    </w:p>
    <w:p w14:paraId="4CEC43CE" w14:textId="77777777" w:rsidR="00A339E6" w:rsidRDefault="00A339E6" w:rsidP="00A339E6">
      <w:pPr>
        <w:jc w:val="center"/>
        <w:rPr>
          <w:rFonts w:ascii="Times New Roman" w:hAnsi="Times New Roman" w:cs="Times New Roman"/>
          <w:b/>
          <w:bCs/>
          <w:sz w:val="44"/>
          <w:szCs w:val="44"/>
        </w:rPr>
      </w:pPr>
    </w:p>
    <w:p w14:paraId="4A698DD3" w14:textId="77777777" w:rsidR="00A339E6" w:rsidRDefault="00A339E6" w:rsidP="00A339E6">
      <w:pPr>
        <w:jc w:val="center"/>
        <w:rPr>
          <w:rFonts w:ascii="Times New Roman" w:hAnsi="Times New Roman" w:cs="Times New Roman"/>
          <w:b/>
          <w:bCs/>
          <w:sz w:val="44"/>
          <w:szCs w:val="44"/>
        </w:rPr>
      </w:pPr>
    </w:p>
    <w:p w14:paraId="230429F2" w14:textId="77777777" w:rsidR="00A339E6" w:rsidRDefault="00A339E6" w:rsidP="00A339E6">
      <w:pPr>
        <w:jc w:val="center"/>
        <w:rPr>
          <w:rFonts w:ascii="Times New Roman" w:hAnsi="Times New Roman" w:cs="Times New Roman"/>
          <w:b/>
          <w:bCs/>
          <w:sz w:val="44"/>
          <w:szCs w:val="44"/>
        </w:rPr>
      </w:pPr>
    </w:p>
    <w:p w14:paraId="69CDA657" w14:textId="77777777" w:rsidR="00A339E6" w:rsidRDefault="00A339E6" w:rsidP="00A339E6">
      <w:pPr>
        <w:jc w:val="center"/>
        <w:rPr>
          <w:rFonts w:ascii="Times New Roman" w:hAnsi="Times New Roman" w:cs="Times New Roman"/>
          <w:b/>
          <w:bCs/>
          <w:sz w:val="44"/>
          <w:szCs w:val="44"/>
        </w:rPr>
      </w:pPr>
    </w:p>
    <w:p w14:paraId="6FAEB631" w14:textId="71C9E7C7" w:rsidR="000C3B11" w:rsidRDefault="000C3B11" w:rsidP="00A339E6">
      <w:pPr>
        <w:jc w:val="center"/>
        <w:rPr>
          <w:rFonts w:ascii="Times New Roman" w:hAnsi="Times New Roman" w:cs="Times New Roman"/>
          <w:b/>
          <w:bCs/>
          <w:sz w:val="44"/>
          <w:szCs w:val="44"/>
        </w:rPr>
      </w:pPr>
      <w:r w:rsidRPr="000C3B11">
        <w:rPr>
          <w:rFonts w:ascii="Times New Roman" w:hAnsi="Times New Roman" w:cs="Times New Roman"/>
          <w:b/>
          <w:bCs/>
          <w:sz w:val="44"/>
          <w:szCs w:val="44"/>
        </w:rPr>
        <w:t>CITIZENSHIP, IDENTITY, AND THE STATE: A CRITICAL EXAMINATION OF INDIA’S NATIONAL REGISTER OF CITIZENS</w:t>
      </w:r>
    </w:p>
    <w:p w14:paraId="0D065261" w14:textId="77777777" w:rsidR="000C3B11" w:rsidRPr="000C3B11" w:rsidRDefault="000C3B11" w:rsidP="00A339E6">
      <w:pPr>
        <w:jc w:val="center"/>
        <w:rPr>
          <w:rFonts w:ascii="Times New Roman" w:hAnsi="Times New Roman" w:cs="Times New Roman"/>
          <w:b/>
          <w:bCs/>
          <w:sz w:val="44"/>
          <w:szCs w:val="44"/>
        </w:rPr>
      </w:pPr>
    </w:p>
    <w:p w14:paraId="1C907183" w14:textId="6234BA38" w:rsidR="000C3B11" w:rsidRPr="000C3B11" w:rsidRDefault="000C3B11" w:rsidP="00A339E6">
      <w:pPr>
        <w:jc w:val="center"/>
        <w:rPr>
          <w:rFonts w:ascii="Times New Roman" w:hAnsi="Times New Roman" w:cs="Times New Roman"/>
          <w:b/>
          <w:bCs/>
          <w:lang w:val="en-GB"/>
        </w:rPr>
      </w:pPr>
    </w:p>
    <w:p w14:paraId="6C5F5DDE" w14:textId="77777777" w:rsidR="000C3B11" w:rsidRPr="000C3B11" w:rsidRDefault="000C3B11" w:rsidP="00A339E6">
      <w:pPr>
        <w:jc w:val="center"/>
        <w:rPr>
          <w:rFonts w:ascii="Times New Roman" w:hAnsi="Times New Roman" w:cs="Times New Roman"/>
          <w:b/>
          <w:bCs/>
        </w:rPr>
      </w:pPr>
    </w:p>
    <w:p w14:paraId="7AD3728A" w14:textId="77777777" w:rsidR="000C3B11" w:rsidRDefault="000C3B11" w:rsidP="00A339E6">
      <w:pPr>
        <w:jc w:val="center"/>
        <w:rPr>
          <w:rFonts w:ascii="Times New Roman" w:hAnsi="Times New Roman" w:cs="Times New Roman"/>
          <w:b/>
          <w:bCs/>
        </w:rPr>
      </w:pPr>
    </w:p>
    <w:p w14:paraId="1C05FABB" w14:textId="27D971B8" w:rsidR="002E6347" w:rsidRDefault="002E6347" w:rsidP="000C3B11">
      <w:pPr>
        <w:jc w:val="center"/>
        <w:rPr>
          <w:rFonts w:ascii="Times New Roman" w:eastAsiaTheme="majorEastAsia" w:hAnsi="Times New Roman" w:cs="Times New Roman"/>
          <w:b/>
          <w:bCs/>
          <w:color w:val="0F4761" w:themeColor="accent1" w:themeShade="BF"/>
          <w:sz w:val="40"/>
          <w:szCs w:val="40"/>
        </w:rPr>
      </w:pPr>
      <w:r>
        <w:rPr>
          <w:rFonts w:ascii="Times New Roman" w:hAnsi="Times New Roman" w:cs="Times New Roman"/>
          <w:b/>
          <w:bCs/>
        </w:rPr>
        <w:br w:type="page"/>
      </w:r>
    </w:p>
    <w:sdt>
      <w:sdtPr>
        <w:rPr>
          <w:rFonts w:asciiTheme="minorHAnsi" w:eastAsiaTheme="minorEastAsia" w:hAnsiTheme="minorHAnsi" w:cstheme="minorBidi"/>
          <w:color w:val="auto"/>
          <w:kern w:val="2"/>
          <w:sz w:val="24"/>
          <w:szCs w:val="24"/>
          <w:lang w:val="en-IN"/>
          <w14:ligatures w14:val="standardContextual"/>
        </w:rPr>
        <w:id w:val="-1091855565"/>
        <w:docPartObj>
          <w:docPartGallery w:val="Table of Contents"/>
          <w:docPartUnique/>
        </w:docPartObj>
      </w:sdtPr>
      <w:sdtEndPr>
        <w:rPr>
          <w:b/>
          <w:bCs/>
          <w:noProof/>
        </w:rPr>
      </w:sdtEndPr>
      <w:sdtContent>
        <w:p w14:paraId="22E3F5CB" w14:textId="7A980001" w:rsidR="002E6347" w:rsidRPr="00260AE7" w:rsidRDefault="00741A33" w:rsidP="00741A33">
          <w:pPr>
            <w:pStyle w:val="TOCHeading"/>
            <w:jc w:val="center"/>
            <w:rPr>
              <w:rFonts w:cs="Times New Roman"/>
              <w:b/>
              <w:bCs/>
              <w:sz w:val="40"/>
              <w:szCs w:val="40"/>
            </w:rPr>
          </w:pPr>
          <w:r w:rsidRPr="00260AE7">
            <w:rPr>
              <w:rFonts w:cs="Times New Roman"/>
              <w:b/>
              <w:bCs/>
              <w:sz w:val="40"/>
              <w:szCs w:val="40"/>
            </w:rPr>
            <w:t>CONTENTS</w:t>
          </w:r>
        </w:p>
        <w:p w14:paraId="250DB3D6" w14:textId="086FB387" w:rsidR="000C3B11" w:rsidRPr="00260AE7" w:rsidRDefault="002E6347">
          <w:pPr>
            <w:pStyle w:val="TOC1"/>
            <w:tabs>
              <w:tab w:val="right" w:leader="dot" w:pos="9016"/>
            </w:tabs>
            <w:rPr>
              <w:rFonts w:ascii="Times New Roman" w:hAnsi="Times New Roman" w:cs="Times New Roman"/>
              <w:noProof/>
              <w:lang w:eastAsia="en-IN"/>
            </w:rPr>
          </w:pPr>
          <w:r w:rsidRPr="00741A33">
            <w:rPr>
              <w:rFonts w:ascii="Times New Roman" w:hAnsi="Times New Roman" w:cs="Times New Roman"/>
              <w:sz w:val="28"/>
              <w:szCs w:val="28"/>
            </w:rPr>
            <w:fldChar w:fldCharType="begin"/>
          </w:r>
          <w:r w:rsidRPr="00741A33">
            <w:rPr>
              <w:rFonts w:ascii="Times New Roman" w:hAnsi="Times New Roman" w:cs="Times New Roman"/>
              <w:sz w:val="28"/>
              <w:szCs w:val="28"/>
            </w:rPr>
            <w:instrText xml:space="preserve"> TOC \o "1-3" \h \z \u </w:instrText>
          </w:r>
          <w:r w:rsidRPr="00741A33">
            <w:rPr>
              <w:rFonts w:ascii="Times New Roman" w:hAnsi="Times New Roman" w:cs="Times New Roman"/>
              <w:sz w:val="28"/>
              <w:szCs w:val="28"/>
            </w:rPr>
            <w:fldChar w:fldCharType="separate"/>
          </w:r>
          <w:hyperlink w:anchor="_Toc215005522" w:history="1">
            <w:r w:rsidR="000C3B11" w:rsidRPr="00260AE7">
              <w:rPr>
                <w:rStyle w:val="Hyperlink"/>
                <w:rFonts w:ascii="Times New Roman" w:hAnsi="Times New Roman" w:cs="Times New Roman"/>
                <w:b/>
                <w:bCs/>
                <w:noProof/>
              </w:rPr>
              <w:t>INTRODUCTION</w:t>
            </w:r>
            <w:r w:rsidR="000C3B11" w:rsidRPr="00260AE7">
              <w:rPr>
                <w:rFonts w:ascii="Times New Roman" w:hAnsi="Times New Roman" w:cs="Times New Roman"/>
                <w:noProof/>
                <w:webHidden/>
              </w:rPr>
              <w:tab/>
            </w:r>
            <w:r w:rsidR="000C3B11" w:rsidRPr="00260AE7">
              <w:rPr>
                <w:rFonts w:ascii="Times New Roman" w:hAnsi="Times New Roman" w:cs="Times New Roman"/>
                <w:noProof/>
                <w:webHidden/>
              </w:rPr>
              <w:fldChar w:fldCharType="begin"/>
            </w:r>
            <w:r w:rsidR="000C3B11" w:rsidRPr="00260AE7">
              <w:rPr>
                <w:rFonts w:ascii="Times New Roman" w:hAnsi="Times New Roman" w:cs="Times New Roman"/>
                <w:noProof/>
                <w:webHidden/>
              </w:rPr>
              <w:instrText xml:space="preserve"> PAGEREF _Toc215005522 \h </w:instrText>
            </w:r>
            <w:r w:rsidR="000C3B11" w:rsidRPr="00260AE7">
              <w:rPr>
                <w:rFonts w:ascii="Times New Roman" w:hAnsi="Times New Roman" w:cs="Times New Roman"/>
                <w:noProof/>
                <w:webHidden/>
              </w:rPr>
            </w:r>
            <w:r w:rsidR="000C3B11" w:rsidRPr="00260AE7">
              <w:rPr>
                <w:rFonts w:ascii="Times New Roman" w:hAnsi="Times New Roman" w:cs="Times New Roman"/>
                <w:noProof/>
                <w:webHidden/>
              </w:rPr>
              <w:fldChar w:fldCharType="separate"/>
            </w:r>
            <w:r w:rsidR="000C3B11" w:rsidRPr="00260AE7">
              <w:rPr>
                <w:rFonts w:ascii="Times New Roman" w:hAnsi="Times New Roman" w:cs="Times New Roman"/>
                <w:noProof/>
                <w:webHidden/>
              </w:rPr>
              <w:t>3</w:t>
            </w:r>
            <w:r w:rsidR="000C3B11" w:rsidRPr="00260AE7">
              <w:rPr>
                <w:rFonts w:ascii="Times New Roman" w:hAnsi="Times New Roman" w:cs="Times New Roman"/>
                <w:noProof/>
                <w:webHidden/>
              </w:rPr>
              <w:fldChar w:fldCharType="end"/>
            </w:r>
          </w:hyperlink>
        </w:p>
        <w:p w14:paraId="19B8E998" w14:textId="7F81C740" w:rsidR="000C3B11" w:rsidRPr="00260AE7" w:rsidRDefault="000C3B11">
          <w:pPr>
            <w:pStyle w:val="TOC1"/>
            <w:tabs>
              <w:tab w:val="right" w:leader="dot" w:pos="9016"/>
            </w:tabs>
            <w:rPr>
              <w:rFonts w:ascii="Times New Roman" w:hAnsi="Times New Roman" w:cs="Times New Roman"/>
              <w:noProof/>
              <w:lang w:eastAsia="en-IN"/>
            </w:rPr>
          </w:pPr>
          <w:hyperlink w:anchor="_Toc215005523" w:history="1">
            <w:r w:rsidRPr="00260AE7">
              <w:rPr>
                <w:rStyle w:val="Hyperlink"/>
                <w:rFonts w:ascii="Times New Roman" w:hAnsi="Times New Roman" w:cs="Times New Roman"/>
                <w:b/>
                <w:bCs/>
                <w:noProof/>
              </w:rPr>
              <w:t>HISTORICAL EVOLUTION OF CITIZENSHIP IN INDIA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5</w:t>
            </w:r>
            <w:r w:rsidRPr="00260AE7">
              <w:rPr>
                <w:rFonts w:ascii="Times New Roman" w:hAnsi="Times New Roman" w:cs="Times New Roman"/>
                <w:noProof/>
                <w:webHidden/>
              </w:rPr>
              <w:fldChar w:fldCharType="end"/>
            </w:r>
          </w:hyperlink>
        </w:p>
        <w:p w14:paraId="65E61F51" w14:textId="3051478D" w:rsidR="000C3B11" w:rsidRPr="00260AE7" w:rsidRDefault="000C3B11">
          <w:pPr>
            <w:pStyle w:val="TOC1"/>
            <w:tabs>
              <w:tab w:val="right" w:leader="dot" w:pos="9016"/>
            </w:tabs>
            <w:rPr>
              <w:rFonts w:ascii="Times New Roman" w:hAnsi="Times New Roman" w:cs="Times New Roman"/>
              <w:noProof/>
              <w:lang w:eastAsia="en-IN"/>
            </w:rPr>
          </w:pPr>
          <w:hyperlink w:anchor="_Toc215005524" w:history="1">
            <w:r w:rsidRPr="00260AE7">
              <w:rPr>
                <w:rStyle w:val="Hyperlink"/>
                <w:rFonts w:ascii="Times New Roman" w:hAnsi="Times New Roman" w:cs="Times New Roman"/>
                <w:b/>
                <w:bCs/>
                <w:noProof/>
              </w:rPr>
              <w:t>THEORETICAL FRAMEWORK</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6</w:t>
            </w:r>
            <w:r w:rsidRPr="00260AE7">
              <w:rPr>
                <w:rFonts w:ascii="Times New Roman" w:hAnsi="Times New Roman" w:cs="Times New Roman"/>
                <w:noProof/>
                <w:webHidden/>
              </w:rPr>
              <w:fldChar w:fldCharType="end"/>
            </w:r>
          </w:hyperlink>
        </w:p>
        <w:p w14:paraId="484C61FB" w14:textId="683EEF83" w:rsidR="000C3B11" w:rsidRPr="00260AE7" w:rsidRDefault="000C3B11">
          <w:pPr>
            <w:pStyle w:val="TOC1"/>
            <w:tabs>
              <w:tab w:val="right" w:leader="dot" w:pos="9016"/>
            </w:tabs>
            <w:rPr>
              <w:rFonts w:ascii="Times New Roman" w:hAnsi="Times New Roman" w:cs="Times New Roman"/>
              <w:noProof/>
              <w:lang w:eastAsia="en-IN"/>
            </w:rPr>
          </w:pPr>
          <w:hyperlink w:anchor="_Toc215005525" w:history="1">
            <w:r w:rsidRPr="00260AE7">
              <w:rPr>
                <w:rStyle w:val="Hyperlink"/>
                <w:rFonts w:ascii="Times New Roman" w:hAnsi="Times New Roman" w:cs="Times New Roman"/>
                <w:b/>
                <w:bCs/>
                <w:noProof/>
              </w:rPr>
              <w:t>COMPARATIVE PERSPECTIVES ON CITIZENSHIP VERIFICATION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7</w:t>
            </w:r>
            <w:r w:rsidRPr="00260AE7">
              <w:rPr>
                <w:rFonts w:ascii="Times New Roman" w:hAnsi="Times New Roman" w:cs="Times New Roman"/>
                <w:noProof/>
                <w:webHidden/>
              </w:rPr>
              <w:fldChar w:fldCharType="end"/>
            </w:r>
          </w:hyperlink>
        </w:p>
        <w:p w14:paraId="3557C82E" w14:textId="6E35C803" w:rsidR="000C3B11" w:rsidRPr="00260AE7" w:rsidRDefault="000C3B11">
          <w:pPr>
            <w:pStyle w:val="TOC1"/>
            <w:tabs>
              <w:tab w:val="right" w:leader="dot" w:pos="9016"/>
            </w:tabs>
            <w:rPr>
              <w:rFonts w:ascii="Times New Roman" w:hAnsi="Times New Roman" w:cs="Times New Roman"/>
              <w:noProof/>
              <w:lang w:eastAsia="en-IN"/>
            </w:rPr>
          </w:pPr>
          <w:hyperlink w:anchor="_Toc215005526" w:history="1">
            <w:r w:rsidRPr="00260AE7">
              <w:rPr>
                <w:rStyle w:val="Hyperlink"/>
                <w:rFonts w:ascii="Times New Roman" w:hAnsi="Times New Roman" w:cs="Times New Roman"/>
                <w:b/>
                <w:bCs/>
                <w:noProof/>
              </w:rPr>
              <w:t>LEGAL AND POLICY ANALYSIS OF CITIZENSHIP IN INDIA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3A75911" w14:textId="5FDE215F" w:rsidR="000C3B11" w:rsidRPr="00260AE7" w:rsidRDefault="000C3B11" w:rsidP="000C3B11">
          <w:pPr>
            <w:pStyle w:val="TOC2"/>
            <w:ind w:left="720"/>
            <w:rPr>
              <w:rFonts w:ascii="Times New Roman" w:hAnsi="Times New Roman" w:cs="Times New Roman"/>
              <w:noProof/>
              <w:lang w:eastAsia="en-IN"/>
            </w:rPr>
          </w:pPr>
          <w:hyperlink w:anchor="_Toc215005527" w:history="1">
            <w:r w:rsidRPr="00260AE7">
              <w:rPr>
                <w:rStyle w:val="Hyperlink"/>
                <w:rFonts w:ascii="Times New Roman" w:hAnsi="Times New Roman" w:cs="Times New Roman"/>
                <w:b/>
                <w:bCs/>
                <w:noProof/>
              </w:rPr>
              <w:t>Constitutional Provisions On Citizenship</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4610982C" w14:textId="5FDFA87D" w:rsidR="000C3B11" w:rsidRPr="00260AE7" w:rsidRDefault="000C3B11" w:rsidP="000C3B11">
          <w:pPr>
            <w:pStyle w:val="TOC2"/>
            <w:ind w:left="720"/>
            <w:rPr>
              <w:rFonts w:ascii="Times New Roman" w:hAnsi="Times New Roman" w:cs="Times New Roman"/>
              <w:noProof/>
              <w:lang w:eastAsia="en-IN"/>
            </w:rPr>
          </w:pPr>
          <w:hyperlink w:anchor="_Toc215005528" w:history="1">
            <w:r w:rsidRPr="00260AE7">
              <w:rPr>
                <w:rStyle w:val="Hyperlink"/>
                <w:rFonts w:ascii="Times New Roman" w:hAnsi="Times New Roman" w:cs="Times New Roman"/>
                <w:b/>
                <w:bCs/>
                <w:noProof/>
              </w:rPr>
              <w:t>The Citizenship Act, 1955 And Its Amendments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5AAB644" w14:textId="09651AF2" w:rsidR="000C3B11" w:rsidRPr="00260AE7" w:rsidRDefault="000C3B11" w:rsidP="000C3B11">
          <w:pPr>
            <w:pStyle w:val="TOC2"/>
            <w:ind w:left="720"/>
            <w:rPr>
              <w:rFonts w:ascii="Times New Roman" w:hAnsi="Times New Roman" w:cs="Times New Roman"/>
              <w:noProof/>
              <w:lang w:eastAsia="en-IN"/>
            </w:rPr>
          </w:pPr>
          <w:hyperlink w:anchor="_Toc215005529" w:history="1">
            <w:r w:rsidRPr="00260AE7">
              <w:rPr>
                <w:rStyle w:val="Hyperlink"/>
                <w:rFonts w:ascii="Times New Roman" w:hAnsi="Times New Roman" w:cs="Times New Roman"/>
                <w:b/>
                <w:bCs/>
                <w:noProof/>
              </w:rPr>
              <w:t xml:space="preserve">Assam Accord And </w:t>
            </w:r>
            <w:r w:rsidR="00741A33" w:rsidRPr="00260AE7">
              <w:rPr>
                <w:rStyle w:val="Hyperlink"/>
                <w:rFonts w:ascii="Times New Roman" w:hAnsi="Times New Roman" w:cs="Times New Roman"/>
                <w:b/>
                <w:bCs/>
                <w:noProof/>
              </w:rPr>
              <w:t xml:space="preserve">NRC </w:t>
            </w:r>
            <w:r w:rsidRPr="00260AE7">
              <w:rPr>
                <w:rStyle w:val="Hyperlink"/>
                <w:rFonts w:ascii="Times New Roman" w:hAnsi="Times New Roman" w:cs="Times New Roman"/>
                <w:b/>
                <w:bCs/>
                <w:noProof/>
              </w:rPr>
              <w:t>Implementation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11EFFDC" w14:textId="0423A7DD" w:rsidR="000C3B11" w:rsidRPr="00260AE7" w:rsidRDefault="000C3B11" w:rsidP="000C3B11">
          <w:pPr>
            <w:pStyle w:val="TOC2"/>
            <w:ind w:left="720"/>
            <w:rPr>
              <w:rFonts w:ascii="Times New Roman" w:hAnsi="Times New Roman" w:cs="Times New Roman"/>
              <w:noProof/>
              <w:lang w:eastAsia="en-IN"/>
            </w:rPr>
          </w:pPr>
          <w:hyperlink w:anchor="_Toc215005530" w:history="1">
            <w:r w:rsidRPr="00260AE7">
              <w:rPr>
                <w:rStyle w:val="Hyperlink"/>
                <w:rFonts w:ascii="Times New Roman" w:hAnsi="Times New Roman" w:cs="Times New Roman"/>
                <w:b/>
                <w:bCs/>
                <w:noProof/>
              </w:rPr>
              <w:t>Judicial Oversight And Case Law</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_Toc215005530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10</w:t>
            </w:r>
            <w:r w:rsidRPr="00260AE7">
              <w:rPr>
                <w:rFonts w:ascii="Times New Roman" w:hAnsi="Times New Roman" w:cs="Times New Roman"/>
                <w:noProof/>
                <w:webHidden/>
              </w:rPr>
              <w:fldChar w:fldCharType="end"/>
            </w:r>
          </w:hyperlink>
        </w:p>
        <w:p w14:paraId="1D4A5465" w14:textId="73D8EE1A" w:rsidR="000C3B11" w:rsidRPr="00260AE7" w:rsidRDefault="000C3B11" w:rsidP="000C3B11">
          <w:pPr>
            <w:pStyle w:val="TOC2"/>
            <w:ind w:left="720"/>
            <w:rPr>
              <w:rFonts w:ascii="Times New Roman" w:hAnsi="Times New Roman" w:cs="Times New Roman"/>
              <w:noProof/>
              <w:lang w:eastAsia="en-IN"/>
            </w:rPr>
          </w:pPr>
          <w:hyperlink w:anchor="_Toc215005531" w:history="1">
            <w:r w:rsidRPr="00260AE7">
              <w:rPr>
                <w:rStyle w:val="Hyperlink"/>
                <w:rFonts w:ascii="Times New Roman" w:hAnsi="Times New Roman" w:cs="Times New Roman"/>
                <w:b/>
                <w:bCs/>
                <w:noProof/>
              </w:rPr>
              <w:t>Critiques And Human Rights Concerns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_Toc215005531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10</w:t>
            </w:r>
            <w:r w:rsidRPr="00260AE7">
              <w:rPr>
                <w:rFonts w:ascii="Times New Roman" w:hAnsi="Times New Roman" w:cs="Times New Roman"/>
                <w:noProof/>
                <w:webHidden/>
              </w:rPr>
              <w:fldChar w:fldCharType="end"/>
            </w:r>
          </w:hyperlink>
        </w:p>
        <w:p w14:paraId="47946662" w14:textId="215860BE" w:rsidR="000C3B11" w:rsidRPr="00260AE7" w:rsidRDefault="000C3B11">
          <w:pPr>
            <w:pStyle w:val="TOC1"/>
            <w:tabs>
              <w:tab w:val="right" w:leader="dot" w:pos="9016"/>
            </w:tabs>
            <w:rPr>
              <w:rFonts w:ascii="Times New Roman" w:hAnsi="Times New Roman" w:cs="Times New Roman"/>
              <w:noProof/>
              <w:lang w:eastAsia="en-IN"/>
            </w:rPr>
          </w:pPr>
          <w:hyperlink w:anchor="_Toc215005532" w:history="1">
            <w:r w:rsidRPr="00260AE7">
              <w:rPr>
                <w:rStyle w:val="Hyperlink"/>
                <w:rFonts w:ascii="Times New Roman" w:hAnsi="Times New Roman" w:cs="Times New Roman"/>
                <w:b/>
                <w:bCs/>
                <w:noProof/>
              </w:rPr>
              <w:t>SOCIO-POLITICAL IMPLICATIONS AND GENDERED IMPACT OF THE NRC</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_Toc215005532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23288BB7" w14:textId="230B7A3C" w:rsidR="000C3B11" w:rsidRPr="00260AE7" w:rsidRDefault="000C3B11" w:rsidP="000C3B11">
          <w:pPr>
            <w:pStyle w:val="TOC2"/>
            <w:ind w:left="720"/>
            <w:rPr>
              <w:rFonts w:ascii="Times New Roman" w:hAnsi="Times New Roman" w:cs="Times New Roman"/>
              <w:noProof/>
              <w:lang w:eastAsia="en-IN"/>
            </w:rPr>
          </w:pPr>
          <w:hyperlink w:anchor="_Toc215005533" w:history="1">
            <w:r w:rsidRPr="00260AE7">
              <w:rPr>
                <w:rStyle w:val="Hyperlink"/>
                <w:rFonts w:ascii="Times New Roman" w:hAnsi="Times New Roman" w:cs="Times New Roman"/>
                <w:b/>
                <w:bCs/>
                <w:noProof/>
              </w:rPr>
              <w:t>Impact On Vulnerable Communities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6584BFFF" w14:textId="2F7E2D25" w:rsidR="000C3B11" w:rsidRPr="00260AE7" w:rsidRDefault="000C3B11" w:rsidP="000C3B11">
          <w:pPr>
            <w:pStyle w:val="TOC2"/>
            <w:ind w:left="720"/>
            <w:rPr>
              <w:rFonts w:ascii="Times New Roman" w:hAnsi="Times New Roman" w:cs="Times New Roman"/>
              <w:noProof/>
              <w:lang w:eastAsia="en-IN"/>
            </w:rPr>
          </w:pPr>
          <w:hyperlink w:anchor="_Toc215005534" w:history="1">
            <w:r w:rsidRPr="00260AE7">
              <w:rPr>
                <w:rStyle w:val="Hyperlink"/>
                <w:rFonts w:ascii="Times New Roman" w:hAnsi="Times New Roman" w:cs="Times New Roman"/>
                <w:b/>
                <w:bCs/>
                <w:noProof/>
              </w:rPr>
              <w:t>Gendered Challenges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30C695A5" w14:textId="2BC7731A" w:rsidR="000C3B11" w:rsidRPr="00260AE7" w:rsidRDefault="000C3B11" w:rsidP="000C3B11">
          <w:pPr>
            <w:pStyle w:val="TOC2"/>
            <w:ind w:left="720"/>
            <w:rPr>
              <w:rFonts w:ascii="Times New Roman" w:hAnsi="Times New Roman" w:cs="Times New Roman"/>
              <w:noProof/>
              <w:lang w:eastAsia="en-IN"/>
            </w:rPr>
          </w:pPr>
          <w:hyperlink w:anchor="_Toc215005535" w:history="1">
            <w:r w:rsidRPr="00260AE7">
              <w:rPr>
                <w:rStyle w:val="Hyperlink"/>
                <w:rFonts w:ascii="Times New Roman" w:eastAsia="Times New Roman" w:hAnsi="Times New Roman" w:cs="Times New Roman"/>
                <w:b/>
                <w:bCs/>
                <w:noProof/>
              </w:rPr>
              <w:t>Political Implications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4D67A605" w14:textId="588BD5C0" w:rsidR="000C3B11" w:rsidRPr="00260AE7" w:rsidRDefault="000C3B11" w:rsidP="000C3B11">
          <w:pPr>
            <w:pStyle w:val="TOC2"/>
            <w:ind w:left="720"/>
            <w:rPr>
              <w:rFonts w:ascii="Times New Roman" w:hAnsi="Times New Roman" w:cs="Times New Roman"/>
              <w:noProof/>
              <w:lang w:eastAsia="en-IN"/>
            </w:rPr>
          </w:pPr>
          <w:hyperlink w:anchor="_Toc215005536" w:history="1">
            <w:r w:rsidRPr="00260AE7">
              <w:rPr>
                <w:rStyle w:val="Hyperlink"/>
                <w:rFonts w:ascii="Times New Roman" w:hAnsi="Times New Roman" w:cs="Times New Roman"/>
                <w:b/>
                <w:bCs/>
                <w:noProof/>
              </w:rPr>
              <w:t>Lessons From Intersectional Analysis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1C58E7CF" w14:textId="57656A4E" w:rsidR="000C3B11" w:rsidRPr="00260AE7" w:rsidRDefault="000C3B11">
          <w:pPr>
            <w:pStyle w:val="TOC1"/>
            <w:tabs>
              <w:tab w:val="right" w:leader="dot" w:pos="9016"/>
            </w:tabs>
            <w:rPr>
              <w:rFonts w:ascii="Times New Roman" w:hAnsi="Times New Roman" w:cs="Times New Roman"/>
              <w:noProof/>
              <w:lang w:eastAsia="en-IN"/>
            </w:rPr>
          </w:pPr>
          <w:hyperlink w:anchor="_Toc215005537" w:history="1">
            <w:r w:rsidRPr="00260AE7">
              <w:rPr>
                <w:rStyle w:val="Hyperlink"/>
                <w:rFonts w:ascii="Times New Roman" w:hAnsi="Times New Roman" w:cs="Times New Roman"/>
                <w:b/>
                <w:bCs/>
                <w:noProof/>
              </w:rPr>
              <w:t>POLICY RECOMMENDATIONS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19C1A972" w14:textId="2EB1A59C" w:rsidR="000C3B11" w:rsidRPr="00260AE7" w:rsidRDefault="000C3B11" w:rsidP="000C3B11">
          <w:pPr>
            <w:pStyle w:val="TOC2"/>
            <w:ind w:left="720"/>
            <w:rPr>
              <w:rFonts w:ascii="Times New Roman" w:hAnsi="Times New Roman" w:cs="Times New Roman"/>
              <w:noProof/>
              <w:lang w:eastAsia="en-IN"/>
            </w:rPr>
          </w:pPr>
          <w:hyperlink w:anchor="_Toc215005538" w:history="1">
            <w:r w:rsidRPr="00260AE7">
              <w:rPr>
                <w:rStyle w:val="Hyperlink"/>
                <w:rFonts w:ascii="Times New Roman" w:hAnsi="Times New Roman" w:cs="Times New Roman"/>
                <w:b/>
                <w:bCs/>
                <w:noProof/>
              </w:rPr>
              <w:t>Strengthening Documentation Access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358E4B90" w14:textId="43ACACB3" w:rsidR="000C3B11" w:rsidRPr="00260AE7" w:rsidRDefault="000C3B11" w:rsidP="000C3B11">
          <w:pPr>
            <w:pStyle w:val="TOC2"/>
            <w:ind w:left="720"/>
            <w:rPr>
              <w:rFonts w:ascii="Times New Roman" w:hAnsi="Times New Roman" w:cs="Times New Roman"/>
              <w:noProof/>
              <w:lang w:eastAsia="en-IN"/>
            </w:rPr>
          </w:pPr>
          <w:hyperlink w:anchor="_Toc215005539" w:history="1">
            <w:r w:rsidRPr="00260AE7">
              <w:rPr>
                <w:rStyle w:val="Hyperlink"/>
                <w:rFonts w:ascii="Times New Roman" w:hAnsi="Times New Roman" w:cs="Times New Roman"/>
                <w:b/>
                <w:bCs/>
                <w:noProof/>
              </w:rPr>
              <w:t>Gender-Sensitive Verification Processes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2EF5A24A" w14:textId="4FD0C5BF" w:rsidR="000C3B11" w:rsidRPr="00260AE7" w:rsidRDefault="000C3B11" w:rsidP="000C3B11">
          <w:pPr>
            <w:pStyle w:val="TOC2"/>
            <w:ind w:left="720"/>
            <w:rPr>
              <w:rFonts w:ascii="Times New Roman" w:hAnsi="Times New Roman" w:cs="Times New Roman"/>
              <w:noProof/>
              <w:lang w:eastAsia="en-IN"/>
            </w:rPr>
          </w:pPr>
          <w:hyperlink w:anchor="_Toc215005540" w:history="1">
            <w:r w:rsidRPr="00260AE7">
              <w:rPr>
                <w:rStyle w:val="Hyperlink"/>
                <w:rFonts w:ascii="Times New Roman" w:hAnsi="Times New Roman" w:cs="Times New Roman"/>
                <w:b/>
                <w:bCs/>
                <w:noProof/>
              </w:rPr>
              <w:t>Robust Grievance Redressal Mechanisms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_Toc215005540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205FB598" w14:textId="6BCAFE76" w:rsidR="000C3B11" w:rsidRPr="00260AE7" w:rsidRDefault="000C3B11" w:rsidP="000C3B11">
          <w:pPr>
            <w:pStyle w:val="TOC2"/>
            <w:ind w:left="720"/>
            <w:rPr>
              <w:rFonts w:ascii="Times New Roman" w:hAnsi="Times New Roman" w:cs="Times New Roman"/>
              <w:noProof/>
              <w:lang w:eastAsia="en-IN"/>
            </w:rPr>
          </w:pPr>
          <w:hyperlink w:anchor="_Toc215005541" w:history="1">
            <w:r w:rsidRPr="00260AE7">
              <w:rPr>
                <w:rStyle w:val="Hyperlink"/>
                <w:rFonts w:ascii="Times New Roman" w:hAnsi="Times New Roman" w:cs="Times New Roman"/>
                <w:b/>
                <w:bCs/>
                <w:noProof/>
              </w:rPr>
              <w:t>Legal Safeguards And Human Rights Alignment</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_Toc215005541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12C6515A" w14:textId="00707AD5" w:rsidR="000C3B11" w:rsidRPr="00260AE7" w:rsidRDefault="000C3B11" w:rsidP="000C3B11">
          <w:pPr>
            <w:pStyle w:val="TOC2"/>
            <w:ind w:left="720"/>
            <w:rPr>
              <w:rFonts w:ascii="Times New Roman" w:hAnsi="Times New Roman" w:cs="Times New Roman"/>
              <w:noProof/>
              <w:lang w:eastAsia="en-IN"/>
            </w:rPr>
          </w:pPr>
          <w:hyperlink w:anchor="_Toc215005542" w:history="1">
            <w:r w:rsidRPr="00260AE7">
              <w:rPr>
                <w:rStyle w:val="Hyperlink"/>
                <w:rFonts w:ascii="Times New Roman" w:hAnsi="Times New Roman" w:cs="Times New Roman"/>
                <w:b/>
                <w:bCs/>
                <w:noProof/>
              </w:rPr>
              <w:t>Public Awareness And Civil Society Engagement</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_Toc215005542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5D2BA7F6" w14:textId="002ACAE7" w:rsidR="000C3B11" w:rsidRPr="00260AE7" w:rsidRDefault="000C3B11" w:rsidP="000C3B11">
          <w:pPr>
            <w:pStyle w:val="TOC2"/>
            <w:ind w:left="720"/>
            <w:rPr>
              <w:rFonts w:ascii="Times New Roman" w:hAnsi="Times New Roman" w:cs="Times New Roman"/>
              <w:noProof/>
              <w:lang w:eastAsia="en-IN"/>
            </w:rPr>
          </w:pPr>
          <w:hyperlink w:anchor="_Toc215005543" w:history="1">
            <w:r w:rsidRPr="00260AE7">
              <w:rPr>
                <w:rStyle w:val="Hyperlink"/>
                <w:rFonts w:ascii="Times New Roman" w:hAnsi="Times New Roman" w:cs="Times New Roman"/>
                <w:b/>
                <w:bCs/>
                <w:noProof/>
              </w:rPr>
              <w:t>Technology And Data Management Improvements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6ED76008" w14:textId="6FC23EB9" w:rsidR="000C3B11" w:rsidRPr="00260AE7" w:rsidRDefault="000C3B11">
          <w:pPr>
            <w:pStyle w:val="TOC1"/>
            <w:tabs>
              <w:tab w:val="right" w:leader="dot" w:pos="9016"/>
            </w:tabs>
            <w:rPr>
              <w:rFonts w:ascii="Times New Roman" w:hAnsi="Times New Roman" w:cs="Times New Roman"/>
              <w:noProof/>
              <w:lang w:eastAsia="en-IN"/>
            </w:rPr>
          </w:pPr>
          <w:hyperlink w:anchor="_Toc215005544" w:history="1">
            <w:r w:rsidRPr="00260AE7">
              <w:rPr>
                <w:rStyle w:val="Hyperlink"/>
                <w:rFonts w:ascii="Times New Roman" w:hAnsi="Times New Roman" w:cs="Times New Roman"/>
                <w:b/>
                <w:bCs/>
                <w:noProof/>
              </w:rPr>
              <w:t>CONCLUSION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14</w:t>
            </w:r>
            <w:r w:rsidRPr="00260AE7">
              <w:rPr>
                <w:rFonts w:ascii="Times New Roman" w:hAnsi="Times New Roman" w:cs="Times New Roman"/>
                <w:noProof/>
                <w:webHidden/>
              </w:rPr>
              <w:fldChar w:fldCharType="end"/>
            </w:r>
          </w:hyperlink>
        </w:p>
        <w:p w14:paraId="578C00AD" w14:textId="6E8BDC86" w:rsidR="000C3B11" w:rsidRPr="00260AE7" w:rsidRDefault="000C3B11">
          <w:pPr>
            <w:pStyle w:val="TOC1"/>
            <w:tabs>
              <w:tab w:val="right" w:leader="dot" w:pos="9016"/>
            </w:tabs>
            <w:rPr>
              <w:rFonts w:ascii="Times New Roman" w:hAnsi="Times New Roman" w:cs="Times New Roman"/>
              <w:noProof/>
              <w:lang w:eastAsia="en-IN"/>
            </w:rPr>
          </w:pPr>
          <w:hyperlink w:anchor="_Toc215005545" w:history="1">
            <w:r w:rsidRPr="00260AE7">
              <w:rPr>
                <w:rStyle w:val="Hyperlink"/>
                <w:rFonts w:ascii="Times New Roman" w:hAnsi="Times New Roman" w:cs="Times New Roman"/>
                <w:b/>
                <w:bCs/>
                <w:noProof/>
              </w:rPr>
              <w:t>REFERENCES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3102CABC" w14:textId="105E102A" w:rsidR="000C3B11" w:rsidRPr="00260AE7" w:rsidRDefault="000C3B11" w:rsidP="000C3B11">
          <w:pPr>
            <w:pStyle w:val="TOC2"/>
            <w:ind w:left="720"/>
            <w:rPr>
              <w:rFonts w:ascii="Times New Roman" w:hAnsi="Times New Roman" w:cs="Times New Roman"/>
              <w:noProof/>
              <w:lang w:eastAsia="en-IN"/>
            </w:rPr>
          </w:pPr>
          <w:hyperlink w:anchor="_Toc215005546" w:history="1">
            <w:r w:rsidRPr="00260AE7">
              <w:rPr>
                <w:rStyle w:val="Hyperlink"/>
                <w:rFonts w:ascii="Times New Roman" w:eastAsia="Times New Roman" w:hAnsi="Times New Roman" w:cs="Times New Roman"/>
                <w:b/>
                <w:bCs/>
                <w:noProof/>
              </w:rPr>
              <w:t>BOOKS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532858A0" w14:textId="0036DF69" w:rsidR="000C3B11" w:rsidRPr="00260AE7" w:rsidRDefault="000C3B11" w:rsidP="000C3B11">
          <w:pPr>
            <w:pStyle w:val="TOC2"/>
            <w:ind w:left="720"/>
            <w:rPr>
              <w:rFonts w:ascii="Times New Roman" w:hAnsi="Times New Roman" w:cs="Times New Roman"/>
              <w:noProof/>
              <w:lang w:eastAsia="en-IN"/>
            </w:rPr>
          </w:pPr>
          <w:hyperlink w:anchor="_Toc215005547" w:history="1">
            <w:r w:rsidRPr="00260AE7">
              <w:rPr>
                <w:rStyle w:val="Hyperlink"/>
                <w:rFonts w:ascii="Times New Roman" w:eastAsia="Times New Roman" w:hAnsi="Times New Roman" w:cs="Times New Roman"/>
                <w:b/>
                <w:bCs/>
                <w:noProof/>
              </w:rPr>
              <w:t>JOURNAL ARTICLES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4DDCD328" w14:textId="3B23F584" w:rsidR="000C3B11" w:rsidRPr="00260AE7" w:rsidRDefault="000C3B11" w:rsidP="000C3B11">
          <w:pPr>
            <w:pStyle w:val="TOC1"/>
            <w:tabs>
              <w:tab w:val="right" w:leader="dot" w:pos="9016"/>
            </w:tabs>
            <w:ind w:left="720"/>
            <w:rPr>
              <w:rFonts w:ascii="Times New Roman" w:hAnsi="Times New Roman" w:cs="Times New Roman"/>
              <w:noProof/>
              <w:lang w:eastAsia="en-IN"/>
            </w:rPr>
          </w:pPr>
          <w:hyperlink w:anchor="_Toc215005548" w:history="1">
            <w:r w:rsidRPr="00260AE7">
              <w:rPr>
                <w:rStyle w:val="Hyperlink"/>
                <w:rFonts w:ascii="Times New Roman" w:eastAsia="Times New Roman" w:hAnsi="Times New Roman" w:cs="Times New Roman"/>
                <w:b/>
                <w:bCs/>
                <w:noProof/>
              </w:rPr>
              <w:t>REPORTS &amp; GOVERNMENT DOCUMENTS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16</w:t>
            </w:r>
            <w:r w:rsidRPr="00260AE7">
              <w:rPr>
                <w:rFonts w:ascii="Times New Roman" w:hAnsi="Times New Roman" w:cs="Times New Roman"/>
                <w:noProof/>
                <w:webHidden/>
              </w:rPr>
              <w:fldChar w:fldCharType="end"/>
            </w:r>
          </w:hyperlink>
        </w:p>
        <w:p w14:paraId="2B9D87FD" w14:textId="10A6DE59" w:rsidR="000C3B11" w:rsidRPr="00260AE7" w:rsidRDefault="000C3B11" w:rsidP="000C3B11">
          <w:pPr>
            <w:pStyle w:val="TOC2"/>
            <w:ind w:left="720"/>
            <w:rPr>
              <w:rFonts w:ascii="Times New Roman" w:hAnsi="Times New Roman" w:cs="Times New Roman"/>
              <w:noProof/>
              <w:lang w:eastAsia="en-IN"/>
            </w:rPr>
          </w:pPr>
          <w:hyperlink w:anchor="_Toc215005549" w:history="1">
            <w:r w:rsidRPr="00260AE7">
              <w:rPr>
                <w:rStyle w:val="Hyperlink"/>
                <w:rFonts w:ascii="Times New Roman" w:eastAsia="Times New Roman" w:hAnsi="Times New Roman" w:cs="Times New Roman"/>
                <w:b/>
                <w:bCs/>
                <w:noProof/>
              </w:rPr>
              <w:t>NEWS / MEDIA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16</w:t>
            </w:r>
            <w:r w:rsidRPr="00260AE7">
              <w:rPr>
                <w:rFonts w:ascii="Times New Roman" w:hAnsi="Times New Roman" w:cs="Times New Roman"/>
                <w:noProof/>
                <w:webHidden/>
              </w:rPr>
              <w:fldChar w:fldCharType="end"/>
            </w:r>
          </w:hyperlink>
        </w:p>
        <w:p w14:paraId="3C363A90" w14:textId="77777777" w:rsidR="00260AE7" w:rsidRDefault="002E6347" w:rsidP="00260AE7">
          <w:pPr>
            <w:rPr>
              <w:b/>
              <w:bCs/>
              <w:noProof/>
            </w:rPr>
          </w:pPr>
          <w:r w:rsidRPr="00741A33">
            <w:rPr>
              <w:rFonts w:ascii="Times New Roman" w:hAnsi="Times New Roman" w:cs="Times New Roman"/>
              <w:b/>
              <w:bCs/>
              <w:noProof/>
              <w:sz w:val="28"/>
              <w:szCs w:val="28"/>
            </w:rPr>
            <w:fldChar w:fldCharType="end"/>
          </w:r>
        </w:p>
      </w:sdtContent>
    </w:sdt>
    <w:p w14:paraId="7F7BEED7" w14:textId="6A61924B" w:rsidR="00AC5203" w:rsidRPr="00260AE7" w:rsidRDefault="002E6347" w:rsidP="00260AE7">
      <w:pPr>
        <w:pStyle w:val="Heading1"/>
        <w:jc w:val="center"/>
        <w:rPr>
          <w:b/>
          <w:bCs/>
        </w:rPr>
      </w:pPr>
      <w:r>
        <w:br w:type="page"/>
      </w:r>
      <w:r w:rsidR="006E56F4" w:rsidRPr="00260AE7">
        <w:rPr>
          <w:b/>
          <w:bCs/>
        </w:rPr>
        <w:lastRenderedPageBreak/>
        <w:t>ABSTRACT</w:t>
      </w:r>
    </w:p>
    <w:p w14:paraId="6941FB3B" w14:textId="70AE2564" w:rsidR="00AC5203" w:rsidRPr="003A50E7" w:rsidRDefault="00AC5203" w:rsidP="002E6347">
      <w:pPr>
        <w:spacing w:line="360" w:lineRule="auto"/>
        <w:jc w:val="both"/>
        <w:rPr>
          <w:rFonts w:ascii="Times New Roman" w:hAnsi="Times New Roman" w:cs="Times New Roman"/>
        </w:rPr>
      </w:pPr>
      <w:r w:rsidRPr="003A50E7">
        <w:rPr>
          <w:rFonts w:ascii="Times New Roman" w:hAnsi="Times New Roman" w:cs="Times New Roman"/>
        </w:rPr>
        <w:t xml:space="preserve">The debates surrounding India’s </w:t>
      </w:r>
      <w:r w:rsidRPr="003A50E7">
        <w:rPr>
          <w:rFonts w:ascii="Times New Roman" w:hAnsi="Times New Roman" w:cs="Times New Roman"/>
          <w:b/>
          <w:bCs/>
          <w:i/>
          <w:iCs/>
        </w:rPr>
        <w:t>National Register of Citizens (NRC</w:t>
      </w:r>
      <w:r w:rsidRPr="003A50E7">
        <w:rPr>
          <w:rFonts w:ascii="Times New Roman" w:hAnsi="Times New Roman" w:cs="Times New Roman"/>
        </w:rPr>
        <w:t xml:space="preserve">) represent one of the most complex intersections of citizenship, identity, and state power in contemporary South Asia. As citizenship moves from being a stable legal status to a documentation-dependent category, the NRC raises critical questions about belonging, exclusion, and due process (Roy, </w:t>
      </w:r>
      <w:r w:rsidRPr="003A50E7">
        <w:rPr>
          <w:rFonts w:ascii="Times New Roman" w:hAnsi="Times New Roman" w:cs="Times New Roman"/>
          <w:color w:val="EE0000"/>
        </w:rPr>
        <w:t>2020</w:t>
      </w:r>
      <w:r w:rsidRPr="003A50E7">
        <w:rPr>
          <w:rFonts w:ascii="Times New Roman" w:hAnsi="Times New Roman" w:cs="Times New Roman"/>
        </w:rPr>
        <w:t xml:space="preserve">). Historically rooted in colonial population management practices and later shaped by post-Partition anxieties, India’s citizenship regime has evolved through multiple legal, political, and administrative shifts (Chatterji, 2019). The NRC intensifies these tensions by linking legal membership to documentary proof in a country where documentation gaps disproportionately affect vulnerable groups—particularly women, rural communities, religious minorities, Adivasis, and migrant populations (Agarwala &amp; Das, </w:t>
      </w:r>
      <w:r w:rsidRPr="003A50E7">
        <w:rPr>
          <w:rFonts w:ascii="Times New Roman" w:hAnsi="Times New Roman" w:cs="Times New Roman"/>
          <w:color w:val="EE0000"/>
        </w:rPr>
        <w:t>2021</w:t>
      </w:r>
      <w:r w:rsidRPr="003A50E7">
        <w:rPr>
          <w:rFonts w:ascii="Times New Roman" w:hAnsi="Times New Roman" w:cs="Times New Roman"/>
        </w:rPr>
        <w:t xml:space="preserve">). Theoretically, the NRC can be read through frameworks of biopolitics, state surveillance, and the politics of recognition, which highlight how modern states classify and govern populations (Foucault, </w:t>
      </w:r>
      <w:r w:rsidRPr="003A50E7">
        <w:rPr>
          <w:rFonts w:ascii="Times New Roman" w:hAnsi="Times New Roman" w:cs="Times New Roman"/>
          <w:color w:val="EE0000"/>
        </w:rPr>
        <w:t>1978</w:t>
      </w:r>
      <w:r w:rsidRPr="003A50E7">
        <w:rPr>
          <w:rFonts w:ascii="Times New Roman" w:hAnsi="Times New Roman" w:cs="Times New Roman"/>
        </w:rPr>
        <w:t xml:space="preserve">; Brubaker, </w:t>
      </w:r>
      <w:r w:rsidRPr="003A50E7">
        <w:rPr>
          <w:rFonts w:ascii="Times New Roman" w:hAnsi="Times New Roman" w:cs="Times New Roman"/>
          <w:color w:val="EE0000"/>
        </w:rPr>
        <w:t>1992</w:t>
      </w:r>
      <w:r w:rsidRPr="003A50E7">
        <w:rPr>
          <w:rFonts w:ascii="Times New Roman" w:hAnsi="Times New Roman" w:cs="Times New Roman"/>
        </w:rPr>
        <w:t xml:space="preserve">). Comparative insights from Bangladesh, Myanmar, and European citizenship verification regimes further reveal how documentation-based citizenship processes often risk producing new forms of statelessness (UNHCR, </w:t>
      </w:r>
      <w:r w:rsidRPr="003A50E7">
        <w:rPr>
          <w:rFonts w:ascii="Times New Roman" w:hAnsi="Times New Roman" w:cs="Times New Roman"/>
          <w:color w:val="EE0000"/>
        </w:rPr>
        <w:t>2022</w:t>
      </w:r>
      <w:r w:rsidRPr="003A50E7">
        <w:rPr>
          <w:rFonts w:ascii="Times New Roman" w:hAnsi="Times New Roman" w:cs="Times New Roman"/>
        </w:rPr>
        <w:t>). This paper critically examines the NRC through legal, historical, and human rights perspectives, emphasizing the urgent need for policy safeguards, transparent procedures, and rights-based approaches to prevent exclusion and ensure constitutional guarantees of equality and dignity.</w:t>
      </w:r>
    </w:p>
    <w:p w14:paraId="3990C9D0" w14:textId="7EF4447D" w:rsidR="004E6BCE" w:rsidRPr="003A50E7" w:rsidRDefault="00741A33" w:rsidP="002E6347">
      <w:pPr>
        <w:spacing w:line="360" w:lineRule="auto"/>
        <w:jc w:val="both"/>
        <w:rPr>
          <w:rFonts w:ascii="Times New Roman" w:hAnsi="Times New Roman" w:cs="Times New Roman"/>
        </w:rPr>
      </w:pPr>
      <w:r w:rsidRPr="00741A33">
        <w:rPr>
          <w:rStyle w:val="Heading1Char"/>
          <w:rFonts w:ascii="Times New Roman" w:hAnsi="Times New Roman" w:cs="Times New Roman"/>
          <w:b/>
          <w:bCs/>
        </w:rPr>
        <w:t>KEYWORDS:</w:t>
      </w:r>
      <w:r w:rsidR="00AC5203" w:rsidRPr="002E6347">
        <w:rPr>
          <w:rFonts w:ascii="Times New Roman" w:hAnsi="Times New Roman" w:cs="Times New Roman"/>
        </w:rPr>
        <w:t xml:space="preserve"> </w:t>
      </w:r>
      <w:r w:rsidRPr="003A50E7">
        <w:rPr>
          <w:rFonts w:ascii="Times New Roman" w:hAnsi="Times New Roman" w:cs="Times New Roman"/>
        </w:rPr>
        <w:t xml:space="preserve">Citizenship, </w:t>
      </w:r>
      <w:r w:rsidR="00AC5203" w:rsidRPr="003A50E7">
        <w:rPr>
          <w:rFonts w:ascii="Times New Roman" w:hAnsi="Times New Roman" w:cs="Times New Roman"/>
        </w:rPr>
        <w:t>NRC</w:t>
      </w:r>
      <w:r w:rsidRPr="003A50E7">
        <w:rPr>
          <w:rFonts w:ascii="Times New Roman" w:hAnsi="Times New Roman" w:cs="Times New Roman"/>
        </w:rPr>
        <w:t xml:space="preserve">, Statelessness, Identity, Exclusion, </w:t>
      </w:r>
      <w:r w:rsidR="00AC5203" w:rsidRPr="003A50E7">
        <w:rPr>
          <w:rFonts w:ascii="Times New Roman" w:hAnsi="Times New Roman" w:cs="Times New Roman"/>
        </w:rPr>
        <w:t>India</w:t>
      </w:r>
      <w:r w:rsidRPr="003A50E7">
        <w:rPr>
          <w:rFonts w:ascii="Times New Roman" w:hAnsi="Times New Roman" w:cs="Times New Roman"/>
        </w:rPr>
        <w:t>, Documentation, Constitutional Rights.</w:t>
      </w:r>
    </w:p>
    <w:p w14:paraId="06701563" w14:textId="72C700D2" w:rsidR="0065790E" w:rsidRPr="002E6347" w:rsidRDefault="002E6347" w:rsidP="00260AE7">
      <w:pPr>
        <w:pStyle w:val="Heading1"/>
        <w:jc w:val="center"/>
        <w:rPr>
          <w:rFonts w:ascii="Times New Roman" w:hAnsi="Times New Roman" w:cs="Times New Roman"/>
          <w:b/>
          <w:bCs/>
        </w:rPr>
      </w:pPr>
      <w:bookmarkStart w:id="0" w:name="_Toc215005522"/>
      <w:r w:rsidRPr="002E6347">
        <w:rPr>
          <w:rFonts w:ascii="Times New Roman" w:hAnsi="Times New Roman" w:cs="Times New Roman"/>
          <w:b/>
          <w:bCs/>
        </w:rPr>
        <w:t>INTRODUCTION</w:t>
      </w:r>
      <w:bookmarkEnd w:id="0"/>
    </w:p>
    <w:p w14:paraId="02DC23E4"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Citizenship forms the foundation of an individual’s legal identity, political membership, and access to rights within a nation-state. In India, this concept has historically evolved through constitutional provisions, judicial interpretations, and shifting political priorities. The contemporary debate on the National Register of Citizens (NRC) marks a significant turning point in this trajectory, transforming citizenship from a broad constitutional promise into a status increasingly dependent on documentary verification. The NRC, originally linked to specific demographic concerns in Assam, has now emerged at the center of a national discourse that questions who belongs, on what basis, and with what consequences for those left out.</w:t>
      </w:r>
    </w:p>
    <w:p w14:paraId="517F85FC"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lastRenderedPageBreak/>
        <w:t xml:space="preserve">The emergence of the NRC cannot be separated from India’s broader historical and socio-political landscape. Post-Partition concerns surrounding migration, regional identity, and national security shaped early citizenship laws, most notably the </w:t>
      </w:r>
      <w:r w:rsidRPr="003A50E7">
        <w:rPr>
          <w:rFonts w:ascii="Times New Roman" w:hAnsi="Times New Roman" w:cs="Times New Roman"/>
          <w:b/>
          <w:bCs/>
        </w:rPr>
        <w:t xml:space="preserve">Citizenship Act of 1955. </w:t>
      </w:r>
      <w:r w:rsidRPr="003A50E7">
        <w:rPr>
          <w:rFonts w:ascii="Times New Roman" w:hAnsi="Times New Roman" w:cs="Times New Roman"/>
        </w:rPr>
        <w:t xml:space="preserve">Over the decades, amendments to the Act and legal developments such as the </w:t>
      </w:r>
      <w:r w:rsidRPr="003A50E7">
        <w:rPr>
          <w:rFonts w:ascii="Times New Roman" w:hAnsi="Times New Roman" w:cs="Times New Roman"/>
          <w:i/>
          <w:iCs/>
        </w:rPr>
        <w:t>Assam Accord of 1985</w:t>
      </w:r>
      <w:r w:rsidRPr="003A50E7">
        <w:rPr>
          <w:rFonts w:ascii="Times New Roman" w:hAnsi="Times New Roman" w:cs="Times New Roman"/>
        </w:rPr>
        <w:t xml:space="preserve"> reflect ongoing tensions between the inclusivity envisioned by the Constitution and anxieties about irregular migration. These tensions intensified with the 2019 updating of the NRC in </w:t>
      </w:r>
      <w:r w:rsidRPr="003A50E7">
        <w:rPr>
          <w:rFonts w:ascii="Times New Roman" w:hAnsi="Times New Roman" w:cs="Times New Roman"/>
          <w:i/>
          <w:iCs/>
        </w:rPr>
        <w:t>Assam,</w:t>
      </w:r>
      <w:r w:rsidRPr="003A50E7">
        <w:rPr>
          <w:rFonts w:ascii="Times New Roman" w:hAnsi="Times New Roman" w:cs="Times New Roman"/>
        </w:rPr>
        <w:t xml:space="preserve"> which resulted in over 1.9 million people being excluded — many of whom lacked adequate documentation despite long-term residence in the state. This outcome renewed questions about the administrative capacity of the state, the fairness of the verification process, and the potential human rights implications for those rendered non-citizens.</w:t>
      </w:r>
    </w:p>
    <w:p w14:paraId="5D7359C1"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At a theoretical level, debates around the NRC intersect with broader discussions on state power and population governance. Scholars of citizenship and political sociology emphasize that states increasingly rely on bureaucratic documentation to categorize individuals, producing new forms of inclusion and exclusion. Such processes often place marginalized communities at a disadvantage, as women, rural residents, landless workers, informal laborers, and socio-economically weaker groups typically lack access to consistent formal records. In India, where millions rely on oral histories, community verification, and non-standard identity proofs, strict documentation requirements risk creating large-scale administrative exclusion and, in extreme cases, statelessness.</w:t>
      </w:r>
    </w:p>
    <w:p w14:paraId="2048A19E"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The NRC debate also carries a strong comparative dimension. Across the world, from the Rohingya crisis in Myanmar to citizenship registration reforms in Kenya and Bangladesh, documentation-driven citizenship verification has frequently produced discriminatory outcomes. These international experiences underscore the importance of adopting rights-based safeguards, transparent procedures, and robust appellate mechanisms in India’s context.</w:t>
      </w:r>
    </w:p>
    <w:p w14:paraId="7B9980FB" w14:textId="7BF4700F" w:rsidR="002E6347"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Against this backdrop, the present paper critically examines the historical evolution, legal framework, administrative challenges, and socio-political implications of the NRC. It explores how citizenship in India is being reshaped by documentation regimes, how these changes affect vulnerable populations, and what reforms are necessary to ensure that citizenship verification aligns with constitutional values of equality, justice, and dignity</w:t>
      </w:r>
    </w:p>
    <w:p w14:paraId="0CDB27C0" w14:textId="6D58C5FF" w:rsidR="00490415" w:rsidRPr="002E6347" w:rsidRDefault="006E56F4" w:rsidP="00260AE7">
      <w:pPr>
        <w:spacing w:line="360" w:lineRule="auto"/>
        <w:jc w:val="center"/>
        <w:rPr>
          <w:rFonts w:ascii="Times New Roman" w:hAnsi="Times New Roman" w:cs="Times New Roman"/>
        </w:rPr>
      </w:pPr>
      <w:bookmarkStart w:id="1" w:name="_Toc215005523"/>
      <w:r w:rsidRPr="002E6347">
        <w:rPr>
          <w:rStyle w:val="Heading1Char"/>
          <w:rFonts w:ascii="Times New Roman" w:hAnsi="Times New Roman" w:cs="Times New Roman"/>
          <w:b/>
          <w:bCs/>
        </w:rPr>
        <w:t>HISTORICAL EVOLUTION OF CITIZENSHIP IN INDIA</w:t>
      </w:r>
      <w:bookmarkEnd w:id="1"/>
    </w:p>
    <w:p w14:paraId="1CBCE4F8"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lastRenderedPageBreak/>
        <w:t xml:space="preserve">Citizenship in India is not merely a legal status; it is historically embedded within the nation’s socio-political fabric, shaped by colonial governance, Partition, and post-independence state-building. During the British colonial period, population management was primarily focused on taxation, land records, and surveillance rather than individual rights. Identity and belonging were recorded in terms of religion, caste, and region, laying the groundwork for later disputes over inclusion and exclusion (Chatterji, </w:t>
      </w:r>
      <w:r w:rsidRPr="002E6347">
        <w:rPr>
          <w:rFonts w:ascii="Times New Roman" w:hAnsi="Times New Roman" w:cs="Times New Roman"/>
          <w:color w:val="EE0000"/>
        </w:rPr>
        <w:t>2019</w:t>
      </w:r>
      <w:r w:rsidRPr="002E6347">
        <w:rPr>
          <w:rFonts w:ascii="Times New Roman" w:hAnsi="Times New Roman" w:cs="Times New Roman"/>
        </w:rPr>
        <w:t>). These historical practices created a bureaucratic template that continues to influence citizenship verification today.</w:t>
      </w:r>
    </w:p>
    <w:p w14:paraId="08514A6F"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The aftermath of Partition in 1947 brought unprecedented challenges. Millions of refugees crossed the borders between India and newly created Pakistan, and the state faced the urgent task of distinguishing citizens from migrants. The political anxieties of this period led to the formulation of citizenship criteria that combined birth, descent, and residence (Bhagat, </w:t>
      </w:r>
      <w:r w:rsidRPr="002E6347">
        <w:rPr>
          <w:rFonts w:ascii="Times New Roman" w:hAnsi="Times New Roman" w:cs="Times New Roman"/>
          <w:color w:val="EE0000"/>
        </w:rPr>
        <w:t>2020</w:t>
      </w:r>
      <w:r w:rsidRPr="002E6347">
        <w:rPr>
          <w:rFonts w:ascii="Times New Roman" w:hAnsi="Times New Roman" w:cs="Times New Roman"/>
        </w:rPr>
        <w:t xml:space="preserve">). </w:t>
      </w:r>
      <w:r w:rsidRPr="00741A33">
        <w:rPr>
          <w:rFonts w:ascii="Times New Roman" w:hAnsi="Times New Roman" w:cs="Times New Roman"/>
        </w:rPr>
        <w:t xml:space="preserve">The Constitution of India </w:t>
      </w:r>
      <w:r w:rsidRPr="002E6347">
        <w:rPr>
          <w:rFonts w:ascii="Times New Roman" w:hAnsi="Times New Roman" w:cs="Times New Roman"/>
        </w:rPr>
        <w:t>(</w:t>
      </w:r>
      <w:r w:rsidRPr="002E6347">
        <w:rPr>
          <w:rFonts w:ascii="Times New Roman" w:hAnsi="Times New Roman" w:cs="Times New Roman"/>
          <w:color w:val="EE0000"/>
        </w:rPr>
        <w:t>1950</w:t>
      </w:r>
      <w:r w:rsidRPr="002E6347">
        <w:rPr>
          <w:rFonts w:ascii="Times New Roman" w:hAnsi="Times New Roman" w:cs="Times New Roman"/>
        </w:rPr>
        <w:t xml:space="preserve">) enshrined the principles of equality, non-discrimination, and universal citizenship while leaving room for specific legislative definitions to address migration and national security concerns (Government of India, </w:t>
      </w:r>
      <w:r w:rsidRPr="002E6347">
        <w:rPr>
          <w:rFonts w:ascii="Times New Roman" w:hAnsi="Times New Roman" w:cs="Times New Roman"/>
          <w:color w:val="EE0000"/>
        </w:rPr>
        <w:t>1950</w:t>
      </w:r>
      <w:r w:rsidRPr="002E6347">
        <w:rPr>
          <w:rFonts w:ascii="Times New Roman" w:hAnsi="Times New Roman" w:cs="Times New Roman"/>
        </w:rPr>
        <w:t>).</w:t>
      </w:r>
    </w:p>
    <w:p w14:paraId="0F59D6FF"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i/>
          <w:iCs/>
        </w:rPr>
        <w:t xml:space="preserve">The </w:t>
      </w:r>
      <w:r w:rsidRPr="00741A33">
        <w:rPr>
          <w:rFonts w:ascii="Times New Roman" w:hAnsi="Times New Roman" w:cs="Times New Roman"/>
          <w:b/>
          <w:bCs/>
        </w:rPr>
        <w:t>Citizenship Act of 1955</w:t>
      </w:r>
      <w:r w:rsidRPr="002E6347">
        <w:rPr>
          <w:rFonts w:ascii="Times New Roman" w:hAnsi="Times New Roman" w:cs="Times New Roman"/>
        </w:rPr>
        <w:t xml:space="preserve"> institutionalized these principles, outlining legal routes for citizenship through birth, descent, naturalization, and registration. However, regional challenges, particularly in Assam, highlighted the tension between legal definitions and demographic realities. Assam experienced large-scale migration from East Pakistan (later Bangladesh), which resulted in political agitation and the </w:t>
      </w:r>
      <w:r w:rsidRPr="00741A33">
        <w:rPr>
          <w:rFonts w:ascii="Times New Roman" w:hAnsi="Times New Roman" w:cs="Times New Roman"/>
          <w:b/>
          <w:bCs/>
        </w:rPr>
        <w:t>Assam Accord of 1985</w:t>
      </w:r>
      <w:r w:rsidRPr="002E6347">
        <w:rPr>
          <w:rFonts w:ascii="Times New Roman" w:hAnsi="Times New Roman" w:cs="Times New Roman"/>
        </w:rPr>
        <w:t xml:space="preserve">. This accord recognized the presence of “illegal migrants” and laid the groundwork for identifying non-citizens through documentary evidence—a framework that would later evolve into the NRC (Roy, </w:t>
      </w:r>
      <w:r w:rsidRPr="002E6347">
        <w:rPr>
          <w:rFonts w:ascii="Times New Roman" w:hAnsi="Times New Roman" w:cs="Times New Roman"/>
          <w:color w:val="EE0000"/>
        </w:rPr>
        <w:t>2020</w:t>
      </w:r>
      <w:r w:rsidRPr="002E6347">
        <w:rPr>
          <w:rFonts w:ascii="Times New Roman" w:hAnsi="Times New Roman" w:cs="Times New Roman"/>
        </w:rPr>
        <w:t>).</w:t>
      </w:r>
    </w:p>
    <w:p w14:paraId="14BF3EA0"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Subsequent legal and administrative interventions further shaped citizenship policy. Amendments to the </w:t>
      </w:r>
      <w:r w:rsidRPr="002E6347">
        <w:rPr>
          <w:rFonts w:ascii="Times New Roman" w:hAnsi="Times New Roman" w:cs="Times New Roman"/>
          <w:i/>
          <w:iCs/>
        </w:rPr>
        <w:t>Citizenship Act</w:t>
      </w:r>
      <w:r w:rsidRPr="002E6347">
        <w:rPr>
          <w:rFonts w:ascii="Times New Roman" w:hAnsi="Times New Roman" w:cs="Times New Roman"/>
        </w:rPr>
        <w:t xml:space="preserve">, debates over the inclusion of religious minorities, and the role of judicial oversight collectively reveal how the state balances constitutional ideals with political imperatives. Over time, the documentation-based approach became central to managing citizenship, but it also exposed structural inequities. Individuals without formal identity documents—often women, rural populations, and marginalized communities—face significant barriers in proving their citizenship, highlighting the intersection of legal, social, and gendered vulnerabilities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7F1CA1BB" w14:textId="7786D5A8" w:rsidR="002E6347"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In summary, the historical evolution of citizenship in India demonstrates that current controversies surrounding the NRC are rooted in long-standing tensions between legal </w:t>
      </w:r>
      <w:r w:rsidRPr="002E6347">
        <w:rPr>
          <w:rFonts w:ascii="Times New Roman" w:hAnsi="Times New Roman" w:cs="Times New Roman"/>
        </w:rPr>
        <w:lastRenderedPageBreak/>
        <w:t>definitions, bureaucratic practices, and social realities. Understanding this evolution is essential to critically assess the NRC’s impact, particularly on vulnerable populations, and to propose reforms that reconcile state requirements with constitutional values of equality and inclusion.</w:t>
      </w:r>
    </w:p>
    <w:p w14:paraId="78B2C8D5" w14:textId="5D12AA4A" w:rsidR="008E2A84" w:rsidRPr="002E6347" w:rsidRDefault="006E56F4" w:rsidP="00260AE7">
      <w:pPr>
        <w:pStyle w:val="Heading1"/>
        <w:spacing w:line="360" w:lineRule="auto"/>
        <w:jc w:val="center"/>
        <w:rPr>
          <w:rFonts w:ascii="Times New Roman" w:hAnsi="Times New Roman" w:cs="Times New Roman"/>
          <w:b/>
          <w:bCs/>
        </w:rPr>
      </w:pPr>
      <w:bookmarkStart w:id="2" w:name="_Toc215005524"/>
      <w:r w:rsidRPr="002E6347">
        <w:rPr>
          <w:rFonts w:ascii="Times New Roman" w:hAnsi="Times New Roman" w:cs="Times New Roman"/>
          <w:b/>
          <w:bCs/>
        </w:rPr>
        <w:t>THEORETICAL FRAMEWORK</w:t>
      </w:r>
      <w:bookmarkEnd w:id="2"/>
    </w:p>
    <w:p w14:paraId="1BF973EF"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Understanding the </w:t>
      </w:r>
      <w:r w:rsidRPr="00741A33">
        <w:rPr>
          <w:rFonts w:ascii="Times New Roman" w:hAnsi="Times New Roman" w:cs="Times New Roman"/>
          <w:i/>
          <w:iCs/>
        </w:rPr>
        <w:t>National Register of Citizens (NRC</w:t>
      </w:r>
      <w:r w:rsidRPr="002E6347">
        <w:rPr>
          <w:rFonts w:ascii="Times New Roman" w:hAnsi="Times New Roman" w:cs="Times New Roman"/>
        </w:rPr>
        <w:t xml:space="preserve">) requires a multi-disciplinary theoretical lens that situates citizenship within broader debates on state power, identity, and social justice. Political theorists argue that citizenship is not merely a legal category but a site of negotiation between the individual and the state, reflecting who is recognized as a legitimate member of the polity (Marshall, </w:t>
      </w:r>
      <w:r w:rsidRPr="002E6347">
        <w:rPr>
          <w:rFonts w:ascii="Times New Roman" w:hAnsi="Times New Roman" w:cs="Times New Roman"/>
          <w:color w:val="EE0000"/>
        </w:rPr>
        <w:t>1950</w:t>
      </w:r>
      <w:r w:rsidRPr="002E6347">
        <w:rPr>
          <w:rFonts w:ascii="Times New Roman" w:hAnsi="Times New Roman" w:cs="Times New Roman"/>
        </w:rPr>
        <w:t>). This perspective emphasizes the rights, duties, and social protections that accompany citizenship and the implications of denying these rights to marginalized populations.</w:t>
      </w:r>
    </w:p>
    <w:p w14:paraId="2099320A"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From a sociological perspective, citizenship functions as both a legal and social construct. Brubaker (</w:t>
      </w:r>
      <w:r w:rsidRPr="002E6347">
        <w:rPr>
          <w:rFonts w:ascii="Times New Roman" w:hAnsi="Times New Roman" w:cs="Times New Roman"/>
          <w:color w:val="EE0000"/>
        </w:rPr>
        <w:t>1992</w:t>
      </w:r>
      <w:r w:rsidRPr="002E6347">
        <w:rPr>
          <w:rFonts w:ascii="Times New Roman" w:hAnsi="Times New Roman" w:cs="Times New Roman"/>
        </w:rPr>
        <w:t xml:space="preserve">) conceptualizes citizenship as a mechanism through which states classify, categorize, and govern populations, often producing inclusion for some and exclusion for others. In the context of India’s NRC, this framework helps explain how documentation requirements disproportionately affect marginalized communities—including religious minorities, women, rural populations, and migrants—who may lack access to formal records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0C793BC7"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The concept of biopolitics, as articulated by </w:t>
      </w:r>
      <w:r w:rsidRPr="00741A33">
        <w:rPr>
          <w:rFonts w:ascii="Times New Roman" w:hAnsi="Times New Roman" w:cs="Times New Roman"/>
          <w:i/>
          <w:iCs/>
        </w:rPr>
        <w:t>Foucault (1978),</w:t>
      </w:r>
      <w:r w:rsidRPr="002E6347">
        <w:rPr>
          <w:rFonts w:ascii="Times New Roman" w:hAnsi="Times New Roman" w:cs="Times New Roman"/>
        </w:rPr>
        <w:t xml:space="preserve"> provides further analytical insight. Biopolitics examines how modern states regulate populations through administrative systems, surveillance, and regulatory practices. The NRC exemplifies biopolitical governance, wherein citizenship is operationalized through verification of birth certificates, electoral rolls, and other documents, effectively placing the state at the center of determining life, rights, and belonging. This lens also highlights the potential for bureaucratic violence, as errors or omissions in documentation can have profound consequences for individuals’ legal and social status (Roy, </w:t>
      </w:r>
      <w:r w:rsidRPr="002E6347">
        <w:rPr>
          <w:rFonts w:ascii="Times New Roman" w:hAnsi="Times New Roman" w:cs="Times New Roman"/>
          <w:color w:val="EE0000"/>
        </w:rPr>
        <w:t>2020</w:t>
      </w:r>
      <w:r w:rsidRPr="002E6347">
        <w:rPr>
          <w:rFonts w:ascii="Times New Roman" w:hAnsi="Times New Roman" w:cs="Times New Roman"/>
        </w:rPr>
        <w:t>).</w:t>
      </w:r>
    </w:p>
    <w:p w14:paraId="18FF47EA"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Human rights theory complements these approaches by emphasizing the normative obligations of the state toward its citizens. </w:t>
      </w:r>
      <w:r w:rsidRPr="002E6347">
        <w:rPr>
          <w:rFonts w:ascii="Times New Roman" w:hAnsi="Times New Roman" w:cs="Times New Roman"/>
          <w:i/>
          <w:iCs/>
        </w:rPr>
        <w:t>The Universal Declaration of Human Rights</w:t>
      </w:r>
      <w:r w:rsidRPr="002E6347">
        <w:rPr>
          <w:rFonts w:ascii="Times New Roman" w:hAnsi="Times New Roman" w:cs="Times New Roman"/>
        </w:rPr>
        <w:t xml:space="preserve"> (UDHR, </w:t>
      </w:r>
      <w:r w:rsidRPr="002E6347">
        <w:rPr>
          <w:rFonts w:ascii="Times New Roman" w:hAnsi="Times New Roman" w:cs="Times New Roman"/>
          <w:color w:val="EE0000"/>
        </w:rPr>
        <w:t>1948</w:t>
      </w:r>
      <w:r w:rsidRPr="002E6347">
        <w:rPr>
          <w:rFonts w:ascii="Times New Roman" w:hAnsi="Times New Roman" w:cs="Times New Roman"/>
        </w:rPr>
        <w:t xml:space="preserve">) and the </w:t>
      </w:r>
      <w:r w:rsidRPr="002E6347">
        <w:rPr>
          <w:rFonts w:ascii="Times New Roman" w:hAnsi="Times New Roman" w:cs="Times New Roman"/>
          <w:i/>
          <w:iCs/>
        </w:rPr>
        <w:t>International Covenant on Civil and Political Rights</w:t>
      </w:r>
      <w:r w:rsidRPr="002E6347">
        <w:rPr>
          <w:rFonts w:ascii="Times New Roman" w:hAnsi="Times New Roman" w:cs="Times New Roman"/>
        </w:rPr>
        <w:t xml:space="preserve"> (ICCPR, </w:t>
      </w:r>
      <w:r w:rsidRPr="002E6347">
        <w:rPr>
          <w:rFonts w:ascii="Times New Roman" w:hAnsi="Times New Roman" w:cs="Times New Roman"/>
          <w:color w:val="EE0000"/>
        </w:rPr>
        <w:t>1966</w:t>
      </w:r>
      <w:r w:rsidRPr="002E6347">
        <w:rPr>
          <w:rFonts w:ascii="Times New Roman" w:hAnsi="Times New Roman" w:cs="Times New Roman"/>
        </w:rPr>
        <w:t xml:space="preserve">) recognize the right to nationality as fundamental. Exclusion from the NRC, therefore, not only raises administrative </w:t>
      </w:r>
      <w:r w:rsidRPr="002E6347">
        <w:rPr>
          <w:rFonts w:ascii="Times New Roman" w:hAnsi="Times New Roman" w:cs="Times New Roman"/>
        </w:rPr>
        <w:lastRenderedPageBreak/>
        <w:t xml:space="preserve">and legal questions but also triggers concerns of statelessness, social marginalization, and violation of international norms (UNHCR, </w:t>
      </w:r>
      <w:r w:rsidRPr="002E6347">
        <w:rPr>
          <w:rFonts w:ascii="Times New Roman" w:hAnsi="Times New Roman" w:cs="Times New Roman"/>
          <w:color w:val="EE0000"/>
        </w:rPr>
        <w:t>2022</w:t>
      </w:r>
      <w:r w:rsidRPr="002E6347">
        <w:rPr>
          <w:rFonts w:ascii="Times New Roman" w:hAnsi="Times New Roman" w:cs="Times New Roman"/>
        </w:rPr>
        <w:t>).</w:t>
      </w:r>
    </w:p>
    <w:p w14:paraId="26623794" w14:textId="29C3AA5E"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Finally, </w:t>
      </w:r>
      <w:r w:rsidR="005A61F1" w:rsidRPr="005A61F1">
        <w:rPr>
          <w:rFonts w:ascii="Times New Roman" w:hAnsi="Times New Roman" w:cs="Times New Roman"/>
          <w:i/>
          <w:iCs/>
        </w:rPr>
        <w:t>Intersectionality Theory</w:t>
      </w:r>
      <w:r w:rsidR="005A61F1" w:rsidRPr="002E6347">
        <w:rPr>
          <w:rFonts w:ascii="Times New Roman" w:hAnsi="Times New Roman" w:cs="Times New Roman"/>
        </w:rPr>
        <w:t xml:space="preserve"> </w:t>
      </w:r>
      <w:r w:rsidRPr="002E6347">
        <w:rPr>
          <w:rFonts w:ascii="Times New Roman" w:hAnsi="Times New Roman" w:cs="Times New Roman"/>
        </w:rPr>
        <w:t xml:space="preserve">(Crenshaw, </w:t>
      </w:r>
      <w:r w:rsidRPr="002E6347">
        <w:rPr>
          <w:rFonts w:ascii="Times New Roman" w:hAnsi="Times New Roman" w:cs="Times New Roman"/>
          <w:color w:val="EE0000"/>
        </w:rPr>
        <w:t>1989</w:t>
      </w:r>
      <w:r w:rsidRPr="002E6347">
        <w:rPr>
          <w:rFonts w:ascii="Times New Roman" w:hAnsi="Times New Roman" w:cs="Times New Roman"/>
        </w:rPr>
        <w:t>) provides a nuanced understanding of how gender, class, religion, and regional identities interact to shape individuals’ vulnerability within citizenship verification processes. Women, particularly widows or those from rural areas, often face unique challenges in proving lineage and identity due to patrilineal documentation systems and gendered gaps in record-keeping.</w:t>
      </w:r>
    </w:p>
    <w:p w14:paraId="16702F39" w14:textId="5A833B4D" w:rsidR="002E6347"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In sum, these theoretical frameworks—citizenship theory, sociological categorization, biopolitics, human rights, and intersectionality—offer complementary perspectives to analyze the NRC. They allow scholars to interrogate not only the legal and administrative dimensions of citizenship verification but also the broader socio-political, ethical, and human rights implications for marginalized populations</w:t>
      </w:r>
      <w:r w:rsidR="002E6347" w:rsidRPr="002E6347">
        <w:rPr>
          <w:rFonts w:ascii="Times New Roman" w:hAnsi="Times New Roman" w:cs="Times New Roman"/>
        </w:rPr>
        <w:t>.</w:t>
      </w:r>
    </w:p>
    <w:p w14:paraId="6FB74DF9" w14:textId="52161DA8" w:rsidR="008370CC" w:rsidRPr="002E6347" w:rsidRDefault="006E56F4" w:rsidP="00260AE7">
      <w:pPr>
        <w:pStyle w:val="Heading1"/>
        <w:spacing w:line="360" w:lineRule="auto"/>
        <w:jc w:val="center"/>
        <w:rPr>
          <w:rFonts w:ascii="Times New Roman" w:hAnsi="Times New Roman" w:cs="Times New Roman"/>
          <w:b/>
          <w:bCs/>
        </w:rPr>
      </w:pPr>
      <w:bookmarkStart w:id="3" w:name="_Toc215005525"/>
      <w:r w:rsidRPr="002E6347">
        <w:rPr>
          <w:rFonts w:ascii="Times New Roman" w:hAnsi="Times New Roman" w:cs="Times New Roman"/>
          <w:b/>
          <w:bCs/>
        </w:rPr>
        <w:t>COMPARATIVE PERSPECTIVES ON CITIZENSHIP VERIFICATION</w:t>
      </w:r>
      <w:bookmarkEnd w:id="3"/>
    </w:p>
    <w:p w14:paraId="70096179"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While India’s NRC is often discussed in isolation, similar citizenship verification and documentation regimes exist worldwide, offering valuable comparative insights. Globally, states have increasingly relied on documentation, registries, and biometric systems to define legal membership, manage migration, and prevent statelessness. These examples reveal both administrative efficiencies and the potential for human rights violations, providing lessons for India’s ongoing debates.</w:t>
      </w:r>
    </w:p>
    <w:p w14:paraId="5423FF33"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Bangladesh offers a pertinent regional comparison. The government’s national identity cards and voter registration systems have similarly relied on documentation to establish citizenship, particularly for groups at risk of marginalization (Khan, </w:t>
      </w:r>
      <w:r w:rsidRPr="002E6347">
        <w:rPr>
          <w:rFonts w:ascii="Times New Roman" w:hAnsi="Times New Roman" w:cs="Times New Roman"/>
          <w:color w:val="EE0000"/>
        </w:rPr>
        <w:t>2023</w:t>
      </w:r>
      <w:r w:rsidRPr="002E6347">
        <w:rPr>
          <w:rFonts w:ascii="Times New Roman" w:hAnsi="Times New Roman" w:cs="Times New Roman"/>
        </w:rPr>
        <w:t>). While these measures aim to reduce fraud and improve governance, rural populations and women often face difficulties in providing formal proof, mirroring challenges observed in India’s NRC implementation.</w:t>
      </w:r>
    </w:p>
    <w:p w14:paraId="6233F465"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Myanmar represents a contrasting case with more severe consequences. The state’s exclusionary citizenship policies have rendered the Rohingya population effectively stateless, resulting in widespread human rights abuses (UNHCR, </w:t>
      </w:r>
      <w:r w:rsidRPr="002E6347">
        <w:rPr>
          <w:rFonts w:ascii="Times New Roman" w:hAnsi="Times New Roman" w:cs="Times New Roman"/>
          <w:color w:val="EE0000"/>
        </w:rPr>
        <w:t>2022</w:t>
      </w:r>
      <w:r w:rsidRPr="002E6347">
        <w:rPr>
          <w:rFonts w:ascii="Times New Roman" w:hAnsi="Times New Roman" w:cs="Times New Roman"/>
        </w:rPr>
        <w:t xml:space="preserve">). Although India’s NRC does not legally strip citizenship in the same manner, the risks of administrative exclusion, particularly </w:t>
      </w:r>
      <w:r w:rsidRPr="002E6347">
        <w:rPr>
          <w:rFonts w:ascii="Times New Roman" w:hAnsi="Times New Roman" w:cs="Times New Roman"/>
        </w:rPr>
        <w:lastRenderedPageBreak/>
        <w:t>for vulnerable groups, echo the consequences seen in Myanmar. This highlights the importance of safeguards, grievance redressal mechanisms, and inclusive documentation policies.</w:t>
      </w:r>
    </w:p>
    <w:p w14:paraId="1F9F1C31"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African experiences with nationality verification, such as in </w:t>
      </w:r>
      <w:r w:rsidRPr="005A61F1">
        <w:rPr>
          <w:rFonts w:ascii="Times New Roman" w:hAnsi="Times New Roman" w:cs="Times New Roman"/>
          <w:i/>
          <w:iCs/>
        </w:rPr>
        <w:t>Kenya</w:t>
      </w:r>
      <w:r w:rsidRPr="002E6347">
        <w:rPr>
          <w:rFonts w:ascii="Times New Roman" w:hAnsi="Times New Roman" w:cs="Times New Roman"/>
        </w:rPr>
        <w:t xml:space="preserve"> and </w:t>
      </w:r>
      <w:r w:rsidRPr="005A61F1">
        <w:rPr>
          <w:rFonts w:ascii="Times New Roman" w:hAnsi="Times New Roman" w:cs="Times New Roman"/>
          <w:i/>
          <w:iCs/>
        </w:rPr>
        <w:t>Côte d’Ivoire</w:t>
      </w:r>
      <w:r w:rsidRPr="002E6347">
        <w:rPr>
          <w:rFonts w:ascii="Times New Roman" w:hAnsi="Times New Roman" w:cs="Times New Roman"/>
        </w:rPr>
        <w:t xml:space="preserve">, further underscore the intersection of identity, politics, and documentation. In Kenya, reliance on birth certificates and national identity cards has led to the exclusion of certain ethnic groups from elections, demonstrating how bureaucratic processes can become politically charged and discriminatory (UNHCR, </w:t>
      </w:r>
      <w:r w:rsidRPr="002E6347">
        <w:rPr>
          <w:rFonts w:ascii="Times New Roman" w:hAnsi="Times New Roman" w:cs="Times New Roman"/>
          <w:color w:val="EE0000"/>
        </w:rPr>
        <w:t>2022</w:t>
      </w:r>
      <w:r w:rsidRPr="002E6347">
        <w:rPr>
          <w:rFonts w:ascii="Times New Roman" w:hAnsi="Times New Roman" w:cs="Times New Roman"/>
        </w:rPr>
        <w:t>). These cases illustrate the broader principle that citizenship verification systems, while necessary for governance, carry inherent risks of marginalization if not implemented with transparency and equity.</w:t>
      </w:r>
    </w:p>
    <w:p w14:paraId="1A77F205"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In contrast, European countries like </w:t>
      </w:r>
      <w:r w:rsidRPr="005A61F1">
        <w:rPr>
          <w:rFonts w:ascii="Times New Roman" w:hAnsi="Times New Roman" w:cs="Times New Roman"/>
          <w:i/>
          <w:iCs/>
        </w:rPr>
        <w:t>German</w:t>
      </w:r>
      <w:r w:rsidRPr="002E6347">
        <w:rPr>
          <w:rFonts w:ascii="Times New Roman" w:hAnsi="Times New Roman" w:cs="Times New Roman"/>
        </w:rPr>
        <w:t xml:space="preserve">y and </w:t>
      </w:r>
      <w:r w:rsidRPr="005A61F1">
        <w:rPr>
          <w:rFonts w:ascii="Times New Roman" w:hAnsi="Times New Roman" w:cs="Times New Roman"/>
          <w:i/>
          <w:iCs/>
        </w:rPr>
        <w:t xml:space="preserve">Denmark </w:t>
      </w:r>
      <w:r w:rsidRPr="002E6347">
        <w:rPr>
          <w:rFonts w:ascii="Times New Roman" w:hAnsi="Times New Roman" w:cs="Times New Roman"/>
        </w:rPr>
        <w:t xml:space="preserve">have implemented systematic citizenship verification as part of migration management, often paired with robust legal protections and appeals processes (Acharya &amp; Thapa, </w:t>
      </w:r>
      <w:r w:rsidRPr="002E6347">
        <w:rPr>
          <w:rFonts w:ascii="Times New Roman" w:hAnsi="Times New Roman" w:cs="Times New Roman"/>
          <w:color w:val="EE0000"/>
        </w:rPr>
        <w:t>2023</w:t>
      </w:r>
      <w:r w:rsidRPr="002E6347">
        <w:rPr>
          <w:rFonts w:ascii="Times New Roman" w:hAnsi="Times New Roman" w:cs="Times New Roman"/>
        </w:rPr>
        <w:t>). These systems highlight the importance of combining administrative efficiency with procedural fairness and human rights guarantees—lessons highly relevant to the Indian context.</w:t>
      </w:r>
    </w:p>
    <w:p w14:paraId="537C058E"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Comparatively, India’s NRC shares similarities with these global examples in its reliance on documentation and state-led verification but differs in scale, demographic complexity, and socio-political implications. The </w:t>
      </w:r>
      <w:r w:rsidRPr="005A61F1">
        <w:rPr>
          <w:rFonts w:ascii="Times New Roman" w:hAnsi="Times New Roman" w:cs="Times New Roman"/>
          <w:i/>
          <w:iCs/>
        </w:rPr>
        <w:t>Assam NR</w:t>
      </w:r>
      <w:r w:rsidRPr="002E6347">
        <w:rPr>
          <w:rFonts w:ascii="Times New Roman" w:hAnsi="Times New Roman" w:cs="Times New Roman"/>
        </w:rPr>
        <w:t xml:space="preserve">C, for instance, involved over 33 million residents, making errors and exclusions more likely (Roy, </w:t>
      </w:r>
      <w:r w:rsidRPr="002E6347">
        <w:rPr>
          <w:rFonts w:ascii="Times New Roman" w:hAnsi="Times New Roman" w:cs="Times New Roman"/>
          <w:color w:val="EE0000"/>
        </w:rPr>
        <w:t>2020</w:t>
      </w:r>
      <w:r w:rsidRPr="002E6347">
        <w:rPr>
          <w:rFonts w:ascii="Times New Roman" w:hAnsi="Times New Roman" w:cs="Times New Roman"/>
        </w:rPr>
        <w:t>). International experiences demonstrate that citizenship verification processes must balance state security concerns with the rights and dignity of all residents, particularly marginalized populations.</w:t>
      </w:r>
    </w:p>
    <w:p w14:paraId="5CF322DB"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In conclusion, comparative perspectives emphasize that the NRC is part of a global trend of documentation-based citizenship management. However, global lessons underline the necessity of procedural safeguards, inclusive policies, and rights-based frameworks to prevent exclusion and uphold constitutional and human rights commitments.</w:t>
      </w:r>
    </w:p>
    <w:p w14:paraId="1F462794" w14:textId="2E00F140" w:rsidR="0034051B" w:rsidRPr="002E6347" w:rsidRDefault="006E56F4" w:rsidP="00260AE7">
      <w:pPr>
        <w:pStyle w:val="Heading1"/>
        <w:spacing w:line="360" w:lineRule="auto"/>
        <w:jc w:val="center"/>
        <w:rPr>
          <w:rFonts w:ascii="Times New Roman" w:hAnsi="Times New Roman" w:cs="Times New Roman"/>
          <w:b/>
          <w:bCs/>
        </w:rPr>
      </w:pPr>
      <w:bookmarkStart w:id="4" w:name="_Toc215005526"/>
      <w:r w:rsidRPr="002E6347">
        <w:rPr>
          <w:rFonts w:ascii="Times New Roman" w:hAnsi="Times New Roman" w:cs="Times New Roman"/>
          <w:b/>
          <w:bCs/>
        </w:rPr>
        <w:t>LEGAL AND POLICY ANALYSIS OF CITIZENSHIP IN INDIA</w:t>
      </w:r>
      <w:bookmarkEnd w:id="4"/>
    </w:p>
    <w:p w14:paraId="1B097E85" w14:textId="61365ACA" w:rsidR="0034051B" w:rsidRPr="000C3B11" w:rsidRDefault="00063AFE" w:rsidP="000C3B11">
      <w:pPr>
        <w:pStyle w:val="Heading2"/>
        <w:rPr>
          <w:b/>
          <w:bCs/>
          <w:u w:val="single"/>
        </w:rPr>
      </w:pPr>
      <w:bookmarkStart w:id="5" w:name="_Toc215005527"/>
      <w:r w:rsidRPr="000C3B11">
        <w:rPr>
          <w:rStyle w:val="Heading2Char"/>
          <w:b/>
          <w:bCs/>
          <w:u w:val="single"/>
        </w:rPr>
        <w:t>Constitutional Provisions On Citizenship</w:t>
      </w:r>
      <w:bookmarkEnd w:id="5"/>
    </w:p>
    <w:p w14:paraId="4473B56C" w14:textId="77777777" w:rsidR="006E56F4"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Citizenship in India is constitutionally anchored under </w:t>
      </w:r>
      <w:r w:rsidRPr="005A61F1">
        <w:rPr>
          <w:rFonts w:ascii="Times New Roman" w:hAnsi="Times New Roman" w:cs="Times New Roman"/>
          <w:b/>
          <w:bCs/>
        </w:rPr>
        <w:t>Articles 5–11</w:t>
      </w:r>
      <w:r w:rsidRPr="002E6347">
        <w:rPr>
          <w:rFonts w:ascii="Times New Roman" w:hAnsi="Times New Roman" w:cs="Times New Roman"/>
        </w:rPr>
        <w:t xml:space="preserve">, which define who is recognized as a citizen at the commencement of the Constitution and the conditions for </w:t>
      </w:r>
      <w:r w:rsidRPr="002E6347">
        <w:rPr>
          <w:rFonts w:ascii="Times New Roman" w:hAnsi="Times New Roman" w:cs="Times New Roman"/>
        </w:rPr>
        <w:lastRenderedPageBreak/>
        <w:t xml:space="preserve">acquiring or losing citizenship. </w:t>
      </w:r>
      <w:r w:rsidRPr="005A61F1">
        <w:rPr>
          <w:rFonts w:ascii="Times New Roman" w:hAnsi="Times New Roman" w:cs="Times New Roman"/>
          <w:b/>
          <w:bCs/>
        </w:rPr>
        <w:t>Article 14</w:t>
      </w:r>
      <w:r w:rsidRPr="002E6347">
        <w:rPr>
          <w:rFonts w:ascii="Times New Roman" w:hAnsi="Times New Roman" w:cs="Times New Roman"/>
        </w:rPr>
        <w:t xml:space="preserve"> guarantees equality before the law and protection against discrimination, while </w:t>
      </w:r>
      <w:r w:rsidRPr="005A61F1">
        <w:rPr>
          <w:rFonts w:ascii="Times New Roman" w:hAnsi="Times New Roman" w:cs="Times New Roman"/>
          <w:b/>
          <w:bCs/>
        </w:rPr>
        <w:t>Article 15</w:t>
      </w:r>
      <w:r w:rsidRPr="002E6347">
        <w:rPr>
          <w:rFonts w:ascii="Times New Roman" w:hAnsi="Times New Roman" w:cs="Times New Roman"/>
        </w:rPr>
        <w:t xml:space="preserve"> prohibits discrimination on grounds of religion, race, caste, sex, or place of birth (Government of India, </w:t>
      </w:r>
      <w:r w:rsidRPr="002E6347">
        <w:rPr>
          <w:rFonts w:ascii="Times New Roman" w:hAnsi="Times New Roman" w:cs="Times New Roman"/>
          <w:color w:val="EE0000"/>
        </w:rPr>
        <w:t>1950</w:t>
      </w:r>
      <w:r w:rsidRPr="002E6347">
        <w:rPr>
          <w:rFonts w:ascii="Times New Roman" w:hAnsi="Times New Roman" w:cs="Times New Roman"/>
        </w:rPr>
        <w:t>). These provisions establish the normative framework ensuring that citizenship is not only a legal status but also a guarantee of rights, including participation in political life and access to state resources.</w:t>
      </w:r>
    </w:p>
    <w:p w14:paraId="3B645F30" w14:textId="79F7D5DE" w:rsidR="0034051B" w:rsidRPr="000C3B11" w:rsidRDefault="000C3B11" w:rsidP="000C3B11">
      <w:pPr>
        <w:pStyle w:val="Heading2"/>
        <w:rPr>
          <w:b/>
          <w:bCs/>
          <w:u w:val="single"/>
        </w:rPr>
      </w:pPr>
      <w:bookmarkStart w:id="6" w:name="_Toc215005528"/>
      <w:r w:rsidRPr="000C3B11">
        <w:rPr>
          <w:rStyle w:val="Heading2Char"/>
          <w:b/>
          <w:bCs/>
          <w:u w:val="single"/>
        </w:rPr>
        <w:t>The Citizenship Act, 1955 And Its Amendments</w:t>
      </w:r>
      <w:bookmarkEnd w:id="6"/>
    </w:p>
    <w:p w14:paraId="14A49433" w14:textId="77777777" w:rsidR="0034051B" w:rsidRPr="00063AFE" w:rsidRDefault="0034051B" w:rsidP="00063AFE">
      <w:pPr>
        <w:spacing w:line="360" w:lineRule="auto"/>
        <w:jc w:val="both"/>
        <w:rPr>
          <w:rFonts w:ascii="Times New Roman" w:hAnsi="Times New Roman" w:cs="Times New Roman"/>
        </w:rPr>
      </w:pPr>
      <w:r w:rsidRPr="00063AFE">
        <w:rPr>
          <w:rFonts w:ascii="Times New Roman" w:hAnsi="Times New Roman" w:cs="Times New Roman"/>
          <w:i/>
          <w:iCs/>
        </w:rPr>
        <w:t>The Citizenship Act</w:t>
      </w:r>
      <w:r w:rsidRPr="00063AFE">
        <w:rPr>
          <w:rFonts w:ascii="Times New Roman" w:hAnsi="Times New Roman" w:cs="Times New Roman"/>
        </w:rPr>
        <w:t xml:space="preserve"> of 1955 operationalizes constitutional provisions by outlining legal pathways for acquiring citizenship: by birth, descent, registration, naturalization, and incorporation of existing residents at the time of Partition. Over the years, the Act has been amended multiple times to address changing political and demographic challenges. For instance, the 1986 and 2003 amendments introduced stricter verification procedures, particularly concerning illegal migration. The </w:t>
      </w:r>
      <w:r w:rsidRPr="00063AFE">
        <w:rPr>
          <w:rFonts w:ascii="Times New Roman" w:hAnsi="Times New Roman" w:cs="Times New Roman"/>
          <w:i/>
          <w:iCs/>
        </w:rPr>
        <w:t>Citizenship (Amendment) Act, 2019</w:t>
      </w:r>
      <w:r w:rsidRPr="00063AFE">
        <w:rPr>
          <w:rFonts w:ascii="Times New Roman" w:hAnsi="Times New Roman" w:cs="Times New Roman"/>
        </w:rPr>
        <w:t xml:space="preserve"> (CAA) further complicated the landscape by providing fast-track citizenship to certain religious minorities from neighboring countries, explicitly excluding </w:t>
      </w:r>
      <w:r w:rsidRPr="005A61F1">
        <w:rPr>
          <w:rFonts w:ascii="Times New Roman" w:hAnsi="Times New Roman" w:cs="Times New Roman"/>
          <w:i/>
          <w:iCs/>
        </w:rPr>
        <w:t>Muslims</w:t>
      </w:r>
      <w:r w:rsidRPr="00063AFE">
        <w:rPr>
          <w:rFonts w:ascii="Times New Roman" w:hAnsi="Times New Roman" w:cs="Times New Roman"/>
        </w:rPr>
        <w:t xml:space="preserve">, thereby generating significant legal and social debate (Bhagat, </w:t>
      </w:r>
      <w:r w:rsidRPr="00063AFE">
        <w:rPr>
          <w:rFonts w:ascii="Times New Roman" w:hAnsi="Times New Roman" w:cs="Times New Roman"/>
          <w:color w:val="EE0000"/>
        </w:rPr>
        <w:t>2020</w:t>
      </w:r>
      <w:r w:rsidRPr="00063AFE">
        <w:rPr>
          <w:rFonts w:ascii="Times New Roman" w:hAnsi="Times New Roman" w:cs="Times New Roman"/>
        </w:rPr>
        <w:t xml:space="preserve">; Roy, </w:t>
      </w:r>
      <w:r w:rsidRPr="00063AFE">
        <w:rPr>
          <w:rFonts w:ascii="Times New Roman" w:hAnsi="Times New Roman" w:cs="Times New Roman"/>
          <w:color w:val="EE0000"/>
        </w:rPr>
        <w:t>2020</w:t>
      </w:r>
      <w:r w:rsidRPr="00063AFE">
        <w:rPr>
          <w:rFonts w:ascii="Times New Roman" w:hAnsi="Times New Roman" w:cs="Times New Roman"/>
        </w:rPr>
        <w:t>).</w:t>
      </w:r>
    </w:p>
    <w:p w14:paraId="19C65AFC"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These amendments are closely linked to the NRC. While the NRC focuses on Assam, verifying the legal citizenship of residents, the CAA creates a parallel pathway for some migrants. The intersection of these laws raises questions about legal equality, secularism, and administrative feasibility (Agarwala &amp; Das, </w:t>
      </w:r>
      <w:r w:rsidRPr="002E6347">
        <w:rPr>
          <w:rFonts w:ascii="Times New Roman" w:hAnsi="Times New Roman" w:cs="Times New Roman"/>
          <w:color w:val="EE0000"/>
        </w:rPr>
        <w:t>2021</w:t>
      </w:r>
      <w:r w:rsidRPr="002E6347">
        <w:rPr>
          <w:rFonts w:ascii="Times New Roman" w:hAnsi="Times New Roman" w:cs="Times New Roman"/>
        </w:rPr>
        <w:t>).</w:t>
      </w:r>
    </w:p>
    <w:p w14:paraId="4FED7DD0" w14:textId="3A21F7DD" w:rsidR="0034051B" w:rsidRPr="00063AFE" w:rsidRDefault="00063AFE" w:rsidP="000C3B11">
      <w:pPr>
        <w:pStyle w:val="Heading2"/>
        <w:rPr>
          <w:rStyle w:val="Heading2Char"/>
          <w:rFonts w:ascii="Times New Roman" w:hAnsi="Times New Roman" w:cs="Times New Roman"/>
          <w:b/>
          <w:bCs/>
          <w:u w:val="single"/>
        </w:rPr>
      </w:pPr>
      <w:bookmarkStart w:id="7" w:name="_Toc215005529"/>
      <w:r w:rsidRPr="00063AFE">
        <w:rPr>
          <w:rStyle w:val="Heading2Char"/>
          <w:rFonts w:ascii="Times New Roman" w:hAnsi="Times New Roman" w:cs="Times New Roman"/>
          <w:b/>
          <w:bCs/>
          <w:u w:val="single"/>
        </w:rPr>
        <w:t xml:space="preserve">Assam Accord And </w:t>
      </w:r>
      <w:r w:rsidR="00D13425" w:rsidRPr="00063AFE">
        <w:rPr>
          <w:rStyle w:val="Heading2Char"/>
          <w:rFonts w:ascii="Times New Roman" w:hAnsi="Times New Roman" w:cs="Times New Roman"/>
          <w:b/>
          <w:bCs/>
          <w:u w:val="single"/>
        </w:rPr>
        <w:t>NRC</w:t>
      </w:r>
      <w:r w:rsidRPr="00063AFE">
        <w:rPr>
          <w:rStyle w:val="Heading2Char"/>
          <w:rFonts w:ascii="Times New Roman" w:hAnsi="Times New Roman" w:cs="Times New Roman"/>
          <w:b/>
          <w:bCs/>
          <w:u w:val="single"/>
        </w:rPr>
        <w:t xml:space="preserve"> Implementation</w:t>
      </w:r>
      <w:bookmarkEnd w:id="7"/>
    </w:p>
    <w:p w14:paraId="7FAE1F27" w14:textId="55A653A8"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 </w:t>
      </w:r>
      <w:r w:rsidRPr="005A61F1">
        <w:rPr>
          <w:rFonts w:ascii="Times New Roman" w:hAnsi="Times New Roman" w:cs="Times New Roman"/>
          <w:i/>
          <w:iCs/>
        </w:rPr>
        <w:t>Assam Accord of 1985</w:t>
      </w:r>
      <w:r w:rsidRPr="002E6347">
        <w:rPr>
          <w:rFonts w:ascii="Times New Roman" w:hAnsi="Times New Roman" w:cs="Times New Roman"/>
        </w:rPr>
        <w:t xml:space="preserve"> was a landmark agreement between the Indian government and political organizations in Assam to address the influx of migrants from East </w:t>
      </w:r>
      <w:r w:rsidRPr="005A61F1">
        <w:rPr>
          <w:rFonts w:ascii="Times New Roman" w:hAnsi="Times New Roman" w:cs="Times New Roman"/>
          <w:i/>
          <w:iCs/>
        </w:rPr>
        <w:t>Pakistan/Bangladesh</w:t>
      </w:r>
      <w:r w:rsidRPr="002E6347">
        <w:rPr>
          <w:rFonts w:ascii="Times New Roman" w:hAnsi="Times New Roman" w:cs="Times New Roman"/>
        </w:rPr>
        <w:t xml:space="preserve">. The Accord stipulated that individuals entering Assam after March 25, 1971, without proper documents would be considered illegal immigrants and barred from citizenship (Roy, </w:t>
      </w:r>
      <w:r w:rsidRPr="002E6347">
        <w:rPr>
          <w:rFonts w:ascii="Times New Roman" w:hAnsi="Times New Roman" w:cs="Times New Roman"/>
          <w:color w:val="EE0000"/>
        </w:rPr>
        <w:t>2020</w:t>
      </w:r>
      <w:r w:rsidRPr="002E6347">
        <w:rPr>
          <w:rFonts w:ascii="Times New Roman" w:hAnsi="Times New Roman" w:cs="Times New Roman"/>
        </w:rPr>
        <w:t>).</w:t>
      </w:r>
    </w:p>
    <w:p w14:paraId="55EE111B"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 NRC process, first initiated in 2013 and updated in 2019, aimed to identify residents who could not prove citizenship. Over 1.9 million people were excluded from the final NRC list, highlighting administrative challenges such as incomplete documentation, errors in verification, and lack of accessible grievance mechanisms (UNHCR, </w:t>
      </w:r>
      <w:r w:rsidRPr="002E6347">
        <w:rPr>
          <w:rFonts w:ascii="Times New Roman" w:hAnsi="Times New Roman" w:cs="Times New Roman"/>
          <w:color w:val="EE0000"/>
        </w:rPr>
        <w:t>2022</w:t>
      </w:r>
      <w:r w:rsidRPr="002E6347">
        <w:rPr>
          <w:rFonts w:ascii="Times New Roman" w:hAnsi="Times New Roman" w:cs="Times New Roman"/>
        </w:rPr>
        <w:t>). These exclusions disproportionately impacted marginalized groups, including women, poor rural residents, and minority communities, who often rely on informal identity proofs.</w:t>
      </w:r>
    </w:p>
    <w:p w14:paraId="48AC10AD" w14:textId="19410374" w:rsidR="0034051B" w:rsidRPr="000C3B11" w:rsidRDefault="000C3B11" w:rsidP="000C3B11">
      <w:pPr>
        <w:pStyle w:val="Heading2"/>
        <w:rPr>
          <w:b/>
          <w:bCs/>
          <w:u w:val="single"/>
        </w:rPr>
      </w:pPr>
      <w:bookmarkStart w:id="8" w:name="_Toc215005530"/>
      <w:r w:rsidRPr="000C3B11">
        <w:rPr>
          <w:rStyle w:val="Heading2Char"/>
          <w:b/>
          <w:bCs/>
          <w:u w:val="single"/>
        </w:rPr>
        <w:lastRenderedPageBreak/>
        <w:t>Judicial Oversight And Case Law</w:t>
      </w:r>
      <w:bookmarkEnd w:id="8"/>
    </w:p>
    <w:p w14:paraId="41BD41C6" w14:textId="553B797A" w:rsidR="0034051B" w:rsidRPr="002E6347" w:rsidRDefault="0034051B" w:rsidP="002E6347">
      <w:pPr>
        <w:spacing w:line="360" w:lineRule="auto"/>
        <w:ind w:left="45"/>
        <w:jc w:val="both"/>
        <w:rPr>
          <w:rFonts w:ascii="Times New Roman" w:hAnsi="Times New Roman" w:cs="Times New Roman"/>
        </w:rPr>
      </w:pPr>
      <w:r w:rsidRPr="002E6347">
        <w:rPr>
          <w:rFonts w:ascii="Times New Roman" w:hAnsi="Times New Roman" w:cs="Times New Roman"/>
        </w:rPr>
        <w:t xml:space="preserve">Indian courts have played a critical role in interpreting and enforcing citizenship laws. The Supreme Court has overseen the NRC process in Assam to ensure transparency and compliance with procedural norms. In </w:t>
      </w:r>
      <w:r w:rsidRPr="00D13425">
        <w:rPr>
          <w:rFonts w:ascii="Times New Roman" w:hAnsi="Times New Roman" w:cs="Times New Roman"/>
          <w:i/>
          <w:iCs/>
        </w:rPr>
        <w:t>Gauhati High Court</w:t>
      </w:r>
      <w:r w:rsidRPr="002E6347">
        <w:rPr>
          <w:rFonts w:ascii="Times New Roman" w:hAnsi="Times New Roman" w:cs="Times New Roman"/>
        </w:rPr>
        <w:t xml:space="preserve"> cases, courts emphasized that exclusion from the NRC should not automatically render an individual stateless and that adequate appeals mechanisms must exist (Roy, </w:t>
      </w:r>
      <w:r w:rsidRPr="002E6347">
        <w:rPr>
          <w:rFonts w:ascii="Times New Roman" w:hAnsi="Times New Roman" w:cs="Times New Roman"/>
          <w:color w:val="EE0000"/>
        </w:rPr>
        <w:t>2020</w:t>
      </w:r>
      <w:r w:rsidRPr="002E6347">
        <w:rPr>
          <w:rFonts w:ascii="Times New Roman" w:hAnsi="Times New Roman" w:cs="Times New Roman"/>
        </w:rPr>
        <w:t>).</w:t>
      </w:r>
    </w:p>
    <w:p w14:paraId="14910F5E"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Furthermore, courts have intervened in cases of women and marginalized groups who lacked documentary proof, stressing gender-sensitive approaches. These judicial pronouncements illustrate how the judiciary functions as a corrective mechanism against potential administrative overreach while ensuring compliance with constitutional guarantees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5B3228DE" w14:textId="361A9266" w:rsidR="0034051B" w:rsidRPr="00063AFE" w:rsidRDefault="00063AFE" w:rsidP="000C3B11">
      <w:pPr>
        <w:pStyle w:val="Heading2"/>
      </w:pPr>
      <w:bookmarkStart w:id="9" w:name="_Toc215005531"/>
      <w:r w:rsidRPr="00063AFE">
        <w:rPr>
          <w:rStyle w:val="Heading2Char"/>
          <w:rFonts w:ascii="Times New Roman" w:hAnsi="Times New Roman" w:cs="Times New Roman"/>
          <w:b/>
          <w:bCs/>
          <w:u w:val="single"/>
        </w:rPr>
        <w:t>Critiques And Human Rights Concerns</w:t>
      </w:r>
      <w:bookmarkEnd w:id="9"/>
    </w:p>
    <w:p w14:paraId="64B2209D" w14:textId="004F0DE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Critics argue that the NRC and related amendments, particularly when combined with the CAA, risk undermining the fundamental principle of equality enshrined in the Constitution. International human rights frameworks, including the </w:t>
      </w:r>
      <w:r w:rsidRPr="005A61F1">
        <w:rPr>
          <w:rFonts w:ascii="Times New Roman" w:hAnsi="Times New Roman" w:cs="Times New Roman"/>
          <w:b/>
          <w:bCs/>
          <w:i/>
          <w:iCs/>
        </w:rPr>
        <w:t>UDHR (</w:t>
      </w:r>
      <w:r w:rsidRPr="005A61F1">
        <w:rPr>
          <w:rFonts w:ascii="Times New Roman" w:hAnsi="Times New Roman" w:cs="Times New Roman"/>
          <w:b/>
          <w:bCs/>
          <w:i/>
          <w:iCs/>
          <w:color w:val="0D0D0D" w:themeColor="text1" w:themeTint="F2"/>
        </w:rPr>
        <w:t>1948</w:t>
      </w:r>
      <w:r w:rsidRPr="005A61F1">
        <w:rPr>
          <w:rFonts w:ascii="Times New Roman" w:hAnsi="Times New Roman" w:cs="Times New Roman"/>
          <w:color w:val="0D0D0D" w:themeColor="text1" w:themeTint="F2"/>
        </w:rPr>
        <w:t>)</w:t>
      </w:r>
      <w:r w:rsidRPr="002E6347">
        <w:rPr>
          <w:rFonts w:ascii="Times New Roman" w:hAnsi="Times New Roman" w:cs="Times New Roman"/>
        </w:rPr>
        <w:t xml:space="preserve"> and </w:t>
      </w:r>
      <w:r w:rsidRPr="005A61F1">
        <w:rPr>
          <w:rFonts w:ascii="Times New Roman" w:hAnsi="Times New Roman" w:cs="Times New Roman"/>
          <w:b/>
          <w:bCs/>
          <w:i/>
          <w:iCs/>
        </w:rPr>
        <w:t>ICCPR (1966),</w:t>
      </w:r>
      <w:r w:rsidRPr="002E6347">
        <w:rPr>
          <w:rFonts w:ascii="Times New Roman" w:hAnsi="Times New Roman" w:cs="Times New Roman"/>
        </w:rPr>
        <w:t xml:space="preserve"> emphasize the right to nationality and protection against statelessness </w:t>
      </w:r>
      <w:r w:rsidRPr="005A61F1">
        <w:rPr>
          <w:rFonts w:ascii="Times New Roman" w:hAnsi="Times New Roman" w:cs="Times New Roman"/>
          <w:i/>
          <w:iCs/>
        </w:rPr>
        <w:t>(</w:t>
      </w:r>
      <w:r w:rsidRPr="005A61F1">
        <w:rPr>
          <w:rFonts w:ascii="Times New Roman" w:hAnsi="Times New Roman" w:cs="Times New Roman"/>
          <w:b/>
          <w:bCs/>
          <w:i/>
          <w:iCs/>
        </w:rPr>
        <w:t xml:space="preserve">UNHCR, </w:t>
      </w:r>
      <w:r w:rsidRPr="005A61F1">
        <w:rPr>
          <w:rFonts w:ascii="Times New Roman" w:hAnsi="Times New Roman" w:cs="Times New Roman"/>
          <w:b/>
          <w:bCs/>
          <w:i/>
          <w:iCs/>
          <w:color w:val="FF0000"/>
        </w:rPr>
        <w:t>2022</w:t>
      </w:r>
      <w:r w:rsidRPr="005A61F1">
        <w:rPr>
          <w:rFonts w:ascii="Times New Roman" w:hAnsi="Times New Roman" w:cs="Times New Roman"/>
          <w:i/>
          <w:iCs/>
          <w:color w:val="FF0000"/>
        </w:rPr>
        <w:t>)</w:t>
      </w:r>
      <w:r w:rsidRPr="005A61F1">
        <w:rPr>
          <w:rFonts w:ascii="Times New Roman" w:hAnsi="Times New Roman" w:cs="Times New Roman"/>
          <w:i/>
          <w:iCs/>
        </w:rPr>
        <w:t>.</w:t>
      </w:r>
      <w:r w:rsidRPr="002E6347">
        <w:rPr>
          <w:rFonts w:ascii="Times New Roman" w:hAnsi="Times New Roman" w:cs="Times New Roman"/>
        </w:rPr>
        <w:t xml:space="preserve"> Administrative exclusion, especially of women and socially disadvantaged communities, exposes systemic inequities.</w:t>
      </w:r>
    </w:p>
    <w:p w14:paraId="1EF77983" w14:textId="246E588A" w:rsidR="002E6347"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Intersectional analyses reveal that women face unique hurdles, such as missing documentation for marriage, inheritance, or patrilineal records, while rural populations may lack birth registration altogether. The legal framework, therefore, must incorporate procedural safeguards, outreach mechanisms, and social support systems to prevent administrative exclusion from translating into social and political marginalization (Crenshaw, </w:t>
      </w:r>
      <w:r w:rsidRPr="002E6347">
        <w:rPr>
          <w:rFonts w:ascii="Times New Roman" w:hAnsi="Times New Roman" w:cs="Times New Roman"/>
          <w:color w:val="EE0000"/>
        </w:rPr>
        <w:t>1989</w:t>
      </w:r>
      <w:r w:rsidRPr="002E6347">
        <w:rPr>
          <w:rFonts w:ascii="Times New Roman" w:hAnsi="Times New Roman" w:cs="Times New Roman"/>
        </w:rPr>
        <w:t xml:space="preserve">; Agarwala &amp; Das, </w:t>
      </w:r>
      <w:r w:rsidRPr="002E6347">
        <w:rPr>
          <w:rFonts w:ascii="Times New Roman" w:hAnsi="Times New Roman" w:cs="Times New Roman"/>
          <w:color w:val="EE0000"/>
        </w:rPr>
        <w:t>2021</w:t>
      </w:r>
      <w:r w:rsidRPr="002E6347">
        <w:rPr>
          <w:rFonts w:ascii="Times New Roman" w:hAnsi="Times New Roman" w:cs="Times New Roman"/>
        </w:rPr>
        <w:t>).</w:t>
      </w:r>
    </w:p>
    <w:p w14:paraId="691C595A" w14:textId="3D5AEC47" w:rsidR="00FB2B7C" w:rsidRPr="002E6347" w:rsidRDefault="00F003A8" w:rsidP="00260AE7">
      <w:pPr>
        <w:pStyle w:val="Heading1"/>
        <w:spacing w:line="360" w:lineRule="auto"/>
        <w:jc w:val="center"/>
        <w:rPr>
          <w:rFonts w:ascii="Times New Roman" w:hAnsi="Times New Roman" w:cs="Times New Roman"/>
        </w:rPr>
      </w:pPr>
      <w:bookmarkStart w:id="10" w:name="_Toc215005532"/>
      <w:r w:rsidRPr="002E6347">
        <w:rPr>
          <w:rStyle w:val="Strong"/>
          <w:rFonts w:ascii="Times New Roman" w:hAnsi="Times New Roman" w:cs="Times New Roman"/>
        </w:rPr>
        <w:t>SOCIO-POLITICAL IMPLICATIONS AND GENDERED IMPACT OF THE NRC</w:t>
      </w:r>
      <w:bookmarkEnd w:id="10"/>
    </w:p>
    <w:p w14:paraId="7F9CD185" w14:textId="7CF5DEDD" w:rsidR="00FB2B7C" w:rsidRPr="002E6347" w:rsidRDefault="000C3B11" w:rsidP="000C3B11">
      <w:pPr>
        <w:pStyle w:val="Heading2"/>
        <w:rPr>
          <w:rFonts w:eastAsia="Times New Roman"/>
        </w:rPr>
      </w:pPr>
      <w:bookmarkStart w:id="11" w:name="_Toc215005533"/>
      <w:r w:rsidRPr="002E6347">
        <w:rPr>
          <w:rStyle w:val="Heading2Char"/>
          <w:rFonts w:ascii="Times New Roman" w:hAnsi="Times New Roman" w:cs="Times New Roman"/>
          <w:b/>
          <w:bCs/>
          <w:u w:val="single"/>
        </w:rPr>
        <w:t>Impact On Vulnerable Communities</w:t>
      </w:r>
      <w:bookmarkEnd w:id="11"/>
    </w:p>
    <w:p w14:paraId="3E1ED6E0" w14:textId="77777777" w:rsidR="00FB2B7C" w:rsidRPr="002E6347" w:rsidRDefault="00FB2B7C" w:rsidP="002E6347">
      <w:pPr>
        <w:pStyle w:val="NormalWeb"/>
        <w:spacing w:line="360" w:lineRule="auto"/>
        <w:jc w:val="both"/>
      </w:pPr>
      <w:r w:rsidRPr="002E6347">
        <w:t xml:space="preserve">The implementation of the NRC has revealed significant social and political repercussions, particularly for marginalized populations. Exclusion from the NRC not only threatens legal </w:t>
      </w:r>
      <w:r w:rsidRPr="002E6347">
        <w:lastRenderedPageBreak/>
        <w:t xml:space="preserve">recognition but also restricts access to public services such as education, healthcare, and employment (Roy, </w:t>
      </w:r>
      <w:r w:rsidRPr="002E6347">
        <w:rPr>
          <w:color w:val="EE0000"/>
        </w:rPr>
        <w:t>2020</w:t>
      </w:r>
      <w:r w:rsidRPr="002E6347">
        <w:t xml:space="preserve">). Religious minorities, economically disadvantaged groups, and migrants from rural areas are disproportionately affected due to lack of proper documentation or bureaucratic literacy (Agarwala &amp; Das, </w:t>
      </w:r>
      <w:r w:rsidRPr="002E6347">
        <w:rPr>
          <w:color w:val="EE0000"/>
        </w:rPr>
        <w:t>2021</w:t>
      </w:r>
      <w:r w:rsidRPr="002E6347">
        <w:t>).</w:t>
      </w:r>
    </w:p>
    <w:p w14:paraId="40261715" w14:textId="77777777" w:rsidR="00FB2B7C" w:rsidRPr="002E6347" w:rsidRDefault="00FB2B7C" w:rsidP="002E6347">
      <w:pPr>
        <w:pStyle w:val="NormalWeb"/>
        <w:spacing w:line="360" w:lineRule="auto"/>
        <w:jc w:val="both"/>
      </w:pPr>
      <w:r w:rsidRPr="002E6347">
        <w:t xml:space="preserve">The socio-political consequences are amplified in Assam, where over 1.9 million residents were left out of the NRC. Excluded individuals face not only administrative uncertainty but also social stigmatization and political marginalization, creating tensions within communities and increasing vulnerability to exploitation (Bhagat, </w:t>
      </w:r>
      <w:r w:rsidRPr="002E6347">
        <w:rPr>
          <w:color w:val="EE0000"/>
        </w:rPr>
        <w:t>2020</w:t>
      </w:r>
      <w:r w:rsidRPr="002E6347">
        <w:t>).</w:t>
      </w:r>
    </w:p>
    <w:p w14:paraId="105053F4" w14:textId="7D3CF0B0" w:rsidR="00FB2B7C" w:rsidRPr="002E6347" w:rsidRDefault="00063AFE" w:rsidP="000C3B11">
      <w:pPr>
        <w:pStyle w:val="Heading2"/>
        <w:rPr>
          <w:rStyle w:val="Heading2Char"/>
          <w:rFonts w:ascii="Times New Roman" w:hAnsi="Times New Roman" w:cs="Times New Roman"/>
          <w:b/>
          <w:bCs/>
          <w:u w:val="single"/>
        </w:rPr>
      </w:pPr>
      <w:bookmarkStart w:id="12" w:name="_Toc215005534"/>
      <w:r w:rsidRPr="002E6347">
        <w:rPr>
          <w:rStyle w:val="Heading2Char"/>
          <w:rFonts w:ascii="Times New Roman" w:hAnsi="Times New Roman" w:cs="Times New Roman"/>
          <w:b/>
          <w:bCs/>
          <w:u w:val="single"/>
        </w:rPr>
        <w:t>Gendered Challenges</w:t>
      </w:r>
      <w:bookmarkEnd w:id="12"/>
    </w:p>
    <w:p w14:paraId="74B16A84" w14:textId="77777777" w:rsidR="00FB2B7C" w:rsidRPr="002E6347" w:rsidRDefault="00FB2B7C" w:rsidP="002E6347">
      <w:pPr>
        <w:pStyle w:val="NormalWeb"/>
        <w:spacing w:line="360" w:lineRule="auto"/>
        <w:jc w:val="both"/>
      </w:pPr>
      <w:r w:rsidRPr="002E6347">
        <w:t xml:space="preserve">Women face unique challenges in proving citizenship. Patrilineal documentation systems, reliance on husband or father’s records, and barriers to accessing legal documents exacerbate gender disparities. Widows, single mothers, and women from marginalized communities often find it difficult to provide the required evidence, placing them at a higher risk of exclusion (Crenshaw, 1989; Agarwala &amp; Das, </w:t>
      </w:r>
      <w:r w:rsidRPr="002E6347">
        <w:rPr>
          <w:color w:val="EE0000"/>
        </w:rPr>
        <w:t>2021</w:t>
      </w:r>
      <w:r w:rsidRPr="002E6347">
        <w:t>).</w:t>
      </w:r>
    </w:p>
    <w:p w14:paraId="5550309B" w14:textId="77777777" w:rsidR="00FB2B7C" w:rsidRPr="002E6347" w:rsidRDefault="00FB2B7C" w:rsidP="002E6347">
      <w:pPr>
        <w:pStyle w:val="NormalWeb"/>
        <w:spacing w:line="360" w:lineRule="auto"/>
        <w:jc w:val="both"/>
      </w:pPr>
      <w:r w:rsidRPr="002E6347">
        <w:t xml:space="preserve">Additionally, gendered vulnerabilities intersect with socio-economic status. Poor women in rural areas may lack birth certificates or ration cards, which are critical for NRC verification. Exclusion from citizenship not only threatens legal status but can also impede women’s access to inheritance rights, government schemes, and political participation (UNHCR, </w:t>
      </w:r>
      <w:r w:rsidRPr="002E6347">
        <w:rPr>
          <w:color w:val="EE0000"/>
        </w:rPr>
        <w:t>2022</w:t>
      </w:r>
      <w:r w:rsidRPr="002E6347">
        <w:t>).</w:t>
      </w:r>
    </w:p>
    <w:p w14:paraId="568BEABD" w14:textId="67941815" w:rsidR="00F003A8" w:rsidRPr="00063AFE" w:rsidRDefault="00063AFE" w:rsidP="00063AFE">
      <w:pPr>
        <w:pStyle w:val="Heading2"/>
        <w:rPr>
          <w:rStyle w:val="Strong"/>
          <w:rFonts w:ascii="Times New Roman" w:eastAsia="Times New Roman" w:hAnsi="Times New Roman" w:cs="Times New Roman"/>
          <w:b w:val="0"/>
          <w:bCs w:val="0"/>
          <w:u w:val="single"/>
        </w:rPr>
      </w:pPr>
      <w:bookmarkStart w:id="13" w:name="_Toc215005535"/>
      <w:r w:rsidRPr="00063AFE">
        <w:rPr>
          <w:rStyle w:val="Strong"/>
          <w:rFonts w:ascii="Times New Roman" w:eastAsia="Times New Roman" w:hAnsi="Times New Roman" w:cs="Times New Roman"/>
          <w:u w:val="single"/>
        </w:rPr>
        <w:t>Political Implications</w:t>
      </w:r>
      <w:bookmarkEnd w:id="13"/>
    </w:p>
    <w:p w14:paraId="50AB4190" w14:textId="1D86C6F8" w:rsidR="00FB2B7C" w:rsidRPr="002E6347" w:rsidRDefault="00FB2B7C" w:rsidP="002E6347">
      <w:pPr>
        <w:spacing w:line="360" w:lineRule="auto"/>
        <w:jc w:val="both"/>
        <w:rPr>
          <w:rFonts w:ascii="Times New Roman" w:eastAsia="Times New Roman" w:hAnsi="Times New Roman" w:cs="Times New Roman"/>
        </w:rPr>
      </w:pPr>
      <w:r w:rsidRPr="002E6347">
        <w:rPr>
          <w:rFonts w:ascii="Times New Roman" w:hAnsi="Times New Roman" w:cs="Times New Roman"/>
        </w:rPr>
        <w:t xml:space="preserve">The </w:t>
      </w:r>
      <w:r w:rsidRPr="005A61F1">
        <w:rPr>
          <w:rFonts w:ascii="Times New Roman" w:hAnsi="Times New Roman" w:cs="Times New Roman"/>
          <w:b/>
          <w:bCs/>
        </w:rPr>
        <w:t>NRC</w:t>
      </w:r>
      <w:r w:rsidRPr="002E6347">
        <w:rPr>
          <w:rFonts w:ascii="Times New Roman" w:hAnsi="Times New Roman" w:cs="Times New Roman"/>
        </w:rPr>
        <w:t xml:space="preserve"> and </w:t>
      </w:r>
      <w:r w:rsidRPr="005A61F1">
        <w:rPr>
          <w:rFonts w:ascii="Times New Roman" w:hAnsi="Times New Roman" w:cs="Times New Roman"/>
          <w:b/>
          <w:bCs/>
        </w:rPr>
        <w:t xml:space="preserve">CAA </w:t>
      </w:r>
      <w:r w:rsidRPr="002E6347">
        <w:rPr>
          <w:rFonts w:ascii="Times New Roman" w:hAnsi="Times New Roman" w:cs="Times New Roman"/>
        </w:rPr>
        <w:t xml:space="preserve">have fueled political mobilization and protest, highlighting the deep connection between citizenship, identity, and governance. Political parties and civil society groups have debated the moral, legal, and ethical dimensions of these policies, reflecting broader questions about inclusion, secularism, and minority rights (Roy, </w:t>
      </w:r>
      <w:r w:rsidRPr="002E6347">
        <w:rPr>
          <w:rFonts w:ascii="Times New Roman" w:hAnsi="Times New Roman" w:cs="Times New Roman"/>
          <w:color w:val="EE0000"/>
        </w:rPr>
        <w:t>2020</w:t>
      </w:r>
      <w:r w:rsidRPr="002E6347">
        <w:rPr>
          <w:rFonts w:ascii="Times New Roman" w:hAnsi="Times New Roman" w:cs="Times New Roman"/>
        </w:rPr>
        <w:t>).</w:t>
      </w:r>
    </w:p>
    <w:p w14:paraId="54FF193D" w14:textId="77777777" w:rsidR="00FB2B7C" w:rsidRPr="002E6347" w:rsidRDefault="00FB2B7C" w:rsidP="002E6347">
      <w:pPr>
        <w:pStyle w:val="NormalWeb"/>
        <w:spacing w:line="360" w:lineRule="auto"/>
        <w:jc w:val="both"/>
      </w:pPr>
      <w:r w:rsidRPr="002E6347">
        <w:t xml:space="preserve">Furthermore, the administrative challenges of implementing the NRC on a large scale—such as data verification, appeals processes, and preventing errors—underscore the risk of political backlash and social unrest. These challenges also raise questions about the legitimacy and efficiency of the state in protecting fundamental rights (Bhagat, </w:t>
      </w:r>
      <w:r w:rsidRPr="002E6347">
        <w:rPr>
          <w:color w:val="EE0000"/>
        </w:rPr>
        <w:t>2020</w:t>
      </w:r>
      <w:r w:rsidRPr="002E6347">
        <w:t>).</w:t>
      </w:r>
    </w:p>
    <w:p w14:paraId="59781EE9" w14:textId="0489085C" w:rsidR="00FB2B7C" w:rsidRPr="000C3B11" w:rsidRDefault="00063AFE" w:rsidP="000C3B11">
      <w:pPr>
        <w:pStyle w:val="Heading2"/>
        <w:rPr>
          <w:u w:val="single"/>
        </w:rPr>
      </w:pPr>
      <w:bookmarkStart w:id="14" w:name="_Toc215005536"/>
      <w:r w:rsidRPr="000C3B11">
        <w:rPr>
          <w:rStyle w:val="Strong"/>
          <w:u w:val="single"/>
        </w:rPr>
        <w:lastRenderedPageBreak/>
        <w:t>Lessons From Intersectional Analysis</w:t>
      </w:r>
      <w:bookmarkEnd w:id="14"/>
    </w:p>
    <w:p w14:paraId="7046C41B" w14:textId="77777777" w:rsidR="00FB2B7C" w:rsidRPr="002E6347" w:rsidRDefault="00FB2B7C" w:rsidP="002E6347">
      <w:pPr>
        <w:pStyle w:val="NormalWeb"/>
        <w:spacing w:line="360" w:lineRule="auto"/>
        <w:jc w:val="both"/>
      </w:pPr>
      <w:r w:rsidRPr="002E6347">
        <w:t xml:space="preserve">Intersectionality theory offers critical insights into the layered vulnerabilities created by NRC processes. </w:t>
      </w:r>
      <w:r w:rsidRPr="005A61F1">
        <w:rPr>
          <w:i/>
          <w:iCs/>
        </w:rPr>
        <w:t>Women, religious minorities</w:t>
      </w:r>
      <w:r w:rsidRPr="002E6347">
        <w:t xml:space="preserve">, and </w:t>
      </w:r>
      <w:r w:rsidRPr="005A61F1">
        <w:rPr>
          <w:i/>
          <w:iCs/>
        </w:rPr>
        <w:t>economically disadvantaged</w:t>
      </w:r>
      <w:r w:rsidRPr="002E6347">
        <w:t xml:space="preserve"> populations experience compounded risks due to overlapping social identities (Crenshaw, </w:t>
      </w:r>
      <w:r w:rsidRPr="002E6347">
        <w:rPr>
          <w:color w:val="EE0000"/>
        </w:rPr>
        <w:t>1989</w:t>
      </w:r>
      <w:r w:rsidRPr="002E6347">
        <w:t>). Recognizing these intersections is crucial for designing equitable policies, improving documentation access, and implementing grievance redressal mechanisms that minimize exclusion.</w:t>
      </w:r>
    </w:p>
    <w:p w14:paraId="65DE3C7D" w14:textId="77777777" w:rsidR="00FB2B7C" w:rsidRPr="002E6347" w:rsidRDefault="00FB2B7C" w:rsidP="002E6347">
      <w:pPr>
        <w:pStyle w:val="NormalWeb"/>
        <w:spacing w:line="360" w:lineRule="auto"/>
        <w:jc w:val="both"/>
      </w:pPr>
      <w:r w:rsidRPr="002E6347">
        <w:t>In summary, the socio-political and gendered impacts of the NRC illustrate that citizenship verification extends beyond legal formalities. It is deeply intertwined with social inclusion, human rights, and political stability. Addressing these challenges requires policy interventions that are sensitive to gender, socio-economic disparities, and historical marginalization.</w:t>
      </w:r>
    </w:p>
    <w:p w14:paraId="106CE775" w14:textId="6BD4DB64" w:rsidR="000C24CC" w:rsidRPr="002E6347" w:rsidRDefault="00F003A8" w:rsidP="00260AE7">
      <w:pPr>
        <w:pStyle w:val="Heading1"/>
        <w:spacing w:line="360" w:lineRule="auto"/>
        <w:jc w:val="center"/>
        <w:rPr>
          <w:rFonts w:ascii="Times New Roman" w:hAnsi="Times New Roman" w:cs="Times New Roman"/>
        </w:rPr>
      </w:pPr>
      <w:bookmarkStart w:id="15" w:name="_Toc215005537"/>
      <w:r w:rsidRPr="002E6347">
        <w:rPr>
          <w:rStyle w:val="Strong"/>
          <w:rFonts w:ascii="Times New Roman" w:hAnsi="Times New Roman" w:cs="Times New Roman"/>
        </w:rPr>
        <w:t>POLICY RECOMMENDATIONS</w:t>
      </w:r>
      <w:bookmarkEnd w:id="15"/>
    </w:p>
    <w:p w14:paraId="3CF81E10" w14:textId="6233153E" w:rsidR="000C24CC" w:rsidRPr="000C3B11" w:rsidRDefault="00063AFE" w:rsidP="000C3B11">
      <w:pPr>
        <w:pStyle w:val="Heading2"/>
        <w:rPr>
          <w:rStyle w:val="Heading2Char"/>
          <w:b/>
          <w:bCs/>
          <w:u w:val="single"/>
        </w:rPr>
      </w:pPr>
      <w:bookmarkStart w:id="16" w:name="_Toc215005538"/>
      <w:r w:rsidRPr="000C3B11">
        <w:rPr>
          <w:rStyle w:val="Heading2Char"/>
          <w:b/>
          <w:bCs/>
          <w:u w:val="single"/>
        </w:rPr>
        <w:t>Strengthening Documentation Access</w:t>
      </w:r>
      <w:bookmarkEnd w:id="16"/>
    </w:p>
    <w:p w14:paraId="15A62C40" w14:textId="77777777" w:rsidR="000C24CC" w:rsidRPr="002E6347" w:rsidRDefault="000C24CC" w:rsidP="002E6347">
      <w:pPr>
        <w:pStyle w:val="NormalWeb"/>
        <w:spacing w:line="360" w:lineRule="auto"/>
        <w:jc w:val="both"/>
      </w:pPr>
      <w:r w:rsidRPr="002E6347">
        <w:t xml:space="preserve">A key challenge in NRC implementation is the lack of access to proper documentation, especially for marginalized communities. The government should facilitate easier acquisition of birth certificates, ration cards, and other proofs of identity, with special outreach to rural areas and women-headed households (Agarwala &amp; Das, </w:t>
      </w:r>
      <w:r w:rsidRPr="002E6347">
        <w:rPr>
          <w:color w:val="EE0000"/>
        </w:rPr>
        <w:t>2021</w:t>
      </w:r>
      <w:r w:rsidRPr="002E6347">
        <w:t>). Mobile camps, simplified forms, and legal aid support can help bridge the documentation gap.</w:t>
      </w:r>
    </w:p>
    <w:p w14:paraId="22FC3DF6" w14:textId="16242D5E" w:rsidR="000C24CC" w:rsidRPr="000C3B11" w:rsidRDefault="00063AFE" w:rsidP="000C3B11">
      <w:pPr>
        <w:pStyle w:val="Heading2"/>
        <w:rPr>
          <w:rStyle w:val="Heading2Char"/>
          <w:b/>
          <w:bCs/>
          <w:u w:val="single"/>
        </w:rPr>
      </w:pPr>
      <w:bookmarkStart w:id="17" w:name="_Toc215005539"/>
      <w:r w:rsidRPr="000C3B11">
        <w:rPr>
          <w:rStyle w:val="Heading2Char"/>
          <w:b/>
          <w:bCs/>
          <w:u w:val="single"/>
        </w:rPr>
        <w:t>Gender-Sensitive Verification Processes</w:t>
      </w:r>
      <w:bookmarkEnd w:id="17"/>
    </w:p>
    <w:p w14:paraId="41E1CE60" w14:textId="77777777" w:rsidR="000C24CC" w:rsidRPr="002E6347" w:rsidRDefault="000C24CC" w:rsidP="002E6347">
      <w:pPr>
        <w:pStyle w:val="NormalWeb"/>
        <w:spacing w:line="360" w:lineRule="auto"/>
        <w:jc w:val="both"/>
      </w:pPr>
      <w:r w:rsidRPr="002E6347">
        <w:t xml:space="preserve">Policies must recognize the unique barriers faced by women, particularly widows, single mothers, and women from marginalized communities. Verification processes should accept alternative forms of evidence, including affidavits, community attestations, and marriage or inheritance records, ensuring women are not disproportionately excluded (Crenshaw, </w:t>
      </w:r>
      <w:r w:rsidRPr="002E6347">
        <w:rPr>
          <w:color w:val="EE0000"/>
        </w:rPr>
        <w:t>1989</w:t>
      </w:r>
      <w:r w:rsidRPr="002E6347">
        <w:t xml:space="preserve">; Roy, </w:t>
      </w:r>
      <w:r w:rsidRPr="002E6347">
        <w:rPr>
          <w:color w:val="EE0000"/>
        </w:rPr>
        <w:t>2020</w:t>
      </w:r>
      <w:r w:rsidRPr="002E6347">
        <w:t>).</w:t>
      </w:r>
    </w:p>
    <w:p w14:paraId="0EB701B5" w14:textId="7F9AF97A" w:rsidR="000C24CC" w:rsidRPr="000C3B11" w:rsidRDefault="00063AFE" w:rsidP="000C3B11">
      <w:pPr>
        <w:pStyle w:val="Heading2"/>
        <w:rPr>
          <w:rStyle w:val="Heading2Char"/>
          <w:b/>
          <w:bCs/>
          <w:u w:val="single"/>
        </w:rPr>
      </w:pPr>
      <w:bookmarkStart w:id="18" w:name="_Toc215005540"/>
      <w:r w:rsidRPr="000C3B11">
        <w:rPr>
          <w:rStyle w:val="Heading2Char"/>
          <w:b/>
          <w:bCs/>
          <w:u w:val="single"/>
        </w:rPr>
        <w:t>Robust Grievance Redressal Mechanisms</w:t>
      </w:r>
      <w:bookmarkEnd w:id="18"/>
    </w:p>
    <w:p w14:paraId="1DC94583" w14:textId="77777777" w:rsidR="000C24CC" w:rsidRPr="002E6347" w:rsidRDefault="000C24CC" w:rsidP="002E6347">
      <w:pPr>
        <w:pStyle w:val="NormalWeb"/>
        <w:spacing w:line="360" w:lineRule="auto"/>
        <w:jc w:val="both"/>
      </w:pPr>
      <w:r w:rsidRPr="002E6347">
        <w:t xml:space="preserve">Administrative errors in NRC processes are inevitable. To prevent exclusion from translating into statelessness or social marginalization, a robust grievance redressal system is essential. </w:t>
      </w:r>
      <w:r w:rsidRPr="002E6347">
        <w:lastRenderedPageBreak/>
        <w:t xml:space="preserve">This includes transparent timelines, accessible appeals processes, and independent oversight committees to ensure fair resolution (UNHCR, </w:t>
      </w:r>
      <w:r w:rsidRPr="002E6347">
        <w:rPr>
          <w:color w:val="EE0000"/>
        </w:rPr>
        <w:t>2022</w:t>
      </w:r>
      <w:r w:rsidRPr="002E6347">
        <w:t>).</w:t>
      </w:r>
    </w:p>
    <w:p w14:paraId="4D7C7460" w14:textId="307FEF42" w:rsidR="000C24CC" w:rsidRPr="00063AFE" w:rsidRDefault="00063AFE" w:rsidP="00063AFE">
      <w:pPr>
        <w:pStyle w:val="Heading2"/>
        <w:rPr>
          <w:rStyle w:val="Heading2Char"/>
          <w:b/>
          <w:bCs/>
          <w:u w:val="single"/>
        </w:rPr>
      </w:pPr>
      <w:bookmarkStart w:id="19" w:name="_Toc215005541"/>
      <w:r w:rsidRPr="00063AFE">
        <w:rPr>
          <w:rStyle w:val="Heading2Char"/>
          <w:b/>
          <w:bCs/>
          <w:u w:val="single"/>
        </w:rPr>
        <w:t>Legal Safeguards And Human Rights Alignment</w:t>
      </w:r>
      <w:bookmarkEnd w:id="19"/>
    </w:p>
    <w:p w14:paraId="3A897326" w14:textId="77777777" w:rsidR="000C24CC" w:rsidRPr="002E6347" w:rsidRDefault="000C24CC" w:rsidP="002E6347">
      <w:pPr>
        <w:pStyle w:val="NormalWeb"/>
        <w:spacing w:line="360" w:lineRule="auto"/>
        <w:jc w:val="both"/>
      </w:pPr>
      <w:r w:rsidRPr="002E6347">
        <w:t xml:space="preserve">India must align its NRC and citizenship policies with international human rights norms, particularly regarding the right to nationality. Legislative amendments should prevent arbitrary exclusions and ensure that no individual becomes stateless due to administrative errors. Judicial oversight should continue to play a proactive role in safeguarding fundamental rights (Bhagat, </w:t>
      </w:r>
      <w:r w:rsidRPr="002E6347">
        <w:rPr>
          <w:color w:val="EE0000"/>
        </w:rPr>
        <w:t>2020</w:t>
      </w:r>
      <w:r w:rsidRPr="002E6347">
        <w:t>).</w:t>
      </w:r>
    </w:p>
    <w:p w14:paraId="46133E57" w14:textId="6CE485E1" w:rsidR="000C24CC" w:rsidRPr="00063AFE" w:rsidRDefault="00063AFE" w:rsidP="00063AFE">
      <w:pPr>
        <w:pStyle w:val="Heading2"/>
        <w:rPr>
          <w:rFonts w:eastAsia="Times New Roman"/>
          <w:u w:val="single"/>
        </w:rPr>
      </w:pPr>
      <w:bookmarkStart w:id="20" w:name="_Toc215005542"/>
      <w:r w:rsidRPr="00063AFE">
        <w:rPr>
          <w:rStyle w:val="Heading2Char"/>
          <w:rFonts w:ascii="Times New Roman" w:hAnsi="Times New Roman" w:cs="Times New Roman"/>
          <w:b/>
          <w:bCs/>
          <w:u w:val="single"/>
        </w:rPr>
        <w:t>Public Awareness And Civil Society Engagement</w:t>
      </w:r>
      <w:bookmarkEnd w:id="20"/>
    </w:p>
    <w:p w14:paraId="6B4B58A9" w14:textId="77777777" w:rsidR="000C24CC" w:rsidRPr="002E6347" w:rsidRDefault="000C24CC" w:rsidP="002E6347">
      <w:pPr>
        <w:pStyle w:val="NormalWeb"/>
        <w:spacing w:line="360" w:lineRule="auto"/>
        <w:jc w:val="both"/>
      </w:pPr>
      <w:r w:rsidRPr="002E6347">
        <w:t xml:space="preserve">Effective implementation requires citizen awareness about documentation requirements and rights under the NRC. Civil society organizations, NGOs, and local governance bodies should engage in outreach, legal education, and monitoring, ensuring that vulnerable populations are informed and empowered to assert their rights (Agarwala &amp; Das, </w:t>
      </w:r>
      <w:r w:rsidRPr="002E6347">
        <w:rPr>
          <w:color w:val="EE0000"/>
        </w:rPr>
        <w:t>2021</w:t>
      </w:r>
      <w:r w:rsidRPr="002E6347">
        <w:t>).</w:t>
      </w:r>
    </w:p>
    <w:p w14:paraId="4495290E" w14:textId="379D8DEF" w:rsidR="000C24CC" w:rsidRPr="00063AFE" w:rsidRDefault="00063AFE" w:rsidP="00063AFE">
      <w:pPr>
        <w:pStyle w:val="Heading2"/>
        <w:rPr>
          <w:u w:val="single"/>
        </w:rPr>
      </w:pPr>
      <w:bookmarkStart w:id="21" w:name="_Toc215005543"/>
      <w:r w:rsidRPr="00063AFE">
        <w:rPr>
          <w:rStyle w:val="Strong"/>
          <w:u w:val="single"/>
        </w:rPr>
        <w:t>Technology And Data Management Improvements</w:t>
      </w:r>
      <w:bookmarkEnd w:id="21"/>
    </w:p>
    <w:p w14:paraId="228E45A5" w14:textId="292F82C3" w:rsidR="00C9698F" w:rsidRPr="002E6347" w:rsidRDefault="000C24CC" w:rsidP="002E6347">
      <w:pPr>
        <w:pStyle w:val="NormalWeb"/>
        <w:spacing w:line="360" w:lineRule="auto"/>
        <w:jc w:val="both"/>
      </w:pPr>
      <w:r w:rsidRPr="002E6347">
        <w:t xml:space="preserve">Digitization and secure data management can reduce errors in verification processes. Integrated databases linking birth, school, electoral, and land records can help ensure accuracy, while robust privacy protections prevent misuse of personal data. Technology should supplement, not replace, human oversight to avoid bureaucratic injustices (Roy, </w:t>
      </w:r>
      <w:r w:rsidRPr="002E6347">
        <w:rPr>
          <w:color w:val="EE0000"/>
        </w:rPr>
        <w:t>2020</w:t>
      </w:r>
      <w:r w:rsidRPr="002E6347">
        <w:t>).</w:t>
      </w:r>
    </w:p>
    <w:p w14:paraId="47129F16" w14:textId="18592D3D" w:rsidR="00C9698F" w:rsidRPr="002E6347" w:rsidRDefault="00F003A8" w:rsidP="002E6347">
      <w:pPr>
        <w:pStyle w:val="Heading1"/>
        <w:spacing w:line="360" w:lineRule="auto"/>
        <w:jc w:val="center"/>
        <w:rPr>
          <w:rFonts w:ascii="Times New Roman" w:hAnsi="Times New Roman" w:cs="Times New Roman"/>
        </w:rPr>
      </w:pPr>
      <w:bookmarkStart w:id="22" w:name="_Toc215005544"/>
      <w:r w:rsidRPr="002E6347">
        <w:rPr>
          <w:rStyle w:val="Strong"/>
          <w:rFonts w:ascii="Times New Roman" w:hAnsi="Times New Roman" w:cs="Times New Roman"/>
        </w:rPr>
        <w:t>CONCLUSION</w:t>
      </w:r>
      <w:bookmarkEnd w:id="22"/>
    </w:p>
    <w:p w14:paraId="306DE828" w14:textId="77777777" w:rsidR="00C9698F" w:rsidRPr="002E6347" w:rsidRDefault="00C9698F" w:rsidP="002E6347">
      <w:pPr>
        <w:pStyle w:val="NormalWeb"/>
        <w:spacing w:line="360" w:lineRule="auto"/>
        <w:jc w:val="both"/>
      </w:pPr>
      <w:r w:rsidRPr="002E6347">
        <w:t xml:space="preserve">The </w:t>
      </w:r>
      <w:r w:rsidRPr="005A61F1">
        <w:rPr>
          <w:i/>
          <w:iCs/>
        </w:rPr>
        <w:t>National Register of Citizens (NRC</w:t>
      </w:r>
      <w:r w:rsidRPr="002E6347">
        <w:t xml:space="preserve">) in India represents a complex intersection of legal frameworks, administrative processes, and socio-political realities. While intended to verify citizenship and address illegal migration, its implementation has revealed significant challenges, particularly for marginalized and vulnerable populations. Women, religious minorities, rural residents, and economically disadvantaged groups face heightened risks of exclusion due to systemic documentation gaps, socio-economic barriers, and bureaucratic complexities (Agarwala &amp; Das, </w:t>
      </w:r>
      <w:r w:rsidRPr="002E6347">
        <w:rPr>
          <w:color w:val="EE0000"/>
        </w:rPr>
        <w:t>2021</w:t>
      </w:r>
      <w:r w:rsidRPr="002E6347">
        <w:t xml:space="preserve">; Crenshaw, </w:t>
      </w:r>
      <w:r w:rsidRPr="002E6347">
        <w:rPr>
          <w:color w:val="EE0000"/>
        </w:rPr>
        <w:t>1989</w:t>
      </w:r>
      <w:r w:rsidRPr="002E6347">
        <w:t>).</w:t>
      </w:r>
    </w:p>
    <w:p w14:paraId="03702638" w14:textId="77777777" w:rsidR="00C9698F" w:rsidRPr="002E6347" w:rsidRDefault="00C9698F" w:rsidP="002E6347">
      <w:pPr>
        <w:pStyle w:val="NormalWeb"/>
        <w:spacing w:line="360" w:lineRule="auto"/>
        <w:jc w:val="both"/>
      </w:pPr>
      <w:r w:rsidRPr="002E6347">
        <w:lastRenderedPageBreak/>
        <w:t xml:space="preserve">Comparative perspectives highlight that documentation-based citizenship verification is a global phenomenon, yet international experiences underscore the importance of balancing administrative efficiency with human rights protections. Countries like </w:t>
      </w:r>
      <w:r w:rsidRPr="005A61F1">
        <w:rPr>
          <w:i/>
          <w:iCs/>
        </w:rPr>
        <w:t>Germany</w:t>
      </w:r>
      <w:r w:rsidRPr="002E6347">
        <w:t xml:space="preserve"> and </w:t>
      </w:r>
      <w:r w:rsidRPr="005A61F1">
        <w:rPr>
          <w:i/>
          <w:iCs/>
        </w:rPr>
        <w:t xml:space="preserve">Denmark </w:t>
      </w:r>
      <w:r w:rsidRPr="002E6347">
        <w:t xml:space="preserve">demonstrate that legal safeguards, appeals mechanisms, and gender-sensitive processes can mitigate the risk of exclusion, while cases such as </w:t>
      </w:r>
      <w:r w:rsidRPr="005A61F1">
        <w:rPr>
          <w:i/>
          <w:iCs/>
        </w:rPr>
        <w:t xml:space="preserve">Myanmar </w:t>
      </w:r>
      <w:r w:rsidRPr="002E6347">
        <w:t xml:space="preserve">illustrate the dire consequences of statelessness and social marginalization (UNHCR, </w:t>
      </w:r>
      <w:r w:rsidRPr="002E6347">
        <w:rPr>
          <w:color w:val="EE0000"/>
        </w:rPr>
        <w:t>2022</w:t>
      </w:r>
      <w:r w:rsidRPr="002E6347">
        <w:t xml:space="preserve">; Khan, </w:t>
      </w:r>
      <w:r w:rsidRPr="002E6347">
        <w:rPr>
          <w:color w:val="EE0000"/>
        </w:rPr>
        <w:t>2023</w:t>
      </w:r>
      <w:r w:rsidRPr="002E6347">
        <w:t>).</w:t>
      </w:r>
    </w:p>
    <w:p w14:paraId="0076E41A" w14:textId="77777777" w:rsidR="00C9698F" w:rsidRPr="002E6347" w:rsidRDefault="00C9698F" w:rsidP="002E6347">
      <w:pPr>
        <w:pStyle w:val="NormalWeb"/>
        <w:spacing w:line="360" w:lineRule="auto"/>
        <w:jc w:val="both"/>
      </w:pPr>
      <w:r w:rsidRPr="002E6347">
        <w:t>Policy analysis and socio-political evaluation reveal that the NRC’s impact extends beyond legal recognition, influencing social inclusion, political participation, and human rights. Effective reforms require not only robust legal frameworks but also procedural safeguards, gender-sensitive verification, public awareness initiatives, and accessible grievance redressal mechanisms.</w:t>
      </w:r>
    </w:p>
    <w:p w14:paraId="0D996527" w14:textId="50CA4BB4" w:rsidR="002E6347" w:rsidRPr="002E6347" w:rsidRDefault="00C9698F" w:rsidP="002E6347">
      <w:pPr>
        <w:pStyle w:val="NormalWeb"/>
        <w:spacing w:line="360" w:lineRule="auto"/>
        <w:jc w:val="both"/>
      </w:pPr>
      <w:r w:rsidRPr="002E6347">
        <w:t>In conclusion, the NRC, if implemented with attention to equity, inclusivity, and rights-based safeguards, can fulfill its intended purpose without compromising the fundamental constitutional values of equality and justice. Aligning citizenship verification with human rights principles is essential to prevent administrative exclusion from evolving into social and political marginalization, thereby ensuring that India’s diverse population can equally enjoy the rights and privileges of citizenship.</w:t>
      </w:r>
    </w:p>
    <w:p w14:paraId="34469F94" w14:textId="6646B182" w:rsidR="00C9698F" w:rsidRPr="002E6347" w:rsidRDefault="00F003A8" w:rsidP="00260AE7">
      <w:pPr>
        <w:pStyle w:val="Heading1"/>
        <w:spacing w:line="360" w:lineRule="auto"/>
        <w:jc w:val="center"/>
        <w:rPr>
          <w:rFonts w:ascii="Times New Roman" w:hAnsi="Times New Roman" w:cs="Times New Roman"/>
        </w:rPr>
      </w:pPr>
      <w:bookmarkStart w:id="23" w:name="_Toc215005545"/>
      <w:r w:rsidRPr="002E6347">
        <w:rPr>
          <w:rStyle w:val="Strong"/>
          <w:rFonts w:ascii="Times New Roman" w:hAnsi="Times New Roman" w:cs="Times New Roman"/>
        </w:rPr>
        <w:t>REFERENCES</w:t>
      </w:r>
      <w:bookmarkEnd w:id="23"/>
    </w:p>
    <w:p w14:paraId="256CAEC7" w14:textId="6D193C3F" w:rsidR="006C3D31" w:rsidRPr="002E6347" w:rsidRDefault="00F003A8" w:rsidP="002E6347">
      <w:pPr>
        <w:pStyle w:val="Heading2"/>
        <w:spacing w:line="360" w:lineRule="auto"/>
        <w:jc w:val="both"/>
        <w:rPr>
          <w:rFonts w:ascii="Times New Roman" w:eastAsia="Times New Roman" w:hAnsi="Times New Roman" w:cs="Times New Roman"/>
        </w:rPr>
      </w:pPr>
      <w:bookmarkStart w:id="24" w:name="_Toc215005546"/>
      <w:r w:rsidRPr="002E6347">
        <w:rPr>
          <w:rStyle w:val="Strong"/>
          <w:rFonts w:ascii="Times New Roman" w:eastAsia="Times New Roman" w:hAnsi="Times New Roman" w:cs="Times New Roman"/>
        </w:rPr>
        <w:t>BOOKS</w:t>
      </w:r>
      <w:bookmarkEnd w:id="24"/>
    </w:p>
    <w:p w14:paraId="5579D744" w14:textId="77777777" w:rsidR="006C3D31" w:rsidRPr="002E6347" w:rsidRDefault="006C3D31" w:rsidP="002E6347">
      <w:pPr>
        <w:pStyle w:val="NormalWeb"/>
        <w:numPr>
          <w:ilvl w:val="0"/>
          <w:numId w:val="6"/>
        </w:numPr>
        <w:spacing w:line="360" w:lineRule="auto"/>
        <w:jc w:val="both"/>
      </w:pPr>
      <w:r w:rsidRPr="002E6347">
        <w:t xml:space="preserve">Brubaker, R. (1992). </w:t>
      </w:r>
      <w:r w:rsidRPr="002E6347">
        <w:rPr>
          <w:rStyle w:val="Emphasis"/>
        </w:rPr>
        <w:t>Citizenship and nationhood in France and Germany</w:t>
      </w:r>
      <w:r w:rsidRPr="002E6347">
        <w:t>. Harvard University Press.</w:t>
      </w:r>
    </w:p>
    <w:p w14:paraId="3E4436C7" w14:textId="77777777" w:rsidR="006C3D31" w:rsidRPr="002E6347" w:rsidRDefault="006C3D31" w:rsidP="002E6347">
      <w:pPr>
        <w:pStyle w:val="NormalWeb"/>
        <w:numPr>
          <w:ilvl w:val="0"/>
          <w:numId w:val="6"/>
        </w:numPr>
        <w:spacing w:line="360" w:lineRule="auto"/>
        <w:jc w:val="both"/>
      </w:pPr>
      <w:r w:rsidRPr="002E6347">
        <w:t xml:space="preserve">Chatterji, J. (2019). </w:t>
      </w:r>
      <w:r w:rsidRPr="002E6347">
        <w:rPr>
          <w:rStyle w:val="Emphasis"/>
        </w:rPr>
        <w:t>Partition’s legacies: Citizenship and migration in South Asia</w:t>
      </w:r>
      <w:r w:rsidRPr="002E6347">
        <w:t>. Cambridge University Press.</w:t>
      </w:r>
    </w:p>
    <w:p w14:paraId="59F6396C" w14:textId="77777777" w:rsidR="006C3D31" w:rsidRPr="002E6347" w:rsidRDefault="006C3D31" w:rsidP="002E6347">
      <w:pPr>
        <w:pStyle w:val="NormalWeb"/>
        <w:numPr>
          <w:ilvl w:val="0"/>
          <w:numId w:val="6"/>
        </w:numPr>
        <w:spacing w:line="360" w:lineRule="auto"/>
        <w:jc w:val="both"/>
      </w:pPr>
      <w:r w:rsidRPr="002E6347">
        <w:t xml:space="preserve">Foucault, M. (1978). </w:t>
      </w:r>
      <w:r w:rsidRPr="002E6347">
        <w:rPr>
          <w:rStyle w:val="Emphasis"/>
        </w:rPr>
        <w:t>The history of sexuality, Volume 1: An introduction</w:t>
      </w:r>
      <w:r w:rsidRPr="002E6347">
        <w:t>. Pantheon Books.</w:t>
      </w:r>
    </w:p>
    <w:p w14:paraId="5605C8DD" w14:textId="77777777" w:rsidR="006C3D31" w:rsidRPr="002E6347" w:rsidRDefault="006C3D31" w:rsidP="002E6347">
      <w:pPr>
        <w:pStyle w:val="NormalWeb"/>
        <w:numPr>
          <w:ilvl w:val="0"/>
          <w:numId w:val="6"/>
        </w:numPr>
        <w:spacing w:line="360" w:lineRule="auto"/>
        <w:jc w:val="both"/>
      </w:pPr>
      <w:r w:rsidRPr="002E6347">
        <w:t xml:space="preserve">Marshall, T. H. (1950). </w:t>
      </w:r>
      <w:r w:rsidRPr="002E6347">
        <w:rPr>
          <w:rStyle w:val="Emphasis"/>
        </w:rPr>
        <w:t>Citizenship and social class</w:t>
      </w:r>
      <w:r w:rsidRPr="002E6347">
        <w:t>. Cambridge University Press.</w:t>
      </w:r>
    </w:p>
    <w:p w14:paraId="5473610C" w14:textId="10E93487" w:rsidR="006C3D31" w:rsidRPr="002E6347" w:rsidRDefault="002E6347" w:rsidP="002E6347">
      <w:pPr>
        <w:pStyle w:val="Heading2"/>
        <w:spacing w:line="360" w:lineRule="auto"/>
        <w:jc w:val="both"/>
        <w:rPr>
          <w:rFonts w:ascii="Times New Roman" w:eastAsia="Times New Roman" w:hAnsi="Times New Roman" w:cs="Times New Roman"/>
        </w:rPr>
      </w:pPr>
      <w:bookmarkStart w:id="25" w:name="_Toc215005547"/>
      <w:r w:rsidRPr="002E6347">
        <w:rPr>
          <w:rStyle w:val="Strong"/>
          <w:rFonts w:ascii="Times New Roman" w:eastAsia="Times New Roman" w:hAnsi="Times New Roman" w:cs="Times New Roman"/>
        </w:rPr>
        <w:lastRenderedPageBreak/>
        <w:t>JOURNAL ARTICLES</w:t>
      </w:r>
      <w:bookmarkEnd w:id="25"/>
    </w:p>
    <w:p w14:paraId="695EE72B" w14:textId="77777777" w:rsidR="006C3D31" w:rsidRPr="002E6347" w:rsidRDefault="006C3D31" w:rsidP="002E6347">
      <w:pPr>
        <w:pStyle w:val="NormalWeb"/>
        <w:numPr>
          <w:ilvl w:val="0"/>
          <w:numId w:val="9"/>
        </w:numPr>
        <w:spacing w:line="360" w:lineRule="auto"/>
        <w:jc w:val="both"/>
      </w:pPr>
      <w:r w:rsidRPr="002E6347">
        <w:t xml:space="preserve">Acharya, S., &amp; Thapa, P. (2023). Women and joint land ownership in Nepal: Policy impacts and challenges. </w:t>
      </w:r>
      <w:r w:rsidRPr="002E6347">
        <w:rPr>
          <w:rStyle w:val="Emphasis"/>
        </w:rPr>
        <w:t>Journal of South Asian Development, 18</w:t>
      </w:r>
      <w:r w:rsidRPr="002E6347">
        <w:t xml:space="preserve">(1), 45–63. </w:t>
      </w:r>
      <w:hyperlink r:id="rId6" w:history="1">
        <w:r w:rsidRPr="002E6347">
          <w:rPr>
            <w:rStyle w:val="Hyperlink"/>
          </w:rPr>
          <w:t>https://doi.org/10.1177/09731741231101045</w:t>
        </w:r>
      </w:hyperlink>
    </w:p>
    <w:p w14:paraId="78D74657" w14:textId="77777777" w:rsidR="006C3D31" w:rsidRPr="002E6347" w:rsidRDefault="006C3D31" w:rsidP="002E6347">
      <w:pPr>
        <w:pStyle w:val="NormalWeb"/>
        <w:numPr>
          <w:ilvl w:val="0"/>
          <w:numId w:val="9"/>
        </w:numPr>
        <w:spacing w:line="360" w:lineRule="auto"/>
        <w:jc w:val="both"/>
      </w:pPr>
      <w:r w:rsidRPr="002E6347">
        <w:t xml:space="preserve">Agarwala, S., &amp; Das, R. (2021). Citizenship, documentation, and social inequality in India. </w:t>
      </w:r>
      <w:r w:rsidRPr="002E6347">
        <w:rPr>
          <w:rStyle w:val="Emphasis"/>
        </w:rPr>
        <w:t>Journal of South Asian Studies, 44</w:t>
      </w:r>
      <w:r w:rsidRPr="002E6347">
        <w:t xml:space="preserve">(2), 215–230. </w:t>
      </w:r>
      <w:hyperlink r:id="rId7" w:history="1">
        <w:r w:rsidRPr="002E6347">
          <w:rPr>
            <w:rStyle w:val="Hyperlink"/>
          </w:rPr>
          <w:t>https://doi.org/10.1080/00856401.2021.1874321</w:t>
        </w:r>
      </w:hyperlink>
    </w:p>
    <w:p w14:paraId="75B2831E" w14:textId="77777777" w:rsidR="006C3D31" w:rsidRPr="002E6347" w:rsidRDefault="006C3D31" w:rsidP="002E6347">
      <w:pPr>
        <w:pStyle w:val="NormalWeb"/>
        <w:numPr>
          <w:ilvl w:val="0"/>
          <w:numId w:val="9"/>
        </w:numPr>
        <w:spacing w:line="360" w:lineRule="auto"/>
        <w:jc w:val="both"/>
      </w:pPr>
      <w:r w:rsidRPr="002E6347">
        <w:t xml:space="preserve">Bhagat, R. (2020). Migration, population, and citizenship in post-Partition India. </w:t>
      </w:r>
      <w:r w:rsidRPr="002E6347">
        <w:rPr>
          <w:rStyle w:val="Emphasis"/>
        </w:rPr>
        <w:t>Economic &amp; Political Weekly, 55</w:t>
      </w:r>
      <w:r w:rsidRPr="002E6347">
        <w:t>(12), 24–32.</w:t>
      </w:r>
    </w:p>
    <w:p w14:paraId="5C5D1E57" w14:textId="77777777" w:rsidR="006C3D31" w:rsidRPr="002E6347" w:rsidRDefault="006C3D31" w:rsidP="002E6347">
      <w:pPr>
        <w:pStyle w:val="NormalWeb"/>
        <w:numPr>
          <w:ilvl w:val="0"/>
          <w:numId w:val="9"/>
        </w:numPr>
        <w:spacing w:line="360" w:lineRule="auto"/>
        <w:jc w:val="both"/>
      </w:pPr>
      <w:r w:rsidRPr="002E6347">
        <w:t xml:space="preserve">Crenshaw, K. (1989). Demarginalizing the intersection of race and sex: A Black feminist critique of antidiscrimination doctrine, feminist theory, and antiracist politics. </w:t>
      </w:r>
      <w:r w:rsidRPr="002E6347">
        <w:rPr>
          <w:rStyle w:val="Emphasis"/>
        </w:rPr>
        <w:t>University of Chicago Legal Forum, 1989</w:t>
      </w:r>
      <w:r w:rsidRPr="002E6347">
        <w:t>(1), 139–167.</w:t>
      </w:r>
    </w:p>
    <w:p w14:paraId="7B61E6F7" w14:textId="77777777" w:rsidR="006C3D31" w:rsidRPr="002E6347" w:rsidRDefault="006C3D31" w:rsidP="002E6347">
      <w:pPr>
        <w:pStyle w:val="NormalWeb"/>
        <w:numPr>
          <w:ilvl w:val="0"/>
          <w:numId w:val="9"/>
        </w:numPr>
        <w:spacing w:line="360" w:lineRule="auto"/>
        <w:jc w:val="both"/>
      </w:pPr>
      <w:r w:rsidRPr="002E6347">
        <w:t xml:space="preserve">Khan, R. (2023). Empowering women through land and asset ownership: Lessons from Bangladesh. </w:t>
      </w:r>
      <w:r w:rsidRPr="002E6347">
        <w:rPr>
          <w:rStyle w:val="Emphasis"/>
        </w:rPr>
        <w:t>Asian Journal of Social Sciences, 51</w:t>
      </w:r>
      <w:r w:rsidRPr="002E6347">
        <w:t xml:space="preserve">(2), 88–105. </w:t>
      </w:r>
      <w:hyperlink r:id="rId8" w:history="1">
        <w:r w:rsidRPr="002E6347">
          <w:rPr>
            <w:rStyle w:val="Hyperlink"/>
          </w:rPr>
          <w:t>https://doi.org/10.1080/00666097.2023.1987654</w:t>
        </w:r>
      </w:hyperlink>
    </w:p>
    <w:p w14:paraId="75E67921" w14:textId="77777777" w:rsidR="006C3D31" w:rsidRPr="002E6347" w:rsidRDefault="006C3D31" w:rsidP="002E6347">
      <w:pPr>
        <w:pStyle w:val="NormalWeb"/>
        <w:numPr>
          <w:ilvl w:val="0"/>
          <w:numId w:val="9"/>
        </w:numPr>
        <w:spacing w:line="360" w:lineRule="auto"/>
        <w:jc w:val="both"/>
      </w:pPr>
      <w:r w:rsidRPr="002E6347">
        <w:t xml:space="preserve">Roy, S. (2020). The National Register of Citizens in Assam: Legal and social implications. </w:t>
      </w:r>
      <w:r w:rsidRPr="002E6347">
        <w:rPr>
          <w:rStyle w:val="Emphasis"/>
        </w:rPr>
        <w:t>Asian Journal of Law and Society, 7</w:t>
      </w:r>
      <w:r w:rsidRPr="002E6347">
        <w:t xml:space="preserve">(3), 327–350. </w:t>
      </w:r>
      <w:hyperlink r:id="rId9" w:history="1">
        <w:r w:rsidRPr="002E6347">
          <w:rPr>
            <w:rStyle w:val="Hyperlink"/>
          </w:rPr>
          <w:t>https://doi.org/10.1017/als.2020.25</w:t>
        </w:r>
      </w:hyperlink>
    </w:p>
    <w:p w14:paraId="18E0AACB" w14:textId="1B2213A4" w:rsidR="006C3D31" w:rsidRPr="002E6347" w:rsidRDefault="002E6347" w:rsidP="002E6347">
      <w:pPr>
        <w:pStyle w:val="Heading1"/>
        <w:spacing w:line="360" w:lineRule="auto"/>
        <w:jc w:val="both"/>
        <w:rPr>
          <w:rFonts w:ascii="Times New Roman" w:eastAsia="Times New Roman" w:hAnsi="Times New Roman" w:cs="Times New Roman"/>
        </w:rPr>
      </w:pPr>
      <w:bookmarkStart w:id="26" w:name="_Toc215005548"/>
      <w:r w:rsidRPr="002E6347">
        <w:rPr>
          <w:rStyle w:val="Strong"/>
          <w:rFonts w:ascii="Times New Roman" w:eastAsia="Times New Roman" w:hAnsi="Times New Roman" w:cs="Times New Roman"/>
        </w:rPr>
        <w:t>REPORTS &amp; GOVERNMENT DOCUMENTS</w:t>
      </w:r>
      <w:bookmarkEnd w:id="26"/>
    </w:p>
    <w:p w14:paraId="7E04FA05" w14:textId="77777777" w:rsidR="006C3D31" w:rsidRPr="002E6347" w:rsidRDefault="006C3D31" w:rsidP="002E6347">
      <w:pPr>
        <w:pStyle w:val="NormalWeb"/>
        <w:numPr>
          <w:ilvl w:val="0"/>
          <w:numId w:val="10"/>
        </w:numPr>
        <w:spacing w:line="360" w:lineRule="auto"/>
        <w:jc w:val="both"/>
      </w:pPr>
      <w:r w:rsidRPr="002E6347">
        <w:t xml:space="preserve">Government of India. (1950). </w:t>
      </w:r>
      <w:r w:rsidRPr="002E6347">
        <w:rPr>
          <w:rStyle w:val="Emphasis"/>
        </w:rPr>
        <w:t>The Constitution of India</w:t>
      </w:r>
      <w:r w:rsidRPr="002E6347">
        <w:t xml:space="preserve">. Ministry of Law and Justice. </w:t>
      </w:r>
      <w:hyperlink r:id="rId10" w:history="1">
        <w:r w:rsidRPr="002E6347">
          <w:rPr>
            <w:rStyle w:val="Hyperlink"/>
          </w:rPr>
          <w:t>https://legislative.gov.in</w:t>
        </w:r>
      </w:hyperlink>
    </w:p>
    <w:p w14:paraId="1FF88E93" w14:textId="77777777" w:rsidR="006C3D31" w:rsidRPr="002E6347" w:rsidRDefault="006C3D31" w:rsidP="002E6347">
      <w:pPr>
        <w:pStyle w:val="NormalWeb"/>
        <w:numPr>
          <w:ilvl w:val="0"/>
          <w:numId w:val="10"/>
        </w:numPr>
        <w:spacing w:line="360" w:lineRule="auto"/>
        <w:jc w:val="both"/>
      </w:pPr>
      <w:r w:rsidRPr="002E6347">
        <w:t xml:space="preserve">UNHCR. (2022). </w:t>
      </w:r>
      <w:r w:rsidRPr="002E6347">
        <w:rPr>
          <w:rStyle w:val="Emphasis"/>
        </w:rPr>
        <w:t>Statelessness and nationality: Global trends and issues</w:t>
      </w:r>
      <w:r w:rsidRPr="002E6347">
        <w:t xml:space="preserve">. United Nations High Commissioner for Refugees. </w:t>
      </w:r>
      <w:hyperlink r:id="rId11" w:history="1">
        <w:r w:rsidRPr="002E6347">
          <w:rPr>
            <w:rStyle w:val="Hyperlink"/>
          </w:rPr>
          <w:t>https://www.unhcr.org</w:t>
        </w:r>
      </w:hyperlink>
    </w:p>
    <w:p w14:paraId="2DE3BCB4" w14:textId="66735840" w:rsidR="006C3D31" w:rsidRPr="002E6347" w:rsidRDefault="002E6347" w:rsidP="002E6347">
      <w:pPr>
        <w:pStyle w:val="Heading2"/>
        <w:spacing w:line="360" w:lineRule="auto"/>
        <w:jc w:val="both"/>
        <w:rPr>
          <w:rFonts w:ascii="Times New Roman" w:eastAsia="Times New Roman" w:hAnsi="Times New Roman" w:cs="Times New Roman"/>
        </w:rPr>
      </w:pPr>
      <w:bookmarkStart w:id="27" w:name="_Toc215005549"/>
      <w:r w:rsidRPr="002E6347">
        <w:rPr>
          <w:rStyle w:val="Strong"/>
          <w:rFonts w:ascii="Times New Roman" w:eastAsia="Times New Roman" w:hAnsi="Times New Roman" w:cs="Times New Roman"/>
        </w:rPr>
        <w:t>NEWS / MEDIA</w:t>
      </w:r>
      <w:bookmarkEnd w:id="27"/>
    </w:p>
    <w:p w14:paraId="14CAFE44" w14:textId="77777777" w:rsidR="006C3D31" w:rsidRPr="002E6347" w:rsidRDefault="006C3D31" w:rsidP="002E6347">
      <w:pPr>
        <w:pStyle w:val="NormalWeb"/>
        <w:numPr>
          <w:ilvl w:val="0"/>
          <w:numId w:val="11"/>
        </w:numPr>
        <w:spacing w:line="360" w:lineRule="auto"/>
        <w:jc w:val="both"/>
      </w:pPr>
      <w:r w:rsidRPr="002E6347">
        <w:t xml:space="preserve">Business Standard. (2024, April). Setting the record straight: Less than 10% of Indian women may own land. </w:t>
      </w:r>
      <w:r w:rsidRPr="002E6347">
        <w:rPr>
          <w:rStyle w:val="Emphasis"/>
        </w:rPr>
        <w:t>Business Standard</w:t>
      </w:r>
      <w:r w:rsidRPr="002E6347">
        <w:t>.</w:t>
      </w:r>
    </w:p>
    <w:p w14:paraId="4A892502" w14:textId="03B74D92" w:rsidR="006C3D31" w:rsidRPr="002E6347" w:rsidRDefault="006C3D31" w:rsidP="002E6347">
      <w:pPr>
        <w:spacing w:line="360" w:lineRule="auto"/>
        <w:jc w:val="both"/>
        <w:rPr>
          <w:rFonts w:ascii="Times New Roman" w:eastAsia="Times New Roman" w:hAnsi="Times New Roman" w:cs="Times New Roman"/>
        </w:rPr>
      </w:pPr>
    </w:p>
    <w:p w14:paraId="41B53549" w14:textId="77AC9B78" w:rsidR="000077D4" w:rsidRPr="002E6347" w:rsidRDefault="000077D4" w:rsidP="002E6347">
      <w:pPr>
        <w:spacing w:line="360" w:lineRule="auto"/>
        <w:jc w:val="both"/>
        <w:rPr>
          <w:rFonts w:ascii="Times New Roman" w:hAnsi="Times New Roman" w:cs="Times New Roman"/>
        </w:rPr>
      </w:pPr>
    </w:p>
    <w:sectPr w:rsidR="000077D4" w:rsidRPr="002E6347" w:rsidSect="000C3B1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A1B"/>
    <w:multiLevelType w:val="hybridMultilevel"/>
    <w:tmpl w:val="CC9AD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FA2BF2"/>
    <w:multiLevelType w:val="hybridMultilevel"/>
    <w:tmpl w:val="F0521D40"/>
    <w:lvl w:ilvl="0" w:tplc="48A8E1FA">
      <w:start w:val="1"/>
      <w:numFmt w:val="decimal"/>
      <w:lvlText w:val="%1."/>
      <w:lvlJc w:val="left"/>
      <w:pPr>
        <w:ind w:left="720" w:hanging="360"/>
      </w:pPr>
      <w:rPr>
        <w:rFonts w:asciiTheme="minorHAnsi" w:eastAsia="Times New Roman" w:hAnsiTheme="minorHAnsi" w:hint="default"/>
        <w:b w:val="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107A8C"/>
    <w:multiLevelType w:val="hybridMultilevel"/>
    <w:tmpl w:val="6194F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14016"/>
    <w:multiLevelType w:val="hybridMultilevel"/>
    <w:tmpl w:val="94BA45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2D0147B"/>
    <w:multiLevelType w:val="hybridMultilevel"/>
    <w:tmpl w:val="DB0AB5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5563C53"/>
    <w:multiLevelType w:val="hybridMultilevel"/>
    <w:tmpl w:val="5FB2963E"/>
    <w:lvl w:ilvl="0" w:tplc="40090001">
      <w:start w:val="1"/>
      <w:numFmt w:val="bullet"/>
      <w:lvlText w:val=""/>
      <w:lvlJc w:val="left"/>
      <w:pPr>
        <w:ind w:left="360" w:hanging="360"/>
      </w:pPr>
      <w:rPr>
        <w:rFonts w:ascii="Symbol" w:hAnsi="Symbol"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BE5738"/>
    <w:multiLevelType w:val="hybridMultilevel"/>
    <w:tmpl w:val="7096A7D0"/>
    <w:lvl w:ilvl="0" w:tplc="48A8E1FA">
      <w:start w:val="1"/>
      <w:numFmt w:val="decimal"/>
      <w:lvlText w:val="%1."/>
      <w:lvlJc w:val="left"/>
      <w:pPr>
        <w:ind w:left="1080" w:hanging="360"/>
      </w:pPr>
      <w:rPr>
        <w:rFonts w:asciiTheme="minorHAnsi" w:eastAsia="Times New Roman" w:hAnsiTheme="minorHAnsi" w:hint="default"/>
        <w:b w:val="0"/>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93F0113"/>
    <w:multiLevelType w:val="hybridMultilevel"/>
    <w:tmpl w:val="CB74C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FFB75AF"/>
    <w:multiLevelType w:val="hybridMultilevel"/>
    <w:tmpl w:val="FBF0F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7C5FFE"/>
    <w:multiLevelType w:val="hybridMultilevel"/>
    <w:tmpl w:val="E4D080C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0" w15:restartNumberingAfterBreak="0">
    <w:nsid w:val="71D54148"/>
    <w:multiLevelType w:val="hybridMultilevel"/>
    <w:tmpl w:val="5D10A8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73957362"/>
    <w:multiLevelType w:val="hybridMultilevel"/>
    <w:tmpl w:val="80A85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77876B1"/>
    <w:multiLevelType w:val="hybridMultilevel"/>
    <w:tmpl w:val="F13E65E2"/>
    <w:lvl w:ilvl="0" w:tplc="40090001">
      <w:start w:val="1"/>
      <w:numFmt w:val="bullet"/>
      <w:lvlText w:val=""/>
      <w:lvlJc w:val="left"/>
      <w:pPr>
        <w:ind w:left="1080" w:hanging="360"/>
      </w:pPr>
      <w:rPr>
        <w:rFonts w:ascii="Symbol" w:hAnsi="Symbol" w:hint="default"/>
        <w:b w:val="0"/>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F2E593E"/>
    <w:multiLevelType w:val="hybridMultilevel"/>
    <w:tmpl w:val="0AA4AB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4570173">
    <w:abstractNumId w:val="9"/>
  </w:num>
  <w:num w:numId="2" w16cid:durableId="2138058259">
    <w:abstractNumId w:val="7"/>
  </w:num>
  <w:num w:numId="3" w16cid:durableId="1738744460">
    <w:abstractNumId w:val="13"/>
  </w:num>
  <w:num w:numId="4" w16cid:durableId="2083404359">
    <w:abstractNumId w:val="0"/>
  </w:num>
  <w:num w:numId="5" w16cid:durableId="1115905494">
    <w:abstractNumId w:val="1"/>
  </w:num>
  <w:num w:numId="6" w16cid:durableId="2034842683">
    <w:abstractNumId w:val="5"/>
  </w:num>
  <w:num w:numId="7" w16cid:durableId="257448047">
    <w:abstractNumId w:val="6"/>
  </w:num>
  <w:num w:numId="8" w16cid:durableId="1171528541">
    <w:abstractNumId w:val="12"/>
  </w:num>
  <w:num w:numId="9" w16cid:durableId="1022242629">
    <w:abstractNumId w:val="3"/>
  </w:num>
  <w:num w:numId="10" w16cid:durableId="641082180">
    <w:abstractNumId w:val="4"/>
  </w:num>
  <w:num w:numId="11" w16cid:durableId="1288465194">
    <w:abstractNumId w:val="10"/>
  </w:num>
  <w:num w:numId="12" w16cid:durableId="547494947">
    <w:abstractNumId w:val="2"/>
  </w:num>
  <w:num w:numId="13" w16cid:durableId="1037969956">
    <w:abstractNumId w:val="8"/>
  </w:num>
  <w:num w:numId="14" w16cid:durableId="1806971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D4"/>
    <w:rsid w:val="000077D4"/>
    <w:rsid w:val="00063AFE"/>
    <w:rsid w:val="000C24CC"/>
    <w:rsid w:val="000C3B11"/>
    <w:rsid w:val="001D6090"/>
    <w:rsid w:val="002253B2"/>
    <w:rsid w:val="00260AE7"/>
    <w:rsid w:val="002E6347"/>
    <w:rsid w:val="002F7D70"/>
    <w:rsid w:val="0034051B"/>
    <w:rsid w:val="00375C90"/>
    <w:rsid w:val="003A50E7"/>
    <w:rsid w:val="00490415"/>
    <w:rsid w:val="004E6BCE"/>
    <w:rsid w:val="004F54F6"/>
    <w:rsid w:val="00501DB8"/>
    <w:rsid w:val="005A61F1"/>
    <w:rsid w:val="0065790E"/>
    <w:rsid w:val="006B21F7"/>
    <w:rsid w:val="006C3D31"/>
    <w:rsid w:val="006E56F4"/>
    <w:rsid w:val="00741A33"/>
    <w:rsid w:val="00794925"/>
    <w:rsid w:val="007C75BD"/>
    <w:rsid w:val="008370CC"/>
    <w:rsid w:val="008E2A84"/>
    <w:rsid w:val="00937F81"/>
    <w:rsid w:val="00A339E6"/>
    <w:rsid w:val="00AB6BBD"/>
    <w:rsid w:val="00AC5203"/>
    <w:rsid w:val="00C9698F"/>
    <w:rsid w:val="00D13425"/>
    <w:rsid w:val="00DB1004"/>
    <w:rsid w:val="00EA7DE0"/>
    <w:rsid w:val="00EF6AE5"/>
    <w:rsid w:val="00F003A8"/>
    <w:rsid w:val="00FB2B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AB9"/>
  <w15:chartTrackingRefBased/>
  <w15:docId w15:val="{7D353DD4-3335-0D41-88CD-E4F8A063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7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7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D4"/>
    <w:rPr>
      <w:rFonts w:eastAsiaTheme="majorEastAsia" w:cstheme="majorBidi"/>
      <w:color w:val="272727" w:themeColor="text1" w:themeTint="D8"/>
    </w:rPr>
  </w:style>
  <w:style w:type="paragraph" w:styleId="Title">
    <w:name w:val="Title"/>
    <w:basedOn w:val="Normal"/>
    <w:next w:val="Normal"/>
    <w:link w:val="TitleChar"/>
    <w:uiPriority w:val="10"/>
    <w:qFormat/>
    <w:rsid w:val="0000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D4"/>
    <w:pPr>
      <w:spacing w:before="160"/>
      <w:jc w:val="center"/>
    </w:pPr>
    <w:rPr>
      <w:i/>
      <w:iCs/>
      <w:color w:val="404040" w:themeColor="text1" w:themeTint="BF"/>
    </w:rPr>
  </w:style>
  <w:style w:type="character" w:customStyle="1" w:styleId="QuoteChar">
    <w:name w:val="Quote Char"/>
    <w:basedOn w:val="DefaultParagraphFont"/>
    <w:link w:val="Quote"/>
    <w:uiPriority w:val="29"/>
    <w:rsid w:val="000077D4"/>
    <w:rPr>
      <w:i/>
      <w:iCs/>
      <w:color w:val="404040" w:themeColor="text1" w:themeTint="BF"/>
    </w:rPr>
  </w:style>
  <w:style w:type="paragraph" w:styleId="ListParagraph">
    <w:name w:val="List Paragraph"/>
    <w:basedOn w:val="Normal"/>
    <w:uiPriority w:val="34"/>
    <w:qFormat/>
    <w:rsid w:val="000077D4"/>
    <w:pPr>
      <w:ind w:left="720"/>
      <w:contextualSpacing/>
    </w:pPr>
  </w:style>
  <w:style w:type="character" w:styleId="IntenseEmphasis">
    <w:name w:val="Intense Emphasis"/>
    <w:basedOn w:val="DefaultParagraphFont"/>
    <w:uiPriority w:val="21"/>
    <w:qFormat/>
    <w:rsid w:val="000077D4"/>
    <w:rPr>
      <w:i/>
      <w:iCs/>
      <w:color w:val="0F4761" w:themeColor="accent1" w:themeShade="BF"/>
    </w:rPr>
  </w:style>
  <w:style w:type="paragraph" w:styleId="IntenseQuote">
    <w:name w:val="Intense Quote"/>
    <w:basedOn w:val="Normal"/>
    <w:next w:val="Normal"/>
    <w:link w:val="IntenseQuoteChar"/>
    <w:uiPriority w:val="30"/>
    <w:qFormat/>
    <w:rsid w:val="0000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D4"/>
    <w:rPr>
      <w:i/>
      <w:iCs/>
      <w:color w:val="0F4761" w:themeColor="accent1" w:themeShade="BF"/>
    </w:rPr>
  </w:style>
  <w:style w:type="character" w:styleId="IntenseReference">
    <w:name w:val="Intense Reference"/>
    <w:basedOn w:val="DefaultParagraphFont"/>
    <w:uiPriority w:val="32"/>
    <w:qFormat/>
    <w:rsid w:val="000077D4"/>
    <w:rPr>
      <w:b/>
      <w:bCs/>
      <w:smallCaps/>
      <w:color w:val="0F4761" w:themeColor="accent1" w:themeShade="BF"/>
      <w:spacing w:val="5"/>
    </w:rPr>
  </w:style>
  <w:style w:type="character" w:styleId="Hyperlink">
    <w:name w:val="Hyperlink"/>
    <w:basedOn w:val="DefaultParagraphFont"/>
    <w:uiPriority w:val="99"/>
    <w:unhideWhenUsed/>
    <w:rsid w:val="00490415"/>
    <w:rPr>
      <w:color w:val="467886" w:themeColor="hyperlink"/>
      <w:u w:val="single"/>
    </w:rPr>
  </w:style>
  <w:style w:type="character" w:styleId="UnresolvedMention">
    <w:name w:val="Unresolved Mention"/>
    <w:basedOn w:val="DefaultParagraphFont"/>
    <w:uiPriority w:val="99"/>
    <w:semiHidden/>
    <w:unhideWhenUsed/>
    <w:rsid w:val="00490415"/>
    <w:rPr>
      <w:color w:val="605E5C"/>
      <w:shd w:val="clear" w:color="auto" w:fill="E1DFDD"/>
    </w:rPr>
  </w:style>
  <w:style w:type="paragraph" w:styleId="NormalWeb">
    <w:name w:val="Normal (Web)"/>
    <w:basedOn w:val="Normal"/>
    <w:uiPriority w:val="99"/>
    <w:unhideWhenUsed/>
    <w:rsid w:val="00FB2B7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B2B7C"/>
    <w:rPr>
      <w:b/>
      <w:bCs/>
    </w:rPr>
  </w:style>
  <w:style w:type="character" w:styleId="Emphasis">
    <w:name w:val="Emphasis"/>
    <w:basedOn w:val="DefaultParagraphFont"/>
    <w:uiPriority w:val="20"/>
    <w:qFormat/>
    <w:rsid w:val="00FB2B7C"/>
    <w:rPr>
      <w:i/>
      <w:iCs/>
    </w:rPr>
  </w:style>
  <w:style w:type="paragraph" w:styleId="TOCHeading">
    <w:name w:val="TOC Heading"/>
    <w:basedOn w:val="Heading1"/>
    <w:next w:val="Normal"/>
    <w:uiPriority w:val="39"/>
    <w:unhideWhenUsed/>
    <w:qFormat/>
    <w:rsid w:val="002E634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E6347"/>
    <w:pPr>
      <w:spacing w:after="100"/>
    </w:pPr>
  </w:style>
  <w:style w:type="paragraph" w:styleId="TOC2">
    <w:name w:val="toc 2"/>
    <w:basedOn w:val="Normal"/>
    <w:next w:val="Normal"/>
    <w:autoRedefine/>
    <w:uiPriority w:val="39"/>
    <w:unhideWhenUsed/>
    <w:rsid w:val="00063AFE"/>
    <w:pPr>
      <w:tabs>
        <w:tab w:val="left" w:pos="720"/>
        <w:tab w:val="right" w:leader="dot" w:pos="9016"/>
      </w:tabs>
      <w:spacing w:after="100"/>
    </w:pPr>
  </w:style>
  <w:style w:type="paragraph" w:styleId="TOC3">
    <w:name w:val="toc 3"/>
    <w:basedOn w:val="Normal"/>
    <w:next w:val="Normal"/>
    <w:autoRedefine/>
    <w:uiPriority w:val="39"/>
    <w:unhideWhenUsed/>
    <w:rsid w:val="002E63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666097.2023.19876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80/00856401.2021.18743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09731741231101045" TargetMode="External"/><Relationship Id="rId11" Type="http://schemas.openxmlformats.org/officeDocument/2006/relationships/hyperlink" Target="https://www.unhcr.org" TargetMode="External"/><Relationship Id="rId5" Type="http://schemas.openxmlformats.org/officeDocument/2006/relationships/webSettings" Target="webSettings.xml"/><Relationship Id="rId10" Type="http://schemas.openxmlformats.org/officeDocument/2006/relationships/hyperlink" Target="https://legislative.gov.in" TargetMode="External"/><Relationship Id="rId4" Type="http://schemas.openxmlformats.org/officeDocument/2006/relationships/settings" Target="settings.xml"/><Relationship Id="rId9" Type="http://schemas.openxmlformats.org/officeDocument/2006/relationships/hyperlink" Target="https://doi.org/10.1017/als.2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E76D-5E0D-43F7-AA69-3353B926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4808</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dc:creator>
  <cp:keywords/>
  <dc:description/>
  <cp:lastModifiedBy>theaisha1707@gmail.com</cp:lastModifiedBy>
  <cp:revision>7</cp:revision>
  <dcterms:created xsi:type="dcterms:W3CDTF">2025-11-25T16:37:00Z</dcterms:created>
  <dcterms:modified xsi:type="dcterms:W3CDTF">2026-03-25T11:23:00Z</dcterms:modified>
</cp:coreProperties>
</file>