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8FD78" w14:textId="0E819B30" w:rsidR="005E5B28" w:rsidRPr="00D6568A" w:rsidRDefault="00796DE6" w:rsidP="00D6568A">
      <w:pPr>
        <w:spacing w:before="240" w:after="240" w:line="240" w:lineRule="auto"/>
        <w:jc w:val="center"/>
        <w:rPr>
          <w:rFonts w:ascii="Times New Roman" w:eastAsia="Arial" w:hAnsi="Times New Roman" w:cs="Times New Roman"/>
          <w:b/>
          <w:sz w:val="36"/>
          <w:szCs w:val="36"/>
        </w:rPr>
      </w:pPr>
      <w:r w:rsidRPr="00D6568A">
        <w:rPr>
          <w:rFonts w:ascii="Times New Roman" w:hAnsi="Times New Roman" w:cs="Times New Roman"/>
          <w:b/>
          <w:sz w:val="36"/>
          <w:szCs w:val="36"/>
        </w:rPr>
        <w:t xml:space="preserve">GOVERNANCE, SATISFACTION, </w:t>
      </w:r>
      <w:r w:rsidR="00567919" w:rsidRPr="00D6568A">
        <w:rPr>
          <w:rFonts w:ascii="Times New Roman" w:hAnsi="Times New Roman" w:cs="Times New Roman"/>
          <w:b/>
          <w:sz w:val="36"/>
          <w:szCs w:val="36"/>
        </w:rPr>
        <w:t>AND ENGAGEMENT</w:t>
      </w:r>
      <w:r w:rsidR="005904BB" w:rsidRPr="00D6568A">
        <w:rPr>
          <w:rFonts w:ascii="Times New Roman" w:hAnsi="Times New Roman" w:cs="Times New Roman"/>
          <w:b/>
          <w:sz w:val="36"/>
          <w:szCs w:val="36"/>
        </w:rPr>
        <w:t xml:space="preserve"> AS KEY DRIVERS OF </w:t>
      </w:r>
      <w:r w:rsidRPr="00D6568A">
        <w:rPr>
          <w:rFonts w:ascii="Times New Roman" w:hAnsi="Times New Roman" w:cs="Times New Roman"/>
          <w:b/>
          <w:sz w:val="36"/>
          <w:szCs w:val="36"/>
        </w:rPr>
        <w:t>MEMBERSHIP RETENTION</w:t>
      </w:r>
    </w:p>
    <w:p w14:paraId="7D3DBEEC" w14:textId="77777777" w:rsidR="007B6667" w:rsidRPr="00C00F8B" w:rsidRDefault="007B6667" w:rsidP="00D6568A">
      <w:pPr>
        <w:spacing w:before="240" w:after="240" w:line="240" w:lineRule="auto"/>
        <w:jc w:val="both"/>
        <w:rPr>
          <w:rFonts w:ascii="Times New Roman" w:eastAsia="Arial" w:hAnsi="Times New Roman" w:cs="Times New Roman"/>
          <w:b/>
          <w:bCs/>
          <w:sz w:val="28"/>
          <w:szCs w:val="28"/>
        </w:rPr>
      </w:pPr>
      <w:bookmarkStart w:id="0" w:name="_GoBack"/>
      <w:bookmarkEnd w:id="0"/>
      <w:r w:rsidRPr="00C00F8B">
        <w:rPr>
          <w:rFonts w:ascii="Times New Roman" w:eastAsia="Arial" w:hAnsi="Times New Roman" w:cs="Times New Roman"/>
          <w:b/>
          <w:bCs/>
          <w:sz w:val="28"/>
          <w:szCs w:val="28"/>
        </w:rPr>
        <w:t>ABSTRACT</w:t>
      </w:r>
    </w:p>
    <w:p w14:paraId="2975570D" w14:textId="68E1AA3E" w:rsidR="00A7215F" w:rsidRPr="00D6568A" w:rsidRDefault="00A7215F" w:rsidP="00192EF4">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 xml:space="preserve">In the context of increasing competition from banks and technology-driven financial institutions, cooperatives face growing challenges in sustaining long-term membership. This study examined the extent to which governance, member satisfaction, and member engagement serve as key drivers of membership retention in a cooperative in </w:t>
      </w:r>
      <w:r w:rsidR="00586F0C" w:rsidRPr="00586F0C">
        <w:rPr>
          <w:rFonts w:ascii="Times New Roman" w:eastAsia="Arial" w:hAnsi="Times New Roman" w:cs="Times New Roman"/>
          <w:sz w:val="24"/>
          <w:szCs w:val="24"/>
        </w:rPr>
        <w:t>one of the cities in Bukidnon, Philippines</w:t>
      </w:r>
      <w:r w:rsidRPr="00D6568A">
        <w:rPr>
          <w:rFonts w:ascii="Times New Roman" w:eastAsia="Arial" w:hAnsi="Times New Roman" w:cs="Times New Roman"/>
          <w:sz w:val="24"/>
          <w:szCs w:val="24"/>
        </w:rPr>
        <w:t xml:space="preserve">. Despite existing studies, limited empirical evidence explains how these factors collectively influence membership retention in local cooperative settings. Anchored on the SERVPERF Model and Social Exchange Theory, the research employed a descriptive-correlational design. Data were collected from cooperative members selected through simple random sampling. A structured researcher-made questionnaire, guided by SERVPERF dimensions and related governance and engagement literature, was utilized. The instrument underwent content validation, reliability testing using Cronbach’s alpha, and construct validation through exploratory and confirmatory factor analyses. Descriptive statistics were used to determine the levels of governance, </w:t>
      </w:r>
      <w:r w:rsidR="00C24CDF">
        <w:rPr>
          <w:rFonts w:ascii="Times New Roman" w:eastAsia="Arial" w:hAnsi="Times New Roman" w:cs="Times New Roman"/>
          <w:sz w:val="24"/>
          <w:szCs w:val="24"/>
        </w:rPr>
        <w:t xml:space="preserve">member </w:t>
      </w:r>
      <w:r w:rsidRPr="00D6568A">
        <w:rPr>
          <w:rFonts w:ascii="Times New Roman" w:eastAsia="Arial" w:hAnsi="Times New Roman" w:cs="Times New Roman"/>
          <w:sz w:val="24"/>
          <w:szCs w:val="24"/>
        </w:rPr>
        <w:t xml:space="preserve">satisfaction, </w:t>
      </w:r>
      <w:r w:rsidR="00C24CDF">
        <w:rPr>
          <w:rFonts w:ascii="Times New Roman" w:eastAsia="Arial" w:hAnsi="Times New Roman" w:cs="Times New Roman"/>
          <w:sz w:val="24"/>
          <w:szCs w:val="24"/>
        </w:rPr>
        <w:t xml:space="preserve">member </w:t>
      </w:r>
      <w:r w:rsidRPr="00D6568A">
        <w:rPr>
          <w:rFonts w:ascii="Times New Roman" w:eastAsia="Arial" w:hAnsi="Times New Roman" w:cs="Times New Roman"/>
          <w:sz w:val="24"/>
          <w:szCs w:val="24"/>
        </w:rPr>
        <w:t xml:space="preserve">engagement, and </w:t>
      </w:r>
      <w:r w:rsidR="00C24CDF">
        <w:rPr>
          <w:rFonts w:ascii="Times New Roman" w:eastAsia="Arial" w:hAnsi="Times New Roman" w:cs="Times New Roman"/>
          <w:sz w:val="24"/>
          <w:szCs w:val="24"/>
        </w:rPr>
        <w:t xml:space="preserve">membership </w:t>
      </w:r>
      <w:r w:rsidRPr="00D6568A">
        <w:rPr>
          <w:rFonts w:ascii="Times New Roman" w:eastAsia="Arial" w:hAnsi="Times New Roman" w:cs="Times New Roman"/>
          <w:sz w:val="24"/>
          <w:szCs w:val="24"/>
        </w:rPr>
        <w:t xml:space="preserve">retention, while Canonical Correlation Analysis and Multiple Linear Regression were applied to examine their relationships and predictive influence. Results revealed that all major variables and their respective dimensions were assessed at generally high levels. Significant multivariate relationships were established between governance and retention, satisfaction and retention, and engagement and retention. Member engagement emerged as the strongest predictor of </w:t>
      </w:r>
      <w:r w:rsidR="0049530C">
        <w:rPr>
          <w:rFonts w:ascii="Times New Roman" w:eastAsia="Arial" w:hAnsi="Times New Roman" w:cs="Times New Roman"/>
          <w:sz w:val="24"/>
          <w:szCs w:val="24"/>
        </w:rPr>
        <w:t xml:space="preserve">membership </w:t>
      </w:r>
      <w:r w:rsidRPr="00D6568A">
        <w:rPr>
          <w:rFonts w:ascii="Times New Roman" w:eastAsia="Arial" w:hAnsi="Times New Roman" w:cs="Times New Roman"/>
          <w:sz w:val="24"/>
          <w:szCs w:val="24"/>
        </w:rPr>
        <w:t>retention, followed by member satisfaction and governance. The study concludes that transparent governance, high service performance, and sustained member engagement collectively reinforce loyalty and advocacy, thereby strengthening cooperative competitiveness, institutional resilience, and long-term sustainability. Future research may explore these variables across different cooperative settings and consider additional factors, such as digital service adoption and organizational culture, to enhance the understanding of membership retention.</w:t>
      </w:r>
    </w:p>
    <w:p w14:paraId="0A13EA8B" w14:textId="08CA0894" w:rsidR="009B295D" w:rsidRDefault="007B6667" w:rsidP="00D6568A">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b/>
          <w:bCs/>
          <w:sz w:val="24"/>
          <w:szCs w:val="24"/>
        </w:rPr>
        <w:t>Keywords:</w:t>
      </w:r>
      <w:r w:rsidRPr="00D6568A">
        <w:rPr>
          <w:rFonts w:ascii="Times New Roman" w:eastAsia="Arial" w:hAnsi="Times New Roman" w:cs="Times New Roman"/>
          <w:sz w:val="24"/>
          <w:szCs w:val="24"/>
        </w:rPr>
        <w:t xml:space="preserve"> </w:t>
      </w:r>
      <w:r w:rsidR="009B295D" w:rsidRPr="009B295D">
        <w:rPr>
          <w:rFonts w:ascii="Times New Roman" w:eastAsia="Arial" w:hAnsi="Times New Roman" w:cs="Times New Roman"/>
          <w:sz w:val="24"/>
          <w:szCs w:val="24"/>
        </w:rPr>
        <w:t>Governance</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 Satisfaction</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 Engagement</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Membership Retention</w:t>
      </w:r>
      <w:r w:rsidR="009B295D">
        <w:rPr>
          <w:rFonts w:ascii="Times New Roman" w:eastAsia="Arial" w:hAnsi="Times New Roman" w:cs="Times New Roman"/>
          <w:sz w:val="24"/>
          <w:szCs w:val="24"/>
        </w:rPr>
        <w:t>,</w:t>
      </w:r>
      <w:r w:rsidR="009B295D" w:rsidRPr="009B295D">
        <w:rPr>
          <w:rFonts w:ascii="Times New Roman" w:eastAsia="Arial" w:hAnsi="Times New Roman" w:cs="Times New Roman"/>
          <w:sz w:val="24"/>
          <w:szCs w:val="24"/>
        </w:rPr>
        <w:t xml:space="preserve"> SERVPERF Model</w:t>
      </w:r>
    </w:p>
    <w:p w14:paraId="68BF1508" w14:textId="07BD73E6" w:rsidR="00A530FA" w:rsidRPr="00C00F8B" w:rsidRDefault="00590843" w:rsidP="00D6568A">
      <w:pPr>
        <w:spacing w:before="240" w:after="240" w:line="240" w:lineRule="auto"/>
        <w:jc w:val="both"/>
        <w:rPr>
          <w:rFonts w:ascii="Times New Roman" w:eastAsia="Arial" w:hAnsi="Times New Roman" w:cs="Times New Roman"/>
          <w:b/>
          <w:bCs/>
          <w:kern w:val="0"/>
          <w:sz w:val="24"/>
          <w:szCs w:val="24"/>
          <w:lang w:eastAsia="en-PH"/>
          <w14:ligatures w14:val="none"/>
        </w:rPr>
      </w:pPr>
      <w:r w:rsidRPr="00C00F8B">
        <w:rPr>
          <w:rFonts w:ascii="Times New Roman" w:eastAsia="Arial" w:hAnsi="Times New Roman" w:cs="Times New Roman"/>
          <w:b/>
          <w:bCs/>
          <w:kern w:val="0"/>
          <w:sz w:val="28"/>
          <w:szCs w:val="28"/>
          <w:lang w:eastAsia="en-PH"/>
          <w14:ligatures w14:val="none"/>
        </w:rPr>
        <w:t>INTRODUCTION</w:t>
      </w:r>
    </w:p>
    <w:p w14:paraId="081F1445" w14:textId="77777777" w:rsidR="009A4768"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Multipurpose cooperatives (MPCs) play a significant role in promoting financial inclusion and improving member welfare by providing credit, savings, and livelihood services that support community development and local economic stability. However, cooperative sustainability depends not only on service provision but also on the ability to retain members. Strong membership retention secures stable resources, strengthens trust, and sustains participation, which are essential for long-term cooperative growth (Almaiah et al., 2022).</w:t>
      </w:r>
    </w:p>
    <w:p w14:paraId="334748F5" w14:textId="5E4ED954"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A cooperative in </w:t>
      </w:r>
      <w:r w:rsidR="000E4E9F" w:rsidRPr="000E4E9F">
        <w:rPr>
          <w:rFonts w:ascii="Times New Roman" w:eastAsia="Arial" w:hAnsi="Times New Roman" w:cs="Times New Roman"/>
          <w:kern w:val="0"/>
          <w:sz w:val="24"/>
          <w:szCs w:val="24"/>
          <w:lang w:eastAsia="en-PH"/>
          <w14:ligatures w14:val="none"/>
        </w:rPr>
        <w:t>one of the cities in Bukidnon</w:t>
      </w:r>
      <w:r w:rsidRPr="00D6568A">
        <w:rPr>
          <w:rFonts w:ascii="Times New Roman" w:eastAsia="Arial" w:hAnsi="Times New Roman" w:cs="Times New Roman"/>
          <w:kern w:val="0"/>
          <w:sz w:val="24"/>
          <w:szCs w:val="24"/>
          <w:lang w:eastAsia="en-PH"/>
          <w14:ligatures w14:val="none"/>
        </w:rPr>
        <w:t>, currently operating as an open-type cooperative, faces increasing pressure to sustain member</w:t>
      </w:r>
      <w:r w:rsidR="007B4182" w:rsidRPr="00D6568A">
        <w:rPr>
          <w:rFonts w:ascii="Times New Roman" w:eastAsia="Arial" w:hAnsi="Times New Roman" w:cs="Times New Roman"/>
          <w:kern w:val="0"/>
          <w:sz w:val="24"/>
          <w:szCs w:val="24"/>
          <w:lang w:eastAsia="en-PH"/>
          <w14:ligatures w14:val="none"/>
        </w:rPr>
        <w:t>ship</w:t>
      </w:r>
      <w:r w:rsidRPr="00D6568A">
        <w:rPr>
          <w:rFonts w:ascii="Times New Roman" w:eastAsia="Arial" w:hAnsi="Times New Roman" w:cs="Times New Roman"/>
          <w:kern w:val="0"/>
          <w:sz w:val="24"/>
          <w:szCs w:val="24"/>
          <w:lang w:eastAsia="en-PH"/>
          <w14:ligatures w14:val="none"/>
        </w:rPr>
        <w:t xml:space="preserve"> retention amid growing competition from banks and technology-driven financial institutions. While cooperative transactions are largely conducted through in-office visits, banks and digital platforms allow clients to access financial services instantly through mobile applications. Studies in the Philippines indicate that competition from larger financial providers can weaken membership stability and challenge the survival of smaller cooperatives (Macaraeg &amp; Dacanay, 2021).</w:t>
      </w:r>
    </w:p>
    <w:p w14:paraId="7146B84E" w14:textId="29F4BE7E"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records from 2020 to 2024 indicate growth from 1,034 to 1,902 members. Despite this increase, annual termination rates ranging from 111 to 159 suggest persistent difficulties in sustaining member loyalty. Although membership targets introduced in 2022 were initially achieved, subsequent shortfalls and the projected 2025 target of 1,680 members highlight the need to strengthen retention strategies.</w:t>
      </w:r>
    </w:p>
    <w:p w14:paraId="083C6E7A" w14:textId="66F5391C"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Previous studies identify governance, member satisfaction, and member engagement as important determinants of </w:t>
      </w:r>
      <w:r w:rsidR="0049530C">
        <w:rPr>
          <w:rFonts w:ascii="Times New Roman" w:eastAsia="Arial" w:hAnsi="Times New Roman" w:cs="Times New Roman"/>
          <w:kern w:val="0"/>
          <w:sz w:val="24"/>
          <w:szCs w:val="24"/>
          <w:lang w:eastAsia="en-PH"/>
          <w14:ligatures w14:val="none"/>
        </w:rPr>
        <w:t>membership</w:t>
      </w:r>
      <w:r w:rsidR="0049530C"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 xml:space="preserve">retention. Governance practices that demonstrate trust, transparency, and social responsibility strengthen member confidence and loyalty (Ricadonna et al., 2023; Yeboah &amp; Agyapong, 2023). Member </w:t>
      </w:r>
      <w:r w:rsidRPr="00D6568A">
        <w:rPr>
          <w:rFonts w:ascii="Times New Roman" w:eastAsia="Arial" w:hAnsi="Times New Roman" w:cs="Times New Roman"/>
          <w:kern w:val="0"/>
          <w:sz w:val="24"/>
          <w:szCs w:val="24"/>
          <w:lang w:eastAsia="en-PH"/>
          <w14:ligatures w14:val="none"/>
        </w:rPr>
        <w:lastRenderedPageBreak/>
        <w:t>satisfaction, reflected in reliable, responsive, assuring, empathetic, and tangible service performance, consistently predicts continued membership (Manzano, 2024; Zamzami et al., 2022; Sapkota et al., 2023). Member engagement, including cooperative awareness, perceived value, and participation, also strengthens loyalty and reduces member dropout (Reyes, 2022; Gil</w:t>
      </w:r>
      <w:r w:rsidR="0019460D">
        <w:rPr>
          <w:rFonts w:ascii="Times New Roman" w:eastAsia="Arial" w:hAnsi="Times New Roman" w:cs="Times New Roman"/>
          <w:kern w:val="0"/>
          <w:sz w:val="24"/>
          <w:szCs w:val="24"/>
          <w:lang w:eastAsia="en-PH"/>
          <w14:ligatures w14:val="none"/>
        </w:rPr>
        <w:t>-</w:t>
      </w:r>
      <w:r w:rsidRPr="00D6568A">
        <w:rPr>
          <w:rFonts w:ascii="Times New Roman" w:eastAsia="Arial" w:hAnsi="Times New Roman" w:cs="Times New Roman"/>
          <w:kern w:val="0"/>
          <w:sz w:val="24"/>
          <w:szCs w:val="24"/>
          <w:lang w:eastAsia="en-PH"/>
          <w14:ligatures w14:val="none"/>
        </w:rPr>
        <w:t>Salapi, 2024; Ngugi &amp; Mugo, 2023). In the Philippines, these factors collectively enhance member commitment and retention (Lopez, 2021; Tumban &amp; Delos Reyes, 2024).</w:t>
      </w:r>
    </w:p>
    <w:p w14:paraId="35F509AB" w14:textId="689CE49A"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However, empirical evidence on the combined influence of governance, member satisfaction, and member</w:t>
      </w:r>
      <w:r w:rsidR="00306EBC"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engagement on cooperative member</w:t>
      </w:r>
      <w:r w:rsidR="007B4182" w:rsidRPr="00D6568A">
        <w:rPr>
          <w:rFonts w:ascii="Times New Roman" w:eastAsia="Arial" w:hAnsi="Times New Roman" w:cs="Times New Roman"/>
          <w:kern w:val="0"/>
          <w:sz w:val="24"/>
          <w:szCs w:val="24"/>
          <w:lang w:eastAsia="en-PH"/>
          <w14:ligatures w14:val="none"/>
        </w:rPr>
        <w:t>ship</w:t>
      </w:r>
      <w:r w:rsidRPr="00D6568A">
        <w:rPr>
          <w:rFonts w:ascii="Times New Roman" w:eastAsia="Arial" w:hAnsi="Times New Roman" w:cs="Times New Roman"/>
          <w:kern w:val="0"/>
          <w:sz w:val="24"/>
          <w:szCs w:val="24"/>
          <w:lang w:eastAsia="en-PH"/>
          <w14:ligatures w14:val="none"/>
        </w:rPr>
        <w:t xml:space="preserve"> retention remains limited, particularly within the Philippine cooperative sector. Most existing studies examine these factors independently or within broader organizational contexts, leaving a limited understanding of how they interact to influence retention in specific cooperative environments such as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This gap restricts the development of context-based strategies to strengthen member loyalty and sustain cooperative competitiveness.</w:t>
      </w:r>
    </w:p>
    <w:p w14:paraId="2AA08FBD" w14:textId="604AC94B" w:rsidR="00FF64F2"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This study examines the influence of governance, member satisfaction, and member engagement on membership retention in a cooperative in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The findings aim to provide evidence-based insights that may improve service delivery, strengthen cooperative identity, and support strategies that enable cooperatives to compete with banks and other financial institutions.</w:t>
      </w:r>
    </w:p>
    <w:p w14:paraId="308B2AFB" w14:textId="2B59506B" w:rsidR="00855B04" w:rsidRPr="00D6568A" w:rsidRDefault="00FF64F2"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In a broader perspective, strengthening cooperative membership retention contributes to the United Nations Sustainable Development Goals, particularly SDG 8 (Decent Work and Economic Growth) through inclusive financial services and SDG 11 (Sustainable Cities and Communities) by strengthening resilient local institutions (United Nations, 2021)</w:t>
      </w:r>
      <w:r w:rsidR="0050338D" w:rsidRPr="00D6568A">
        <w:rPr>
          <w:rFonts w:ascii="Times New Roman" w:eastAsia="Arial" w:hAnsi="Times New Roman" w:cs="Times New Roman"/>
          <w:kern w:val="0"/>
          <w:sz w:val="24"/>
          <w:szCs w:val="24"/>
          <w:lang w:eastAsia="en-PH"/>
          <w14:ligatures w14:val="none"/>
        </w:rPr>
        <w:t>.</w:t>
      </w:r>
    </w:p>
    <w:p w14:paraId="1CC24013" w14:textId="77777777" w:rsidR="000F7685" w:rsidRPr="00C00F8B" w:rsidRDefault="00A530FA" w:rsidP="00D6568A">
      <w:pPr>
        <w:spacing w:before="240" w:after="240" w:line="240" w:lineRule="auto"/>
        <w:jc w:val="both"/>
        <w:rPr>
          <w:rFonts w:ascii="Times New Roman" w:eastAsia="Arial" w:hAnsi="Times New Roman" w:cs="Times New Roman"/>
          <w:b/>
          <w:kern w:val="0"/>
          <w:sz w:val="28"/>
          <w:szCs w:val="28"/>
          <w:lang w:eastAsia="en-PH"/>
          <w14:ligatures w14:val="none"/>
        </w:rPr>
      </w:pPr>
      <w:r w:rsidRPr="00C00F8B">
        <w:rPr>
          <w:rFonts w:ascii="Times New Roman" w:eastAsia="Arial" w:hAnsi="Times New Roman" w:cs="Times New Roman"/>
          <w:b/>
          <w:kern w:val="0"/>
          <w:sz w:val="28"/>
          <w:szCs w:val="28"/>
          <w:lang w:eastAsia="en-PH"/>
          <w14:ligatures w14:val="none"/>
        </w:rPr>
        <w:t>LITERATURE REVIEW</w:t>
      </w:r>
    </w:p>
    <w:p w14:paraId="177F9823"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retention remains a critical concern for cooperatives seeking long-term sustainability and institutional stability. Retention is influenced by the interaction of governance, service performance, and member involvement. In cooperative settings, members evaluate not only service quality but also leadership credibility and the value gained from participation. Thus, retention emerges from both structural conditions and relational experiences within the organization.</w:t>
      </w:r>
    </w:p>
    <w:p w14:paraId="7260A4D0"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This study is anchored on the SERVPERF model (Cronin &amp; Taylor, 1992) and Social Exchange Theory (Blau, 1964), which explain how service performance and perceived benefits influence member commitment. The SERVPERF model assesses satisfaction based on actual service performance across five dimensions: reliability, responsiveness, assurance, empathy, and tangibles. In cooperatives, these dimensions reflect efficient transactions, responsive staff assistance, secure services, personalized support, and adequate facilities. Empirical studies confirm the relevance of SERVPERF in cooperative contexts. Manzano (2024) found that service quality significantly predicts satisfaction in Filipino cooperatives, while Sapkota et al. (2023) reported that positive service evaluations strengthen loyalty and reduce member withdrawal.</w:t>
      </w:r>
    </w:p>
    <w:p w14:paraId="0DB668CE"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Complementing this perspective, Social Exchange Theory posits that individuals sustain relationships when perceived benefits outweigh costs. In cooperatives, members evaluate governance fairness, financial benefits, and opportunities for participation. When leadership demonstrates transparency, accountability, and social responsibility, members reciprocate through loyalty and advocacy. Previous studies indicate that trust and perceived fairness strengthen commitment (Garcia &amp; Dela Peña, 2023), while awareness and perceived value enhance engagement and retention (Reyes, 2022; Zamzami et al., 2022).</w:t>
      </w:r>
    </w:p>
    <w:p w14:paraId="7FD2635D" w14:textId="301928F9"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Governance in cooperatives is commonly reflected through trust, transparency, and social responsibility. Trust develops when members perceive ethical leadership and consistent fulfillment of commitments (Ricadonna et al., 2023). Transparency promotes accountability and strengthens member confidence (Kaur &amp; Soch, 202</w:t>
      </w:r>
      <w:r w:rsidR="009C0DD7">
        <w:rPr>
          <w:rFonts w:ascii="Times New Roman" w:eastAsia="Arial" w:hAnsi="Times New Roman" w:cs="Times New Roman"/>
          <w:kern w:val="0"/>
          <w:sz w:val="24"/>
          <w:szCs w:val="24"/>
          <w:lang w:eastAsia="en-PH"/>
          <w14:ligatures w14:val="none"/>
        </w:rPr>
        <w:t>1</w:t>
      </w:r>
      <w:r w:rsidRPr="00D6568A">
        <w:rPr>
          <w:rFonts w:ascii="Times New Roman" w:eastAsia="Arial" w:hAnsi="Times New Roman" w:cs="Times New Roman"/>
          <w:kern w:val="0"/>
          <w:sz w:val="24"/>
          <w:szCs w:val="24"/>
          <w:lang w:eastAsia="en-PH"/>
          <w14:ligatures w14:val="none"/>
        </w:rPr>
        <w:t>; Nguyen &amp; Le, 2023), while social responsibility reinforces members’ identification with the cooperative through community-oriented initiatives (Yeboah &amp; Agyapong, 2023). These governance dimensions collectively enhance institutional credibility and encourage continued membership.</w:t>
      </w:r>
    </w:p>
    <w:p w14:paraId="11786892"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lastRenderedPageBreak/>
        <w:t>Member satisfaction represents members’ evaluation of their service experiences. Reliable and responsive services, professional staff, secure transactions, and supportive environments enhance satisfaction and strengthen positive perceptions of the cooperative (Lopez, 2021; Manzano, 2024). Studies show that satisfied members are more likely to remain loyal, participate actively, and advocate for the organization (Sapkota et al., 2023).</w:t>
      </w:r>
    </w:p>
    <w:p w14:paraId="56EB2C71" w14:textId="5045B36B"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 engagement includes cooperative awareness, perceived value of membership, and level of participation. Awareness promotes informed involvement in cooperative activities (Reyes, 2022), while perceived value shapes members’ evaluation of benefits relative to contributions (Zamzami et al., 2022). Active participation strengthens collective identity and emotional attachment to the organization (Manzano, 2024). Through engagement, governance and service satisfaction are translated into sustained behavioral commitment.</w:t>
      </w:r>
    </w:p>
    <w:p w14:paraId="16BA837F" w14:textId="77777777"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Membership retention refers to the continued loyalty, participation, and advocacy of members. It encompasses both behavioral indicators, such as ongoing transactions, and attitudinal elements, including emotional attachment and willingness to recommend the cooperative. Research consistently shows that retention is influenced by trust, satisfaction, perceived value, and engagement (Alshurideh et al., 2020; Almaiah et al., 2022).</w:t>
      </w:r>
    </w:p>
    <w:p w14:paraId="4C648C59" w14:textId="4A03DAE8"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Overall, the literature indicates that </w:t>
      </w:r>
      <w:r w:rsidR="00772C2F">
        <w:rPr>
          <w:rFonts w:ascii="Times New Roman" w:eastAsia="Arial" w:hAnsi="Times New Roman" w:cs="Times New Roman"/>
          <w:kern w:val="0"/>
          <w:sz w:val="24"/>
          <w:szCs w:val="24"/>
          <w:lang w:eastAsia="en-PH"/>
          <w14:ligatures w14:val="none"/>
        </w:rPr>
        <w:t>membership</w:t>
      </w:r>
      <w:r w:rsidR="00772C2F"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retention is multidimensional. Governance establishes institutional trust, service performance generates satisfaction, and engagement transforms these factors into sustained loyalty and advocacy. Accordingly, this study proposes that governance, member satisfaction, and member engagement collectively influence membership retention. Figure 1 illustrates the conceptual framework of the study.</w:t>
      </w:r>
    </w:p>
    <w:p w14:paraId="20EE805C" w14:textId="10F1CA21" w:rsidR="00230942" w:rsidRPr="00D6568A" w:rsidRDefault="00C24CDF" w:rsidP="00772C2F">
      <w:pPr>
        <w:spacing w:before="240" w:after="240" w:line="240" w:lineRule="auto"/>
        <w:jc w:val="center"/>
        <w:rPr>
          <w:rFonts w:ascii="Times New Roman" w:eastAsia="Arial" w:hAnsi="Times New Roman" w:cs="Times New Roman"/>
          <w:kern w:val="0"/>
          <w:sz w:val="24"/>
          <w:szCs w:val="24"/>
          <w:lang w:eastAsia="en-PH"/>
          <w14:ligatures w14:val="none"/>
        </w:rPr>
      </w:pPr>
      <w:r w:rsidRPr="00C24CDF">
        <w:rPr>
          <w:rFonts w:ascii="Times New Roman" w:eastAsia="Arial" w:hAnsi="Times New Roman" w:cs="Times New Roman"/>
          <w:noProof/>
          <w:kern w:val="0"/>
          <w:sz w:val="24"/>
          <w:szCs w:val="24"/>
          <w:lang w:val="en-IN" w:eastAsia="en-IN"/>
          <w14:ligatures w14:val="none"/>
        </w:rPr>
        <w:drawing>
          <wp:inline distT="0" distB="0" distL="0" distR="0" wp14:anchorId="1ADF9314" wp14:editId="39F2DEF7">
            <wp:extent cx="4652837" cy="449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6452" cy="4605580"/>
                    </a:xfrm>
                    <a:prstGeom prst="rect">
                      <a:avLst/>
                    </a:prstGeom>
                  </pic:spPr>
                </pic:pic>
              </a:graphicData>
            </a:graphic>
          </wp:inline>
        </w:drawing>
      </w:r>
    </w:p>
    <w:p w14:paraId="76AC78D7" w14:textId="2978EE11" w:rsidR="00060770" w:rsidRPr="00D6568A" w:rsidRDefault="00230942" w:rsidP="00D6568A">
      <w:pPr>
        <w:spacing w:before="240" w:after="240" w:line="240" w:lineRule="auto"/>
        <w:jc w:val="center"/>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Figure 1. Schema of the Study</w:t>
      </w:r>
    </w:p>
    <w:p w14:paraId="728E7CF8" w14:textId="7D613ADD" w:rsidR="000F7685" w:rsidRPr="00C00F8B" w:rsidRDefault="007143DE"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RESEARCH QUESTIONS</w:t>
      </w:r>
    </w:p>
    <w:p w14:paraId="57842E4B" w14:textId="42A875DB" w:rsidR="0050338D" w:rsidRPr="00D6568A" w:rsidRDefault="0050338D" w:rsidP="00D6568A">
      <w:p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lastRenderedPageBreak/>
        <w:t xml:space="preserve">This study examined the influence of governance, member satisfaction, and member engagement on membership retention in a cooperative in </w:t>
      </w:r>
      <w:r w:rsidR="000E4E9F" w:rsidRPr="000E4E9F">
        <w:rPr>
          <w:rFonts w:ascii="Times New Roman" w:eastAsia="Arial" w:hAnsi="Times New Roman" w:cs="Times New Roman"/>
          <w:sz w:val="24"/>
          <w:szCs w:val="24"/>
        </w:rPr>
        <w:t>one of the cities in Bukidnon</w:t>
      </w:r>
      <w:r w:rsidRPr="00D6568A">
        <w:rPr>
          <w:rFonts w:ascii="Times New Roman" w:eastAsia="Arial" w:hAnsi="Times New Roman" w:cs="Times New Roman"/>
          <w:sz w:val="24"/>
          <w:szCs w:val="24"/>
        </w:rPr>
        <w:t>. Specifically, it addressed the following research questions:</w:t>
      </w:r>
    </w:p>
    <w:p w14:paraId="416D7717" w14:textId="6DF1F950" w:rsidR="00E06204"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assessment of the cooperative’s governance</w:t>
      </w:r>
      <w:r w:rsidR="00E06204" w:rsidRPr="00D6568A">
        <w:rPr>
          <w:rFonts w:ascii="Times New Roman" w:eastAsia="Arial" w:hAnsi="Times New Roman" w:cs="Times New Roman"/>
          <w:sz w:val="24"/>
          <w:szCs w:val="24"/>
        </w:rPr>
        <w:t xml:space="preserve"> in terms of</w:t>
      </w:r>
      <w:r w:rsidR="00C24CDF">
        <w:rPr>
          <w:rFonts w:ascii="Times New Roman" w:eastAsia="Arial" w:hAnsi="Times New Roman" w:cs="Times New Roman"/>
          <w:sz w:val="24"/>
          <w:szCs w:val="24"/>
        </w:rPr>
        <w:t xml:space="preserve"> </w:t>
      </w:r>
      <w:r w:rsidR="00E06204" w:rsidRPr="00C00F8B">
        <w:rPr>
          <w:rFonts w:ascii="Times New Roman" w:eastAsia="Arial" w:hAnsi="Times New Roman" w:cs="Times New Roman"/>
          <w:sz w:val="24"/>
          <w:szCs w:val="24"/>
        </w:rPr>
        <w:t>trust</w:t>
      </w:r>
      <w:r w:rsidR="00C24CDF">
        <w:rPr>
          <w:rFonts w:ascii="Times New Roman" w:eastAsia="Arial" w:hAnsi="Times New Roman" w:cs="Times New Roman"/>
          <w:sz w:val="24"/>
          <w:szCs w:val="24"/>
        </w:rPr>
        <w:t xml:space="preserve">, </w:t>
      </w:r>
      <w:r w:rsidR="00E06204" w:rsidRPr="00C00F8B">
        <w:rPr>
          <w:rFonts w:ascii="Times New Roman" w:eastAsia="Arial" w:hAnsi="Times New Roman" w:cs="Times New Roman"/>
          <w:sz w:val="24"/>
          <w:szCs w:val="24"/>
        </w:rPr>
        <w:t>transparency</w:t>
      </w:r>
      <w:r w:rsidR="00C24CDF">
        <w:rPr>
          <w:rFonts w:ascii="Times New Roman" w:eastAsia="Arial" w:hAnsi="Times New Roman" w:cs="Times New Roman"/>
          <w:sz w:val="24"/>
          <w:szCs w:val="24"/>
        </w:rPr>
        <w:t xml:space="preserve">, and </w:t>
      </w:r>
      <w:r w:rsidR="00E06204" w:rsidRPr="00C00F8B">
        <w:rPr>
          <w:rFonts w:ascii="Times New Roman" w:eastAsia="Arial" w:hAnsi="Times New Roman" w:cs="Times New Roman"/>
          <w:sz w:val="24"/>
          <w:szCs w:val="24"/>
        </w:rPr>
        <w:t>social responsibility</w:t>
      </w:r>
      <w:r w:rsidRPr="00C00F8B">
        <w:rPr>
          <w:rFonts w:ascii="Times New Roman" w:eastAsia="Arial" w:hAnsi="Times New Roman" w:cs="Times New Roman"/>
          <w:sz w:val="24"/>
          <w:szCs w:val="24"/>
        </w:rPr>
        <w:t>?</w:t>
      </w:r>
    </w:p>
    <w:p w14:paraId="14750013" w14:textId="70A76DC8"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level of member satisfaction in terms of</w:t>
      </w:r>
      <w:r w:rsidR="00C24CDF">
        <w:rPr>
          <w:rFonts w:ascii="Times New Roman" w:eastAsia="Arial" w:hAnsi="Times New Roman" w:cs="Times New Roman"/>
          <w:sz w:val="24"/>
          <w:szCs w:val="24"/>
        </w:rPr>
        <w:t xml:space="preserve"> </w:t>
      </w:r>
      <w:r w:rsidR="00FC05CD" w:rsidRPr="00C00F8B">
        <w:rPr>
          <w:rFonts w:ascii="Times New Roman" w:eastAsia="Arial" w:hAnsi="Times New Roman" w:cs="Times New Roman"/>
          <w:sz w:val="24"/>
          <w:szCs w:val="24"/>
        </w:rPr>
        <w:t>R</w:t>
      </w:r>
      <w:r w:rsidRPr="00C00F8B">
        <w:rPr>
          <w:rFonts w:ascii="Times New Roman" w:eastAsia="Arial" w:hAnsi="Times New Roman" w:cs="Times New Roman"/>
          <w:sz w:val="24"/>
          <w:szCs w:val="24"/>
        </w:rPr>
        <w:t>eliability</w:t>
      </w:r>
      <w:r w:rsidR="00FC05CD" w:rsidRPr="00C00F8B">
        <w:rPr>
          <w:rFonts w:ascii="Times New Roman" w:eastAsia="Arial" w:hAnsi="Times New Roman" w:cs="Times New Roman"/>
          <w:sz w:val="24"/>
          <w:szCs w:val="24"/>
        </w:rPr>
        <w:t>, R</w:t>
      </w:r>
      <w:r w:rsidRPr="00C00F8B">
        <w:rPr>
          <w:rFonts w:ascii="Times New Roman" w:eastAsia="Arial" w:hAnsi="Times New Roman" w:cs="Times New Roman"/>
          <w:sz w:val="24"/>
          <w:szCs w:val="24"/>
        </w:rPr>
        <w:t>esponsiveness</w:t>
      </w:r>
      <w:r w:rsidR="00FC05CD" w:rsidRPr="00C00F8B">
        <w:rPr>
          <w:rFonts w:ascii="Times New Roman" w:eastAsia="Arial" w:hAnsi="Times New Roman" w:cs="Times New Roman"/>
          <w:sz w:val="24"/>
          <w:szCs w:val="24"/>
        </w:rPr>
        <w:t>, A</w:t>
      </w:r>
      <w:r w:rsidRPr="00C00F8B">
        <w:rPr>
          <w:rFonts w:ascii="Times New Roman" w:eastAsia="Arial" w:hAnsi="Times New Roman" w:cs="Times New Roman"/>
          <w:sz w:val="24"/>
          <w:szCs w:val="24"/>
        </w:rPr>
        <w:t>ssurance</w:t>
      </w:r>
      <w:r w:rsidR="00FC05CD" w:rsidRPr="00C00F8B">
        <w:rPr>
          <w:rFonts w:ascii="Times New Roman" w:eastAsia="Arial" w:hAnsi="Times New Roman" w:cs="Times New Roman"/>
          <w:sz w:val="24"/>
          <w:szCs w:val="24"/>
        </w:rPr>
        <w:t>, E</w:t>
      </w:r>
      <w:r w:rsidRPr="00C00F8B">
        <w:rPr>
          <w:rFonts w:ascii="Times New Roman" w:eastAsia="Arial" w:hAnsi="Times New Roman" w:cs="Times New Roman"/>
          <w:sz w:val="24"/>
          <w:szCs w:val="24"/>
        </w:rPr>
        <w:t>mpathy</w:t>
      </w:r>
      <w:r w:rsidR="00FC05CD" w:rsidRPr="00C00F8B">
        <w:rPr>
          <w:rFonts w:ascii="Times New Roman" w:eastAsia="Arial" w:hAnsi="Times New Roman" w:cs="Times New Roman"/>
          <w:sz w:val="24"/>
          <w:szCs w:val="24"/>
        </w:rPr>
        <w:t xml:space="preserve">, </w:t>
      </w:r>
      <w:r w:rsidR="00C24CDF">
        <w:rPr>
          <w:rFonts w:ascii="Times New Roman" w:eastAsia="Arial" w:hAnsi="Times New Roman" w:cs="Times New Roman"/>
          <w:sz w:val="24"/>
          <w:szCs w:val="24"/>
        </w:rPr>
        <w:t>and T</w:t>
      </w:r>
      <w:r w:rsidRPr="00C00F8B">
        <w:rPr>
          <w:rFonts w:ascii="Times New Roman" w:eastAsia="Arial" w:hAnsi="Times New Roman" w:cs="Times New Roman"/>
          <w:sz w:val="24"/>
          <w:szCs w:val="24"/>
        </w:rPr>
        <w:t>angibles?</w:t>
      </w:r>
    </w:p>
    <w:p w14:paraId="73C8FFE3" w14:textId="005264CB"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participants' assessment of their membe</w:t>
      </w:r>
      <w:r w:rsidR="00C71CE4" w:rsidRPr="00D6568A">
        <w:rPr>
          <w:rFonts w:ascii="Times New Roman" w:eastAsia="Arial" w:hAnsi="Times New Roman" w:cs="Times New Roman"/>
          <w:sz w:val="24"/>
          <w:szCs w:val="24"/>
        </w:rPr>
        <w:t>r</w:t>
      </w:r>
      <w:r w:rsidRPr="00D6568A">
        <w:rPr>
          <w:rFonts w:ascii="Times New Roman" w:eastAsia="Arial" w:hAnsi="Times New Roman" w:cs="Times New Roman"/>
          <w:sz w:val="24"/>
          <w:szCs w:val="24"/>
        </w:rPr>
        <w:t xml:space="preserve"> engagement in terms of</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cooperative awareness</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perceived value of membership</w:t>
      </w:r>
      <w:r w:rsidR="00166511">
        <w:rPr>
          <w:rFonts w:ascii="Times New Roman" w:eastAsia="Arial" w:hAnsi="Times New Roman" w:cs="Times New Roman"/>
          <w:sz w:val="24"/>
          <w:szCs w:val="24"/>
        </w:rPr>
        <w:t>,</w:t>
      </w:r>
      <w:r w:rsidRPr="00C00F8B">
        <w:rPr>
          <w:rFonts w:ascii="Times New Roman" w:eastAsia="Arial" w:hAnsi="Times New Roman" w:cs="Times New Roman"/>
          <w:sz w:val="24"/>
          <w:szCs w:val="24"/>
        </w:rPr>
        <w:t xml:space="preserve"> and level of participation?</w:t>
      </w:r>
    </w:p>
    <w:p w14:paraId="182B986E" w14:textId="79CC1294" w:rsidR="000F7685" w:rsidRPr="00C00F8B" w:rsidRDefault="000F7685" w:rsidP="00C00F8B">
      <w:pPr>
        <w:pStyle w:val="ListParagraph"/>
        <w:numPr>
          <w:ilvl w:val="0"/>
          <w:numId w:val="1"/>
        </w:numPr>
        <w:spacing w:before="240" w:after="240" w:line="240" w:lineRule="auto"/>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What is the extent of the participants’ membership retention in terms of</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loyalty and</w:t>
      </w:r>
      <w:r w:rsidR="00C24CDF">
        <w:rPr>
          <w:rFonts w:ascii="Times New Roman" w:eastAsia="Arial" w:hAnsi="Times New Roman" w:cs="Times New Roman"/>
          <w:sz w:val="24"/>
          <w:szCs w:val="24"/>
        </w:rPr>
        <w:t xml:space="preserve"> </w:t>
      </w:r>
      <w:r w:rsidRPr="00C00F8B">
        <w:rPr>
          <w:rFonts w:ascii="Times New Roman" w:eastAsia="Arial" w:hAnsi="Times New Roman" w:cs="Times New Roman"/>
          <w:sz w:val="24"/>
          <w:szCs w:val="24"/>
        </w:rPr>
        <w:t>advocacy?</w:t>
      </w:r>
    </w:p>
    <w:p w14:paraId="54187DC3" w14:textId="70570AAE" w:rsidR="00005F07" w:rsidRPr="00D6568A" w:rsidRDefault="00225549" w:rsidP="00D6568A">
      <w:pPr>
        <w:pStyle w:val="ListParagraph"/>
        <w:numPr>
          <w:ilvl w:val="0"/>
          <w:numId w:val="1"/>
        </w:numPr>
        <w:spacing w:before="240" w:after="24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Are governance, member satisfaction, and member engagement significantly associated with membership retention</w:t>
      </w:r>
      <w:r w:rsidR="00005F07" w:rsidRPr="00D6568A">
        <w:rPr>
          <w:rFonts w:ascii="Times New Roman" w:eastAsia="Arial" w:hAnsi="Times New Roman" w:cs="Times New Roman"/>
          <w:sz w:val="24"/>
          <w:szCs w:val="24"/>
        </w:rPr>
        <w:t>?</w:t>
      </w:r>
      <w:r w:rsidR="000F7685" w:rsidRPr="00D6568A">
        <w:rPr>
          <w:rFonts w:ascii="Times New Roman" w:eastAsia="Arial" w:hAnsi="Times New Roman" w:cs="Times New Roman"/>
          <w:sz w:val="24"/>
          <w:szCs w:val="24"/>
        </w:rPr>
        <w:t xml:space="preserve"> </w:t>
      </w:r>
    </w:p>
    <w:p w14:paraId="1220E67F" w14:textId="24F1C1C9" w:rsidR="00627DDF" w:rsidRPr="00D6568A" w:rsidRDefault="00104552" w:rsidP="00D6568A">
      <w:pPr>
        <w:pStyle w:val="ListParagraph"/>
        <w:numPr>
          <w:ilvl w:val="0"/>
          <w:numId w:val="1"/>
        </w:num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sz w:val="24"/>
          <w:szCs w:val="24"/>
        </w:rPr>
        <w:t>D</w:t>
      </w:r>
      <w:r w:rsidR="000F7685" w:rsidRPr="00D6568A">
        <w:rPr>
          <w:rFonts w:ascii="Times New Roman" w:eastAsia="Arial" w:hAnsi="Times New Roman" w:cs="Times New Roman"/>
          <w:sz w:val="24"/>
          <w:szCs w:val="24"/>
        </w:rPr>
        <w:t>o governance, member satisfaction, and member engagement influence membership retention?</w:t>
      </w:r>
    </w:p>
    <w:p w14:paraId="017BD01A" w14:textId="77777777" w:rsidR="009A4768" w:rsidRPr="00C00F8B" w:rsidRDefault="00A57420" w:rsidP="00772C2F">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METHODOLOGY</w:t>
      </w:r>
    </w:p>
    <w:p w14:paraId="14149B9B" w14:textId="54860603" w:rsidR="0050338D" w:rsidRPr="00D6568A" w:rsidRDefault="0050338D" w:rsidP="00C00F8B">
      <w:p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This study employed a descriptive correlational research design to examine the relationships and predictive influence among governance, member satisfaction, member engagement, and membership retention in a cooperative in </w:t>
      </w:r>
      <w:r w:rsidR="000E4E9F" w:rsidRPr="000E4E9F">
        <w:rPr>
          <w:rFonts w:ascii="Times New Roman" w:eastAsia="Arial" w:hAnsi="Times New Roman" w:cs="Times New Roman"/>
          <w:kern w:val="0"/>
          <w:sz w:val="24"/>
          <w:szCs w:val="24"/>
          <w:lang w:eastAsia="en-PH"/>
          <w14:ligatures w14:val="none"/>
        </w:rPr>
        <w:t>one of the cities in Bukidnon</w:t>
      </w:r>
      <w:r w:rsidRPr="00D6568A">
        <w:rPr>
          <w:rFonts w:ascii="Times New Roman" w:eastAsia="Arial" w:hAnsi="Times New Roman" w:cs="Times New Roman"/>
          <w:kern w:val="0"/>
          <w:sz w:val="24"/>
          <w:szCs w:val="24"/>
          <w:lang w:eastAsia="en-PH"/>
          <w14:ligatures w14:val="none"/>
        </w:rPr>
        <w:t>.</w:t>
      </w:r>
    </w:p>
    <w:p w14:paraId="6F69B581" w14:textId="746D6895" w:rsidR="0050338D" w:rsidRPr="00D6568A" w:rsidRDefault="002455A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Data were collected from 384 cooperative members selected through simple random sampling. </w:t>
      </w:r>
      <w:r w:rsidR="0050338D" w:rsidRPr="00D6568A">
        <w:rPr>
          <w:rFonts w:ascii="Times New Roman" w:eastAsia="Arial" w:hAnsi="Times New Roman" w:cs="Times New Roman"/>
          <w:kern w:val="0"/>
          <w:sz w:val="24"/>
          <w:szCs w:val="24"/>
          <w:lang w:eastAsia="en-PH"/>
          <w14:ligatures w14:val="none"/>
        </w:rPr>
        <w:t>Respondents were selected from the official membership list using a random number generator, ensuring equal probability of selection and minimizing sampling bias. All selected members completed the survey and were included in the analysis.</w:t>
      </w:r>
    </w:p>
    <w:p w14:paraId="456500A3" w14:textId="34A171CA" w:rsidR="0050338D"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Data were collected through a structured questionnaire composed of researcher-developed items aligned with governance (trust, transparency, social responsibility), SERVPERF-based satisfaction dimensions (reliability, responsiveness, assurance, empathy, tangibles), member engagement (cooperative awareness, perceived value, participation), and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 indicators (loyalty and advocacy). Responses were measured using a five-point Likert scale ranging from 1 (Strongly Disagree) to 5 (Strongly Agree).</w:t>
      </w:r>
    </w:p>
    <w:p w14:paraId="013B941E" w14:textId="2861FD01" w:rsidR="00616D9A" w:rsidRPr="00616D9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Content validity was established through expert review, followed by a pilot test with 30 participants. Cronbach’s alpha values of 0.70 or higher indicated acceptable reliability. After the main data collection, Exploratory Factor Analysis (EFA) and Confirmatory Factor Analysis (CFA) were conducted using Jamovi to verify construct validity. Items not meeting stati</w:t>
      </w:r>
      <w:r>
        <w:rPr>
          <w:rFonts w:ascii="Times New Roman" w:eastAsia="Arial" w:hAnsi="Times New Roman" w:cs="Times New Roman"/>
          <w:kern w:val="0"/>
          <w:sz w:val="24"/>
          <w:szCs w:val="24"/>
          <w:lang w:eastAsia="en-PH"/>
          <w14:ligatures w14:val="none"/>
        </w:rPr>
        <w:t>stical thresholds were removed.</w:t>
      </w:r>
    </w:p>
    <w:p w14:paraId="5ED726C7" w14:textId="60BCEAEC" w:rsidR="00616D9A" w:rsidRPr="00616D9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 xml:space="preserve">All retained dimensions demonstrated excellent internal consistency, with Cronbach’s alpha coefficients ranging from 0.938 to 0.962. Governance dimensions showed high reliability, with trust and social responsibility both at 0.959 and transparency at 0.956. Member satisfaction dimensions exhibited strong internal consistency (α = 0.938–0.962), while member engagement dimensions also reflected excellent reliability (α = 0.952–0.962). Membership retention dimensions recorded alpha values of 0.951 for </w:t>
      </w:r>
      <w:r>
        <w:rPr>
          <w:rFonts w:ascii="Times New Roman" w:eastAsia="Arial" w:hAnsi="Times New Roman" w:cs="Times New Roman"/>
          <w:kern w:val="0"/>
          <w:sz w:val="24"/>
          <w:szCs w:val="24"/>
          <w:lang w:eastAsia="en-PH"/>
          <w14:ligatures w14:val="none"/>
        </w:rPr>
        <w:t>loyalty and 0.962 for advocacy.</w:t>
      </w:r>
    </w:p>
    <w:p w14:paraId="71F7DE3E" w14:textId="5F0B2918" w:rsidR="0050338D" w:rsidRPr="00D6568A" w:rsidRDefault="00616D9A"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616D9A">
        <w:rPr>
          <w:rFonts w:ascii="Times New Roman" w:eastAsia="Arial" w:hAnsi="Times New Roman" w:cs="Times New Roman"/>
          <w:kern w:val="0"/>
          <w:sz w:val="24"/>
          <w:szCs w:val="24"/>
          <w:lang w:eastAsia="en-PH"/>
          <w14:ligatures w14:val="none"/>
        </w:rPr>
        <w:t>Retained indicators demonstrated factor loadings ≥ 0.60, Cronbach’s alpha and composite reliability ≥ 0.70, and average variance extracted (AVE) ≥ 0.50, confirming internal consistency and convergent validity. Model fit indices indicated good model fit (CFI and TLI &gt; 0.95; RMSEA = 0.000–0.065</w:t>
      </w:r>
      <w:r w:rsidR="00192EF4" w:rsidRPr="00616D9A">
        <w:rPr>
          <w:rFonts w:ascii="Times New Roman" w:eastAsia="Arial" w:hAnsi="Times New Roman" w:cs="Times New Roman"/>
          <w:kern w:val="0"/>
          <w:sz w:val="24"/>
          <w:szCs w:val="24"/>
          <w:lang w:eastAsia="en-PH"/>
          <w14:ligatures w14:val="none"/>
        </w:rPr>
        <w:t>).</w:t>
      </w:r>
      <w:r w:rsidR="00192EF4" w:rsidRPr="00D6568A">
        <w:rPr>
          <w:rFonts w:ascii="Times New Roman" w:eastAsia="Arial" w:hAnsi="Times New Roman" w:cs="Times New Roman"/>
          <w:kern w:val="0"/>
          <w:sz w:val="24"/>
          <w:szCs w:val="24"/>
          <w:lang w:eastAsia="en-PH"/>
          <w14:ligatures w14:val="none"/>
        </w:rPr>
        <w:t xml:space="preserve"> Data</w:t>
      </w:r>
      <w:r w:rsidR="0050338D" w:rsidRPr="00D6568A">
        <w:rPr>
          <w:rFonts w:ascii="Times New Roman" w:eastAsia="Arial" w:hAnsi="Times New Roman" w:cs="Times New Roman"/>
          <w:kern w:val="0"/>
          <w:sz w:val="24"/>
          <w:szCs w:val="24"/>
          <w:lang w:eastAsia="en-PH"/>
          <w14:ligatures w14:val="none"/>
        </w:rPr>
        <w:t xml:space="preserve"> were analyzed using descriptive and inferential statistics. Means and standard deviations described governance, member satisfaction, member engagement, and membership retention. Canonical Correlation Analysis (CCA) examined multivariate relationships between governance, </w:t>
      </w:r>
      <w:r w:rsidR="00C24CDF">
        <w:rPr>
          <w:rFonts w:ascii="Times New Roman" w:eastAsia="Arial" w:hAnsi="Times New Roman" w:cs="Times New Roman"/>
          <w:kern w:val="0"/>
          <w:sz w:val="24"/>
          <w:szCs w:val="24"/>
          <w:lang w:eastAsia="en-PH"/>
          <w14:ligatures w14:val="none"/>
        </w:rPr>
        <w:t xml:space="preserve">member </w:t>
      </w:r>
      <w:r w:rsidR="0050338D" w:rsidRPr="00D6568A">
        <w:rPr>
          <w:rFonts w:ascii="Times New Roman" w:eastAsia="Arial" w:hAnsi="Times New Roman" w:cs="Times New Roman"/>
          <w:kern w:val="0"/>
          <w:sz w:val="24"/>
          <w:szCs w:val="24"/>
          <w:lang w:eastAsia="en-PH"/>
          <w14:ligatures w14:val="none"/>
        </w:rPr>
        <w:t>satisfaction, and</w:t>
      </w:r>
      <w:r w:rsidR="0049530C">
        <w:rPr>
          <w:rFonts w:ascii="Times New Roman" w:eastAsia="Arial" w:hAnsi="Times New Roman" w:cs="Times New Roman"/>
          <w:kern w:val="0"/>
          <w:sz w:val="24"/>
          <w:szCs w:val="24"/>
          <w:lang w:eastAsia="en-PH"/>
          <w14:ligatures w14:val="none"/>
        </w:rPr>
        <w:t xml:space="preserve"> member</w:t>
      </w:r>
      <w:r w:rsidR="0050338D" w:rsidRPr="00D6568A">
        <w:rPr>
          <w:rFonts w:ascii="Times New Roman" w:eastAsia="Arial" w:hAnsi="Times New Roman" w:cs="Times New Roman"/>
          <w:kern w:val="0"/>
          <w:sz w:val="24"/>
          <w:szCs w:val="24"/>
          <w:lang w:eastAsia="en-PH"/>
          <w14:ligatures w14:val="none"/>
        </w:rPr>
        <w:t xml:space="preserve"> engagement with</w:t>
      </w:r>
      <w:r w:rsidR="00772C2F">
        <w:rPr>
          <w:rFonts w:ascii="Times New Roman" w:eastAsia="Arial" w:hAnsi="Times New Roman" w:cs="Times New Roman"/>
          <w:kern w:val="0"/>
          <w:sz w:val="24"/>
          <w:szCs w:val="24"/>
          <w:lang w:eastAsia="en-PH"/>
          <w14:ligatures w14:val="none"/>
        </w:rPr>
        <w:t xml:space="preserve"> membership</w:t>
      </w:r>
      <w:r w:rsidR="0050338D" w:rsidRPr="00D6568A">
        <w:rPr>
          <w:rFonts w:ascii="Times New Roman" w:eastAsia="Arial" w:hAnsi="Times New Roman" w:cs="Times New Roman"/>
          <w:kern w:val="0"/>
          <w:sz w:val="24"/>
          <w:szCs w:val="24"/>
          <w:lang w:eastAsia="en-PH"/>
          <w14:ligatures w14:val="none"/>
        </w:rPr>
        <w:t xml:space="preserve"> retention indicators (loyalty and advocacy). Multiple Linear Regression (MLR) determined the predictive influence of governance, member satisfaction, and member engagement on membership retention.</w:t>
      </w:r>
    </w:p>
    <w:p w14:paraId="03B2CBDC" w14:textId="613EB683" w:rsidR="00627DDF"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Assumption tests were conducted prior to inferential analyses. Although moderate deviations from normality were observed (Skewness = –1.499; Kurtosis = 4.003), the distribution was acceptable given the large sample </w:t>
      </w:r>
      <w:r w:rsidRPr="00D6568A">
        <w:rPr>
          <w:rFonts w:ascii="Times New Roman" w:eastAsia="Arial" w:hAnsi="Times New Roman" w:cs="Times New Roman"/>
          <w:kern w:val="0"/>
          <w:sz w:val="24"/>
          <w:szCs w:val="24"/>
          <w:lang w:eastAsia="en-PH"/>
          <w14:ligatures w14:val="none"/>
        </w:rPr>
        <w:lastRenderedPageBreak/>
        <w:t>size (n = 384) and the robustness of parametric tests. Multicollinearity diagnostics indicated tolerance values between 0.133 and 0.152 and VIF values between 6.579 and 7.507, reflecting moderate but acceptable multicollinearity, as all VIF values remained below the critical threshold of 10.</w:t>
      </w:r>
    </w:p>
    <w:p w14:paraId="01307E2B" w14:textId="435D8203" w:rsidR="000C2403" w:rsidRPr="00C00F8B" w:rsidRDefault="00273F37"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RESULTS AND DISCUSSION</w:t>
      </w:r>
    </w:p>
    <w:p w14:paraId="166D0AA3" w14:textId="3D16B0F9" w:rsidR="001B494A" w:rsidRPr="00D6568A" w:rsidRDefault="001B494A"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D6568A">
        <w:rPr>
          <w:rFonts w:ascii="Times New Roman" w:eastAsia="Arial" w:hAnsi="Times New Roman" w:cs="Times New Roman"/>
          <w:b/>
          <w:bCs/>
          <w:i/>
          <w:iCs/>
          <w:kern w:val="0"/>
          <w:sz w:val="24"/>
          <w:szCs w:val="24"/>
          <w:lang w:eastAsia="en-PH"/>
          <w14:ligatures w14:val="none"/>
        </w:rPr>
        <w:t xml:space="preserve">Participants Assessment of Cooperative Governance, Member Satisfaction and </w:t>
      </w:r>
      <w:r w:rsidR="0030593A" w:rsidRPr="00D6568A">
        <w:rPr>
          <w:rFonts w:ascii="Times New Roman" w:eastAsia="Arial" w:hAnsi="Times New Roman" w:cs="Times New Roman"/>
          <w:b/>
          <w:bCs/>
          <w:i/>
          <w:iCs/>
          <w:kern w:val="0"/>
          <w:sz w:val="24"/>
          <w:szCs w:val="24"/>
          <w:lang w:eastAsia="en-PH"/>
          <w14:ligatures w14:val="none"/>
        </w:rPr>
        <w:t xml:space="preserve">Member </w:t>
      </w:r>
      <w:r w:rsidRPr="00D6568A">
        <w:rPr>
          <w:rFonts w:ascii="Times New Roman" w:eastAsia="Arial" w:hAnsi="Times New Roman" w:cs="Times New Roman"/>
          <w:b/>
          <w:bCs/>
          <w:i/>
          <w:iCs/>
          <w:kern w:val="0"/>
          <w:sz w:val="24"/>
          <w:szCs w:val="24"/>
          <w:lang w:eastAsia="en-PH"/>
          <w14:ligatures w14:val="none"/>
        </w:rPr>
        <w:t>Engagement, and Member</w:t>
      </w:r>
      <w:r w:rsidR="0030593A" w:rsidRPr="00D6568A">
        <w:rPr>
          <w:rFonts w:ascii="Times New Roman" w:eastAsia="Arial" w:hAnsi="Times New Roman" w:cs="Times New Roman"/>
          <w:b/>
          <w:bCs/>
          <w:i/>
          <w:iCs/>
          <w:kern w:val="0"/>
          <w:sz w:val="24"/>
          <w:szCs w:val="24"/>
          <w:lang w:eastAsia="en-PH"/>
          <w14:ligatures w14:val="none"/>
        </w:rPr>
        <w:t>ship</w:t>
      </w:r>
      <w:r w:rsidRPr="00D6568A">
        <w:rPr>
          <w:rFonts w:ascii="Times New Roman" w:eastAsia="Arial" w:hAnsi="Times New Roman" w:cs="Times New Roman"/>
          <w:b/>
          <w:bCs/>
          <w:i/>
          <w:iCs/>
          <w:kern w:val="0"/>
          <w:sz w:val="24"/>
          <w:szCs w:val="24"/>
          <w:lang w:eastAsia="en-PH"/>
          <w14:ligatures w14:val="none"/>
        </w:rPr>
        <w:t xml:space="preserve"> Retention</w:t>
      </w:r>
    </w:p>
    <w:p w14:paraId="3AA4D609" w14:textId="2A901042" w:rsidR="000B70DC" w:rsidRPr="00D6568A" w:rsidRDefault="00F81915" w:rsidP="00D6568A">
      <w:pPr>
        <w:pBdr>
          <w:top w:val="nil"/>
          <w:left w:val="nil"/>
          <w:bottom w:val="nil"/>
          <w:right w:val="nil"/>
          <w:between w:val="nil"/>
        </w:pBd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Table 1 presents the descriptive statistics for governance, member satisfaction, member engagement, and membership retention.</w:t>
      </w:r>
    </w:p>
    <w:p w14:paraId="52E8E04B" w14:textId="063BE133" w:rsidR="000B70DC" w:rsidRPr="00C00F8B" w:rsidRDefault="00C34C4B" w:rsidP="00D6568A">
      <w:pPr>
        <w:pBdr>
          <w:top w:val="nil"/>
          <w:left w:val="nil"/>
          <w:bottom w:val="nil"/>
          <w:right w:val="nil"/>
          <w:between w:val="nil"/>
        </w:pBdr>
        <w:spacing w:before="240" w:after="240" w:line="240" w:lineRule="auto"/>
        <w:jc w:val="both"/>
        <w:rPr>
          <w:rFonts w:ascii="Times New Roman" w:eastAsia="Arial" w:hAnsi="Times New Roman" w:cs="Times New Roman"/>
          <w:b/>
          <w:bCs/>
          <w:iCs/>
          <w:sz w:val="24"/>
          <w:szCs w:val="24"/>
        </w:rPr>
      </w:pPr>
      <w:r w:rsidRPr="00C00F8B">
        <w:rPr>
          <w:rFonts w:ascii="Times New Roman" w:eastAsia="Arial" w:hAnsi="Times New Roman" w:cs="Times New Roman"/>
          <w:b/>
          <w:sz w:val="24"/>
          <w:szCs w:val="24"/>
        </w:rPr>
        <w:t xml:space="preserve">Table 1. </w:t>
      </w:r>
      <w:r w:rsidRPr="00C00F8B">
        <w:rPr>
          <w:rFonts w:ascii="Times New Roman" w:eastAsia="Arial" w:hAnsi="Times New Roman" w:cs="Times New Roman"/>
          <w:b/>
          <w:bCs/>
          <w:iCs/>
          <w:sz w:val="24"/>
          <w:szCs w:val="24"/>
        </w:rPr>
        <w:t>Descriptive Statistics of Governance, Member Satisfaction, Member Engagement, and Membership Retention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722"/>
        <w:gridCol w:w="3173"/>
        <w:gridCol w:w="909"/>
        <w:gridCol w:w="851"/>
        <w:gridCol w:w="1843"/>
      </w:tblGrid>
      <w:tr w:rsidR="00C34C4B" w:rsidRPr="00D6568A" w14:paraId="0CAC28ED" w14:textId="77777777" w:rsidTr="00886996">
        <w:trPr>
          <w:tblHeader/>
          <w:tblCellSpacing w:w="15" w:type="dxa"/>
        </w:trPr>
        <w:tc>
          <w:tcPr>
            <w:tcW w:w="2677" w:type="dxa"/>
            <w:tcBorders>
              <w:top w:val="single" w:sz="4" w:space="0" w:color="auto"/>
              <w:bottom w:val="single" w:sz="4" w:space="0" w:color="auto"/>
            </w:tcBorders>
            <w:vAlign w:val="center"/>
            <w:hideMark/>
          </w:tcPr>
          <w:p w14:paraId="3785AA83"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Variable</w:t>
            </w:r>
          </w:p>
        </w:tc>
        <w:tc>
          <w:tcPr>
            <w:tcW w:w="3143" w:type="dxa"/>
            <w:tcBorders>
              <w:top w:val="single" w:sz="4" w:space="0" w:color="auto"/>
              <w:bottom w:val="single" w:sz="4" w:space="0" w:color="auto"/>
            </w:tcBorders>
            <w:vAlign w:val="center"/>
            <w:hideMark/>
          </w:tcPr>
          <w:p w14:paraId="1DEB369D"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Dimension</w:t>
            </w:r>
          </w:p>
        </w:tc>
        <w:tc>
          <w:tcPr>
            <w:tcW w:w="879" w:type="dxa"/>
            <w:tcBorders>
              <w:top w:val="single" w:sz="4" w:space="0" w:color="auto"/>
              <w:bottom w:val="single" w:sz="4" w:space="0" w:color="auto"/>
            </w:tcBorders>
            <w:vAlign w:val="center"/>
            <w:hideMark/>
          </w:tcPr>
          <w:p w14:paraId="639AE266"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Mean</w:t>
            </w:r>
          </w:p>
        </w:tc>
        <w:tc>
          <w:tcPr>
            <w:tcW w:w="821" w:type="dxa"/>
            <w:tcBorders>
              <w:top w:val="single" w:sz="4" w:space="0" w:color="auto"/>
              <w:bottom w:val="single" w:sz="4" w:space="0" w:color="auto"/>
            </w:tcBorders>
            <w:vAlign w:val="center"/>
            <w:hideMark/>
          </w:tcPr>
          <w:p w14:paraId="47EC5A31"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SD</w:t>
            </w:r>
          </w:p>
        </w:tc>
        <w:tc>
          <w:tcPr>
            <w:tcW w:w="1798" w:type="dxa"/>
            <w:tcBorders>
              <w:top w:val="single" w:sz="4" w:space="0" w:color="auto"/>
              <w:bottom w:val="single" w:sz="4" w:space="0" w:color="auto"/>
            </w:tcBorders>
            <w:vAlign w:val="center"/>
            <w:hideMark/>
          </w:tcPr>
          <w:p w14:paraId="514CDC4C" w14:textId="77777777" w:rsidR="00C34C4B" w:rsidRPr="00D6568A" w:rsidRDefault="00C34C4B" w:rsidP="00D6568A">
            <w:pPr>
              <w:spacing w:before="240" w:after="240" w:line="240" w:lineRule="auto"/>
              <w:jc w:val="both"/>
              <w:rPr>
                <w:rFonts w:ascii="Times New Roman" w:eastAsia="Times New Roman" w:hAnsi="Times New Roman" w:cs="Times New Roman"/>
                <w:b/>
                <w:bCs/>
                <w:kern w:val="0"/>
                <w:sz w:val="24"/>
                <w:szCs w:val="24"/>
                <w:lang w:val="en-US"/>
                <w14:ligatures w14:val="none"/>
              </w:rPr>
            </w:pPr>
            <w:r w:rsidRPr="00D6568A">
              <w:rPr>
                <w:rFonts w:ascii="Times New Roman" w:eastAsia="Times New Roman" w:hAnsi="Times New Roman" w:cs="Times New Roman"/>
                <w:b/>
                <w:bCs/>
                <w:kern w:val="0"/>
                <w:sz w:val="24"/>
                <w:szCs w:val="24"/>
                <w:lang w:val="en-US"/>
                <w14:ligatures w14:val="none"/>
              </w:rPr>
              <w:t>Interpretation</w:t>
            </w:r>
          </w:p>
        </w:tc>
      </w:tr>
      <w:tr w:rsidR="00C34C4B" w:rsidRPr="00D6568A" w14:paraId="197E4366" w14:textId="77777777" w:rsidTr="00886996">
        <w:trPr>
          <w:tblCellSpacing w:w="15" w:type="dxa"/>
        </w:trPr>
        <w:tc>
          <w:tcPr>
            <w:tcW w:w="2677" w:type="dxa"/>
            <w:vAlign w:val="center"/>
            <w:hideMark/>
          </w:tcPr>
          <w:p w14:paraId="43AAD35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Governance</w:t>
            </w:r>
          </w:p>
        </w:tc>
        <w:tc>
          <w:tcPr>
            <w:tcW w:w="3143" w:type="dxa"/>
            <w:vAlign w:val="center"/>
            <w:hideMark/>
          </w:tcPr>
          <w:p w14:paraId="0B7B19F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Trust</w:t>
            </w:r>
          </w:p>
        </w:tc>
        <w:tc>
          <w:tcPr>
            <w:tcW w:w="879" w:type="dxa"/>
            <w:vAlign w:val="center"/>
            <w:hideMark/>
          </w:tcPr>
          <w:p w14:paraId="0C9EB16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4.41</w:t>
            </w:r>
          </w:p>
        </w:tc>
        <w:tc>
          <w:tcPr>
            <w:tcW w:w="821" w:type="dxa"/>
            <w:vAlign w:val="center"/>
            <w:hideMark/>
          </w:tcPr>
          <w:p w14:paraId="3F098700" w14:textId="6F6F3A64"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7</w:t>
            </w:r>
          </w:p>
        </w:tc>
        <w:tc>
          <w:tcPr>
            <w:tcW w:w="1798" w:type="dxa"/>
            <w:vAlign w:val="center"/>
            <w:hideMark/>
          </w:tcPr>
          <w:p w14:paraId="6B8CF41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62E79E2B" w14:textId="77777777" w:rsidTr="00886996">
        <w:trPr>
          <w:tblCellSpacing w:w="15" w:type="dxa"/>
        </w:trPr>
        <w:tc>
          <w:tcPr>
            <w:tcW w:w="2677" w:type="dxa"/>
            <w:vAlign w:val="center"/>
            <w:hideMark/>
          </w:tcPr>
          <w:p w14:paraId="1BEC568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4C054E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Transparency</w:t>
            </w:r>
          </w:p>
        </w:tc>
        <w:tc>
          <w:tcPr>
            <w:tcW w:w="879" w:type="dxa"/>
            <w:vAlign w:val="center"/>
            <w:hideMark/>
          </w:tcPr>
          <w:p w14:paraId="7186164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4.33</w:t>
            </w:r>
          </w:p>
        </w:tc>
        <w:tc>
          <w:tcPr>
            <w:tcW w:w="821" w:type="dxa"/>
            <w:vAlign w:val="center"/>
            <w:hideMark/>
          </w:tcPr>
          <w:p w14:paraId="4011A55E" w14:textId="191FEE2A"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.68</w:t>
            </w:r>
          </w:p>
        </w:tc>
        <w:tc>
          <w:tcPr>
            <w:tcW w:w="1798" w:type="dxa"/>
            <w:vAlign w:val="center"/>
            <w:hideMark/>
          </w:tcPr>
          <w:p w14:paraId="0001DF7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5F07D61C" w14:textId="77777777" w:rsidTr="00886996">
        <w:trPr>
          <w:tblCellSpacing w:w="15" w:type="dxa"/>
        </w:trPr>
        <w:tc>
          <w:tcPr>
            <w:tcW w:w="2677" w:type="dxa"/>
            <w:vAlign w:val="center"/>
            <w:hideMark/>
          </w:tcPr>
          <w:p w14:paraId="6AABB6B4"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88D125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Social Responsibility</w:t>
            </w:r>
          </w:p>
        </w:tc>
        <w:tc>
          <w:tcPr>
            <w:tcW w:w="879" w:type="dxa"/>
            <w:vAlign w:val="center"/>
            <w:hideMark/>
          </w:tcPr>
          <w:p w14:paraId="3705BCF2"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4.40</w:t>
            </w:r>
          </w:p>
        </w:tc>
        <w:tc>
          <w:tcPr>
            <w:tcW w:w="821" w:type="dxa"/>
            <w:vAlign w:val="center"/>
            <w:hideMark/>
          </w:tcPr>
          <w:p w14:paraId="722E56DE" w14:textId="79008105"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.62</w:t>
            </w:r>
          </w:p>
        </w:tc>
        <w:tc>
          <w:tcPr>
            <w:tcW w:w="1798" w:type="dxa"/>
            <w:vAlign w:val="center"/>
            <w:hideMark/>
          </w:tcPr>
          <w:p w14:paraId="76C7835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CACACF7" w14:textId="77777777" w:rsidTr="00886996">
        <w:trPr>
          <w:tblCellSpacing w:w="15" w:type="dxa"/>
        </w:trPr>
        <w:tc>
          <w:tcPr>
            <w:tcW w:w="2677" w:type="dxa"/>
            <w:vAlign w:val="center"/>
            <w:hideMark/>
          </w:tcPr>
          <w:p w14:paraId="4AADE11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 Satisfaction</w:t>
            </w:r>
          </w:p>
        </w:tc>
        <w:tc>
          <w:tcPr>
            <w:tcW w:w="3143" w:type="dxa"/>
            <w:vAlign w:val="center"/>
            <w:hideMark/>
          </w:tcPr>
          <w:p w14:paraId="0BA0FEE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Reliability</w:t>
            </w:r>
          </w:p>
        </w:tc>
        <w:tc>
          <w:tcPr>
            <w:tcW w:w="879" w:type="dxa"/>
            <w:vAlign w:val="center"/>
            <w:hideMark/>
          </w:tcPr>
          <w:p w14:paraId="3A60C68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2DAE041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.82</w:t>
            </w:r>
          </w:p>
        </w:tc>
        <w:tc>
          <w:tcPr>
            <w:tcW w:w="1798" w:type="dxa"/>
            <w:vAlign w:val="center"/>
            <w:hideMark/>
          </w:tcPr>
          <w:p w14:paraId="07E08DC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36A5A43F" w14:textId="77777777" w:rsidTr="00886996">
        <w:trPr>
          <w:tblCellSpacing w:w="15" w:type="dxa"/>
        </w:trPr>
        <w:tc>
          <w:tcPr>
            <w:tcW w:w="2677" w:type="dxa"/>
            <w:vAlign w:val="center"/>
            <w:hideMark/>
          </w:tcPr>
          <w:p w14:paraId="1774621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66E4B8F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Responsiveness</w:t>
            </w:r>
          </w:p>
        </w:tc>
        <w:tc>
          <w:tcPr>
            <w:tcW w:w="879" w:type="dxa"/>
            <w:vAlign w:val="center"/>
            <w:hideMark/>
          </w:tcPr>
          <w:p w14:paraId="6F98D20A"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54BEC29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.78</w:t>
            </w:r>
          </w:p>
        </w:tc>
        <w:tc>
          <w:tcPr>
            <w:tcW w:w="1798" w:type="dxa"/>
            <w:vAlign w:val="center"/>
            <w:hideMark/>
          </w:tcPr>
          <w:p w14:paraId="353B151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24A68B78" w14:textId="77777777" w:rsidTr="00886996">
        <w:trPr>
          <w:tblCellSpacing w:w="15" w:type="dxa"/>
        </w:trPr>
        <w:tc>
          <w:tcPr>
            <w:tcW w:w="2677" w:type="dxa"/>
            <w:vAlign w:val="center"/>
            <w:hideMark/>
          </w:tcPr>
          <w:p w14:paraId="0B9ACCE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4CB3360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Assurance</w:t>
            </w:r>
          </w:p>
        </w:tc>
        <w:tc>
          <w:tcPr>
            <w:tcW w:w="879" w:type="dxa"/>
            <w:vAlign w:val="center"/>
            <w:hideMark/>
          </w:tcPr>
          <w:p w14:paraId="122C4CF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4.39</w:t>
            </w:r>
          </w:p>
        </w:tc>
        <w:tc>
          <w:tcPr>
            <w:tcW w:w="821" w:type="dxa"/>
            <w:vAlign w:val="center"/>
            <w:hideMark/>
          </w:tcPr>
          <w:p w14:paraId="489054F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.73</w:t>
            </w:r>
          </w:p>
        </w:tc>
        <w:tc>
          <w:tcPr>
            <w:tcW w:w="1798" w:type="dxa"/>
            <w:vAlign w:val="center"/>
            <w:hideMark/>
          </w:tcPr>
          <w:p w14:paraId="6418C0BA"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0F16829E" w14:textId="77777777" w:rsidTr="00886996">
        <w:trPr>
          <w:tblCellSpacing w:w="15" w:type="dxa"/>
        </w:trPr>
        <w:tc>
          <w:tcPr>
            <w:tcW w:w="2677" w:type="dxa"/>
            <w:vAlign w:val="center"/>
            <w:hideMark/>
          </w:tcPr>
          <w:p w14:paraId="244143A7"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76CD14F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Empathy</w:t>
            </w:r>
          </w:p>
        </w:tc>
        <w:tc>
          <w:tcPr>
            <w:tcW w:w="879" w:type="dxa"/>
            <w:vAlign w:val="center"/>
            <w:hideMark/>
          </w:tcPr>
          <w:p w14:paraId="34AA2385"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4.39</w:t>
            </w:r>
          </w:p>
        </w:tc>
        <w:tc>
          <w:tcPr>
            <w:tcW w:w="821" w:type="dxa"/>
            <w:vAlign w:val="center"/>
            <w:hideMark/>
          </w:tcPr>
          <w:p w14:paraId="7E216C6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.75</w:t>
            </w:r>
          </w:p>
        </w:tc>
        <w:tc>
          <w:tcPr>
            <w:tcW w:w="1798" w:type="dxa"/>
            <w:vAlign w:val="center"/>
            <w:hideMark/>
          </w:tcPr>
          <w:p w14:paraId="6349538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9E16367" w14:textId="77777777" w:rsidTr="00886996">
        <w:trPr>
          <w:tblCellSpacing w:w="15" w:type="dxa"/>
        </w:trPr>
        <w:tc>
          <w:tcPr>
            <w:tcW w:w="2677" w:type="dxa"/>
            <w:vAlign w:val="center"/>
            <w:hideMark/>
          </w:tcPr>
          <w:p w14:paraId="6D9DA4B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53C3E41B"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Tangibility</w:t>
            </w:r>
          </w:p>
        </w:tc>
        <w:tc>
          <w:tcPr>
            <w:tcW w:w="879" w:type="dxa"/>
            <w:vAlign w:val="center"/>
            <w:hideMark/>
          </w:tcPr>
          <w:p w14:paraId="1D12B68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71F02C6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.76</w:t>
            </w:r>
          </w:p>
        </w:tc>
        <w:tc>
          <w:tcPr>
            <w:tcW w:w="1798" w:type="dxa"/>
            <w:vAlign w:val="center"/>
            <w:hideMark/>
          </w:tcPr>
          <w:p w14:paraId="25E47EC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4424BEEB" w14:textId="77777777" w:rsidTr="00886996">
        <w:trPr>
          <w:tblCellSpacing w:w="15" w:type="dxa"/>
        </w:trPr>
        <w:tc>
          <w:tcPr>
            <w:tcW w:w="2677" w:type="dxa"/>
            <w:vAlign w:val="center"/>
            <w:hideMark/>
          </w:tcPr>
          <w:p w14:paraId="66AF3398" w14:textId="423B23FD"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 Engagement</w:t>
            </w:r>
          </w:p>
        </w:tc>
        <w:tc>
          <w:tcPr>
            <w:tcW w:w="3143" w:type="dxa"/>
            <w:vAlign w:val="center"/>
            <w:hideMark/>
          </w:tcPr>
          <w:p w14:paraId="6A5B2B8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Cooperative Awareness</w:t>
            </w:r>
          </w:p>
        </w:tc>
        <w:tc>
          <w:tcPr>
            <w:tcW w:w="879" w:type="dxa"/>
            <w:vAlign w:val="center"/>
            <w:hideMark/>
          </w:tcPr>
          <w:p w14:paraId="46A0D32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4.30</w:t>
            </w:r>
          </w:p>
        </w:tc>
        <w:tc>
          <w:tcPr>
            <w:tcW w:w="821" w:type="dxa"/>
            <w:vAlign w:val="center"/>
            <w:hideMark/>
          </w:tcPr>
          <w:p w14:paraId="22D21AA0" w14:textId="323F8445"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9</w:t>
            </w:r>
          </w:p>
        </w:tc>
        <w:tc>
          <w:tcPr>
            <w:tcW w:w="1798" w:type="dxa"/>
            <w:vAlign w:val="center"/>
            <w:hideMark/>
          </w:tcPr>
          <w:p w14:paraId="71542538"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5A4E735D" w14:textId="77777777" w:rsidTr="00886996">
        <w:trPr>
          <w:tblCellSpacing w:w="15" w:type="dxa"/>
        </w:trPr>
        <w:tc>
          <w:tcPr>
            <w:tcW w:w="2677" w:type="dxa"/>
            <w:vAlign w:val="center"/>
            <w:hideMark/>
          </w:tcPr>
          <w:p w14:paraId="50BD14A9"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00CE88B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Perceived Value of Membership</w:t>
            </w:r>
          </w:p>
        </w:tc>
        <w:tc>
          <w:tcPr>
            <w:tcW w:w="879" w:type="dxa"/>
            <w:vAlign w:val="center"/>
            <w:hideMark/>
          </w:tcPr>
          <w:p w14:paraId="0E5E93FE"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5D6038C3" w14:textId="37EFF6AD"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w:t>
            </w:r>
            <w:r w:rsidR="00834980" w:rsidRPr="00D6568A">
              <w:rPr>
                <w:rFonts w:ascii="Times New Roman" w:eastAsiaTheme="minorEastAsia" w:hAnsi="Times New Roman" w:cs="Times New Roman"/>
                <w:kern w:val="0"/>
                <w:sz w:val="24"/>
                <w:szCs w:val="24"/>
                <w14:ligatures w14:val="none"/>
              </w:rPr>
              <w:t>7</w:t>
            </w:r>
          </w:p>
        </w:tc>
        <w:tc>
          <w:tcPr>
            <w:tcW w:w="1798" w:type="dxa"/>
            <w:vAlign w:val="center"/>
            <w:hideMark/>
          </w:tcPr>
          <w:p w14:paraId="4F6E6CB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33A41338" w14:textId="77777777" w:rsidTr="00886996">
        <w:trPr>
          <w:tblCellSpacing w:w="15" w:type="dxa"/>
        </w:trPr>
        <w:tc>
          <w:tcPr>
            <w:tcW w:w="2677" w:type="dxa"/>
            <w:vAlign w:val="center"/>
            <w:hideMark/>
          </w:tcPr>
          <w:p w14:paraId="0EAC956C"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vAlign w:val="center"/>
            <w:hideMark/>
          </w:tcPr>
          <w:p w14:paraId="0DED138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Level of Participation</w:t>
            </w:r>
          </w:p>
        </w:tc>
        <w:tc>
          <w:tcPr>
            <w:tcW w:w="879" w:type="dxa"/>
            <w:vAlign w:val="center"/>
            <w:hideMark/>
          </w:tcPr>
          <w:p w14:paraId="5B12B380"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4.31</w:t>
            </w:r>
          </w:p>
        </w:tc>
        <w:tc>
          <w:tcPr>
            <w:tcW w:w="821" w:type="dxa"/>
            <w:vAlign w:val="center"/>
            <w:hideMark/>
          </w:tcPr>
          <w:p w14:paraId="777D1BB3" w14:textId="0BD71208"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.68</w:t>
            </w:r>
          </w:p>
        </w:tc>
        <w:tc>
          <w:tcPr>
            <w:tcW w:w="1798" w:type="dxa"/>
            <w:vAlign w:val="center"/>
            <w:hideMark/>
          </w:tcPr>
          <w:p w14:paraId="159C98F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25D6AEF0" w14:textId="77777777" w:rsidTr="00886996">
        <w:trPr>
          <w:tblCellSpacing w:w="15" w:type="dxa"/>
        </w:trPr>
        <w:tc>
          <w:tcPr>
            <w:tcW w:w="2677" w:type="dxa"/>
            <w:vAlign w:val="center"/>
            <w:hideMark/>
          </w:tcPr>
          <w:p w14:paraId="388211A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Membership Retention</w:t>
            </w:r>
          </w:p>
        </w:tc>
        <w:tc>
          <w:tcPr>
            <w:tcW w:w="3143" w:type="dxa"/>
            <w:vAlign w:val="center"/>
            <w:hideMark/>
          </w:tcPr>
          <w:p w14:paraId="70EB0F7F"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Loyalty</w:t>
            </w:r>
          </w:p>
        </w:tc>
        <w:tc>
          <w:tcPr>
            <w:tcW w:w="879" w:type="dxa"/>
            <w:vAlign w:val="center"/>
            <w:hideMark/>
          </w:tcPr>
          <w:p w14:paraId="04BE7C51"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4.36</w:t>
            </w:r>
          </w:p>
        </w:tc>
        <w:tc>
          <w:tcPr>
            <w:tcW w:w="821" w:type="dxa"/>
            <w:vAlign w:val="center"/>
            <w:hideMark/>
          </w:tcPr>
          <w:p w14:paraId="1AB3E899" w14:textId="54DB85CF"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.69</w:t>
            </w:r>
          </w:p>
        </w:tc>
        <w:tc>
          <w:tcPr>
            <w:tcW w:w="1798" w:type="dxa"/>
            <w:vAlign w:val="center"/>
            <w:hideMark/>
          </w:tcPr>
          <w:p w14:paraId="02EEFFC4"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r w:rsidR="00C34C4B" w:rsidRPr="00D6568A" w14:paraId="0A64DE9F" w14:textId="77777777" w:rsidTr="00886996">
        <w:trPr>
          <w:tblCellSpacing w:w="15" w:type="dxa"/>
        </w:trPr>
        <w:tc>
          <w:tcPr>
            <w:tcW w:w="2677" w:type="dxa"/>
            <w:tcBorders>
              <w:bottom w:val="single" w:sz="4" w:space="0" w:color="auto"/>
            </w:tcBorders>
            <w:vAlign w:val="center"/>
            <w:hideMark/>
          </w:tcPr>
          <w:p w14:paraId="3801F18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p>
        </w:tc>
        <w:tc>
          <w:tcPr>
            <w:tcW w:w="3143" w:type="dxa"/>
            <w:tcBorders>
              <w:bottom w:val="single" w:sz="4" w:space="0" w:color="auto"/>
            </w:tcBorders>
            <w:vAlign w:val="center"/>
            <w:hideMark/>
          </w:tcPr>
          <w:p w14:paraId="3D9B8556"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lang w:val="en-US"/>
                <w14:ligatures w14:val="none"/>
              </w:rPr>
            </w:pPr>
            <w:r w:rsidRPr="00D6568A">
              <w:rPr>
                <w:rFonts w:ascii="Times New Roman" w:eastAsiaTheme="minorEastAsia" w:hAnsi="Times New Roman" w:cs="Times New Roman"/>
                <w:kern w:val="0"/>
                <w:sz w:val="24"/>
                <w:szCs w:val="24"/>
                <w:lang w:val="en-US"/>
                <w14:ligatures w14:val="none"/>
              </w:rPr>
              <w:t>Advocacy</w:t>
            </w:r>
          </w:p>
        </w:tc>
        <w:tc>
          <w:tcPr>
            <w:tcW w:w="879" w:type="dxa"/>
            <w:tcBorders>
              <w:bottom w:val="single" w:sz="4" w:space="0" w:color="auto"/>
            </w:tcBorders>
            <w:vAlign w:val="center"/>
            <w:hideMark/>
          </w:tcPr>
          <w:p w14:paraId="1256FE0D"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4.32</w:t>
            </w:r>
          </w:p>
        </w:tc>
        <w:tc>
          <w:tcPr>
            <w:tcW w:w="821" w:type="dxa"/>
            <w:tcBorders>
              <w:bottom w:val="single" w:sz="4" w:space="0" w:color="auto"/>
            </w:tcBorders>
            <w:vAlign w:val="center"/>
            <w:hideMark/>
          </w:tcPr>
          <w:p w14:paraId="2E5CE8FA" w14:textId="564A9781"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.7</w:t>
            </w:r>
            <w:r w:rsidR="00834980" w:rsidRPr="00D6568A">
              <w:rPr>
                <w:rFonts w:ascii="Times New Roman" w:eastAsiaTheme="minorEastAsia" w:hAnsi="Times New Roman" w:cs="Times New Roman"/>
                <w:kern w:val="0"/>
                <w:sz w:val="24"/>
                <w:szCs w:val="24"/>
                <w14:ligatures w14:val="none"/>
              </w:rPr>
              <w:t>4</w:t>
            </w:r>
          </w:p>
        </w:tc>
        <w:tc>
          <w:tcPr>
            <w:tcW w:w="1798" w:type="dxa"/>
            <w:tcBorders>
              <w:bottom w:val="single" w:sz="4" w:space="0" w:color="auto"/>
            </w:tcBorders>
            <w:vAlign w:val="center"/>
            <w:hideMark/>
          </w:tcPr>
          <w:p w14:paraId="3D6297C3" w14:textId="77777777" w:rsidR="00C34C4B" w:rsidRPr="00D6568A" w:rsidRDefault="00C34C4B" w:rsidP="00D6568A">
            <w:pPr>
              <w:spacing w:before="240" w:after="240" w:line="240" w:lineRule="auto"/>
              <w:contextualSpacing/>
              <w:jc w:val="both"/>
              <w:rPr>
                <w:rFonts w:ascii="Times New Roman" w:eastAsiaTheme="minorEastAsia" w:hAnsi="Times New Roman" w:cs="Times New Roman"/>
                <w:kern w:val="0"/>
                <w:sz w:val="24"/>
                <w:szCs w:val="24"/>
                <w14:ligatures w14:val="none"/>
              </w:rPr>
            </w:pPr>
            <w:r w:rsidRPr="00D6568A">
              <w:rPr>
                <w:rFonts w:ascii="Times New Roman" w:eastAsiaTheme="minorEastAsia" w:hAnsi="Times New Roman" w:cs="Times New Roman"/>
                <w:kern w:val="0"/>
                <w:sz w:val="24"/>
                <w:szCs w:val="24"/>
                <w14:ligatures w14:val="none"/>
              </w:rPr>
              <w:t>High</w:t>
            </w:r>
          </w:p>
        </w:tc>
      </w:tr>
    </w:tbl>
    <w:p w14:paraId="188D7A7E" w14:textId="71E07F2B" w:rsidR="00FD7DB7" w:rsidRPr="00FD7DB7" w:rsidRDefault="00FD7DB7" w:rsidP="00FD7DB7">
      <w:pPr>
        <w:spacing w:before="240" w:after="240" w:line="240" w:lineRule="auto"/>
        <w:jc w:val="both"/>
        <w:rPr>
          <w:rFonts w:ascii="Times New Roman" w:eastAsia="Arial" w:hAnsi="Times New Roman" w:cs="Times New Roman"/>
          <w:kern w:val="0"/>
          <w:sz w:val="24"/>
          <w:szCs w:val="24"/>
          <w:lang w:eastAsia="en-PH"/>
          <w14:ligatures w14:val="none"/>
        </w:rPr>
      </w:pPr>
      <w:r w:rsidRPr="00FD7DB7">
        <w:rPr>
          <w:rFonts w:ascii="Times New Roman" w:eastAsia="Arial" w:hAnsi="Times New Roman" w:cs="Times New Roman"/>
          <w:kern w:val="0"/>
          <w:sz w:val="24"/>
          <w:szCs w:val="24"/>
          <w:lang w:eastAsia="en-PH"/>
          <w14:ligatures w14:val="none"/>
        </w:rPr>
        <w:t xml:space="preserve">The consistently high ratings across governance, member satisfaction, member engagement, and membership retention indicate a cooperative environment characterized by strong alignment between leadership practices, service delivery, and member participation. Trust (M = 4.41) and social responsibility (M = 4.40) emerged as the strongest governance dimensions, suggesting that ethical and community-oriented leadership plays a critical role in reinforcing member confidence, consistent with recent studies emphasizing trust and credibility as key drivers of retention (Ricadonna et al., 2023; Yeboah &amp; Agyapong, 2023). Assurance (M = 4.39) and empathy (M = 4.39) led the </w:t>
      </w:r>
      <w:r w:rsidR="00C24CDF">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 xml:space="preserve">satisfaction dimensions, underscoring the importance of interpersonal service quality, which aligns with findings that responsive and professional service interactions significantly influence </w:t>
      </w:r>
      <w:r w:rsidR="00C24CDF">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satisfaction and continued affiliation (Manzan</w:t>
      </w:r>
      <w:r>
        <w:rPr>
          <w:rFonts w:ascii="Times New Roman" w:eastAsia="Arial" w:hAnsi="Times New Roman" w:cs="Times New Roman"/>
          <w:kern w:val="0"/>
          <w:sz w:val="24"/>
          <w:szCs w:val="24"/>
          <w:lang w:eastAsia="en-PH"/>
          <w14:ligatures w14:val="none"/>
        </w:rPr>
        <w:t>o, 2024; Sapkota et al., 2023).</w:t>
      </w:r>
    </w:p>
    <w:p w14:paraId="25F0E4ED" w14:textId="2A9F9AC3" w:rsidR="006D3F52" w:rsidRPr="00D6568A" w:rsidRDefault="00FD7DB7" w:rsidP="00FD7DB7">
      <w:pPr>
        <w:spacing w:before="240" w:after="240" w:line="240" w:lineRule="auto"/>
        <w:jc w:val="both"/>
        <w:rPr>
          <w:rFonts w:ascii="Times New Roman" w:eastAsia="Arial" w:hAnsi="Times New Roman" w:cs="Times New Roman"/>
          <w:kern w:val="0"/>
          <w:sz w:val="24"/>
          <w:szCs w:val="24"/>
          <w:lang w:eastAsia="en-PH"/>
          <w14:ligatures w14:val="none"/>
        </w:rPr>
      </w:pPr>
      <w:r w:rsidRPr="00FD7DB7">
        <w:rPr>
          <w:rFonts w:ascii="Times New Roman" w:eastAsia="Arial" w:hAnsi="Times New Roman" w:cs="Times New Roman"/>
          <w:kern w:val="0"/>
          <w:sz w:val="24"/>
          <w:szCs w:val="24"/>
          <w:lang w:eastAsia="en-PH"/>
          <w14:ligatures w14:val="none"/>
        </w:rPr>
        <w:t xml:space="preserve">Perceived value (M = 4.36) showed the strongest </w:t>
      </w:r>
      <w:r w:rsidR="0049530C">
        <w:rPr>
          <w:rFonts w:ascii="Times New Roman" w:eastAsia="Arial" w:hAnsi="Times New Roman" w:cs="Times New Roman"/>
          <w:kern w:val="0"/>
          <w:sz w:val="24"/>
          <w:szCs w:val="24"/>
          <w:lang w:eastAsia="en-PH"/>
          <w14:ligatures w14:val="none"/>
        </w:rPr>
        <w:t xml:space="preserve">member </w:t>
      </w:r>
      <w:r w:rsidRPr="00FD7DB7">
        <w:rPr>
          <w:rFonts w:ascii="Times New Roman" w:eastAsia="Arial" w:hAnsi="Times New Roman" w:cs="Times New Roman"/>
          <w:kern w:val="0"/>
          <w:sz w:val="24"/>
          <w:szCs w:val="24"/>
          <w:lang w:eastAsia="en-PH"/>
          <w14:ligatures w14:val="none"/>
        </w:rPr>
        <w:t xml:space="preserve">engagement indicator, indicating that members recognize the benefits of participation, a key factor in sustaining engagement and minimizing attrition (Reyes, 2022; Zamzami et al., 2022). While loyalty (M = 4.36) slightly exceeded advocacy (M = 4.32), this suggests that although members remain committed to the cooperative, translating satisfaction and engagement into active promotion may require stronger engagement strategies, as advocacy behaviors are typically associated with deeper involvement and perceived value (Almaiah et al., 2022). The low variability in responses further indicates consistency in member perceptions, reflecting a stable cooperative environment supported by credible leadership, dependable service delivery, and sustained member </w:t>
      </w:r>
      <w:r w:rsidR="00192EF4" w:rsidRPr="00FD7DB7">
        <w:rPr>
          <w:rFonts w:ascii="Times New Roman" w:eastAsia="Arial" w:hAnsi="Times New Roman" w:cs="Times New Roman"/>
          <w:kern w:val="0"/>
          <w:sz w:val="24"/>
          <w:szCs w:val="24"/>
          <w:lang w:eastAsia="en-PH"/>
          <w14:ligatures w14:val="none"/>
        </w:rPr>
        <w:t>involvement.</w:t>
      </w:r>
    </w:p>
    <w:p w14:paraId="611D6E2A" w14:textId="5C483CA6" w:rsidR="00266365" w:rsidRPr="00D6568A" w:rsidRDefault="00266365"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D6568A">
        <w:rPr>
          <w:rFonts w:ascii="Times New Roman" w:eastAsia="Arial" w:hAnsi="Times New Roman" w:cs="Times New Roman"/>
          <w:b/>
          <w:bCs/>
          <w:i/>
          <w:iCs/>
          <w:kern w:val="0"/>
          <w:sz w:val="24"/>
          <w:szCs w:val="24"/>
          <w:lang w:eastAsia="en-PH"/>
          <w14:ligatures w14:val="none"/>
        </w:rPr>
        <w:lastRenderedPageBreak/>
        <w:t>Canonical Correlation Analysis of Cooperative Governance (Trust, Transparency, and Social Responsibility) and Membership Retention (Loyalty and Advocacy)</w:t>
      </w:r>
    </w:p>
    <w:p w14:paraId="241E1FEA" w14:textId="20F4BED8" w:rsidR="00AF5D9D" w:rsidRPr="00D6568A" w:rsidRDefault="00AF5D9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2 presents a canonical correlation analysis between cooperative governance factors in terms of trust, transparency</w:t>
      </w:r>
      <w:r w:rsidR="00E436A4" w:rsidRPr="00D6568A">
        <w:rPr>
          <w:rFonts w:ascii="Times New Roman" w:eastAsia="Arial" w:hAnsi="Times New Roman" w:cs="Times New Roman"/>
          <w:kern w:val="0"/>
          <w:sz w:val="24"/>
          <w:szCs w:val="24"/>
          <w:lang w:eastAsia="en-PH"/>
          <w14:ligatures w14:val="none"/>
        </w:rPr>
        <w:t>,</w:t>
      </w:r>
      <w:r w:rsidRPr="00D6568A">
        <w:rPr>
          <w:rFonts w:ascii="Times New Roman" w:eastAsia="Arial" w:hAnsi="Times New Roman" w:cs="Times New Roman"/>
          <w:kern w:val="0"/>
          <w:sz w:val="24"/>
          <w:szCs w:val="24"/>
          <w:lang w:eastAsia="en-PH"/>
          <w14:ligatures w14:val="none"/>
        </w:rPr>
        <w:t xml:space="preserve"> and social responsibility to the dependent variable membership retention in terms of loyalty and advocacy.</w:t>
      </w:r>
    </w:p>
    <w:p w14:paraId="511A06E8" w14:textId="77777777" w:rsidR="00F91117" w:rsidRPr="00232644" w:rsidRDefault="00F91117" w:rsidP="00F91117">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2. </w:t>
      </w:r>
      <w:r w:rsidRPr="00232644">
        <w:rPr>
          <w:rFonts w:ascii="Times New Roman" w:eastAsia="Tahoma" w:hAnsi="Times New Roman" w:cs="Times New Roman"/>
          <w:b/>
          <w:bCs/>
          <w:iCs/>
          <w:sz w:val="24"/>
          <w:szCs w:val="24"/>
          <w:highlight w:val="white"/>
        </w:rPr>
        <w:t xml:space="preserve">Canonical Correlation Analysis Between Cooperative Governance in terms of Trust, Transparency and Social Responsibility to Membership </w:t>
      </w:r>
      <w:r w:rsidRPr="00232644">
        <w:rPr>
          <w:rFonts w:ascii="Times New Roman" w:eastAsia="Tahoma" w:hAnsi="Times New Roman" w:cs="Times New Roman"/>
          <w:b/>
          <w:bCs/>
          <w:iCs/>
          <w:sz w:val="24"/>
          <w:szCs w:val="24"/>
        </w:rPr>
        <w:t>Retention in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1608"/>
        <w:gridCol w:w="16"/>
        <w:gridCol w:w="865"/>
        <w:gridCol w:w="16"/>
        <w:gridCol w:w="865"/>
        <w:gridCol w:w="8"/>
        <w:gridCol w:w="1707"/>
        <w:gridCol w:w="14"/>
        <w:gridCol w:w="1062"/>
      </w:tblGrid>
      <w:tr w:rsidR="00F91117" w:rsidRPr="00D6568A" w14:paraId="75EE4421" w14:textId="77777777" w:rsidTr="00232644">
        <w:tc>
          <w:tcPr>
            <w:tcW w:w="1874" w:type="pct"/>
            <w:tcBorders>
              <w:top w:val="single" w:sz="4" w:space="0" w:color="auto"/>
              <w:bottom w:val="single" w:sz="4" w:space="0" w:color="auto"/>
            </w:tcBorders>
            <w:vAlign w:val="center"/>
          </w:tcPr>
          <w:p w14:paraId="6E87E5F8"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4" w:type="pct"/>
            <w:gridSpan w:val="2"/>
            <w:tcBorders>
              <w:top w:val="single" w:sz="4" w:space="0" w:color="auto"/>
              <w:bottom w:val="single" w:sz="4" w:space="0" w:color="auto"/>
            </w:tcBorders>
            <w:vAlign w:val="center"/>
          </w:tcPr>
          <w:p w14:paraId="6E8E4650"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47" w:type="pct"/>
            <w:gridSpan w:val="2"/>
            <w:tcBorders>
              <w:top w:val="single" w:sz="4" w:space="0" w:color="auto"/>
              <w:bottom w:val="single" w:sz="4" w:space="0" w:color="auto"/>
            </w:tcBorders>
            <w:vAlign w:val="center"/>
          </w:tcPr>
          <w:p w14:paraId="632C6891"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43" w:type="pct"/>
            <w:gridSpan w:val="2"/>
            <w:tcBorders>
              <w:top w:val="single" w:sz="4" w:space="0" w:color="auto"/>
              <w:bottom w:val="single" w:sz="4" w:space="0" w:color="auto"/>
            </w:tcBorders>
            <w:vAlign w:val="center"/>
          </w:tcPr>
          <w:p w14:paraId="39B4661B"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3" w:type="pct"/>
            <w:gridSpan w:val="2"/>
            <w:tcBorders>
              <w:top w:val="single" w:sz="4" w:space="0" w:color="auto"/>
              <w:bottom w:val="single" w:sz="4" w:space="0" w:color="auto"/>
            </w:tcBorders>
            <w:vAlign w:val="center"/>
          </w:tcPr>
          <w:p w14:paraId="58BDF512"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F(6,758)</w:t>
            </w:r>
          </w:p>
        </w:tc>
        <w:tc>
          <w:tcPr>
            <w:tcW w:w="539" w:type="pct"/>
            <w:tcBorders>
              <w:top w:val="single" w:sz="4" w:space="0" w:color="auto"/>
              <w:bottom w:val="single" w:sz="4" w:space="0" w:color="auto"/>
            </w:tcBorders>
            <w:vAlign w:val="center"/>
          </w:tcPr>
          <w:p w14:paraId="0A6F9686" w14:textId="77777777" w:rsidR="00F91117" w:rsidRPr="00D6568A" w:rsidRDefault="00F91117" w:rsidP="00232644">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F91117" w:rsidRPr="00D6568A" w14:paraId="67E14CAB" w14:textId="77777777" w:rsidTr="00232644">
        <w:trPr>
          <w:trHeight w:val="287"/>
        </w:trPr>
        <w:tc>
          <w:tcPr>
            <w:tcW w:w="1874" w:type="pct"/>
            <w:tcBorders>
              <w:top w:val="single" w:sz="4" w:space="0" w:color="auto"/>
            </w:tcBorders>
            <w:vAlign w:val="center"/>
          </w:tcPr>
          <w:p w14:paraId="50B8A1B2" w14:textId="77777777" w:rsidR="00F91117" w:rsidRPr="00D6568A" w:rsidRDefault="00F91117" w:rsidP="00232644">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Governance</w:t>
            </w:r>
          </w:p>
        </w:tc>
        <w:tc>
          <w:tcPr>
            <w:tcW w:w="816" w:type="pct"/>
            <w:tcBorders>
              <w:top w:val="single" w:sz="4" w:space="0" w:color="auto"/>
            </w:tcBorders>
            <w:vAlign w:val="center"/>
          </w:tcPr>
          <w:p w14:paraId="561FFF4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restart"/>
            <w:tcBorders>
              <w:top w:val="single" w:sz="4" w:space="0" w:color="auto"/>
            </w:tcBorders>
            <w:vAlign w:val="center"/>
          </w:tcPr>
          <w:p w14:paraId="249244C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0.873</w:t>
            </w:r>
          </w:p>
        </w:tc>
        <w:tc>
          <w:tcPr>
            <w:tcW w:w="447" w:type="pct"/>
            <w:gridSpan w:val="2"/>
            <w:vMerge w:val="restart"/>
            <w:tcBorders>
              <w:top w:val="single" w:sz="4" w:space="0" w:color="auto"/>
            </w:tcBorders>
            <w:vAlign w:val="center"/>
          </w:tcPr>
          <w:p w14:paraId="1A656049"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0.762</w:t>
            </w:r>
          </w:p>
        </w:tc>
        <w:tc>
          <w:tcPr>
            <w:tcW w:w="870" w:type="pct"/>
            <w:gridSpan w:val="2"/>
            <w:vMerge w:val="restart"/>
            <w:tcBorders>
              <w:top w:val="single" w:sz="4" w:space="0" w:color="auto"/>
            </w:tcBorders>
            <w:vAlign w:val="center"/>
          </w:tcPr>
          <w:p w14:paraId="3E2B89C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133.45</w:t>
            </w:r>
          </w:p>
        </w:tc>
        <w:tc>
          <w:tcPr>
            <w:tcW w:w="546" w:type="pct"/>
            <w:gridSpan w:val="2"/>
            <w:vMerge w:val="restart"/>
            <w:tcBorders>
              <w:top w:val="single" w:sz="4" w:space="0" w:color="auto"/>
            </w:tcBorders>
            <w:vAlign w:val="center"/>
          </w:tcPr>
          <w:p w14:paraId="2750F55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&lt;.001</w:t>
            </w:r>
          </w:p>
        </w:tc>
      </w:tr>
      <w:tr w:rsidR="00F91117" w:rsidRPr="00D6568A" w14:paraId="1B0EB0CC" w14:textId="77777777" w:rsidTr="00232644">
        <w:trPr>
          <w:trHeight w:val="368"/>
        </w:trPr>
        <w:tc>
          <w:tcPr>
            <w:tcW w:w="1874" w:type="pct"/>
            <w:vAlign w:val="center"/>
          </w:tcPr>
          <w:p w14:paraId="49472732"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Trust</w:t>
            </w:r>
          </w:p>
        </w:tc>
        <w:tc>
          <w:tcPr>
            <w:tcW w:w="816" w:type="pct"/>
          </w:tcPr>
          <w:p w14:paraId="49B7724B"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-.847</w:t>
            </w:r>
          </w:p>
        </w:tc>
        <w:tc>
          <w:tcPr>
            <w:tcW w:w="447" w:type="pct"/>
            <w:gridSpan w:val="2"/>
            <w:vMerge/>
            <w:vAlign w:val="center"/>
          </w:tcPr>
          <w:p w14:paraId="1DA88BE1"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60AE80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4B74B56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57600E3A"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044686B9" w14:textId="77777777" w:rsidTr="00232644">
        <w:tc>
          <w:tcPr>
            <w:tcW w:w="1874" w:type="pct"/>
            <w:vAlign w:val="center"/>
          </w:tcPr>
          <w:p w14:paraId="1DA140E7"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Transparency</w:t>
            </w:r>
          </w:p>
        </w:tc>
        <w:tc>
          <w:tcPr>
            <w:tcW w:w="816" w:type="pct"/>
          </w:tcPr>
          <w:p w14:paraId="4E4399A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-.828</w:t>
            </w:r>
          </w:p>
        </w:tc>
        <w:tc>
          <w:tcPr>
            <w:tcW w:w="447" w:type="pct"/>
            <w:gridSpan w:val="2"/>
            <w:vMerge/>
            <w:vAlign w:val="center"/>
          </w:tcPr>
          <w:p w14:paraId="1269D32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0D5C62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241F70E1"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653A2FB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43BE5800" w14:textId="77777777" w:rsidTr="00232644">
        <w:tc>
          <w:tcPr>
            <w:tcW w:w="1874" w:type="pct"/>
            <w:vAlign w:val="center"/>
          </w:tcPr>
          <w:p w14:paraId="20AB1836"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Social Responsibility</w:t>
            </w:r>
          </w:p>
        </w:tc>
        <w:tc>
          <w:tcPr>
            <w:tcW w:w="816" w:type="pct"/>
          </w:tcPr>
          <w:p w14:paraId="5ECCA18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-.819</w:t>
            </w:r>
          </w:p>
        </w:tc>
        <w:tc>
          <w:tcPr>
            <w:tcW w:w="447" w:type="pct"/>
            <w:gridSpan w:val="2"/>
            <w:vMerge/>
            <w:vAlign w:val="center"/>
          </w:tcPr>
          <w:p w14:paraId="6B5D0CE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BC4225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5E65BD77"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00226D0E"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3C82DD2C" w14:textId="77777777" w:rsidTr="00232644">
        <w:tc>
          <w:tcPr>
            <w:tcW w:w="1874" w:type="pct"/>
            <w:vAlign w:val="center"/>
          </w:tcPr>
          <w:p w14:paraId="7842CE64"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Membership Retention</w:t>
            </w:r>
          </w:p>
        </w:tc>
        <w:tc>
          <w:tcPr>
            <w:tcW w:w="816" w:type="pct"/>
            <w:vAlign w:val="center"/>
          </w:tcPr>
          <w:p w14:paraId="35F4CB1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B20E9E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08B94E7C"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4804942F"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72B59E3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4759D2CE" w14:textId="77777777" w:rsidTr="00232644">
        <w:tc>
          <w:tcPr>
            <w:tcW w:w="1874" w:type="pct"/>
            <w:vAlign w:val="center"/>
          </w:tcPr>
          <w:p w14:paraId="036BC851"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Loyalty</w:t>
            </w:r>
          </w:p>
        </w:tc>
        <w:tc>
          <w:tcPr>
            <w:tcW w:w="816" w:type="pct"/>
          </w:tcPr>
          <w:p w14:paraId="58F06B0B"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-.848</w:t>
            </w:r>
          </w:p>
        </w:tc>
        <w:tc>
          <w:tcPr>
            <w:tcW w:w="447" w:type="pct"/>
            <w:gridSpan w:val="2"/>
            <w:vMerge/>
            <w:vAlign w:val="center"/>
          </w:tcPr>
          <w:p w14:paraId="1A4777D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42CE1E3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786A2860"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1B9BE982"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15E6FC19" w14:textId="77777777" w:rsidTr="00232644">
        <w:tc>
          <w:tcPr>
            <w:tcW w:w="1874" w:type="pct"/>
            <w:vAlign w:val="center"/>
          </w:tcPr>
          <w:p w14:paraId="5BF8F39D" w14:textId="77777777" w:rsidR="00F91117" w:rsidRPr="00D6568A" w:rsidRDefault="00F91117" w:rsidP="00232644">
            <w:pPr>
              <w:spacing w:before="240" w:after="240"/>
              <w:ind w:left="345"/>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Advocacy</w:t>
            </w:r>
          </w:p>
        </w:tc>
        <w:tc>
          <w:tcPr>
            <w:tcW w:w="816" w:type="pct"/>
          </w:tcPr>
          <w:p w14:paraId="78A6B283"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-.842</w:t>
            </w:r>
          </w:p>
        </w:tc>
        <w:tc>
          <w:tcPr>
            <w:tcW w:w="447" w:type="pct"/>
            <w:gridSpan w:val="2"/>
            <w:vMerge/>
            <w:vAlign w:val="center"/>
          </w:tcPr>
          <w:p w14:paraId="2E1B3BAF"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447" w:type="pct"/>
            <w:gridSpan w:val="2"/>
            <w:vMerge/>
            <w:vAlign w:val="center"/>
          </w:tcPr>
          <w:p w14:paraId="65CD7839"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870" w:type="pct"/>
            <w:gridSpan w:val="2"/>
            <w:vMerge/>
            <w:vAlign w:val="center"/>
          </w:tcPr>
          <w:p w14:paraId="1689FFC5"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c>
          <w:tcPr>
            <w:tcW w:w="546" w:type="pct"/>
            <w:gridSpan w:val="2"/>
            <w:vMerge/>
            <w:vAlign w:val="center"/>
          </w:tcPr>
          <w:p w14:paraId="4725F2F8"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p>
        </w:tc>
      </w:tr>
      <w:tr w:rsidR="00F91117" w:rsidRPr="00D6568A" w14:paraId="201BFDDD" w14:textId="77777777" w:rsidTr="00232644">
        <w:tc>
          <w:tcPr>
            <w:tcW w:w="5000" w:type="pct"/>
            <w:gridSpan w:val="10"/>
            <w:tcBorders>
              <w:top w:val="single" w:sz="4" w:space="0" w:color="auto"/>
            </w:tcBorders>
            <w:vAlign w:val="center"/>
          </w:tcPr>
          <w:p w14:paraId="5962030D" w14:textId="77777777" w:rsidR="00F91117" w:rsidRPr="00D6568A" w:rsidRDefault="00F91117" w:rsidP="00232644">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*Significant at 0.05 two-tailed alpha level.</w:t>
            </w:r>
          </w:p>
        </w:tc>
      </w:tr>
    </w:tbl>
    <w:p w14:paraId="43688A93" w14:textId="58A4257A" w:rsidR="00AB3788" w:rsidRPr="00AB3788"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The results show a strong and significant relationship between governance and membership retention (Rc = .873, p &lt; .001), explaining 76.2% shared variance. Compared with other independent variables, governance demonstrates a strong but relatively lower association with</w:t>
      </w:r>
      <w:r w:rsidR="00772C2F">
        <w:rPr>
          <w:rFonts w:ascii="Times New Roman" w:eastAsia="Arial" w:hAnsi="Times New Roman" w:cs="Times New Roman"/>
          <w:kern w:val="0"/>
          <w:sz w:val="24"/>
          <w:szCs w:val="24"/>
          <w:lang w:eastAsia="en-PH"/>
          <w14:ligatures w14:val="none"/>
        </w:rPr>
        <w:t xml:space="preserve"> membership</w:t>
      </w:r>
      <w:r w:rsidRPr="00AB3788">
        <w:rPr>
          <w:rFonts w:ascii="Times New Roman" w:eastAsia="Arial" w:hAnsi="Times New Roman" w:cs="Times New Roman"/>
          <w:kern w:val="0"/>
          <w:sz w:val="24"/>
          <w:szCs w:val="24"/>
          <w:lang w:eastAsia="en-PH"/>
          <w14:ligatures w14:val="none"/>
        </w:rPr>
        <w:t xml:space="preserve"> retention. This suggests that while trust, transparency, and social responsibility are critical in establishing institutional credibility, governance primarily functions as a foundational mechanism rather than the most direct </w:t>
      </w:r>
      <w:r>
        <w:rPr>
          <w:rFonts w:ascii="Times New Roman" w:eastAsia="Arial" w:hAnsi="Times New Roman" w:cs="Times New Roman"/>
          <w:kern w:val="0"/>
          <w:sz w:val="24"/>
          <w:szCs w:val="24"/>
          <w:lang w:eastAsia="en-PH"/>
          <w14:ligatures w14:val="none"/>
        </w:rPr>
        <w:t>driver of sustained membership.</w:t>
      </w:r>
    </w:p>
    <w:p w14:paraId="1594E53C" w14:textId="36941166" w:rsidR="00104552" w:rsidRPr="00D6568A" w:rsidRDefault="00AB3788" w:rsidP="00C00F8B">
      <w:pPr>
        <w:spacing w:after="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 xml:space="preserve">The strong cross-loadings of trust, transparency, and social responsibility indicate that members’ confidence in leadership plays a central role in shaping </w:t>
      </w:r>
      <w:r w:rsidR="00772C2F">
        <w:rPr>
          <w:rFonts w:ascii="Times New Roman" w:eastAsia="Arial" w:hAnsi="Times New Roman" w:cs="Times New Roman"/>
          <w:kern w:val="0"/>
          <w:sz w:val="24"/>
          <w:szCs w:val="24"/>
          <w:lang w:eastAsia="en-PH"/>
          <w14:ligatures w14:val="none"/>
        </w:rPr>
        <w:t xml:space="preserve">membership </w:t>
      </w:r>
      <w:r w:rsidRPr="00AB3788">
        <w:rPr>
          <w:rFonts w:ascii="Times New Roman" w:eastAsia="Arial" w:hAnsi="Times New Roman" w:cs="Times New Roman"/>
          <w:kern w:val="0"/>
          <w:sz w:val="24"/>
          <w:szCs w:val="24"/>
          <w:lang w:eastAsia="en-PH"/>
          <w14:ligatures w14:val="none"/>
        </w:rPr>
        <w:t>retention outcomes. This supports recent findings that credible and ethical governance strengthens trust and reinforces long-term commitment in cooperative and financial settings (Ricadonna et al., 2023; Yeboah &amp; Agyapong, 2023). However, the comparatively lower magnitude of association implies that governance alone may not fully translate into active loyalty and advocacy without complementary experie</w:t>
      </w:r>
      <w:r>
        <w:rPr>
          <w:rFonts w:ascii="Times New Roman" w:eastAsia="Arial" w:hAnsi="Times New Roman" w:cs="Times New Roman"/>
          <w:kern w:val="0"/>
          <w:sz w:val="24"/>
          <w:szCs w:val="24"/>
          <w:lang w:eastAsia="en-PH"/>
          <w14:ligatures w14:val="none"/>
        </w:rPr>
        <w:t>ntial and participatory factors</w:t>
      </w:r>
      <w:r w:rsidR="00AF5D9D" w:rsidRPr="00D6568A">
        <w:rPr>
          <w:rFonts w:ascii="Times New Roman" w:eastAsia="Arial" w:hAnsi="Times New Roman" w:cs="Times New Roman"/>
          <w:kern w:val="0"/>
          <w:sz w:val="24"/>
          <w:szCs w:val="24"/>
          <w:lang w:eastAsia="en-PH"/>
          <w14:ligatures w14:val="none"/>
        </w:rPr>
        <w:t>.</w:t>
      </w:r>
    </w:p>
    <w:p w14:paraId="49A85E7A" w14:textId="5B7488D6" w:rsidR="00266365" w:rsidRPr="00192EF4" w:rsidRDefault="0030593A" w:rsidP="00C00F8B">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192EF4">
        <w:rPr>
          <w:rFonts w:ascii="Times New Roman" w:eastAsia="Arial" w:hAnsi="Times New Roman" w:cs="Times New Roman"/>
          <w:b/>
          <w:bCs/>
          <w:i/>
          <w:iCs/>
          <w:kern w:val="0"/>
          <w:sz w:val="24"/>
          <w:szCs w:val="24"/>
          <w:lang w:eastAsia="en-PH"/>
          <w14:ligatures w14:val="none"/>
        </w:rPr>
        <w:t xml:space="preserve">Canonical Correlation Analysis of </w:t>
      </w:r>
      <w:r w:rsidRPr="00192EF4">
        <w:rPr>
          <w:rFonts w:ascii="Times New Roman" w:eastAsia="Tahoma" w:hAnsi="Times New Roman" w:cs="Times New Roman"/>
          <w:b/>
          <w:i/>
          <w:sz w:val="24"/>
          <w:szCs w:val="24"/>
          <w:highlight w:val="white"/>
        </w:rPr>
        <w:t>Member Satisfaction</w:t>
      </w:r>
      <w:r w:rsidRPr="00192EF4">
        <w:rPr>
          <w:rFonts w:ascii="Times New Roman" w:eastAsia="Tahoma" w:hAnsi="Times New Roman" w:cs="Times New Roman"/>
          <w:b/>
          <w:i/>
          <w:sz w:val="24"/>
          <w:szCs w:val="24"/>
        </w:rPr>
        <w:t xml:space="preserve"> </w:t>
      </w:r>
      <w:r w:rsidRPr="00192EF4">
        <w:rPr>
          <w:rFonts w:ascii="Times New Roman" w:eastAsia="Arial" w:hAnsi="Times New Roman" w:cs="Times New Roman"/>
          <w:b/>
          <w:bCs/>
          <w:i/>
          <w:iCs/>
          <w:kern w:val="0"/>
          <w:sz w:val="24"/>
          <w:szCs w:val="24"/>
          <w:lang w:eastAsia="en-PH"/>
          <w14:ligatures w14:val="none"/>
        </w:rPr>
        <w:t xml:space="preserve">(Reliability, Responsiveness, Assurance, Empathy, and </w:t>
      </w:r>
      <w:r w:rsidR="000E4E9F" w:rsidRPr="00192EF4">
        <w:rPr>
          <w:rFonts w:ascii="Times New Roman" w:eastAsia="Arial" w:hAnsi="Times New Roman" w:cs="Times New Roman"/>
          <w:b/>
          <w:bCs/>
          <w:i/>
          <w:iCs/>
          <w:kern w:val="0"/>
          <w:sz w:val="24"/>
          <w:szCs w:val="24"/>
          <w:lang w:eastAsia="en-PH"/>
          <w14:ligatures w14:val="none"/>
        </w:rPr>
        <w:t>Tangibility) and</w:t>
      </w:r>
      <w:r w:rsidRPr="00192EF4">
        <w:rPr>
          <w:rFonts w:ascii="Times New Roman" w:eastAsia="Arial" w:hAnsi="Times New Roman" w:cs="Times New Roman"/>
          <w:b/>
          <w:bCs/>
          <w:i/>
          <w:iCs/>
          <w:kern w:val="0"/>
          <w:sz w:val="24"/>
          <w:szCs w:val="24"/>
          <w:lang w:eastAsia="en-PH"/>
          <w14:ligatures w14:val="none"/>
        </w:rPr>
        <w:t xml:space="preserve"> Membership Retention (Loyalty and Advocacy)</w:t>
      </w:r>
    </w:p>
    <w:p w14:paraId="0BA22B46" w14:textId="22F3A6B6" w:rsidR="00266365" w:rsidRPr="00D6568A" w:rsidRDefault="00627DDF"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3 presents canonical correlation analysis between member satisfaction factors in terms of reliability, responsiveness, assurance, empathy and tangibility to the dependent variable membership retention in terms of loyalty and advocacy.</w:t>
      </w:r>
    </w:p>
    <w:p w14:paraId="7FA2676D" w14:textId="6F4BAA97" w:rsidR="00F73186" w:rsidRPr="00C00F8B" w:rsidRDefault="00F73186" w:rsidP="00D6568A">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w:t>
      </w:r>
      <w:r w:rsidRPr="00C00F8B">
        <w:rPr>
          <w:rFonts w:ascii="Times New Roman" w:eastAsia="Tahoma" w:hAnsi="Times New Roman" w:cs="Times New Roman"/>
          <w:b/>
          <w:sz w:val="24"/>
          <w:szCs w:val="24"/>
          <w:highlight w:val="white"/>
        </w:rPr>
        <w:t xml:space="preserve">3. </w:t>
      </w:r>
      <w:r w:rsidRPr="00C00F8B">
        <w:rPr>
          <w:rFonts w:ascii="Times New Roman" w:eastAsia="Tahoma" w:hAnsi="Times New Roman" w:cs="Times New Roman"/>
          <w:b/>
          <w:bCs/>
          <w:iCs/>
          <w:sz w:val="24"/>
          <w:szCs w:val="24"/>
          <w:highlight w:val="white"/>
        </w:rPr>
        <w:t>Canonical Correlation Analysis Between Member Satisfaction</w:t>
      </w:r>
      <w:r w:rsidRPr="00C00F8B">
        <w:rPr>
          <w:rFonts w:ascii="Times New Roman" w:eastAsia="Tahoma" w:hAnsi="Times New Roman" w:cs="Times New Roman"/>
          <w:b/>
          <w:bCs/>
          <w:iCs/>
          <w:sz w:val="24"/>
          <w:szCs w:val="24"/>
        </w:rPr>
        <w:t xml:space="preserve"> Factors </w:t>
      </w:r>
      <w:r w:rsidR="000E4E9F" w:rsidRPr="00C00F8B">
        <w:rPr>
          <w:rFonts w:ascii="Times New Roman" w:eastAsia="Tahoma" w:hAnsi="Times New Roman" w:cs="Times New Roman"/>
          <w:b/>
          <w:bCs/>
          <w:iCs/>
          <w:sz w:val="24"/>
          <w:szCs w:val="24"/>
        </w:rPr>
        <w:t>in</w:t>
      </w:r>
      <w:r w:rsidRPr="00C00F8B">
        <w:rPr>
          <w:rFonts w:ascii="Times New Roman" w:eastAsia="Tahoma" w:hAnsi="Times New Roman" w:cs="Times New Roman"/>
          <w:b/>
          <w:bCs/>
          <w:iCs/>
          <w:sz w:val="24"/>
          <w:szCs w:val="24"/>
        </w:rPr>
        <w:t xml:space="preserve"> Terms of Reliability, Responsiveness, Assurance, Empathy </w:t>
      </w:r>
      <w:r w:rsidR="00192EF4" w:rsidRPr="00C00F8B">
        <w:rPr>
          <w:rFonts w:ascii="Times New Roman" w:eastAsia="Tahoma" w:hAnsi="Times New Roman" w:cs="Times New Roman"/>
          <w:b/>
          <w:bCs/>
          <w:iCs/>
          <w:sz w:val="24"/>
          <w:szCs w:val="24"/>
        </w:rPr>
        <w:t>and</w:t>
      </w:r>
      <w:r w:rsidRPr="00C00F8B">
        <w:rPr>
          <w:rFonts w:ascii="Times New Roman" w:eastAsia="Tahoma" w:hAnsi="Times New Roman" w:cs="Times New Roman"/>
          <w:b/>
          <w:bCs/>
          <w:iCs/>
          <w:sz w:val="24"/>
          <w:szCs w:val="24"/>
        </w:rPr>
        <w:t xml:space="preserve"> Tangibility</w:t>
      </w:r>
      <w:r w:rsidRPr="00C00F8B">
        <w:rPr>
          <w:rFonts w:ascii="Times New Roman" w:eastAsia="Tahoma" w:hAnsi="Times New Roman" w:cs="Times New Roman"/>
          <w:b/>
          <w:bCs/>
          <w:iCs/>
          <w:sz w:val="24"/>
          <w:szCs w:val="24"/>
          <w:highlight w:val="white"/>
        </w:rPr>
        <w:t xml:space="preserve"> to Membership </w:t>
      </w:r>
      <w:r w:rsidRPr="00C00F8B">
        <w:rPr>
          <w:rFonts w:ascii="Times New Roman" w:eastAsia="Tahoma" w:hAnsi="Times New Roman" w:cs="Times New Roman"/>
          <w:b/>
          <w:bCs/>
          <w:iCs/>
          <w:sz w:val="24"/>
          <w:szCs w:val="24"/>
        </w:rPr>
        <w:t xml:space="preserve">Retention </w:t>
      </w:r>
      <w:r w:rsidR="00192EF4" w:rsidRPr="00C00F8B">
        <w:rPr>
          <w:rFonts w:ascii="Times New Roman" w:eastAsia="Tahoma" w:hAnsi="Times New Roman" w:cs="Times New Roman"/>
          <w:b/>
          <w:bCs/>
          <w:iCs/>
          <w:sz w:val="24"/>
          <w:szCs w:val="24"/>
        </w:rPr>
        <w:t>in</w:t>
      </w:r>
      <w:r w:rsidRPr="00C00F8B">
        <w:rPr>
          <w:rFonts w:ascii="Times New Roman" w:eastAsia="Tahoma" w:hAnsi="Times New Roman" w:cs="Times New Roman"/>
          <w:b/>
          <w:bCs/>
          <w:iCs/>
          <w:sz w:val="24"/>
          <w:szCs w:val="24"/>
        </w:rPr>
        <w:t xml:space="preserve">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1757"/>
        <w:gridCol w:w="15"/>
        <w:gridCol w:w="919"/>
        <w:gridCol w:w="15"/>
        <w:gridCol w:w="919"/>
        <w:gridCol w:w="15"/>
        <w:gridCol w:w="1864"/>
        <w:gridCol w:w="15"/>
        <w:gridCol w:w="1155"/>
        <w:gridCol w:w="15"/>
      </w:tblGrid>
      <w:tr w:rsidR="00F73186" w:rsidRPr="00D6568A" w14:paraId="4D1B45B2" w14:textId="77777777" w:rsidTr="00AD7406">
        <w:tc>
          <w:tcPr>
            <w:tcW w:w="1878" w:type="pct"/>
            <w:tcBorders>
              <w:top w:val="single" w:sz="4" w:space="0" w:color="auto"/>
              <w:bottom w:val="single" w:sz="4" w:space="0" w:color="auto"/>
            </w:tcBorders>
            <w:vAlign w:val="center"/>
          </w:tcPr>
          <w:p w14:paraId="1466CA52"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7" w:type="pct"/>
            <w:gridSpan w:val="2"/>
            <w:tcBorders>
              <w:top w:val="single" w:sz="4" w:space="0" w:color="auto"/>
              <w:bottom w:val="single" w:sz="4" w:space="0" w:color="auto"/>
            </w:tcBorders>
            <w:vAlign w:val="center"/>
          </w:tcPr>
          <w:p w14:paraId="466C59DF"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36" w:type="pct"/>
            <w:gridSpan w:val="2"/>
            <w:tcBorders>
              <w:top w:val="single" w:sz="4" w:space="0" w:color="auto"/>
              <w:bottom w:val="single" w:sz="4" w:space="0" w:color="auto"/>
            </w:tcBorders>
            <w:vAlign w:val="center"/>
          </w:tcPr>
          <w:p w14:paraId="45C08EB0"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36" w:type="pct"/>
            <w:gridSpan w:val="2"/>
            <w:tcBorders>
              <w:top w:val="single" w:sz="4" w:space="0" w:color="auto"/>
              <w:bottom w:val="single" w:sz="4" w:space="0" w:color="auto"/>
            </w:tcBorders>
            <w:vAlign w:val="center"/>
          </w:tcPr>
          <w:p w14:paraId="072EC524"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7" w:type="pct"/>
            <w:gridSpan w:val="2"/>
            <w:tcBorders>
              <w:top w:val="single" w:sz="4" w:space="0" w:color="auto"/>
              <w:bottom w:val="single" w:sz="4" w:space="0" w:color="auto"/>
            </w:tcBorders>
            <w:vAlign w:val="center"/>
          </w:tcPr>
          <w:p w14:paraId="284DA955"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 (10,754)</w:t>
            </w:r>
          </w:p>
        </w:tc>
        <w:tc>
          <w:tcPr>
            <w:tcW w:w="546" w:type="pct"/>
            <w:gridSpan w:val="2"/>
            <w:tcBorders>
              <w:top w:val="single" w:sz="4" w:space="0" w:color="auto"/>
              <w:bottom w:val="single" w:sz="4" w:space="0" w:color="auto"/>
            </w:tcBorders>
            <w:vAlign w:val="center"/>
          </w:tcPr>
          <w:p w14:paraId="4665DEA5" w14:textId="77777777" w:rsidR="00F73186" w:rsidRPr="00D6568A" w:rsidRDefault="00F73186"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AF5D9D" w:rsidRPr="00D6568A" w14:paraId="3420B967" w14:textId="77777777" w:rsidTr="00AD7406">
        <w:trPr>
          <w:gridAfter w:val="1"/>
          <w:wAfter w:w="7" w:type="pct"/>
          <w:trHeight w:val="287"/>
        </w:trPr>
        <w:tc>
          <w:tcPr>
            <w:tcW w:w="1878" w:type="pct"/>
            <w:tcBorders>
              <w:top w:val="single" w:sz="4" w:space="0" w:color="auto"/>
            </w:tcBorders>
            <w:vAlign w:val="center"/>
          </w:tcPr>
          <w:p w14:paraId="2A4D8AC4" w14:textId="77777777"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 Satisfaction</w:t>
            </w:r>
          </w:p>
        </w:tc>
        <w:tc>
          <w:tcPr>
            <w:tcW w:w="820" w:type="pct"/>
            <w:tcBorders>
              <w:top w:val="single" w:sz="4" w:space="0" w:color="auto"/>
            </w:tcBorders>
            <w:vAlign w:val="center"/>
          </w:tcPr>
          <w:p w14:paraId="7BD15784" w14:textId="77777777" w:rsidR="00AF5D9D" w:rsidRPr="00D6568A" w:rsidRDefault="00AF5D9D" w:rsidP="00D6568A">
            <w:pPr>
              <w:spacing w:before="240" w:after="240"/>
              <w:contextualSpacing/>
              <w:jc w:val="both"/>
              <w:rPr>
                <w:rFonts w:ascii="Times New Roman" w:hAnsi="Times New Roman" w:cs="Times New Roman"/>
                <w:sz w:val="24"/>
                <w:szCs w:val="24"/>
              </w:rPr>
            </w:pPr>
          </w:p>
        </w:tc>
        <w:tc>
          <w:tcPr>
            <w:tcW w:w="436" w:type="pct"/>
            <w:gridSpan w:val="2"/>
            <w:vMerge w:val="restart"/>
            <w:tcBorders>
              <w:top w:val="single" w:sz="4" w:space="0" w:color="auto"/>
            </w:tcBorders>
            <w:vAlign w:val="center"/>
          </w:tcPr>
          <w:p w14:paraId="7D96380C"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6F131FA"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6E1702F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3DA5C1C"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20970CB" w14:textId="2DF23C7D"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.876</w:t>
            </w:r>
            <w:r w:rsidR="00D42F5D">
              <w:rPr>
                <w:rFonts w:ascii="Times New Roman" w:hAnsi="Times New Roman" w:cs="Times New Roman"/>
                <w:sz w:val="24"/>
                <w:szCs w:val="24"/>
              </w:rPr>
              <w:t>**</w:t>
            </w:r>
          </w:p>
        </w:tc>
        <w:tc>
          <w:tcPr>
            <w:tcW w:w="436" w:type="pct"/>
            <w:gridSpan w:val="2"/>
            <w:vMerge w:val="restart"/>
            <w:tcBorders>
              <w:top w:val="single" w:sz="4" w:space="0" w:color="auto"/>
            </w:tcBorders>
            <w:vAlign w:val="center"/>
          </w:tcPr>
          <w:p w14:paraId="54A3D93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CD1DBE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9EE8949"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1F1570D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0306DE24" w14:textId="1497A2BB"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.767</w:t>
            </w:r>
          </w:p>
        </w:tc>
        <w:tc>
          <w:tcPr>
            <w:tcW w:w="877" w:type="pct"/>
            <w:gridSpan w:val="2"/>
            <w:vMerge w:val="restart"/>
            <w:tcBorders>
              <w:top w:val="single" w:sz="4" w:space="0" w:color="auto"/>
            </w:tcBorders>
            <w:vAlign w:val="center"/>
          </w:tcPr>
          <w:p w14:paraId="041965E0"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D65F5A0"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B8CDE42"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637495D"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5CF39462" w14:textId="22066840"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81.40</w:t>
            </w:r>
          </w:p>
        </w:tc>
        <w:tc>
          <w:tcPr>
            <w:tcW w:w="546" w:type="pct"/>
            <w:gridSpan w:val="2"/>
            <w:vMerge w:val="restart"/>
            <w:tcBorders>
              <w:top w:val="single" w:sz="4" w:space="0" w:color="auto"/>
            </w:tcBorders>
            <w:vAlign w:val="center"/>
          </w:tcPr>
          <w:p w14:paraId="5045DF1B"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238CEA26"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6FFF7763"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36940B06" w14:textId="77777777" w:rsidR="00AF5D9D" w:rsidRPr="00D6568A" w:rsidRDefault="00AF5D9D" w:rsidP="00D6568A">
            <w:pPr>
              <w:spacing w:before="240" w:after="240"/>
              <w:contextualSpacing/>
              <w:jc w:val="both"/>
              <w:rPr>
                <w:rFonts w:ascii="Times New Roman" w:hAnsi="Times New Roman" w:cs="Times New Roman"/>
                <w:sz w:val="24"/>
                <w:szCs w:val="24"/>
              </w:rPr>
            </w:pPr>
          </w:p>
          <w:p w14:paraId="1E86CAD9" w14:textId="6877BAF8"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&lt;.001</w:t>
            </w:r>
          </w:p>
        </w:tc>
      </w:tr>
      <w:tr w:rsidR="00F73186" w:rsidRPr="00D6568A" w14:paraId="2D2489FA" w14:textId="77777777" w:rsidTr="00AD7406">
        <w:trPr>
          <w:gridAfter w:val="1"/>
          <w:wAfter w:w="7" w:type="pct"/>
          <w:trHeight w:val="368"/>
        </w:trPr>
        <w:tc>
          <w:tcPr>
            <w:tcW w:w="1878" w:type="pct"/>
            <w:vAlign w:val="center"/>
          </w:tcPr>
          <w:p w14:paraId="667584B3"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Reliability</w:t>
            </w:r>
          </w:p>
        </w:tc>
        <w:tc>
          <w:tcPr>
            <w:tcW w:w="820" w:type="pct"/>
          </w:tcPr>
          <w:p w14:paraId="4570B087"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-.816</w:t>
            </w:r>
          </w:p>
        </w:tc>
        <w:tc>
          <w:tcPr>
            <w:tcW w:w="436" w:type="pct"/>
            <w:gridSpan w:val="2"/>
            <w:vMerge/>
            <w:vAlign w:val="center"/>
          </w:tcPr>
          <w:p w14:paraId="0F30FB4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65253453"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5F554A5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6610CA0F"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4D9B5CC6" w14:textId="77777777" w:rsidTr="00AD7406">
        <w:trPr>
          <w:gridAfter w:val="1"/>
          <w:wAfter w:w="7" w:type="pct"/>
        </w:trPr>
        <w:tc>
          <w:tcPr>
            <w:tcW w:w="1878" w:type="pct"/>
            <w:vAlign w:val="center"/>
          </w:tcPr>
          <w:p w14:paraId="6DCDFE34"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Responsiveness</w:t>
            </w:r>
          </w:p>
        </w:tc>
        <w:tc>
          <w:tcPr>
            <w:tcW w:w="820" w:type="pct"/>
          </w:tcPr>
          <w:p w14:paraId="129E0E8C"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-.815</w:t>
            </w:r>
          </w:p>
        </w:tc>
        <w:tc>
          <w:tcPr>
            <w:tcW w:w="436" w:type="pct"/>
            <w:gridSpan w:val="2"/>
            <w:vMerge/>
            <w:vAlign w:val="center"/>
          </w:tcPr>
          <w:p w14:paraId="54A0DBDD"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A1F804E"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658A141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D30A0F2"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47A9338F" w14:textId="77777777" w:rsidTr="00AD7406">
        <w:trPr>
          <w:gridAfter w:val="1"/>
          <w:wAfter w:w="7" w:type="pct"/>
        </w:trPr>
        <w:tc>
          <w:tcPr>
            <w:tcW w:w="1878" w:type="pct"/>
            <w:vAlign w:val="center"/>
          </w:tcPr>
          <w:p w14:paraId="5C42F151"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Assurance</w:t>
            </w:r>
          </w:p>
        </w:tc>
        <w:tc>
          <w:tcPr>
            <w:tcW w:w="820" w:type="pct"/>
          </w:tcPr>
          <w:p w14:paraId="0F30A504"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-.835</w:t>
            </w:r>
          </w:p>
        </w:tc>
        <w:tc>
          <w:tcPr>
            <w:tcW w:w="436" w:type="pct"/>
            <w:gridSpan w:val="2"/>
            <w:vMerge/>
            <w:vAlign w:val="center"/>
          </w:tcPr>
          <w:p w14:paraId="5837563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5DF2FB3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D9CE751"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1762E2F3"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51187B8B" w14:textId="77777777" w:rsidTr="00AD7406">
        <w:trPr>
          <w:gridAfter w:val="1"/>
          <w:wAfter w:w="7" w:type="pct"/>
        </w:trPr>
        <w:tc>
          <w:tcPr>
            <w:tcW w:w="1878" w:type="pct"/>
            <w:vAlign w:val="center"/>
          </w:tcPr>
          <w:p w14:paraId="412BC007"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Empathy</w:t>
            </w:r>
          </w:p>
        </w:tc>
        <w:tc>
          <w:tcPr>
            <w:tcW w:w="820" w:type="pct"/>
          </w:tcPr>
          <w:p w14:paraId="4672A688"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-.833</w:t>
            </w:r>
          </w:p>
        </w:tc>
        <w:tc>
          <w:tcPr>
            <w:tcW w:w="436" w:type="pct"/>
            <w:gridSpan w:val="2"/>
            <w:vMerge/>
            <w:vAlign w:val="center"/>
          </w:tcPr>
          <w:p w14:paraId="376B8F0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45A5D9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09C5ABEC"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F614171"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3E606C17" w14:textId="77777777" w:rsidTr="00AD7406">
        <w:trPr>
          <w:gridAfter w:val="1"/>
          <w:wAfter w:w="7" w:type="pct"/>
        </w:trPr>
        <w:tc>
          <w:tcPr>
            <w:tcW w:w="1878" w:type="pct"/>
            <w:vAlign w:val="center"/>
          </w:tcPr>
          <w:p w14:paraId="33486820"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Tangibility</w:t>
            </w:r>
          </w:p>
        </w:tc>
        <w:tc>
          <w:tcPr>
            <w:tcW w:w="820" w:type="pct"/>
          </w:tcPr>
          <w:p w14:paraId="7BCF6B4A"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-.743</w:t>
            </w:r>
          </w:p>
        </w:tc>
        <w:tc>
          <w:tcPr>
            <w:tcW w:w="436" w:type="pct"/>
            <w:gridSpan w:val="2"/>
            <w:vMerge/>
            <w:vAlign w:val="center"/>
          </w:tcPr>
          <w:p w14:paraId="5F53E3A7"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0515B8E"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3C3220E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6A25920A"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68A22F45" w14:textId="77777777" w:rsidTr="00AD7406">
        <w:trPr>
          <w:gridAfter w:val="1"/>
          <w:wAfter w:w="7" w:type="pct"/>
        </w:trPr>
        <w:tc>
          <w:tcPr>
            <w:tcW w:w="1878" w:type="pct"/>
            <w:vAlign w:val="center"/>
          </w:tcPr>
          <w:p w14:paraId="141F7BC2"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Membership Retention</w:t>
            </w:r>
          </w:p>
        </w:tc>
        <w:tc>
          <w:tcPr>
            <w:tcW w:w="820" w:type="pct"/>
            <w:vAlign w:val="center"/>
          </w:tcPr>
          <w:p w14:paraId="16DB8D4F"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7FC8BC47"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52EBF2EB"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0D2F66A"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78442090"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583EAFC5" w14:textId="77777777" w:rsidTr="00AD7406">
        <w:trPr>
          <w:gridAfter w:val="1"/>
          <w:wAfter w:w="7" w:type="pct"/>
        </w:trPr>
        <w:tc>
          <w:tcPr>
            <w:tcW w:w="1878" w:type="pct"/>
            <w:vAlign w:val="center"/>
          </w:tcPr>
          <w:p w14:paraId="30FC46C1"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Loyalty</w:t>
            </w:r>
          </w:p>
        </w:tc>
        <w:tc>
          <w:tcPr>
            <w:tcW w:w="820" w:type="pct"/>
          </w:tcPr>
          <w:p w14:paraId="5933280A"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-.856</w:t>
            </w:r>
          </w:p>
        </w:tc>
        <w:tc>
          <w:tcPr>
            <w:tcW w:w="436" w:type="pct"/>
            <w:gridSpan w:val="2"/>
            <w:vMerge/>
            <w:vAlign w:val="center"/>
          </w:tcPr>
          <w:p w14:paraId="1A93DDE1"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5B3B6D6"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4A7A0F20"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47A3213B"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2BB66CFB" w14:textId="77777777" w:rsidTr="00AD7406">
        <w:trPr>
          <w:gridAfter w:val="1"/>
          <w:wAfter w:w="7" w:type="pct"/>
        </w:trPr>
        <w:tc>
          <w:tcPr>
            <w:tcW w:w="1878" w:type="pct"/>
            <w:vAlign w:val="center"/>
          </w:tcPr>
          <w:p w14:paraId="77EA0283"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Advocacy</w:t>
            </w:r>
          </w:p>
        </w:tc>
        <w:tc>
          <w:tcPr>
            <w:tcW w:w="820" w:type="pct"/>
          </w:tcPr>
          <w:p w14:paraId="676F55A5"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-.841</w:t>
            </w:r>
          </w:p>
        </w:tc>
        <w:tc>
          <w:tcPr>
            <w:tcW w:w="436" w:type="pct"/>
            <w:gridSpan w:val="2"/>
            <w:vMerge/>
            <w:vAlign w:val="center"/>
          </w:tcPr>
          <w:p w14:paraId="35359719"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63F27318"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877" w:type="pct"/>
            <w:gridSpan w:val="2"/>
            <w:vMerge/>
            <w:vAlign w:val="center"/>
          </w:tcPr>
          <w:p w14:paraId="673657D4" w14:textId="77777777" w:rsidR="00F73186" w:rsidRPr="00D6568A" w:rsidRDefault="00F73186" w:rsidP="00D6568A">
            <w:pPr>
              <w:spacing w:before="240" w:after="240"/>
              <w:contextualSpacing/>
              <w:jc w:val="both"/>
              <w:rPr>
                <w:rFonts w:ascii="Times New Roman" w:hAnsi="Times New Roman" w:cs="Times New Roman"/>
                <w:sz w:val="24"/>
                <w:szCs w:val="24"/>
              </w:rPr>
            </w:pPr>
          </w:p>
        </w:tc>
        <w:tc>
          <w:tcPr>
            <w:tcW w:w="546" w:type="pct"/>
            <w:gridSpan w:val="2"/>
            <w:vMerge/>
            <w:vAlign w:val="center"/>
          </w:tcPr>
          <w:p w14:paraId="2AD44060" w14:textId="77777777" w:rsidR="00F73186" w:rsidRPr="00D6568A" w:rsidRDefault="00F73186" w:rsidP="00D6568A">
            <w:pPr>
              <w:spacing w:before="240" w:after="240"/>
              <w:contextualSpacing/>
              <w:jc w:val="both"/>
              <w:rPr>
                <w:rFonts w:ascii="Times New Roman" w:hAnsi="Times New Roman" w:cs="Times New Roman"/>
                <w:sz w:val="24"/>
                <w:szCs w:val="24"/>
              </w:rPr>
            </w:pPr>
          </w:p>
        </w:tc>
      </w:tr>
      <w:tr w:rsidR="00F73186" w:rsidRPr="00D6568A" w14:paraId="0BF5B686" w14:textId="77777777" w:rsidTr="00AD7406">
        <w:trPr>
          <w:gridAfter w:val="1"/>
          <w:wAfter w:w="7" w:type="pct"/>
          <w:trHeight w:val="70"/>
        </w:trPr>
        <w:tc>
          <w:tcPr>
            <w:tcW w:w="4993" w:type="pct"/>
            <w:gridSpan w:val="10"/>
            <w:tcBorders>
              <w:top w:val="single" w:sz="4" w:space="0" w:color="auto"/>
            </w:tcBorders>
            <w:vAlign w:val="center"/>
          </w:tcPr>
          <w:p w14:paraId="107FA550" w14:textId="77777777" w:rsidR="00F73186" w:rsidRPr="00D6568A" w:rsidRDefault="00F73186"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*Significant at 0.05 two-tailed alpha level.</w:t>
            </w:r>
          </w:p>
        </w:tc>
      </w:tr>
    </w:tbl>
    <w:p w14:paraId="30729E35" w14:textId="32FCF398" w:rsidR="00AB3788" w:rsidRPr="00AB3788"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lastRenderedPageBreak/>
        <w:t xml:space="preserve">A strong and significant relationship was found between member satisfaction and membership retention (Rc = .876, p &lt; .001), explaining 76.7% shared variance. Compared to governance, member satisfaction demonstrates a slightly stronger association with </w:t>
      </w:r>
      <w:r w:rsidR="00772C2F">
        <w:rPr>
          <w:rFonts w:ascii="Times New Roman" w:eastAsia="Arial" w:hAnsi="Times New Roman" w:cs="Times New Roman"/>
          <w:kern w:val="0"/>
          <w:sz w:val="24"/>
          <w:szCs w:val="24"/>
          <w:lang w:eastAsia="en-PH"/>
          <w14:ligatures w14:val="none"/>
        </w:rPr>
        <w:t xml:space="preserve">membership </w:t>
      </w:r>
      <w:r w:rsidRPr="00AB3788">
        <w:rPr>
          <w:rFonts w:ascii="Times New Roman" w:eastAsia="Arial" w:hAnsi="Times New Roman" w:cs="Times New Roman"/>
          <w:kern w:val="0"/>
          <w:sz w:val="24"/>
          <w:szCs w:val="24"/>
          <w:lang w:eastAsia="en-PH"/>
          <w14:ligatures w14:val="none"/>
        </w:rPr>
        <w:t xml:space="preserve">retention, indicating that service performance plays a more direct role in influencing </w:t>
      </w:r>
      <w:r w:rsidR="00772C2F">
        <w:rPr>
          <w:rFonts w:ascii="Times New Roman" w:eastAsia="Arial" w:hAnsi="Times New Roman" w:cs="Times New Roman"/>
          <w:kern w:val="0"/>
          <w:sz w:val="24"/>
          <w:szCs w:val="24"/>
          <w:lang w:eastAsia="en-PH"/>
          <w14:ligatures w14:val="none"/>
        </w:rPr>
        <w:t>members’ continued affiliation.</w:t>
      </w:r>
    </w:p>
    <w:p w14:paraId="3D6294AD" w14:textId="333A480F" w:rsidR="00650B72" w:rsidRPr="00D6568A" w:rsidRDefault="00AB3788" w:rsidP="00AB3788">
      <w:pPr>
        <w:spacing w:before="240" w:after="240" w:line="240" w:lineRule="auto"/>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The strong contributions of assurance and empathy suggest that interpersonal service quality enhances members’ experiences, reinforcing positive evaluations of the cooperative. This aligns with recent studies showing that reliable, responsive, and professional service interactions significantly strengthen satisfaction and reduce member attrition (Manzano, 2024; Sapkota et al., 2023). Despite this, satisfaction remains largely experiential; while it reinforces favorable perceptions, it may not fully translate into sustained behavioral commitment without deeper member involvement, which explains why its influence remain</w:t>
      </w:r>
      <w:r>
        <w:rPr>
          <w:rFonts w:ascii="Times New Roman" w:eastAsia="Arial" w:hAnsi="Times New Roman" w:cs="Times New Roman"/>
          <w:kern w:val="0"/>
          <w:sz w:val="24"/>
          <w:szCs w:val="24"/>
          <w:lang w:eastAsia="en-PH"/>
          <w14:ligatures w14:val="none"/>
        </w:rPr>
        <w:t>s lower than that of engagement</w:t>
      </w:r>
      <w:r w:rsidR="00AF5D9D" w:rsidRPr="00D6568A">
        <w:rPr>
          <w:rFonts w:ascii="Times New Roman" w:eastAsia="Arial" w:hAnsi="Times New Roman" w:cs="Times New Roman"/>
          <w:kern w:val="0"/>
          <w:sz w:val="24"/>
          <w:szCs w:val="24"/>
          <w:lang w:eastAsia="en-PH"/>
          <w14:ligatures w14:val="none"/>
        </w:rPr>
        <w:t>.</w:t>
      </w:r>
    </w:p>
    <w:p w14:paraId="545F177B" w14:textId="5DEB4615" w:rsidR="000C59FE" w:rsidRPr="00192EF4" w:rsidRDefault="000C59FE" w:rsidP="00D6568A">
      <w:pPr>
        <w:spacing w:before="240" w:after="240" w:line="240" w:lineRule="auto"/>
        <w:jc w:val="both"/>
        <w:rPr>
          <w:rFonts w:ascii="Times New Roman" w:eastAsia="Arial" w:hAnsi="Times New Roman" w:cs="Times New Roman"/>
          <w:b/>
          <w:bCs/>
          <w:i/>
          <w:iCs/>
          <w:kern w:val="0"/>
          <w:sz w:val="24"/>
          <w:szCs w:val="24"/>
          <w:lang w:eastAsia="en-PH"/>
          <w14:ligatures w14:val="none"/>
        </w:rPr>
      </w:pPr>
      <w:r w:rsidRPr="00192EF4">
        <w:rPr>
          <w:rFonts w:ascii="Times New Roman" w:eastAsia="Arial" w:hAnsi="Times New Roman" w:cs="Times New Roman"/>
          <w:b/>
          <w:bCs/>
          <w:i/>
          <w:iCs/>
          <w:kern w:val="0"/>
          <w:sz w:val="24"/>
          <w:szCs w:val="24"/>
          <w:lang w:eastAsia="en-PH"/>
          <w14:ligatures w14:val="none"/>
        </w:rPr>
        <w:t xml:space="preserve">Canonical Correlation Analysis of </w:t>
      </w:r>
      <w:r w:rsidRPr="00192EF4">
        <w:rPr>
          <w:rFonts w:ascii="Times New Roman" w:eastAsia="Tahoma" w:hAnsi="Times New Roman" w:cs="Times New Roman"/>
          <w:b/>
          <w:i/>
          <w:sz w:val="24"/>
          <w:szCs w:val="24"/>
          <w:highlight w:val="white"/>
        </w:rPr>
        <w:t>Membe</w:t>
      </w:r>
      <w:r w:rsidRPr="00192EF4">
        <w:rPr>
          <w:rFonts w:ascii="Times New Roman" w:eastAsia="Tahoma" w:hAnsi="Times New Roman" w:cs="Times New Roman"/>
          <w:b/>
          <w:i/>
          <w:sz w:val="24"/>
          <w:szCs w:val="24"/>
        </w:rPr>
        <w:t xml:space="preserve">r Engagement </w:t>
      </w:r>
      <w:r w:rsidRPr="00192EF4">
        <w:rPr>
          <w:rFonts w:ascii="Times New Roman" w:eastAsia="Arial" w:hAnsi="Times New Roman" w:cs="Times New Roman"/>
          <w:b/>
          <w:bCs/>
          <w:i/>
          <w:iCs/>
          <w:kern w:val="0"/>
          <w:sz w:val="24"/>
          <w:szCs w:val="24"/>
          <w:lang w:eastAsia="en-PH"/>
          <w14:ligatures w14:val="none"/>
        </w:rPr>
        <w:t>(Cooperative Awareness, Perceived Value of Membership, and Level of Participation) and Membership Retention (Loyalty and Advocacy)</w:t>
      </w:r>
    </w:p>
    <w:p w14:paraId="2735B6E7" w14:textId="44240BA4" w:rsidR="00266365" w:rsidRPr="00D6568A" w:rsidRDefault="00627DDF"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Table 4 presents canonical correlation analysis between member engagement factors in terms of cooperative awareness, value of membership, and level of participation to the dependent variable membership retention assessed through loyalty and advocacy.</w:t>
      </w:r>
    </w:p>
    <w:p w14:paraId="1055A67E" w14:textId="5B1F39BA" w:rsidR="00627DDF" w:rsidRPr="00C00F8B" w:rsidRDefault="00627DDF" w:rsidP="00D6568A">
      <w:pPr>
        <w:spacing w:before="240" w:after="240" w:line="240" w:lineRule="auto"/>
        <w:jc w:val="both"/>
        <w:rPr>
          <w:rFonts w:ascii="Times New Roman" w:eastAsia="Tahoma" w:hAnsi="Times New Roman" w:cs="Times New Roman"/>
          <w:b/>
          <w:bCs/>
          <w:iCs/>
          <w:sz w:val="24"/>
          <w:szCs w:val="24"/>
        </w:rPr>
      </w:pPr>
      <w:r w:rsidRPr="00D6568A">
        <w:rPr>
          <w:rFonts w:ascii="Times New Roman" w:eastAsia="Tahoma" w:hAnsi="Times New Roman" w:cs="Times New Roman"/>
          <w:b/>
          <w:sz w:val="24"/>
          <w:szCs w:val="24"/>
          <w:highlight w:val="white"/>
        </w:rPr>
        <w:t xml:space="preserve">Table 4. </w:t>
      </w:r>
      <w:r w:rsidRPr="00C00F8B">
        <w:rPr>
          <w:rFonts w:ascii="Times New Roman" w:eastAsia="Tahoma" w:hAnsi="Times New Roman" w:cs="Times New Roman"/>
          <w:b/>
          <w:bCs/>
          <w:iCs/>
          <w:sz w:val="24"/>
          <w:szCs w:val="24"/>
          <w:highlight w:val="white"/>
        </w:rPr>
        <w:t xml:space="preserve">Canonical Correlation Analysis Between Member </w:t>
      </w:r>
      <w:r w:rsidRPr="00C00F8B">
        <w:rPr>
          <w:rFonts w:ascii="Times New Roman" w:eastAsia="Tahoma" w:hAnsi="Times New Roman" w:cs="Times New Roman"/>
          <w:b/>
          <w:bCs/>
          <w:iCs/>
          <w:sz w:val="24"/>
          <w:szCs w:val="24"/>
        </w:rPr>
        <w:t xml:space="preserve">Engagement </w:t>
      </w:r>
      <w:r w:rsidR="000E4E9F" w:rsidRPr="00C00F8B">
        <w:rPr>
          <w:rFonts w:ascii="Times New Roman" w:eastAsia="Tahoma" w:hAnsi="Times New Roman" w:cs="Times New Roman"/>
          <w:b/>
          <w:bCs/>
          <w:iCs/>
          <w:sz w:val="24"/>
          <w:szCs w:val="24"/>
        </w:rPr>
        <w:t>i</w:t>
      </w:r>
      <w:r w:rsidRPr="00C00F8B">
        <w:rPr>
          <w:rFonts w:ascii="Times New Roman" w:eastAsia="Tahoma" w:hAnsi="Times New Roman" w:cs="Times New Roman"/>
          <w:b/>
          <w:bCs/>
          <w:iCs/>
          <w:sz w:val="24"/>
          <w:szCs w:val="24"/>
        </w:rPr>
        <w:t>n</w:t>
      </w:r>
      <w:r w:rsidRPr="00C00F8B">
        <w:rPr>
          <w:rStyle w:val="CommentReference"/>
          <w:rFonts w:ascii="Times New Roman" w:eastAsia="Tahoma" w:hAnsi="Times New Roman" w:cs="Times New Roman"/>
          <w:b/>
          <w:bCs/>
          <w:iCs/>
          <w:sz w:val="24"/>
          <w:szCs w:val="24"/>
        </w:rPr>
        <w:t xml:space="preserve"> T</w:t>
      </w:r>
      <w:r w:rsidRPr="00C00F8B">
        <w:rPr>
          <w:rFonts w:ascii="Times New Roman" w:eastAsia="Tahoma" w:hAnsi="Times New Roman" w:cs="Times New Roman"/>
          <w:b/>
          <w:bCs/>
          <w:iCs/>
          <w:sz w:val="24"/>
          <w:szCs w:val="24"/>
        </w:rPr>
        <w:t>erms of Cooperative Awareness, Value of Membership, and Level of Participation</w:t>
      </w:r>
      <w:r w:rsidRPr="00C00F8B">
        <w:rPr>
          <w:rFonts w:ascii="Times New Roman" w:eastAsia="Tahoma" w:hAnsi="Times New Roman" w:cs="Times New Roman"/>
          <w:b/>
          <w:bCs/>
          <w:iCs/>
          <w:sz w:val="24"/>
          <w:szCs w:val="24"/>
          <w:highlight w:val="white"/>
        </w:rPr>
        <w:t xml:space="preserve"> to Membership </w:t>
      </w:r>
      <w:r w:rsidRPr="00C00F8B">
        <w:rPr>
          <w:rFonts w:ascii="Times New Roman" w:eastAsia="Tahoma" w:hAnsi="Times New Roman" w:cs="Times New Roman"/>
          <w:b/>
          <w:bCs/>
          <w:iCs/>
          <w:sz w:val="24"/>
          <w:szCs w:val="24"/>
        </w:rPr>
        <w:t xml:space="preserve">Retention </w:t>
      </w:r>
      <w:r w:rsidR="000E4E9F" w:rsidRPr="00C00F8B">
        <w:rPr>
          <w:rFonts w:ascii="Times New Roman" w:eastAsia="Tahoma" w:hAnsi="Times New Roman" w:cs="Times New Roman"/>
          <w:b/>
          <w:bCs/>
          <w:iCs/>
          <w:sz w:val="24"/>
          <w:szCs w:val="24"/>
        </w:rPr>
        <w:t>i</w:t>
      </w:r>
      <w:r w:rsidRPr="00C00F8B">
        <w:rPr>
          <w:rFonts w:ascii="Times New Roman" w:eastAsia="Tahoma" w:hAnsi="Times New Roman" w:cs="Times New Roman"/>
          <w:b/>
          <w:bCs/>
          <w:iCs/>
          <w:sz w:val="24"/>
          <w:szCs w:val="24"/>
        </w:rPr>
        <w:t>n Terms of Loyalty and Advocacy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1757"/>
        <w:gridCol w:w="15"/>
        <w:gridCol w:w="919"/>
        <w:gridCol w:w="15"/>
        <w:gridCol w:w="919"/>
        <w:gridCol w:w="15"/>
        <w:gridCol w:w="1864"/>
        <w:gridCol w:w="15"/>
        <w:gridCol w:w="1159"/>
        <w:gridCol w:w="9"/>
      </w:tblGrid>
      <w:tr w:rsidR="00627DDF" w:rsidRPr="00D6568A" w14:paraId="6D1C0F6A" w14:textId="77777777" w:rsidTr="00AD7406">
        <w:trPr>
          <w:trHeight w:val="616"/>
        </w:trPr>
        <w:tc>
          <w:tcPr>
            <w:tcW w:w="1879" w:type="pct"/>
            <w:tcBorders>
              <w:top w:val="single" w:sz="4" w:space="0" w:color="auto"/>
              <w:bottom w:val="single" w:sz="4" w:space="0" w:color="auto"/>
            </w:tcBorders>
            <w:vAlign w:val="center"/>
          </w:tcPr>
          <w:p w14:paraId="40E0E2BA"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Variable</w:t>
            </w:r>
          </w:p>
        </w:tc>
        <w:tc>
          <w:tcPr>
            <w:tcW w:w="827" w:type="pct"/>
            <w:gridSpan w:val="2"/>
            <w:tcBorders>
              <w:top w:val="single" w:sz="4" w:space="0" w:color="auto"/>
              <w:bottom w:val="single" w:sz="4" w:space="0" w:color="auto"/>
            </w:tcBorders>
            <w:vAlign w:val="center"/>
          </w:tcPr>
          <w:p w14:paraId="0E66C0D5"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Cross loading</w:t>
            </w:r>
          </w:p>
        </w:tc>
        <w:tc>
          <w:tcPr>
            <w:tcW w:w="436" w:type="pct"/>
            <w:gridSpan w:val="2"/>
            <w:tcBorders>
              <w:top w:val="single" w:sz="4" w:space="0" w:color="auto"/>
              <w:bottom w:val="single" w:sz="4" w:space="0" w:color="auto"/>
            </w:tcBorders>
            <w:vAlign w:val="center"/>
          </w:tcPr>
          <w:p w14:paraId="170054E4"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p>
        </w:tc>
        <w:tc>
          <w:tcPr>
            <w:tcW w:w="436" w:type="pct"/>
            <w:gridSpan w:val="2"/>
            <w:tcBorders>
              <w:top w:val="single" w:sz="4" w:space="0" w:color="auto"/>
              <w:bottom w:val="single" w:sz="4" w:space="0" w:color="auto"/>
            </w:tcBorders>
            <w:vAlign w:val="center"/>
          </w:tcPr>
          <w:p w14:paraId="02C57A6F"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R</w:t>
            </w:r>
            <w:r w:rsidRPr="00D6568A">
              <w:rPr>
                <w:rFonts w:ascii="Times New Roman" w:hAnsi="Times New Roman" w:cs="Times New Roman"/>
                <w:b/>
                <w:bCs/>
                <w:sz w:val="24"/>
                <w:szCs w:val="24"/>
                <w:vertAlign w:val="superscript"/>
                <w:lang w:val="en-PH"/>
              </w:rPr>
              <w:t>2</w:t>
            </w:r>
          </w:p>
        </w:tc>
        <w:tc>
          <w:tcPr>
            <w:tcW w:w="877" w:type="pct"/>
            <w:gridSpan w:val="2"/>
            <w:tcBorders>
              <w:top w:val="single" w:sz="4" w:space="0" w:color="auto"/>
              <w:bottom w:val="single" w:sz="4" w:space="0" w:color="auto"/>
            </w:tcBorders>
            <w:vAlign w:val="center"/>
          </w:tcPr>
          <w:p w14:paraId="6CF6B25D" w14:textId="77777777"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F (6,758)</w:t>
            </w:r>
          </w:p>
        </w:tc>
        <w:tc>
          <w:tcPr>
            <w:tcW w:w="546" w:type="pct"/>
            <w:gridSpan w:val="2"/>
            <w:tcBorders>
              <w:top w:val="single" w:sz="4" w:space="0" w:color="auto"/>
              <w:bottom w:val="single" w:sz="4" w:space="0" w:color="auto"/>
            </w:tcBorders>
            <w:vAlign w:val="center"/>
          </w:tcPr>
          <w:p w14:paraId="4F2582E9" w14:textId="4AB0893E" w:rsidR="00627DDF" w:rsidRPr="00D6568A" w:rsidRDefault="00627DDF" w:rsidP="00D6568A">
            <w:pPr>
              <w:spacing w:before="240" w:after="240"/>
              <w:contextualSpacing/>
              <w:jc w:val="both"/>
              <w:rPr>
                <w:rFonts w:ascii="Times New Roman" w:hAnsi="Times New Roman" w:cs="Times New Roman"/>
                <w:b/>
                <w:bCs/>
                <w:sz w:val="24"/>
                <w:szCs w:val="24"/>
                <w:lang w:val="en-PH"/>
              </w:rPr>
            </w:pPr>
            <w:r w:rsidRPr="00D6568A">
              <w:rPr>
                <w:rFonts w:ascii="Times New Roman" w:hAnsi="Times New Roman" w:cs="Times New Roman"/>
                <w:b/>
                <w:bCs/>
                <w:sz w:val="24"/>
                <w:szCs w:val="24"/>
                <w:lang w:val="en-PH"/>
              </w:rPr>
              <w:t>P</w:t>
            </w:r>
          </w:p>
        </w:tc>
      </w:tr>
      <w:tr w:rsidR="00AF5D9D" w:rsidRPr="00D6568A" w14:paraId="39F254B3" w14:textId="77777777" w:rsidTr="00AD7406">
        <w:trPr>
          <w:gridAfter w:val="1"/>
          <w:wAfter w:w="5" w:type="pct"/>
          <w:trHeight w:val="283"/>
        </w:trPr>
        <w:tc>
          <w:tcPr>
            <w:tcW w:w="1879" w:type="pct"/>
            <w:tcBorders>
              <w:top w:val="single" w:sz="4" w:space="0" w:color="auto"/>
            </w:tcBorders>
            <w:vAlign w:val="center"/>
          </w:tcPr>
          <w:p w14:paraId="68884F7D" w14:textId="57F67886" w:rsidR="00AF5D9D" w:rsidRPr="00D6568A" w:rsidRDefault="00AF5D9D"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 Engagement</w:t>
            </w:r>
          </w:p>
        </w:tc>
        <w:tc>
          <w:tcPr>
            <w:tcW w:w="820" w:type="pct"/>
            <w:tcBorders>
              <w:top w:val="single" w:sz="4" w:space="0" w:color="auto"/>
            </w:tcBorders>
            <w:vAlign w:val="center"/>
          </w:tcPr>
          <w:p w14:paraId="505E6386" w14:textId="77777777" w:rsidR="00AF5D9D" w:rsidRPr="00D6568A" w:rsidRDefault="00AF5D9D" w:rsidP="00D6568A">
            <w:pPr>
              <w:spacing w:before="240" w:after="240"/>
              <w:contextualSpacing/>
              <w:jc w:val="both"/>
              <w:rPr>
                <w:rFonts w:ascii="Times New Roman" w:hAnsi="Times New Roman" w:cs="Times New Roman"/>
                <w:sz w:val="24"/>
                <w:szCs w:val="24"/>
              </w:rPr>
            </w:pPr>
          </w:p>
        </w:tc>
        <w:tc>
          <w:tcPr>
            <w:tcW w:w="436" w:type="pct"/>
            <w:gridSpan w:val="2"/>
            <w:vMerge w:val="restart"/>
            <w:tcBorders>
              <w:top w:val="single" w:sz="4" w:space="0" w:color="auto"/>
            </w:tcBorders>
            <w:vAlign w:val="center"/>
          </w:tcPr>
          <w:p w14:paraId="1A5B553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CE0CEA3"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4DB8AEA8" w14:textId="5358A3D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.921</w:t>
            </w:r>
            <w:r w:rsidR="00D42F5D">
              <w:rPr>
                <w:rFonts w:ascii="Times New Roman" w:hAnsi="Times New Roman" w:cs="Times New Roman"/>
                <w:sz w:val="24"/>
                <w:szCs w:val="24"/>
                <w:lang w:val="en-PH"/>
              </w:rPr>
              <w:t>**</w:t>
            </w:r>
          </w:p>
        </w:tc>
        <w:tc>
          <w:tcPr>
            <w:tcW w:w="436" w:type="pct"/>
            <w:gridSpan w:val="2"/>
            <w:vMerge w:val="restart"/>
            <w:tcBorders>
              <w:top w:val="single" w:sz="4" w:space="0" w:color="auto"/>
            </w:tcBorders>
            <w:vAlign w:val="center"/>
          </w:tcPr>
          <w:p w14:paraId="7537C58B"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77A24B78"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2A7D4EB8" w14:textId="2836430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.848</w:t>
            </w:r>
          </w:p>
        </w:tc>
        <w:tc>
          <w:tcPr>
            <w:tcW w:w="877" w:type="pct"/>
            <w:gridSpan w:val="2"/>
            <w:vMerge w:val="restart"/>
            <w:tcBorders>
              <w:top w:val="single" w:sz="4" w:space="0" w:color="auto"/>
            </w:tcBorders>
            <w:vAlign w:val="center"/>
          </w:tcPr>
          <w:p w14:paraId="2E49B2E4"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5C60A1C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6E5458F9" w14:textId="022B3E0B"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199.62</w:t>
            </w:r>
          </w:p>
        </w:tc>
        <w:tc>
          <w:tcPr>
            <w:tcW w:w="548" w:type="pct"/>
            <w:gridSpan w:val="2"/>
            <w:vMerge w:val="restart"/>
            <w:tcBorders>
              <w:top w:val="single" w:sz="4" w:space="0" w:color="auto"/>
            </w:tcBorders>
            <w:vAlign w:val="center"/>
          </w:tcPr>
          <w:p w14:paraId="70315A10"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05918D7" w14:textId="77777777" w:rsidR="00AF5D9D" w:rsidRPr="00D6568A" w:rsidRDefault="00AF5D9D" w:rsidP="00D6568A">
            <w:pPr>
              <w:spacing w:before="240" w:after="240"/>
              <w:contextualSpacing/>
              <w:jc w:val="both"/>
              <w:rPr>
                <w:rFonts w:ascii="Times New Roman" w:hAnsi="Times New Roman" w:cs="Times New Roman"/>
                <w:sz w:val="24"/>
                <w:szCs w:val="24"/>
                <w:lang w:val="en-PH"/>
              </w:rPr>
            </w:pPr>
          </w:p>
          <w:p w14:paraId="386C9DE6" w14:textId="651AC1DA" w:rsidR="00AF5D9D" w:rsidRPr="00D6568A" w:rsidRDefault="00AF5D9D"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&lt;.001</w:t>
            </w:r>
          </w:p>
        </w:tc>
      </w:tr>
      <w:tr w:rsidR="00627DDF" w:rsidRPr="00D6568A" w14:paraId="7B952C46" w14:textId="77777777" w:rsidTr="00AD7406">
        <w:trPr>
          <w:gridAfter w:val="1"/>
          <w:wAfter w:w="5" w:type="pct"/>
          <w:trHeight w:val="363"/>
        </w:trPr>
        <w:tc>
          <w:tcPr>
            <w:tcW w:w="1879" w:type="pct"/>
            <w:vAlign w:val="center"/>
          </w:tcPr>
          <w:p w14:paraId="20A83032"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Cooperative Awareness</w:t>
            </w:r>
          </w:p>
        </w:tc>
        <w:tc>
          <w:tcPr>
            <w:tcW w:w="820" w:type="pct"/>
          </w:tcPr>
          <w:p w14:paraId="6F4DA77B"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-.866</w:t>
            </w:r>
          </w:p>
        </w:tc>
        <w:tc>
          <w:tcPr>
            <w:tcW w:w="436" w:type="pct"/>
            <w:gridSpan w:val="2"/>
            <w:vMerge/>
            <w:vAlign w:val="center"/>
          </w:tcPr>
          <w:p w14:paraId="111F182A"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70EECE1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1465F39F"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263FE08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579BA441" w14:textId="77777777" w:rsidTr="00AD7406">
        <w:trPr>
          <w:gridAfter w:val="1"/>
          <w:wAfter w:w="5" w:type="pct"/>
          <w:trHeight w:val="284"/>
        </w:trPr>
        <w:tc>
          <w:tcPr>
            <w:tcW w:w="1879" w:type="pct"/>
            <w:vAlign w:val="center"/>
          </w:tcPr>
          <w:p w14:paraId="24D07118"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Perceived Value of Membership</w:t>
            </w:r>
          </w:p>
        </w:tc>
        <w:tc>
          <w:tcPr>
            <w:tcW w:w="820" w:type="pct"/>
          </w:tcPr>
          <w:p w14:paraId="6B8F5C57"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-.878</w:t>
            </w:r>
          </w:p>
        </w:tc>
        <w:tc>
          <w:tcPr>
            <w:tcW w:w="436" w:type="pct"/>
            <w:gridSpan w:val="2"/>
            <w:vMerge/>
            <w:vAlign w:val="center"/>
          </w:tcPr>
          <w:p w14:paraId="75D65F67"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3C16DE8A"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5464322B"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22E573E4"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1BDC59F5" w14:textId="77777777" w:rsidTr="00AD7406">
        <w:trPr>
          <w:gridAfter w:val="1"/>
          <w:wAfter w:w="5" w:type="pct"/>
          <w:trHeight w:val="284"/>
        </w:trPr>
        <w:tc>
          <w:tcPr>
            <w:tcW w:w="1879" w:type="pct"/>
            <w:vAlign w:val="center"/>
          </w:tcPr>
          <w:p w14:paraId="08F934D2"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Level of Participation</w:t>
            </w:r>
          </w:p>
        </w:tc>
        <w:tc>
          <w:tcPr>
            <w:tcW w:w="820" w:type="pct"/>
          </w:tcPr>
          <w:p w14:paraId="5B6C22A5"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-.890</w:t>
            </w:r>
          </w:p>
        </w:tc>
        <w:tc>
          <w:tcPr>
            <w:tcW w:w="436" w:type="pct"/>
            <w:gridSpan w:val="2"/>
            <w:vMerge/>
            <w:vAlign w:val="center"/>
          </w:tcPr>
          <w:p w14:paraId="5E7A0349"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09DCDE37"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79459D8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7EB90AB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09C26F01" w14:textId="77777777" w:rsidTr="00AD7406">
        <w:trPr>
          <w:gridAfter w:val="1"/>
          <w:wAfter w:w="5" w:type="pct"/>
          <w:trHeight w:val="284"/>
        </w:trPr>
        <w:tc>
          <w:tcPr>
            <w:tcW w:w="1879" w:type="pct"/>
            <w:vAlign w:val="center"/>
          </w:tcPr>
          <w:p w14:paraId="6F73D941"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Membership Retention</w:t>
            </w:r>
          </w:p>
        </w:tc>
        <w:tc>
          <w:tcPr>
            <w:tcW w:w="820" w:type="pct"/>
            <w:vAlign w:val="center"/>
          </w:tcPr>
          <w:p w14:paraId="4A6276DE" w14:textId="77777777" w:rsidR="00627DDF" w:rsidRPr="00D6568A" w:rsidRDefault="00627DDF" w:rsidP="00D6568A">
            <w:pPr>
              <w:spacing w:before="240" w:after="240"/>
              <w:contextualSpacing/>
              <w:jc w:val="both"/>
              <w:rPr>
                <w:rFonts w:ascii="Times New Roman" w:hAnsi="Times New Roman" w:cs="Times New Roman"/>
                <w:sz w:val="24"/>
                <w:szCs w:val="24"/>
              </w:rPr>
            </w:pPr>
          </w:p>
        </w:tc>
        <w:tc>
          <w:tcPr>
            <w:tcW w:w="436" w:type="pct"/>
            <w:gridSpan w:val="2"/>
            <w:vMerge/>
            <w:vAlign w:val="center"/>
          </w:tcPr>
          <w:p w14:paraId="3E76FDFD"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75FA967E"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96C59D5"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3CBF162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16BD36D0" w14:textId="77777777" w:rsidTr="00AD7406">
        <w:trPr>
          <w:gridAfter w:val="1"/>
          <w:wAfter w:w="5" w:type="pct"/>
          <w:trHeight w:val="284"/>
        </w:trPr>
        <w:tc>
          <w:tcPr>
            <w:tcW w:w="1879" w:type="pct"/>
            <w:vAlign w:val="center"/>
          </w:tcPr>
          <w:p w14:paraId="032924C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Loyalty</w:t>
            </w:r>
          </w:p>
        </w:tc>
        <w:tc>
          <w:tcPr>
            <w:tcW w:w="820" w:type="pct"/>
          </w:tcPr>
          <w:p w14:paraId="5C7393BE"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-.898</w:t>
            </w:r>
          </w:p>
        </w:tc>
        <w:tc>
          <w:tcPr>
            <w:tcW w:w="436" w:type="pct"/>
            <w:gridSpan w:val="2"/>
            <w:vMerge/>
            <w:vAlign w:val="center"/>
          </w:tcPr>
          <w:p w14:paraId="58F7D07E"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360654E8"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BF407AC"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4BD71E96"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295720BB" w14:textId="77777777" w:rsidTr="00AD7406">
        <w:trPr>
          <w:gridAfter w:val="1"/>
          <w:wAfter w:w="5" w:type="pct"/>
          <w:trHeight w:val="284"/>
        </w:trPr>
        <w:tc>
          <w:tcPr>
            <w:tcW w:w="1879" w:type="pct"/>
            <w:vAlign w:val="center"/>
          </w:tcPr>
          <w:p w14:paraId="73EC86A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Advocacy</w:t>
            </w:r>
          </w:p>
        </w:tc>
        <w:tc>
          <w:tcPr>
            <w:tcW w:w="820" w:type="pct"/>
          </w:tcPr>
          <w:p w14:paraId="53F5A9C0" w14:textId="77777777" w:rsidR="00627DDF" w:rsidRPr="00D6568A" w:rsidRDefault="00627DDF" w:rsidP="00D6568A">
            <w:pPr>
              <w:spacing w:before="240" w:after="240"/>
              <w:contextualSpacing/>
              <w:jc w:val="both"/>
              <w:rPr>
                <w:rFonts w:ascii="Times New Roman" w:hAnsi="Times New Roman" w:cs="Times New Roman"/>
                <w:sz w:val="24"/>
                <w:szCs w:val="24"/>
              </w:rPr>
            </w:pPr>
            <w:r w:rsidRPr="00D6568A">
              <w:rPr>
                <w:rFonts w:ascii="Times New Roman" w:hAnsi="Times New Roman" w:cs="Times New Roman"/>
                <w:sz w:val="24"/>
                <w:szCs w:val="24"/>
              </w:rPr>
              <w:t>-.885</w:t>
            </w:r>
          </w:p>
        </w:tc>
        <w:tc>
          <w:tcPr>
            <w:tcW w:w="436" w:type="pct"/>
            <w:gridSpan w:val="2"/>
            <w:vMerge/>
            <w:vAlign w:val="center"/>
          </w:tcPr>
          <w:p w14:paraId="127E0DE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436" w:type="pct"/>
            <w:gridSpan w:val="2"/>
            <w:vMerge/>
            <w:vAlign w:val="center"/>
          </w:tcPr>
          <w:p w14:paraId="08E7567F"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877" w:type="pct"/>
            <w:gridSpan w:val="2"/>
            <w:vMerge/>
            <w:vAlign w:val="center"/>
          </w:tcPr>
          <w:p w14:paraId="2DEDECE0"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c>
          <w:tcPr>
            <w:tcW w:w="548" w:type="pct"/>
            <w:gridSpan w:val="2"/>
            <w:vMerge/>
            <w:vAlign w:val="center"/>
          </w:tcPr>
          <w:p w14:paraId="1BA523B2"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p>
        </w:tc>
      </w:tr>
      <w:tr w:rsidR="00627DDF" w:rsidRPr="00D6568A" w14:paraId="325C3E25" w14:textId="77777777" w:rsidTr="00AD7406">
        <w:trPr>
          <w:gridAfter w:val="1"/>
          <w:wAfter w:w="5" w:type="pct"/>
          <w:trHeight w:val="308"/>
        </w:trPr>
        <w:tc>
          <w:tcPr>
            <w:tcW w:w="4995" w:type="pct"/>
            <w:gridSpan w:val="10"/>
            <w:tcBorders>
              <w:top w:val="single" w:sz="4" w:space="0" w:color="auto"/>
            </w:tcBorders>
            <w:vAlign w:val="center"/>
          </w:tcPr>
          <w:p w14:paraId="0E8F8133" w14:textId="77777777" w:rsidR="00627DDF" w:rsidRPr="00D6568A" w:rsidRDefault="00627DDF" w:rsidP="00D6568A">
            <w:pPr>
              <w:spacing w:before="240" w:after="240"/>
              <w:contextualSpacing/>
              <w:jc w:val="both"/>
              <w:rPr>
                <w:rFonts w:ascii="Times New Roman" w:hAnsi="Times New Roman" w:cs="Times New Roman"/>
                <w:sz w:val="24"/>
                <w:szCs w:val="24"/>
                <w:lang w:val="en-PH"/>
              </w:rPr>
            </w:pPr>
            <w:r w:rsidRPr="00D6568A">
              <w:rPr>
                <w:rFonts w:ascii="Times New Roman" w:hAnsi="Times New Roman" w:cs="Times New Roman"/>
                <w:sz w:val="24"/>
                <w:szCs w:val="24"/>
                <w:lang w:val="en-PH"/>
              </w:rPr>
              <w:t>*Significant at 0.05 two-tailed alpha level.</w:t>
            </w:r>
          </w:p>
        </w:tc>
      </w:tr>
    </w:tbl>
    <w:p w14:paraId="0CED0F1B" w14:textId="257A925C" w:rsidR="00AB3788" w:rsidRPr="00AB3788" w:rsidRDefault="00AB3788" w:rsidP="00AB3788">
      <w:pPr>
        <w:pStyle w:val="NoSpacing"/>
        <w:spacing w:before="240" w:after="240"/>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Member engagement showed the strongest relationship with membership retention (Rc = .921, p &lt; .001), explaining 84.8% shared variance, indicating that it is the most influential predictor among the variables examined. The strong cross-loadings of participation, perceived value, and cooperative awareness highlight that engagement reflects not only members’ understanding of the cooperative but also their active invo</w:t>
      </w:r>
      <w:r>
        <w:rPr>
          <w:rFonts w:ascii="Times New Roman" w:eastAsia="Arial" w:hAnsi="Times New Roman" w:cs="Times New Roman"/>
          <w:kern w:val="0"/>
          <w:sz w:val="24"/>
          <w:szCs w:val="24"/>
          <w:lang w:eastAsia="en-PH"/>
          <w14:ligatures w14:val="none"/>
        </w:rPr>
        <w:t>lvement and sense of ownership.</w:t>
      </w:r>
    </w:p>
    <w:p w14:paraId="04F77031" w14:textId="6D17756C" w:rsidR="00266365" w:rsidRPr="00D6568A" w:rsidRDefault="00AB3788" w:rsidP="00AB3788">
      <w:pPr>
        <w:pStyle w:val="NoSpacing"/>
        <w:spacing w:before="240" w:after="240"/>
        <w:jc w:val="both"/>
        <w:rPr>
          <w:rFonts w:ascii="Times New Roman" w:eastAsia="Arial" w:hAnsi="Times New Roman" w:cs="Times New Roman"/>
          <w:kern w:val="0"/>
          <w:sz w:val="24"/>
          <w:szCs w:val="24"/>
          <w:lang w:eastAsia="en-PH"/>
          <w14:ligatures w14:val="none"/>
        </w:rPr>
      </w:pPr>
      <w:r w:rsidRPr="00AB3788">
        <w:rPr>
          <w:rFonts w:ascii="Times New Roman" w:eastAsia="Arial" w:hAnsi="Times New Roman" w:cs="Times New Roman"/>
          <w:kern w:val="0"/>
          <w:sz w:val="24"/>
          <w:szCs w:val="24"/>
          <w:lang w:eastAsia="en-PH"/>
          <w14:ligatures w14:val="none"/>
        </w:rPr>
        <w:t xml:space="preserve">The dominance of </w:t>
      </w:r>
      <w:r w:rsidR="0049530C">
        <w:rPr>
          <w:rFonts w:ascii="Times New Roman" w:eastAsia="Arial" w:hAnsi="Times New Roman" w:cs="Times New Roman"/>
          <w:kern w:val="0"/>
          <w:sz w:val="24"/>
          <w:szCs w:val="24"/>
          <w:lang w:eastAsia="en-PH"/>
          <w14:ligatures w14:val="none"/>
        </w:rPr>
        <w:t xml:space="preserve">member </w:t>
      </w:r>
      <w:r w:rsidRPr="00AB3788">
        <w:rPr>
          <w:rFonts w:ascii="Times New Roman" w:eastAsia="Arial" w:hAnsi="Times New Roman" w:cs="Times New Roman"/>
          <w:kern w:val="0"/>
          <w:sz w:val="24"/>
          <w:szCs w:val="24"/>
          <w:lang w:eastAsia="en-PH"/>
          <w14:ligatures w14:val="none"/>
        </w:rPr>
        <w:t>engagement suggests that</w:t>
      </w:r>
      <w:r w:rsidR="00772C2F">
        <w:rPr>
          <w:rFonts w:ascii="Times New Roman" w:eastAsia="Arial" w:hAnsi="Times New Roman" w:cs="Times New Roman"/>
          <w:kern w:val="0"/>
          <w:sz w:val="24"/>
          <w:szCs w:val="24"/>
          <w:lang w:eastAsia="en-PH"/>
          <w14:ligatures w14:val="none"/>
        </w:rPr>
        <w:t xml:space="preserve"> membership</w:t>
      </w:r>
      <w:r w:rsidRPr="00AB3788">
        <w:rPr>
          <w:rFonts w:ascii="Times New Roman" w:eastAsia="Arial" w:hAnsi="Times New Roman" w:cs="Times New Roman"/>
          <w:kern w:val="0"/>
          <w:sz w:val="24"/>
          <w:szCs w:val="24"/>
          <w:lang w:eastAsia="en-PH"/>
          <w14:ligatures w14:val="none"/>
        </w:rPr>
        <w:t xml:space="preserve"> retention is most effectively sustained when members are not only satisfied but actively integrated into cooperative activities and decision-making processes. This finding is supported by recent studies emphasizing that perceived value and participation significantly enhance loyalty and advocacy behaviors (Reyes, 2022; Zamzami et al., 2022). Furthermore, engagement operationalizes the benefits emphasized in Social Exchange Theory, where members reciprocate perceived value through continued participation and commitment (Almaiah et al., 2022). As such, engagement represents the most direct pathway through which governance and satisfaction are translated into</w:t>
      </w:r>
      <w:r>
        <w:rPr>
          <w:rFonts w:ascii="Times New Roman" w:eastAsia="Arial" w:hAnsi="Times New Roman" w:cs="Times New Roman"/>
          <w:kern w:val="0"/>
          <w:sz w:val="24"/>
          <w:szCs w:val="24"/>
          <w:lang w:eastAsia="en-PH"/>
          <w14:ligatures w14:val="none"/>
        </w:rPr>
        <w:t xml:space="preserve"> sustained membership retention</w:t>
      </w:r>
      <w:r w:rsidR="00AF5D9D" w:rsidRPr="00D6568A">
        <w:rPr>
          <w:rFonts w:ascii="Times New Roman" w:eastAsia="Arial" w:hAnsi="Times New Roman" w:cs="Times New Roman"/>
          <w:kern w:val="0"/>
          <w:sz w:val="24"/>
          <w:szCs w:val="24"/>
          <w:lang w:eastAsia="en-PH"/>
          <w14:ligatures w14:val="none"/>
        </w:rPr>
        <w:t>.</w:t>
      </w:r>
    </w:p>
    <w:p w14:paraId="69FCC89E" w14:textId="5B53E828" w:rsidR="00C60F42" w:rsidRPr="00D6568A" w:rsidRDefault="00266365" w:rsidP="00D6568A">
      <w:pPr>
        <w:spacing w:before="240" w:after="240" w:line="240" w:lineRule="auto"/>
        <w:jc w:val="both"/>
        <w:rPr>
          <w:rFonts w:ascii="Times New Roman" w:eastAsia="Tahoma" w:hAnsi="Times New Roman" w:cs="Times New Roman"/>
          <w:b/>
          <w:bCs/>
          <w:i/>
          <w:iCs/>
          <w:sz w:val="24"/>
          <w:szCs w:val="24"/>
        </w:rPr>
      </w:pPr>
      <w:r w:rsidRPr="00D6568A">
        <w:rPr>
          <w:rFonts w:ascii="Times New Roman" w:eastAsia="Tahoma" w:hAnsi="Times New Roman" w:cs="Times New Roman"/>
          <w:b/>
          <w:bCs/>
          <w:i/>
          <w:iCs/>
          <w:sz w:val="24"/>
          <w:szCs w:val="24"/>
        </w:rPr>
        <w:t xml:space="preserve">The Influence of Cooperative Governance, Member </w:t>
      </w:r>
      <w:r w:rsidR="00650B72" w:rsidRPr="00D6568A">
        <w:rPr>
          <w:rFonts w:ascii="Times New Roman" w:eastAsia="Tahoma" w:hAnsi="Times New Roman" w:cs="Times New Roman"/>
          <w:b/>
          <w:bCs/>
          <w:i/>
          <w:iCs/>
          <w:sz w:val="24"/>
          <w:szCs w:val="24"/>
        </w:rPr>
        <w:t>Satisfaction</w:t>
      </w:r>
      <w:r w:rsidRPr="00D6568A">
        <w:rPr>
          <w:rFonts w:ascii="Times New Roman" w:eastAsia="Tahoma" w:hAnsi="Times New Roman" w:cs="Times New Roman"/>
          <w:b/>
          <w:bCs/>
          <w:i/>
          <w:iCs/>
          <w:sz w:val="24"/>
          <w:szCs w:val="24"/>
        </w:rPr>
        <w:t>, Member Engagement to Member</w:t>
      </w:r>
      <w:r w:rsidR="00C60F42" w:rsidRPr="00D6568A">
        <w:rPr>
          <w:rFonts w:ascii="Times New Roman" w:eastAsia="Tahoma" w:hAnsi="Times New Roman" w:cs="Times New Roman"/>
          <w:b/>
          <w:bCs/>
          <w:i/>
          <w:iCs/>
          <w:sz w:val="24"/>
          <w:szCs w:val="24"/>
        </w:rPr>
        <w:t>ship Retention</w:t>
      </w:r>
    </w:p>
    <w:p w14:paraId="4ED73DCD" w14:textId="4D78BA54" w:rsidR="001F4533" w:rsidRPr="00D6568A" w:rsidRDefault="001F4533" w:rsidP="00D6568A">
      <w:pPr>
        <w:spacing w:before="240" w:after="240" w:line="240" w:lineRule="auto"/>
        <w:jc w:val="both"/>
        <w:rPr>
          <w:rFonts w:ascii="Times New Roman" w:eastAsia="Tahoma" w:hAnsi="Times New Roman" w:cs="Times New Roman"/>
          <w:sz w:val="24"/>
          <w:szCs w:val="24"/>
        </w:rPr>
      </w:pPr>
      <w:r w:rsidRPr="00D6568A">
        <w:rPr>
          <w:rFonts w:ascii="Times New Roman" w:eastAsia="Tahoma" w:hAnsi="Times New Roman" w:cs="Times New Roman"/>
          <w:sz w:val="24"/>
          <w:szCs w:val="24"/>
        </w:rPr>
        <w:t>Table 5 presents the multiple regression analysis testing the influence of the cooperative governance, member satisfaction and member engagement on membership retention.</w:t>
      </w:r>
    </w:p>
    <w:p w14:paraId="07C0C416" w14:textId="77777777" w:rsidR="00192EF4" w:rsidRPr="00C00F8B" w:rsidRDefault="00192EF4" w:rsidP="00192EF4">
      <w:pPr>
        <w:pStyle w:val="NoSpacing"/>
        <w:spacing w:before="240" w:after="240"/>
        <w:jc w:val="both"/>
        <w:rPr>
          <w:rFonts w:ascii="Times New Roman" w:hAnsi="Times New Roman" w:cs="Times New Roman"/>
          <w:b/>
          <w:bCs/>
          <w:iCs/>
          <w:sz w:val="24"/>
          <w:szCs w:val="24"/>
          <w:highlight w:val="white"/>
        </w:rPr>
      </w:pPr>
      <w:r w:rsidRPr="00D6568A">
        <w:rPr>
          <w:rFonts w:ascii="Times New Roman" w:hAnsi="Times New Roman" w:cs="Times New Roman"/>
          <w:b/>
          <w:bCs/>
          <w:sz w:val="24"/>
          <w:szCs w:val="24"/>
        </w:rPr>
        <w:lastRenderedPageBreak/>
        <w:t>Table 5</w:t>
      </w:r>
      <w:r>
        <w:rPr>
          <w:rFonts w:ascii="Times New Roman" w:hAnsi="Times New Roman" w:cs="Times New Roman"/>
          <w:i/>
          <w:iCs/>
          <w:sz w:val="24"/>
          <w:szCs w:val="24"/>
        </w:rPr>
        <w:t xml:space="preserve">. </w:t>
      </w:r>
      <w:r w:rsidRPr="00C00F8B">
        <w:rPr>
          <w:rFonts w:ascii="Times New Roman" w:hAnsi="Times New Roman" w:cs="Times New Roman"/>
          <w:b/>
          <w:iCs/>
          <w:sz w:val="24"/>
          <w:szCs w:val="24"/>
        </w:rPr>
        <w:t>Multiple Regression Analysis on the Influence of Cooperative Governance, Member Satisfaction and Member Engagement to the Cooperatives Membership Retention</w:t>
      </w:r>
    </w:p>
    <w:tbl>
      <w:tblPr>
        <w:tblW w:w="0" w:type="auto"/>
        <w:tblBorders>
          <w:top w:val="single" w:sz="4" w:space="0" w:color="000000"/>
          <w:bottom w:val="single" w:sz="4" w:space="0" w:color="000000"/>
        </w:tblBorders>
        <w:tblLayout w:type="fixed"/>
        <w:tblLook w:val="0000" w:firstRow="0" w:lastRow="0" w:firstColumn="0" w:lastColumn="0" w:noHBand="0" w:noVBand="0"/>
      </w:tblPr>
      <w:tblGrid>
        <w:gridCol w:w="2070"/>
        <w:gridCol w:w="1080"/>
        <w:gridCol w:w="1072"/>
        <w:gridCol w:w="1808"/>
        <w:gridCol w:w="1080"/>
        <w:gridCol w:w="1800"/>
      </w:tblGrid>
      <w:tr w:rsidR="00192EF4" w:rsidRPr="00D6568A" w14:paraId="36D2A384" w14:textId="77777777" w:rsidTr="00232644">
        <w:trPr>
          <w:cantSplit/>
        </w:trPr>
        <w:tc>
          <w:tcPr>
            <w:tcW w:w="2070" w:type="dxa"/>
            <w:vMerge w:val="restart"/>
            <w:shd w:val="clear" w:color="auto" w:fill="FFFFFF"/>
            <w:vAlign w:val="bottom"/>
          </w:tcPr>
          <w:p w14:paraId="092F2BC1"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p>
        </w:tc>
        <w:tc>
          <w:tcPr>
            <w:tcW w:w="2152" w:type="dxa"/>
            <w:gridSpan w:val="2"/>
            <w:tcBorders>
              <w:top w:val="single" w:sz="4" w:space="0" w:color="000000"/>
              <w:bottom w:val="nil"/>
            </w:tcBorders>
            <w:shd w:val="clear" w:color="auto" w:fill="FFFFFF"/>
            <w:vAlign w:val="bottom"/>
          </w:tcPr>
          <w:p w14:paraId="71AE4195"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Unstandardized Coefficients</w:t>
            </w:r>
          </w:p>
        </w:tc>
        <w:tc>
          <w:tcPr>
            <w:tcW w:w="1808" w:type="dxa"/>
            <w:tcBorders>
              <w:top w:val="single" w:sz="4" w:space="0" w:color="000000"/>
              <w:bottom w:val="nil"/>
            </w:tcBorders>
            <w:shd w:val="clear" w:color="auto" w:fill="FFFFFF"/>
            <w:vAlign w:val="bottom"/>
          </w:tcPr>
          <w:p w14:paraId="4516F35B"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Standardized Coefficients</w:t>
            </w:r>
          </w:p>
        </w:tc>
        <w:tc>
          <w:tcPr>
            <w:tcW w:w="1080" w:type="dxa"/>
            <w:vMerge w:val="restart"/>
            <w:tcBorders>
              <w:top w:val="single" w:sz="4" w:space="0" w:color="000000"/>
              <w:bottom w:val="nil"/>
            </w:tcBorders>
            <w:shd w:val="clear" w:color="auto" w:fill="FFFFFF"/>
            <w:vAlign w:val="bottom"/>
          </w:tcPr>
          <w:p w14:paraId="1C82B836"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t</w:t>
            </w:r>
          </w:p>
        </w:tc>
        <w:tc>
          <w:tcPr>
            <w:tcW w:w="1800" w:type="dxa"/>
            <w:vMerge w:val="restart"/>
            <w:tcBorders>
              <w:top w:val="single" w:sz="4" w:space="0" w:color="000000"/>
              <w:bottom w:val="nil"/>
            </w:tcBorders>
            <w:shd w:val="clear" w:color="auto" w:fill="FFFFFF"/>
            <w:vAlign w:val="bottom"/>
          </w:tcPr>
          <w:p w14:paraId="5DE1B466"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p</w:t>
            </w:r>
          </w:p>
        </w:tc>
      </w:tr>
      <w:tr w:rsidR="00192EF4" w:rsidRPr="00D6568A" w14:paraId="78529238" w14:textId="77777777" w:rsidTr="00232644">
        <w:trPr>
          <w:cantSplit/>
        </w:trPr>
        <w:tc>
          <w:tcPr>
            <w:tcW w:w="2070" w:type="dxa"/>
            <w:vMerge/>
            <w:shd w:val="clear" w:color="auto" w:fill="FFFFFF"/>
            <w:vAlign w:val="bottom"/>
          </w:tcPr>
          <w:p w14:paraId="49D7DF76"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c>
          <w:tcPr>
            <w:tcW w:w="1080" w:type="dxa"/>
            <w:tcBorders>
              <w:top w:val="nil"/>
              <w:bottom w:val="single" w:sz="4" w:space="0" w:color="000000"/>
            </w:tcBorders>
            <w:shd w:val="clear" w:color="auto" w:fill="FFFFFF"/>
            <w:vAlign w:val="bottom"/>
          </w:tcPr>
          <w:p w14:paraId="79A489E8"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B</w:t>
            </w:r>
          </w:p>
        </w:tc>
        <w:tc>
          <w:tcPr>
            <w:tcW w:w="1072" w:type="dxa"/>
            <w:tcBorders>
              <w:top w:val="nil"/>
              <w:bottom w:val="single" w:sz="4" w:space="0" w:color="000000"/>
            </w:tcBorders>
            <w:shd w:val="clear" w:color="auto" w:fill="FFFFFF"/>
            <w:vAlign w:val="bottom"/>
          </w:tcPr>
          <w:p w14:paraId="384B7388"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Std. Error</w:t>
            </w:r>
          </w:p>
        </w:tc>
        <w:tc>
          <w:tcPr>
            <w:tcW w:w="1808" w:type="dxa"/>
            <w:tcBorders>
              <w:top w:val="nil"/>
              <w:bottom w:val="single" w:sz="4" w:space="0" w:color="000000"/>
            </w:tcBorders>
            <w:shd w:val="clear" w:color="auto" w:fill="FFFFFF"/>
            <w:vAlign w:val="bottom"/>
          </w:tcPr>
          <w:p w14:paraId="419BF1C3" w14:textId="77777777" w:rsidR="00192EF4" w:rsidRPr="00D6568A" w:rsidRDefault="00192EF4" w:rsidP="00232644">
            <w:pPr>
              <w:spacing w:after="0" w:line="240" w:lineRule="auto"/>
              <w:ind w:left="60" w:right="60"/>
              <w:jc w:val="both"/>
              <w:rPr>
                <w:rFonts w:ascii="Times New Roman" w:eastAsia="Arial" w:hAnsi="Times New Roman" w:cs="Times New Roman"/>
                <w:sz w:val="24"/>
                <w:szCs w:val="24"/>
              </w:rPr>
            </w:pPr>
            <w:r w:rsidRPr="00D6568A">
              <w:rPr>
                <w:rFonts w:ascii="Times New Roman" w:eastAsia="Arial" w:hAnsi="Times New Roman" w:cs="Times New Roman"/>
                <w:sz w:val="24"/>
                <w:szCs w:val="24"/>
              </w:rPr>
              <w:t>Beta</w:t>
            </w:r>
          </w:p>
        </w:tc>
        <w:tc>
          <w:tcPr>
            <w:tcW w:w="1080" w:type="dxa"/>
            <w:vMerge/>
            <w:tcBorders>
              <w:top w:val="single" w:sz="4" w:space="0" w:color="000000"/>
              <w:bottom w:val="nil"/>
            </w:tcBorders>
            <w:shd w:val="clear" w:color="auto" w:fill="FFFFFF"/>
            <w:vAlign w:val="bottom"/>
          </w:tcPr>
          <w:p w14:paraId="16969903"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c>
          <w:tcPr>
            <w:tcW w:w="1800" w:type="dxa"/>
            <w:vMerge/>
            <w:tcBorders>
              <w:top w:val="single" w:sz="4" w:space="0" w:color="000000"/>
              <w:bottom w:val="nil"/>
            </w:tcBorders>
            <w:shd w:val="clear" w:color="auto" w:fill="FFFFFF"/>
            <w:vAlign w:val="bottom"/>
          </w:tcPr>
          <w:p w14:paraId="2A78D365" w14:textId="77777777" w:rsidR="00192EF4" w:rsidRPr="00D6568A" w:rsidRDefault="00192EF4" w:rsidP="00232644">
            <w:pPr>
              <w:widowControl w:val="0"/>
              <w:pBdr>
                <w:top w:val="nil"/>
                <w:left w:val="nil"/>
                <w:bottom w:val="nil"/>
                <w:right w:val="nil"/>
                <w:between w:val="nil"/>
              </w:pBdr>
              <w:spacing w:after="0" w:line="240" w:lineRule="auto"/>
              <w:jc w:val="both"/>
              <w:rPr>
                <w:rFonts w:ascii="Times New Roman" w:eastAsia="Arial" w:hAnsi="Times New Roman" w:cs="Times New Roman"/>
                <w:sz w:val="24"/>
                <w:szCs w:val="24"/>
              </w:rPr>
            </w:pPr>
          </w:p>
        </w:tc>
      </w:tr>
      <w:tr w:rsidR="00192EF4" w:rsidRPr="00D6568A" w14:paraId="474ED387" w14:textId="77777777" w:rsidTr="00232644">
        <w:trPr>
          <w:cantSplit/>
        </w:trPr>
        <w:tc>
          <w:tcPr>
            <w:tcW w:w="2070" w:type="dxa"/>
            <w:shd w:val="clear" w:color="auto" w:fill="FFFFFF"/>
          </w:tcPr>
          <w:p w14:paraId="12C067F5" w14:textId="77777777" w:rsidR="00192EF4" w:rsidRPr="00D6568A" w:rsidRDefault="00192EF4" w:rsidP="00232644">
            <w:pPr>
              <w:spacing w:after="0" w:line="240" w:lineRule="auto"/>
              <w:jc w:val="both"/>
              <w:rPr>
                <w:rFonts w:ascii="Times New Roman" w:eastAsia="Arial" w:hAnsi="Times New Roman" w:cs="Times New Roman"/>
                <w:sz w:val="24"/>
                <w:szCs w:val="24"/>
                <w:lang w:val="en-US"/>
              </w:rPr>
            </w:pPr>
            <w:r w:rsidRPr="00D6568A">
              <w:rPr>
                <w:rFonts w:ascii="Times New Roman" w:hAnsi="Times New Roman" w:cs="Times New Roman"/>
                <w:sz w:val="24"/>
                <w:szCs w:val="24"/>
                <w:lang w:val="en-US"/>
              </w:rPr>
              <w:t>(Constant)</w:t>
            </w:r>
          </w:p>
        </w:tc>
        <w:tc>
          <w:tcPr>
            <w:tcW w:w="1080" w:type="dxa"/>
            <w:tcBorders>
              <w:top w:val="single" w:sz="4" w:space="0" w:color="000000"/>
            </w:tcBorders>
            <w:shd w:val="clear" w:color="auto" w:fill="FFFFFF"/>
          </w:tcPr>
          <w:p w14:paraId="7A60CDFC"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-.043</w:t>
            </w:r>
          </w:p>
        </w:tc>
        <w:tc>
          <w:tcPr>
            <w:tcW w:w="1072" w:type="dxa"/>
            <w:tcBorders>
              <w:top w:val="single" w:sz="4" w:space="0" w:color="000000"/>
            </w:tcBorders>
            <w:shd w:val="clear" w:color="auto" w:fill="FFFFFF"/>
          </w:tcPr>
          <w:p w14:paraId="6ECB2E4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.063</w:t>
            </w:r>
          </w:p>
        </w:tc>
        <w:tc>
          <w:tcPr>
            <w:tcW w:w="1808" w:type="dxa"/>
            <w:tcBorders>
              <w:top w:val="single" w:sz="4" w:space="0" w:color="000000"/>
            </w:tcBorders>
            <w:shd w:val="clear" w:color="auto" w:fill="FFFFFF"/>
          </w:tcPr>
          <w:p w14:paraId="03BB9C89" w14:textId="77777777" w:rsidR="00192EF4" w:rsidRPr="00D6568A" w:rsidRDefault="00192EF4" w:rsidP="00232644">
            <w:pPr>
              <w:spacing w:after="0" w:line="240" w:lineRule="auto"/>
              <w:jc w:val="both"/>
              <w:rPr>
                <w:rFonts w:ascii="Times New Roman" w:hAnsi="Times New Roman" w:cs="Times New Roman"/>
                <w:bCs/>
                <w:sz w:val="24"/>
                <w:szCs w:val="24"/>
                <w:lang w:val="en-US"/>
              </w:rPr>
            </w:pPr>
          </w:p>
        </w:tc>
        <w:tc>
          <w:tcPr>
            <w:tcW w:w="1080" w:type="dxa"/>
            <w:tcBorders>
              <w:top w:val="single" w:sz="4" w:space="0" w:color="000000"/>
            </w:tcBorders>
            <w:shd w:val="clear" w:color="auto" w:fill="FFFFFF"/>
          </w:tcPr>
          <w:p w14:paraId="4F70EA8B"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-.678</w:t>
            </w:r>
          </w:p>
        </w:tc>
        <w:tc>
          <w:tcPr>
            <w:tcW w:w="1800" w:type="dxa"/>
            <w:tcBorders>
              <w:top w:val="single" w:sz="4" w:space="0" w:color="000000"/>
            </w:tcBorders>
            <w:shd w:val="clear" w:color="auto" w:fill="FFFFFF"/>
          </w:tcPr>
          <w:p w14:paraId="39E2A7DE"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.498</w:t>
            </w:r>
          </w:p>
        </w:tc>
      </w:tr>
      <w:tr w:rsidR="00192EF4" w:rsidRPr="00D6568A" w14:paraId="0627D5A8" w14:textId="77777777" w:rsidTr="00232644">
        <w:trPr>
          <w:cantSplit/>
        </w:trPr>
        <w:tc>
          <w:tcPr>
            <w:tcW w:w="2070" w:type="dxa"/>
            <w:shd w:val="clear" w:color="auto" w:fill="FFFFFF"/>
          </w:tcPr>
          <w:p w14:paraId="3615C0C1"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sidRPr="00D6568A">
              <w:rPr>
                <w:rFonts w:ascii="Times New Roman" w:hAnsi="Times New Roman" w:cs="Times New Roman"/>
                <w:sz w:val="24"/>
                <w:szCs w:val="24"/>
                <w:lang w:val="en-US"/>
              </w:rPr>
              <w:t xml:space="preserve">Governance </w:t>
            </w:r>
          </w:p>
        </w:tc>
        <w:tc>
          <w:tcPr>
            <w:tcW w:w="1080" w:type="dxa"/>
            <w:shd w:val="clear" w:color="auto" w:fill="FFFFFF"/>
          </w:tcPr>
          <w:p w14:paraId="7B90765D"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.115**</w:t>
            </w:r>
          </w:p>
        </w:tc>
        <w:tc>
          <w:tcPr>
            <w:tcW w:w="1072" w:type="dxa"/>
            <w:shd w:val="clear" w:color="auto" w:fill="FFFFFF"/>
          </w:tcPr>
          <w:p w14:paraId="7019CE36"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.038</w:t>
            </w:r>
          </w:p>
        </w:tc>
        <w:tc>
          <w:tcPr>
            <w:tcW w:w="1808" w:type="dxa"/>
            <w:shd w:val="clear" w:color="auto" w:fill="FFFFFF"/>
          </w:tcPr>
          <w:p w14:paraId="2908D458" w14:textId="3BD12518"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.109</w:t>
            </w:r>
          </w:p>
        </w:tc>
        <w:tc>
          <w:tcPr>
            <w:tcW w:w="1080" w:type="dxa"/>
            <w:shd w:val="clear" w:color="auto" w:fill="FFFFFF"/>
          </w:tcPr>
          <w:p w14:paraId="52C70F01" w14:textId="10DFBB33"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3.047</w:t>
            </w:r>
          </w:p>
        </w:tc>
        <w:tc>
          <w:tcPr>
            <w:tcW w:w="1800" w:type="dxa"/>
            <w:shd w:val="clear" w:color="auto" w:fill="FFFFFF"/>
          </w:tcPr>
          <w:p w14:paraId="39978DCD"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.002</w:t>
            </w:r>
          </w:p>
        </w:tc>
      </w:tr>
      <w:tr w:rsidR="00192EF4" w:rsidRPr="00D6568A" w14:paraId="1164C25C" w14:textId="77777777" w:rsidTr="00232644">
        <w:trPr>
          <w:cantSplit/>
        </w:trPr>
        <w:tc>
          <w:tcPr>
            <w:tcW w:w="2070" w:type="dxa"/>
            <w:shd w:val="clear" w:color="auto" w:fill="FFFFFF"/>
          </w:tcPr>
          <w:p w14:paraId="413C3BE3"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Pr>
                <w:rFonts w:ascii="Times New Roman" w:hAnsi="Times New Roman" w:cs="Times New Roman"/>
                <w:sz w:val="24"/>
                <w:szCs w:val="24"/>
                <w:lang w:val="en-US"/>
              </w:rPr>
              <w:t xml:space="preserve">Member </w:t>
            </w:r>
            <w:r w:rsidRPr="00D6568A">
              <w:rPr>
                <w:rFonts w:ascii="Times New Roman" w:hAnsi="Times New Roman" w:cs="Times New Roman"/>
                <w:sz w:val="24"/>
                <w:szCs w:val="24"/>
                <w:lang w:val="en-US"/>
              </w:rPr>
              <w:t xml:space="preserve">Satisfaction </w:t>
            </w:r>
          </w:p>
        </w:tc>
        <w:tc>
          <w:tcPr>
            <w:tcW w:w="1080" w:type="dxa"/>
            <w:shd w:val="clear" w:color="auto" w:fill="FFFFFF"/>
          </w:tcPr>
          <w:p w14:paraId="3ED2539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.114**</w:t>
            </w:r>
          </w:p>
        </w:tc>
        <w:tc>
          <w:tcPr>
            <w:tcW w:w="1072" w:type="dxa"/>
            <w:shd w:val="clear" w:color="auto" w:fill="FFFFFF"/>
          </w:tcPr>
          <w:p w14:paraId="25DDF025"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.037</w:t>
            </w:r>
          </w:p>
        </w:tc>
        <w:tc>
          <w:tcPr>
            <w:tcW w:w="1808" w:type="dxa"/>
            <w:shd w:val="clear" w:color="auto" w:fill="FFFFFF"/>
          </w:tcPr>
          <w:p w14:paraId="4E5293EE" w14:textId="5C802BC2"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.113</w:t>
            </w:r>
          </w:p>
        </w:tc>
        <w:tc>
          <w:tcPr>
            <w:tcW w:w="1080" w:type="dxa"/>
            <w:shd w:val="clear" w:color="auto" w:fill="FFFFFF"/>
          </w:tcPr>
          <w:p w14:paraId="5101FF28" w14:textId="6808B6C0"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3.072</w:t>
            </w:r>
          </w:p>
        </w:tc>
        <w:tc>
          <w:tcPr>
            <w:tcW w:w="1800" w:type="dxa"/>
            <w:shd w:val="clear" w:color="auto" w:fill="FFFFFF"/>
          </w:tcPr>
          <w:p w14:paraId="54A6785F"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.002</w:t>
            </w:r>
          </w:p>
        </w:tc>
      </w:tr>
      <w:tr w:rsidR="00192EF4" w:rsidRPr="00D6568A" w14:paraId="39599B42" w14:textId="77777777" w:rsidTr="00232644">
        <w:trPr>
          <w:cantSplit/>
        </w:trPr>
        <w:tc>
          <w:tcPr>
            <w:tcW w:w="2070" w:type="dxa"/>
            <w:shd w:val="clear" w:color="auto" w:fill="FFFFFF"/>
          </w:tcPr>
          <w:p w14:paraId="618101D6" w14:textId="77777777" w:rsidR="00192EF4" w:rsidRPr="00D6568A" w:rsidRDefault="00192EF4" w:rsidP="00232644">
            <w:pPr>
              <w:spacing w:after="0" w:line="240" w:lineRule="auto"/>
              <w:jc w:val="both"/>
              <w:rPr>
                <w:rFonts w:ascii="Times New Roman" w:eastAsia="Arial" w:hAnsi="Times New Roman" w:cs="Times New Roman"/>
                <w:b/>
                <w:sz w:val="24"/>
                <w:szCs w:val="24"/>
                <w:lang w:val="en-US"/>
              </w:rPr>
            </w:pPr>
            <w:r>
              <w:rPr>
                <w:rFonts w:ascii="Times New Roman" w:hAnsi="Times New Roman" w:cs="Times New Roman"/>
                <w:sz w:val="24"/>
                <w:szCs w:val="24"/>
                <w:lang w:val="en-US"/>
              </w:rPr>
              <w:t xml:space="preserve">Member </w:t>
            </w:r>
            <w:r w:rsidRPr="00D6568A">
              <w:rPr>
                <w:rFonts w:ascii="Times New Roman" w:hAnsi="Times New Roman" w:cs="Times New Roman"/>
                <w:sz w:val="24"/>
                <w:szCs w:val="24"/>
                <w:lang w:val="en-US"/>
              </w:rPr>
              <w:t>Engagement</w:t>
            </w:r>
          </w:p>
        </w:tc>
        <w:tc>
          <w:tcPr>
            <w:tcW w:w="1080" w:type="dxa"/>
            <w:shd w:val="clear" w:color="auto" w:fill="FFFFFF"/>
          </w:tcPr>
          <w:p w14:paraId="2D305459"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.781**</w:t>
            </w:r>
          </w:p>
        </w:tc>
        <w:tc>
          <w:tcPr>
            <w:tcW w:w="1072" w:type="dxa"/>
            <w:shd w:val="clear" w:color="auto" w:fill="FFFFFF"/>
          </w:tcPr>
          <w:p w14:paraId="3220997F"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.035</w:t>
            </w:r>
          </w:p>
        </w:tc>
        <w:tc>
          <w:tcPr>
            <w:tcW w:w="1808" w:type="dxa"/>
            <w:shd w:val="clear" w:color="auto" w:fill="FFFFFF"/>
          </w:tcPr>
          <w:p w14:paraId="27AD7BB3" w14:textId="0788B66E"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.762</w:t>
            </w:r>
          </w:p>
        </w:tc>
        <w:tc>
          <w:tcPr>
            <w:tcW w:w="1080" w:type="dxa"/>
            <w:shd w:val="clear" w:color="auto" w:fill="FFFFFF"/>
          </w:tcPr>
          <w:p w14:paraId="456F3E58" w14:textId="6BF39888"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 xml:space="preserve">22.16 </w:t>
            </w:r>
          </w:p>
        </w:tc>
        <w:tc>
          <w:tcPr>
            <w:tcW w:w="1800" w:type="dxa"/>
            <w:shd w:val="clear" w:color="auto" w:fill="FFFFFF"/>
          </w:tcPr>
          <w:p w14:paraId="57B79846" w14:textId="77777777" w:rsidR="00192EF4" w:rsidRPr="00D6568A" w:rsidRDefault="00192EF4" w:rsidP="00232644">
            <w:pPr>
              <w:spacing w:after="0" w:line="240" w:lineRule="auto"/>
              <w:jc w:val="both"/>
              <w:rPr>
                <w:rFonts w:ascii="Times New Roman" w:eastAsia="Arial" w:hAnsi="Times New Roman" w:cs="Times New Roman"/>
                <w:bCs/>
                <w:sz w:val="24"/>
                <w:szCs w:val="24"/>
                <w:lang w:val="en-US"/>
              </w:rPr>
            </w:pPr>
            <w:r w:rsidRPr="00D6568A">
              <w:rPr>
                <w:rFonts w:ascii="Times New Roman" w:hAnsi="Times New Roman" w:cs="Times New Roman"/>
                <w:sz w:val="24"/>
                <w:szCs w:val="24"/>
                <w:lang w:val="en-US"/>
              </w:rPr>
              <w:t>.000</w:t>
            </w:r>
          </w:p>
        </w:tc>
      </w:tr>
      <w:tr w:rsidR="00192EF4" w:rsidRPr="00D6568A" w14:paraId="22BDA412" w14:textId="77777777" w:rsidTr="00232644">
        <w:trPr>
          <w:cantSplit/>
        </w:trPr>
        <w:tc>
          <w:tcPr>
            <w:tcW w:w="8910" w:type="dxa"/>
            <w:gridSpan w:val="6"/>
            <w:shd w:val="clear" w:color="auto" w:fill="FFFFFF"/>
          </w:tcPr>
          <w:p w14:paraId="3DA6070C" w14:textId="77777777" w:rsidR="00192EF4" w:rsidRPr="00D6568A" w:rsidRDefault="00192EF4" w:rsidP="0029230D">
            <w:pPr>
              <w:tabs>
                <w:tab w:val="left" w:pos="3240"/>
              </w:tabs>
              <w:spacing w:after="0" w:line="240" w:lineRule="auto"/>
              <w:jc w:val="both"/>
              <w:rPr>
                <w:rFonts w:ascii="Times New Roman" w:eastAsia="Arial" w:hAnsi="Times New Roman" w:cs="Times New Roman"/>
                <w:b/>
                <w:bCs/>
                <w:sz w:val="24"/>
                <w:szCs w:val="24"/>
                <w:lang w:val="en-US"/>
              </w:rPr>
            </w:pPr>
          </w:p>
          <w:p w14:paraId="2569298F" w14:textId="77777777" w:rsidR="00192EF4" w:rsidRPr="00D6568A" w:rsidRDefault="00192EF4" w:rsidP="0029230D">
            <w:pPr>
              <w:spacing w:after="0" w:line="240" w:lineRule="auto"/>
              <w:jc w:val="center"/>
              <w:rPr>
                <w:rFonts w:ascii="Times New Roman" w:eastAsia="Arial" w:hAnsi="Times New Roman" w:cs="Times New Roman"/>
                <w:b/>
                <w:bCs/>
                <w:sz w:val="24"/>
                <w:szCs w:val="24"/>
                <w:lang w:val="en-US"/>
              </w:rPr>
            </w:pPr>
            <w:r w:rsidRPr="00D6568A">
              <w:rPr>
                <w:rFonts w:ascii="Times New Roman" w:eastAsia="Arial" w:hAnsi="Times New Roman" w:cs="Times New Roman"/>
                <w:b/>
                <w:bCs/>
                <w:sz w:val="24"/>
                <w:szCs w:val="24"/>
                <w:lang w:val="en-US"/>
              </w:rPr>
              <w:t>Model Summary</w:t>
            </w:r>
          </w:p>
          <w:p w14:paraId="4E6C1064" w14:textId="77777777" w:rsidR="00192EF4" w:rsidRPr="00D6568A" w:rsidRDefault="00192EF4" w:rsidP="0029230D">
            <w:pPr>
              <w:spacing w:after="0" w:line="240" w:lineRule="auto"/>
              <w:jc w:val="both"/>
              <w:rPr>
                <w:rFonts w:ascii="Times New Roman" w:eastAsia="Arial" w:hAnsi="Times New Roman" w:cs="Times New Roman"/>
                <w:sz w:val="24"/>
                <w:szCs w:val="24"/>
                <w:lang w:val="en-US"/>
              </w:rPr>
            </w:pPr>
            <w:r w:rsidRPr="00D6568A">
              <w:rPr>
                <w:rFonts w:ascii="Times New Roman" w:eastAsia="Arial" w:hAnsi="Times New Roman" w:cs="Times New Roman"/>
                <w:sz w:val="24"/>
                <w:szCs w:val="24"/>
                <w:lang w:val="en-US"/>
              </w:rPr>
              <w:t xml:space="preserve">R = </w:t>
            </w:r>
            <w:r w:rsidRPr="00D6568A">
              <w:rPr>
                <w:rFonts w:ascii="Times New Roman" w:eastAsia="Tahoma" w:hAnsi="Times New Roman" w:cs="Times New Roman"/>
                <w:sz w:val="24"/>
                <w:szCs w:val="24"/>
                <w:highlight w:val="white"/>
                <w:lang w:val="en-US"/>
              </w:rPr>
              <w:t>.</w:t>
            </w:r>
            <w:r w:rsidRPr="00D6568A">
              <w:rPr>
                <w:rFonts w:ascii="Times New Roman" w:eastAsia="Tahoma" w:hAnsi="Times New Roman" w:cs="Times New Roman"/>
                <w:sz w:val="24"/>
                <w:szCs w:val="24"/>
                <w:lang w:val="en-US"/>
              </w:rPr>
              <w:t>965</w:t>
            </w:r>
            <w:r w:rsidRPr="00D6568A">
              <w:rPr>
                <w:rFonts w:ascii="Times New Roman" w:eastAsia="Arial" w:hAnsi="Times New Roman" w:cs="Times New Roman"/>
                <w:sz w:val="24"/>
                <w:szCs w:val="24"/>
                <w:lang w:val="en-US"/>
              </w:rPr>
              <w:t xml:space="preserve">         R</w:t>
            </w:r>
            <w:r w:rsidRPr="00D6568A">
              <w:rPr>
                <w:rFonts w:ascii="Times New Roman" w:eastAsia="Arial" w:hAnsi="Times New Roman" w:cs="Times New Roman"/>
                <w:sz w:val="24"/>
                <w:szCs w:val="24"/>
                <w:vertAlign w:val="superscript"/>
                <w:lang w:val="en-US"/>
              </w:rPr>
              <w:t>2</w:t>
            </w:r>
            <w:r w:rsidRPr="00D6568A">
              <w:rPr>
                <w:rFonts w:ascii="Times New Roman" w:eastAsia="Arial" w:hAnsi="Times New Roman" w:cs="Times New Roman"/>
                <w:sz w:val="24"/>
                <w:szCs w:val="24"/>
                <w:lang w:val="en-US"/>
              </w:rPr>
              <w:t xml:space="preserve"> = </w:t>
            </w:r>
            <w:r w:rsidRPr="00D6568A">
              <w:rPr>
                <w:rFonts w:ascii="Times New Roman" w:eastAsia="Tahoma" w:hAnsi="Times New Roman" w:cs="Times New Roman"/>
                <w:sz w:val="24"/>
                <w:szCs w:val="24"/>
                <w:highlight w:val="white"/>
                <w:lang w:val="en-US"/>
              </w:rPr>
              <w:t>.</w:t>
            </w:r>
            <w:r w:rsidRPr="00D6568A">
              <w:rPr>
                <w:rFonts w:ascii="Times New Roman" w:eastAsia="Tahoma" w:hAnsi="Times New Roman" w:cs="Times New Roman"/>
                <w:sz w:val="24"/>
                <w:szCs w:val="24"/>
                <w:lang w:val="en-US"/>
              </w:rPr>
              <w:t>932</w:t>
            </w:r>
            <w:r w:rsidRPr="00D6568A">
              <w:rPr>
                <w:rFonts w:ascii="Times New Roman" w:eastAsia="Arial" w:hAnsi="Times New Roman" w:cs="Times New Roman"/>
                <w:sz w:val="24"/>
                <w:szCs w:val="24"/>
                <w:lang w:val="en-US"/>
              </w:rPr>
              <w:t xml:space="preserve">       Adjusted R</w:t>
            </w:r>
            <w:r w:rsidRPr="00D6568A">
              <w:rPr>
                <w:rFonts w:ascii="Times New Roman" w:eastAsia="Arial" w:hAnsi="Times New Roman" w:cs="Times New Roman"/>
                <w:sz w:val="24"/>
                <w:szCs w:val="24"/>
                <w:vertAlign w:val="superscript"/>
                <w:lang w:val="en-US"/>
              </w:rPr>
              <w:t>2</w:t>
            </w:r>
            <w:r w:rsidRPr="00D6568A">
              <w:rPr>
                <w:rFonts w:ascii="Times New Roman" w:eastAsia="Arial" w:hAnsi="Times New Roman" w:cs="Times New Roman"/>
                <w:sz w:val="24"/>
                <w:szCs w:val="24"/>
                <w:lang w:val="en-US"/>
              </w:rPr>
              <w:t xml:space="preserve"> = .931      F = </w:t>
            </w:r>
            <w:r w:rsidRPr="00D6568A">
              <w:rPr>
                <w:rFonts w:ascii="Times New Roman" w:eastAsia="Tahoma" w:hAnsi="Times New Roman" w:cs="Times New Roman"/>
                <w:sz w:val="24"/>
                <w:szCs w:val="24"/>
                <w:lang w:val="en-US"/>
              </w:rPr>
              <w:t>1726.96</w:t>
            </w:r>
            <w:r w:rsidRPr="00D6568A">
              <w:rPr>
                <w:rFonts w:ascii="Times New Roman" w:eastAsia="Arial" w:hAnsi="Times New Roman" w:cs="Times New Roman"/>
                <w:sz w:val="24"/>
                <w:szCs w:val="24"/>
                <w:lang w:val="en-US"/>
              </w:rPr>
              <w:t xml:space="preserve">       P &lt; .001</w:t>
            </w:r>
          </w:p>
        </w:tc>
      </w:tr>
    </w:tbl>
    <w:p w14:paraId="604C14EA" w14:textId="17A11817" w:rsidR="00192EF4" w:rsidRPr="00D6568A" w:rsidRDefault="00192EF4" w:rsidP="0029230D">
      <w:pPr>
        <w:spacing w:after="240" w:line="240" w:lineRule="auto"/>
        <w:jc w:val="both"/>
        <w:rPr>
          <w:rFonts w:ascii="Times New Roman" w:eastAsia="Arial" w:hAnsi="Times New Roman" w:cs="Times New Roman"/>
          <w:sz w:val="24"/>
          <w:szCs w:val="24"/>
          <w:lang w:val="en-US"/>
        </w:rPr>
      </w:pPr>
      <w:r w:rsidRPr="00D6568A">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S</w:t>
      </w:r>
      <w:r w:rsidRPr="00D6568A">
        <w:rPr>
          <w:rFonts w:ascii="Times New Roman" w:eastAsia="Arial" w:hAnsi="Times New Roman" w:cs="Times New Roman"/>
          <w:sz w:val="24"/>
          <w:szCs w:val="24"/>
          <w:lang w:val="en"/>
        </w:rPr>
        <w:t>ignificant at the 0.01 level (2-tailed).</w:t>
      </w:r>
    </w:p>
    <w:p w14:paraId="0EF835DE" w14:textId="61CB2EB2" w:rsidR="005E5B28" w:rsidRPr="00D6568A" w:rsidRDefault="001F4533"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regression model was highly significant, explaining 93.2% of the variance in membership retention. Member engagement emerged as the strongest predictor (β = .762, p &lt; .001), followed by member satisfaction (β = .113, p = .002) and governance (β = .109, p = .002).</w:t>
      </w:r>
    </w:p>
    <w:p w14:paraId="48A05A90" w14:textId="744CB678"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These findings support Social Exchange Theory (Blau, 1964), which posits that individuals maintain relationships when perceived benefits outweigh costs. Members who actively participate and recognize the value of membership are more likely to reciprocate through loyalty and advocacy. While governance and service satisfaction provide structural and experiential foundations, engagement translates </w:t>
      </w:r>
      <w:r w:rsidR="00192EF4" w:rsidRPr="00D6568A">
        <w:rPr>
          <w:rFonts w:ascii="Times New Roman" w:eastAsia="Arial" w:hAnsi="Times New Roman" w:cs="Times New Roman"/>
          <w:kern w:val="0"/>
          <w:sz w:val="24"/>
          <w:szCs w:val="24"/>
          <w:lang w:eastAsia="en-PH"/>
          <w14:ligatures w14:val="none"/>
        </w:rPr>
        <w:t>this into active commitment</w:t>
      </w:r>
      <w:r w:rsidRPr="00D6568A">
        <w:rPr>
          <w:rFonts w:ascii="Times New Roman" w:eastAsia="Arial" w:hAnsi="Times New Roman" w:cs="Times New Roman"/>
          <w:kern w:val="0"/>
          <w:sz w:val="24"/>
          <w:szCs w:val="24"/>
          <w:lang w:eastAsia="en-PH"/>
          <w14:ligatures w14:val="none"/>
        </w:rPr>
        <w:t>.</w:t>
      </w:r>
    </w:p>
    <w:p w14:paraId="4ABF1942" w14:textId="770E1F43"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The SERVPERF framework further explains how reliable service, assurance, and empathy enhance </w:t>
      </w:r>
      <w:r w:rsidR="00772C2F">
        <w:rPr>
          <w:rFonts w:ascii="Times New Roman" w:eastAsia="Arial" w:hAnsi="Times New Roman" w:cs="Times New Roman"/>
          <w:kern w:val="0"/>
          <w:sz w:val="24"/>
          <w:szCs w:val="24"/>
          <w:lang w:eastAsia="en-PH"/>
          <w14:ligatures w14:val="none"/>
        </w:rPr>
        <w:t xml:space="preserve">member </w:t>
      </w:r>
      <w:r w:rsidRPr="00D6568A">
        <w:rPr>
          <w:rFonts w:ascii="Times New Roman" w:eastAsia="Arial" w:hAnsi="Times New Roman" w:cs="Times New Roman"/>
          <w:kern w:val="0"/>
          <w:sz w:val="24"/>
          <w:szCs w:val="24"/>
          <w:lang w:eastAsia="en-PH"/>
          <w14:ligatures w14:val="none"/>
        </w:rPr>
        <w:t xml:space="preserve">satisfaction, which supports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 However, the stronger coefficient of engagement indicates that participatory involvement plays a more decisive role in sustaining long-term membership.</w:t>
      </w:r>
    </w:p>
    <w:p w14:paraId="67ABE5EB" w14:textId="2C1243DC" w:rsidR="005E5B28" w:rsidRPr="00D6568A" w:rsidRDefault="005E5B28"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Overall, membership retention in cooperatives is shaped by the combined influence of governance credibility, </w:t>
      </w:r>
      <w:r w:rsidR="0067463A">
        <w:rPr>
          <w:rFonts w:ascii="Times New Roman" w:eastAsia="Arial" w:hAnsi="Times New Roman" w:cs="Times New Roman"/>
          <w:kern w:val="0"/>
          <w:sz w:val="24"/>
          <w:szCs w:val="24"/>
          <w:lang w:eastAsia="en-PH"/>
          <w14:ligatures w14:val="none"/>
        </w:rPr>
        <w:t>service</w:t>
      </w:r>
      <w:r w:rsidR="00C24CDF" w:rsidRPr="00D6568A">
        <w:rPr>
          <w:rFonts w:ascii="Times New Roman" w:eastAsia="Arial" w:hAnsi="Times New Roman" w:cs="Times New Roman"/>
          <w:kern w:val="0"/>
          <w:sz w:val="24"/>
          <w:szCs w:val="24"/>
          <w:lang w:eastAsia="en-PH"/>
          <w14:ligatures w14:val="none"/>
        </w:rPr>
        <w:t xml:space="preserve"> </w:t>
      </w:r>
      <w:r w:rsidRPr="00D6568A">
        <w:rPr>
          <w:rFonts w:ascii="Times New Roman" w:eastAsia="Arial" w:hAnsi="Times New Roman" w:cs="Times New Roman"/>
          <w:kern w:val="0"/>
          <w:sz w:val="24"/>
          <w:szCs w:val="24"/>
          <w:lang w:eastAsia="en-PH"/>
          <w14:ligatures w14:val="none"/>
        </w:rPr>
        <w:t xml:space="preserve">satisfaction, and active engagement. Governance builds institutional trust, satisfaction reinforces positive service experiences, and engagement transforms these into sustained loyalty and advocacy. Strengthening member awareness, perceived value, and participation may therefore produce the greatest impact on long-term </w:t>
      </w:r>
      <w:r w:rsidR="00772C2F">
        <w:rPr>
          <w:rFonts w:ascii="Times New Roman" w:eastAsia="Arial" w:hAnsi="Times New Roman" w:cs="Times New Roman"/>
          <w:kern w:val="0"/>
          <w:sz w:val="24"/>
          <w:szCs w:val="24"/>
          <w:lang w:eastAsia="en-PH"/>
          <w14:ligatures w14:val="none"/>
        </w:rPr>
        <w:t xml:space="preserve">membership </w:t>
      </w:r>
      <w:r w:rsidRPr="00D6568A">
        <w:rPr>
          <w:rFonts w:ascii="Times New Roman" w:eastAsia="Arial" w:hAnsi="Times New Roman" w:cs="Times New Roman"/>
          <w:kern w:val="0"/>
          <w:sz w:val="24"/>
          <w:szCs w:val="24"/>
          <w:lang w:eastAsia="en-PH"/>
          <w14:ligatures w14:val="none"/>
        </w:rPr>
        <w:t>retention.</w:t>
      </w:r>
    </w:p>
    <w:p w14:paraId="74A8B2F4" w14:textId="4F91A9FE" w:rsidR="00A769E9" w:rsidRPr="00C00F8B" w:rsidRDefault="00A769E9"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CONCLUSION</w:t>
      </w:r>
    </w:p>
    <w:p w14:paraId="629D0B93" w14:textId="0F682C75" w:rsidR="006E5A82" w:rsidRPr="00D6568A" w:rsidRDefault="006E5A82" w:rsidP="00D6568A">
      <w:pP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 xml:space="preserve">Membership retention in the cooperative emerges as a strategic outcome shaped by governance credibility, service </w:t>
      </w:r>
      <w:r w:rsidR="0067463A">
        <w:rPr>
          <w:rFonts w:ascii="Times New Roman" w:eastAsia="Arial" w:hAnsi="Times New Roman" w:cs="Times New Roman"/>
          <w:bCs/>
          <w:kern w:val="0"/>
          <w:sz w:val="24"/>
          <w:szCs w:val="24"/>
          <w:lang w:eastAsia="en-PH"/>
          <w14:ligatures w14:val="none"/>
        </w:rPr>
        <w:t>performance</w:t>
      </w:r>
      <w:r w:rsidRPr="00D6568A">
        <w:rPr>
          <w:rFonts w:ascii="Times New Roman" w:eastAsia="Arial" w:hAnsi="Times New Roman" w:cs="Times New Roman"/>
          <w:bCs/>
          <w:kern w:val="0"/>
          <w:sz w:val="24"/>
          <w:szCs w:val="24"/>
          <w:lang w:eastAsia="en-PH"/>
          <w14:ligatures w14:val="none"/>
        </w:rPr>
        <w:t>, and active member engagement. Effective governance strengthens institutional trust and transparency, while positive service experiences reinforce members’ perceived value of continued affiliation. However, engagement plays the most decisive role in sustaining retention. Members who are informed, recognize the benefits of membership, and actively participate demonstrate stronger loyalty and advocacy behaviors.</w:t>
      </w:r>
    </w:p>
    <w:p w14:paraId="33564C3B" w14:textId="2F5A5F7B" w:rsidR="00F73186" w:rsidRPr="00D6568A" w:rsidRDefault="006E5A82" w:rsidP="00D6568A">
      <w:pPr>
        <w:spacing w:before="240" w:after="240" w:line="240" w:lineRule="auto"/>
        <w:jc w:val="both"/>
        <w:rPr>
          <w:rFonts w:ascii="Times New Roman" w:eastAsia="Arial" w:hAnsi="Times New Roman" w:cs="Times New Roman"/>
          <w:b/>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t>The findings affirm the study’s theoretical foundations. Governance provides structural assurance, satisfaction reflects experiential evaluation, and engagement transforms these conditions into sustained behavioral commitment. Retention is therefore not driven by a single factor but by the integrated influence of trust, service quality, and participatory involvement. Strengthening engagement mechanisms appears to yield the greatest impact on long-term cooperative sustainability.</w:t>
      </w:r>
    </w:p>
    <w:p w14:paraId="2396E5E0" w14:textId="16256311" w:rsidR="00546881" w:rsidRPr="00C00F8B" w:rsidRDefault="00546881"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RECOMMENDATIONS</w:t>
      </w:r>
    </w:p>
    <w:p w14:paraId="11D7A1BC" w14:textId="14673193" w:rsidR="00546881" w:rsidRPr="00D6568A" w:rsidRDefault="004C0552" w:rsidP="00D6568A">
      <w:pPr>
        <w:spacing w:before="240" w:after="240" w:line="240" w:lineRule="auto"/>
        <w:jc w:val="both"/>
        <w:rPr>
          <w:rFonts w:ascii="Times New Roman" w:eastAsia="Arial" w:hAnsi="Times New Roman" w:cs="Times New Roman"/>
          <w:bCs/>
          <w:kern w:val="0"/>
          <w:sz w:val="24"/>
          <w:szCs w:val="24"/>
          <w:lang w:eastAsia="en-PH"/>
          <w14:ligatures w14:val="none"/>
        </w:rPr>
      </w:pPr>
      <w:r w:rsidRPr="00D6568A">
        <w:rPr>
          <w:rFonts w:ascii="Times New Roman" w:eastAsia="Arial" w:hAnsi="Times New Roman" w:cs="Times New Roman"/>
          <w:bCs/>
          <w:kern w:val="0"/>
          <w:sz w:val="24"/>
          <w:szCs w:val="24"/>
          <w:lang w:eastAsia="en-PH"/>
          <w14:ligatures w14:val="none"/>
        </w:rPr>
        <w:lastRenderedPageBreak/>
        <w:t>Based on the findings, the following are recommended:</w:t>
      </w:r>
    </w:p>
    <w:p w14:paraId="0C29A9BF" w14:textId="2A7E3309"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1. </w:t>
      </w:r>
      <w:r w:rsidR="003645F8">
        <w:rPr>
          <w:rFonts w:ascii="Times New Roman" w:eastAsia="Arial" w:hAnsi="Times New Roman" w:cs="Times New Roman"/>
          <w:b/>
          <w:kern w:val="0"/>
          <w:sz w:val="24"/>
          <w:szCs w:val="24"/>
          <w:lang w:eastAsia="en-PH"/>
          <w14:ligatures w14:val="none"/>
        </w:rPr>
        <w:t>Cooperative Board of Directors</w:t>
      </w:r>
    </w:p>
    <w:p w14:paraId="3F5FED4D"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Sustaining transparency and accountability mechanisms through regular communication during general assemblies, systematic disclosure of financial and operational information, and structured feedback channels is encouraged to further enhance member trust and institutional confidence.</w:t>
      </w:r>
    </w:p>
    <w:p w14:paraId="576862B0" w14:textId="5494BE1E"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2. </w:t>
      </w:r>
      <w:r w:rsidR="000F4EC4">
        <w:rPr>
          <w:rFonts w:ascii="Times New Roman" w:eastAsia="Arial" w:hAnsi="Times New Roman" w:cs="Times New Roman"/>
          <w:b/>
          <w:kern w:val="0"/>
          <w:sz w:val="24"/>
          <w:szCs w:val="24"/>
          <w:lang w:eastAsia="en-PH"/>
          <w14:ligatures w14:val="none"/>
        </w:rPr>
        <w:t>Cooperative Management</w:t>
      </w:r>
    </w:p>
    <w:p w14:paraId="4C0A142D"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Continuous refinement of operational systems to maintain reliability and responsiveness, including streamlining transaction procedures, improving turnaround times, enhancing system functionality, and establishing a formal service recovery and grievance handling framework, is recommended to strengthen member loyalty and advocacy.</w:t>
      </w:r>
    </w:p>
    <w:p w14:paraId="3263C7C8" w14:textId="2006A513"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3. </w:t>
      </w:r>
      <w:r w:rsidR="000F4EC4" w:rsidRPr="000F4EC4">
        <w:rPr>
          <w:rFonts w:ascii="Times New Roman" w:eastAsia="Arial" w:hAnsi="Times New Roman" w:cs="Times New Roman"/>
          <w:b/>
          <w:kern w:val="0"/>
          <w:sz w:val="24"/>
          <w:szCs w:val="24"/>
          <w:lang w:eastAsia="en-PH"/>
          <w14:ligatures w14:val="none"/>
        </w:rPr>
        <w:t xml:space="preserve">Human Resource and Training Units </w:t>
      </w:r>
    </w:p>
    <w:p w14:paraId="3BAD6337"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Sustaining capability development initiatives through training programs emphasizing empathy, professionalism, communication skills, and member-centered service delivery is encouraged to enhance positive member experiences.</w:t>
      </w:r>
    </w:p>
    <w:p w14:paraId="18F8BC1E" w14:textId="66C78BD0"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4. </w:t>
      </w:r>
      <w:r w:rsidR="000F4EC4" w:rsidRPr="000F4EC4">
        <w:rPr>
          <w:rFonts w:ascii="Times New Roman" w:eastAsia="Arial" w:hAnsi="Times New Roman" w:cs="Times New Roman"/>
          <w:b/>
          <w:kern w:val="0"/>
          <w:sz w:val="24"/>
          <w:szCs w:val="24"/>
          <w:lang w:eastAsia="en-PH"/>
          <w14:ligatures w14:val="none"/>
        </w:rPr>
        <w:t>Education and Membership Committee</w:t>
      </w:r>
      <w:r w:rsidR="000F4EC4" w:rsidRPr="000F4EC4" w:rsidDel="000F4EC4">
        <w:rPr>
          <w:rFonts w:ascii="Times New Roman" w:eastAsia="Arial" w:hAnsi="Times New Roman" w:cs="Times New Roman"/>
          <w:b/>
          <w:kern w:val="0"/>
          <w:sz w:val="24"/>
          <w:szCs w:val="24"/>
          <w:lang w:eastAsia="en-PH"/>
          <w14:ligatures w14:val="none"/>
        </w:rPr>
        <w:t xml:space="preserve"> </w:t>
      </w:r>
    </w:p>
    <w:p w14:paraId="23DD4732"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Strengthening initiatives that promote awareness, perceived value, and active participation through structured orientations, financial literacy sessions, clear communication of benefits, and expanded opportunities for involvement is recommended to reinforce members’ sense of ownership and long-term commitment.</w:t>
      </w:r>
    </w:p>
    <w:p w14:paraId="7F9D6ADC" w14:textId="1BA19F51"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5. </w:t>
      </w:r>
      <w:r w:rsidR="000F4EC4" w:rsidRPr="000F4EC4">
        <w:rPr>
          <w:rFonts w:ascii="Times New Roman" w:eastAsia="Arial" w:hAnsi="Times New Roman" w:cs="Times New Roman"/>
          <w:b/>
          <w:kern w:val="0"/>
          <w:sz w:val="24"/>
          <w:szCs w:val="24"/>
          <w:lang w:eastAsia="en-PH"/>
          <w14:ligatures w14:val="none"/>
        </w:rPr>
        <w:t>IT Unit</w:t>
      </w:r>
    </w:p>
    <w:p w14:paraId="50E5C217"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Integrating digital communication platforms alongside traditional engagement mechanisms, including digital updates, online feedback systems, and accessible information portals, is encouraged to improve accessibility, responsiveness, transparency, and inclusive participation.</w:t>
      </w:r>
    </w:p>
    <w:p w14:paraId="58D18DF5" w14:textId="7BCE6605"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 xml:space="preserve">6. </w:t>
      </w:r>
      <w:r w:rsidR="000F4EC4" w:rsidRPr="000F4EC4">
        <w:rPr>
          <w:rFonts w:ascii="Times New Roman" w:eastAsia="Arial" w:hAnsi="Times New Roman" w:cs="Times New Roman"/>
          <w:b/>
          <w:kern w:val="0"/>
          <w:sz w:val="24"/>
          <w:szCs w:val="24"/>
          <w:lang w:eastAsia="en-PH"/>
          <w14:ligatures w14:val="none"/>
        </w:rPr>
        <w:t>Cooperative Development Authority (CDA) and Cooperative Federations</w:t>
      </w:r>
    </w:p>
    <w:p w14:paraId="6AA3FC59"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Promoting governance excellence and engagement-driven retention strategies through capacity-building programs and the systematic sharing of best practices is encouraged to support cooperative sustainability.</w:t>
      </w:r>
    </w:p>
    <w:p w14:paraId="33E55F00" w14:textId="0D31C173" w:rsidR="00855B04" w:rsidRPr="00D6568A" w:rsidRDefault="00855B04" w:rsidP="00D6568A">
      <w:pPr>
        <w:spacing w:before="240" w:after="240" w:line="240" w:lineRule="auto"/>
        <w:jc w:val="both"/>
        <w:rPr>
          <w:rFonts w:ascii="Times New Roman" w:eastAsia="Arial" w:hAnsi="Times New Roman" w:cs="Times New Roman"/>
          <w:b/>
          <w:kern w:val="0"/>
          <w:sz w:val="24"/>
          <w:szCs w:val="24"/>
          <w:lang w:eastAsia="en-PH"/>
          <w14:ligatures w14:val="none"/>
        </w:rPr>
      </w:pPr>
      <w:r w:rsidRPr="00D6568A">
        <w:rPr>
          <w:rFonts w:ascii="Times New Roman" w:eastAsia="Arial" w:hAnsi="Times New Roman" w:cs="Times New Roman"/>
          <w:b/>
          <w:kern w:val="0"/>
          <w:sz w:val="24"/>
          <w:szCs w:val="24"/>
          <w:lang w:eastAsia="en-PH"/>
          <w14:ligatures w14:val="none"/>
        </w:rPr>
        <w:t>7. Future Research</w:t>
      </w:r>
    </w:p>
    <w:p w14:paraId="4B2B3836" w14:textId="77777777" w:rsidR="002F3275" w:rsidRDefault="002F3275"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2F3275">
        <w:rPr>
          <w:rFonts w:ascii="Times New Roman" w:eastAsia="Arial" w:hAnsi="Times New Roman" w:cs="Times New Roman"/>
          <w:kern w:val="0"/>
          <w:sz w:val="24"/>
          <w:szCs w:val="24"/>
          <w:lang w:eastAsia="en-PH"/>
          <w14:ligatures w14:val="none"/>
        </w:rPr>
        <w:t>Exploring additional determinants of membership retention, including digital transformation, organizational culture, generational differences, and comparative analyses across cooperative types, is recommended to deepen understanding of retention dynamics.</w:t>
      </w:r>
    </w:p>
    <w:p w14:paraId="19F9799A" w14:textId="61ABA95B" w:rsidR="003401DB" w:rsidRPr="00C00F8B" w:rsidRDefault="00F91117" w:rsidP="00D6568A">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COMPLIANCE WITH ETHICAL STANDARD</w:t>
      </w:r>
    </w:p>
    <w:p w14:paraId="103CAA1F" w14:textId="07F88DC0"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Prior to the commencement of the study, ethical clearance was obtained from the Lourdes College Research Ethics Committee (LC REC), ensuring that all procedures complied with institutional standards for research involving human participants and safeguarded participants’ rights and welfare.</w:t>
      </w:r>
    </w:p>
    <w:p w14:paraId="61BB0110" w14:textId="76D444CA"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 xml:space="preserve">Following approval, data were collected from active members of a multipurpose cooperative in </w:t>
      </w:r>
      <w:r w:rsidR="000E4E9F" w:rsidRPr="00586F0C">
        <w:rPr>
          <w:rFonts w:ascii="Times New Roman" w:eastAsia="Arial" w:hAnsi="Times New Roman" w:cs="Times New Roman"/>
          <w:sz w:val="24"/>
          <w:szCs w:val="24"/>
        </w:rPr>
        <w:t>one of the cities in Bukidnon</w:t>
      </w:r>
      <w:r w:rsidRPr="00D6568A">
        <w:rPr>
          <w:rFonts w:ascii="Times New Roman" w:eastAsia="Arial" w:hAnsi="Times New Roman" w:cs="Times New Roman"/>
          <w:kern w:val="0"/>
          <w:sz w:val="24"/>
          <w:szCs w:val="24"/>
          <w:lang w:eastAsia="en-PH"/>
          <w14:ligatures w14:val="none"/>
        </w:rPr>
        <w:t>. Informed consent was obtained after explaining the study’s purpose, procedures, and voluntary nature of participation. Respondents were assured that participation or withdrawal would not affect their membership status or access to cooperative services. Confidentiality and anonymity were strictly maintained through coded responses and secure data storage.</w:t>
      </w:r>
    </w:p>
    <w:p w14:paraId="42CD7F77" w14:textId="485FE641"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lastRenderedPageBreak/>
        <w:t>A total of 384 active members, selected through simple random sampling, participated in the study. Data were gathered using a structured Likert-scale questionnaire measuring governance, member satisfaction, member engagement, and membership retention. Respondents were given sufficient time to complete the instrument.</w:t>
      </w:r>
    </w:p>
    <w:p w14:paraId="6E61CD2C" w14:textId="4F144F3F"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questionnaire was designed for clarity and aligned with established constructs from the SERVPERF model and relevant governance and engagement literature. A five-point Likert scale ranging from “Strongly Agree” to “Strongly Disagree” was used to facilitate quantitative analysis.</w:t>
      </w:r>
    </w:p>
    <w:p w14:paraId="2CA2E7A6" w14:textId="62FE4119" w:rsidR="0050338D" w:rsidRPr="00D6568A" w:rsidRDefault="0050338D" w:rsidP="00D6568A">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Consistent with the Belmont Report (1979), the study upheld the principles of respect for persons, beneficence, and justice. Participation was voluntary, no incentives were provided, and the data were used solely for academic purposes.</w:t>
      </w:r>
    </w:p>
    <w:p w14:paraId="02A742AE" w14:textId="77D61E7D" w:rsidR="00C60F42" w:rsidRPr="00D6568A" w:rsidRDefault="0050338D" w:rsidP="00C00F8B">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After data collection, responses were reviewed for completeness prior to statistical analysis. Overall, the study adhered to institutional ethical standards and ensured the protection, dignity, and confidentiality of all participants.</w:t>
      </w:r>
    </w:p>
    <w:p w14:paraId="73BACA3C" w14:textId="15914F98" w:rsidR="00840386" w:rsidRPr="00C00F8B" w:rsidRDefault="00546881" w:rsidP="00D6568A">
      <w:pPr>
        <w:spacing w:before="240" w:after="240" w:line="240" w:lineRule="auto"/>
        <w:jc w:val="both"/>
        <w:rPr>
          <w:rFonts w:ascii="Times New Roman" w:hAnsi="Times New Roman" w:cs="Times New Roman"/>
          <w:b/>
          <w:bCs/>
          <w:sz w:val="28"/>
          <w:szCs w:val="28"/>
          <w:lang w:val="en-US"/>
        </w:rPr>
      </w:pPr>
      <w:r w:rsidRPr="00C00F8B">
        <w:rPr>
          <w:rFonts w:ascii="Times New Roman" w:hAnsi="Times New Roman" w:cs="Times New Roman"/>
          <w:b/>
          <w:bCs/>
          <w:sz w:val="28"/>
          <w:szCs w:val="28"/>
          <w:lang w:val="en-US"/>
        </w:rPr>
        <w:t>ACKNOWLEDGEMENT</w:t>
      </w:r>
    </w:p>
    <w:p w14:paraId="2BEE7C13" w14:textId="61513056" w:rsidR="00060770" w:rsidRPr="00D6568A" w:rsidRDefault="004F1D0A" w:rsidP="00772C2F">
      <w:pPr>
        <w:spacing w:before="240" w:after="240" w:line="240" w:lineRule="auto"/>
        <w:jc w:val="both"/>
        <w:rPr>
          <w:rFonts w:ascii="Times New Roman" w:eastAsia="Arial" w:hAnsi="Times New Roman" w:cs="Times New Roman"/>
          <w:kern w:val="0"/>
          <w:sz w:val="24"/>
          <w:szCs w:val="24"/>
          <w:lang w:eastAsia="en-PH"/>
          <w14:ligatures w14:val="none"/>
        </w:rPr>
      </w:pPr>
      <w:r w:rsidRPr="00D6568A">
        <w:rPr>
          <w:rFonts w:ascii="Times New Roman" w:eastAsia="Arial" w:hAnsi="Times New Roman" w:cs="Times New Roman"/>
          <w:kern w:val="0"/>
          <w:sz w:val="24"/>
          <w:szCs w:val="24"/>
          <w:lang w:eastAsia="en-PH"/>
          <w14:ligatures w14:val="none"/>
        </w:rPr>
        <w:t>The authors express their gratitude to Lourdes College, Inc., the participating cooperative, and all respondents for their cooperation and support in the completion of this study.</w:t>
      </w:r>
    </w:p>
    <w:p w14:paraId="289CD37C" w14:textId="306638E6" w:rsidR="00EF4FB5" w:rsidRPr="00C00F8B" w:rsidRDefault="00AE459A" w:rsidP="00772C2F">
      <w:pPr>
        <w:spacing w:before="240" w:after="240" w:line="240" w:lineRule="auto"/>
        <w:jc w:val="both"/>
        <w:rPr>
          <w:rFonts w:ascii="Times New Roman" w:eastAsia="Arial" w:hAnsi="Times New Roman" w:cs="Times New Roman"/>
          <w:b/>
          <w:bCs/>
          <w:kern w:val="0"/>
          <w:sz w:val="28"/>
          <w:szCs w:val="28"/>
          <w:lang w:eastAsia="en-PH"/>
          <w14:ligatures w14:val="none"/>
        </w:rPr>
      </w:pPr>
      <w:r w:rsidRPr="00C00F8B">
        <w:rPr>
          <w:rFonts w:ascii="Times New Roman" w:eastAsia="Arial" w:hAnsi="Times New Roman" w:cs="Times New Roman"/>
          <w:b/>
          <w:bCs/>
          <w:kern w:val="0"/>
          <w:sz w:val="28"/>
          <w:szCs w:val="28"/>
          <w:lang w:eastAsia="en-PH"/>
          <w14:ligatures w14:val="none"/>
        </w:rPr>
        <w:t>REFERENCES</w:t>
      </w:r>
    </w:p>
    <w:p w14:paraId="43AFDC8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Almaiah, M. A., Al-Khasawneh, A., &amp; Althunibat, A. (2022). Trust and retention in digital financial institutions: The mediating role of service quality. </w:t>
      </w:r>
      <w:r w:rsidRPr="00C00F8B">
        <w:rPr>
          <w:rFonts w:ascii="Times New Roman" w:eastAsia="Arial" w:hAnsi="Times New Roman" w:cs="Times New Roman"/>
          <w:i/>
          <w:iCs/>
          <w:kern w:val="0"/>
          <w:sz w:val="24"/>
          <w:szCs w:val="24"/>
          <w:lang w:eastAsia="en-PH"/>
          <w14:ligatures w14:val="none"/>
        </w:rPr>
        <w:t>Journal of Retailing and Consumer Services, 68</w:t>
      </w:r>
      <w:r w:rsidRPr="00C00F8B">
        <w:rPr>
          <w:rFonts w:ascii="Times New Roman" w:eastAsia="Arial" w:hAnsi="Times New Roman" w:cs="Times New Roman"/>
          <w:kern w:val="0"/>
          <w:sz w:val="24"/>
          <w:szCs w:val="24"/>
          <w:lang w:eastAsia="en-PH"/>
          <w14:ligatures w14:val="none"/>
        </w:rPr>
        <w:t xml:space="preserve">, 103073. </w:t>
      </w:r>
      <w:hyperlink r:id="rId10"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https://doi.org/10.1016/j.jretconser.2022.103073</w:t>
        </w:r>
      </w:hyperlink>
    </w:p>
    <w:p w14:paraId="4CAC6789"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Alshurideh, M. T., Al Kurdi, B., &amp; Salloum, S. A. (2020). The effect of customer satisfaction on customer loyalty among mobile phone users. </w:t>
      </w:r>
      <w:r w:rsidRPr="00C00F8B">
        <w:rPr>
          <w:rFonts w:ascii="Times New Roman" w:eastAsia="Arial" w:hAnsi="Times New Roman" w:cs="Times New Roman"/>
          <w:i/>
          <w:iCs/>
          <w:kern w:val="0"/>
          <w:sz w:val="24"/>
          <w:szCs w:val="24"/>
          <w:lang w:eastAsia="en-PH"/>
          <w14:ligatures w14:val="none"/>
        </w:rPr>
        <w:t>International Journal of Marketing Studies, 12</w:t>
      </w:r>
      <w:r w:rsidRPr="00C00F8B">
        <w:rPr>
          <w:rFonts w:ascii="Times New Roman" w:eastAsia="Arial" w:hAnsi="Times New Roman" w:cs="Times New Roman"/>
          <w:kern w:val="0"/>
          <w:sz w:val="24"/>
          <w:szCs w:val="24"/>
          <w:lang w:eastAsia="en-PH"/>
          <w14:ligatures w14:val="none"/>
        </w:rPr>
        <w:t xml:space="preserve">(2), 38–53. </w:t>
      </w:r>
      <w:hyperlink r:id="rId11"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https://doi.org/10.5539/ijms.v12n2p38</w:t>
        </w:r>
      </w:hyperlink>
    </w:p>
    <w:p w14:paraId="0D0CBE9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Blau, P. M. (1964). </w:t>
      </w:r>
      <w:r w:rsidRPr="00C00F8B">
        <w:rPr>
          <w:rFonts w:ascii="Times New Roman" w:eastAsia="Arial" w:hAnsi="Times New Roman" w:cs="Times New Roman"/>
          <w:i/>
          <w:iCs/>
          <w:kern w:val="0"/>
          <w:sz w:val="24"/>
          <w:szCs w:val="24"/>
          <w:lang w:eastAsia="en-PH"/>
          <w14:ligatures w14:val="none"/>
        </w:rPr>
        <w:t>Exchange and power in social life</w:t>
      </w:r>
      <w:r w:rsidRPr="00C00F8B">
        <w:rPr>
          <w:rFonts w:ascii="Times New Roman" w:eastAsia="Arial" w:hAnsi="Times New Roman" w:cs="Times New Roman"/>
          <w:kern w:val="0"/>
          <w:sz w:val="24"/>
          <w:szCs w:val="24"/>
          <w:lang w:eastAsia="en-PH"/>
          <w14:ligatures w14:val="none"/>
        </w:rPr>
        <w:t>. Wiley.</w:t>
      </w:r>
    </w:p>
    <w:p w14:paraId="3CF8C68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Cronin, J. J., Jr., &amp; Taylor, S. A. (1992). Measuring service quality: A reexamination and extension. </w:t>
      </w:r>
      <w:r w:rsidRPr="00C00F8B">
        <w:rPr>
          <w:rFonts w:ascii="Times New Roman" w:eastAsia="Arial" w:hAnsi="Times New Roman" w:cs="Times New Roman"/>
          <w:i/>
          <w:iCs/>
          <w:kern w:val="0"/>
          <w:sz w:val="24"/>
          <w:szCs w:val="24"/>
          <w:lang w:eastAsia="en-PH"/>
          <w14:ligatures w14:val="none"/>
        </w:rPr>
        <w:t>Journal of Marketing, 56</w:t>
      </w:r>
      <w:r w:rsidRPr="00C00F8B">
        <w:rPr>
          <w:rFonts w:ascii="Times New Roman" w:eastAsia="Arial" w:hAnsi="Times New Roman" w:cs="Times New Roman"/>
          <w:kern w:val="0"/>
          <w:sz w:val="24"/>
          <w:szCs w:val="24"/>
          <w:lang w:eastAsia="en-PH"/>
          <w14:ligatures w14:val="none"/>
        </w:rPr>
        <w:t xml:space="preserve">(3), 55–68. </w:t>
      </w:r>
      <w:hyperlink r:id="rId12" w:tgtFrame="_new" w:history="1">
        <w:r w:rsidRPr="00C00F8B">
          <w:rPr>
            <w:rStyle w:val="Hyperlink"/>
            <w:rFonts w:ascii="Times New Roman" w:eastAsia="Arial" w:hAnsi="Times New Roman" w:cs="Times New Roman"/>
            <w:color w:val="auto"/>
            <w:kern w:val="0"/>
            <w:sz w:val="24"/>
            <w:szCs w:val="24"/>
            <w:u w:val="none"/>
            <w:lang w:eastAsia="en-PH"/>
            <w14:ligatures w14:val="none"/>
          </w:rPr>
          <w:t>https://doi.org/10.1177/002224299205600304</w:t>
        </w:r>
      </w:hyperlink>
    </w:p>
    <w:p w14:paraId="2EE505CE"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Garcia, A. R., &amp; Dela Peña, J. M. (2023). Trust disposition and member commitment in Philippine cooperatives. </w:t>
      </w:r>
      <w:r w:rsidRPr="00C00F8B">
        <w:rPr>
          <w:rFonts w:ascii="Times New Roman" w:eastAsia="Arial" w:hAnsi="Times New Roman" w:cs="Times New Roman"/>
          <w:i/>
          <w:iCs/>
          <w:kern w:val="0"/>
          <w:sz w:val="24"/>
          <w:szCs w:val="24"/>
          <w:lang w:eastAsia="en-PH"/>
          <w14:ligatures w14:val="none"/>
        </w:rPr>
        <w:t>Journal of Business and Cooperative Research, 7</w:t>
      </w:r>
      <w:r w:rsidRPr="00C00F8B">
        <w:rPr>
          <w:rFonts w:ascii="Times New Roman" w:eastAsia="Arial" w:hAnsi="Times New Roman" w:cs="Times New Roman"/>
          <w:kern w:val="0"/>
          <w:sz w:val="24"/>
          <w:szCs w:val="24"/>
          <w:lang w:eastAsia="en-PH"/>
          <w14:ligatures w14:val="none"/>
        </w:rPr>
        <w:t>(2), 49–64.</w:t>
      </w:r>
    </w:p>
    <w:p w14:paraId="231C84BB"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Gil-Salapi, C. L. (2024). Financial literacy and cooperative engagement among rural members in the Philippines. </w:t>
      </w:r>
      <w:r w:rsidRPr="00C00F8B">
        <w:rPr>
          <w:rFonts w:ascii="Times New Roman" w:eastAsia="Arial" w:hAnsi="Times New Roman" w:cs="Times New Roman"/>
          <w:i/>
          <w:iCs/>
          <w:kern w:val="0"/>
          <w:sz w:val="24"/>
          <w:szCs w:val="24"/>
          <w:lang w:eastAsia="en-PH"/>
          <w14:ligatures w14:val="none"/>
        </w:rPr>
        <w:t>Asian Finance and Development Review, 10</w:t>
      </w:r>
      <w:r w:rsidRPr="00C00F8B">
        <w:rPr>
          <w:rFonts w:ascii="Times New Roman" w:eastAsia="Arial" w:hAnsi="Times New Roman" w:cs="Times New Roman"/>
          <w:kern w:val="0"/>
          <w:sz w:val="24"/>
          <w:szCs w:val="24"/>
          <w:lang w:eastAsia="en-PH"/>
          <w14:ligatures w14:val="none"/>
        </w:rPr>
        <w:t>(1), 73–88.</w:t>
      </w:r>
    </w:p>
    <w:p w14:paraId="181CCC0F"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Kaur, H., &amp; Soch, H. (2021). Service recovery and loyalty in cooperative service settings: The mediating role of trust. </w:t>
      </w:r>
      <w:r w:rsidRPr="00C00F8B">
        <w:rPr>
          <w:rFonts w:ascii="Times New Roman" w:eastAsia="Arial" w:hAnsi="Times New Roman" w:cs="Times New Roman"/>
          <w:i/>
          <w:iCs/>
          <w:kern w:val="0"/>
          <w:sz w:val="24"/>
          <w:szCs w:val="24"/>
          <w:lang w:eastAsia="en-PH"/>
          <w14:ligatures w14:val="none"/>
        </w:rPr>
        <w:t>Journal of Services Marketing, 35</w:t>
      </w:r>
      <w:r w:rsidRPr="00C00F8B">
        <w:rPr>
          <w:rFonts w:ascii="Times New Roman" w:eastAsia="Arial" w:hAnsi="Times New Roman" w:cs="Times New Roman"/>
          <w:kern w:val="0"/>
          <w:sz w:val="24"/>
          <w:szCs w:val="24"/>
          <w:lang w:eastAsia="en-PH"/>
          <w14:ligatures w14:val="none"/>
        </w:rPr>
        <w:t>(2), 202–214.</w:t>
      </w:r>
    </w:p>
    <w:p w14:paraId="23CD11ED"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Lopez, M. A. (2021). Member satisfaction and commitment in Philippine cooperatives. </w:t>
      </w:r>
      <w:r w:rsidRPr="00C00F8B">
        <w:rPr>
          <w:rFonts w:ascii="Times New Roman" w:eastAsia="Arial" w:hAnsi="Times New Roman" w:cs="Times New Roman"/>
          <w:i/>
          <w:iCs/>
          <w:kern w:val="0"/>
          <w:sz w:val="24"/>
          <w:szCs w:val="24"/>
          <w:lang w:eastAsia="en-PH"/>
          <w14:ligatures w14:val="none"/>
        </w:rPr>
        <w:t>Philippine Cooperative Research Journal, 5</w:t>
      </w:r>
      <w:r w:rsidRPr="00C00F8B">
        <w:rPr>
          <w:rFonts w:ascii="Times New Roman" w:eastAsia="Arial" w:hAnsi="Times New Roman" w:cs="Times New Roman"/>
          <w:kern w:val="0"/>
          <w:sz w:val="24"/>
          <w:szCs w:val="24"/>
          <w:lang w:eastAsia="en-PH"/>
          <w14:ligatures w14:val="none"/>
        </w:rPr>
        <w:t>(2), 23–39.</w:t>
      </w:r>
    </w:p>
    <w:p w14:paraId="0D35669A"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Macaraeg, R. E., &amp; Dacanay, M. L. (2021). Financial competition and cooperative sustainability in the Philippines. </w:t>
      </w:r>
      <w:r w:rsidRPr="00C00F8B">
        <w:rPr>
          <w:rFonts w:ascii="Times New Roman" w:eastAsia="Arial" w:hAnsi="Times New Roman" w:cs="Times New Roman"/>
          <w:i/>
          <w:iCs/>
          <w:kern w:val="0"/>
          <w:sz w:val="24"/>
          <w:szCs w:val="24"/>
          <w:lang w:eastAsia="en-PH"/>
          <w14:ligatures w14:val="none"/>
        </w:rPr>
        <w:t>Journal of Cooperative and Development Studies, 9</w:t>
      </w:r>
      <w:r w:rsidRPr="00C00F8B">
        <w:rPr>
          <w:rFonts w:ascii="Times New Roman" w:eastAsia="Arial" w:hAnsi="Times New Roman" w:cs="Times New Roman"/>
          <w:kern w:val="0"/>
          <w:sz w:val="24"/>
          <w:szCs w:val="24"/>
          <w:lang w:eastAsia="en-PH"/>
          <w14:ligatures w14:val="none"/>
        </w:rPr>
        <w:t>(1), 41–58.</w:t>
      </w:r>
    </w:p>
    <w:p w14:paraId="54ADC995"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Manzano, A. F. (2024). Service quality, perceived value, and member satisfaction in Filipino cooperatives: A SERVPERF analysis. </w:t>
      </w:r>
      <w:r w:rsidRPr="00C00F8B">
        <w:rPr>
          <w:rFonts w:ascii="Times New Roman" w:eastAsia="Arial" w:hAnsi="Times New Roman" w:cs="Times New Roman"/>
          <w:i/>
          <w:iCs/>
          <w:kern w:val="0"/>
          <w:sz w:val="24"/>
          <w:szCs w:val="24"/>
          <w:lang w:eastAsia="en-PH"/>
          <w14:ligatures w14:val="none"/>
        </w:rPr>
        <w:t>Philippine Journal of Organizational Studies, 12</w:t>
      </w:r>
      <w:r w:rsidRPr="00C00F8B">
        <w:rPr>
          <w:rFonts w:ascii="Times New Roman" w:eastAsia="Arial" w:hAnsi="Times New Roman" w:cs="Times New Roman"/>
          <w:kern w:val="0"/>
          <w:sz w:val="24"/>
          <w:szCs w:val="24"/>
          <w:lang w:eastAsia="en-PH"/>
          <w14:ligatures w14:val="none"/>
        </w:rPr>
        <w:t>(2), 67–84.</w:t>
      </w:r>
    </w:p>
    <w:p w14:paraId="2A1B365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Ngugi, J., &amp; Mugo, R. (2023). Financial literacy, perceived value, and member retention in Kenyan cooperatives. </w:t>
      </w:r>
      <w:r w:rsidRPr="00C00F8B">
        <w:rPr>
          <w:rFonts w:ascii="Times New Roman" w:eastAsia="Arial" w:hAnsi="Times New Roman" w:cs="Times New Roman"/>
          <w:i/>
          <w:iCs/>
          <w:kern w:val="0"/>
          <w:sz w:val="24"/>
          <w:szCs w:val="24"/>
          <w:lang w:eastAsia="en-PH"/>
          <w14:ligatures w14:val="none"/>
        </w:rPr>
        <w:t>African Journal of Business and Management, 17</w:t>
      </w:r>
      <w:r w:rsidRPr="00C00F8B">
        <w:rPr>
          <w:rFonts w:ascii="Times New Roman" w:eastAsia="Arial" w:hAnsi="Times New Roman" w:cs="Times New Roman"/>
          <w:kern w:val="0"/>
          <w:sz w:val="24"/>
          <w:szCs w:val="24"/>
          <w:lang w:eastAsia="en-PH"/>
          <w14:ligatures w14:val="none"/>
        </w:rPr>
        <w:t>(2), 44–59.</w:t>
      </w:r>
    </w:p>
    <w:p w14:paraId="71007FF1"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Nguyen, T. T., &amp; Le, H. N. (2023). Brand image and customer loyalty in Vietnamese banking institutions. </w:t>
      </w:r>
      <w:r w:rsidRPr="00C00F8B">
        <w:rPr>
          <w:rFonts w:ascii="Times New Roman" w:eastAsia="Arial" w:hAnsi="Times New Roman" w:cs="Times New Roman"/>
          <w:i/>
          <w:iCs/>
          <w:kern w:val="0"/>
          <w:sz w:val="24"/>
          <w:szCs w:val="24"/>
          <w:lang w:eastAsia="en-PH"/>
          <w14:ligatures w14:val="none"/>
        </w:rPr>
        <w:t>Asian Journal of Business Research, 13</w:t>
      </w:r>
      <w:r w:rsidRPr="00C00F8B">
        <w:rPr>
          <w:rFonts w:ascii="Times New Roman" w:eastAsia="Arial" w:hAnsi="Times New Roman" w:cs="Times New Roman"/>
          <w:kern w:val="0"/>
          <w:sz w:val="24"/>
          <w:szCs w:val="24"/>
          <w:lang w:eastAsia="en-PH"/>
          <w14:ligatures w14:val="none"/>
        </w:rPr>
        <w:t>(2), 89–103.</w:t>
      </w:r>
    </w:p>
    <w:p w14:paraId="3B3946AC"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Reyes, C. D. (2022). Cooperative awareness and member participation in community-based cooperatives. </w:t>
      </w:r>
      <w:r w:rsidRPr="00C00F8B">
        <w:rPr>
          <w:rFonts w:ascii="Times New Roman" w:eastAsia="Arial" w:hAnsi="Times New Roman" w:cs="Times New Roman"/>
          <w:i/>
          <w:iCs/>
          <w:kern w:val="0"/>
          <w:sz w:val="24"/>
          <w:szCs w:val="24"/>
          <w:lang w:eastAsia="en-PH"/>
          <w14:ligatures w14:val="none"/>
        </w:rPr>
        <w:t>Philippine Journal of Social and Development Studies, 18</w:t>
      </w:r>
      <w:r w:rsidRPr="00C00F8B">
        <w:rPr>
          <w:rFonts w:ascii="Times New Roman" w:eastAsia="Arial" w:hAnsi="Times New Roman" w:cs="Times New Roman"/>
          <w:kern w:val="0"/>
          <w:sz w:val="24"/>
          <w:szCs w:val="24"/>
          <w:lang w:eastAsia="en-PH"/>
          <w14:ligatures w14:val="none"/>
        </w:rPr>
        <w:t>(1), 77–92.</w:t>
      </w:r>
    </w:p>
    <w:p w14:paraId="1F5913B8"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Ricadonna, M., Rusydiana, A., &amp; Sari, N. (2023). Trust and perceived credibility as determinants of member retention in Islamic financial institutions. </w:t>
      </w:r>
      <w:r w:rsidRPr="00C00F8B">
        <w:rPr>
          <w:rFonts w:ascii="Times New Roman" w:eastAsia="Arial" w:hAnsi="Times New Roman" w:cs="Times New Roman"/>
          <w:i/>
          <w:iCs/>
          <w:kern w:val="0"/>
          <w:sz w:val="24"/>
          <w:szCs w:val="24"/>
          <w:lang w:eastAsia="en-PH"/>
          <w14:ligatures w14:val="none"/>
        </w:rPr>
        <w:t>Journal of Islamic Economics and Finance Studies, 9</w:t>
      </w:r>
      <w:r w:rsidRPr="00C00F8B">
        <w:rPr>
          <w:rFonts w:ascii="Times New Roman" w:eastAsia="Arial" w:hAnsi="Times New Roman" w:cs="Times New Roman"/>
          <w:kern w:val="0"/>
          <w:sz w:val="24"/>
          <w:szCs w:val="24"/>
          <w:lang w:eastAsia="en-PH"/>
          <w14:ligatures w14:val="none"/>
        </w:rPr>
        <w:t>(1), 66–80.</w:t>
      </w:r>
    </w:p>
    <w:p w14:paraId="37564E83"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lastRenderedPageBreak/>
        <w:t xml:space="preserve">Sapkota, D., Shrestha, R., &amp; Adhikari, B. (2023). Service performance, satisfaction, and retention in savings and credit cooperatives in Nepal. </w:t>
      </w:r>
      <w:r w:rsidRPr="00C00F8B">
        <w:rPr>
          <w:rFonts w:ascii="Times New Roman" w:eastAsia="Arial" w:hAnsi="Times New Roman" w:cs="Times New Roman"/>
          <w:i/>
          <w:iCs/>
          <w:kern w:val="0"/>
          <w:sz w:val="24"/>
          <w:szCs w:val="24"/>
          <w:lang w:eastAsia="en-PH"/>
          <w14:ligatures w14:val="none"/>
        </w:rPr>
        <w:t>International Journal of Cooperative Development, 11</w:t>
      </w:r>
      <w:r w:rsidRPr="00C00F8B">
        <w:rPr>
          <w:rFonts w:ascii="Times New Roman" w:eastAsia="Arial" w:hAnsi="Times New Roman" w:cs="Times New Roman"/>
          <w:kern w:val="0"/>
          <w:sz w:val="24"/>
          <w:szCs w:val="24"/>
          <w:lang w:eastAsia="en-PH"/>
          <w14:ligatures w14:val="none"/>
        </w:rPr>
        <w:t>(1), 59–75.</w:t>
      </w:r>
    </w:p>
    <w:p w14:paraId="050EDB2C"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Tumban, M., &amp; Delos Reyes, F. (2024). Shared values and participatory decision-making in Mindanao cooperatives: Effects on member retention. </w:t>
      </w:r>
      <w:r w:rsidRPr="00C00F8B">
        <w:rPr>
          <w:rFonts w:ascii="Times New Roman" w:eastAsia="Arial" w:hAnsi="Times New Roman" w:cs="Times New Roman"/>
          <w:i/>
          <w:iCs/>
          <w:kern w:val="0"/>
          <w:sz w:val="24"/>
          <w:szCs w:val="24"/>
          <w:lang w:eastAsia="en-PH"/>
          <w14:ligatures w14:val="none"/>
        </w:rPr>
        <w:t>Journal of Philippine Cooperative Research, 13</w:t>
      </w:r>
      <w:r w:rsidRPr="00C00F8B">
        <w:rPr>
          <w:rFonts w:ascii="Times New Roman" w:eastAsia="Arial" w:hAnsi="Times New Roman" w:cs="Times New Roman"/>
          <w:kern w:val="0"/>
          <w:sz w:val="24"/>
          <w:szCs w:val="24"/>
          <w:lang w:eastAsia="en-PH"/>
          <w14:ligatures w14:val="none"/>
        </w:rPr>
        <w:t>(1), 25–44.</w:t>
      </w:r>
    </w:p>
    <w:p w14:paraId="25FAE9D3"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United Nations. (2021). </w:t>
      </w:r>
      <w:r w:rsidRPr="00C00F8B">
        <w:rPr>
          <w:rFonts w:ascii="Times New Roman" w:eastAsia="Arial" w:hAnsi="Times New Roman" w:cs="Times New Roman"/>
          <w:i/>
          <w:iCs/>
          <w:kern w:val="0"/>
          <w:sz w:val="24"/>
          <w:szCs w:val="24"/>
          <w:lang w:eastAsia="en-PH"/>
          <w14:ligatures w14:val="none"/>
        </w:rPr>
        <w:t>The sustainable development goals report 2021</w:t>
      </w:r>
      <w:r w:rsidRPr="00C00F8B">
        <w:rPr>
          <w:rFonts w:ascii="Times New Roman" w:eastAsia="Arial" w:hAnsi="Times New Roman" w:cs="Times New Roman"/>
          <w:kern w:val="0"/>
          <w:sz w:val="24"/>
          <w:szCs w:val="24"/>
          <w:lang w:eastAsia="en-PH"/>
          <w14:ligatures w14:val="none"/>
        </w:rPr>
        <w:t xml:space="preserve">. United Nations Publications. </w:t>
      </w:r>
      <w:hyperlink r:id="rId13" w:tgtFrame="_new" w:history="1">
        <w:r w:rsidRPr="00C00F8B">
          <w:rPr>
            <w:rStyle w:val="Hyperlink"/>
            <w:rFonts w:ascii="Times New Roman" w:eastAsia="Arial" w:hAnsi="Times New Roman" w:cs="Times New Roman"/>
            <w:color w:val="auto"/>
            <w:kern w:val="0"/>
            <w:sz w:val="24"/>
            <w:szCs w:val="24"/>
            <w:u w:val="none"/>
            <w:lang w:eastAsia="en-PH"/>
            <w14:ligatures w14:val="none"/>
          </w:rPr>
          <w:t>https://unstats.un.org/sdgs/report/2021</w:t>
        </w:r>
      </w:hyperlink>
    </w:p>
    <w:p w14:paraId="25E8F807"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Yamane, T. (1967). </w:t>
      </w:r>
      <w:r w:rsidRPr="00C00F8B">
        <w:rPr>
          <w:rFonts w:ascii="Times New Roman" w:eastAsia="Arial" w:hAnsi="Times New Roman" w:cs="Times New Roman"/>
          <w:i/>
          <w:iCs/>
          <w:kern w:val="0"/>
          <w:sz w:val="24"/>
          <w:szCs w:val="24"/>
          <w:lang w:eastAsia="en-PH"/>
          <w14:ligatures w14:val="none"/>
        </w:rPr>
        <w:t>Statistics: An introductory analysis</w:t>
      </w:r>
      <w:r w:rsidRPr="00C00F8B">
        <w:rPr>
          <w:rFonts w:ascii="Times New Roman" w:eastAsia="Arial" w:hAnsi="Times New Roman" w:cs="Times New Roman"/>
          <w:kern w:val="0"/>
          <w:sz w:val="24"/>
          <w:szCs w:val="24"/>
          <w:lang w:eastAsia="en-PH"/>
          <w14:ligatures w14:val="none"/>
        </w:rPr>
        <w:t xml:space="preserve"> (2nd ed.). Harper &amp; Row.</w:t>
      </w:r>
    </w:p>
    <w:p w14:paraId="757FFD1B"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Yeboah, S. K., &amp; Agyapong, A. (2023). Brand reputation, emotional attachment, and member retention in cooperative organizations. </w:t>
      </w:r>
      <w:r w:rsidRPr="00C00F8B">
        <w:rPr>
          <w:rFonts w:ascii="Times New Roman" w:eastAsia="Arial" w:hAnsi="Times New Roman" w:cs="Times New Roman"/>
          <w:i/>
          <w:iCs/>
          <w:kern w:val="0"/>
          <w:sz w:val="24"/>
          <w:szCs w:val="24"/>
          <w:lang w:eastAsia="en-PH"/>
          <w14:ligatures w14:val="none"/>
        </w:rPr>
        <w:t>International Journal of Cooperative Studies, 9</w:t>
      </w:r>
      <w:r w:rsidRPr="00C00F8B">
        <w:rPr>
          <w:rFonts w:ascii="Times New Roman" w:eastAsia="Arial" w:hAnsi="Times New Roman" w:cs="Times New Roman"/>
          <w:kern w:val="0"/>
          <w:sz w:val="24"/>
          <w:szCs w:val="24"/>
          <w:lang w:eastAsia="en-PH"/>
          <w14:ligatures w14:val="none"/>
        </w:rPr>
        <w:t>(2), 33–48.</w:t>
      </w:r>
    </w:p>
    <w:p w14:paraId="4A1DE979" w14:textId="77777777" w:rsidR="003654D5" w:rsidRPr="00C00F8B" w:rsidRDefault="003654D5" w:rsidP="00C00F8B">
      <w:pPr>
        <w:pStyle w:val="ListParagraph"/>
        <w:numPr>
          <w:ilvl w:val="0"/>
          <w:numId w:val="26"/>
        </w:numPr>
        <w:spacing w:after="0" w:line="240" w:lineRule="auto"/>
        <w:ind w:left="990"/>
        <w:jc w:val="both"/>
        <w:rPr>
          <w:rFonts w:ascii="Times New Roman" w:eastAsia="Arial" w:hAnsi="Times New Roman" w:cs="Times New Roman"/>
          <w:kern w:val="0"/>
          <w:sz w:val="24"/>
          <w:szCs w:val="24"/>
          <w:lang w:eastAsia="en-PH"/>
          <w14:ligatures w14:val="none"/>
        </w:rPr>
      </w:pPr>
      <w:r w:rsidRPr="00C00F8B">
        <w:rPr>
          <w:rFonts w:ascii="Times New Roman" w:eastAsia="Arial" w:hAnsi="Times New Roman" w:cs="Times New Roman"/>
          <w:kern w:val="0"/>
          <w:sz w:val="24"/>
          <w:szCs w:val="24"/>
          <w:lang w:eastAsia="en-PH"/>
          <w14:ligatures w14:val="none"/>
        </w:rPr>
        <w:t xml:space="preserve">Zamzami, I., Rusdarti, &amp; Sudarma, I. (2022). Determinants of member loyalty and retention in Indonesian women’s cooperatives. </w:t>
      </w:r>
      <w:r w:rsidRPr="00C00F8B">
        <w:rPr>
          <w:rFonts w:ascii="Times New Roman" w:eastAsia="Arial" w:hAnsi="Times New Roman" w:cs="Times New Roman"/>
          <w:i/>
          <w:iCs/>
          <w:kern w:val="0"/>
          <w:sz w:val="24"/>
          <w:szCs w:val="24"/>
          <w:lang w:eastAsia="en-PH"/>
          <w14:ligatures w14:val="none"/>
        </w:rPr>
        <w:t>Asian Journal of Cooperative Research, 11</w:t>
      </w:r>
      <w:r w:rsidRPr="00C00F8B">
        <w:rPr>
          <w:rFonts w:ascii="Times New Roman" w:eastAsia="Arial" w:hAnsi="Times New Roman" w:cs="Times New Roman"/>
          <w:kern w:val="0"/>
          <w:sz w:val="24"/>
          <w:szCs w:val="24"/>
          <w:lang w:eastAsia="en-PH"/>
          <w14:ligatures w14:val="none"/>
        </w:rPr>
        <w:t>(2), 88–104.</w:t>
      </w:r>
    </w:p>
    <w:p w14:paraId="59ADB7E6" w14:textId="77777777" w:rsidR="00546881" w:rsidRPr="00D6568A" w:rsidRDefault="00546881" w:rsidP="00D6568A">
      <w:pPr>
        <w:spacing w:before="240" w:after="240" w:line="240" w:lineRule="auto"/>
        <w:ind w:left="360"/>
        <w:jc w:val="both"/>
        <w:rPr>
          <w:rFonts w:ascii="Times New Roman" w:eastAsia="Arial" w:hAnsi="Times New Roman" w:cs="Times New Roman"/>
          <w:kern w:val="0"/>
          <w:sz w:val="24"/>
          <w:szCs w:val="24"/>
          <w:lang w:eastAsia="en-PH"/>
          <w14:ligatures w14:val="none"/>
        </w:rPr>
      </w:pPr>
    </w:p>
    <w:p w14:paraId="6E4A70A4" w14:textId="77777777" w:rsidR="00B46E33" w:rsidRPr="00D6568A" w:rsidRDefault="00B46E33" w:rsidP="00D6568A">
      <w:pPr>
        <w:spacing w:before="240" w:after="240" w:line="240" w:lineRule="auto"/>
        <w:ind w:left="360"/>
        <w:jc w:val="both"/>
        <w:rPr>
          <w:rFonts w:ascii="Times New Roman" w:eastAsia="Arial" w:hAnsi="Times New Roman" w:cs="Times New Roman"/>
          <w:kern w:val="0"/>
          <w:sz w:val="24"/>
          <w:szCs w:val="24"/>
          <w:lang w:eastAsia="en-PH"/>
          <w14:ligatures w14:val="none"/>
        </w:rPr>
      </w:pPr>
    </w:p>
    <w:sectPr w:rsidR="00B46E33" w:rsidRPr="00D6568A" w:rsidSect="00192EF4">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64AE6" w14:textId="77777777" w:rsidR="00453783" w:rsidRDefault="00453783" w:rsidP="009A4768">
      <w:pPr>
        <w:spacing w:after="0" w:line="240" w:lineRule="auto"/>
      </w:pPr>
      <w:r>
        <w:separator/>
      </w:r>
    </w:p>
  </w:endnote>
  <w:endnote w:type="continuationSeparator" w:id="0">
    <w:p w14:paraId="27D27F72" w14:textId="77777777" w:rsidR="00453783" w:rsidRDefault="00453783" w:rsidP="009A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CDBEB" w14:textId="77777777" w:rsidR="00453783" w:rsidRDefault="00453783" w:rsidP="009A4768">
      <w:pPr>
        <w:spacing w:after="0" w:line="240" w:lineRule="auto"/>
      </w:pPr>
      <w:r>
        <w:separator/>
      </w:r>
    </w:p>
  </w:footnote>
  <w:footnote w:type="continuationSeparator" w:id="0">
    <w:p w14:paraId="3023D391" w14:textId="77777777" w:rsidR="00453783" w:rsidRDefault="00453783" w:rsidP="009A47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7C2"/>
    <w:multiLevelType w:val="hybridMultilevel"/>
    <w:tmpl w:val="79D44B3E"/>
    <w:lvl w:ilvl="0" w:tplc="3409000F">
      <w:start w:val="1"/>
      <w:numFmt w:val="decimal"/>
      <w:lvlText w:val="%1."/>
      <w:lvlJc w:val="left"/>
      <w:pPr>
        <w:ind w:left="1352" w:hanging="360"/>
      </w:pPr>
      <w:rPr>
        <w:rFonts w:hint="default"/>
      </w:rPr>
    </w:lvl>
    <w:lvl w:ilvl="1" w:tplc="34090019" w:tentative="1">
      <w:start w:val="1"/>
      <w:numFmt w:val="lowerLetter"/>
      <w:lvlText w:val="%2."/>
      <w:lvlJc w:val="left"/>
      <w:pPr>
        <w:ind w:left="2072" w:hanging="360"/>
      </w:pPr>
    </w:lvl>
    <w:lvl w:ilvl="2" w:tplc="3409001B" w:tentative="1">
      <w:start w:val="1"/>
      <w:numFmt w:val="lowerRoman"/>
      <w:lvlText w:val="%3."/>
      <w:lvlJc w:val="right"/>
      <w:pPr>
        <w:ind w:left="2792" w:hanging="180"/>
      </w:pPr>
    </w:lvl>
    <w:lvl w:ilvl="3" w:tplc="3409000F" w:tentative="1">
      <w:start w:val="1"/>
      <w:numFmt w:val="decimal"/>
      <w:lvlText w:val="%4."/>
      <w:lvlJc w:val="left"/>
      <w:pPr>
        <w:ind w:left="3512" w:hanging="360"/>
      </w:pPr>
    </w:lvl>
    <w:lvl w:ilvl="4" w:tplc="34090019" w:tentative="1">
      <w:start w:val="1"/>
      <w:numFmt w:val="lowerLetter"/>
      <w:lvlText w:val="%5."/>
      <w:lvlJc w:val="left"/>
      <w:pPr>
        <w:ind w:left="4232" w:hanging="360"/>
      </w:pPr>
    </w:lvl>
    <w:lvl w:ilvl="5" w:tplc="3409001B" w:tentative="1">
      <w:start w:val="1"/>
      <w:numFmt w:val="lowerRoman"/>
      <w:lvlText w:val="%6."/>
      <w:lvlJc w:val="right"/>
      <w:pPr>
        <w:ind w:left="4952" w:hanging="180"/>
      </w:pPr>
    </w:lvl>
    <w:lvl w:ilvl="6" w:tplc="3409000F" w:tentative="1">
      <w:start w:val="1"/>
      <w:numFmt w:val="decimal"/>
      <w:lvlText w:val="%7."/>
      <w:lvlJc w:val="left"/>
      <w:pPr>
        <w:ind w:left="5672" w:hanging="360"/>
      </w:pPr>
    </w:lvl>
    <w:lvl w:ilvl="7" w:tplc="34090019" w:tentative="1">
      <w:start w:val="1"/>
      <w:numFmt w:val="lowerLetter"/>
      <w:lvlText w:val="%8."/>
      <w:lvlJc w:val="left"/>
      <w:pPr>
        <w:ind w:left="6392" w:hanging="360"/>
      </w:pPr>
    </w:lvl>
    <w:lvl w:ilvl="8" w:tplc="3409001B" w:tentative="1">
      <w:start w:val="1"/>
      <w:numFmt w:val="lowerRoman"/>
      <w:lvlText w:val="%9."/>
      <w:lvlJc w:val="right"/>
      <w:pPr>
        <w:ind w:left="7112" w:hanging="180"/>
      </w:pPr>
    </w:lvl>
  </w:abstractNum>
  <w:abstractNum w:abstractNumId="1">
    <w:nsid w:val="08A5572D"/>
    <w:multiLevelType w:val="hybridMultilevel"/>
    <w:tmpl w:val="31C49BD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0D1E6277"/>
    <w:multiLevelType w:val="hybridMultilevel"/>
    <w:tmpl w:val="B6F084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0E1E4131"/>
    <w:multiLevelType w:val="multilevel"/>
    <w:tmpl w:val="8A068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E3B183A"/>
    <w:multiLevelType w:val="hybridMultilevel"/>
    <w:tmpl w:val="491E91A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0EB7266E"/>
    <w:multiLevelType w:val="multilevel"/>
    <w:tmpl w:val="D3C4816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0F3E7E19"/>
    <w:multiLevelType w:val="multilevel"/>
    <w:tmpl w:val="D580199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3C8041A"/>
    <w:multiLevelType w:val="multilevel"/>
    <w:tmpl w:val="116E006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FA70C50"/>
    <w:multiLevelType w:val="multilevel"/>
    <w:tmpl w:val="2244D3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60961BD"/>
    <w:multiLevelType w:val="hybridMultilevel"/>
    <w:tmpl w:val="A2D2008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nsid w:val="2D5E1BF4"/>
    <w:multiLevelType w:val="hybridMultilevel"/>
    <w:tmpl w:val="421211B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nsid w:val="37377E5C"/>
    <w:multiLevelType w:val="multilevel"/>
    <w:tmpl w:val="E912DBE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nsid w:val="3D023A29"/>
    <w:multiLevelType w:val="multilevel"/>
    <w:tmpl w:val="F8B0352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89073AA"/>
    <w:multiLevelType w:val="hybridMultilevel"/>
    <w:tmpl w:val="E42E5F1A"/>
    <w:lvl w:ilvl="0" w:tplc="1D406722">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4C065687"/>
    <w:multiLevelType w:val="multilevel"/>
    <w:tmpl w:val="BD6C863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nsid w:val="55002E2A"/>
    <w:multiLevelType w:val="multilevel"/>
    <w:tmpl w:val="7B48EE1A"/>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5A3C0330"/>
    <w:multiLevelType w:val="multilevel"/>
    <w:tmpl w:val="0916CE64"/>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nsid w:val="680552AD"/>
    <w:multiLevelType w:val="hybridMultilevel"/>
    <w:tmpl w:val="51C4351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6CC93619"/>
    <w:multiLevelType w:val="hybridMultilevel"/>
    <w:tmpl w:val="A64672E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6D5B7ACA"/>
    <w:multiLevelType w:val="hybridMultilevel"/>
    <w:tmpl w:val="6946FC5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nsid w:val="71FF2232"/>
    <w:multiLevelType w:val="hybridMultilevel"/>
    <w:tmpl w:val="F27065FA"/>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nsid w:val="738E62E0"/>
    <w:multiLevelType w:val="multilevel"/>
    <w:tmpl w:val="D45C7FD4"/>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nsid w:val="73EA15F1"/>
    <w:multiLevelType w:val="multilevel"/>
    <w:tmpl w:val="4C64EAB6"/>
    <w:lvl w:ilvl="0">
      <w:start w:val="1"/>
      <w:numFmt w:val="decimal"/>
      <w:lvlText w:val="%1."/>
      <w:lvlJc w:val="left"/>
      <w:pPr>
        <w:ind w:left="720" w:hanging="360"/>
      </w:pPr>
      <w:rPr>
        <w:rFonts w:hint="default"/>
        <w:b w:val="0"/>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nsid w:val="75227314"/>
    <w:multiLevelType w:val="hybridMultilevel"/>
    <w:tmpl w:val="1C7623F6"/>
    <w:lvl w:ilvl="0" w:tplc="3409000F">
      <w:start w:val="1"/>
      <w:numFmt w:val="decimal"/>
      <w:lvlText w:val="%1."/>
      <w:lvlJc w:val="left"/>
      <w:pPr>
        <w:ind w:left="785" w:hanging="360"/>
      </w:pPr>
    </w:lvl>
    <w:lvl w:ilvl="1" w:tplc="34090019" w:tentative="1">
      <w:start w:val="1"/>
      <w:numFmt w:val="lowerLetter"/>
      <w:lvlText w:val="%2."/>
      <w:lvlJc w:val="left"/>
      <w:pPr>
        <w:ind w:left="1505" w:hanging="360"/>
      </w:pPr>
    </w:lvl>
    <w:lvl w:ilvl="2" w:tplc="3409001B" w:tentative="1">
      <w:start w:val="1"/>
      <w:numFmt w:val="lowerRoman"/>
      <w:lvlText w:val="%3."/>
      <w:lvlJc w:val="right"/>
      <w:pPr>
        <w:ind w:left="2225" w:hanging="180"/>
      </w:pPr>
    </w:lvl>
    <w:lvl w:ilvl="3" w:tplc="3409000F" w:tentative="1">
      <w:start w:val="1"/>
      <w:numFmt w:val="decimal"/>
      <w:lvlText w:val="%4."/>
      <w:lvlJc w:val="left"/>
      <w:pPr>
        <w:ind w:left="2945" w:hanging="360"/>
      </w:pPr>
    </w:lvl>
    <w:lvl w:ilvl="4" w:tplc="34090019" w:tentative="1">
      <w:start w:val="1"/>
      <w:numFmt w:val="lowerLetter"/>
      <w:lvlText w:val="%5."/>
      <w:lvlJc w:val="left"/>
      <w:pPr>
        <w:ind w:left="3665" w:hanging="360"/>
      </w:pPr>
    </w:lvl>
    <w:lvl w:ilvl="5" w:tplc="3409001B" w:tentative="1">
      <w:start w:val="1"/>
      <w:numFmt w:val="lowerRoman"/>
      <w:lvlText w:val="%6."/>
      <w:lvlJc w:val="right"/>
      <w:pPr>
        <w:ind w:left="4385" w:hanging="180"/>
      </w:pPr>
    </w:lvl>
    <w:lvl w:ilvl="6" w:tplc="3409000F" w:tentative="1">
      <w:start w:val="1"/>
      <w:numFmt w:val="decimal"/>
      <w:lvlText w:val="%7."/>
      <w:lvlJc w:val="left"/>
      <w:pPr>
        <w:ind w:left="5105" w:hanging="360"/>
      </w:pPr>
    </w:lvl>
    <w:lvl w:ilvl="7" w:tplc="34090019" w:tentative="1">
      <w:start w:val="1"/>
      <w:numFmt w:val="lowerLetter"/>
      <w:lvlText w:val="%8."/>
      <w:lvlJc w:val="left"/>
      <w:pPr>
        <w:ind w:left="5825" w:hanging="360"/>
      </w:pPr>
    </w:lvl>
    <w:lvl w:ilvl="8" w:tplc="3409001B" w:tentative="1">
      <w:start w:val="1"/>
      <w:numFmt w:val="lowerRoman"/>
      <w:lvlText w:val="%9."/>
      <w:lvlJc w:val="right"/>
      <w:pPr>
        <w:ind w:left="6545" w:hanging="180"/>
      </w:pPr>
    </w:lvl>
  </w:abstractNum>
  <w:abstractNum w:abstractNumId="24">
    <w:nsid w:val="79FB770C"/>
    <w:multiLevelType w:val="hybridMultilevel"/>
    <w:tmpl w:val="C74C46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nsid w:val="7BDF5DA1"/>
    <w:multiLevelType w:val="hybridMultilevel"/>
    <w:tmpl w:val="DD4A0B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2"/>
  </w:num>
  <w:num w:numId="2">
    <w:abstractNumId w:val="15"/>
  </w:num>
  <w:num w:numId="3">
    <w:abstractNumId w:val="7"/>
  </w:num>
  <w:num w:numId="4">
    <w:abstractNumId w:val="8"/>
  </w:num>
  <w:num w:numId="5">
    <w:abstractNumId w:val="6"/>
  </w:num>
  <w:num w:numId="6">
    <w:abstractNumId w:val="25"/>
  </w:num>
  <w:num w:numId="7">
    <w:abstractNumId w:val="5"/>
  </w:num>
  <w:num w:numId="8">
    <w:abstractNumId w:val="11"/>
  </w:num>
  <w:num w:numId="9">
    <w:abstractNumId w:val="12"/>
  </w:num>
  <w:num w:numId="10">
    <w:abstractNumId w:val="14"/>
  </w:num>
  <w:num w:numId="11">
    <w:abstractNumId w:val="23"/>
  </w:num>
  <w:num w:numId="12">
    <w:abstractNumId w:val="21"/>
  </w:num>
  <w:num w:numId="13">
    <w:abstractNumId w:val="24"/>
  </w:num>
  <w:num w:numId="14">
    <w:abstractNumId w:val="16"/>
  </w:num>
  <w:num w:numId="15">
    <w:abstractNumId w:val="17"/>
  </w:num>
  <w:num w:numId="16">
    <w:abstractNumId w:val="1"/>
  </w:num>
  <w:num w:numId="17">
    <w:abstractNumId w:val="18"/>
  </w:num>
  <w:num w:numId="18">
    <w:abstractNumId w:val="2"/>
  </w:num>
  <w:num w:numId="19">
    <w:abstractNumId w:val="13"/>
  </w:num>
  <w:num w:numId="20">
    <w:abstractNumId w:val="0"/>
  </w:num>
  <w:num w:numId="21">
    <w:abstractNumId w:val="19"/>
  </w:num>
  <w:num w:numId="22">
    <w:abstractNumId w:val="20"/>
  </w:num>
  <w:num w:numId="23">
    <w:abstractNumId w:val="10"/>
  </w:num>
  <w:num w:numId="24">
    <w:abstractNumId w:val="3"/>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E6"/>
    <w:rsid w:val="00005F07"/>
    <w:rsid w:val="00024B83"/>
    <w:rsid w:val="00060770"/>
    <w:rsid w:val="0007578D"/>
    <w:rsid w:val="000770AF"/>
    <w:rsid w:val="00077357"/>
    <w:rsid w:val="000849BF"/>
    <w:rsid w:val="000B70DC"/>
    <w:rsid w:val="000C2403"/>
    <w:rsid w:val="000C59FE"/>
    <w:rsid w:val="000E1D9D"/>
    <w:rsid w:val="000E4E9F"/>
    <w:rsid w:val="000F4EC4"/>
    <w:rsid w:val="000F7685"/>
    <w:rsid w:val="00104552"/>
    <w:rsid w:val="00110853"/>
    <w:rsid w:val="00111D36"/>
    <w:rsid w:val="00143CCD"/>
    <w:rsid w:val="00166511"/>
    <w:rsid w:val="00192EF4"/>
    <w:rsid w:val="0019460D"/>
    <w:rsid w:val="001A06B5"/>
    <w:rsid w:val="001B494A"/>
    <w:rsid w:val="001F4533"/>
    <w:rsid w:val="001F5FF7"/>
    <w:rsid w:val="00225549"/>
    <w:rsid w:val="00230942"/>
    <w:rsid w:val="00241B53"/>
    <w:rsid w:val="002455AA"/>
    <w:rsid w:val="00266365"/>
    <w:rsid w:val="002725AB"/>
    <w:rsid w:val="00273F37"/>
    <w:rsid w:val="00283ECE"/>
    <w:rsid w:val="0029230D"/>
    <w:rsid w:val="002B05E8"/>
    <w:rsid w:val="002B1649"/>
    <w:rsid w:val="002B41F0"/>
    <w:rsid w:val="002C1D3C"/>
    <w:rsid w:val="002C347B"/>
    <w:rsid w:val="002E011E"/>
    <w:rsid w:val="002F3275"/>
    <w:rsid w:val="0030593A"/>
    <w:rsid w:val="00306EBC"/>
    <w:rsid w:val="00331250"/>
    <w:rsid w:val="003401DB"/>
    <w:rsid w:val="00342FB7"/>
    <w:rsid w:val="00356E97"/>
    <w:rsid w:val="003645F8"/>
    <w:rsid w:val="003654D5"/>
    <w:rsid w:val="00373DA6"/>
    <w:rsid w:val="003B3D5C"/>
    <w:rsid w:val="003C27EE"/>
    <w:rsid w:val="003E4A37"/>
    <w:rsid w:val="00410F04"/>
    <w:rsid w:val="004255E0"/>
    <w:rsid w:val="00436D60"/>
    <w:rsid w:val="00443E50"/>
    <w:rsid w:val="00450106"/>
    <w:rsid w:val="00453783"/>
    <w:rsid w:val="0046161C"/>
    <w:rsid w:val="00467B5B"/>
    <w:rsid w:val="0049530C"/>
    <w:rsid w:val="004A34CD"/>
    <w:rsid w:val="004C0552"/>
    <w:rsid w:val="004D6815"/>
    <w:rsid w:val="004E7AB1"/>
    <w:rsid w:val="004F1D0A"/>
    <w:rsid w:val="004F60D1"/>
    <w:rsid w:val="005008CF"/>
    <w:rsid w:val="0050338D"/>
    <w:rsid w:val="00524FC0"/>
    <w:rsid w:val="00535A95"/>
    <w:rsid w:val="00546881"/>
    <w:rsid w:val="00562BA0"/>
    <w:rsid w:val="00567919"/>
    <w:rsid w:val="00586F0C"/>
    <w:rsid w:val="005904BB"/>
    <w:rsid w:val="00590843"/>
    <w:rsid w:val="00593ED7"/>
    <w:rsid w:val="005960AF"/>
    <w:rsid w:val="00596E8F"/>
    <w:rsid w:val="005D786A"/>
    <w:rsid w:val="005E5B28"/>
    <w:rsid w:val="00600952"/>
    <w:rsid w:val="00616D9A"/>
    <w:rsid w:val="00627DDF"/>
    <w:rsid w:val="00650B72"/>
    <w:rsid w:val="006518C1"/>
    <w:rsid w:val="006562BF"/>
    <w:rsid w:val="00660415"/>
    <w:rsid w:val="0067463A"/>
    <w:rsid w:val="006809B8"/>
    <w:rsid w:val="00680A8C"/>
    <w:rsid w:val="00680D15"/>
    <w:rsid w:val="006B78D1"/>
    <w:rsid w:val="006D3F52"/>
    <w:rsid w:val="006E5A82"/>
    <w:rsid w:val="006F674A"/>
    <w:rsid w:val="00704B06"/>
    <w:rsid w:val="00705155"/>
    <w:rsid w:val="00707293"/>
    <w:rsid w:val="007143DE"/>
    <w:rsid w:val="00715930"/>
    <w:rsid w:val="00724E39"/>
    <w:rsid w:val="0075035F"/>
    <w:rsid w:val="00772C2F"/>
    <w:rsid w:val="00774393"/>
    <w:rsid w:val="0079516E"/>
    <w:rsid w:val="00796DE6"/>
    <w:rsid w:val="007B292E"/>
    <w:rsid w:val="007B4182"/>
    <w:rsid w:val="007B6667"/>
    <w:rsid w:val="007D4350"/>
    <w:rsid w:val="007D512A"/>
    <w:rsid w:val="007E10D9"/>
    <w:rsid w:val="007E2D57"/>
    <w:rsid w:val="00807CE2"/>
    <w:rsid w:val="00833F42"/>
    <w:rsid w:val="00834980"/>
    <w:rsid w:val="00840386"/>
    <w:rsid w:val="00855B04"/>
    <w:rsid w:val="00865791"/>
    <w:rsid w:val="00886996"/>
    <w:rsid w:val="00886ADB"/>
    <w:rsid w:val="008A3E6D"/>
    <w:rsid w:val="008B6252"/>
    <w:rsid w:val="008F693B"/>
    <w:rsid w:val="00965AF0"/>
    <w:rsid w:val="00974A23"/>
    <w:rsid w:val="00981CEC"/>
    <w:rsid w:val="00982E18"/>
    <w:rsid w:val="009A1210"/>
    <w:rsid w:val="009A4768"/>
    <w:rsid w:val="009A706F"/>
    <w:rsid w:val="009B059E"/>
    <w:rsid w:val="009B295D"/>
    <w:rsid w:val="009C0DD7"/>
    <w:rsid w:val="009E1AF8"/>
    <w:rsid w:val="009F40C6"/>
    <w:rsid w:val="00A064A7"/>
    <w:rsid w:val="00A1055B"/>
    <w:rsid w:val="00A32C71"/>
    <w:rsid w:val="00A45AC8"/>
    <w:rsid w:val="00A46EB6"/>
    <w:rsid w:val="00A530FA"/>
    <w:rsid w:val="00A57420"/>
    <w:rsid w:val="00A679E6"/>
    <w:rsid w:val="00A7215F"/>
    <w:rsid w:val="00A769E9"/>
    <w:rsid w:val="00A90CCF"/>
    <w:rsid w:val="00AB3788"/>
    <w:rsid w:val="00AD0042"/>
    <w:rsid w:val="00AD7406"/>
    <w:rsid w:val="00AE459A"/>
    <w:rsid w:val="00AF5D9D"/>
    <w:rsid w:val="00B24669"/>
    <w:rsid w:val="00B41A73"/>
    <w:rsid w:val="00B46E33"/>
    <w:rsid w:val="00B85400"/>
    <w:rsid w:val="00C00703"/>
    <w:rsid w:val="00C00F8B"/>
    <w:rsid w:val="00C24CDF"/>
    <w:rsid w:val="00C34C4B"/>
    <w:rsid w:val="00C41417"/>
    <w:rsid w:val="00C4642F"/>
    <w:rsid w:val="00C475EC"/>
    <w:rsid w:val="00C556DC"/>
    <w:rsid w:val="00C60F42"/>
    <w:rsid w:val="00C6360D"/>
    <w:rsid w:val="00C71CE4"/>
    <w:rsid w:val="00C775F0"/>
    <w:rsid w:val="00CA713C"/>
    <w:rsid w:val="00CC270F"/>
    <w:rsid w:val="00D13895"/>
    <w:rsid w:val="00D2374E"/>
    <w:rsid w:val="00D42F5D"/>
    <w:rsid w:val="00D57B5A"/>
    <w:rsid w:val="00D6354A"/>
    <w:rsid w:val="00D6568A"/>
    <w:rsid w:val="00D77B41"/>
    <w:rsid w:val="00E03B86"/>
    <w:rsid w:val="00E06204"/>
    <w:rsid w:val="00E266C5"/>
    <w:rsid w:val="00E436A4"/>
    <w:rsid w:val="00E60D99"/>
    <w:rsid w:val="00E915F1"/>
    <w:rsid w:val="00EB2E63"/>
    <w:rsid w:val="00EB6FF1"/>
    <w:rsid w:val="00EE297A"/>
    <w:rsid w:val="00EE6549"/>
    <w:rsid w:val="00EF4FB5"/>
    <w:rsid w:val="00F32379"/>
    <w:rsid w:val="00F34CC0"/>
    <w:rsid w:val="00F35B5B"/>
    <w:rsid w:val="00F73186"/>
    <w:rsid w:val="00F81915"/>
    <w:rsid w:val="00F91117"/>
    <w:rsid w:val="00F913B8"/>
    <w:rsid w:val="00FC05CD"/>
    <w:rsid w:val="00FC654C"/>
    <w:rsid w:val="00FD7DB7"/>
    <w:rsid w:val="00FF64F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9FE"/>
  </w:style>
  <w:style w:type="paragraph" w:styleId="Heading1">
    <w:name w:val="heading 1"/>
    <w:basedOn w:val="Normal"/>
    <w:next w:val="Normal"/>
    <w:link w:val="Heading1Char"/>
    <w:uiPriority w:val="9"/>
    <w:qFormat/>
    <w:rsid w:val="0079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DE6"/>
    <w:rPr>
      <w:rFonts w:eastAsiaTheme="majorEastAsia" w:cstheme="majorBidi"/>
      <w:color w:val="272727" w:themeColor="text1" w:themeTint="D8"/>
    </w:rPr>
  </w:style>
  <w:style w:type="paragraph" w:styleId="Title">
    <w:name w:val="Title"/>
    <w:basedOn w:val="Normal"/>
    <w:next w:val="Normal"/>
    <w:link w:val="TitleChar"/>
    <w:uiPriority w:val="10"/>
    <w:qFormat/>
    <w:rsid w:val="0079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DE6"/>
    <w:pPr>
      <w:spacing w:before="160"/>
      <w:jc w:val="center"/>
    </w:pPr>
    <w:rPr>
      <w:i/>
      <w:iCs/>
      <w:color w:val="404040" w:themeColor="text1" w:themeTint="BF"/>
    </w:rPr>
  </w:style>
  <w:style w:type="character" w:customStyle="1" w:styleId="QuoteChar">
    <w:name w:val="Quote Char"/>
    <w:basedOn w:val="DefaultParagraphFont"/>
    <w:link w:val="Quote"/>
    <w:uiPriority w:val="29"/>
    <w:rsid w:val="00796DE6"/>
    <w:rPr>
      <w:i/>
      <w:iCs/>
      <w:color w:val="404040" w:themeColor="text1" w:themeTint="BF"/>
    </w:rPr>
  </w:style>
  <w:style w:type="paragraph" w:styleId="ListParagraph">
    <w:name w:val="List Paragraph"/>
    <w:basedOn w:val="Normal"/>
    <w:uiPriority w:val="34"/>
    <w:qFormat/>
    <w:rsid w:val="00796DE6"/>
    <w:pPr>
      <w:ind w:left="720"/>
      <w:contextualSpacing/>
    </w:pPr>
  </w:style>
  <w:style w:type="character" w:styleId="IntenseEmphasis">
    <w:name w:val="Intense Emphasis"/>
    <w:basedOn w:val="DefaultParagraphFont"/>
    <w:uiPriority w:val="21"/>
    <w:qFormat/>
    <w:rsid w:val="00796DE6"/>
    <w:rPr>
      <w:i/>
      <w:iCs/>
      <w:color w:val="2F5496" w:themeColor="accent1" w:themeShade="BF"/>
    </w:rPr>
  </w:style>
  <w:style w:type="paragraph" w:styleId="IntenseQuote">
    <w:name w:val="Intense Quote"/>
    <w:basedOn w:val="Normal"/>
    <w:next w:val="Normal"/>
    <w:link w:val="IntenseQuoteChar"/>
    <w:uiPriority w:val="30"/>
    <w:qFormat/>
    <w:rsid w:val="0079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DE6"/>
    <w:rPr>
      <w:i/>
      <w:iCs/>
      <w:color w:val="2F5496" w:themeColor="accent1" w:themeShade="BF"/>
    </w:rPr>
  </w:style>
  <w:style w:type="character" w:styleId="IntenseReference">
    <w:name w:val="Intense Reference"/>
    <w:basedOn w:val="DefaultParagraphFont"/>
    <w:uiPriority w:val="32"/>
    <w:qFormat/>
    <w:rsid w:val="00796DE6"/>
    <w:rPr>
      <w:b/>
      <w:bCs/>
      <w:smallCaps/>
      <w:color w:val="2F5496" w:themeColor="accent1" w:themeShade="BF"/>
      <w:spacing w:val="5"/>
    </w:rPr>
  </w:style>
  <w:style w:type="table" w:styleId="TableGrid">
    <w:name w:val="Table Grid"/>
    <w:basedOn w:val="TableNormal"/>
    <w:uiPriority w:val="39"/>
    <w:rsid w:val="009B059E"/>
    <w:pPr>
      <w:spacing w:after="0" w:line="240" w:lineRule="auto"/>
    </w:pPr>
    <w:rPr>
      <w:rFonts w:ascii="Calibri" w:eastAsia="Calibri" w:hAnsi="Calibri" w:cs="Calibri"/>
      <w:kern w:val="0"/>
      <w:lang w:val="en"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3E6D"/>
    <w:rPr>
      <w:sz w:val="16"/>
      <w:szCs w:val="16"/>
    </w:rPr>
  </w:style>
  <w:style w:type="paragraph" w:styleId="CommentText">
    <w:name w:val="annotation text"/>
    <w:basedOn w:val="Normal"/>
    <w:link w:val="CommentTextChar"/>
    <w:uiPriority w:val="99"/>
    <w:unhideWhenUsed/>
    <w:rsid w:val="008A3E6D"/>
    <w:pPr>
      <w:spacing w:line="240" w:lineRule="auto"/>
    </w:pPr>
    <w:rPr>
      <w:rFonts w:ascii="Calibri" w:eastAsia="Calibri" w:hAnsi="Calibri" w:cs="Calibri"/>
      <w:kern w:val="0"/>
      <w:sz w:val="20"/>
      <w:szCs w:val="20"/>
      <w:lang w:val="en" w:eastAsia="en-PH"/>
      <w14:ligatures w14:val="none"/>
    </w:rPr>
  </w:style>
  <w:style w:type="character" w:customStyle="1" w:styleId="CommentTextChar">
    <w:name w:val="Comment Text Char"/>
    <w:basedOn w:val="DefaultParagraphFont"/>
    <w:link w:val="CommentText"/>
    <w:uiPriority w:val="99"/>
    <w:rsid w:val="008A3E6D"/>
    <w:rPr>
      <w:rFonts w:ascii="Calibri" w:eastAsia="Calibri" w:hAnsi="Calibri" w:cs="Calibri"/>
      <w:kern w:val="0"/>
      <w:sz w:val="20"/>
      <w:szCs w:val="20"/>
      <w:lang w:val="en" w:eastAsia="en-PH"/>
      <w14:ligatures w14:val="none"/>
    </w:rPr>
  </w:style>
  <w:style w:type="table" w:customStyle="1" w:styleId="TableGrid1">
    <w:name w:val="Table Grid1"/>
    <w:basedOn w:val="TableNormal"/>
    <w:next w:val="TableGrid"/>
    <w:uiPriority w:val="39"/>
    <w:qFormat/>
    <w:rsid w:val="00373DA6"/>
    <w:pPr>
      <w:spacing w:after="0" w:line="240" w:lineRule="auto"/>
    </w:pPr>
    <w:rPr>
      <w:rFonts w:eastAsiaTheme="minorEastAsia"/>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62BA0"/>
    <w:pPr>
      <w:spacing w:after="0" w:line="240" w:lineRule="auto"/>
    </w:pPr>
  </w:style>
  <w:style w:type="character" w:customStyle="1" w:styleId="NoSpacingChar">
    <w:name w:val="No Spacing Char"/>
    <w:link w:val="NoSpacing"/>
    <w:uiPriority w:val="1"/>
    <w:rsid w:val="00562BA0"/>
  </w:style>
  <w:style w:type="paragraph" w:styleId="NormalWeb">
    <w:name w:val="Normal (Web)"/>
    <w:basedOn w:val="Normal"/>
    <w:uiPriority w:val="99"/>
    <w:semiHidden/>
    <w:unhideWhenUsed/>
    <w:rsid w:val="003B3D5C"/>
    <w:rPr>
      <w:rFonts w:ascii="Times New Roman" w:hAnsi="Times New Roman" w:cs="Times New Roman"/>
      <w:sz w:val="24"/>
      <w:szCs w:val="24"/>
    </w:rPr>
  </w:style>
  <w:style w:type="character" w:styleId="Hyperlink">
    <w:name w:val="Hyperlink"/>
    <w:basedOn w:val="DefaultParagraphFont"/>
    <w:uiPriority w:val="99"/>
    <w:unhideWhenUsed/>
    <w:rsid w:val="00AE459A"/>
    <w:rPr>
      <w:color w:val="0563C1" w:themeColor="hyperlink"/>
      <w:u w:val="single"/>
    </w:rPr>
  </w:style>
  <w:style w:type="character" w:customStyle="1" w:styleId="UnresolvedMention1">
    <w:name w:val="Unresolved Mention1"/>
    <w:basedOn w:val="DefaultParagraphFont"/>
    <w:uiPriority w:val="99"/>
    <w:semiHidden/>
    <w:unhideWhenUsed/>
    <w:rsid w:val="00AE459A"/>
    <w:rPr>
      <w:color w:val="605E5C"/>
      <w:shd w:val="clear" w:color="auto" w:fill="E1DFDD"/>
    </w:rPr>
  </w:style>
  <w:style w:type="paragraph" w:styleId="BalloonText">
    <w:name w:val="Balloon Text"/>
    <w:basedOn w:val="Normal"/>
    <w:link w:val="BalloonTextChar"/>
    <w:uiPriority w:val="99"/>
    <w:semiHidden/>
    <w:unhideWhenUsed/>
    <w:rsid w:val="0062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3F52"/>
    <w:rPr>
      <w:rFonts w:asciiTheme="minorHAnsi" w:eastAsiaTheme="minorHAnsi" w:hAnsiTheme="minorHAnsi" w:cstheme="minorBidi"/>
      <w:b/>
      <w:bCs/>
      <w:kern w:val="2"/>
      <w:lang w:val="en-PH" w:eastAsia="en-US"/>
      <w14:ligatures w14:val="standardContextual"/>
    </w:rPr>
  </w:style>
  <w:style w:type="character" w:customStyle="1" w:styleId="CommentSubjectChar">
    <w:name w:val="Comment Subject Char"/>
    <w:basedOn w:val="CommentTextChar"/>
    <w:link w:val="CommentSubject"/>
    <w:uiPriority w:val="99"/>
    <w:semiHidden/>
    <w:rsid w:val="006D3F52"/>
    <w:rPr>
      <w:rFonts w:ascii="Calibri" w:eastAsia="Calibri" w:hAnsi="Calibri" w:cs="Calibri"/>
      <w:b/>
      <w:bCs/>
      <w:kern w:val="0"/>
      <w:sz w:val="20"/>
      <w:szCs w:val="20"/>
      <w:lang w:val="en" w:eastAsia="en-PH"/>
      <w14:ligatures w14:val="none"/>
    </w:rPr>
  </w:style>
  <w:style w:type="character" w:customStyle="1" w:styleId="UnresolvedMention2">
    <w:name w:val="Unresolved Mention2"/>
    <w:basedOn w:val="DefaultParagraphFont"/>
    <w:uiPriority w:val="99"/>
    <w:semiHidden/>
    <w:unhideWhenUsed/>
    <w:rsid w:val="003654D5"/>
    <w:rPr>
      <w:color w:val="605E5C"/>
      <w:shd w:val="clear" w:color="auto" w:fill="E1DFDD"/>
    </w:rPr>
  </w:style>
  <w:style w:type="paragraph" w:styleId="Header">
    <w:name w:val="header"/>
    <w:basedOn w:val="Normal"/>
    <w:link w:val="HeaderChar"/>
    <w:uiPriority w:val="99"/>
    <w:unhideWhenUsed/>
    <w:rsid w:val="009A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68"/>
  </w:style>
  <w:style w:type="paragraph" w:styleId="Footer">
    <w:name w:val="footer"/>
    <w:basedOn w:val="Normal"/>
    <w:link w:val="FooterChar"/>
    <w:uiPriority w:val="99"/>
    <w:unhideWhenUsed/>
    <w:rsid w:val="009A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68"/>
  </w:style>
  <w:style w:type="paragraph" w:styleId="Revision">
    <w:name w:val="Revision"/>
    <w:hidden/>
    <w:uiPriority w:val="99"/>
    <w:semiHidden/>
    <w:rsid w:val="00306E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9FE"/>
  </w:style>
  <w:style w:type="paragraph" w:styleId="Heading1">
    <w:name w:val="heading 1"/>
    <w:basedOn w:val="Normal"/>
    <w:next w:val="Normal"/>
    <w:link w:val="Heading1Char"/>
    <w:uiPriority w:val="9"/>
    <w:qFormat/>
    <w:rsid w:val="00796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DE6"/>
    <w:rPr>
      <w:rFonts w:eastAsiaTheme="majorEastAsia" w:cstheme="majorBidi"/>
      <w:color w:val="272727" w:themeColor="text1" w:themeTint="D8"/>
    </w:rPr>
  </w:style>
  <w:style w:type="paragraph" w:styleId="Title">
    <w:name w:val="Title"/>
    <w:basedOn w:val="Normal"/>
    <w:next w:val="Normal"/>
    <w:link w:val="TitleChar"/>
    <w:uiPriority w:val="10"/>
    <w:qFormat/>
    <w:rsid w:val="0079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DE6"/>
    <w:pPr>
      <w:spacing w:before="160"/>
      <w:jc w:val="center"/>
    </w:pPr>
    <w:rPr>
      <w:i/>
      <w:iCs/>
      <w:color w:val="404040" w:themeColor="text1" w:themeTint="BF"/>
    </w:rPr>
  </w:style>
  <w:style w:type="character" w:customStyle="1" w:styleId="QuoteChar">
    <w:name w:val="Quote Char"/>
    <w:basedOn w:val="DefaultParagraphFont"/>
    <w:link w:val="Quote"/>
    <w:uiPriority w:val="29"/>
    <w:rsid w:val="00796DE6"/>
    <w:rPr>
      <w:i/>
      <w:iCs/>
      <w:color w:val="404040" w:themeColor="text1" w:themeTint="BF"/>
    </w:rPr>
  </w:style>
  <w:style w:type="paragraph" w:styleId="ListParagraph">
    <w:name w:val="List Paragraph"/>
    <w:basedOn w:val="Normal"/>
    <w:uiPriority w:val="34"/>
    <w:qFormat/>
    <w:rsid w:val="00796DE6"/>
    <w:pPr>
      <w:ind w:left="720"/>
      <w:contextualSpacing/>
    </w:pPr>
  </w:style>
  <w:style w:type="character" w:styleId="IntenseEmphasis">
    <w:name w:val="Intense Emphasis"/>
    <w:basedOn w:val="DefaultParagraphFont"/>
    <w:uiPriority w:val="21"/>
    <w:qFormat/>
    <w:rsid w:val="00796DE6"/>
    <w:rPr>
      <w:i/>
      <w:iCs/>
      <w:color w:val="2F5496" w:themeColor="accent1" w:themeShade="BF"/>
    </w:rPr>
  </w:style>
  <w:style w:type="paragraph" w:styleId="IntenseQuote">
    <w:name w:val="Intense Quote"/>
    <w:basedOn w:val="Normal"/>
    <w:next w:val="Normal"/>
    <w:link w:val="IntenseQuoteChar"/>
    <w:uiPriority w:val="30"/>
    <w:qFormat/>
    <w:rsid w:val="00796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DE6"/>
    <w:rPr>
      <w:i/>
      <w:iCs/>
      <w:color w:val="2F5496" w:themeColor="accent1" w:themeShade="BF"/>
    </w:rPr>
  </w:style>
  <w:style w:type="character" w:styleId="IntenseReference">
    <w:name w:val="Intense Reference"/>
    <w:basedOn w:val="DefaultParagraphFont"/>
    <w:uiPriority w:val="32"/>
    <w:qFormat/>
    <w:rsid w:val="00796DE6"/>
    <w:rPr>
      <w:b/>
      <w:bCs/>
      <w:smallCaps/>
      <w:color w:val="2F5496" w:themeColor="accent1" w:themeShade="BF"/>
      <w:spacing w:val="5"/>
    </w:rPr>
  </w:style>
  <w:style w:type="table" w:styleId="TableGrid">
    <w:name w:val="Table Grid"/>
    <w:basedOn w:val="TableNormal"/>
    <w:uiPriority w:val="39"/>
    <w:rsid w:val="009B059E"/>
    <w:pPr>
      <w:spacing w:after="0" w:line="240" w:lineRule="auto"/>
    </w:pPr>
    <w:rPr>
      <w:rFonts w:ascii="Calibri" w:eastAsia="Calibri" w:hAnsi="Calibri" w:cs="Calibri"/>
      <w:kern w:val="0"/>
      <w:lang w:val="en"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3E6D"/>
    <w:rPr>
      <w:sz w:val="16"/>
      <w:szCs w:val="16"/>
    </w:rPr>
  </w:style>
  <w:style w:type="paragraph" w:styleId="CommentText">
    <w:name w:val="annotation text"/>
    <w:basedOn w:val="Normal"/>
    <w:link w:val="CommentTextChar"/>
    <w:uiPriority w:val="99"/>
    <w:unhideWhenUsed/>
    <w:rsid w:val="008A3E6D"/>
    <w:pPr>
      <w:spacing w:line="240" w:lineRule="auto"/>
    </w:pPr>
    <w:rPr>
      <w:rFonts w:ascii="Calibri" w:eastAsia="Calibri" w:hAnsi="Calibri" w:cs="Calibri"/>
      <w:kern w:val="0"/>
      <w:sz w:val="20"/>
      <w:szCs w:val="20"/>
      <w:lang w:val="en" w:eastAsia="en-PH"/>
      <w14:ligatures w14:val="none"/>
    </w:rPr>
  </w:style>
  <w:style w:type="character" w:customStyle="1" w:styleId="CommentTextChar">
    <w:name w:val="Comment Text Char"/>
    <w:basedOn w:val="DefaultParagraphFont"/>
    <w:link w:val="CommentText"/>
    <w:uiPriority w:val="99"/>
    <w:rsid w:val="008A3E6D"/>
    <w:rPr>
      <w:rFonts w:ascii="Calibri" w:eastAsia="Calibri" w:hAnsi="Calibri" w:cs="Calibri"/>
      <w:kern w:val="0"/>
      <w:sz w:val="20"/>
      <w:szCs w:val="20"/>
      <w:lang w:val="en" w:eastAsia="en-PH"/>
      <w14:ligatures w14:val="none"/>
    </w:rPr>
  </w:style>
  <w:style w:type="table" w:customStyle="1" w:styleId="TableGrid1">
    <w:name w:val="Table Grid1"/>
    <w:basedOn w:val="TableNormal"/>
    <w:next w:val="TableGrid"/>
    <w:uiPriority w:val="39"/>
    <w:qFormat/>
    <w:rsid w:val="00373DA6"/>
    <w:pPr>
      <w:spacing w:after="0" w:line="240" w:lineRule="auto"/>
    </w:pPr>
    <w:rPr>
      <w:rFonts w:eastAsiaTheme="minorEastAsia"/>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62BA0"/>
    <w:pPr>
      <w:spacing w:after="0" w:line="240" w:lineRule="auto"/>
    </w:pPr>
  </w:style>
  <w:style w:type="character" w:customStyle="1" w:styleId="NoSpacingChar">
    <w:name w:val="No Spacing Char"/>
    <w:link w:val="NoSpacing"/>
    <w:uiPriority w:val="1"/>
    <w:rsid w:val="00562BA0"/>
  </w:style>
  <w:style w:type="paragraph" w:styleId="NormalWeb">
    <w:name w:val="Normal (Web)"/>
    <w:basedOn w:val="Normal"/>
    <w:uiPriority w:val="99"/>
    <w:semiHidden/>
    <w:unhideWhenUsed/>
    <w:rsid w:val="003B3D5C"/>
    <w:rPr>
      <w:rFonts w:ascii="Times New Roman" w:hAnsi="Times New Roman" w:cs="Times New Roman"/>
      <w:sz w:val="24"/>
      <w:szCs w:val="24"/>
    </w:rPr>
  </w:style>
  <w:style w:type="character" w:styleId="Hyperlink">
    <w:name w:val="Hyperlink"/>
    <w:basedOn w:val="DefaultParagraphFont"/>
    <w:uiPriority w:val="99"/>
    <w:unhideWhenUsed/>
    <w:rsid w:val="00AE459A"/>
    <w:rPr>
      <w:color w:val="0563C1" w:themeColor="hyperlink"/>
      <w:u w:val="single"/>
    </w:rPr>
  </w:style>
  <w:style w:type="character" w:customStyle="1" w:styleId="UnresolvedMention1">
    <w:name w:val="Unresolved Mention1"/>
    <w:basedOn w:val="DefaultParagraphFont"/>
    <w:uiPriority w:val="99"/>
    <w:semiHidden/>
    <w:unhideWhenUsed/>
    <w:rsid w:val="00AE459A"/>
    <w:rPr>
      <w:color w:val="605E5C"/>
      <w:shd w:val="clear" w:color="auto" w:fill="E1DFDD"/>
    </w:rPr>
  </w:style>
  <w:style w:type="paragraph" w:styleId="BalloonText">
    <w:name w:val="Balloon Text"/>
    <w:basedOn w:val="Normal"/>
    <w:link w:val="BalloonTextChar"/>
    <w:uiPriority w:val="99"/>
    <w:semiHidden/>
    <w:unhideWhenUsed/>
    <w:rsid w:val="00627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D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3F52"/>
    <w:rPr>
      <w:rFonts w:asciiTheme="minorHAnsi" w:eastAsiaTheme="minorHAnsi" w:hAnsiTheme="minorHAnsi" w:cstheme="minorBidi"/>
      <w:b/>
      <w:bCs/>
      <w:kern w:val="2"/>
      <w:lang w:val="en-PH" w:eastAsia="en-US"/>
      <w14:ligatures w14:val="standardContextual"/>
    </w:rPr>
  </w:style>
  <w:style w:type="character" w:customStyle="1" w:styleId="CommentSubjectChar">
    <w:name w:val="Comment Subject Char"/>
    <w:basedOn w:val="CommentTextChar"/>
    <w:link w:val="CommentSubject"/>
    <w:uiPriority w:val="99"/>
    <w:semiHidden/>
    <w:rsid w:val="006D3F52"/>
    <w:rPr>
      <w:rFonts w:ascii="Calibri" w:eastAsia="Calibri" w:hAnsi="Calibri" w:cs="Calibri"/>
      <w:b/>
      <w:bCs/>
      <w:kern w:val="0"/>
      <w:sz w:val="20"/>
      <w:szCs w:val="20"/>
      <w:lang w:val="en" w:eastAsia="en-PH"/>
      <w14:ligatures w14:val="none"/>
    </w:rPr>
  </w:style>
  <w:style w:type="character" w:customStyle="1" w:styleId="UnresolvedMention2">
    <w:name w:val="Unresolved Mention2"/>
    <w:basedOn w:val="DefaultParagraphFont"/>
    <w:uiPriority w:val="99"/>
    <w:semiHidden/>
    <w:unhideWhenUsed/>
    <w:rsid w:val="003654D5"/>
    <w:rPr>
      <w:color w:val="605E5C"/>
      <w:shd w:val="clear" w:color="auto" w:fill="E1DFDD"/>
    </w:rPr>
  </w:style>
  <w:style w:type="paragraph" w:styleId="Header">
    <w:name w:val="header"/>
    <w:basedOn w:val="Normal"/>
    <w:link w:val="HeaderChar"/>
    <w:uiPriority w:val="99"/>
    <w:unhideWhenUsed/>
    <w:rsid w:val="009A4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768"/>
  </w:style>
  <w:style w:type="paragraph" w:styleId="Footer">
    <w:name w:val="footer"/>
    <w:basedOn w:val="Normal"/>
    <w:link w:val="FooterChar"/>
    <w:uiPriority w:val="99"/>
    <w:unhideWhenUsed/>
    <w:rsid w:val="009A4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768"/>
  </w:style>
  <w:style w:type="paragraph" w:styleId="Revision">
    <w:name w:val="Revision"/>
    <w:hidden/>
    <w:uiPriority w:val="99"/>
    <w:semiHidden/>
    <w:rsid w:val="00306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9741">
      <w:bodyDiv w:val="1"/>
      <w:marLeft w:val="0"/>
      <w:marRight w:val="0"/>
      <w:marTop w:val="0"/>
      <w:marBottom w:val="0"/>
      <w:divBdr>
        <w:top w:val="none" w:sz="0" w:space="0" w:color="auto"/>
        <w:left w:val="none" w:sz="0" w:space="0" w:color="auto"/>
        <w:bottom w:val="none" w:sz="0" w:space="0" w:color="auto"/>
        <w:right w:val="none" w:sz="0" w:space="0" w:color="auto"/>
      </w:divBdr>
      <w:divsChild>
        <w:div w:id="46789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0202">
      <w:bodyDiv w:val="1"/>
      <w:marLeft w:val="0"/>
      <w:marRight w:val="0"/>
      <w:marTop w:val="0"/>
      <w:marBottom w:val="0"/>
      <w:divBdr>
        <w:top w:val="none" w:sz="0" w:space="0" w:color="auto"/>
        <w:left w:val="none" w:sz="0" w:space="0" w:color="auto"/>
        <w:bottom w:val="none" w:sz="0" w:space="0" w:color="auto"/>
        <w:right w:val="none" w:sz="0" w:space="0" w:color="auto"/>
      </w:divBdr>
    </w:div>
    <w:div w:id="149490567">
      <w:bodyDiv w:val="1"/>
      <w:marLeft w:val="0"/>
      <w:marRight w:val="0"/>
      <w:marTop w:val="0"/>
      <w:marBottom w:val="0"/>
      <w:divBdr>
        <w:top w:val="none" w:sz="0" w:space="0" w:color="auto"/>
        <w:left w:val="none" w:sz="0" w:space="0" w:color="auto"/>
        <w:bottom w:val="none" w:sz="0" w:space="0" w:color="auto"/>
        <w:right w:val="none" w:sz="0" w:space="0" w:color="auto"/>
      </w:divBdr>
    </w:div>
    <w:div w:id="244535316">
      <w:bodyDiv w:val="1"/>
      <w:marLeft w:val="0"/>
      <w:marRight w:val="0"/>
      <w:marTop w:val="0"/>
      <w:marBottom w:val="0"/>
      <w:divBdr>
        <w:top w:val="none" w:sz="0" w:space="0" w:color="auto"/>
        <w:left w:val="none" w:sz="0" w:space="0" w:color="auto"/>
        <w:bottom w:val="none" w:sz="0" w:space="0" w:color="auto"/>
        <w:right w:val="none" w:sz="0" w:space="0" w:color="auto"/>
      </w:divBdr>
    </w:div>
    <w:div w:id="246770247">
      <w:bodyDiv w:val="1"/>
      <w:marLeft w:val="0"/>
      <w:marRight w:val="0"/>
      <w:marTop w:val="0"/>
      <w:marBottom w:val="0"/>
      <w:divBdr>
        <w:top w:val="none" w:sz="0" w:space="0" w:color="auto"/>
        <w:left w:val="none" w:sz="0" w:space="0" w:color="auto"/>
        <w:bottom w:val="none" w:sz="0" w:space="0" w:color="auto"/>
        <w:right w:val="none" w:sz="0" w:space="0" w:color="auto"/>
      </w:divBdr>
    </w:div>
    <w:div w:id="331567259">
      <w:bodyDiv w:val="1"/>
      <w:marLeft w:val="0"/>
      <w:marRight w:val="0"/>
      <w:marTop w:val="0"/>
      <w:marBottom w:val="0"/>
      <w:divBdr>
        <w:top w:val="none" w:sz="0" w:space="0" w:color="auto"/>
        <w:left w:val="none" w:sz="0" w:space="0" w:color="auto"/>
        <w:bottom w:val="none" w:sz="0" w:space="0" w:color="auto"/>
        <w:right w:val="none" w:sz="0" w:space="0" w:color="auto"/>
      </w:divBdr>
      <w:divsChild>
        <w:div w:id="899054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345337">
      <w:bodyDiv w:val="1"/>
      <w:marLeft w:val="0"/>
      <w:marRight w:val="0"/>
      <w:marTop w:val="0"/>
      <w:marBottom w:val="0"/>
      <w:divBdr>
        <w:top w:val="none" w:sz="0" w:space="0" w:color="auto"/>
        <w:left w:val="none" w:sz="0" w:space="0" w:color="auto"/>
        <w:bottom w:val="none" w:sz="0" w:space="0" w:color="auto"/>
        <w:right w:val="none" w:sz="0" w:space="0" w:color="auto"/>
      </w:divBdr>
    </w:div>
    <w:div w:id="373694579">
      <w:bodyDiv w:val="1"/>
      <w:marLeft w:val="0"/>
      <w:marRight w:val="0"/>
      <w:marTop w:val="0"/>
      <w:marBottom w:val="0"/>
      <w:divBdr>
        <w:top w:val="none" w:sz="0" w:space="0" w:color="auto"/>
        <w:left w:val="none" w:sz="0" w:space="0" w:color="auto"/>
        <w:bottom w:val="none" w:sz="0" w:space="0" w:color="auto"/>
        <w:right w:val="none" w:sz="0" w:space="0" w:color="auto"/>
      </w:divBdr>
    </w:div>
    <w:div w:id="377365720">
      <w:bodyDiv w:val="1"/>
      <w:marLeft w:val="0"/>
      <w:marRight w:val="0"/>
      <w:marTop w:val="0"/>
      <w:marBottom w:val="0"/>
      <w:divBdr>
        <w:top w:val="none" w:sz="0" w:space="0" w:color="auto"/>
        <w:left w:val="none" w:sz="0" w:space="0" w:color="auto"/>
        <w:bottom w:val="none" w:sz="0" w:space="0" w:color="auto"/>
        <w:right w:val="none" w:sz="0" w:space="0" w:color="auto"/>
      </w:divBdr>
    </w:div>
    <w:div w:id="420414371">
      <w:bodyDiv w:val="1"/>
      <w:marLeft w:val="0"/>
      <w:marRight w:val="0"/>
      <w:marTop w:val="0"/>
      <w:marBottom w:val="0"/>
      <w:divBdr>
        <w:top w:val="none" w:sz="0" w:space="0" w:color="auto"/>
        <w:left w:val="none" w:sz="0" w:space="0" w:color="auto"/>
        <w:bottom w:val="none" w:sz="0" w:space="0" w:color="auto"/>
        <w:right w:val="none" w:sz="0" w:space="0" w:color="auto"/>
      </w:divBdr>
    </w:div>
    <w:div w:id="454756616">
      <w:bodyDiv w:val="1"/>
      <w:marLeft w:val="0"/>
      <w:marRight w:val="0"/>
      <w:marTop w:val="0"/>
      <w:marBottom w:val="0"/>
      <w:divBdr>
        <w:top w:val="none" w:sz="0" w:space="0" w:color="auto"/>
        <w:left w:val="none" w:sz="0" w:space="0" w:color="auto"/>
        <w:bottom w:val="none" w:sz="0" w:space="0" w:color="auto"/>
        <w:right w:val="none" w:sz="0" w:space="0" w:color="auto"/>
      </w:divBdr>
    </w:div>
    <w:div w:id="495460587">
      <w:bodyDiv w:val="1"/>
      <w:marLeft w:val="0"/>
      <w:marRight w:val="0"/>
      <w:marTop w:val="0"/>
      <w:marBottom w:val="0"/>
      <w:divBdr>
        <w:top w:val="none" w:sz="0" w:space="0" w:color="auto"/>
        <w:left w:val="none" w:sz="0" w:space="0" w:color="auto"/>
        <w:bottom w:val="none" w:sz="0" w:space="0" w:color="auto"/>
        <w:right w:val="none" w:sz="0" w:space="0" w:color="auto"/>
      </w:divBdr>
    </w:div>
    <w:div w:id="518474460">
      <w:bodyDiv w:val="1"/>
      <w:marLeft w:val="0"/>
      <w:marRight w:val="0"/>
      <w:marTop w:val="0"/>
      <w:marBottom w:val="0"/>
      <w:divBdr>
        <w:top w:val="none" w:sz="0" w:space="0" w:color="auto"/>
        <w:left w:val="none" w:sz="0" w:space="0" w:color="auto"/>
        <w:bottom w:val="none" w:sz="0" w:space="0" w:color="auto"/>
        <w:right w:val="none" w:sz="0" w:space="0" w:color="auto"/>
      </w:divBdr>
    </w:div>
    <w:div w:id="538736882">
      <w:bodyDiv w:val="1"/>
      <w:marLeft w:val="0"/>
      <w:marRight w:val="0"/>
      <w:marTop w:val="0"/>
      <w:marBottom w:val="0"/>
      <w:divBdr>
        <w:top w:val="none" w:sz="0" w:space="0" w:color="auto"/>
        <w:left w:val="none" w:sz="0" w:space="0" w:color="auto"/>
        <w:bottom w:val="none" w:sz="0" w:space="0" w:color="auto"/>
        <w:right w:val="none" w:sz="0" w:space="0" w:color="auto"/>
      </w:divBdr>
    </w:div>
    <w:div w:id="576213500">
      <w:bodyDiv w:val="1"/>
      <w:marLeft w:val="0"/>
      <w:marRight w:val="0"/>
      <w:marTop w:val="0"/>
      <w:marBottom w:val="0"/>
      <w:divBdr>
        <w:top w:val="none" w:sz="0" w:space="0" w:color="auto"/>
        <w:left w:val="none" w:sz="0" w:space="0" w:color="auto"/>
        <w:bottom w:val="none" w:sz="0" w:space="0" w:color="auto"/>
        <w:right w:val="none" w:sz="0" w:space="0" w:color="auto"/>
      </w:divBdr>
    </w:div>
    <w:div w:id="584998544">
      <w:bodyDiv w:val="1"/>
      <w:marLeft w:val="0"/>
      <w:marRight w:val="0"/>
      <w:marTop w:val="0"/>
      <w:marBottom w:val="0"/>
      <w:divBdr>
        <w:top w:val="none" w:sz="0" w:space="0" w:color="auto"/>
        <w:left w:val="none" w:sz="0" w:space="0" w:color="auto"/>
        <w:bottom w:val="none" w:sz="0" w:space="0" w:color="auto"/>
        <w:right w:val="none" w:sz="0" w:space="0" w:color="auto"/>
      </w:divBdr>
    </w:div>
    <w:div w:id="707224986">
      <w:bodyDiv w:val="1"/>
      <w:marLeft w:val="0"/>
      <w:marRight w:val="0"/>
      <w:marTop w:val="0"/>
      <w:marBottom w:val="0"/>
      <w:divBdr>
        <w:top w:val="none" w:sz="0" w:space="0" w:color="auto"/>
        <w:left w:val="none" w:sz="0" w:space="0" w:color="auto"/>
        <w:bottom w:val="none" w:sz="0" w:space="0" w:color="auto"/>
        <w:right w:val="none" w:sz="0" w:space="0" w:color="auto"/>
      </w:divBdr>
    </w:div>
    <w:div w:id="739593692">
      <w:bodyDiv w:val="1"/>
      <w:marLeft w:val="0"/>
      <w:marRight w:val="0"/>
      <w:marTop w:val="0"/>
      <w:marBottom w:val="0"/>
      <w:divBdr>
        <w:top w:val="none" w:sz="0" w:space="0" w:color="auto"/>
        <w:left w:val="none" w:sz="0" w:space="0" w:color="auto"/>
        <w:bottom w:val="none" w:sz="0" w:space="0" w:color="auto"/>
        <w:right w:val="none" w:sz="0" w:space="0" w:color="auto"/>
      </w:divBdr>
    </w:div>
    <w:div w:id="745147819">
      <w:bodyDiv w:val="1"/>
      <w:marLeft w:val="0"/>
      <w:marRight w:val="0"/>
      <w:marTop w:val="0"/>
      <w:marBottom w:val="0"/>
      <w:divBdr>
        <w:top w:val="none" w:sz="0" w:space="0" w:color="auto"/>
        <w:left w:val="none" w:sz="0" w:space="0" w:color="auto"/>
        <w:bottom w:val="none" w:sz="0" w:space="0" w:color="auto"/>
        <w:right w:val="none" w:sz="0" w:space="0" w:color="auto"/>
      </w:divBdr>
    </w:div>
    <w:div w:id="752165671">
      <w:bodyDiv w:val="1"/>
      <w:marLeft w:val="0"/>
      <w:marRight w:val="0"/>
      <w:marTop w:val="0"/>
      <w:marBottom w:val="0"/>
      <w:divBdr>
        <w:top w:val="none" w:sz="0" w:space="0" w:color="auto"/>
        <w:left w:val="none" w:sz="0" w:space="0" w:color="auto"/>
        <w:bottom w:val="none" w:sz="0" w:space="0" w:color="auto"/>
        <w:right w:val="none" w:sz="0" w:space="0" w:color="auto"/>
      </w:divBdr>
    </w:div>
    <w:div w:id="780078377">
      <w:bodyDiv w:val="1"/>
      <w:marLeft w:val="0"/>
      <w:marRight w:val="0"/>
      <w:marTop w:val="0"/>
      <w:marBottom w:val="0"/>
      <w:divBdr>
        <w:top w:val="none" w:sz="0" w:space="0" w:color="auto"/>
        <w:left w:val="none" w:sz="0" w:space="0" w:color="auto"/>
        <w:bottom w:val="none" w:sz="0" w:space="0" w:color="auto"/>
        <w:right w:val="none" w:sz="0" w:space="0" w:color="auto"/>
      </w:divBdr>
    </w:div>
    <w:div w:id="792098093">
      <w:bodyDiv w:val="1"/>
      <w:marLeft w:val="0"/>
      <w:marRight w:val="0"/>
      <w:marTop w:val="0"/>
      <w:marBottom w:val="0"/>
      <w:divBdr>
        <w:top w:val="none" w:sz="0" w:space="0" w:color="auto"/>
        <w:left w:val="none" w:sz="0" w:space="0" w:color="auto"/>
        <w:bottom w:val="none" w:sz="0" w:space="0" w:color="auto"/>
        <w:right w:val="none" w:sz="0" w:space="0" w:color="auto"/>
      </w:divBdr>
    </w:div>
    <w:div w:id="865292910">
      <w:bodyDiv w:val="1"/>
      <w:marLeft w:val="0"/>
      <w:marRight w:val="0"/>
      <w:marTop w:val="0"/>
      <w:marBottom w:val="0"/>
      <w:divBdr>
        <w:top w:val="none" w:sz="0" w:space="0" w:color="auto"/>
        <w:left w:val="none" w:sz="0" w:space="0" w:color="auto"/>
        <w:bottom w:val="none" w:sz="0" w:space="0" w:color="auto"/>
        <w:right w:val="none" w:sz="0" w:space="0" w:color="auto"/>
      </w:divBdr>
    </w:div>
    <w:div w:id="932516423">
      <w:bodyDiv w:val="1"/>
      <w:marLeft w:val="0"/>
      <w:marRight w:val="0"/>
      <w:marTop w:val="0"/>
      <w:marBottom w:val="0"/>
      <w:divBdr>
        <w:top w:val="none" w:sz="0" w:space="0" w:color="auto"/>
        <w:left w:val="none" w:sz="0" w:space="0" w:color="auto"/>
        <w:bottom w:val="none" w:sz="0" w:space="0" w:color="auto"/>
        <w:right w:val="none" w:sz="0" w:space="0" w:color="auto"/>
      </w:divBdr>
    </w:div>
    <w:div w:id="943653107">
      <w:bodyDiv w:val="1"/>
      <w:marLeft w:val="0"/>
      <w:marRight w:val="0"/>
      <w:marTop w:val="0"/>
      <w:marBottom w:val="0"/>
      <w:divBdr>
        <w:top w:val="none" w:sz="0" w:space="0" w:color="auto"/>
        <w:left w:val="none" w:sz="0" w:space="0" w:color="auto"/>
        <w:bottom w:val="none" w:sz="0" w:space="0" w:color="auto"/>
        <w:right w:val="none" w:sz="0" w:space="0" w:color="auto"/>
      </w:divBdr>
    </w:div>
    <w:div w:id="961499642">
      <w:bodyDiv w:val="1"/>
      <w:marLeft w:val="0"/>
      <w:marRight w:val="0"/>
      <w:marTop w:val="0"/>
      <w:marBottom w:val="0"/>
      <w:divBdr>
        <w:top w:val="none" w:sz="0" w:space="0" w:color="auto"/>
        <w:left w:val="none" w:sz="0" w:space="0" w:color="auto"/>
        <w:bottom w:val="none" w:sz="0" w:space="0" w:color="auto"/>
        <w:right w:val="none" w:sz="0" w:space="0" w:color="auto"/>
      </w:divBdr>
    </w:div>
    <w:div w:id="966279586">
      <w:bodyDiv w:val="1"/>
      <w:marLeft w:val="0"/>
      <w:marRight w:val="0"/>
      <w:marTop w:val="0"/>
      <w:marBottom w:val="0"/>
      <w:divBdr>
        <w:top w:val="none" w:sz="0" w:space="0" w:color="auto"/>
        <w:left w:val="none" w:sz="0" w:space="0" w:color="auto"/>
        <w:bottom w:val="none" w:sz="0" w:space="0" w:color="auto"/>
        <w:right w:val="none" w:sz="0" w:space="0" w:color="auto"/>
      </w:divBdr>
    </w:div>
    <w:div w:id="976842066">
      <w:bodyDiv w:val="1"/>
      <w:marLeft w:val="0"/>
      <w:marRight w:val="0"/>
      <w:marTop w:val="0"/>
      <w:marBottom w:val="0"/>
      <w:divBdr>
        <w:top w:val="none" w:sz="0" w:space="0" w:color="auto"/>
        <w:left w:val="none" w:sz="0" w:space="0" w:color="auto"/>
        <w:bottom w:val="none" w:sz="0" w:space="0" w:color="auto"/>
        <w:right w:val="none" w:sz="0" w:space="0" w:color="auto"/>
      </w:divBdr>
    </w:div>
    <w:div w:id="990209250">
      <w:bodyDiv w:val="1"/>
      <w:marLeft w:val="0"/>
      <w:marRight w:val="0"/>
      <w:marTop w:val="0"/>
      <w:marBottom w:val="0"/>
      <w:divBdr>
        <w:top w:val="none" w:sz="0" w:space="0" w:color="auto"/>
        <w:left w:val="none" w:sz="0" w:space="0" w:color="auto"/>
        <w:bottom w:val="none" w:sz="0" w:space="0" w:color="auto"/>
        <w:right w:val="none" w:sz="0" w:space="0" w:color="auto"/>
      </w:divBdr>
    </w:div>
    <w:div w:id="1089303484">
      <w:bodyDiv w:val="1"/>
      <w:marLeft w:val="0"/>
      <w:marRight w:val="0"/>
      <w:marTop w:val="0"/>
      <w:marBottom w:val="0"/>
      <w:divBdr>
        <w:top w:val="none" w:sz="0" w:space="0" w:color="auto"/>
        <w:left w:val="none" w:sz="0" w:space="0" w:color="auto"/>
        <w:bottom w:val="none" w:sz="0" w:space="0" w:color="auto"/>
        <w:right w:val="none" w:sz="0" w:space="0" w:color="auto"/>
      </w:divBdr>
    </w:div>
    <w:div w:id="1131904348">
      <w:bodyDiv w:val="1"/>
      <w:marLeft w:val="0"/>
      <w:marRight w:val="0"/>
      <w:marTop w:val="0"/>
      <w:marBottom w:val="0"/>
      <w:divBdr>
        <w:top w:val="none" w:sz="0" w:space="0" w:color="auto"/>
        <w:left w:val="none" w:sz="0" w:space="0" w:color="auto"/>
        <w:bottom w:val="none" w:sz="0" w:space="0" w:color="auto"/>
        <w:right w:val="none" w:sz="0" w:space="0" w:color="auto"/>
      </w:divBdr>
    </w:div>
    <w:div w:id="1153989325">
      <w:bodyDiv w:val="1"/>
      <w:marLeft w:val="0"/>
      <w:marRight w:val="0"/>
      <w:marTop w:val="0"/>
      <w:marBottom w:val="0"/>
      <w:divBdr>
        <w:top w:val="none" w:sz="0" w:space="0" w:color="auto"/>
        <w:left w:val="none" w:sz="0" w:space="0" w:color="auto"/>
        <w:bottom w:val="none" w:sz="0" w:space="0" w:color="auto"/>
        <w:right w:val="none" w:sz="0" w:space="0" w:color="auto"/>
      </w:divBdr>
    </w:div>
    <w:div w:id="1161197379">
      <w:bodyDiv w:val="1"/>
      <w:marLeft w:val="0"/>
      <w:marRight w:val="0"/>
      <w:marTop w:val="0"/>
      <w:marBottom w:val="0"/>
      <w:divBdr>
        <w:top w:val="none" w:sz="0" w:space="0" w:color="auto"/>
        <w:left w:val="none" w:sz="0" w:space="0" w:color="auto"/>
        <w:bottom w:val="none" w:sz="0" w:space="0" w:color="auto"/>
        <w:right w:val="none" w:sz="0" w:space="0" w:color="auto"/>
      </w:divBdr>
    </w:div>
    <w:div w:id="1162813360">
      <w:bodyDiv w:val="1"/>
      <w:marLeft w:val="0"/>
      <w:marRight w:val="0"/>
      <w:marTop w:val="0"/>
      <w:marBottom w:val="0"/>
      <w:divBdr>
        <w:top w:val="none" w:sz="0" w:space="0" w:color="auto"/>
        <w:left w:val="none" w:sz="0" w:space="0" w:color="auto"/>
        <w:bottom w:val="none" w:sz="0" w:space="0" w:color="auto"/>
        <w:right w:val="none" w:sz="0" w:space="0" w:color="auto"/>
      </w:divBdr>
    </w:div>
    <w:div w:id="1227297206">
      <w:bodyDiv w:val="1"/>
      <w:marLeft w:val="0"/>
      <w:marRight w:val="0"/>
      <w:marTop w:val="0"/>
      <w:marBottom w:val="0"/>
      <w:divBdr>
        <w:top w:val="none" w:sz="0" w:space="0" w:color="auto"/>
        <w:left w:val="none" w:sz="0" w:space="0" w:color="auto"/>
        <w:bottom w:val="none" w:sz="0" w:space="0" w:color="auto"/>
        <w:right w:val="none" w:sz="0" w:space="0" w:color="auto"/>
      </w:divBdr>
    </w:div>
    <w:div w:id="1230654459">
      <w:bodyDiv w:val="1"/>
      <w:marLeft w:val="0"/>
      <w:marRight w:val="0"/>
      <w:marTop w:val="0"/>
      <w:marBottom w:val="0"/>
      <w:divBdr>
        <w:top w:val="none" w:sz="0" w:space="0" w:color="auto"/>
        <w:left w:val="none" w:sz="0" w:space="0" w:color="auto"/>
        <w:bottom w:val="none" w:sz="0" w:space="0" w:color="auto"/>
        <w:right w:val="none" w:sz="0" w:space="0" w:color="auto"/>
      </w:divBdr>
    </w:div>
    <w:div w:id="1257860355">
      <w:bodyDiv w:val="1"/>
      <w:marLeft w:val="0"/>
      <w:marRight w:val="0"/>
      <w:marTop w:val="0"/>
      <w:marBottom w:val="0"/>
      <w:divBdr>
        <w:top w:val="none" w:sz="0" w:space="0" w:color="auto"/>
        <w:left w:val="none" w:sz="0" w:space="0" w:color="auto"/>
        <w:bottom w:val="none" w:sz="0" w:space="0" w:color="auto"/>
        <w:right w:val="none" w:sz="0" w:space="0" w:color="auto"/>
      </w:divBdr>
      <w:divsChild>
        <w:div w:id="1662465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738905">
      <w:bodyDiv w:val="1"/>
      <w:marLeft w:val="0"/>
      <w:marRight w:val="0"/>
      <w:marTop w:val="0"/>
      <w:marBottom w:val="0"/>
      <w:divBdr>
        <w:top w:val="none" w:sz="0" w:space="0" w:color="auto"/>
        <w:left w:val="none" w:sz="0" w:space="0" w:color="auto"/>
        <w:bottom w:val="none" w:sz="0" w:space="0" w:color="auto"/>
        <w:right w:val="none" w:sz="0" w:space="0" w:color="auto"/>
      </w:divBdr>
    </w:div>
    <w:div w:id="1418404569">
      <w:bodyDiv w:val="1"/>
      <w:marLeft w:val="0"/>
      <w:marRight w:val="0"/>
      <w:marTop w:val="0"/>
      <w:marBottom w:val="0"/>
      <w:divBdr>
        <w:top w:val="none" w:sz="0" w:space="0" w:color="auto"/>
        <w:left w:val="none" w:sz="0" w:space="0" w:color="auto"/>
        <w:bottom w:val="none" w:sz="0" w:space="0" w:color="auto"/>
        <w:right w:val="none" w:sz="0" w:space="0" w:color="auto"/>
      </w:divBdr>
    </w:div>
    <w:div w:id="1428110696">
      <w:bodyDiv w:val="1"/>
      <w:marLeft w:val="0"/>
      <w:marRight w:val="0"/>
      <w:marTop w:val="0"/>
      <w:marBottom w:val="0"/>
      <w:divBdr>
        <w:top w:val="none" w:sz="0" w:space="0" w:color="auto"/>
        <w:left w:val="none" w:sz="0" w:space="0" w:color="auto"/>
        <w:bottom w:val="none" w:sz="0" w:space="0" w:color="auto"/>
        <w:right w:val="none" w:sz="0" w:space="0" w:color="auto"/>
      </w:divBdr>
    </w:div>
    <w:div w:id="1579905486">
      <w:bodyDiv w:val="1"/>
      <w:marLeft w:val="0"/>
      <w:marRight w:val="0"/>
      <w:marTop w:val="0"/>
      <w:marBottom w:val="0"/>
      <w:divBdr>
        <w:top w:val="none" w:sz="0" w:space="0" w:color="auto"/>
        <w:left w:val="none" w:sz="0" w:space="0" w:color="auto"/>
        <w:bottom w:val="none" w:sz="0" w:space="0" w:color="auto"/>
        <w:right w:val="none" w:sz="0" w:space="0" w:color="auto"/>
      </w:divBdr>
    </w:div>
    <w:div w:id="1585728275">
      <w:bodyDiv w:val="1"/>
      <w:marLeft w:val="0"/>
      <w:marRight w:val="0"/>
      <w:marTop w:val="0"/>
      <w:marBottom w:val="0"/>
      <w:divBdr>
        <w:top w:val="none" w:sz="0" w:space="0" w:color="auto"/>
        <w:left w:val="none" w:sz="0" w:space="0" w:color="auto"/>
        <w:bottom w:val="none" w:sz="0" w:space="0" w:color="auto"/>
        <w:right w:val="none" w:sz="0" w:space="0" w:color="auto"/>
      </w:divBdr>
    </w:div>
    <w:div w:id="1601451419">
      <w:bodyDiv w:val="1"/>
      <w:marLeft w:val="0"/>
      <w:marRight w:val="0"/>
      <w:marTop w:val="0"/>
      <w:marBottom w:val="0"/>
      <w:divBdr>
        <w:top w:val="none" w:sz="0" w:space="0" w:color="auto"/>
        <w:left w:val="none" w:sz="0" w:space="0" w:color="auto"/>
        <w:bottom w:val="none" w:sz="0" w:space="0" w:color="auto"/>
        <w:right w:val="none" w:sz="0" w:space="0" w:color="auto"/>
      </w:divBdr>
    </w:div>
    <w:div w:id="1632904817">
      <w:bodyDiv w:val="1"/>
      <w:marLeft w:val="0"/>
      <w:marRight w:val="0"/>
      <w:marTop w:val="0"/>
      <w:marBottom w:val="0"/>
      <w:divBdr>
        <w:top w:val="none" w:sz="0" w:space="0" w:color="auto"/>
        <w:left w:val="none" w:sz="0" w:space="0" w:color="auto"/>
        <w:bottom w:val="none" w:sz="0" w:space="0" w:color="auto"/>
        <w:right w:val="none" w:sz="0" w:space="0" w:color="auto"/>
      </w:divBdr>
    </w:div>
    <w:div w:id="1715958236">
      <w:bodyDiv w:val="1"/>
      <w:marLeft w:val="0"/>
      <w:marRight w:val="0"/>
      <w:marTop w:val="0"/>
      <w:marBottom w:val="0"/>
      <w:divBdr>
        <w:top w:val="none" w:sz="0" w:space="0" w:color="auto"/>
        <w:left w:val="none" w:sz="0" w:space="0" w:color="auto"/>
        <w:bottom w:val="none" w:sz="0" w:space="0" w:color="auto"/>
        <w:right w:val="none" w:sz="0" w:space="0" w:color="auto"/>
      </w:divBdr>
    </w:div>
    <w:div w:id="1766419952">
      <w:bodyDiv w:val="1"/>
      <w:marLeft w:val="0"/>
      <w:marRight w:val="0"/>
      <w:marTop w:val="0"/>
      <w:marBottom w:val="0"/>
      <w:divBdr>
        <w:top w:val="none" w:sz="0" w:space="0" w:color="auto"/>
        <w:left w:val="none" w:sz="0" w:space="0" w:color="auto"/>
        <w:bottom w:val="none" w:sz="0" w:space="0" w:color="auto"/>
        <w:right w:val="none" w:sz="0" w:space="0" w:color="auto"/>
      </w:divBdr>
      <w:divsChild>
        <w:div w:id="21303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8367">
      <w:bodyDiv w:val="1"/>
      <w:marLeft w:val="0"/>
      <w:marRight w:val="0"/>
      <w:marTop w:val="0"/>
      <w:marBottom w:val="0"/>
      <w:divBdr>
        <w:top w:val="none" w:sz="0" w:space="0" w:color="auto"/>
        <w:left w:val="none" w:sz="0" w:space="0" w:color="auto"/>
        <w:bottom w:val="none" w:sz="0" w:space="0" w:color="auto"/>
        <w:right w:val="none" w:sz="0" w:space="0" w:color="auto"/>
      </w:divBdr>
    </w:div>
    <w:div w:id="1843542899">
      <w:bodyDiv w:val="1"/>
      <w:marLeft w:val="0"/>
      <w:marRight w:val="0"/>
      <w:marTop w:val="0"/>
      <w:marBottom w:val="0"/>
      <w:divBdr>
        <w:top w:val="none" w:sz="0" w:space="0" w:color="auto"/>
        <w:left w:val="none" w:sz="0" w:space="0" w:color="auto"/>
        <w:bottom w:val="none" w:sz="0" w:space="0" w:color="auto"/>
        <w:right w:val="none" w:sz="0" w:space="0" w:color="auto"/>
      </w:divBdr>
    </w:div>
    <w:div w:id="1881014357">
      <w:bodyDiv w:val="1"/>
      <w:marLeft w:val="0"/>
      <w:marRight w:val="0"/>
      <w:marTop w:val="0"/>
      <w:marBottom w:val="0"/>
      <w:divBdr>
        <w:top w:val="none" w:sz="0" w:space="0" w:color="auto"/>
        <w:left w:val="none" w:sz="0" w:space="0" w:color="auto"/>
        <w:bottom w:val="none" w:sz="0" w:space="0" w:color="auto"/>
        <w:right w:val="none" w:sz="0" w:space="0" w:color="auto"/>
      </w:divBdr>
    </w:div>
    <w:div w:id="1958100543">
      <w:bodyDiv w:val="1"/>
      <w:marLeft w:val="0"/>
      <w:marRight w:val="0"/>
      <w:marTop w:val="0"/>
      <w:marBottom w:val="0"/>
      <w:divBdr>
        <w:top w:val="none" w:sz="0" w:space="0" w:color="auto"/>
        <w:left w:val="none" w:sz="0" w:space="0" w:color="auto"/>
        <w:bottom w:val="none" w:sz="0" w:space="0" w:color="auto"/>
        <w:right w:val="none" w:sz="0" w:space="0" w:color="auto"/>
      </w:divBdr>
    </w:div>
    <w:div w:id="2039155635">
      <w:bodyDiv w:val="1"/>
      <w:marLeft w:val="0"/>
      <w:marRight w:val="0"/>
      <w:marTop w:val="0"/>
      <w:marBottom w:val="0"/>
      <w:divBdr>
        <w:top w:val="none" w:sz="0" w:space="0" w:color="auto"/>
        <w:left w:val="none" w:sz="0" w:space="0" w:color="auto"/>
        <w:bottom w:val="none" w:sz="0" w:space="0" w:color="auto"/>
        <w:right w:val="none" w:sz="0" w:space="0" w:color="auto"/>
      </w:divBdr>
    </w:div>
    <w:div w:id="2050955300">
      <w:bodyDiv w:val="1"/>
      <w:marLeft w:val="0"/>
      <w:marRight w:val="0"/>
      <w:marTop w:val="0"/>
      <w:marBottom w:val="0"/>
      <w:divBdr>
        <w:top w:val="none" w:sz="0" w:space="0" w:color="auto"/>
        <w:left w:val="none" w:sz="0" w:space="0" w:color="auto"/>
        <w:bottom w:val="none" w:sz="0" w:space="0" w:color="auto"/>
        <w:right w:val="none" w:sz="0" w:space="0" w:color="auto"/>
      </w:divBdr>
    </w:div>
    <w:div w:id="2059089469">
      <w:bodyDiv w:val="1"/>
      <w:marLeft w:val="0"/>
      <w:marRight w:val="0"/>
      <w:marTop w:val="0"/>
      <w:marBottom w:val="0"/>
      <w:divBdr>
        <w:top w:val="none" w:sz="0" w:space="0" w:color="auto"/>
        <w:left w:val="none" w:sz="0" w:space="0" w:color="auto"/>
        <w:bottom w:val="none" w:sz="0" w:space="0" w:color="auto"/>
        <w:right w:val="none" w:sz="0" w:space="0" w:color="auto"/>
      </w:divBdr>
    </w:div>
    <w:div w:id="2080521941">
      <w:bodyDiv w:val="1"/>
      <w:marLeft w:val="0"/>
      <w:marRight w:val="0"/>
      <w:marTop w:val="0"/>
      <w:marBottom w:val="0"/>
      <w:divBdr>
        <w:top w:val="none" w:sz="0" w:space="0" w:color="auto"/>
        <w:left w:val="none" w:sz="0" w:space="0" w:color="auto"/>
        <w:bottom w:val="none" w:sz="0" w:space="0" w:color="auto"/>
        <w:right w:val="none" w:sz="0" w:space="0" w:color="auto"/>
      </w:divBdr>
    </w:div>
    <w:div w:id="2092502506">
      <w:bodyDiv w:val="1"/>
      <w:marLeft w:val="0"/>
      <w:marRight w:val="0"/>
      <w:marTop w:val="0"/>
      <w:marBottom w:val="0"/>
      <w:divBdr>
        <w:top w:val="none" w:sz="0" w:space="0" w:color="auto"/>
        <w:left w:val="none" w:sz="0" w:space="0" w:color="auto"/>
        <w:bottom w:val="none" w:sz="0" w:space="0" w:color="auto"/>
        <w:right w:val="none" w:sz="0" w:space="0" w:color="auto"/>
      </w:divBdr>
    </w:div>
    <w:div w:id="21409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stats.un.org/sdgs/report/20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0022242992056003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539/ijms.v12n2p3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16/j.jretconser.2022.10307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91FA-1722-4EDB-B819-B807DCB3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C. Veloz</dc:creator>
  <cp:keywords/>
  <dc:description/>
  <cp:lastModifiedBy>qwert</cp:lastModifiedBy>
  <cp:revision>11</cp:revision>
  <cp:lastPrinted>2026-03-24T06:10:00Z</cp:lastPrinted>
  <dcterms:created xsi:type="dcterms:W3CDTF">2026-03-24T11:07:00Z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2e7fbcb7-5fc9-45bb-8ed6-28a421e59239</vt:lpwstr>
  </property>
</Properties>
</file>