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F832" w14:textId="77777777" w:rsidR="00A71960" w:rsidRPr="00773C27" w:rsidRDefault="00A71960" w:rsidP="00A71960">
      <w:pPr>
        <w:rPr>
          <w:b/>
          <w:bCs/>
          <w:sz w:val="22"/>
          <w:szCs w:val="22"/>
        </w:rPr>
      </w:pPr>
      <w:r w:rsidRPr="00773C27">
        <w:rPr>
          <w:b/>
          <w:bCs/>
          <w:sz w:val="22"/>
          <w:szCs w:val="22"/>
        </w:rPr>
        <w:t>Abstract</w:t>
      </w:r>
    </w:p>
    <w:p w14:paraId="037A6272" w14:textId="77777777" w:rsidR="00706C15" w:rsidRPr="00706C15" w:rsidRDefault="00706C15" w:rsidP="00706C15">
      <w:pPr>
        <w:rPr>
          <w:sz w:val="22"/>
          <w:szCs w:val="22"/>
        </w:rPr>
      </w:pPr>
      <w:r w:rsidRPr="00706C15">
        <w:rPr>
          <w:sz w:val="22"/>
          <w:szCs w:val="22"/>
        </w:rPr>
        <w:t>Citizen participation has increasingly been recognized as a fundamental component of democratic governance and effective public administration. Contemporary governance reforms emphasize the need for inclusive decision-making processes that allow citizens to engage directly in policy formulation, planning, and oversight of government activities. In decentralized governance systems, local governments are expected to create institutional platforms that enable citizens to contribute to decision-making processes affecting community development. Despite the growing emphasis on participatory governance, concerns persist regarding the extent to which citizen participation effectively improves the quality of decision-making in local government institutions.</w:t>
      </w:r>
      <w:r>
        <w:rPr>
          <w:sz w:val="22"/>
          <w:szCs w:val="22"/>
        </w:rPr>
        <w:t xml:space="preserve"> </w:t>
      </w:r>
      <w:r w:rsidRPr="00706C15">
        <w:rPr>
          <w:sz w:val="22"/>
          <w:szCs w:val="22"/>
        </w:rPr>
        <w:t>This study examined how citizen participation influences the quality of decision-making in local government systems. The study adopted a qualitative research design based on secondary data sources, including academic literature, governance reports, government policy documents, and local governance regulations. Data were collected through document review and literature analysis, while thematic analysis was employed to identify patterns and key themes relating to citizen participation and governance outcomes.</w:t>
      </w:r>
      <w:r>
        <w:rPr>
          <w:sz w:val="22"/>
          <w:szCs w:val="22"/>
        </w:rPr>
        <w:t xml:space="preserve"> </w:t>
      </w:r>
      <w:r w:rsidRPr="00706C15">
        <w:rPr>
          <w:sz w:val="22"/>
          <w:szCs w:val="22"/>
        </w:rPr>
        <w:t>The findings indicate that citizen participation occurs through several mechanisms such as community meetings, participatory budgeting, and public consultations. These mechanisms contribute to improved governance outcomes by enhancing transparency, strengthening accountability, and increasing the responsiveness of local government institutions to community needs. However, the study also identifies several challenges affecting effective participation, including political interference, limited civic awareness, institutional capacity constraints, and elite capture of participatory processes.</w:t>
      </w:r>
      <w:r>
        <w:rPr>
          <w:sz w:val="22"/>
          <w:szCs w:val="22"/>
        </w:rPr>
        <w:t xml:space="preserve"> </w:t>
      </w:r>
      <w:r w:rsidRPr="00706C15">
        <w:rPr>
          <w:sz w:val="22"/>
          <w:szCs w:val="22"/>
        </w:rPr>
        <w:t>The study concludes that strengthening participatory governance mechanisms is essential for improving the quality of decision-making in local governments. It recommends the institutionalization of participatory platforms, expansion of civic education programs, and enhancement of institutional capacity to support meaningful citizen engagement in governance processes.</w:t>
      </w:r>
    </w:p>
    <w:p w14:paraId="091F5F72" w14:textId="77777777" w:rsidR="00706C15" w:rsidRDefault="00706C15" w:rsidP="0015312C">
      <w:pPr>
        <w:rPr>
          <w:b/>
          <w:bCs/>
          <w:sz w:val="22"/>
          <w:szCs w:val="22"/>
        </w:rPr>
      </w:pPr>
    </w:p>
    <w:p w14:paraId="139D5C74" w14:textId="77777777" w:rsidR="00A71960" w:rsidRPr="00773C27" w:rsidRDefault="00A71960" w:rsidP="0015312C">
      <w:pPr>
        <w:rPr>
          <w:sz w:val="22"/>
          <w:szCs w:val="22"/>
        </w:rPr>
      </w:pPr>
      <w:r w:rsidRPr="00773C27">
        <w:rPr>
          <w:b/>
          <w:bCs/>
          <w:sz w:val="22"/>
          <w:szCs w:val="22"/>
        </w:rPr>
        <w:t>Keywords</w:t>
      </w:r>
      <w:r w:rsidR="0015312C">
        <w:rPr>
          <w:b/>
          <w:bCs/>
          <w:sz w:val="22"/>
          <w:szCs w:val="22"/>
        </w:rPr>
        <w:t xml:space="preserve">: </w:t>
      </w:r>
      <w:r w:rsidRPr="00773C27">
        <w:rPr>
          <w:sz w:val="22"/>
          <w:szCs w:val="22"/>
        </w:rPr>
        <w:t>Citizen Participation</w:t>
      </w:r>
      <w:r w:rsidR="0015312C">
        <w:rPr>
          <w:sz w:val="22"/>
          <w:szCs w:val="22"/>
        </w:rPr>
        <w:t xml:space="preserve">, </w:t>
      </w:r>
      <w:r w:rsidRPr="00773C27">
        <w:rPr>
          <w:sz w:val="22"/>
          <w:szCs w:val="22"/>
        </w:rPr>
        <w:t>Local Government</w:t>
      </w:r>
      <w:r w:rsidR="0015312C">
        <w:rPr>
          <w:sz w:val="22"/>
          <w:szCs w:val="22"/>
        </w:rPr>
        <w:t xml:space="preserve">, </w:t>
      </w:r>
      <w:r w:rsidRPr="00773C27">
        <w:rPr>
          <w:sz w:val="22"/>
          <w:szCs w:val="22"/>
        </w:rPr>
        <w:t>Decision-Making</w:t>
      </w:r>
      <w:r w:rsidR="0015312C">
        <w:rPr>
          <w:sz w:val="22"/>
          <w:szCs w:val="22"/>
        </w:rPr>
        <w:t xml:space="preserve">, </w:t>
      </w:r>
      <w:r w:rsidRPr="00773C27">
        <w:rPr>
          <w:sz w:val="22"/>
          <w:szCs w:val="22"/>
        </w:rPr>
        <w:t>Participatory Governance</w:t>
      </w:r>
      <w:r w:rsidR="0015312C">
        <w:rPr>
          <w:sz w:val="22"/>
          <w:szCs w:val="22"/>
        </w:rPr>
        <w:t xml:space="preserve">, </w:t>
      </w:r>
      <w:r w:rsidRPr="00773C27">
        <w:rPr>
          <w:sz w:val="22"/>
          <w:szCs w:val="22"/>
        </w:rPr>
        <w:t>Public Administration</w:t>
      </w:r>
    </w:p>
    <w:p w14:paraId="16F07EEC" w14:textId="77777777" w:rsidR="00A71960" w:rsidRDefault="00A71960" w:rsidP="00A71960">
      <w:pPr>
        <w:rPr>
          <w:sz w:val="22"/>
          <w:szCs w:val="22"/>
        </w:rPr>
      </w:pPr>
    </w:p>
    <w:p w14:paraId="2341E0BA" w14:textId="77777777" w:rsidR="00745F7D" w:rsidRDefault="00745F7D" w:rsidP="00A71960">
      <w:pPr>
        <w:rPr>
          <w:sz w:val="22"/>
          <w:szCs w:val="22"/>
        </w:rPr>
      </w:pPr>
    </w:p>
    <w:p w14:paraId="315713DE" w14:textId="77777777" w:rsidR="00745F7D" w:rsidRDefault="00745F7D" w:rsidP="00A71960">
      <w:pPr>
        <w:rPr>
          <w:sz w:val="22"/>
          <w:szCs w:val="22"/>
        </w:rPr>
      </w:pPr>
    </w:p>
    <w:p w14:paraId="74A1EC62" w14:textId="77777777" w:rsidR="008044E2" w:rsidRDefault="008044E2" w:rsidP="00A71960">
      <w:pPr>
        <w:rPr>
          <w:sz w:val="22"/>
          <w:szCs w:val="22"/>
        </w:rPr>
        <w:sectPr w:rsidR="008044E2" w:rsidSect="008044E2">
          <w:headerReference w:type="even" r:id="rId7"/>
          <w:headerReference w:type="default" r:id="rId8"/>
          <w:footerReference w:type="even" r:id="rId9"/>
          <w:footerReference w:type="default" r:id="rId10"/>
          <w:headerReference w:type="first" r:id="rId11"/>
          <w:footerReference w:type="first" r:id="rId12"/>
          <w:pgSz w:w="12240" w:h="15840"/>
          <w:pgMar w:top="2340" w:right="810" w:bottom="1440" w:left="900" w:header="720" w:footer="720" w:gutter="0"/>
          <w:pgNumType w:fmt="lowerRoman" w:start="1"/>
          <w:cols w:space="720"/>
          <w:docGrid w:linePitch="360"/>
        </w:sectPr>
      </w:pPr>
    </w:p>
    <w:p w14:paraId="02F66969" w14:textId="77777777" w:rsidR="00EF29A8" w:rsidRPr="00773C27" w:rsidRDefault="00EF29A8" w:rsidP="00EF29A8">
      <w:pPr>
        <w:spacing w:line="276" w:lineRule="auto"/>
        <w:rPr>
          <w:b/>
          <w:bCs/>
          <w:sz w:val="22"/>
          <w:szCs w:val="22"/>
        </w:rPr>
      </w:pPr>
      <w:r w:rsidRPr="00773C27">
        <w:rPr>
          <w:b/>
          <w:bCs/>
          <w:sz w:val="22"/>
          <w:szCs w:val="22"/>
        </w:rPr>
        <w:lastRenderedPageBreak/>
        <w:t>Introduction</w:t>
      </w:r>
    </w:p>
    <w:p w14:paraId="423693B9" w14:textId="77777777" w:rsidR="00EF29A8" w:rsidRPr="00773C27" w:rsidRDefault="00EF29A8" w:rsidP="00EF29A8">
      <w:pPr>
        <w:spacing w:line="276" w:lineRule="auto"/>
        <w:rPr>
          <w:sz w:val="22"/>
          <w:szCs w:val="22"/>
        </w:rPr>
      </w:pPr>
      <w:r w:rsidRPr="00773C27">
        <w:rPr>
          <w:sz w:val="22"/>
          <w:szCs w:val="22"/>
        </w:rPr>
        <w:t xml:space="preserve">Over the past three decades, governance systems across the world have increasingly embraced citizen participation as a core principle of democratic governance. The shift toward participatory governance has been influenced by broader reforms aimed at strengthening accountability, transparency, and responsiveness in public administration. In contemporary democratic systems, citizens are no longer regarded merely as passive recipients of government services but as active stakeholders in the formulation and implementation of public policies. Participatory governance has therefore become an essential mechanism through which governments seek to improve legitimacy and enhance the effectiveness of public decision-making processes </w:t>
      </w:r>
      <w:sdt>
        <w:sdtPr>
          <w:rPr>
            <w:color w:val="000000"/>
            <w:sz w:val="22"/>
            <w:szCs w:val="22"/>
          </w:rPr>
          <w:tag w:val="MENDELEY_CITATION_v3_eyJjaXRhdGlvbklEIjoiTUVOREVMRVlfQ0lUQVRJT05fMDliZjhjZGMtNWQ2Ni00ZWJhLWIwNGUtZjk5YmMwYTU0ZTA1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2101753331"/>
          <w:placeholder>
            <w:docPart w:val="DefaultPlaceholder_-1854013440"/>
          </w:placeholder>
        </w:sdtPr>
        <w:sdtContent>
          <w:r w:rsidR="00470019" w:rsidRPr="00470019">
            <w:rPr>
              <w:color w:val="000000"/>
              <w:sz w:val="22"/>
              <w:szCs w:val="22"/>
            </w:rPr>
            <w:t>(Holum, 2023)</w:t>
          </w:r>
        </w:sdtContent>
      </w:sdt>
      <w:r w:rsidRPr="00773C27">
        <w:rPr>
          <w:sz w:val="22"/>
          <w:szCs w:val="22"/>
        </w:rPr>
        <w:t>.</w:t>
      </w:r>
    </w:p>
    <w:p w14:paraId="42CDEAFD" w14:textId="77777777" w:rsidR="00EF29A8" w:rsidRPr="00773C27" w:rsidRDefault="00EF29A8" w:rsidP="00EF29A8">
      <w:pPr>
        <w:spacing w:line="276" w:lineRule="auto"/>
        <w:rPr>
          <w:sz w:val="22"/>
          <w:szCs w:val="22"/>
        </w:rPr>
      </w:pPr>
      <w:r w:rsidRPr="00773C27">
        <w:rPr>
          <w:sz w:val="22"/>
          <w:szCs w:val="22"/>
        </w:rPr>
        <w:t xml:space="preserve">Globally, the promotion of citizen participation has also been reinforced by international development frameworks such as the United Nations Sustainable Development Goals (SDGs). In particular, Sustainable Development Goal 16 emphasizes the need to build inclusive institutions and ensure responsive, participatory, and representative decision-making at all levels of governance </w:t>
      </w:r>
      <w:sdt>
        <w:sdtPr>
          <w:rPr>
            <w:color w:val="000000"/>
            <w:sz w:val="22"/>
            <w:szCs w:val="22"/>
          </w:rPr>
          <w:tag w:val="MENDELEY_CITATION_v3_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"/>
          <w:id w:val="1688876150"/>
          <w:placeholder>
            <w:docPart w:val="DefaultPlaceholder_-1854013440"/>
          </w:placeholder>
        </w:sdtPr>
        <w:sdtContent>
          <w:r w:rsidR="00470019" w:rsidRPr="00470019">
            <w:rPr>
              <w:color w:val="000000"/>
              <w:sz w:val="22"/>
              <w:szCs w:val="22"/>
            </w:rPr>
            <w:t>(United Nations, 2015)</w:t>
          </w:r>
        </w:sdtContent>
      </w:sdt>
      <w:r w:rsidRPr="00773C27">
        <w:rPr>
          <w:sz w:val="22"/>
          <w:szCs w:val="22"/>
        </w:rPr>
        <w:t xml:space="preserve">. Consequently, governments in both developed and developing countries have introduced participatory mechanisms intended to incorporate citizen perspectives into governance processes. These mechanisms include participatory budgeting, community consultations, citizen forums, and digital participation platforms. Empirical studies demonstrate that such participatory approaches can improve policy outcomes by aligning government decisions more closely with community needs and priorities </w:t>
      </w:r>
      <w:sdt>
        <w:sdtPr>
          <w:rPr>
            <w:color w:val="000000"/>
            <w:sz w:val="22"/>
            <w:szCs w:val="22"/>
          </w:rPr>
          <w:tag w:val="MENDELEY_CITATION_v3_eyJjaXRhdGlvbklEIjoiTUVOREVMRVlfQ0lUQVRJT05fYTI1NDM0YTEtYjQ5Yy00NjNlLTg5OWUtMDdkYzI4MmZmODk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724380844"/>
          <w:placeholder>
            <w:docPart w:val="DefaultPlaceholder_-1854013440"/>
          </w:placeholder>
        </w:sdtPr>
        <w:sdtContent>
          <w:r w:rsidR="00470019" w:rsidRPr="00470019">
            <w:rPr>
              <w:color w:val="000000"/>
              <w:sz w:val="22"/>
              <w:szCs w:val="22"/>
            </w:rPr>
            <w:t>(Fung, 2015)</w:t>
          </w:r>
        </w:sdtContent>
      </w:sdt>
      <w:r w:rsidRPr="00773C27">
        <w:rPr>
          <w:sz w:val="22"/>
          <w:szCs w:val="22"/>
        </w:rPr>
        <w:t>.</w:t>
      </w:r>
    </w:p>
    <w:p w14:paraId="70BCC107" w14:textId="77777777" w:rsidR="00EF29A8" w:rsidRPr="00773C27" w:rsidRDefault="00EF29A8" w:rsidP="00EF29A8">
      <w:pPr>
        <w:spacing w:line="276" w:lineRule="auto"/>
        <w:rPr>
          <w:sz w:val="22"/>
          <w:szCs w:val="22"/>
        </w:rPr>
      </w:pPr>
      <w:r w:rsidRPr="00773C27">
        <w:rPr>
          <w:sz w:val="22"/>
          <w:szCs w:val="22"/>
        </w:rPr>
        <w:t>In Africa, the expansion of citizen participation has largely been associated with decentralization reforms that were introduced in many countries during the 1990s and early 2000s</w:t>
      </w:r>
      <w:r w:rsidR="000A701F">
        <w:rPr>
          <w:sz w:val="22"/>
          <w:szCs w:val="22"/>
        </w:rPr>
        <w:t xml:space="preserve"> </w:t>
      </w:r>
      <w:sdt>
        <w:sdtPr>
          <w:rPr>
            <w:color w:val="000000"/>
            <w:sz w:val="22"/>
            <w:szCs w:val="22"/>
          </w:rPr>
          <w:tag w:val="MENDELEY_CITATION_v3_eyJjaXRhdGlvbklEIjoiTUVOREVMRVlfQ0lUQVRJT05fZjJlZmUzNzMtOTk3OS00ZmZhLTk5MTUtMDQ2NTliZDM1NjI2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356690624"/>
          <w:placeholder>
            <w:docPart w:val="DefaultPlaceholder_-1854013440"/>
          </w:placeholder>
        </w:sdtPr>
        <w:sdtContent>
          <w:r w:rsidR="00470019" w:rsidRPr="00470019">
            <w:rPr>
              <w:rFonts w:eastAsia="Times New Roman"/>
              <w:color w:val="000000"/>
              <w:sz w:val="22"/>
            </w:rPr>
            <w:t>(Michels &amp; De Graaf, 2017)</w:t>
          </w:r>
        </w:sdtContent>
      </w:sdt>
      <w:r w:rsidRPr="00773C27">
        <w:rPr>
          <w:sz w:val="22"/>
          <w:szCs w:val="22"/>
        </w:rPr>
        <w:t xml:space="preserve">. These reforms sought to transfer administrative and political authority from central governments to local governments with the expectation that governance closer to the people would enhance citizen engagement and accountability. Decentralization policies in several African countries, including Uganda, Kenya, and South Africa, were therefore designed to promote community involvement in decision-making processes at the local level </w:t>
      </w:r>
      <w:sdt>
        <w:sdtPr>
          <w:rPr>
            <w:color w:val="000000"/>
            <w:sz w:val="22"/>
            <w:szCs w:val="22"/>
          </w:rPr>
          <w:tag w:val="MENDELEY_CITATION_v3_eyJjaXRhdGlvbklEIjoiTUVOREVMRVlfQ0lUQVRJT05fY2Y3M2ZmMmItZGQ1MC00NDBiLThmMTEtN2E3NTE4YjAwMzZk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1910756278"/>
          <w:placeholder>
            <w:docPart w:val="DefaultPlaceholder_-1854013440"/>
          </w:placeholder>
        </w:sdtPr>
        <w:sdtContent>
          <w:r w:rsidR="00470019" w:rsidRPr="00470019">
            <w:rPr>
              <w:color w:val="000000"/>
              <w:sz w:val="22"/>
              <w:szCs w:val="22"/>
            </w:rPr>
            <w:t>(Smoke, 2015)</w:t>
          </w:r>
        </w:sdtContent>
      </w:sdt>
      <w:r w:rsidRPr="00773C27">
        <w:rPr>
          <w:sz w:val="22"/>
          <w:szCs w:val="22"/>
        </w:rPr>
        <w:t xml:space="preserve">. Research within African governance contexts indicates that participatory governance can contribute to improved public service delivery and increased trust in government institutions when effectively implemented </w:t>
      </w:r>
      <w:sdt>
        <w:sdtPr>
          <w:rPr>
            <w:color w:val="000000"/>
            <w:sz w:val="22"/>
            <w:szCs w:val="22"/>
          </w:rPr>
          <w:tag w:val="MENDELEY_CITATION_v3_eyJjaXRhdGlvbklEIjoiTUVOREVMRVlfQ0lUQVRJT05fOWU5Nzc3YzItZWU0Ni00OThlLTg0MTEtZWMwNWRkNGM3NGY3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
          <w:id w:val="1467700928"/>
          <w:placeholder>
            <w:docPart w:val="DefaultPlaceholder_-1854013440"/>
          </w:placeholder>
        </w:sdtPr>
        <w:sdtContent>
          <w:r w:rsidR="00470019" w:rsidRPr="00470019">
            <w:rPr>
              <w:color w:val="000000"/>
              <w:sz w:val="22"/>
              <w:szCs w:val="22"/>
            </w:rPr>
            <w:t>(Speer, 2012)</w:t>
          </w:r>
        </w:sdtContent>
      </w:sdt>
      <w:r w:rsidRPr="00773C27">
        <w:rPr>
          <w:sz w:val="22"/>
          <w:szCs w:val="22"/>
        </w:rPr>
        <w:t>.</w:t>
      </w:r>
    </w:p>
    <w:p w14:paraId="14461093" w14:textId="77777777" w:rsidR="00EF29A8" w:rsidRPr="00773C27" w:rsidRDefault="00EF29A8" w:rsidP="00EF29A8">
      <w:pPr>
        <w:spacing w:line="276" w:lineRule="auto"/>
        <w:rPr>
          <w:sz w:val="22"/>
          <w:szCs w:val="22"/>
        </w:rPr>
      </w:pPr>
      <w:r w:rsidRPr="00773C27">
        <w:rPr>
          <w:sz w:val="22"/>
          <w:szCs w:val="22"/>
        </w:rPr>
        <w:t>In the Ugandan context, citizen participation is embedded within the decentralization framework established under the Local Government Act and related governance reforms</w:t>
      </w:r>
      <w:sdt>
        <w:sdtPr>
          <w:rPr>
            <w:color w:val="000000"/>
            <w:sz w:val="22"/>
            <w:szCs w:val="22"/>
          </w:rPr>
          <w:tag w:val="MENDELEY_CITATION_v3_eyJjaXRhdGlvbklEIjoiTUVOREVMRVlfQ0lUQVRJT05fMzBiNjA2MDMtODIwOC00YjhkLWJlOTYtYTZkOGU2NGM0ZGF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1307744069"/>
          <w:placeholder>
            <w:docPart w:val="DefaultPlaceholder_-1854013440"/>
          </w:placeholder>
        </w:sdtPr>
        <w:sdtContent>
          <w:r w:rsidR="00470019" w:rsidRPr="00470019">
            <w:rPr>
              <w:color w:val="000000"/>
              <w:sz w:val="22"/>
              <w:szCs w:val="22"/>
            </w:rPr>
            <w:t>(Holum, 2023)</w:t>
          </w:r>
        </w:sdtContent>
      </w:sdt>
      <w:r w:rsidRPr="00773C27">
        <w:rPr>
          <w:sz w:val="22"/>
          <w:szCs w:val="22"/>
        </w:rPr>
        <w:t xml:space="preserve">. Uganda’s decentralization policy aimed to empower citizens to participate directly in local governance processes such as planning, budgeting, and monitoring of public service delivery. Scholars have observed that these reforms created institutional platforms through which citizens could engage with local authorities and influence decisions affecting their communities </w:t>
      </w:r>
      <w:sdt>
        <w:sdtPr>
          <w:rPr>
            <w:color w:val="000000"/>
            <w:sz w:val="22"/>
            <w:szCs w:val="22"/>
          </w:rPr>
          <w:tag w:val="MENDELEY_CITATION_v3_eyJjaXRhdGlvbklEIjoiTUVOREVMRVlfQ0lUQVRJT05fMGVjNGE1YTMtMjQ5Yi00MmIzLWJlNjktZjQ2YWI2MmM0MTVm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
          <w:id w:val="-1855653712"/>
          <w:placeholder>
            <w:docPart w:val="DefaultPlaceholder_-1854013440"/>
          </w:placeholder>
        </w:sdtPr>
        <w:sdtContent>
          <w:r w:rsidR="00470019" w:rsidRPr="00470019">
            <w:rPr>
              <w:color w:val="000000"/>
              <w:sz w:val="22"/>
              <w:szCs w:val="22"/>
            </w:rPr>
            <w:t>(</w:t>
          </w:r>
          <w:proofErr w:type="spellStart"/>
          <w:r w:rsidR="00470019" w:rsidRPr="00470019">
            <w:rPr>
              <w:color w:val="000000"/>
              <w:sz w:val="22"/>
              <w:szCs w:val="22"/>
            </w:rPr>
            <w:t>Kakumba</w:t>
          </w:r>
          <w:proofErr w:type="spellEnd"/>
          <w:r w:rsidR="00470019" w:rsidRPr="00470019">
            <w:rPr>
              <w:color w:val="000000"/>
              <w:sz w:val="22"/>
              <w:szCs w:val="22"/>
            </w:rPr>
            <w:t>, 2010)</w:t>
          </w:r>
        </w:sdtContent>
      </w:sdt>
      <w:r w:rsidRPr="00773C27">
        <w:rPr>
          <w:sz w:val="22"/>
          <w:szCs w:val="22"/>
        </w:rPr>
        <w:t>. Despite these policy intentions, however, the extent to which citizen participation effectively influences decision-making processes at the local government level remains an important area of scholarly inquiry</w:t>
      </w:r>
      <w:r w:rsidR="000A701F">
        <w:rPr>
          <w:sz w:val="22"/>
          <w:szCs w:val="22"/>
        </w:rPr>
        <w:t xml:space="preserve"> </w:t>
      </w:r>
      <w:sdt>
        <w:sdtPr>
          <w:rPr>
            <w:color w:val="000000"/>
            <w:sz w:val="22"/>
            <w:szCs w:val="22"/>
          </w:rPr>
          <w:tag w:val="MENDELEY_CITATION_v3_eyJjaXRhdGlvbklEIjoiTUVOREVMRVlfQ0lUQVRJT05fYmI5MTc0OGYtYTBhMC00ZDJiLTkxZDQtNTZiZTQ4YjE4OTU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628156733"/>
          <w:placeholder>
            <w:docPart w:val="DefaultPlaceholder_-1854013440"/>
          </w:placeholder>
        </w:sdtPr>
        <w:sdtContent>
          <w:r w:rsidR="00470019" w:rsidRPr="00470019">
            <w:rPr>
              <w:rFonts w:eastAsia="Times New Roman"/>
              <w:color w:val="000000"/>
              <w:sz w:val="22"/>
            </w:rPr>
            <w:t>(Michels &amp; De Graaf, 2017)</w:t>
          </w:r>
        </w:sdtContent>
      </w:sdt>
      <w:r w:rsidRPr="00773C27">
        <w:rPr>
          <w:sz w:val="22"/>
          <w:szCs w:val="22"/>
        </w:rPr>
        <w:t>.</w:t>
      </w:r>
    </w:p>
    <w:p w14:paraId="5EF68196" w14:textId="77777777" w:rsidR="00EF29A8" w:rsidRPr="00773C27" w:rsidRDefault="00EF29A8" w:rsidP="00EF29A8">
      <w:pPr>
        <w:spacing w:line="276" w:lineRule="auto"/>
        <w:rPr>
          <w:sz w:val="22"/>
          <w:szCs w:val="22"/>
        </w:rPr>
      </w:pPr>
      <w:r w:rsidRPr="00773C27">
        <w:rPr>
          <w:sz w:val="22"/>
          <w:szCs w:val="22"/>
        </w:rPr>
        <w:t>Citizen participation is widely recognized as a fundamental component of effective local governance</w:t>
      </w:r>
      <w:r w:rsidR="000A701F">
        <w:rPr>
          <w:sz w:val="22"/>
          <w:szCs w:val="22"/>
        </w:rPr>
        <w:t xml:space="preserve"> </w:t>
      </w:r>
      <w:sdt>
        <w:sdtPr>
          <w:rPr>
            <w:color w:val="000000"/>
            <w:sz w:val="22"/>
            <w:szCs w:val="22"/>
          </w:rPr>
          <w:tag w:val="MENDELEY_CITATION_v3_eyJjaXRhdGlvbklEIjoiTUVOREVMRVlfQ0lUQVRJT05fMmIyMzdkM2YtZGVkZC00ODNlLThjNDMtNjdjZmQzYTA0YTc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887556770"/>
          <w:placeholder>
            <w:docPart w:val="DefaultPlaceholder_-1854013440"/>
          </w:placeholder>
        </w:sdtPr>
        <w:sdtContent>
          <w:r w:rsidR="00470019" w:rsidRPr="00470019">
            <w:rPr>
              <w:color w:val="000000"/>
              <w:sz w:val="22"/>
              <w:szCs w:val="22"/>
            </w:rPr>
            <w:t>(Fung, 2015)</w:t>
          </w:r>
        </w:sdtContent>
      </w:sdt>
      <w:r w:rsidRPr="00773C27">
        <w:rPr>
          <w:sz w:val="22"/>
          <w:szCs w:val="22"/>
        </w:rPr>
        <w:t>. Local governments operate closest to communities and are therefore expected to provide opportunities for citizens to contribute to decisions affecting local development priorities</w:t>
      </w:r>
      <w:r w:rsidR="000A701F">
        <w:rPr>
          <w:sz w:val="22"/>
          <w:szCs w:val="22"/>
        </w:rPr>
        <w:t xml:space="preserve"> </w:t>
      </w:r>
      <w:sdt>
        <w:sdtPr>
          <w:rPr>
            <w:color w:val="000000"/>
            <w:sz w:val="22"/>
            <w:szCs w:val="22"/>
          </w:rPr>
          <w:tag w:val="MENDELEY_CITATION_v3_eyJjaXRhdGlvbklEIjoiTUVOREVMRVlfQ0lUQVRJT05fMjFjNTBlYzQtMzQ2Ni00NTI2LWEyYzQtYTYzZGIxMzExNjE0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
          <w:id w:val="719019921"/>
          <w:placeholder>
            <w:docPart w:val="DefaultPlaceholder_-1854013440"/>
          </w:placeholder>
        </w:sdtPr>
        <w:sdtContent>
          <w:r w:rsidR="00470019" w:rsidRPr="00470019">
            <w:rPr>
              <w:color w:val="000000"/>
              <w:sz w:val="22"/>
              <w:szCs w:val="22"/>
            </w:rPr>
            <w:t>(Mwesigwa et al., 2022)</w:t>
          </w:r>
        </w:sdtContent>
      </w:sdt>
      <w:r w:rsidRPr="00773C27">
        <w:rPr>
          <w:sz w:val="22"/>
          <w:szCs w:val="22"/>
        </w:rPr>
        <w:t xml:space="preserve">. Participation at this level enables governments to incorporate local knowledge, identify community needs, and improve the relevance and legitimacy of policy decisions </w:t>
      </w:r>
      <w:sdt>
        <w:sdtPr>
          <w:rPr>
            <w:color w:val="000000"/>
            <w:sz w:val="22"/>
            <w:szCs w:val="22"/>
          </w:rPr>
          <w:tag w:val="MENDELEY_CITATION_v3_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"/>
          <w:id w:val="-137651830"/>
          <w:placeholder>
            <w:docPart w:val="DefaultPlaceholder_-1854013440"/>
          </w:placeholder>
        </w:sdtPr>
        <w:sdtContent>
          <w:r w:rsidR="00470019" w:rsidRPr="00470019">
            <w:rPr>
              <w:color w:val="000000"/>
              <w:sz w:val="22"/>
              <w:szCs w:val="22"/>
            </w:rPr>
            <w:t>(Ishii, 2017)</w:t>
          </w:r>
        </w:sdtContent>
      </w:sdt>
      <w:r w:rsidRPr="00773C27">
        <w:rPr>
          <w:sz w:val="22"/>
          <w:szCs w:val="22"/>
        </w:rPr>
        <w:t>. When citizens are involved in decision-making processes, public institutions are more likely to design policies and programs that address real community concerns</w:t>
      </w:r>
      <w:r w:rsidR="000A701F">
        <w:rPr>
          <w:sz w:val="22"/>
          <w:szCs w:val="22"/>
        </w:rPr>
        <w:t xml:space="preserve"> </w:t>
      </w:r>
      <w:sdt>
        <w:sdtPr>
          <w:rPr>
            <w:color w:val="000000"/>
            <w:sz w:val="22"/>
            <w:szCs w:val="22"/>
          </w:rPr>
          <w:tag w:val="MENDELEY_CITATION_v3_eyJjaXRhdGlvbklEIjoiTUVOREVMRVlfQ0lUQVRJT05fMDU0ZTBiNjctOGM3Yi00NzZiLTgwNTAtMzYwMmNlZGZhZDMy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
          <w:id w:val="-1408840172"/>
          <w:placeholder>
            <w:docPart w:val="DefaultPlaceholder_-1854013440"/>
          </w:placeholder>
        </w:sdtPr>
        <w:sdtContent>
          <w:r w:rsidR="00470019" w:rsidRPr="00470019">
            <w:rPr>
              <w:color w:val="000000"/>
              <w:sz w:val="22"/>
              <w:szCs w:val="22"/>
            </w:rPr>
            <w:t>(Mwesigwa et al., 2022)</w:t>
          </w:r>
        </w:sdtContent>
      </w:sdt>
      <w:r w:rsidRPr="00773C27">
        <w:rPr>
          <w:sz w:val="22"/>
          <w:szCs w:val="22"/>
        </w:rPr>
        <w:t>.</w:t>
      </w:r>
    </w:p>
    <w:p w14:paraId="31D63B73" w14:textId="77777777" w:rsidR="00EF29A8" w:rsidRPr="00773C27" w:rsidRDefault="00EF29A8" w:rsidP="00EF29A8">
      <w:pPr>
        <w:spacing w:line="276" w:lineRule="auto"/>
        <w:rPr>
          <w:sz w:val="22"/>
          <w:szCs w:val="22"/>
        </w:rPr>
      </w:pPr>
      <w:r w:rsidRPr="00773C27">
        <w:rPr>
          <w:sz w:val="22"/>
          <w:szCs w:val="22"/>
        </w:rPr>
        <w:lastRenderedPageBreak/>
        <w:t>One of the most common avenues for citizen participation in local governance is the organization of public meetings. Public meetings provide platforms where local residents can interact directly with elected leaders and administrative officials to discuss development priorities and evaluate government performance</w:t>
      </w:r>
      <w:r w:rsidR="000A701F">
        <w:rPr>
          <w:sz w:val="22"/>
          <w:szCs w:val="22"/>
        </w:rPr>
        <w:t xml:space="preserve"> </w:t>
      </w:r>
      <w:sdt>
        <w:sdtPr>
          <w:rPr>
            <w:color w:val="000000"/>
            <w:sz w:val="22"/>
            <w:szCs w:val="22"/>
          </w:rPr>
          <w:tag w:val="MENDELEY_CITATION_v3_eyJjaXRhdGlvbklEIjoiTUVOREVMRVlfQ0lUQVRJT05fMWQ5NDA3MmItZjdmOC00MzdiLWI5NDYtYTY2YTI0Y2U0ZjJi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
          <w:id w:val="1100837430"/>
          <w:placeholder>
            <w:docPart w:val="DefaultPlaceholder_-1854013440"/>
          </w:placeholder>
        </w:sdtPr>
        <w:sdtContent>
          <w:r w:rsidR="00470019" w:rsidRPr="00470019">
            <w:rPr>
              <w:color w:val="000000"/>
              <w:sz w:val="22"/>
              <w:szCs w:val="22"/>
            </w:rPr>
            <w:t>(</w:t>
          </w:r>
          <w:proofErr w:type="spellStart"/>
          <w:r w:rsidR="00470019" w:rsidRPr="00470019">
            <w:rPr>
              <w:color w:val="000000"/>
              <w:sz w:val="22"/>
              <w:szCs w:val="22"/>
            </w:rPr>
            <w:t>Kakumba</w:t>
          </w:r>
          <w:proofErr w:type="spellEnd"/>
          <w:r w:rsidR="00470019" w:rsidRPr="00470019">
            <w:rPr>
              <w:color w:val="000000"/>
              <w:sz w:val="22"/>
              <w:szCs w:val="22"/>
            </w:rPr>
            <w:t>, 2010)</w:t>
          </w:r>
        </w:sdtContent>
      </w:sdt>
      <w:r w:rsidRPr="00773C27">
        <w:rPr>
          <w:sz w:val="22"/>
          <w:szCs w:val="22"/>
        </w:rPr>
        <w:t xml:space="preserve">. Such forums are widely used in participatory governance systems to facilitate dialogue between government officials and citizens. Studies have shown that public meetings enhance transparency and provide citizens with opportunities to influence policy decisions and resource allocation at the local level </w:t>
      </w:r>
      <w:sdt>
        <w:sdtPr>
          <w:rPr>
            <w:color w:val="000000"/>
            <w:sz w:val="22"/>
            <w:szCs w:val="22"/>
          </w:rPr>
          <w:tag w:val="MENDELEY_CITATION_v3_eyJjaXRhdGlvbklEIjoiTUVOREVMRVlfQ0lUQVRJT05fNjRmNzc0YzctNWNlZi00YzYwLTkxZTgtOGVlMTY1ZGQzYTFi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
          <w:id w:val="-732851595"/>
          <w:placeholder>
            <w:docPart w:val="DefaultPlaceholder_-1854013440"/>
          </w:placeholder>
        </w:sdtPr>
        <w:sdtContent>
          <w:r w:rsidR="00470019" w:rsidRPr="00470019">
            <w:rPr>
              <w:color w:val="000000"/>
              <w:sz w:val="22"/>
              <w:szCs w:val="22"/>
            </w:rPr>
            <w:t>(Speer, 2012)</w:t>
          </w:r>
        </w:sdtContent>
      </w:sdt>
      <w:r w:rsidRPr="00773C27">
        <w:rPr>
          <w:sz w:val="22"/>
          <w:szCs w:val="22"/>
        </w:rPr>
        <w:t>.</w:t>
      </w:r>
    </w:p>
    <w:p w14:paraId="02B36A19" w14:textId="77777777" w:rsidR="00EF29A8" w:rsidRPr="00773C27" w:rsidRDefault="00EF29A8" w:rsidP="00EF29A8">
      <w:pPr>
        <w:spacing w:line="276" w:lineRule="auto"/>
        <w:rPr>
          <w:sz w:val="22"/>
          <w:szCs w:val="22"/>
        </w:rPr>
      </w:pPr>
      <w:r w:rsidRPr="00773C27">
        <w:rPr>
          <w:sz w:val="22"/>
          <w:szCs w:val="22"/>
        </w:rPr>
        <w:t xml:space="preserve">Community consultations represent another important mechanism through which citizens participate in local governance. Consultative processes often occur during planning and policy formulation stages where local authorities seek input from community members regarding development priorities. These consultations may take the form of stakeholder meetings, focus group discussions, or village assemblies designed to gather citizen perspectives on proposed policies or projects </w:t>
      </w:r>
      <w:sdt>
        <w:sdtPr>
          <w:rPr>
            <w:color w:val="000000"/>
            <w:sz w:val="22"/>
            <w:szCs w:val="22"/>
          </w:rPr>
          <w:tag w:val="MENDELEY_CITATION_v3_eyJjaXRhdGlvbklEIjoiTUVOREVMRVlfQ0lUQVRJT05fNzM3ZGYzNWEtNjc0NS00ZTBhLTlkYzAtZjU4ZDZiZjI1M2Ri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393580193"/>
          <w:placeholder>
            <w:docPart w:val="DefaultPlaceholder_-1854013440"/>
          </w:placeholder>
        </w:sdtPr>
        <w:sdtContent>
          <w:r w:rsidR="00470019" w:rsidRPr="00470019">
            <w:rPr>
              <w:color w:val="000000"/>
              <w:sz w:val="22"/>
              <w:szCs w:val="22"/>
            </w:rPr>
            <w:t>(Holum, 2023)</w:t>
          </w:r>
        </w:sdtContent>
      </w:sdt>
      <w:r w:rsidRPr="00773C27">
        <w:rPr>
          <w:sz w:val="22"/>
          <w:szCs w:val="22"/>
        </w:rPr>
        <w:t>. By incorporating citizen feedback into planning processes, local governments are able to develop policies that are more responsive to community needs.</w:t>
      </w:r>
    </w:p>
    <w:p w14:paraId="37F9E0DA" w14:textId="77777777" w:rsidR="00EF29A8" w:rsidRPr="00773C27" w:rsidRDefault="00EF29A8" w:rsidP="00EF29A8">
      <w:pPr>
        <w:spacing w:line="276" w:lineRule="auto"/>
        <w:rPr>
          <w:sz w:val="22"/>
          <w:szCs w:val="22"/>
        </w:rPr>
      </w:pPr>
      <w:r w:rsidRPr="00773C27">
        <w:rPr>
          <w:sz w:val="22"/>
          <w:szCs w:val="22"/>
        </w:rPr>
        <w:t>Participatory planning is also widely recognized as a key component of democratic local governance. Participatory planning involves engaging citizens in the identification, prioritization, and implementation of development projects</w:t>
      </w:r>
      <w:r w:rsidR="000A701F">
        <w:rPr>
          <w:sz w:val="22"/>
          <w:szCs w:val="22"/>
        </w:rPr>
        <w:t xml:space="preserve"> </w:t>
      </w:r>
      <w:sdt>
        <w:sdtPr>
          <w:rPr>
            <w:color w:val="000000"/>
            <w:sz w:val="22"/>
            <w:szCs w:val="22"/>
          </w:rPr>
          <w:tag w:val="MENDELEY_CITATION_v3_eyJjaXRhdGlvbklEIjoiTUVOREVMRVlfQ0lUQVRJT05fODM2NzdlNGMtMTZhNy00NTA3LWIwZjgtNDIxMDQyY2YzNWVl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1765670457"/>
          <w:placeholder>
            <w:docPart w:val="DefaultPlaceholder_-1854013440"/>
          </w:placeholder>
        </w:sdtPr>
        <w:sdtContent>
          <w:r w:rsidR="00470019" w:rsidRPr="00470019">
            <w:rPr>
              <w:color w:val="000000"/>
              <w:sz w:val="22"/>
              <w:szCs w:val="22"/>
            </w:rPr>
            <w:t>(Pateman, 2012)</w:t>
          </w:r>
        </w:sdtContent>
      </w:sdt>
      <w:r w:rsidRPr="00773C27">
        <w:rPr>
          <w:sz w:val="22"/>
          <w:szCs w:val="22"/>
        </w:rPr>
        <w:t>. In many decentralized governance systems, local governments are required to conduct participatory planning sessions in which citizens contribute to the development of local development plans</w:t>
      </w:r>
      <w:r w:rsidR="000A701F">
        <w:rPr>
          <w:sz w:val="22"/>
          <w:szCs w:val="22"/>
        </w:rPr>
        <w:t xml:space="preserve"> </w:t>
      </w:r>
      <w:sdt>
        <w:sdtPr>
          <w:rPr>
            <w:color w:val="000000"/>
            <w:sz w:val="22"/>
            <w:szCs w:val="22"/>
          </w:rPr>
          <w:tag w:val="MENDELEY_CITATION_v3_eyJjaXRhdGlvbklEIjoiTUVOREVMRVlfQ0lUQVRJT05fNjQ3ZDA3YWYtNDBiNi00NDM2LTg5NDUtOTgzZmFmZmM5YmIz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726878441"/>
          <w:placeholder>
            <w:docPart w:val="DefaultPlaceholder_-1854013440"/>
          </w:placeholder>
        </w:sdtPr>
        <w:sdtContent>
          <w:r w:rsidR="00470019" w:rsidRPr="00470019">
            <w:rPr>
              <w:color w:val="000000"/>
              <w:sz w:val="22"/>
              <w:szCs w:val="22"/>
            </w:rPr>
            <w:t>(Wampler et al., 2021)</w:t>
          </w:r>
        </w:sdtContent>
      </w:sdt>
      <w:r w:rsidRPr="00773C27">
        <w:rPr>
          <w:sz w:val="22"/>
          <w:szCs w:val="22"/>
        </w:rPr>
        <w:t xml:space="preserve">. Such processes enhance accountability by ensuring that public resources are allocated in ways that reflect community priorities </w:t>
      </w:r>
      <w:sdt>
        <w:sdtPr>
          <w:rPr>
            <w:color w:val="000000"/>
            <w:sz w:val="22"/>
            <w:szCs w:val="22"/>
          </w:rPr>
          <w:tag w:val="MENDELEY_CITATION_v3_eyJjaXRhdGlvbklEIjoiTUVOREVMRVlfQ0lUQVRJT05fNzI4YmY0ZjItOWE1Ny00N2ZhLThkMWQtZDdmMDUxMGVlOGQ3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932118356"/>
          <w:placeholder>
            <w:docPart w:val="DefaultPlaceholder_-1854013440"/>
          </w:placeholder>
        </w:sdtPr>
        <w:sdtContent>
          <w:r w:rsidR="00470019" w:rsidRPr="00470019">
            <w:rPr>
              <w:color w:val="000000"/>
              <w:sz w:val="22"/>
              <w:szCs w:val="22"/>
            </w:rPr>
            <w:t>(Smoke, 2015)</w:t>
          </w:r>
        </w:sdtContent>
      </w:sdt>
      <w:r w:rsidRPr="00773C27">
        <w:rPr>
          <w:sz w:val="22"/>
          <w:szCs w:val="22"/>
        </w:rPr>
        <w:t>.</w:t>
      </w:r>
    </w:p>
    <w:p w14:paraId="0833E5A4" w14:textId="77777777" w:rsidR="00EF29A8" w:rsidRDefault="00EF29A8" w:rsidP="00EF29A8">
      <w:pPr>
        <w:spacing w:line="276" w:lineRule="auto"/>
        <w:rPr>
          <w:sz w:val="22"/>
          <w:szCs w:val="22"/>
        </w:rPr>
      </w:pPr>
      <w:r w:rsidRPr="00773C27">
        <w:rPr>
          <w:sz w:val="22"/>
          <w:szCs w:val="22"/>
        </w:rPr>
        <w:t>Local councils similarly play an important role in facilitating citizen participation in decision-making processes. Councils act as institutional platforms through which community representatives deliberate on policy issues and approve local development initiatives</w:t>
      </w:r>
      <w:r w:rsidR="000A701F">
        <w:rPr>
          <w:sz w:val="22"/>
          <w:szCs w:val="22"/>
        </w:rPr>
        <w:t xml:space="preserve"> </w:t>
      </w:r>
      <w:sdt>
        <w:sdtPr>
          <w:rPr>
            <w:color w:val="000000"/>
            <w:sz w:val="22"/>
            <w:szCs w:val="22"/>
          </w:rPr>
          <w:tag w:val="MENDELEY_CITATION_v3_eyJjaXRhdGlvbklEIjoiTUVOREVMRVlfQ0lUQVRJT05fZmI0MzVlZGItM2RlMS00ZjBlLWJkZTktNTM5YjczNzM0MWI4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275070504"/>
          <w:placeholder>
            <w:docPart w:val="DefaultPlaceholder_-1854013440"/>
          </w:placeholder>
        </w:sdtPr>
        <w:sdtContent>
          <w:r w:rsidR="00470019" w:rsidRPr="00470019">
            <w:rPr>
              <w:rFonts w:eastAsia="Times New Roman"/>
              <w:color w:val="000000"/>
              <w:sz w:val="22"/>
            </w:rPr>
            <w:t>(Quick &amp; Bryson, 2022)</w:t>
          </w:r>
        </w:sdtContent>
      </w:sdt>
      <w:r w:rsidRPr="00773C27">
        <w:rPr>
          <w:sz w:val="22"/>
          <w:szCs w:val="22"/>
        </w:rPr>
        <w:t xml:space="preserve">. Through these structures, citizens are able to express their views, influence policy decisions, and hold local leaders accountable for governance outcomes. Research indicates that strong participatory institutions within local councils can significantly improve the quality and legitimacy of local government decisions </w:t>
      </w:r>
      <w:sdt>
        <w:sdtPr>
          <w:rPr>
            <w:color w:val="000000"/>
            <w:sz w:val="22"/>
            <w:szCs w:val="22"/>
          </w:rPr>
          <w:tag w:val="MENDELEY_CITATION_v3_eyJjaXRhdGlvbklEIjoiTUVOREVMRVlfQ0lUQVRJT05fNzNkZmE0ZGItYjg3YS00MWIwLTg0MGQtMGFkOTRiN2E1NDU2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
          <w:id w:val="-193312462"/>
          <w:placeholder>
            <w:docPart w:val="DefaultPlaceholder_-1854013440"/>
          </w:placeholder>
        </w:sdtPr>
        <w:sdtContent>
          <w:r w:rsidR="00470019" w:rsidRPr="00470019">
            <w:rPr>
              <w:color w:val="000000"/>
              <w:sz w:val="22"/>
              <w:szCs w:val="22"/>
            </w:rPr>
            <w:t>(</w:t>
          </w:r>
          <w:proofErr w:type="spellStart"/>
          <w:r w:rsidR="00470019" w:rsidRPr="00470019">
            <w:rPr>
              <w:color w:val="000000"/>
              <w:sz w:val="22"/>
              <w:szCs w:val="22"/>
            </w:rPr>
            <w:t>Kakumba</w:t>
          </w:r>
          <w:proofErr w:type="spellEnd"/>
          <w:r w:rsidR="00470019" w:rsidRPr="00470019">
            <w:rPr>
              <w:color w:val="000000"/>
              <w:sz w:val="22"/>
              <w:szCs w:val="22"/>
            </w:rPr>
            <w:t>, 2010)</w:t>
          </w:r>
        </w:sdtContent>
      </w:sdt>
      <w:r w:rsidRPr="00773C27">
        <w:rPr>
          <w:sz w:val="22"/>
          <w:szCs w:val="22"/>
        </w:rPr>
        <w:t>.</w:t>
      </w:r>
    </w:p>
    <w:p w14:paraId="49FD71E9" w14:textId="77777777" w:rsidR="00151557" w:rsidRPr="00151557" w:rsidRDefault="00151557" w:rsidP="00EF29A8">
      <w:pPr>
        <w:spacing w:line="276" w:lineRule="auto"/>
        <w:rPr>
          <w:b/>
          <w:sz w:val="22"/>
          <w:szCs w:val="22"/>
        </w:rPr>
      </w:pPr>
      <w:r>
        <w:rPr>
          <w:b/>
          <w:sz w:val="22"/>
          <w:szCs w:val="22"/>
        </w:rPr>
        <w:t>Problem Statement</w:t>
      </w:r>
    </w:p>
    <w:p w14:paraId="1B07CD5D" w14:textId="77777777" w:rsidR="00EF29A8" w:rsidRPr="00773C27" w:rsidRDefault="00EF29A8" w:rsidP="00EF29A8">
      <w:pPr>
        <w:spacing w:line="276" w:lineRule="auto"/>
        <w:rPr>
          <w:sz w:val="22"/>
          <w:szCs w:val="22"/>
        </w:rPr>
      </w:pPr>
      <w:r w:rsidRPr="00773C27">
        <w:rPr>
          <w:sz w:val="22"/>
          <w:szCs w:val="22"/>
        </w:rPr>
        <w:t xml:space="preserve">Although citizen participation is widely promoted as a cornerstone of democratic governance, its practical implementation often faces significant challenges, particularly within developing countries. In many governance contexts, participatory mechanisms exist in formal policy frameworks but are not fully operational in practice. As a result, local government decisions are frequently made with limited citizen input, thereby weakening the accountability and responsiveness of public institutions </w:t>
      </w:r>
      <w:sdt>
        <w:sdtPr>
          <w:rPr>
            <w:color w:val="000000"/>
            <w:sz w:val="22"/>
            <w:szCs w:val="22"/>
          </w:rPr>
          <w:tag w:val="MENDELEY_CITATION_v3_eyJjaXRhdGlvbklEIjoiTUVOREVMRVlfQ0lUQVRJT05fOTkzMjllYmEtOWQ3YS00NjZlLWJkMjktMjViZWZlMzRkMTd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1258093040"/>
          <w:placeholder>
            <w:docPart w:val="DefaultPlaceholder_-1854013440"/>
          </w:placeholder>
        </w:sdtPr>
        <w:sdtContent>
          <w:r w:rsidR="00470019" w:rsidRPr="00470019">
            <w:rPr>
              <w:color w:val="000000"/>
              <w:sz w:val="22"/>
              <w:szCs w:val="22"/>
            </w:rPr>
            <w:t>(Holum, 2023)</w:t>
          </w:r>
        </w:sdtContent>
      </w:sdt>
      <w:r w:rsidRPr="00773C27">
        <w:rPr>
          <w:sz w:val="22"/>
          <w:szCs w:val="22"/>
        </w:rPr>
        <w:t>.</w:t>
      </w:r>
    </w:p>
    <w:p w14:paraId="155E3AD6" w14:textId="77777777" w:rsidR="00EF29A8" w:rsidRPr="00773C27" w:rsidRDefault="00EF29A8" w:rsidP="00EF29A8">
      <w:pPr>
        <w:spacing w:line="276" w:lineRule="auto"/>
        <w:rPr>
          <w:sz w:val="22"/>
          <w:szCs w:val="22"/>
        </w:rPr>
      </w:pPr>
      <w:r w:rsidRPr="00773C27">
        <w:rPr>
          <w:sz w:val="22"/>
          <w:szCs w:val="22"/>
        </w:rPr>
        <w:t xml:space="preserve">In decentralized governance systems such as Uganda, local governments are expected to promote citizen involvement in planning, budgeting, and service delivery processes. However, empirical studies suggest that citizen participation in many local governments remains limited due to factors such as low civic awareness, inadequate institutional capacity, and political interference </w:t>
      </w:r>
      <w:sdt>
        <w:sdtPr>
          <w:rPr>
            <w:color w:val="000000"/>
            <w:sz w:val="22"/>
            <w:szCs w:val="22"/>
          </w:rPr>
          <w:tag w:val="MENDELEY_CITATION_v3_eyJjaXRhdGlvbklEIjoiTUVOREVMRVlfQ0lUQVRJT05fMzYxOTUwOGYtNWE3Ni00NzJlLTgzZmItMDZlMTMyMGVjNTZi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
          <w:id w:val="-447168276"/>
          <w:placeholder>
            <w:docPart w:val="DefaultPlaceholder_-1854013440"/>
          </w:placeholder>
        </w:sdtPr>
        <w:sdtContent>
          <w:r w:rsidR="00470019" w:rsidRPr="00470019">
            <w:rPr>
              <w:color w:val="000000"/>
              <w:sz w:val="22"/>
              <w:szCs w:val="22"/>
            </w:rPr>
            <w:t>(Mwesigwa et al., 2022)</w:t>
          </w:r>
        </w:sdtContent>
      </w:sdt>
      <w:r w:rsidRPr="00773C27">
        <w:rPr>
          <w:sz w:val="22"/>
          <w:szCs w:val="22"/>
        </w:rPr>
        <w:t>. These challenges often reduce participatory processes to symbolic exercises rather than meaningful engagement mechanisms.</w:t>
      </w:r>
    </w:p>
    <w:p w14:paraId="5B03D33F" w14:textId="77777777" w:rsidR="00EF29A8" w:rsidRPr="00773C27" w:rsidRDefault="00EF29A8" w:rsidP="00EF29A8">
      <w:pPr>
        <w:spacing w:line="276" w:lineRule="auto"/>
        <w:rPr>
          <w:sz w:val="22"/>
          <w:szCs w:val="22"/>
        </w:rPr>
      </w:pPr>
      <w:r w:rsidRPr="00773C27">
        <w:rPr>
          <w:sz w:val="22"/>
          <w:szCs w:val="22"/>
        </w:rPr>
        <w:t xml:space="preserve">Furthermore, limited citizen involvement in decision-making processes can lead to governance outcomes that do not adequately reflect community priorities. When decisions are made without effective public consultation, local </w:t>
      </w:r>
      <w:r w:rsidRPr="00773C27">
        <w:rPr>
          <w:sz w:val="22"/>
          <w:szCs w:val="22"/>
        </w:rPr>
        <w:lastRenderedPageBreak/>
        <w:t>development initiatives may fail to address the actual needs of citizens</w:t>
      </w:r>
      <w:r w:rsidR="000A701F">
        <w:rPr>
          <w:sz w:val="22"/>
          <w:szCs w:val="22"/>
        </w:rPr>
        <w:t xml:space="preserve"> </w:t>
      </w:r>
      <w:sdt>
        <w:sdtPr>
          <w:rPr>
            <w:color w:val="000000"/>
            <w:sz w:val="22"/>
            <w:szCs w:val="22"/>
          </w:rPr>
          <w:tag w:val="MENDELEY_CITATION_v3_eyJjaXRhdGlvbklEIjoiTUVOREVMRVlfQ0lUQVRJT05fMTc1NTJmZjEtZjEzNC00NWIxLTgwOWUtNGFhOGFmNDY5ZmE0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
          <w:id w:val="-1982526415"/>
          <w:placeholder>
            <w:docPart w:val="DefaultPlaceholder_-1854013440"/>
          </w:placeholder>
        </w:sdtPr>
        <w:sdtContent>
          <w:r w:rsidR="00470019" w:rsidRPr="00470019">
            <w:rPr>
              <w:color w:val="000000"/>
              <w:sz w:val="22"/>
              <w:szCs w:val="22"/>
            </w:rPr>
            <w:t>(</w:t>
          </w:r>
          <w:proofErr w:type="spellStart"/>
          <w:r w:rsidR="00470019" w:rsidRPr="00470019">
            <w:rPr>
              <w:color w:val="000000"/>
              <w:sz w:val="22"/>
              <w:szCs w:val="22"/>
            </w:rPr>
            <w:t>Tassabehji</w:t>
          </w:r>
          <w:proofErr w:type="spellEnd"/>
          <w:r w:rsidR="00470019" w:rsidRPr="00470019">
            <w:rPr>
              <w:color w:val="000000"/>
              <w:sz w:val="22"/>
              <w:szCs w:val="22"/>
            </w:rPr>
            <w:t xml:space="preserve"> et al., 2016)</w:t>
          </w:r>
        </w:sdtContent>
      </w:sdt>
      <w:r w:rsidRPr="00773C27">
        <w:rPr>
          <w:sz w:val="22"/>
          <w:szCs w:val="22"/>
        </w:rPr>
        <w:t xml:space="preserve">. This situation may undermine public trust in government institutions and weaken accountability mechanisms within local governance systems </w:t>
      </w:r>
      <w:sdt>
        <w:sdtPr>
          <w:rPr>
            <w:color w:val="000000"/>
            <w:sz w:val="22"/>
            <w:szCs w:val="22"/>
          </w:rPr>
          <w:tag w:val="MENDELEY_CITATION_v3_eyJjaXRhdGlvbklEIjoiTUVOREVMRVlfQ0lUQVRJT05fNGQ2NjY4MzgtNGVlMy00NWE4LWIzZjMtNjA2ZWIzNTM2Zjg1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
          <w:id w:val="12734416"/>
          <w:placeholder>
            <w:docPart w:val="DefaultPlaceholder_-1854013440"/>
          </w:placeholder>
        </w:sdtPr>
        <w:sdtContent>
          <w:r w:rsidR="00470019" w:rsidRPr="00470019">
            <w:rPr>
              <w:color w:val="000000"/>
              <w:sz w:val="22"/>
              <w:szCs w:val="22"/>
            </w:rPr>
            <w:t>(Speer, 2012)</w:t>
          </w:r>
        </w:sdtContent>
      </w:sdt>
      <w:r w:rsidRPr="00773C27">
        <w:rPr>
          <w:sz w:val="22"/>
          <w:szCs w:val="22"/>
        </w:rPr>
        <w:t>.</w:t>
      </w:r>
    </w:p>
    <w:p w14:paraId="3CCBF7DF" w14:textId="77777777" w:rsidR="00EF29A8" w:rsidRPr="00773C27" w:rsidRDefault="00EF29A8" w:rsidP="00EF29A8">
      <w:pPr>
        <w:spacing w:line="276" w:lineRule="auto"/>
        <w:rPr>
          <w:sz w:val="22"/>
          <w:szCs w:val="22"/>
        </w:rPr>
      </w:pPr>
      <w:r w:rsidRPr="00773C27">
        <w:rPr>
          <w:sz w:val="22"/>
          <w:szCs w:val="22"/>
        </w:rPr>
        <w:t>Weak transparency and accountability mechanisms further exacerbate these governance challenges. Without meaningful citizen participation, it becomes difficult for communities to monitor government actions or hold leaders accountable for their decisions</w:t>
      </w:r>
      <w:r w:rsidR="000A701F">
        <w:rPr>
          <w:sz w:val="22"/>
          <w:szCs w:val="22"/>
        </w:rPr>
        <w:t xml:space="preserve"> </w:t>
      </w:r>
      <w:sdt>
        <w:sdtPr>
          <w:rPr>
            <w:color w:val="000000"/>
            <w:sz w:val="22"/>
            <w:szCs w:val="22"/>
          </w:rPr>
          <w:tag w:val="MENDELEY_CITATION_v3_eyJjaXRhdGlvbklEIjoiTUVOREVMRVlfQ0lUQVRJT05fMmRkOGQ5OWUtOThkOC00NTYyLWFkNmQtN2IxNWI2NjQ3OWN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565488742"/>
          <w:placeholder>
            <w:docPart w:val="DefaultPlaceholder_-1854013440"/>
          </w:placeholder>
        </w:sdtPr>
        <w:sdtContent>
          <w:r w:rsidR="00470019" w:rsidRPr="00470019">
            <w:rPr>
              <w:color w:val="000000"/>
              <w:sz w:val="22"/>
              <w:szCs w:val="22"/>
            </w:rPr>
            <w:t>(Fox, 2015)</w:t>
          </w:r>
        </w:sdtContent>
      </w:sdt>
      <w:r w:rsidRPr="00773C27">
        <w:rPr>
          <w:sz w:val="22"/>
          <w:szCs w:val="22"/>
        </w:rPr>
        <w:t>. Consequently, the absence of effective participation mechanisms can negatively affect the quality of decision-making within local government institutions</w:t>
      </w:r>
      <w:r w:rsidR="000A701F">
        <w:rPr>
          <w:sz w:val="22"/>
          <w:szCs w:val="22"/>
        </w:rPr>
        <w:t xml:space="preserve"> </w:t>
      </w:r>
      <w:sdt>
        <w:sdtPr>
          <w:rPr>
            <w:color w:val="000000"/>
            <w:sz w:val="22"/>
            <w:szCs w:val="22"/>
          </w:rPr>
          <w:tag w:val="MENDELEY_CITATION_v3_eyJjaXRhdGlvbklEIjoiTUVOREVMRVlfQ0lUQVRJT05fNGVhOTU3ZDMtZDNjNy00YTFkLThjODctYmVlMzM0ZGZlNGR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2136091882"/>
          <w:placeholder>
            <w:docPart w:val="DefaultPlaceholder_-1854013440"/>
          </w:placeholder>
        </w:sdtPr>
        <w:sdtContent>
          <w:r w:rsidR="00470019" w:rsidRPr="00470019">
            <w:rPr>
              <w:color w:val="000000"/>
              <w:sz w:val="22"/>
              <w:szCs w:val="22"/>
            </w:rPr>
            <w:t>(Holum, 2023)</w:t>
          </w:r>
        </w:sdtContent>
      </w:sdt>
      <w:r w:rsidRPr="00773C27">
        <w:rPr>
          <w:sz w:val="22"/>
          <w:szCs w:val="22"/>
        </w:rPr>
        <w:t>.</w:t>
      </w:r>
    </w:p>
    <w:p w14:paraId="77F0F3A2" w14:textId="77777777" w:rsidR="00EF29A8" w:rsidRDefault="00EF29A8" w:rsidP="00EF29A8">
      <w:pPr>
        <w:spacing w:line="276" w:lineRule="auto"/>
        <w:rPr>
          <w:sz w:val="22"/>
          <w:szCs w:val="22"/>
        </w:rPr>
      </w:pPr>
      <w:r w:rsidRPr="00773C27">
        <w:rPr>
          <w:sz w:val="22"/>
          <w:szCs w:val="22"/>
        </w:rPr>
        <w:t>Despite growing scholarly attention to participatory governance, there remains a need for further research examining how citizen participation influences the quality of decision-making in local government institutions. Understanding this relationship is essential for identifying strategies that can strengthen participatory governance and improve public administration practices</w:t>
      </w:r>
      <w:r w:rsidR="000A701F">
        <w:rPr>
          <w:sz w:val="22"/>
          <w:szCs w:val="22"/>
        </w:rPr>
        <w:t xml:space="preserve"> </w:t>
      </w:r>
      <w:sdt>
        <w:sdtPr>
          <w:rPr>
            <w:color w:val="000000"/>
            <w:sz w:val="22"/>
            <w:szCs w:val="22"/>
          </w:rPr>
          <w:tag w:val="MENDELEY_CITATION_v3_eyJjaXRhdGlvbklEIjoiTUVOREVMRVlfQ0lUQVRJT05fNmJkNzNkY2ItYWVhOC00NWFhLWJkYWEtNzQ3M2Y3YmZjMDBi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238211682"/>
          <w:placeholder>
            <w:docPart w:val="DefaultPlaceholder_-1854013440"/>
          </w:placeholder>
        </w:sdtPr>
        <w:sdtContent>
          <w:r w:rsidR="00470019" w:rsidRPr="00470019">
            <w:rPr>
              <w:color w:val="000000"/>
              <w:sz w:val="22"/>
              <w:szCs w:val="22"/>
            </w:rPr>
            <w:t>(Lambright, 2011)</w:t>
          </w:r>
        </w:sdtContent>
      </w:sdt>
      <w:r w:rsidRPr="00773C27">
        <w:rPr>
          <w:sz w:val="22"/>
          <w:szCs w:val="22"/>
        </w:rPr>
        <w:t>.</w:t>
      </w:r>
      <w:r w:rsidR="00D24CFF">
        <w:rPr>
          <w:sz w:val="22"/>
          <w:szCs w:val="22"/>
        </w:rPr>
        <w:t xml:space="preserve"> </w:t>
      </w:r>
    </w:p>
    <w:p w14:paraId="71BF94F2" w14:textId="77777777" w:rsidR="00D24CFF" w:rsidRPr="00D24CFF" w:rsidRDefault="00D24CFF" w:rsidP="00EF29A8">
      <w:pPr>
        <w:spacing w:line="276" w:lineRule="auto"/>
        <w:rPr>
          <w:b/>
          <w:bCs/>
          <w:sz w:val="22"/>
          <w:szCs w:val="22"/>
        </w:rPr>
      </w:pPr>
      <w:r w:rsidRPr="00D24CFF">
        <w:rPr>
          <w:b/>
          <w:bCs/>
          <w:sz w:val="22"/>
          <w:szCs w:val="22"/>
        </w:rPr>
        <w:t>Purpose of the study</w:t>
      </w:r>
    </w:p>
    <w:p w14:paraId="5DC1F4EF" w14:textId="77777777" w:rsidR="00EF29A8" w:rsidRPr="00773C27" w:rsidRDefault="00EF29A8" w:rsidP="00EF29A8">
      <w:pPr>
        <w:spacing w:line="276" w:lineRule="auto"/>
        <w:rPr>
          <w:sz w:val="22"/>
          <w:szCs w:val="22"/>
        </w:rPr>
      </w:pPr>
      <w:r w:rsidRPr="00773C27">
        <w:rPr>
          <w:sz w:val="22"/>
          <w:szCs w:val="22"/>
        </w:rPr>
        <w:t>The purpose of this study is to examine how citizen participation influences the quality of decision-making in local governments.</w:t>
      </w:r>
    </w:p>
    <w:p w14:paraId="74DE59C0" w14:textId="77777777" w:rsidR="00EF29A8" w:rsidRPr="00773C27" w:rsidRDefault="00EF29A8" w:rsidP="00EF29A8">
      <w:pPr>
        <w:spacing w:line="276" w:lineRule="auto"/>
        <w:rPr>
          <w:sz w:val="22"/>
          <w:szCs w:val="22"/>
        </w:rPr>
      </w:pPr>
      <w:r w:rsidRPr="00D24CFF">
        <w:rPr>
          <w:b/>
          <w:bCs/>
          <w:sz w:val="22"/>
          <w:szCs w:val="22"/>
        </w:rPr>
        <w:t>This study is guided by the following research question</w:t>
      </w:r>
      <w:r w:rsidRPr="00773C27">
        <w:rPr>
          <w:sz w:val="22"/>
          <w:szCs w:val="22"/>
        </w:rPr>
        <w:t>:</w:t>
      </w:r>
    </w:p>
    <w:p w14:paraId="11260E4B" w14:textId="77777777" w:rsidR="00EF29A8" w:rsidRPr="00D24CFF" w:rsidRDefault="00EF29A8" w:rsidP="00D24CFF">
      <w:pPr>
        <w:pStyle w:val="ListParagraph"/>
        <w:numPr>
          <w:ilvl w:val="0"/>
          <w:numId w:val="16"/>
        </w:numPr>
        <w:spacing w:line="276" w:lineRule="auto"/>
        <w:rPr>
          <w:sz w:val="22"/>
          <w:szCs w:val="22"/>
        </w:rPr>
      </w:pPr>
      <w:r w:rsidRPr="00D24CFF">
        <w:rPr>
          <w:bCs/>
          <w:sz w:val="22"/>
          <w:szCs w:val="22"/>
        </w:rPr>
        <w:t>How does citizen participation influence the quality of decision-making in local governments?</w:t>
      </w:r>
    </w:p>
    <w:p w14:paraId="7BFF0A51" w14:textId="77777777" w:rsidR="00D24CFF" w:rsidRDefault="00D24CFF" w:rsidP="008A3C32">
      <w:pPr>
        <w:pStyle w:val="ListParagraph"/>
        <w:numPr>
          <w:ilvl w:val="0"/>
          <w:numId w:val="16"/>
        </w:numPr>
        <w:spacing w:line="276" w:lineRule="auto"/>
        <w:rPr>
          <w:sz w:val="22"/>
          <w:szCs w:val="22"/>
        </w:rPr>
      </w:pPr>
      <w:r>
        <w:rPr>
          <w:sz w:val="22"/>
          <w:szCs w:val="22"/>
        </w:rPr>
        <w:t>H</w:t>
      </w:r>
      <w:r w:rsidR="00EF29A8" w:rsidRPr="00D24CFF">
        <w:rPr>
          <w:sz w:val="22"/>
          <w:szCs w:val="22"/>
        </w:rPr>
        <w:t xml:space="preserve">ow </w:t>
      </w:r>
      <w:r w:rsidR="00A81D7C">
        <w:rPr>
          <w:sz w:val="22"/>
          <w:szCs w:val="22"/>
        </w:rPr>
        <w:t xml:space="preserve">does </w:t>
      </w:r>
      <w:r w:rsidR="00EF29A8" w:rsidRPr="00D24CFF">
        <w:rPr>
          <w:sz w:val="22"/>
          <w:szCs w:val="22"/>
        </w:rPr>
        <w:t xml:space="preserve">citizen participation </w:t>
      </w:r>
      <w:r w:rsidR="00A81D7C" w:rsidRPr="00D24CFF">
        <w:rPr>
          <w:sz w:val="22"/>
          <w:szCs w:val="22"/>
        </w:rPr>
        <w:t>influence</w:t>
      </w:r>
      <w:r w:rsidR="00EF29A8" w:rsidRPr="00D24CFF">
        <w:rPr>
          <w:sz w:val="22"/>
          <w:szCs w:val="22"/>
        </w:rPr>
        <w:t xml:space="preserve"> </w:t>
      </w:r>
      <w:r w:rsidR="00A81D7C">
        <w:rPr>
          <w:sz w:val="22"/>
          <w:szCs w:val="22"/>
        </w:rPr>
        <w:t>accountability?</w:t>
      </w:r>
    </w:p>
    <w:p w14:paraId="023BB2AD" w14:textId="77777777" w:rsidR="00EF29A8" w:rsidRPr="00D24CFF" w:rsidRDefault="00D24CFF" w:rsidP="008A3C32">
      <w:pPr>
        <w:pStyle w:val="ListParagraph"/>
        <w:numPr>
          <w:ilvl w:val="0"/>
          <w:numId w:val="16"/>
        </w:numPr>
        <w:spacing w:line="276" w:lineRule="auto"/>
        <w:rPr>
          <w:sz w:val="22"/>
          <w:szCs w:val="22"/>
        </w:rPr>
      </w:pPr>
      <w:r>
        <w:rPr>
          <w:sz w:val="22"/>
          <w:szCs w:val="22"/>
        </w:rPr>
        <w:t>H</w:t>
      </w:r>
      <w:r w:rsidRPr="00D24CFF">
        <w:rPr>
          <w:sz w:val="22"/>
          <w:szCs w:val="22"/>
        </w:rPr>
        <w:t xml:space="preserve">ow does </w:t>
      </w:r>
      <w:r w:rsidR="00EF29A8" w:rsidRPr="00D24CFF">
        <w:rPr>
          <w:sz w:val="22"/>
          <w:szCs w:val="22"/>
        </w:rPr>
        <w:t>policy implications improv</w:t>
      </w:r>
      <w:r w:rsidRPr="00D24CFF">
        <w:rPr>
          <w:sz w:val="22"/>
          <w:szCs w:val="22"/>
        </w:rPr>
        <w:t xml:space="preserve">e </w:t>
      </w:r>
      <w:r w:rsidR="00EF29A8" w:rsidRPr="00D24CFF">
        <w:rPr>
          <w:sz w:val="22"/>
          <w:szCs w:val="22"/>
        </w:rPr>
        <w:t xml:space="preserve">public administration </w:t>
      </w:r>
      <w:r w:rsidRPr="00D24CFF">
        <w:rPr>
          <w:sz w:val="22"/>
          <w:szCs w:val="22"/>
        </w:rPr>
        <w:t>practices?</w:t>
      </w:r>
    </w:p>
    <w:p w14:paraId="47424408" w14:textId="77777777" w:rsidR="006131F2" w:rsidRPr="006131F2" w:rsidRDefault="006131F2" w:rsidP="006131F2">
      <w:pPr>
        <w:spacing w:line="276" w:lineRule="auto"/>
        <w:rPr>
          <w:b/>
          <w:bCs/>
          <w:sz w:val="22"/>
          <w:szCs w:val="22"/>
        </w:rPr>
      </w:pPr>
      <w:r w:rsidRPr="006131F2">
        <w:rPr>
          <w:b/>
          <w:bCs/>
          <w:sz w:val="22"/>
          <w:szCs w:val="22"/>
        </w:rPr>
        <w:t>2. Theoretical Framework</w:t>
      </w:r>
    </w:p>
    <w:p w14:paraId="5438AEB0" w14:textId="77777777" w:rsidR="006131F2" w:rsidRPr="006131F2" w:rsidRDefault="006131F2" w:rsidP="006131F2">
      <w:pPr>
        <w:spacing w:line="276" w:lineRule="auto"/>
        <w:rPr>
          <w:sz w:val="22"/>
          <w:szCs w:val="22"/>
        </w:rPr>
      </w:pPr>
      <w:r w:rsidRPr="006131F2">
        <w:rPr>
          <w:sz w:val="22"/>
          <w:szCs w:val="22"/>
        </w:rPr>
        <w:t>Theoretical frameworks provide conceptual foundations that guide the interpretation of relationships among key variables within a study. In public administration and governance research, theories help explain how institutional arrangements and citizen engagement mechanisms influence policy processes and governance outcomes. This study draws on three complem</w:t>
      </w:r>
      <w:r>
        <w:rPr>
          <w:sz w:val="22"/>
          <w:szCs w:val="22"/>
        </w:rPr>
        <w:t xml:space="preserve">entary theoretical perspectives i.e. </w:t>
      </w:r>
      <w:r w:rsidRPr="006131F2">
        <w:rPr>
          <w:sz w:val="22"/>
          <w:szCs w:val="22"/>
        </w:rPr>
        <w:t>Participatory Democracy Theory, Deliberative Democracy Theory, and Governance Theory</w:t>
      </w:r>
      <w:r>
        <w:rPr>
          <w:sz w:val="22"/>
          <w:szCs w:val="22"/>
        </w:rPr>
        <w:t xml:space="preserve"> </w:t>
      </w:r>
      <w:r w:rsidRPr="006131F2">
        <w:rPr>
          <w:sz w:val="22"/>
          <w:szCs w:val="22"/>
        </w:rPr>
        <w:t>to explain how citizen participation can influence the quality of decision-making within local government institutions.</w:t>
      </w:r>
    </w:p>
    <w:p w14:paraId="1D92873B" w14:textId="77777777" w:rsidR="006131F2" w:rsidRPr="006131F2" w:rsidRDefault="006131F2" w:rsidP="006131F2">
      <w:pPr>
        <w:spacing w:line="276" w:lineRule="auto"/>
        <w:rPr>
          <w:b/>
          <w:bCs/>
          <w:sz w:val="22"/>
          <w:szCs w:val="22"/>
        </w:rPr>
      </w:pPr>
      <w:r w:rsidRPr="006131F2">
        <w:rPr>
          <w:b/>
          <w:bCs/>
          <w:sz w:val="22"/>
          <w:szCs w:val="22"/>
        </w:rPr>
        <w:t>Participatory Democracy Theory</w:t>
      </w:r>
    </w:p>
    <w:p w14:paraId="195AAE7D" w14:textId="77777777" w:rsidR="006131F2" w:rsidRPr="006131F2" w:rsidRDefault="006131F2" w:rsidP="006131F2">
      <w:pPr>
        <w:spacing w:line="276" w:lineRule="auto"/>
        <w:rPr>
          <w:sz w:val="22"/>
          <w:szCs w:val="22"/>
        </w:rPr>
      </w:pPr>
      <w:r w:rsidRPr="006131F2">
        <w:rPr>
          <w:sz w:val="22"/>
          <w:szCs w:val="22"/>
        </w:rPr>
        <w:t>Participatory Democracy Theory emphasizes the direct involvement of citizens in governance processes beyond periodic elections</w:t>
      </w:r>
      <w:r w:rsidR="000A701F">
        <w:rPr>
          <w:sz w:val="22"/>
          <w:szCs w:val="22"/>
        </w:rPr>
        <w:t xml:space="preserve"> </w:t>
      </w:r>
      <w:sdt>
        <w:sdtPr>
          <w:rPr>
            <w:color w:val="000000"/>
            <w:sz w:val="22"/>
            <w:szCs w:val="22"/>
          </w:rPr>
          <w:tag w:val="MENDELEY_CITATION_v3_eyJjaXRhdGlvbklEIjoiTUVOREVMRVlfQ0lUQVRJT05fNjFjZjAwMGItYTZmMC00MmQ5LWJlMzctNzUwODU0OTRkODg0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1584327645"/>
          <w:placeholder>
            <w:docPart w:val="DefaultPlaceholder_-1854013440"/>
          </w:placeholder>
        </w:sdtPr>
        <w:sdtContent>
          <w:r w:rsidR="00470019" w:rsidRPr="00470019">
            <w:rPr>
              <w:color w:val="000000"/>
              <w:sz w:val="22"/>
              <w:szCs w:val="22"/>
            </w:rPr>
            <w:t>(Pateman, 2012)</w:t>
          </w:r>
        </w:sdtContent>
      </w:sdt>
      <w:r w:rsidRPr="006131F2">
        <w:rPr>
          <w:sz w:val="22"/>
          <w:szCs w:val="22"/>
        </w:rPr>
        <w:t>. The theory emerged from critiques of representative democracy, which some scholars argue tends to limit citizen engagement to voting while excluding citizens from meaningful involvement in policy formulation and decision-making. Participatory democracy therefore advocates for institutional arrangements that enable citizens to actively contribute to governance processes through public consultations, civic forums, and community-based decision-making mechanisms</w:t>
      </w:r>
      <w:r w:rsidR="000A701F">
        <w:rPr>
          <w:sz w:val="22"/>
          <w:szCs w:val="22"/>
        </w:rPr>
        <w:t xml:space="preserve"> </w:t>
      </w:r>
      <w:sdt>
        <w:sdtPr>
          <w:rPr>
            <w:color w:val="000000"/>
            <w:sz w:val="22"/>
            <w:szCs w:val="22"/>
          </w:rPr>
          <w:tag w:val="MENDELEY_CITATION_v3_eyJjaXRhdGlvbklEIjoiTUVOREVMRVlfQ0lUQVRJT05fNmJkZDg1ZmItNTA0MC00Y2EzLTg4ZTMtNWFlZDY0MzkwMTg5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297914253"/>
          <w:placeholder>
            <w:docPart w:val="DefaultPlaceholder_-1854013440"/>
          </w:placeholder>
        </w:sdtPr>
        <w:sdtContent>
          <w:r w:rsidR="00470019" w:rsidRPr="00470019">
            <w:rPr>
              <w:color w:val="000000"/>
              <w:sz w:val="22"/>
              <w:szCs w:val="22"/>
            </w:rPr>
            <w:t>(Pateman, 2012)</w:t>
          </w:r>
        </w:sdtContent>
      </w:sdt>
      <w:r w:rsidRPr="006131F2">
        <w:rPr>
          <w:sz w:val="22"/>
          <w:szCs w:val="22"/>
        </w:rPr>
        <w:t>.</w:t>
      </w:r>
    </w:p>
    <w:p w14:paraId="46E4B2E6" w14:textId="77777777" w:rsidR="006131F2" w:rsidRPr="006131F2" w:rsidRDefault="006131F2" w:rsidP="006131F2">
      <w:pPr>
        <w:spacing w:line="276" w:lineRule="auto"/>
        <w:rPr>
          <w:sz w:val="22"/>
          <w:szCs w:val="22"/>
        </w:rPr>
      </w:pPr>
      <w:r w:rsidRPr="006131F2">
        <w:rPr>
          <w:sz w:val="22"/>
          <w:szCs w:val="22"/>
        </w:rPr>
        <w:t xml:space="preserve">Scholars argue that citizen participation enhances democratic legitimacy by ensuring that public decisions reflect the preferences and priorities of citizens. According to </w:t>
      </w:r>
      <w:sdt>
        <w:sdtPr>
          <w:rPr>
            <w:color w:val="000000"/>
            <w:sz w:val="22"/>
            <w:szCs w:val="22"/>
          </w:rPr>
          <w:tag w:val="MENDELEY_CITATION_v3_eyJjaXRhdGlvbklEIjoiTUVOREVMRVlfQ0lUQVRJT05fMzA3NjQ3MzEtNmRhNS00M2YzLTljYWMtM2MzYTlmNTA4MGYw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309791413"/>
          <w:placeholder>
            <w:docPart w:val="DefaultPlaceholder_-1854013440"/>
          </w:placeholder>
        </w:sdtPr>
        <w:sdtContent>
          <w:r w:rsidR="00470019" w:rsidRPr="00470019">
            <w:rPr>
              <w:color w:val="000000"/>
              <w:sz w:val="22"/>
              <w:szCs w:val="22"/>
            </w:rPr>
            <w:t>(Pateman, 2012)</w:t>
          </w:r>
        </w:sdtContent>
      </w:sdt>
      <w:r w:rsidRPr="006131F2">
        <w:rPr>
          <w:sz w:val="22"/>
          <w:szCs w:val="22"/>
        </w:rPr>
        <w:t xml:space="preserve">, participatory democratic institutions create opportunities for citizens to influence public policy while simultaneously strengthening civic competence and political </w:t>
      </w:r>
      <w:r w:rsidRPr="006131F2">
        <w:rPr>
          <w:sz w:val="22"/>
          <w:szCs w:val="22"/>
        </w:rPr>
        <w:lastRenderedPageBreak/>
        <w:t>awareness. Through participation, citizens develop a stronger sense of ownership over governance processes, which can contribute to improved accountability and responsiveness within public institutions</w:t>
      </w:r>
      <w:r w:rsidR="000A701F">
        <w:rPr>
          <w:sz w:val="22"/>
          <w:szCs w:val="22"/>
        </w:rPr>
        <w:t xml:space="preserve"> </w:t>
      </w:r>
      <w:sdt>
        <w:sdtPr>
          <w:rPr>
            <w:color w:val="000000"/>
            <w:sz w:val="22"/>
            <w:szCs w:val="22"/>
          </w:rPr>
          <w:tag w:val="MENDELEY_CITATION_v3_eyJjaXRhdGlvbklEIjoiTUVOREVMRVlfQ0lUQVRJT05fNDczZDQyODUtNGJjNC00OWRjLWJmOTYtZmJmNGZjMTIzMzdi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386029143"/>
          <w:placeholder>
            <w:docPart w:val="DefaultPlaceholder_-1854013440"/>
          </w:placeholder>
        </w:sdtPr>
        <w:sdtContent>
          <w:r w:rsidR="00470019" w:rsidRPr="00470019">
            <w:rPr>
              <w:rFonts w:eastAsia="Times New Roman"/>
              <w:color w:val="000000"/>
              <w:sz w:val="22"/>
            </w:rPr>
            <w:t>(Michels &amp; De Graaf, 2017)</w:t>
          </w:r>
        </w:sdtContent>
      </w:sdt>
      <w:r w:rsidRPr="006131F2">
        <w:rPr>
          <w:sz w:val="22"/>
          <w:szCs w:val="22"/>
        </w:rPr>
        <w:t>.</w:t>
      </w:r>
    </w:p>
    <w:p w14:paraId="4EAFF1F4" w14:textId="77777777" w:rsidR="006131F2" w:rsidRPr="006131F2" w:rsidRDefault="006131F2" w:rsidP="006131F2">
      <w:pPr>
        <w:spacing w:line="276" w:lineRule="auto"/>
        <w:rPr>
          <w:sz w:val="22"/>
          <w:szCs w:val="22"/>
        </w:rPr>
      </w:pPr>
      <w:r w:rsidRPr="006131F2">
        <w:rPr>
          <w:sz w:val="22"/>
          <w:szCs w:val="22"/>
        </w:rPr>
        <w:t xml:space="preserve">Within the field of public administration, participatory democracy is also viewed as a mechanism for improving policy effectiveness. When citizens are involved in decision-making processes, policymakers are able to access local knowledge and contextual information that may not be available through bureaucratic channels. This exchange of information can improve the quality of policy decisions and increase the likelihood that public policies will address the real needs of communities </w:t>
      </w:r>
      <w:sdt>
        <w:sdtPr>
          <w:rPr>
            <w:color w:val="000000"/>
            <w:sz w:val="22"/>
            <w:szCs w:val="22"/>
          </w:rPr>
          <w:tag w:val="MENDELEY_CITATION_v3_eyJjaXRhdGlvbklEIjoiTUVOREVMRVlfQ0lUQVRJT05fNDE3YTYyYzMtZmJhYi00NDFlLWJlNjQtYjRmZGVjMDAzZWNk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215585354"/>
          <w:placeholder>
            <w:docPart w:val="DefaultPlaceholder_-1854013440"/>
          </w:placeholder>
        </w:sdtPr>
        <w:sdtContent>
          <w:r w:rsidR="00470019" w:rsidRPr="00470019">
            <w:rPr>
              <w:color w:val="000000"/>
              <w:sz w:val="22"/>
              <w:szCs w:val="22"/>
            </w:rPr>
            <w:t>(Wampler et al., 2021)</w:t>
          </w:r>
        </w:sdtContent>
      </w:sdt>
      <w:r w:rsidRPr="006131F2">
        <w:rPr>
          <w:sz w:val="22"/>
          <w:szCs w:val="22"/>
        </w:rPr>
        <w:t>.</w:t>
      </w:r>
    </w:p>
    <w:p w14:paraId="4EE1F3A8" w14:textId="77777777" w:rsidR="006131F2" w:rsidRPr="006131F2" w:rsidRDefault="006131F2" w:rsidP="006131F2">
      <w:pPr>
        <w:spacing w:line="276" w:lineRule="auto"/>
        <w:rPr>
          <w:sz w:val="22"/>
          <w:szCs w:val="22"/>
        </w:rPr>
      </w:pPr>
      <w:r w:rsidRPr="006131F2">
        <w:rPr>
          <w:sz w:val="22"/>
          <w:szCs w:val="22"/>
        </w:rPr>
        <w:t xml:space="preserve">In developing countries, participatory democracy has often been promoted through decentralization reforms that transfer decision-making authority from central governments to local governments. Decentralized governance structures are expected to create institutional platforms where citizens can engage directly with government officials and influence local development decisions. Research in African governance contexts suggests that participatory institutions within decentralized systems can improve public service delivery and strengthen democratic accountability when effectively implemented </w:t>
      </w:r>
      <w:sdt>
        <w:sdtPr>
          <w:rPr>
            <w:color w:val="000000"/>
            <w:sz w:val="22"/>
            <w:szCs w:val="22"/>
          </w:rPr>
          <w:tag w:val="MENDELEY_CITATION_v3_eyJjaXRhdGlvbklEIjoiTUVOREVMRVlfQ0lUQVRJT05fMjQ0YzE2MjktOWY0NS00NDhiLThjNDktNDk2NWMyMzRjZmI3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982463404"/>
          <w:placeholder>
            <w:docPart w:val="DefaultPlaceholder_-1854013440"/>
          </w:placeholder>
        </w:sdtPr>
        <w:sdtContent>
          <w:r w:rsidR="00470019" w:rsidRPr="00470019">
            <w:rPr>
              <w:color w:val="000000"/>
              <w:sz w:val="22"/>
              <w:szCs w:val="22"/>
            </w:rPr>
            <w:t>(Williams et al., 2012)</w:t>
          </w:r>
        </w:sdtContent>
      </w:sdt>
      <w:r w:rsidRPr="006131F2">
        <w:rPr>
          <w:sz w:val="22"/>
          <w:szCs w:val="22"/>
        </w:rPr>
        <w:t>.</w:t>
      </w:r>
    </w:p>
    <w:p w14:paraId="4D4D61F3" w14:textId="77777777" w:rsidR="006131F2" w:rsidRPr="006131F2" w:rsidRDefault="006131F2" w:rsidP="006131F2">
      <w:pPr>
        <w:spacing w:line="276" w:lineRule="auto"/>
        <w:rPr>
          <w:b/>
          <w:bCs/>
          <w:sz w:val="22"/>
          <w:szCs w:val="22"/>
        </w:rPr>
      </w:pPr>
      <w:r w:rsidRPr="006131F2">
        <w:rPr>
          <w:b/>
          <w:bCs/>
          <w:sz w:val="22"/>
          <w:szCs w:val="22"/>
        </w:rPr>
        <w:t>Deliberative Democracy Theory</w:t>
      </w:r>
    </w:p>
    <w:p w14:paraId="2CB39307" w14:textId="77777777" w:rsidR="006131F2" w:rsidRPr="006131F2" w:rsidRDefault="006131F2" w:rsidP="006131F2">
      <w:pPr>
        <w:spacing w:line="276" w:lineRule="auto"/>
        <w:rPr>
          <w:sz w:val="22"/>
          <w:szCs w:val="22"/>
        </w:rPr>
      </w:pPr>
      <w:r w:rsidRPr="006131F2">
        <w:rPr>
          <w:sz w:val="22"/>
          <w:szCs w:val="22"/>
        </w:rPr>
        <w:t>Deliberative Democracy Theory builds upon the principles of participatory democracy by emphasizing the importance of dialogue, reasoned debate, and collective deliberation in democratic decision-making. The theory argues that democratic legitimacy arises not only from citizen participation but also from the quality of public deliberation through which decisions are made. In deliberative democratic systems, citizens and public officials engage in structured discussions aimed at reaching decisions that reflect shared understanding and collective interests.</w:t>
      </w:r>
    </w:p>
    <w:p w14:paraId="001C2EAA" w14:textId="77777777" w:rsidR="006131F2" w:rsidRPr="006131F2" w:rsidRDefault="006131F2" w:rsidP="006131F2">
      <w:pPr>
        <w:spacing w:line="276" w:lineRule="auto"/>
        <w:rPr>
          <w:sz w:val="22"/>
          <w:szCs w:val="22"/>
        </w:rPr>
      </w:pPr>
      <w:r w:rsidRPr="006131F2">
        <w:rPr>
          <w:sz w:val="22"/>
          <w:szCs w:val="22"/>
        </w:rPr>
        <w:t xml:space="preserve">The theoretical foundations of deliberative democracy are strongly influenced by the work of Habermas, who argued that legitimate democratic decisions emerge through rational discourse within inclusive public spheres. Contemporary scholars have expanded this perspective by highlighting the role of deliberative forums such as citizen assemblies, participatory budgeting platforms, and public consultations in facilitating meaningful dialogue between citizens and policymakers </w:t>
      </w:r>
      <w:sdt>
        <w:sdtPr>
          <w:rPr>
            <w:color w:val="000000"/>
            <w:sz w:val="22"/>
            <w:szCs w:val="22"/>
          </w:rPr>
          <w:tag w:val="MENDELEY_CITATION_v3_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"/>
          <w:id w:val="-584997704"/>
          <w:placeholder>
            <w:docPart w:val="DefaultPlaceholder_-1854013440"/>
          </w:placeholder>
        </w:sdtPr>
        <w:sdtContent>
          <w:r w:rsidR="00470019" w:rsidRPr="00470019">
            <w:rPr>
              <w:color w:val="000000"/>
              <w:sz w:val="22"/>
              <w:szCs w:val="22"/>
            </w:rPr>
            <w:t>(</w:t>
          </w:r>
          <w:proofErr w:type="spellStart"/>
          <w:r w:rsidR="00470019" w:rsidRPr="00470019">
            <w:rPr>
              <w:color w:val="000000"/>
              <w:sz w:val="22"/>
              <w:szCs w:val="22"/>
            </w:rPr>
            <w:t>Bächtiger</w:t>
          </w:r>
          <w:proofErr w:type="spellEnd"/>
          <w:r w:rsidR="00470019" w:rsidRPr="00470019">
            <w:rPr>
              <w:color w:val="000000"/>
              <w:sz w:val="22"/>
              <w:szCs w:val="22"/>
            </w:rPr>
            <w:t xml:space="preserve"> et al., 2018)</w:t>
          </w:r>
        </w:sdtContent>
      </w:sdt>
      <w:r w:rsidRPr="006131F2">
        <w:rPr>
          <w:sz w:val="22"/>
          <w:szCs w:val="22"/>
        </w:rPr>
        <w:t>.</w:t>
      </w:r>
    </w:p>
    <w:p w14:paraId="5436EF4C" w14:textId="77777777" w:rsidR="006131F2" w:rsidRPr="006131F2" w:rsidRDefault="006131F2" w:rsidP="006131F2">
      <w:pPr>
        <w:spacing w:line="276" w:lineRule="auto"/>
        <w:rPr>
          <w:sz w:val="22"/>
          <w:szCs w:val="22"/>
        </w:rPr>
      </w:pPr>
      <w:r w:rsidRPr="006131F2">
        <w:rPr>
          <w:sz w:val="22"/>
          <w:szCs w:val="22"/>
        </w:rPr>
        <w:t>Deliberative democratic processes are particularly relevant in local governance contexts where citizens and government officials interact directly on issues affecting community development. Through deliberative engagement, citizens are able to present their views, challenge policy proposals, and contribute to the formulation of solutions to local governance challenges. Such processes encourage collaborative decision-making and enhance the legitimacy of public policies.</w:t>
      </w:r>
    </w:p>
    <w:p w14:paraId="5A8711A6" w14:textId="77777777" w:rsidR="006131F2" w:rsidRPr="006131F2" w:rsidRDefault="006131F2" w:rsidP="006131F2">
      <w:pPr>
        <w:spacing w:line="276" w:lineRule="auto"/>
        <w:rPr>
          <w:sz w:val="22"/>
          <w:szCs w:val="22"/>
        </w:rPr>
      </w:pPr>
      <w:r w:rsidRPr="006131F2">
        <w:rPr>
          <w:sz w:val="22"/>
          <w:szCs w:val="22"/>
        </w:rPr>
        <w:t xml:space="preserve">Empirical studies have demonstrated that deliberative participation can improve governance outcomes by fostering mutual understanding between citizens and public officials. Deliberative forums create opportunities for diverse perspectives to be considered during policy discussions, which can lead to more balanced and informed decisions. According to </w:t>
      </w:r>
      <w:sdt>
        <w:sdtPr>
          <w:rPr>
            <w:color w:val="000000"/>
            <w:sz w:val="22"/>
            <w:szCs w:val="22"/>
          </w:rPr>
          <w:tag w:val="MENDELEY_CITATION_v3_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"/>
          <w:id w:val="-765005710"/>
          <w:placeholder>
            <w:docPart w:val="DefaultPlaceholder_-1854013440"/>
          </w:placeholder>
        </w:sdtPr>
        <w:sdtContent>
          <w:r w:rsidR="00470019" w:rsidRPr="00470019">
            <w:rPr>
              <w:color w:val="000000"/>
              <w:sz w:val="22"/>
              <w:szCs w:val="22"/>
            </w:rPr>
            <w:t>Curato et al. (2017)</w:t>
          </w:r>
        </w:sdtContent>
      </w:sdt>
      <w:r w:rsidRPr="006131F2">
        <w:rPr>
          <w:sz w:val="22"/>
          <w:szCs w:val="22"/>
        </w:rPr>
        <w:t>, deliberative democratic practices contribute to more inclusive and reflective policymaking processes that incorporate citizen knowledge and experiences into governance decisions.</w:t>
      </w:r>
    </w:p>
    <w:p w14:paraId="0ABCE9C5" w14:textId="77777777" w:rsidR="006131F2" w:rsidRPr="006131F2" w:rsidRDefault="006131F2" w:rsidP="006131F2">
      <w:pPr>
        <w:spacing w:line="276" w:lineRule="auto"/>
        <w:rPr>
          <w:sz w:val="22"/>
          <w:szCs w:val="22"/>
        </w:rPr>
      </w:pPr>
      <w:r w:rsidRPr="006131F2">
        <w:rPr>
          <w:sz w:val="22"/>
          <w:szCs w:val="22"/>
        </w:rPr>
        <w:t xml:space="preserve">Within the context of local government, deliberative mechanisms such as public hearings, community dialogues, and participatory planning sessions provide structured opportunities for citizens to influence policy decisions. These </w:t>
      </w:r>
      <w:r w:rsidRPr="006131F2">
        <w:rPr>
          <w:sz w:val="22"/>
          <w:szCs w:val="22"/>
        </w:rPr>
        <w:lastRenderedPageBreak/>
        <w:t>processes encourage transparency and facilitate constructive interactions between citizens and government officials, thereby strengthening democratic governance.</w:t>
      </w:r>
    </w:p>
    <w:p w14:paraId="0C60E397" w14:textId="77777777" w:rsidR="006131F2" w:rsidRPr="006131F2" w:rsidRDefault="006131F2" w:rsidP="006131F2">
      <w:pPr>
        <w:spacing w:line="276" w:lineRule="auto"/>
        <w:rPr>
          <w:b/>
          <w:bCs/>
          <w:sz w:val="22"/>
          <w:szCs w:val="22"/>
        </w:rPr>
      </w:pPr>
      <w:r w:rsidRPr="006131F2">
        <w:rPr>
          <w:b/>
          <w:bCs/>
          <w:sz w:val="22"/>
          <w:szCs w:val="22"/>
        </w:rPr>
        <w:t>Governance Theory</w:t>
      </w:r>
    </w:p>
    <w:p w14:paraId="7C07D418" w14:textId="77777777" w:rsidR="006131F2" w:rsidRPr="006131F2" w:rsidRDefault="006131F2" w:rsidP="006131F2">
      <w:pPr>
        <w:spacing w:line="276" w:lineRule="auto"/>
        <w:rPr>
          <w:sz w:val="22"/>
          <w:szCs w:val="22"/>
        </w:rPr>
      </w:pPr>
      <w:r w:rsidRPr="006131F2">
        <w:rPr>
          <w:sz w:val="22"/>
          <w:szCs w:val="22"/>
        </w:rPr>
        <w:t>Governance Theory provides an additional conceptual lens for understanding the relationship between citizen participation and decision-making processes within public institutions. Governance theory emerged from broader debates within public administration regarding the evolving role of government in complex policy environments</w:t>
      </w:r>
      <w:r w:rsidR="00470019">
        <w:rPr>
          <w:sz w:val="22"/>
          <w:szCs w:val="22"/>
        </w:rPr>
        <w:t xml:space="preserve"> </w:t>
      </w:r>
      <w:sdt>
        <w:sdtPr>
          <w:rPr>
            <w:color w:val="000000"/>
            <w:sz w:val="22"/>
            <w:szCs w:val="22"/>
          </w:rPr>
          <w:tag w:val="MENDELEY_CITATION_v3_eyJjaXRhdGlvbklEIjoiTUVOREVMRVlfQ0lUQVRJT05fMTZkMWFmMGMtOWM4Mi00YWE4LTlmMmUtNTNjZDRkN2FlOTNj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
          <w:id w:val="640006724"/>
          <w:placeholder>
            <w:docPart w:val="DefaultPlaceholder_-1854013440"/>
          </w:placeholder>
        </w:sdtPr>
        <w:sdtContent>
          <w:r w:rsidR="00470019" w:rsidRPr="00470019">
            <w:rPr>
              <w:color w:val="000000"/>
              <w:sz w:val="22"/>
              <w:szCs w:val="22"/>
            </w:rPr>
            <w:t>(Torfing et al., 2012)</w:t>
          </w:r>
        </w:sdtContent>
      </w:sdt>
      <w:r w:rsidRPr="006131F2">
        <w:rPr>
          <w:sz w:val="22"/>
          <w:szCs w:val="22"/>
        </w:rPr>
        <w:t>. Rather than viewing governance solely as the actions of formal government institutions, governance theory conceptualizes governance as a collaborative process involving multiple actors, including government agencies, civil society organizations, private sector actors, and citizens</w:t>
      </w:r>
      <w:r w:rsidR="00470019">
        <w:rPr>
          <w:sz w:val="22"/>
          <w:szCs w:val="22"/>
        </w:rPr>
        <w:t xml:space="preserve"> </w:t>
      </w:r>
      <w:sdt>
        <w:sdtPr>
          <w:rPr>
            <w:color w:val="000000"/>
            <w:sz w:val="22"/>
            <w:szCs w:val="22"/>
          </w:rPr>
          <w:tag w:val="MENDELEY_CITATION_v3_eyJjaXRhdGlvbklEIjoiTUVOREVMRVlfQ0lUQVRJT05fMzdiZjMxZTktMjRhMi00NzI1LWJjZmYtNDk1ZGIzYTFiOTR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650406621"/>
          <w:placeholder>
            <w:docPart w:val="DefaultPlaceholder_-1854013440"/>
          </w:placeholder>
        </w:sdtPr>
        <w:sdtContent>
          <w:r w:rsidR="00470019" w:rsidRPr="00470019">
            <w:rPr>
              <w:color w:val="000000"/>
              <w:sz w:val="22"/>
              <w:szCs w:val="22"/>
            </w:rPr>
            <w:t>(Fung, 2015)</w:t>
          </w:r>
        </w:sdtContent>
      </w:sdt>
      <w:r w:rsidRPr="006131F2">
        <w:rPr>
          <w:sz w:val="22"/>
          <w:szCs w:val="22"/>
        </w:rPr>
        <w:t>.</w:t>
      </w:r>
    </w:p>
    <w:p w14:paraId="53609E6B" w14:textId="77777777" w:rsidR="006131F2" w:rsidRPr="006131F2" w:rsidRDefault="006131F2" w:rsidP="006131F2">
      <w:pPr>
        <w:spacing w:line="276" w:lineRule="auto"/>
        <w:rPr>
          <w:sz w:val="22"/>
          <w:szCs w:val="22"/>
        </w:rPr>
      </w:pPr>
      <w:r w:rsidRPr="006131F2">
        <w:rPr>
          <w:sz w:val="22"/>
          <w:szCs w:val="22"/>
        </w:rPr>
        <w:t xml:space="preserve">In this perspective, citizens are recognized as active participants in governance networks that contribute to policy formulation, implementation, and monitoring. Effective governance therefore requires institutional arrangements that promote transparency, accountability, and citizen engagement. These principles are widely regarded as essential components of democratic governance and are often incorporated into public sector reform initiatives aimed at improving government performance </w:t>
      </w:r>
      <w:sdt>
        <w:sdtPr>
          <w:rPr>
            <w:color w:val="000000"/>
            <w:sz w:val="22"/>
            <w:szCs w:val="22"/>
          </w:rPr>
          <w:tag w:val="MENDELEY_CITATION_v3_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"/>
          <w:id w:val="154354103"/>
          <w:placeholder>
            <w:docPart w:val="DefaultPlaceholder_-1854013440"/>
          </w:placeholder>
        </w:sdtPr>
        <w:sdtContent>
          <w:r w:rsidR="00470019" w:rsidRPr="00470019">
            <w:rPr>
              <w:rFonts w:eastAsia="Times New Roman"/>
              <w:color w:val="000000"/>
              <w:sz w:val="22"/>
            </w:rPr>
            <w:t>(</w:t>
          </w:r>
          <w:proofErr w:type="spellStart"/>
          <w:r w:rsidR="00470019" w:rsidRPr="00470019">
            <w:rPr>
              <w:rFonts w:eastAsia="Times New Roman"/>
              <w:color w:val="000000"/>
              <w:sz w:val="22"/>
            </w:rPr>
            <w:t>Cepiku</w:t>
          </w:r>
          <w:proofErr w:type="spellEnd"/>
          <w:r w:rsidR="00470019" w:rsidRPr="00470019">
            <w:rPr>
              <w:rFonts w:eastAsia="Times New Roman"/>
              <w:color w:val="000000"/>
              <w:sz w:val="22"/>
            </w:rPr>
            <w:t xml:space="preserve"> &amp; </w:t>
          </w:r>
          <w:proofErr w:type="spellStart"/>
          <w:r w:rsidR="00470019" w:rsidRPr="00470019">
            <w:rPr>
              <w:rFonts w:eastAsia="Times New Roman"/>
              <w:color w:val="000000"/>
              <w:sz w:val="22"/>
            </w:rPr>
            <w:t>Mastrodascio</w:t>
          </w:r>
          <w:proofErr w:type="spellEnd"/>
          <w:r w:rsidR="00470019" w:rsidRPr="00470019">
            <w:rPr>
              <w:rFonts w:eastAsia="Times New Roman"/>
              <w:color w:val="000000"/>
              <w:sz w:val="22"/>
            </w:rPr>
            <w:t>, 2021)</w:t>
          </w:r>
        </w:sdtContent>
      </w:sdt>
      <w:r w:rsidRPr="006131F2">
        <w:rPr>
          <w:sz w:val="22"/>
          <w:szCs w:val="22"/>
        </w:rPr>
        <w:t>.</w:t>
      </w:r>
    </w:p>
    <w:p w14:paraId="3CAA58E5" w14:textId="77777777" w:rsidR="006131F2" w:rsidRPr="006131F2" w:rsidRDefault="006131F2" w:rsidP="006131F2">
      <w:pPr>
        <w:spacing w:line="276" w:lineRule="auto"/>
        <w:rPr>
          <w:sz w:val="22"/>
          <w:szCs w:val="22"/>
        </w:rPr>
      </w:pPr>
      <w:r w:rsidRPr="006131F2">
        <w:rPr>
          <w:sz w:val="22"/>
          <w:szCs w:val="22"/>
        </w:rPr>
        <w:t>Transparency is one of the central elements emphasized in governance theory. Transparent decision-making processes enable citizens to access information about government activities and hold public officials accountable for their actions. When governance systems operate transparently, citizens are better able to monitor government performance and participate meaningfully in policy discussions</w:t>
      </w:r>
      <w:r w:rsidR="00470019">
        <w:rPr>
          <w:sz w:val="22"/>
          <w:szCs w:val="22"/>
        </w:rPr>
        <w:t xml:space="preserve"> </w:t>
      </w:r>
      <w:sdt>
        <w:sdtPr>
          <w:rPr>
            <w:color w:val="000000"/>
            <w:sz w:val="22"/>
            <w:szCs w:val="22"/>
          </w:rPr>
          <w:tag w:val="MENDELEY_CITATION_v3_eyJjaXRhdGlvbklEIjoiTUVOREVMRVlfQ0lUQVRJT05fNGJlZGE5MWYtZTI4Yi00NmU2LTllNzgtM2JiYzNjZWRlNjY2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646516434"/>
          <w:placeholder>
            <w:docPart w:val="DefaultPlaceholder_-1854013440"/>
          </w:placeholder>
        </w:sdtPr>
        <w:sdtContent>
          <w:r w:rsidR="00470019" w:rsidRPr="00470019">
            <w:rPr>
              <w:color w:val="000000"/>
              <w:sz w:val="22"/>
              <w:szCs w:val="22"/>
            </w:rPr>
            <w:t>(Bertot et al., 2010)</w:t>
          </w:r>
        </w:sdtContent>
      </w:sdt>
      <w:r w:rsidRPr="006131F2">
        <w:rPr>
          <w:sz w:val="22"/>
          <w:szCs w:val="22"/>
        </w:rPr>
        <w:t>.</w:t>
      </w:r>
    </w:p>
    <w:p w14:paraId="6E2123DA" w14:textId="77777777" w:rsidR="006131F2" w:rsidRPr="006131F2" w:rsidRDefault="006131F2" w:rsidP="006131F2">
      <w:pPr>
        <w:spacing w:line="276" w:lineRule="auto"/>
        <w:rPr>
          <w:sz w:val="22"/>
          <w:szCs w:val="22"/>
        </w:rPr>
      </w:pPr>
      <w:r w:rsidRPr="006131F2">
        <w:rPr>
          <w:sz w:val="22"/>
          <w:szCs w:val="22"/>
        </w:rPr>
        <w:t xml:space="preserve">Accountability is another key principle within governance theory. Accountability mechanisms ensure that public officials are answerable for their decisions and actions. Citizen participation plays an important role in strengthening accountability by enabling communities to evaluate government performance and demand responsiveness from public institutions </w:t>
      </w:r>
      <w:sdt>
        <w:sdtPr>
          <w:rPr>
            <w:color w:val="000000"/>
            <w:sz w:val="22"/>
            <w:szCs w:val="22"/>
          </w:rPr>
          <w:tag w:val="MENDELEY_CITATION_v3_eyJjaXRhdGlvbklEIjoiTUVOREVMRVlfQ0lUQVRJT05fYTg4NGZlY2ItMTVjNi00YWFmLWJlNTMtNDQ3MTI5MDg1OGFl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699317176"/>
          <w:placeholder>
            <w:docPart w:val="DefaultPlaceholder_-1854013440"/>
          </w:placeholder>
        </w:sdtPr>
        <w:sdtContent>
          <w:r w:rsidR="00470019" w:rsidRPr="00470019">
            <w:rPr>
              <w:color w:val="000000"/>
              <w:sz w:val="22"/>
              <w:szCs w:val="22"/>
            </w:rPr>
            <w:t>(Meijer, 2015)</w:t>
          </w:r>
        </w:sdtContent>
      </w:sdt>
      <w:r w:rsidRPr="006131F2">
        <w:rPr>
          <w:sz w:val="22"/>
          <w:szCs w:val="22"/>
        </w:rPr>
        <w:t>.</w:t>
      </w:r>
    </w:p>
    <w:p w14:paraId="08695A29" w14:textId="77777777" w:rsidR="006131F2" w:rsidRPr="006131F2" w:rsidRDefault="006131F2" w:rsidP="006131F2">
      <w:pPr>
        <w:spacing w:line="276" w:lineRule="auto"/>
        <w:rPr>
          <w:sz w:val="22"/>
          <w:szCs w:val="22"/>
        </w:rPr>
      </w:pPr>
      <w:r w:rsidRPr="006131F2">
        <w:rPr>
          <w:sz w:val="22"/>
          <w:szCs w:val="22"/>
        </w:rPr>
        <w:t xml:space="preserve">Citizen engagement is also recognized as a critical component of effective governance. Engaged citizens can contribute valuable insights into policy challenges, help identify community priorities, and participate in monitoring the implementation of public programs. Governance scholars argue that inclusive governance systems that actively involve citizens tend to produce more legitimate and effective policy outcomes </w:t>
      </w:r>
      <w:sdt>
        <w:sdtPr>
          <w:rPr>
            <w:color w:val="000000"/>
            <w:sz w:val="22"/>
            <w:szCs w:val="22"/>
          </w:rPr>
          <w:tag w:val="MENDELEY_CITATION_v3_eyJjaXRhdGlvbklEIjoiTUVOREVMRVlfQ0lUQVRJT05fNDllMWRhZDMtMDE1Ny00NWQxLWFhMTItYmMyOGY0ZDA2MTFh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
          <w:id w:val="-473753054"/>
          <w:placeholder>
            <w:docPart w:val="DefaultPlaceholder_-1854013440"/>
          </w:placeholder>
        </w:sdtPr>
        <w:sdtContent>
          <w:r w:rsidR="00470019" w:rsidRPr="00470019">
            <w:rPr>
              <w:color w:val="000000"/>
              <w:sz w:val="22"/>
              <w:szCs w:val="22"/>
            </w:rPr>
            <w:t>(Torfing et al., 2012)</w:t>
          </w:r>
        </w:sdtContent>
      </w:sdt>
      <w:r w:rsidRPr="006131F2">
        <w:rPr>
          <w:sz w:val="22"/>
          <w:szCs w:val="22"/>
        </w:rPr>
        <w:t>.</w:t>
      </w:r>
    </w:p>
    <w:p w14:paraId="4CB48307" w14:textId="77777777" w:rsidR="006131F2" w:rsidRPr="006131F2" w:rsidRDefault="006131F2" w:rsidP="006131F2">
      <w:pPr>
        <w:spacing w:line="276" w:lineRule="auto"/>
        <w:rPr>
          <w:b/>
          <w:bCs/>
          <w:sz w:val="22"/>
          <w:szCs w:val="22"/>
        </w:rPr>
      </w:pPr>
      <w:r w:rsidRPr="006131F2">
        <w:rPr>
          <w:b/>
          <w:bCs/>
          <w:sz w:val="22"/>
          <w:szCs w:val="22"/>
        </w:rPr>
        <w:t>Relevance of the Theories to Local Government Decision-Making</w:t>
      </w:r>
    </w:p>
    <w:p w14:paraId="44137CDC" w14:textId="77777777" w:rsidR="006131F2" w:rsidRPr="006131F2" w:rsidRDefault="006131F2" w:rsidP="006131F2">
      <w:pPr>
        <w:spacing w:line="276" w:lineRule="auto"/>
        <w:rPr>
          <w:sz w:val="22"/>
          <w:szCs w:val="22"/>
        </w:rPr>
      </w:pPr>
      <w:r w:rsidRPr="006131F2">
        <w:rPr>
          <w:sz w:val="22"/>
          <w:szCs w:val="22"/>
        </w:rPr>
        <w:t>The three theoretical perspectives discussed above provide a comprehensive framework for understanding the relationship between citizen participation and the quality of decision-making in local government institutions. Participatory Democracy Theory emphasizes the importance of institutional arrangements that enable citizens to actively engage in governance processes</w:t>
      </w:r>
      <w:r w:rsidR="00470019">
        <w:rPr>
          <w:sz w:val="22"/>
          <w:szCs w:val="22"/>
        </w:rPr>
        <w:t xml:space="preserve"> </w:t>
      </w:r>
      <w:sdt>
        <w:sdtPr>
          <w:rPr>
            <w:color w:val="000000"/>
            <w:sz w:val="22"/>
            <w:szCs w:val="22"/>
          </w:rPr>
          <w:tag w:val="MENDELEY_CITATION_v3_eyJjaXRhdGlvbklEIjoiTUVOREVMRVlfQ0lUQVRJT05fYTg5YTgzMTMtMzIyZC00MTM3LWE4MWItOGE2MmQzMmQ2M2U0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391422647"/>
          <w:placeholder>
            <w:docPart w:val="DefaultPlaceholder_-1854013440"/>
          </w:placeholder>
        </w:sdtPr>
        <w:sdtContent>
          <w:r w:rsidR="00470019" w:rsidRPr="00470019">
            <w:rPr>
              <w:color w:val="000000"/>
              <w:sz w:val="22"/>
              <w:szCs w:val="22"/>
            </w:rPr>
            <w:t>(Holum, 2023)</w:t>
          </w:r>
        </w:sdtContent>
      </w:sdt>
      <w:r w:rsidRPr="006131F2">
        <w:rPr>
          <w:sz w:val="22"/>
          <w:szCs w:val="22"/>
        </w:rPr>
        <w:t>. Through mechanisms such as public meetings, community consultations, and participatory planning sessions, citizens can contribute their perspectives and influence local government decisions.</w:t>
      </w:r>
    </w:p>
    <w:p w14:paraId="3AA9CB2E" w14:textId="77777777" w:rsidR="006131F2" w:rsidRPr="006131F2" w:rsidRDefault="006131F2" w:rsidP="006131F2">
      <w:pPr>
        <w:spacing w:line="276" w:lineRule="auto"/>
        <w:rPr>
          <w:sz w:val="22"/>
          <w:szCs w:val="22"/>
        </w:rPr>
      </w:pPr>
      <w:r w:rsidRPr="006131F2">
        <w:rPr>
          <w:sz w:val="22"/>
          <w:szCs w:val="22"/>
        </w:rPr>
        <w:t xml:space="preserve">Deliberative Democracy Theory further highlights the significance of dialogue and collective deliberation in democratic governance. Deliberative processes encourage open discussions between citizens and policymakers, allowing diverse viewpoints to be considered during policy formulation. Such interactions can enhance the quality of decision-making by </w:t>
      </w:r>
      <w:r w:rsidRPr="006131F2">
        <w:rPr>
          <w:sz w:val="22"/>
          <w:szCs w:val="22"/>
        </w:rPr>
        <w:lastRenderedPageBreak/>
        <w:t>ensuring that decisions are informed by multiple perspectives and grounded in community realities</w:t>
      </w:r>
      <w:r w:rsidR="00470019">
        <w:rPr>
          <w:sz w:val="22"/>
          <w:szCs w:val="22"/>
        </w:rPr>
        <w:t xml:space="preserve"> </w:t>
      </w:r>
      <w:sdt>
        <w:sdtPr>
          <w:rPr>
            <w:color w:val="000000"/>
            <w:sz w:val="22"/>
            <w:szCs w:val="22"/>
          </w:rPr>
          <w:tag w:val="MENDELEY_CITATION_v3_eyJjaXRhdGlvbklEIjoiTUVOREVMRVlfQ0lUQVRJT05fODliODU0OWMtZjg1OC00N2RiLWI5NjUtOGI1NDEwOGQzODhm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540403431"/>
          <w:placeholder>
            <w:docPart w:val="DefaultPlaceholder_-1854013440"/>
          </w:placeholder>
        </w:sdtPr>
        <w:sdtContent>
          <w:r w:rsidR="00470019" w:rsidRPr="00470019">
            <w:rPr>
              <w:rFonts w:eastAsia="Times New Roman"/>
              <w:color w:val="000000"/>
              <w:sz w:val="22"/>
            </w:rPr>
            <w:t>(Michels &amp; De Graaf, 2017)</w:t>
          </w:r>
        </w:sdtContent>
      </w:sdt>
      <w:r w:rsidRPr="006131F2">
        <w:rPr>
          <w:sz w:val="22"/>
          <w:szCs w:val="22"/>
        </w:rPr>
        <w:t>.</w:t>
      </w:r>
    </w:p>
    <w:p w14:paraId="1EE47396" w14:textId="77777777" w:rsidR="006131F2" w:rsidRPr="006131F2" w:rsidRDefault="006131F2" w:rsidP="006131F2">
      <w:pPr>
        <w:spacing w:line="276" w:lineRule="auto"/>
        <w:rPr>
          <w:sz w:val="22"/>
          <w:szCs w:val="22"/>
        </w:rPr>
      </w:pPr>
      <w:r w:rsidRPr="006131F2">
        <w:rPr>
          <w:sz w:val="22"/>
          <w:szCs w:val="22"/>
        </w:rPr>
        <w:t>Governance Theory complements these perspectives by emphasizing transparency, accountability, and collaborative governance arrangements. Citizen participation strengthens governance systems by enabling citizens to monitor government performance, demand accountability, and contribute to policy processes. When citizens are actively engaged in governance, local government institutions are more likely to produce decisions that are responsive to community needs and aligned with public interests</w:t>
      </w:r>
      <w:r w:rsidR="00470019">
        <w:rPr>
          <w:sz w:val="22"/>
          <w:szCs w:val="22"/>
        </w:rPr>
        <w:t xml:space="preserve"> </w:t>
      </w:r>
      <w:sdt>
        <w:sdtPr>
          <w:rPr>
            <w:color w:val="000000"/>
            <w:sz w:val="22"/>
            <w:szCs w:val="22"/>
          </w:rPr>
          <w:tag w:val="MENDELEY_CITATION_v3_eyJjaXRhdGlvbklEIjoiTUVOREVMRVlfQ0lUQVRJT05fNTg1NGY2NzktNjllYS00NjJjLThlNmYtOTkzNDQ0MWRjN2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792199984"/>
          <w:placeholder>
            <w:docPart w:val="DefaultPlaceholder_-1854013440"/>
          </w:placeholder>
        </w:sdtPr>
        <w:sdtContent>
          <w:r w:rsidR="00470019" w:rsidRPr="00470019">
            <w:rPr>
              <w:color w:val="000000"/>
              <w:sz w:val="22"/>
              <w:szCs w:val="22"/>
            </w:rPr>
            <w:t>(Lambright, 2011)</w:t>
          </w:r>
        </w:sdtContent>
      </w:sdt>
      <w:r w:rsidRPr="006131F2">
        <w:rPr>
          <w:sz w:val="22"/>
          <w:szCs w:val="22"/>
        </w:rPr>
        <w:t>.</w:t>
      </w:r>
    </w:p>
    <w:p w14:paraId="3D330D18" w14:textId="77777777" w:rsidR="006131F2" w:rsidRDefault="006131F2" w:rsidP="006131F2">
      <w:pPr>
        <w:spacing w:line="276" w:lineRule="auto"/>
        <w:rPr>
          <w:sz w:val="22"/>
          <w:szCs w:val="22"/>
        </w:rPr>
      </w:pPr>
      <w:r w:rsidRPr="006131F2">
        <w:rPr>
          <w:sz w:val="22"/>
          <w:szCs w:val="22"/>
        </w:rPr>
        <w:t>Together, these theoretical perspectives provide a conceptual foundation for examining how citizen participation influences decision-making processes within local government institutions. By integrating participatory, deliberative, and governance perspectives, the study is able to analyze both the institutional mechanisms and democratic processes through which citizen engagement can contribute to improved governance outcomes.</w:t>
      </w:r>
    </w:p>
    <w:p w14:paraId="6A8A361F" w14:textId="77777777" w:rsidR="002F18D2" w:rsidRPr="002F18D2" w:rsidRDefault="002F18D2" w:rsidP="002F18D2">
      <w:pPr>
        <w:spacing w:line="276" w:lineRule="auto"/>
        <w:rPr>
          <w:b/>
          <w:bCs/>
          <w:sz w:val="22"/>
          <w:szCs w:val="22"/>
        </w:rPr>
      </w:pPr>
      <w:r w:rsidRPr="002F18D2">
        <w:rPr>
          <w:b/>
          <w:bCs/>
          <w:sz w:val="22"/>
          <w:szCs w:val="22"/>
        </w:rPr>
        <w:t>3. Literature Review</w:t>
      </w:r>
    </w:p>
    <w:p w14:paraId="534B2C63" w14:textId="77777777" w:rsidR="002F18D2" w:rsidRPr="002F18D2" w:rsidRDefault="002F18D2" w:rsidP="002F18D2">
      <w:pPr>
        <w:spacing w:line="276" w:lineRule="auto"/>
        <w:rPr>
          <w:sz w:val="22"/>
          <w:szCs w:val="22"/>
        </w:rPr>
      </w:pPr>
      <w:r w:rsidRPr="002F18D2">
        <w:rPr>
          <w:sz w:val="22"/>
          <w:szCs w:val="22"/>
        </w:rPr>
        <w:t xml:space="preserve">Citizen participation is widely recognized as a fundamental principle of democratic governance and public administration </w:t>
      </w:r>
      <w:sdt>
        <w:sdtPr>
          <w:rPr>
            <w:color w:val="000000"/>
            <w:sz w:val="22"/>
            <w:szCs w:val="22"/>
          </w:rPr>
          <w:tag w:val="MENDELEY_CITATION_v3_eyJjaXRhdGlvbklEIjoiTUVOREVMRVlfQ0lUQVRJT05fNzdjYzMyNjYtZjZjYy00MTg5LTk4MDAtZTcxNDM1MDVkOTg1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619058937"/>
          <w:placeholder>
            <w:docPart w:val="DefaultPlaceholder_-1854013440"/>
          </w:placeholder>
        </w:sdtPr>
        <w:sdtContent>
          <w:r w:rsidR="00470019" w:rsidRPr="00470019">
            <w:rPr>
              <w:rFonts w:eastAsia="Times New Roman"/>
              <w:color w:val="000000"/>
              <w:sz w:val="22"/>
            </w:rPr>
            <w:t>(</w:t>
          </w:r>
          <w:proofErr w:type="spellStart"/>
          <w:r w:rsidR="00470019" w:rsidRPr="00470019">
            <w:rPr>
              <w:rFonts w:eastAsia="Times New Roman"/>
              <w:color w:val="000000"/>
              <w:sz w:val="22"/>
            </w:rPr>
            <w:t>Nabatchi</w:t>
          </w:r>
          <w:proofErr w:type="spellEnd"/>
          <w:r w:rsidR="00470019" w:rsidRPr="00470019">
            <w:rPr>
              <w:rFonts w:eastAsia="Times New Roman"/>
              <w:color w:val="000000"/>
              <w:sz w:val="22"/>
            </w:rPr>
            <w:t xml:space="preserve"> &amp; </w:t>
          </w:r>
          <w:proofErr w:type="spellStart"/>
          <w:r w:rsidR="00470019" w:rsidRPr="00470019">
            <w:rPr>
              <w:rFonts w:eastAsia="Times New Roman"/>
              <w:color w:val="000000"/>
              <w:sz w:val="22"/>
            </w:rPr>
            <w:t>Leighninger</w:t>
          </w:r>
          <w:proofErr w:type="spellEnd"/>
          <w:r w:rsidR="00470019" w:rsidRPr="00470019">
            <w:rPr>
              <w:rFonts w:eastAsia="Times New Roman"/>
              <w:color w:val="000000"/>
              <w:sz w:val="22"/>
            </w:rPr>
            <w:t>, 2015)</w:t>
          </w:r>
        </w:sdtContent>
      </w:sdt>
      <w:r w:rsidRPr="002F18D2">
        <w:rPr>
          <w:sz w:val="22"/>
          <w:szCs w:val="22"/>
        </w:rPr>
        <w:t xml:space="preserve">. The concept generally refers to the involvement of citizens in public decision-making processes that affect their communities and livelihoods </w:t>
      </w:r>
      <w:sdt>
        <w:sdtPr>
          <w:rPr>
            <w:color w:val="000000"/>
            <w:sz w:val="22"/>
            <w:szCs w:val="22"/>
          </w:rPr>
          <w:tag w:val="MENDELEY_CITATION_v3_eyJjaXRhdGlvbklEIjoiTUVOREVMRVlfQ0lUQVRJT05fY2Y1MDI1MGUtNTA5OC00ZTkwLTk0YmUtZTZmMWMxODVhYjdk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094511898"/>
          <w:placeholder>
            <w:docPart w:val="DefaultPlaceholder_-1854013440"/>
          </w:placeholder>
        </w:sdtPr>
        <w:sdtContent>
          <w:r w:rsidR="00470019" w:rsidRPr="00470019">
            <w:rPr>
              <w:rFonts w:eastAsia="Times New Roman"/>
              <w:color w:val="000000"/>
              <w:sz w:val="22"/>
            </w:rPr>
            <w:t>(Michels &amp; De Graaf, 2017)</w:t>
          </w:r>
        </w:sdtContent>
      </w:sdt>
      <w:r w:rsidRPr="002F18D2">
        <w:rPr>
          <w:sz w:val="22"/>
          <w:szCs w:val="22"/>
        </w:rPr>
        <w:t xml:space="preserve">. In governance systems that embrace participatory principles, citizens are not treated merely as passive recipients of public services but are instead considered active contributors to governance processes </w:t>
      </w:r>
      <w:sdt>
        <w:sdtPr>
          <w:rPr>
            <w:color w:val="000000"/>
            <w:sz w:val="22"/>
            <w:szCs w:val="22"/>
          </w:rPr>
          <w:tag w:val="MENDELEY_CITATION_v3_eyJjaXRhdGlvbklEIjoiTUVOREVMRVlfQ0lUQVRJT05fZjEzZGQxYmEtODA3OC00YmZiLTg1NWQtN2E3OTE2ZTlhNzA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645464180"/>
          <w:placeholder>
            <w:docPart w:val="DefaultPlaceholder_-1854013440"/>
          </w:placeholder>
        </w:sdtPr>
        <w:sdtContent>
          <w:r w:rsidR="00470019" w:rsidRPr="00470019">
            <w:rPr>
              <w:color w:val="000000"/>
              <w:sz w:val="22"/>
              <w:szCs w:val="22"/>
            </w:rPr>
            <w:t>(Fung, 2015)</w:t>
          </w:r>
        </w:sdtContent>
      </w:sdt>
      <w:r w:rsidRPr="002F18D2">
        <w:rPr>
          <w:sz w:val="22"/>
          <w:szCs w:val="22"/>
        </w:rPr>
        <w:t>.</w:t>
      </w:r>
    </w:p>
    <w:p w14:paraId="05F2A5BD" w14:textId="77777777" w:rsidR="002F18D2" w:rsidRPr="002F18D2" w:rsidRDefault="002F18D2" w:rsidP="002F18D2">
      <w:pPr>
        <w:spacing w:line="276" w:lineRule="auto"/>
        <w:rPr>
          <w:sz w:val="22"/>
          <w:szCs w:val="22"/>
        </w:rPr>
      </w:pPr>
      <w:r w:rsidRPr="002F18D2">
        <w:rPr>
          <w:sz w:val="22"/>
          <w:szCs w:val="22"/>
        </w:rPr>
        <w:t xml:space="preserve">Scholars in public administration describe citizen participation as institutional arrangements that enable citizens to influence public policies and government decisions through structured engagement mechanisms </w:t>
      </w:r>
      <w:sdt>
        <w:sdtPr>
          <w:rPr>
            <w:color w:val="000000"/>
            <w:sz w:val="22"/>
            <w:szCs w:val="22"/>
          </w:rPr>
          <w:tag w:val="MENDELEY_CITATION_v3_eyJjaXRhdGlvbklEIjoiTUVOREVMRVlfQ0lUQVRJT05fNzllZjkzMmYtODJjZi00ZTZiLWFhZjAtMTY5NTczOTcwZGNh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627598984"/>
          <w:placeholder>
            <w:docPart w:val="DefaultPlaceholder_-1854013440"/>
          </w:placeholder>
        </w:sdtPr>
        <w:sdtContent>
          <w:r w:rsidR="00470019" w:rsidRPr="00470019">
            <w:rPr>
              <w:rFonts w:eastAsia="Times New Roman"/>
              <w:color w:val="000000"/>
              <w:sz w:val="22"/>
            </w:rPr>
            <w:t>(Quick &amp; Bryson, 2022)</w:t>
          </w:r>
        </w:sdtContent>
      </w:sdt>
      <w:r w:rsidRPr="002F18D2">
        <w:rPr>
          <w:sz w:val="22"/>
          <w:szCs w:val="22"/>
        </w:rPr>
        <w:t xml:space="preserve">. These mechanisms allow citizens to express their preferences, provide feedback on policy proposals, and collaborate with public officials in solving governance challenges </w:t>
      </w:r>
      <w:sdt>
        <w:sdtPr>
          <w:rPr>
            <w:color w:val="000000"/>
            <w:sz w:val="22"/>
            <w:szCs w:val="22"/>
          </w:rPr>
          <w:tag w:val="MENDELEY_CITATION_v3_eyJjaXRhdGlvbklEIjoiTUVOREVMRVlfQ0lUQVRJT05fYjFhNjM0ZTUtZjY4NC00ZTg2LTk4ODUtNzVlMTZmNDc0MTIx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710772787"/>
          <w:placeholder>
            <w:docPart w:val="DefaultPlaceholder_-1854013440"/>
          </w:placeholder>
        </w:sdtPr>
        <w:sdtContent>
          <w:r w:rsidR="00470019" w:rsidRPr="00470019">
            <w:rPr>
              <w:rFonts w:eastAsia="Times New Roman"/>
              <w:color w:val="000000"/>
              <w:sz w:val="22"/>
            </w:rPr>
            <w:t>(</w:t>
          </w:r>
          <w:proofErr w:type="spellStart"/>
          <w:r w:rsidR="00470019" w:rsidRPr="00470019">
            <w:rPr>
              <w:rFonts w:eastAsia="Times New Roman"/>
              <w:color w:val="000000"/>
              <w:sz w:val="22"/>
            </w:rPr>
            <w:t>Nabatchi</w:t>
          </w:r>
          <w:proofErr w:type="spellEnd"/>
          <w:r w:rsidR="00470019" w:rsidRPr="00470019">
            <w:rPr>
              <w:rFonts w:eastAsia="Times New Roman"/>
              <w:color w:val="000000"/>
              <w:sz w:val="22"/>
            </w:rPr>
            <w:t xml:space="preserve"> &amp; </w:t>
          </w:r>
          <w:proofErr w:type="spellStart"/>
          <w:r w:rsidR="00470019" w:rsidRPr="00470019">
            <w:rPr>
              <w:rFonts w:eastAsia="Times New Roman"/>
              <w:color w:val="000000"/>
              <w:sz w:val="22"/>
            </w:rPr>
            <w:t>Leighninger</w:t>
          </w:r>
          <w:proofErr w:type="spellEnd"/>
          <w:r w:rsidR="00470019" w:rsidRPr="00470019">
            <w:rPr>
              <w:rFonts w:eastAsia="Times New Roman"/>
              <w:color w:val="000000"/>
              <w:sz w:val="22"/>
            </w:rPr>
            <w:t>, 2015)</w:t>
          </w:r>
        </w:sdtContent>
      </w:sdt>
      <w:r w:rsidRPr="002F18D2">
        <w:rPr>
          <w:sz w:val="22"/>
          <w:szCs w:val="22"/>
        </w:rPr>
        <w:t xml:space="preserve">. Through such engagement processes, participation strengthens democratic legitimacy by ensuring that public policies reflect the interests and priorities of citizens </w:t>
      </w:r>
      <w:sdt>
        <w:sdtPr>
          <w:rPr>
            <w:color w:val="000000"/>
            <w:sz w:val="22"/>
            <w:szCs w:val="22"/>
          </w:rPr>
          <w:tag w:val="MENDELEY_CITATION_v3_eyJjaXRhdGlvbklEIjoiTUVOREVMRVlfQ0lUQVRJT05fNzdjZTMxN2YtMjE2NS00ZTMzLWJlMDYtMTlmYTQzOTFlNjg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94894595"/>
          <w:placeholder>
            <w:docPart w:val="DefaultPlaceholder_-1854013440"/>
          </w:placeholder>
        </w:sdtPr>
        <w:sdtContent>
          <w:r w:rsidR="00470019" w:rsidRPr="00470019">
            <w:rPr>
              <w:rFonts w:eastAsia="Times New Roman"/>
              <w:color w:val="000000"/>
              <w:sz w:val="22"/>
            </w:rPr>
            <w:t>(Michels &amp; De Graaf, 2017)</w:t>
          </w:r>
        </w:sdtContent>
      </w:sdt>
      <w:r w:rsidRPr="002F18D2">
        <w:rPr>
          <w:sz w:val="22"/>
          <w:szCs w:val="22"/>
        </w:rPr>
        <w:t>.</w:t>
      </w:r>
    </w:p>
    <w:p w14:paraId="48CCF9FC" w14:textId="77777777" w:rsidR="002F18D2" w:rsidRPr="002F18D2" w:rsidRDefault="002F18D2" w:rsidP="002F18D2">
      <w:pPr>
        <w:spacing w:line="276" w:lineRule="auto"/>
        <w:rPr>
          <w:sz w:val="22"/>
          <w:szCs w:val="22"/>
        </w:rPr>
      </w:pPr>
      <w:r w:rsidRPr="002F18D2">
        <w:rPr>
          <w:sz w:val="22"/>
          <w:szCs w:val="22"/>
        </w:rPr>
        <w:t xml:space="preserve">Citizen participation is also closely linked to the broader concept of participatory governance, which emphasizes collaborative interactions between citizens, government institutions, and civil society organizations </w:t>
      </w:r>
      <w:sdt>
        <w:sdtPr>
          <w:rPr>
            <w:color w:val="000000"/>
            <w:sz w:val="22"/>
            <w:szCs w:val="22"/>
          </w:rPr>
          <w:tag w:val="MENDELEY_CITATION_v3_eyJjaXRhdGlvbklEIjoiTUVOREVMRVlfQ0lUQVRJT05fMWIxNmNjNTQtNDBmNS00N2ExLWIzMGYtNGFlNTMxYjRkYjA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77365773"/>
          <w:placeholder>
            <w:docPart w:val="DefaultPlaceholder_-1854013440"/>
          </w:placeholder>
        </w:sdtPr>
        <w:sdtContent>
          <w:r w:rsidR="00470019" w:rsidRPr="00470019">
            <w:rPr>
              <w:rFonts w:eastAsia="Times New Roman"/>
              <w:color w:val="000000"/>
              <w:sz w:val="22"/>
            </w:rPr>
            <w:t>(Bovaird &amp; Loeffler, 2012)</w:t>
          </w:r>
        </w:sdtContent>
      </w:sdt>
      <w:r w:rsidRPr="002F18D2">
        <w:rPr>
          <w:sz w:val="22"/>
          <w:szCs w:val="22"/>
        </w:rPr>
        <w:t xml:space="preserve">. Participatory governance frameworks recognize that effective governance requires the involvement of multiple stakeholders in policy processes, particularly those who are directly affected by public decisions </w:t>
      </w:r>
      <w:sdt>
        <w:sdtPr>
          <w:rPr>
            <w:color w:val="000000"/>
            <w:sz w:val="22"/>
            <w:szCs w:val="22"/>
          </w:rPr>
          <w:tag w:val="MENDELEY_CITATION_v3_eyJjaXRhdGlvbklEIjoiTUVOREVMRVlfQ0lUQVRJT05fODZkNWNhOTgtNDg1Ni00ZGM3LWJlYzktZjk1MzM1ZTJlODU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329803292"/>
          <w:placeholder>
            <w:docPart w:val="DefaultPlaceholder_-1854013440"/>
          </w:placeholder>
        </w:sdtPr>
        <w:sdtContent>
          <w:r w:rsidR="00470019" w:rsidRPr="00470019">
            <w:rPr>
              <w:color w:val="000000"/>
              <w:sz w:val="22"/>
              <w:szCs w:val="22"/>
            </w:rPr>
            <w:t>(Fung, 2015)</w:t>
          </w:r>
        </w:sdtContent>
      </w:sdt>
      <w:r w:rsidRPr="002F18D2">
        <w:rPr>
          <w:sz w:val="22"/>
          <w:szCs w:val="22"/>
        </w:rPr>
        <w:t xml:space="preserve">. In this regard, citizen participation contributes to improved governance outcomes by integrating local knowledge and community perspectives into policymaking processes </w:t>
      </w:r>
      <w:sdt>
        <w:sdtPr>
          <w:rPr>
            <w:color w:val="000000"/>
            <w:sz w:val="22"/>
            <w:szCs w:val="22"/>
          </w:rPr>
          <w:tag w:val="MENDELEY_CITATION_v3_eyJjaXRhdGlvbklEIjoiTUVOREVMRVlfQ0lUQVRJT05fZjMzZmJiZDItNGFhNC00NzI2LThkYTUtYzcwMmUyYmYyNmJk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947346048"/>
          <w:placeholder>
            <w:docPart w:val="DefaultPlaceholder_-1854013440"/>
          </w:placeholder>
        </w:sdtPr>
        <w:sdtContent>
          <w:r w:rsidR="00EE728C" w:rsidRPr="00EE728C">
            <w:rPr>
              <w:rFonts w:eastAsia="Times New Roman"/>
              <w:color w:val="000000"/>
              <w:sz w:val="22"/>
            </w:rPr>
            <w:t>(Quick &amp; Bryson, 2022)</w:t>
          </w:r>
        </w:sdtContent>
      </w:sdt>
      <w:r w:rsidRPr="002F18D2">
        <w:rPr>
          <w:sz w:val="22"/>
          <w:szCs w:val="22"/>
        </w:rPr>
        <w:t>.</w:t>
      </w:r>
    </w:p>
    <w:p w14:paraId="7A9F0678" w14:textId="77777777" w:rsidR="002F18D2" w:rsidRPr="002F18D2" w:rsidRDefault="002F18D2" w:rsidP="002F18D2">
      <w:pPr>
        <w:spacing w:line="276" w:lineRule="auto"/>
        <w:rPr>
          <w:sz w:val="22"/>
          <w:szCs w:val="22"/>
        </w:rPr>
      </w:pPr>
      <w:r w:rsidRPr="002F18D2">
        <w:rPr>
          <w:sz w:val="22"/>
          <w:szCs w:val="22"/>
        </w:rPr>
        <w:t xml:space="preserve">Different forms of citizen participation exist depending on the level of influence citizens have in decision-making processes. These forms include consultation, partnership, and shared decision-making between citizens and government institutions </w:t>
      </w:r>
      <w:sdt>
        <w:sdtPr>
          <w:rPr>
            <w:color w:val="000000"/>
            <w:sz w:val="22"/>
            <w:szCs w:val="22"/>
          </w:rPr>
          <w:tag w:val="MENDELEY_CITATION_v3_eyJjaXRhdGlvbklEIjoiTUVOREVMRVlfQ0lUQVRJT05fZmI5YjdjNGUtMDM5OC00ZTRiLTgzMWEtYmNkNmE4MzVkNDM5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786725845"/>
          <w:placeholder>
            <w:docPart w:val="DefaultPlaceholder_-1854013440"/>
          </w:placeholder>
        </w:sdtPr>
        <w:sdtContent>
          <w:r w:rsidR="00EE728C" w:rsidRPr="00EE728C">
            <w:rPr>
              <w:rFonts w:eastAsia="Times New Roman"/>
              <w:color w:val="000000"/>
              <w:sz w:val="22"/>
            </w:rPr>
            <w:t>(</w:t>
          </w:r>
          <w:proofErr w:type="spellStart"/>
          <w:r w:rsidR="00EE728C" w:rsidRPr="00EE728C">
            <w:rPr>
              <w:rFonts w:eastAsia="Times New Roman"/>
              <w:color w:val="000000"/>
              <w:sz w:val="22"/>
            </w:rPr>
            <w:t>Nabatchi</w:t>
          </w:r>
          <w:proofErr w:type="spellEnd"/>
          <w:r w:rsidR="00EE728C" w:rsidRPr="00EE728C">
            <w:rPr>
              <w:rFonts w:eastAsia="Times New Roman"/>
              <w:color w:val="000000"/>
              <w:sz w:val="22"/>
            </w:rPr>
            <w:t xml:space="preserve"> &amp; </w:t>
          </w:r>
          <w:proofErr w:type="spellStart"/>
          <w:r w:rsidR="00EE728C" w:rsidRPr="00EE728C">
            <w:rPr>
              <w:rFonts w:eastAsia="Times New Roman"/>
              <w:color w:val="000000"/>
              <w:sz w:val="22"/>
            </w:rPr>
            <w:t>Leighninger</w:t>
          </w:r>
          <w:proofErr w:type="spellEnd"/>
          <w:r w:rsidR="00EE728C" w:rsidRPr="00EE728C">
            <w:rPr>
              <w:rFonts w:eastAsia="Times New Roman"/>
              <w:color w:val="000000"/>
              <w:sz w:val="22"/>
            </w:rPr>
            <w:t>, 2015)</w:t>
          </w:r>
        </w:sdtContent>
      </w:sdt>
      <w:r w:rsidRPr="002F18D2">
        <w:rPr>
          <w:sz w:val="22"/>
          <w:szCs w:val="22"/>
        </w:rPr>
        <w:t xml:space="preserve">. Consultation mechanisms involve seeking citizen opinions on policy proposals, while partnership arrangements involve collaboration between citizens and government officials in policy implementation and monitoring </w:t>
      </w:r>
      <w:sdt>
        <w:sdtPr>
          <w:rPr>
            <w:color w:val="000000"/>
            <w:sz w:val="22"/>
            <w:szCs w:val="22"/>
          </w:rPr>
          <w:tag w:val="MENDELEY_CITATION_v3_eyJjaXRhdGlvbklEIjoiTUVOREVMRVlfQ0lUQVRJT05fMzM2NmY2NzUtMTg0MC00ODBlLThlN2ItNTg5MTAxNzdhMG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584994025"/>
          <w:placeholder>
            <w:docPart w:val="DefaultPlaceholder_-1854013440"/>
          </w:placeholder>
        </w:sdtPr>
        <w:sdtContent>
          <w:r w:rsidR="00EE728C" w:rsidRPr="00EE728C">
            <w:rPr>
              <w:rFonts w:eastAsia="Times New Roman"/>
              <w:color w:val="000000"/>
              <w:sz w:val="22"/>
            </w:rPr>
            <w:t>(Quick &amp; Bryson, 2022)</w:t>
          </w:r>
        </w:sdtContent>
      </w:sdt>
      <w:r w:rsidRPr="002F18D2">
        <w:rPr>
          <w:sz w:val="22"/>
          <w:szCs w:val="22"/>
        </w:rPr>
        <w:t xml:space="preserve">. In more advanced participatory systems, citizens may exercise direct influence over public resource allocation and development priorities through mechanisms such as participatory budgeting </w:t>
      </w:r>
      <w:sdt>
        <w:sdtPr>
          <w:rPr>
            <w:color w:val="000000"/>
            <w:sz w:val="22"/>
            <w:szCs w:val="22"/>
          </w:rPr>
          <w:tag w:val="MENDELEY_CITATION_v3_eyJjaXRhdGlvbklEIjoiTUVOREVMRVlfQ0lUQVRJT05fNjc1ZGMyNmMtNjJlYy00ZGEwLWI2YTYtMjU1ZmY3NGRjNjJ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979686049"/>
          <w:placeholder>
            <w:docPart w:val="DefaultPlaceholder_-1854013440"/>
          </w:placeholder>
        </w:sdtPr>
        <w:sdtContent>
          <w:r w:rsidR="00EE728C" w:rsidRPr="00EE728C">
            <w:rPr>
              <w:color w:val="000000"/>
              <w:sz w:val="22"/>
              <w:szCs w:val="22"/>
            </w:rPr>
            <w:t>(Wampler et al., 2021)</w:t>
          </w:r>
        </w:sdtContent>
      </w:sdt>
      <w:r w:rsidRPr="002F18D2">
        <w:rPr>
          <w:sz w:val="22"/>
          <w:szCs w:val="22"/>
        </w:rPr>
        <w:t>.</w:t>
      </w:r>
    </w:p>
    <w:p w14:paraId="41C82633" w14:textId="77777777" w:rsidR="002F18D2" w:rsidRPr="002F18D2" w:rsidRDefault="002F18D2" w:rsidP="002F18D2">
      <w:pPr>
        <w:spacing w:line="276" w:lineRule="auto"/>
        <w:rPr>
          <w:sz w:val="22"/>
          <w:szCs w:val="22"/>
        </w:rPr>
      </w:pPr>
      <w:r w:rsidRPr="002F18D2">
        <w:rPr>
          <w:sz w:val="22"/>
          <w:szCs w:val="22"/>
        </w:rPr>
        <w:lastRenderedPageBreak/>
        <w:t xml:space="preserve">Within decentralized governance systems, citizen participation is particularly important at the local government level because local authorities are responsible for delivering essential services to communities </w:t>
      </w:r>
      <w:sdt>
        <w:sdtPr>
          <w:rPr>
            <w:color w:val="000000"/>
            <w:sz w:val="22"/>
            <w:szCs w:val="22"/>
          </w:rPr>
          <w:tag w:val="MENDELEY_CITATION_v3_eyJjaXRhdGlvbklEIjoiTUVOREVMRVlfQ0lUQVRJT05fZWU4MzY4MzgtZDQyYS00Nzg1LWFkMzgtNjJjNjBlN2MyM2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60856915"/>
          <w:placeholder>
            <w:docPart w:val="DefaultPlaceholder_-1854013440"/>
          </w:placeholder>
        </w:sdtPr>
        <w:sdtContent>
          <w:r w:rsidR="001E0996" w:rsidRPr="001E0996">
            <w:rPr>
              <w:rFonts w:eastAsia="Times New Roman"/>
              <w:color w:val="000000"/>
              <w:sz w:val="22"/>
            </w:rPr>
            <w:t>(Bovaird &amp; Loeffler, 2012)</w:t>
          </w:r>
        </w:sdtContent>
      </w:sdt>
      <w:r w:rsidRPr="002F18D2">
        <w:rPr>
          <w:sz w:val="22"/>
          <w:szCs w:val="22"/>
        </w:rPr>
        <w:t xml:space="preserve">. Effective citizen engagement mechanisms therefore enable local governments to incorporate community perspectives into development planning and decision-making processes </w:t>
      </w:r>
      <w:sdt>
        <w:sdtPr>
          <w:rPr>
            <w:color w:val="000000"/>
            <w:sz w:val="22"/>
            <w:szCs w:val="22"/>
          </w:rPr>
          <w:tag w:val="MENDELEY_CITATION_v3_eyJjaXRhdGlvbklEIjoiTUVOREVMRVlfQ0lUQVRJT05fOTViNzllMGMtOGEyZC00ZjIzLWE1YWEtYmI2MWY4NTg2YjA4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407536503"/>
          <w:placeholder>
            <w:docPart w:val="DefaultPlaceholder_-1854013440"/>
          </w:placeholder>
        </w:sdtPr>
        <w:sdtContent>
          <w:r w:rsidR="001E0996" w:rsidRPr="001E0996">
            <w:rPr>
              <w:rFonts w:eastAsia="Times New Roman"/>
              <w:color w:val="000000"/>
              <w:sz w:val="22"/>
            </w:rPr>
            <w:t>(Michels &amp; De Graaf, 2017)</w:t>
          </w:r>
        </w:sdtContent>
      </w:sdt>
      <w:r w:rsidRPr="002F18D2">
        <w:rPr>
          <w:sz w:val="22"/>
          <w:szCs w:val="22"/>
        </w:rPr>
        <w:t>.</w:t>
      </w:r>
    </w:p>
    <w:p w14:paraId="366E4F11" w14:textId="77777777" w:rsidR="002F18D2" w:rsidRPr="002F18D2" w:rsidRDefault="002F18D2" w:rsidP="002F18D2">
      <w:pPr>
        <w:spacing w:line="276" w:lineRule="auto"/>
        <w:rPr>
          <w:sz w:val="22"/>
          <w:szCs w:val="22"/>
        </w:rPr>
      </w:pPr>
      <w:r w:rsidRPr="002F18D2">
        <w:rPr>
          <w:sz w:val="22"/>
          <w:szCs w:val="22"/>
        </w:rPr>
        <w:t xml:space="preserve">Local governments utilize a variety of institutional mechanisms to facilitate citizen participation in governance processes </w:t>
      </w:r>
      <w:sdt>
        <w:sdtPr>
          <w:rPr>
            <w:color w:val="000000"/>
            <w:sz w:val="22"/>
            <w:szCs w:val="22"/>
          </w:rPr>
          <w:tag w:val="MENDELEY_CITATION_v3_eyJjaXRhdGlvbklEIjoiTUVOREVMRVlfQ0lUQVRJT05fMGY1N2RlMjctOWQ3Mi00ZTU1LTliYWYtMGM2MTJhZmEwYTJ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678079666"/>
          <w:placeholder>
            <w:docPart w:val="DefaultPlaceholder_-1854013440"/>
          </w:placeholder>
        </w:sdtPr>
        <w:sdtContent>
          <w:r w:rsidR="001E0996" w:rsidRPr="001E0996">
            <w:rPr>
              <w:color w:val="000000"/>
              <w:sz w:val="22"/>
              <w:szCs w:val="22"/>
            </w:rPr>
            <w:t>(Fung, 2015)</w:t>
          </w:r>
        </w:sdtContent>
      </w:sdt>
      <w:r w:rsidRPr="002F18D2">
        <w:rPr>
          <w:sz w:val="22"/>
          <w:szCs w:val="22"/>
        </w:rPr>
        <w:t xml:space="preserve">. These mechanisms create formal and informal channels through which citizens can interact with government officials, express their views on policy issues, and influence local development decisions </w:t>
      </w:r>
      <w:sdt>
        <w:sdtPr>
          <w:rPr>
            <w:color w:val="000000"/>
            <w:sz w:val="22"/>
            <w:szCs w:val="22"/>
          </w:rPr>
          <w:tag w:val="MENDELEY_CITATION_v3_eyJjaXRhdGlvbklEIjoiTUVOREVMRVlfQ0lUQVRJT05fZDFhYTM5ZGItMjE4MS00NzEzLWE5YzMtNTc3MDc2NDIzYjY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635866322"/>
          <w:placeholder>
            <w:docPart w:val="DefaultPlaceholder_-1854013440"/>
          </w:placeholder>
        </w:sdtPr>
        <w:sdtContent>
          <w:r w:rsidR="001E0996" w:rsidRPr="001E0996">
            <w:rPr>
              <w:rFonts w:eastAsia="Times New Roman"/>
              <w:color w:val="000000"/>
              <w:sz w:val="22"/>
            </w:rPr>
            <w:t>(Quick &amp; Bryson, 2022)</w:t>
          </w:r>
        </w:sdtContent>
      </w:sdt>
      <w:r w:rsidRPr="002F18D2">
        <w:rPr>
          <w:sz w:val="22"/>
          <w:szCs w:val="22"/>
        </w:rPr>
        <w:t xml:space="preserve">. The effectiveness of participatory governance systems depends largely on the accessibility and inclusiveness of these participation mechanisms </w:t>
      </w:r>
      <w:sdt>
        <w:sdtPr>
          <w:rPr>
            <w:color w:val="000000"/>
            <w:sz w:val="22"/>
            <w:szCs w:val="22"/>
          </w:rPr>
          <w:tag w:val="MENDELEY_CITATION_v3_eyJjaXRhdGlvbklEIjoiTUVOREVMRVlfQ0lUQVRJT05fNDYwODI0NmQtZjJiNS00YTUwLTkzNDctZWQwNWJiNjBkYjA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1350799"/>
          <w:placeholder>
            <w:docPart w:val="DefaultPlaceholder_-1854013440"/>
          </w:placeholder>
        </w:sdtPr>
        <w:sdtContent>
          <w:r w:rsidR="001E0996" w:rsidRPr="001E0996">
            <w:rPr>
              <w:rFonts w:eastAsia="Times New Roman"/>
              <w:color w:val="000000"/>
              <w:sz w:val="22"/>
            </w:rPr>
            <w:t>(Bovaird &amp; Loeffler, 2012)</w:t>
          </w:r>
        </w:sdtContent>
      </w:sdt>
      <w:r w:rsidRPr="002F18D2">
        <w:rPr>
          <w:sz w:val="22"/>
          <w:szCs w:val="22"/>
        </w:rPr>
        <w:t>.</w:t>
      </w:r>
    </w:p>
    <w:p w14:paraId="40DBFF2A" w14:textId="77777777" w:rsidR="002F18D2" w:rsidRPr="002F18D2" w:rsidRDefault="002F18D2" w:rsidP="002F18D2">
      <w:pPr>
        <w:spacing w:line="276" w:lineRule="auto"/>
        <w:rPr>
          <w:sz w:val="22"/>
          <w:szCs w:val="22"/>
        </w:rPr>
      </w:pPr>
      <w:r w:rsidRPr="002F18D2">
        <w:rPr>
          <w:sz w:val="22"/>
          <w:szCs w:val="22"/>
        </w:rPr>
        <w:t xml:space="preserve">One commonly used mechanism for promoting citizen participation is the organization of </w:t>
      </w:r>
      <w:r w:rsidRPr="002F18D2">
        <w:rPr>
          <w:bCs/>
          <w:sz w:val="22"/>
          <w:szCs w:val="22"/>
        </w:rPr>
        <w:t>public hearings</w:t>
      </w:r>
      <w:r w:rsidRPr="002F18D2">
        <w:rPr>
          <w:sz w:val="22"/>
          <w:szCs w:val="22"/>
        </w:rPr>
        <w:t xml:space="preserve"> </w:t>
      </w:r>
      <w:sdt>
        <w:sdtPr>
          <w:rPr>
            <w:color w:val="000000"/>
            <w:sz w:val="22"/>
            <w:szCs w:val="22"/>
          </w:rPr>
          <w:tag w:val="MENDELEY_CITATION_v3_eyJjaXRhdGlvbklEIjoiTUVOREVMRVlfQ0lUQVRJT05fZTEwYmQyMTMtMWM4NC00ZjMzLWFhMmYtMjcxYzNlNWJjYjBm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963611822"/>
          <w:placeholder>
            <w:docPart w:val="DefaultPlaceholder_-1854013440"/>
          </w:placeholder>
        </w:sdtPr>
        <w:sdtContent>
          <w:r w:rsidR="001E0996" w:rsidRPr="001E0996">
            <w:rPr>
              <w:color w:val="000000"/>
              <w:sz w:val="22"/>
              <w:szCs w:val="22"/>
            </w:rPr>
            <w:t>(Fung, 2015)</w:t>
          </w:r>
        </w:sdtContent>
      </w:sdt>
      <w:r w:rsidRPr="002F18D2">
        <w:rPr>
          <w:sz w:val="22"/>
          <w:szCs w:val="22"/>
        </w:rPr>
        <w:t xml:space="preserve">. Public hearings provide formal forums where citizens can present their views on proposed policies, development projects, and regulatory decisions </w:t>
      </w:r>
      <w:sdt>
        <w:sdtPr>
          <w:rPr>
            <w:color w:val="000000"/>
            <w:sz w:val="22"/>
            <w:szCs w:val="22"/>
          </w:rPr>
          <w:tag w:val="MENDELEY_CITATION_v3_eyJjaXRhdGlvbklEIjoiTUVOREVMRVlfQ0lUQVRJT05fOWI4YjhiNmEtOGRmZi00NjE5LTg3MTEtMDZhMTQwYWNmNmRm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418320164"/>
          <w:placeholder>
            <w:docPart w:val="DefaultPlaceholder_-1854013440"/>
          </w:placeholder>
        </w:sdtPr>
        <w:sdtContent>
          <w:r w:rsidR="001E0996" w:rsidRPr="001E0996">
            <w:rPr>
              <w:rFonts w:eastAsia="Times New Roman"/>
              <w:color w:val="000000"/>
              <w:sz w:val="22"/>
            </w:rPr>
            <w:t>(Quick &amp; Bryson, 2022)</w:t>
          </w:r>
        </w:sdtContent>
      </w:sdt>
      <w:r w:rsidRPr="002F18D2">
        <w:rPr>
          <w:sz w:val="22"/>
          <w:szCs w:val="22"/>
        </w:rPr>
        <w:t xml:space="preserve">. These forums allow policymakers to gather citizen feedback before making final decisions, thereby enhancing transparency and democratic legitimacy in governance processes </w:t>
      </w:r>
      <w:sdt>
        <w:sdtPr>
          <w:rPr>
            <w:color w:val="000000"/>
            <w:sz w:val="22"/>
            <w:szCs w:val="22"/>
          </w:rPr>
          <w:tag w:val="MENDELEY_CITATION_v3_eyJjaXRhdGlvbklEIjoiTUVOREVMRVlfQ0lUQVRJT05fYzE0Y2Y3MjItNzBiYS00OWFkLWJiYTYtMDZiNTQ5OGUxN2Y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660741728"/>
          <w:placeholder>
            <w:docPart w:val="DefaultPlaceholder_-1854013440"/>
          </w:placeholder>
        </w:sdtPr>
        <w:sdtContent>
          <w:r w:rsidR="001E0996" w:rsidRPr="001E0996">
            <w:rPr>
              <w:color w:val="000000"/>
              <w:sz w:val="22"/>
              <w:szCs w:val="22"/>
            </w:rPr>
            <w:t>(Fung, 2015)</w:t>
          </w:r>
        </w:sdtContent>
      </w:sdt>
      <w:r w:rsidRPr="002F18D2">
        <w:rPr>
          <w:sz w:val="22"/>
          <w:szCs w:val="22"/>
        </w:rPr>
        <w:t>.</w:t>
      </w:r>
    </w:p>
    <w:p w14:paraId="52D8CCBE" w14:textId="77777777" w:rsidR="002F18D2" w:rsidRPr="002F18D2" w:rsidRDefault="002F18D2" w:rsidP="002F18D2">
      <w:pPr>
        <w:spacing w:line="276" w:lineRule="auto"/>
        <w:rPr>
          <w:sz w:val="22"/>
          <w:szCs w:val="22"/>
        </w:rPr>
      </w:pPr>
      <w:r w:rsidRPr="002F18D2">
        <w:rPr>
          <w:sz w:val="22"/>
          <w:szCs w:val="22"/>
        </w:rPr>
        <w:t xml:space="preserve">Another important mechanism is </w:t>
      </w:r>
      <w:r w:rsidRPr="002F18D2">
        <w:rPr>
          <w:bCs/>
          <w:sz w:val="22"/>
          <w:szCs w:val="22"/>
        </w:rPr>
        <w:t>participatory budgeting</w:t>
      </w:r>
      <w:r w:rsidRPr="002F18D2">
        <w:rPr>
          <w:sz w:val="22"/>
          <w:szCs w:val="22"/>
        </w:rPr>
        <w:t xml:space="preserve">, which enables citizens to participate directly in decisions regarding the allocation of public resources </w:t>
      </w:r>
      <w:sdt>
        <w:sdtPr>
          <w:rPr>
            <w:color w:val="000000"/>
            <w:sz w:val="22"/>
            <w:szCs w:val="22"/>
          </w:rPr>
          <w:tag w:val="MENDELEY_CITATION_v3_eyJjaXRhdGlvbklEIjoiTUVOREVMRVlfQ0lUQVRJT05fMjBlYTQ4NmQtZDk1Zi00OGU3LThmZWEtOWQyYmE2MDIzNDhj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675257140"/>
          <w:placeholder>
            <w:docPart w:val="DefaultPlaceholder_-1854013440"/>
          </w:placeholder>
        </w:sdtPr>
        <w:sdtContent>
          <w:r w:rsidR="001E0996" w:rsidRPr="001E0996">
            <w:rPr>
              <w:color w:val="000000"/>
              <w:sz w:val="22"/>
              <w:szCs w:val="22"/>
            </w:rPr>
            <w:t>(Wampler et al., 2021)</w:t>
          </w:r>
        </w:sdtContent>
      </w:sdt>
      <w:r w:rsidRPr="002F18D2">
        <w:rPr>
          <w:sz w:val="22"/>
          <w:szCs w:val="22"/>
        </w:rPr>
        <w:t xml:space="preserve">. Participatory budgeting allows community members to propose development projects, deliberate on spending priorities, and influence how government funds are distributed </w:t>
      </w:r>
      <w:sdt>
        <w:sdtPr>
          <w:rPr>
            <w:color w:val="000000"/>
            <w:sz w:val="22"/>
            <w:szCs w:val="22"/>
          </w:rPr>
          <w:tag w:val="MENDELEY_CITATION_v3_eyJjaXRhdGlvbklEIjoiTUVOREVMRVlfQ0lUQVRJT05fMmYxOWZlMmYtZTVmNi00MDVjLThmZTAtOGMyM2U1ZTExYmNi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731543400"/>
          <w:placeholder>
            <w:docPart w:val="DefaultPlaceholder_-1854013440"/>
          </w:placeholder>
        </w:sdtPr>
        <w:sdtContent>
          <w:r w:rsidR="001E0996" w:rsidRPr="001E0996">
            <w:rPr>
              <w:color w:val="000000"/>
              <w:sz w:val="22"/>
              <w:szCs w:val="22"/>
            </w:rPr>
            <w:t>(Wampler et al., 2021)</w:t>
          </w:r>
        </w:sdtContent>
      </w:sdt>
      <w:r w:rsidRPr="002F18D2">
        <w:rPr>
          <w:sz w:val="22"/>
          <w:szCs w:val="22"/>
        </w:rPr>
        <w:t xml:space="preserve">. Studies indicate that participatory budgeting initiatives enhance transparency and accountability in public financial management by allowing citizens to monitor government spending </w:t>
      </w:r>
      <w:sdt>
        <w:sdtPr>
          <w:rPr>
            <w:color w:val="000000"/>
            <w:sz w:val="22"/>
            <w:szCs w:val="22"/>
          </w:rPr>
          <w:tag w:val="MENDELEY_CITATION_v3_eyJjaXRhdGlvbklEIjoiTUVOREVMRVlfQ0lUQVRJT05fZGRmNzhiNmQtMTdhMS00OGZmLTkzMzYtOTQ0MjEyMzk2MTM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2010506217"/>
          <w:placeholder>
            <w:docPart w:val="DefaultPlaceholder_-1854013440"/>
          </w:placeholder>
        </w:sdtPr>
        <w:sdtContent>
          <w:r w:rsidR="001E0996" w:rsidRPr="001E0996">
            <w:rPr>
              <w:color w:val="000000"/>
              <w:sz w:val="22"/>
              <w:szCs w:val="22"/>
            </w:rPr>
            <w:t>(Fung, 2015)</w:t>
          </w:r>
        </w:sdtContent>
      </w:sdt>
      <w:r w:rsidRPr="002F18D2">
        <w:rPr>
          <w:sz w:val="22"/>
          <w:szCs w:val="22"/>
        </w:rPr>
        <w:t>.</w:t>
      </w:r>
    </w:p>
    <w:p w14:paraId="623370BC" w14:textId="77777777" w:rsidR="002F18D2" w:rsidRPr="002F18D2" w:rsidRDefault="002F18D2" w:rsidP="002F18D2">
      <w:pPr>
        <w:spacing w:line="276" w:lineRule="auto"/>
        <w:rPr>
          <w:sz w:val="22"/>
          <w:szCs w:val="22"/>
        </w:rPr>
      </w:pPr>
      <w:r w:rsidRPr="002F18D2">
        <w:rPr>
          <w:bCs/>
          <w:sz w:val="22"/>
          <w:szCs w:val="22"/>
        </w:rPr>
        <w:t>Community consultations</w:t>
      </w:r>
      <w:r w:rsidRPr="002F18D2">
        <w:rPr>
          <w:sz w:val="22"/>
          <w:szCs w:val="22"/>
        </w:rPr>
        <w:t xml:space="preserve"> also represent an important mechanism for citizen participation in local governance systems </w:t>
      </w:r>
      <w:sdt>
        <w:sdtPr>
          <w:rPr>
            <w:color w:val="000000"/>
            <w:sz w:val="22"/>
            <w:szCs w:val="22"/>
          </w:rPr>
          <w:tag w:val="MENDELEY_CITATION_v3_eyJjaXRhdGlvbklEIjoiTUVOREVMRVlfQ0lUQVRJT05fOGFlMjVlYjItZDIwNi00ZWMxLWE1YTEtMTkyODEyNWU0N2Q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366910565"/>
          <w:placeholder>
            <w:docPart w:val="DefaultPlaceholder_-1854013440"/>
          </w:placeholder>
        </w:sdtPr>
        <w:sdtContent>
          <w:r w:rsidR="001E0996" w:rsidRPr="001E0996">
            <w:rPr>
              <w:color w:val="000000"/>
              <w:sz w:val="22"/>
              <w:szCs w:val="22"/>
            </w:rPr>
            <w:t>(Williams et al., 2012)</w:t>
          </w:r>
        </w:sdtContent>
      </w:sdt>
      <w:r w:rsidRPr="002F18D2">
        <w:rPr>
          <w:sz w:val="22"/>
          <w:szCs w:val="22"/>
        </w:rPr>
        <w:t xml:space="preserve">. These consultations involve structured engagement processes in which local authorities gather input from citizens during planning and policy formulation stages </w:t>
      </w:r>
      <w:sdt>
        <w:sdtPr>
          <w:rPr>
            <w:color w:val="000000"/>
            <w:sz w:val="22"/>
            <w:szCs w:val="22"/>
          </w:rPr>
          <w:tag w:val="MENDELEY_CITATION_v3_eyJjaXRhdGlvbklEIjoiTUVOREVMRVlfQ0lUQVRJT05fNDFkZDFhZmItOTEwNS00MjUxLThiY2UtYWY1NzM3ZTQwNjFj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2034942485"/>
          <w:placeholder>
            <w:docPart w:val="DefaultPlaceholder_-1854013440"/>
          </w:placeholder>
        </w:sdtPr>
        <w:sdtContent>
          <w:r w:rsidR="001E0996" w:rsidRPr="001E0996">
            <w:rPr>
              <w:color w:val="000000"/>
              <w:sz w:val="22"/>
              <w:szCs w:val="22"/>
            </w:rPr>
            <w:t>(Williams et al., 2012)</w:t>
          </w:r>
        </w:sdtContent>
      </w:sdt>
      <w:r w:rsidRPr="002F18D2">
        <w:rPr>
          <w:sz w:val="22"/>
          <w:szCs w:val="22"/>
        </w:rPr>
        <w:t xml:space="preserve">. Community consultations enable citizens to express their views on development priorities while providing policymakers with valuable information about community needs and expectations </w:t>
      </w:r>
      <w:sdt>
        <w:sdtPr>
          <w:rPr>
            <w:color w:val="000000"/>
            <w:sz w:val="22"/>
            <w:szCs w:val="22"/>
          </w:rPr>
          <w:tag w:val="MENDELEY_CITATION_v3_eyJjaXRhdGlvbklEIjoiTUVOREVMRVlfQ0lUQVRJT05fMTJiNjE3NzQtYWRlOC00MjNkLTk3NDAtOGExNmNmZGExMTc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166238499"/>
          <w:placeholder>
            <w:docPart w:val="DefaultPlaceholder_-1854013440"/>
          </w:placeholder>
        </w:sdtPr>
        <w:sdtContent>
          <w:r w:rsidR="001E0996" w:rsidRPr="001E0996">
            <w:rPr>
              <w:rFonts w:eastAsia="Times New Roman"/>
              <w:color w:val="000000"/>
              <w:sz w:val="22"/>
            </w:rPr>
            <w:t>(Quick &amp; Bryson, 2022)</w:t>
          </w:r>
        </w:sdtContent>
      </w:sdt>
      <w:r w:rsidRPr="002F18D2">
        <w:rPr>
          <w:sz w:val="22"/>
          <w:szCs w:val="22"/>
        </w:rPr>
        <w:t>.</w:t>
      </w:r>
    </w:p>
    <w:p w14:paraId="6A78C2B9" w14:textId="77777777" w:rsidR="002F18D2" w:rsidRPr="002F18D2" w:rsidRDefault="002F18D2" w:rsidP="002F18D2">
      <w:pPr>
        <w:spacing w:line="276" w:lineRule="auto"/>
        <w:rPr>
          <w:sz w:val="22"/>
          <w:szCs w:val="22"/>
        </w:rPr>
      </w:pPr>
      <w:r w:rsidRPr="002F18D2">
        <w:rPr>
          <w:sz w:val="22"/>
          <w:szCs w:val="22"/>
        </w:rPr>
        <w:t xml:space="preserve">Local governments may also establish </w:t>
      </w:r>
      <w:r w:rsidRPr="002F18D2">
        <w:rPr>
          <w:bCs/>
          <w:sz w:val="22"/>
          <w:szCs w:val="22"/>
        </w:rPr>
        <w:t>citizen advisory committees</w:t>
      </w:r>
      <w:r w:rsidRPr="002F18D2">
        <w:rPr>
          <w:sz w:val="22"/>
          <w:szCs w:val="22"/>
        </w:rPr>
        <w:t xml:space="preserve"> to facilitate ongoing dialogue between government institutions and community representatives </w:t>
      </w:r>
      <w:sdt>
        <w:sdtPr>
          <w:rPr>
            <w:color w:val="000000"/>
            <w:sz w:val="22"/>
            <w:szCs w:val="22"/>
          </w:rPr>
          <w:tag w:val="MENDELEY_CITATION_v3_eyJjaXRhdGlvbklEIjoiTUVOREVMRVlfQ0lUQVRJT05fOGIwNjk2MWMtN2ZmMC00YzI1LTg2NWUtNzQ3Y2JhZGExODg1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964470497"/>
          <w:placeholder>
            <w:docPart w:val="DefaultPlaceholder_-1854013440"/>
          </w:placeholder>
        </w:sdtPr>
        <w:sdtContent>
          <w:r w:rsidR="000C5F13" w:rsidRPr="000C5F13">
            <w:rPr>
              <w:rFonts w:eastAsia="Times New Roman"/>
              <w:color w:val="000000"/>
              <w:sz w:val="22"/>
            </w:rPr>
            <w:t>(Quick &amp; Bryson, 2022)</w:t>
          </w:r>
        </w:sdtContent>
      </w:sdt>
      <w:r w:rsidRPr="002F18D2">
        <w:rPr>
          <w:sz w:val="22"/>
          <w:szCs w:val="22"/>
        </w:rPr>
        <w:t xml:space="preserve">. These committees typically consist of citizens, civil society representatives, and local stakeholders who provide advice on policy issues affecting their communities </w:t>
      </w:r>
      <w:sdt>
        <w:sdtPr>
          <w:rPr>
            <w:color w:val="000000"/>
            <w:sz w:val="22"/>
            <w:szCs w:val="22"/>
          </w:rPr>
          <w:tag w:val="MENDELEY_CITATION_v3_eyJjaXRhdGlvbklEIjoiTUVOREVMRVlfQ0lUQVRJT05fNzUxOGRjODItNzZhMS00MzkyLThmYmYtYTdhODE4NTNlOWN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675850906"/>
          <w:placeholder>
            <w:docPart w:val="DefaultPlaceholder_-1854013440"/>
          </w:placeholder>
        </w:sdtPr>
        <w:sdtContent>
          <w:r w:rsidR="000C5F13" w:rsidRPr="000C5F13">
            <w:rPr>
              <w:rFonts w:eastAsia="Times New Roman"/>
              <w:color w:val="000000"/>
              <w:sz w:val="22"/>
            </w:rPr>
            <w:t>(Bovaird &amp; Loeffler, 2012)</w:t>
          </w:r>
        </w:sdtContent>
      </w:sdt>
      <w:r w:rsidRPr="002F18D2">
        <w:rPr>
          <w:sz w:val="22"/>
          <w:szCs w:val="22"/>
        </w:rPr>
        <w:t xml:space="preserve">. Citizen advisory committees therefore serve as institutional platforms for collaboration between citizens and government officials in governance processes </w:t>
      </w:r>
      <w:sdt>
        <w:sdtPr>
          <w:rPr>
            <w:color w:val="000000"/>
            <w:sz w:val="22"/>
            <w:szCs w:val="22"/>
          </w:rPr>
          <w:tag w:val="MENDELEY_CITATION_v3_eyJjaXRhdGlvbklEIjoiTUVOREVMRVlfQ0lUQVRJT05fYzZmZTViNDMtNWVhYS00YWY5LTg1MDItMWE4ZDAyNzI1ZT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582992536"/>
          <w:placeholder>
            <w:docPart w:val="DefaultPlaceholder_-1854013440"/>
          </w:placeholder>
        </w:sdtPr>
        <w:sdtContent>
          <w:r w:rsidR="000C5F13" w:rsidRPr="000C5F13">
            <w:rPr>
              <w:rFonts w:eastAsia="Times New Roman"/>
              <w:color w:val="000000"/>
              <w:sz w:val="22"/>
            </w:rPr>
            <w:t>(Quick &amp; Bryson, 2022)</w:t>
          </w:r>
        </w:sdtContent>
      </w:sdt>
      <w:r w:rsidRPr="002F18D2">
        <w:rPr>
          <w:sz w:val="22"/>
          <w:szCs w:val="22"/>
        </w:rPr>
        <w:t>.</w:t>
      </w:r>
    </w:p>
    <w:p w14:paraId="35D318A9" w14:textId="77777777" w:rsidR="002F18D2" w:rsidRPr="002F18D2" w:rsidRDefault="002F18D2" w:rsidP="002F18D2">
      <w:pPr>
        <w:spacing w:line="276" w:lineRule="auto"/>
        <w:rPr>
          <w:sz w:val="22"/>
          <w:szCs w:val="22"/>
        </w:rPr>
      </w:pPr>
      <w:r w:rsidRPr="002F18D2">
        <w:rPr>
          <w:sz w:val="22"/>
          <w:szCs w:val="22"/>
        </w:rPr>
        <w:t xml:space="preserve">Collectively, these participation mechanisms create opportunities for citizens to engage in governance processes and influence public decision-making at the local level </w:t>
      </w:r>
      <w:sdt>
        <w:sdtPr>
          <w:rPr>
            <w:color w:val="000000"/>
            <w:sz w:val="22"/>
            <w:szCs w:val="22"/>
          </w:rPr>
          <w:tag w:val="MENDELEY_CITATION_v3_eyJjaXRhdGlvbklEIjoiTUVOREVMRVlfQ0lUQVRJT05fNmM3OGMxZWUtNDdjMi00ZTIyLWFiMzEtNDIwY2FiZDQ3NDJj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836300752"/>
          <w:placeholder>
            <w:docPart w:val="DefaultPlaceholder_-1854013440"/>
          </w:placeholder>
        </w:sdtPr>
        <w:sdtContent>
          <w:r w:rsidR="000C5F13" w:rsidRPr="000C5F13">
            <w:rPr>
              <w:color w:val="000000"/>
              <w:sz w:val="22"/>
              <w:szCs w:val="22"/>
            </w:rPr>
            <w:t>(Fung, 2015)</w:t>
          </w:r>
        </w:sdtContent>
      </w:sdt>
      <w:r w:rsidRPr="002F18D2">
        <w:rPr>
          <w:sz w:val="22"/>
          <w:szCs w:val="22"/>
        </w:rPr>
        <w:t>.</w:t>
      </w:r>
    </w:p>
    <w:p w14:paraId="7E65E2FB" w14:textId="77777777" w:rsidR="002F18D2" w:rsidRPr="002F18D2" w:rsidRDefault="002F18D2" w:rsidP="002F18D2">
      <w:pPr>
        <w:spacing w:line="276" w:lineRule="auto"/>
        <w:rPr>
          <w:sz w:val="22"/>
          <w:szCs w:val="22"/>
        </w:rPr>
      </w:pPr>
      <w:r w:rsidRPr="002F18D2">
        <w:rPr>
          <w:sz w:val="22"/>
          <w:szCs w:val="22"/>
        </w:rPr>
        <w:t xml:space="preserve">The quality of decision-making in local government institutions is often assessed using governance principles such as transparency, accountability, responsiveness, inclusiveness, and effectiveness </w:t>
      </w:r>
      <w:sdt>
        <w:sdtPr>
          <w:rPr>
            <w:color w:val="000000"/>
            <w:sz w:val="22"/>
            <w:szCs w:val="22"/>
          </w:rPr>
          <w:tag w:val="MENDELEY_CITATION_v3_eyJjaXRhdGlvbklEIjoiTUVOREVMRVlfQ0lUQVRJT05fZDg0ZmNmMTktNWYxNS00ZWFmLTg4ZTMtMzU4MDlmZWE2Nzgx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076716368"/>
          <w:placeholder>
            <w:docPart w:val="DefaultPlaceholder_-1854013440"/>
          </w:placeholder>
        </w:sdtPr>
        <w:sdtContent>
          <w:r w:rsidR="000C5F13" w:rsidRPr="000C5F13">
            <w:rPr>
              <w:color w:val="000000"/>
              <w:sz w:val="22"/>
              <w:szCs w:val="22"/>
            </w:rPr>
            <w:t>(Meijer, 2015)</w:t>
          </w:r>
        </w:sdtContent>
      </w:sdt>
      <w:r w:rsidRPr="002F18D2">
        <w:rPr>
          <w:sz w:val="22"/>
          <w:szCs w:val="22"/>
        </w:rPr>
        <w:t xml:space="preserve">. These governance principles provide benchmarks for evaluating the extent to which public decisions address community needs while maintaining democratic legitimacy </w:t>
      </w:r>
      <w:sdt>
        <w:sdtPr>
          <w:rPr>
            <w:color w:val="000000"/>
            <w:sz w:val="22"/>
            <w:szCs w:val="22"/>
          </w:rPr>
          <w:tag w:val="MENDELEY_CITATION_v3_eyJjaXRhdGlvbklEIjoiTUVOREVMRVlfQ0lUQVRJT05fY2JmOTc1ODgtNDJiMy00MGY0LTkzNmItMjdjMzI5MDUyZjF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313374175"/>
          <w:placeholder>
            <w:docPart w:val="DefaultPlaceholder_-1854013440"/>
          </w:placeholder>
        </w:sdtPr>
        <w:sdtContent>
          <w:r w:rsidR="000C5F13" w:rsidRPr="000C5F13">
            <w:rPr>
              <w:color w:val="000000"/>
              <w:sz w:val="22"/>
              <w:szCs w:val="22"/>
            </w:rPr>
            <w:t>(Fox, 2015)</w:t>
          </w:r>
        </w:sdtContent>
      </w:sdt>
      <w:r w:rsidRPr="002F18D2">
        <w:rPr>
          <w:sz w:val="22"/>
          <w:szCs w:val="22"/>
        </w:rPr>
        <w:t>.</w:t>
      </w:r>
    </w:p>
    <w:p w14:paraId="25C1C45A" w14:textId="77777777" w:rsidR="002F18D2" w:rsidRPr="002F18D2" w:rsidRDefault="002F18D2" w:rsidP="002F18D2">
      <w:pPr>
        <w:spacing w:line="276" w:lineRule="auto"/>
        <w:rPr>
          <w:sz w:val="22"/>
          <w:szCs w:val="22"/>
        </w:rPr>
      </w:pPr>
      <w:r w:rsidRPr="002F18D2">
        <w:rPr>
          <w:bCs/>
          <w:sz w:val="22"/>
          <w:szCs w:val="22"/>
        </w:rPr>
        <w:lastRenderedPageBreak/>
        <w:t>Transparency</w:t>
      </w:r>
      <w:r w:rsidRPr="002F18D2">
        <w:rPr>
          <w:sz w:val="22"/>
          <w:szCs w:val="22"/>
        </w:rPr>
        <w:t xml:space="preserve"> refers to the openness of governance processes and the accessibility of information regarding government activities and policy decisions </w:t>
      </w:r>
      <w:sdt>
        <w:sdtPr>
          <w:rPr>
            <w:color w:val="000000"/>
            <w:sz w:val="22"/>
            <w:szCs w:val="22"/>
          </w:rPr>
          <w:tag w:val="MENDELEY_CITATION_v3_eyJjaXRhdGlvbklEIjoiTUVOREVMRVlfQ0lUQVRJT05fNmZhMWRlN2EtNmQ2MC00MmMyLTgxOTEtNjkxODZkODMwOWMy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67642168"/>
          <w:placeholder>
            <w:docPart w:val="DefaultPlaceholder_-1854013440"/>
          </w:placeholder>
        </w:sdtPr>
        <w:sdtContent>
          <w:r w:rsidR="000C5F13" w:rsidRPr="000C5F13">
            <w:rPr>
              <w:color w:val="000000"/>
              <w:sz w:val="22"/>
              <w:szCs w:val="22"/>
            </w:rPr>
            <w:t>(Meijer, 2015)</w:t>
          </w:r>
        </w:sdtContent>
      </w:sdt>
      <w:r w:rsidRPr="002F18D2">
        <w:rPr>
          <w:sz w:val="22"/>
          <w:szCs w:val="22"/>
        </w:rPr>
        <w:t xml:space="preserve">. Transparent governance systems enable citizens to access relevant information about policy processes, budget allocations, and public service delivery </w:t>
      </w:r>
      <w:sdt>
        <w:sdtPr>
          <w:rPr>
            <w:color w:val="000000"/>
            <w:sz w:val="22"/>
            <w:szCs w:val="22"/>
          </w:rPr>
          <w:tag w:val="MENDELEY_CITATION_v3_eyJjaXRhdGlvbklEIjoiTUVOREVMRVlfQ0lUQVRJT05fODIxYWI2NmMtODVmNi00MWE3LTkyZmUtMTVjYzNhYjI3Yjd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515450598"/>
          <w:placeholder>
            <w:docPart w:val="DefaultPlaceholder_-1854013440"/>
          </w:placeholder>
        </w:sdtPr>
        <w:sdtContent>
          <w:r w:rsidR="000C5F13" w:rsidRPr="000C5F13">
            <w:rPr>
              <w:color w:val="000000"/>
              <w:sz w:val="22"/>
              <w:szCs w:val="22"/>
            </w:rPr>
            <w:t>(Fox, 2015)</w:t>
          </w:r>
        </w:sdtContent>
      </w:sdt>
      <w:r w:rsidRPr="002F18D2">
        <w:rPr>
          <w:sz w:val="22"/>
          <w:szCs w:val="22"/>
        </w:rPr>
        <w:t xml:space="preserve">. Access to information allows citizens to monitor government performance and participate meaningfully in governance processes </w:t>
      </w:r>
      <w:sdt>
        <w:sdtPr>
          <w:rPr>
            <w:color w:val="000000"/>
            <w:sz w:val="22"/>
            <w:szCs w:val="22"/>
          </w:rPr>
          <w:tag w:val="MENDELEY_CITATION_v3_eyJjaXRhdGlvbklEIjoiTUVOREVMRVlfQ0lUQVRJT05fYTBkN2ZjOTctZmE1Yi00YjI5LWE0N2YtMzNlZWUxNGZmMDg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810319684"/>
          <w:placeholder>
            <w:docPart w:val="DefaultPlaceholder_-1854013440"/>
          </w:placeholder>
        </w:sdtPr>
        <w:sdtContent>
          <w:r w:rsidR="000C5F13" w:rsidRPr="000C5F13">
            <w:rPr>
              <w:color w:val="000000"/>
              <w:sz w:val="22"/>
              <w:szCs w:val="22"/>
            </w:rPr>
            <w:t>(Meijer, 2015)</w:t>
          </w:r>
        </w:sdtContent>
      </w:sdt>
      <w:r w:rsidRPr="002F18D2">
        <w:rPr>
          <w:sz w:val="22"/>
          <w:szCs w:val="22"/>
        </w:rPr>
        <w:t>.</w:t>
      </w:r>
    </w:p>
    <w:p w14:paraId="15966C44" w14:textId="77777777" w:rsidR="002F18D2" w:rsidRPr="002F18D2" w:rsidRDefault="002F18D2" w:rsidP="002F18D2">
      <w:pPr>
        <w:spacing w:line="276" w:lineRule="auto"/>
        <w:rPr>
          <w:sz w:val="22"/>
          <w:szCs w:val="22"/>
        </w:rPr>
      </w:pPr>
      <w:r w:rsidRPr="002F18D2">
        <w:rPr>
          <w:bCs/>
          <w:sz w:val="22"/>
          <w:szCs w:val="22"/>
        </w:rPr>
        <w:t>Accountability</w:t>
      </w:r>
      <w:r w:rsidRPr="002F18D2">
        <w:rPr>
          <w:sz w:val="22"/>
          <w:szCs w:val="22"/>
        </w:rPr>
        <w:t xml:space="preserve"> refers to mechanisms through which public officials are held responsible for their decisions and actions </w:t>
      </w:r>
      <w:sdt>
        <w:sdtPr>
          <w:rPr>
            <w:color w:val="000000"/>
            <w:sz w:val="22"/>
            <w:szCs w:val="22"/>
          </w:rPr>
          <w:tag w:val="MENDELEY_CITATION_v3_eyJjaXRhdGlvbklEIjoiTUVOREVMRVlfQ0lUQVRJT05fN2ZiNTY0NWItZDdiZi00OGY5LThjYTgtYTg1YTY5ZjhkMzE5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531644666"/>
          <w:placeholder>
            <w:docPart w:val="DefaultPlaceholder_-1854013440"/>
          </w:placeholder>
        </w:sdtPr>
        <w:sdtContent>
          <w:r w:rsidR="000C5F13" w:rsidRPr="000C5F13">
            <w:rPr>
              <w:color w:val="000000"/>
              <w:sz w:val="22"/>
              <w:szCs w:val="22"/>
            </w:rPr>
            <w:t>(Fox, 2015)</w:t>
          </w:r>
        </w:sdtContent>
      </w:sdt>
      <w:r w:rsidRPr="002F18D2">
        <w:rPr>
          <w:sz w:val="22"/>
          <w:szCs w:val="22"/>
        </w:rPr>
        <w:t xml:space="preserve">. Accountability mechanisms allow citizens to scrutinize government decisions and demand explanations from public officials regarding policy outcomes </w:t>
      </w:r>
      <w:sdt>
        <w:sdtPr>
          <w:rPr>
            <w:color w:val="000000"/>
            <w:sz w:val="22"/>
            <w:szCs w:val="22"/>
          </w:rPr>
          <w:tag w:val="MENDELEY_CITATION_v3_eyJjaXRhdGlvbklEIjoiTUVOREVMRVlfQ0lUQVRJT05fYjM2M2E0NTktYmM0YS00MDE3LWI0NmUtMmIyMjkyNDI0YzRl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357934189"/>
          <w:placeholder>
            <w:docPart w:val="DefaultPlaceholder_-1854013440"/>
          </w:placeholder>
        </w:sdtPr>
        <w:sdtContent>
          <w:r w:rsidR="000C5F13" w:rsidRPr="000C5F13">
            <w:rPr>
              <w:color w:val="000000"/>
              <w:sz w:val="22"/>
              <w:szCs w:val="22"/>
            </w:rPr>
            <w:t>(Fox, 2015)</w:t>
          </w:r>
        </w:sdtContent>
      </w:sdt>
      <w:r w:rsidRPr="002F18D2">
        <w:rPr>
          <w:sz w:val="22"/>
          <w:szCs w:val="22"/>
        </w:rPr>
        <w:t xml:space="preserve">. Strong accountability frameworks therefore enhance the credibility and legitimacy of governance systems </w:t>
      </w:r>
      <w:sdt>
        <w:sdtPr>
          <w:rPr>
            <w:color w:val="000000"/>
            <w:sz w:val="22"/>
            <w:szCs w:val="22"/>
          </w:rPr>
          <w:tag w:val="MENDELEY_CITATION_v3_eyJjaXRhdGlvbklEIjoiTUVOREVMRVlfQ0lUQVRJT05fYmFkZGNjN2UtNDFhYi00MDllLThlNWItMTQyMDE5YjYxMGY2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665852083"/>
          <w:placeholder>
            <w:docPart w:val="DefaultPlaceholder_-1854013440"/>
          </w:placeholder>
        </w:sdtPr>
        <w:sdtContent>
          <w:r w:rsidR="000C5F13" w:rsidRPr="000C5F13">
            <w:rPr>
              <w:rFonts w:eastAsia="Times New Roman"/>
              <w:color w:val="000000"/>
              <w:sz w:val="22"/>
            </w:rPr>
            <w:t>(Bovaird &amp; Loeffler, 2012)</w:t>
          </w:r>
        </w:sdtContent>
      </w:sdt>
      <w:r w:rsidRPr="002F18D2">
        <w:rPr>
          <w:sz w:val="22"/>
          <w:szCs w:val="22"/>
        </w:rPr>
        <w:t>.</w:t>
      </w:r>
    </w:p>
    <w:p w14:paraId="46C42FB0" w14:textId="77777777" w:rsidR="002F18D2" w:rsidRPr="002F18D2" w:rsidRDefault="002F18D2" w:rsidP="002F18D2">
      <w:pPr>
        <w:spacing w:line="276" w:lineRule="auto"/>
        <w:rPr>
          <w:sz w:val="22"/>
          <w:szCs w:val="22"/>
        </w:rPr>
      </w:pPr>
      <w:r w:rsidRPr="002F18D2">
        <w:rPr>
          <w:bCs/>
          <w:sz w:val="22"/>
          <w:szCs w:val="22"/>
        </w:rPr>
        <w:t>Responsiveness</w:t>
      </w:r>
      <w:r w:rsidRPr="002F18D2">
        <w:rPr>
          <w:sz w:val="22"/>
          <w:szCs w:val="22"/>
        </w:rPr>
        <w:t xml:space="preserve"> refers to the ability of government institutions to respond effectively to the needs and preferences of citizens </w:t>
      </w:r>
      <w:sdt>
        <w:sdtPr>
          <w:rPr>
            <w:color w:val="000000"/>
            <w:sz w:val="22"/>
            <w:szCs w:val="22"/>
          </w:rPr>
          <w:tag w:val="MENDELEY_CITATION_v3_eyJjaXRhdGlvbklEIjoiTUVOREVMRVlfQ0lUQVRJT05fZmUyNWE3ZTgtOWU5OC00MDY0LWIxNjEtMzhhNDI3ZTc5NTU0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298494872"/>
          <w:placeholder>
            <w:docPart w:val="DefaultPlaceholder_-1854013440"/>
          </w:placeholder>
        </w:sdtPr>
        <w:sdtContent>
          <w:r w:rsidR="000C5F13" w:rsidRPr="000C5F13">
            <w:rPr>
              <w:color w:val="000000"/>
              <w:sz w:val="22"/>
              <w:szCs w:val="22"/>
            </w:rPr>
            <w:t>(Fung, 2015)</w:t>
          </w:r>
        </w:sdtContent>
      </w:sdt>
      <w:r w:rsidRPr="002F18D2">
        <w:rPr>
          <w:sz w:val="22"/>
          <w:szCs w:val="22"/>
        </w:rPr>
        <w:t xml:space="preserve">. Responsive governance systems prioritize policies that reflect citizen concerns and adapt decision-making processes to incorporate public input </w:t>
      </w:r>
      <w:sdt>
        <w:sdtPr>
          <w:rPr>
            <w:color w:val="000000"/>
            <w:sz w:val="22"/>
            <w:szCs w:val="22"/>
          </w:rPr>
          <w:tag w:val="MENDELEY_CITATION_v3_eyJjaXRhdGlvbklEIjoiTUVOREVMRVlfQ0lUQVRJT05fZWJlYTMyY2YtN2E1Yy00YmIwLThmNmMtMjUzOTBkYzJlZjF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524083491"/>
          <w:placeholder>
            <w:docPart w:val="DefaultPlaceholder_-1854013440"/>
          </w:placeholder>
        </w:sdtPr>
        <w:sdtContent>
          <w:r w:rsidR="000C5F13" w:rsidRPr="000C5F13">
            <w:rPr>
              <w:rFonts w:eastAsia="Times New Roman"/>
              <w:color w:val="000000"/>
              <w:sz w:val="22"/>
            </w:rPr>
            <w:t>(Bovaird &amp; Loeffler, 2012)</w:t>
          </w:r>
        </w:sdtContent>
      </w:sdt>
      <w:r w:rsidRPr="002F18D2">
        <w:rPr>
          <w:sz w:val="22"/>
          <w:szCs w:val="22"/>
        </w:rPr>
        <w:t xml:space="preserve">. Citizen participation mechanisms enable policymakers to obtain information about community needs, thereby improving responsiveness in governance processes </w:t>
      </w:r>
      <w:sdt>
        <w:sdtPr>
          <w:rPr>
            <w:color w:val="000000"/>
            <w:sz w:val="22"/>
            <w:szCs w:val="22"/>
          </w:rPr>
          <w:tag w:val="MENDELEY_CITATION_v3_eyJjaXRhdGlvbklEIjoiTUVOREVMRVlfQ0lUQVRJT05fMmE5MTE4NGMtYmU0MS00YTc3LTgxMjUtNTJjYjVhNzg1NWZl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012142444"/>
          <w:placeholder>
            <w:docPart w:val="DefaultPlaceholder_-1854013440"/>
          </w:placeholder>
        </w:sdtPr>
        <w:sdtContent>
          <w:r w:rsidR="000C5F13" w:rsidRPr="000C5F13">
            <w:rPr>
              <w:color w:val="000000"/>
              <w:sz w:val="22"/>
              <w:szCs w:val="22"/>
            </w:rPr>
            <w:t>(Wampler et al., 2021)</w:t>
          </w:r>
        </w:sdtContent>
      </w:sdt>
      <w:r w:rsidRPr="002F18D2">
        <w:rPr>
          <w:sz w:val="22"/>
          <w:szCs w:val="22"/>
        </w:rPr>
        <w:t>.</w:t>
      </w:r>
    </w:p>
    <w:p w14:paraId="6F665B9C" w14:textId="77777777" w:rsidR="002F18D2" w:rsidRPr="002F18D2" w:rsidRDefault="002F18D2" w:rsidP="002F18D2">
      <w:pPr>
        <w:spacing w:line="276" w:lineRule="auto"/>
        <w:rPr>
          <w:sz w:val="22"/>
          <w:szCs w:val="22"/>
        </w:rPr>
      </w:pPr>
      <w:r w:rsidRPr="002F18D2">
        <w:rPr>
          <w:bCs/>
          <w:sz w:val="22"/>
          <w:szCs w:val="22"/>
        </w:rPr>
        <w:t>Inclusiveness</w:t>
      </w:r>
      <w:r w:rsidRPr="002F18D2">
        <w:rPr>
          <w:sz w:val="22"/>
          <w:szCs w:val="22"/>
        </w:rPr>
        <w:t xml:space="preserve"> is another key indicator of decision-making quality in democratic governance systems </w:t>
      </w:r>
      <w:sdt>
        <w:sdtPr>
          <w:rPr>
            <w:color w:val="000000"/>
            <w:sz w:val="22"/>
            <w:szCs w:val="22"/>
          </w:rPr>
          <w:tag w:val="MENDELEY_CITATION_v3_eyJjaXRhdGlvbklEIjoiTUVOREVMRVlfQ0lUQVRJT05fOTRlNjAyMTUtYjYwMS00YmVhLTlhOTItODY5YTg0ZjZhNDRh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79989967"/>
          <w:placeholder>
            <w:docPart w:val="DefaultPlaceholder_-1854013440"/>
          </w:placeholder>
        </w:sdtPr>
        <w:sdtContent>
          <w:r w:rsidR="00BE606A" w:rsidRPr="00BE606A">
            <w:rPr>
              <w:color w:val="000000"/>
              <w:sz w:val="22"/>
              <w:szCs w:val="22"/>
            </w:rPr>
            <w:t>(Williams et al., 2012)</w:t>
          </w:r>
        </w:sdtContent>
      </w:sdt>
      <w:r w:rsidRPr="002F18D2">
        <w:rPr>
          <w:sz w:val="22"/>
          <w:szCs w:val="22"/>
        </w:rPr>
        <w:t>. Inclusive governance systems en</w:t>
      </w:r>
      <w:r w:rsidR="000C5F13">
        <w:rPr>
          <w:sz w:val="22"/>
          <w:szCs w:val="22"/>
        </w:rPr>
        <w:t xml:space="preserve">sure that diverse social groups </w:t>
      </w:r>
      <w:r w:rsidRPr="002F18D2">
        <w:rPr>
          <w:sz w:val="22"/>
          <w:szCs w:val="22"/>
        </w:rPr>
        <w:t>inc</w:t>
      </w:r>
      <w:r w:rsidR="00BE606A">
        <w:rPr>
          <w:sz w:val="22"/>
          <w:szCs w:val="22"/>
        </w:rPr>
        <w:t xml:space="preserve">luding marginalized populations </w:t>
      </w:r>
      <w:r w:rsidRPr="002F18D2">
        <w:rPr>
          <w:sz w:val="22"/>
          <w:szCs w:val="22"/>
        </w:rPr>
        <w:t xml:space="preserve">have opportunities to participate in policy processes </w:t>
      </w:r>
      <w:sdt>
        <w:sdtPr>
          <w:rPr>
            <w:color w:val="000000"/>
            <w:sz w:val="22"/>
            <w:szCs w:val="22"/>
          </w:rPr>
          <w:tag w:val="MENDELEY_CITATION_v3_eyJjaXRhdGlvbklEIjoiTUVOREVMRVlfQ0lUQVRJT05fNTkwY2UyM2EtNGFjYi00NjQzLTkxZjUtYWFhNWYxYWU2MjA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1749770449"/>
          <w:placeholder>
            <w:docPart w:val="DefaultPlaceholder_-1854013440"/>
          </w:placeholder>
        </w:sdtPr>
        <w:sdtContent>
          <w:r w:rsidR="00BE606A" w:rsidRPr="00BE606A">
            <w:rPr>
              <w:color w:val="000000"/>
              <w:sz w:val="22"/>
              <w:szCs w:val="22"/>
            </w:rPr>
            <w:t>(Williams et al., 2012)</w:t>
          </w:r>
        </w:sdtContent>
      </w:sdt>
      <w:r w:rsidRPr="002F18D2">
        <w:rPr>
          <w:sz w:val="22"/>
          <w:szCs w:val="22"/>
        </w:rPr>
        <w:t xml:space="preserve">. Inclusive decision-making processes promote equity and fairness in governance outcomes </w:t>
      </w:r>
      <w:sdt>
        <w:sdtPr>
          <w:rPr>
            <w:color w:val="000000"/>
            <w:sz w:val="22"/>
            <w:szCs w:val="22"/>
          </w:rPr>
          <w:tag w:val="MENDELEY_CITATION_v3_eyJjaXRhdGlvbklEIjoiTUVOREVMRVlfQ0lUQVRJT05fOGQ4ZGJmMmYtYWI5Mi00YWQwLWJiODgtODMwZjA3ZDRjOG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2099705611"/>
          <w:placeholder>
            <w:docPart w:val="DefaultPlaceholder_-1854013440"/>
          </w:placeholder>
        </w:sdtPr>
        <w:sdtContent>
          <w:r w:rsidR="00BE606A" w:rsidRPr="00BE606A">
            <w:rPr>
              <w:rFonts w:eastAsia="Times New Roman"/>
              <w:color w:val="000000"/>
              <w:sz w:val="22"/>
            </w:rPr>
            <w:t>(Bovaird &amp; Loeffler, 2012)</w:t>
          </w:r>
        </w:sdtContent>
      </w:sdt>
      <w:r w:rsidRPr="002F18D2">
        <w:rPr>
          <w:sz w:val="22"/>
          <w:szCs w:val="22"/>
        </w:rPr>
        <w:t>.</w:t>
      </w:r>
    </w:p>
    <w:p w14:paraId="44D5665C" w14:textId="77777777" w:rsidR="002F18D2" w:rsidRPr="002F18D2" w:rsidRDefault="002F18D2" w:rsidP="002F18D2">
      <w:pPr>
        <w:spacing w:line="276" w:lineRule="auto"/>
        <w:rPr>
          <w:sz w:val="22"/>
          <w:szCs w:val="22"/>
        </w:rPr>
      </w:pPr>
      <w:r w:rsidRPr="002F18D2">
        <w:rPr>
          <w:sz w:val="22"/>
          <w:szCs w:val="22"/>
        </w:rPr>
        <w:t xml:space="preserve">Finally, </w:t>
      </w:r>
      <w:r w:rsidRPr="002F18D2">
        <w:rPr>
          <w:bCs/>
          <w:sz w:val="22"/>
          <w:szCs w:val="22"/>
        </w:rPr>
        <w:t>effectiveness</w:t>
      </w:r>
      <w:r w:rsidRPr="002F18D2">
        <w:rPr>
          <w:sz w:val="22"/>
          <w:szCs w:val="22"/>
        </w:rPr>
        <w:t xml:space="preserve"> refers to the ability of public decisions to achieve intended policy outcomes and deliver public value </w:t>
      </w:r>
      <w:sdt>
        <w:sdtPr>
          <w:rPr>
            <w:color w:val="000000"/>
            <w:sz w:val="22"/>
            <w:szCs w:val="22"/>
          </w:rPr>
          <w:tag w:val="MENDELEY_CITATION_v3_eyJjaXRhdGlvbklEIjoiTUVOREVMRVlfQ0lUQVRJT05fOWExZDQzZTEtZWY3Ny00ZTMyLWFhNWMtMmUxZmRmY2VjZDdk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896778007"/>
          <w:placeholder>
            <w:docPart w:val="DefaultPlaceholder_-1854013440"/>
          </w:placeholder>
        </w:sdtPr>
        <w:sdtContent>
          <w:r w:rsidR="00BE606A" w:rsidRPr="00BE606A">
            <w:rPr>
              <w:color w:val="000000"/>
              <w:sz w:val="22"/>
              <w:szCs w:val="22"/>
            </w:rPr>
            <w:t>(Meijer, 2015)</w:t>
          </w:r>
        </w:sdtContent>
      </w:sdt>
      <w:r w:rsidRPr="002F18D2">
        <w:rPr>
          <w:sz w:val="22"/>
          <w:szCs w:val="22"/>
        </w:rPr>
        <w:t xml:space="preserve">. Effective governance systems implement policies that address governance challenges while utilizing public resources efficiently </w:t>
      </w:r>
      <w:sdt>
        <w:sdtPr>
          <w:rPr>
            <w:color w:val="000000"/>
            <w:sz w:val="22"/>
            <w:szCs w:val="22"/>
          </w:rPr>
          <w:tag w:val="MENDELEY_CITATION_v3_eyJjaXRhdGlvbklEIjoiTUVOREVMRVlfQ0lUQVRJT05fNWJmNTU4MjItNjczNS00YTg5LWI2NzctMjViMDMwZWVkMTE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579061397"/>
          <w:placeholder>
            <w:docPart w:val="DefaultPlaceholder_-1854013440"/>
          </w:placeholder>
        </w:sdtPr>
        <w:sdtContent>
          <w:r w:rsidR="004E6989" w:rsidRPr="004E6989">
            <w:rPr>
              <w:color w:val="000000"/>
              <w:sz w:val="22"/>
              <w:szCs w:val="22"/>
            </w:rPr>
            <w:t>(Fung, 2015)</w:t>
          </w:r>
        </w:sdtContent>
      </w:sdt>
      <w:r w:rsidRPr="002F18D2">
        <w:rPr>
          <w:sz w:val="22"/>
          <w:szCs w:val="22"/>
        </w:rPr>
        <w:t xml:space="preserve">. Citizen participation contributes to decision effectiveness by incorporating community knowledge and experiences into policymaking processes </w:t>
      </w:r>
      <w:sdt>
        <w:sdtPr>
          <w:rPr>
            <w:color w:val="000000"/>
            <w:sz w:val="22"/>
            <w:szCs w:val="22"/>
          </w:rPr>
          <w:tag w:val="MENDELEY_CITATION_v3_eyJjaXRhdGlvbklEIjoiTUVOREVMRVlfQ0lUQVRJT05fYmJjMTVhMWQtY2RmMC00OWJiLTk5ZDItM2VlMGUzYjI2ZGE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547429578"/>
          <w:placeholder>
            <w:docPart w:val="DefaultPlaceholder_-1854013440"/>
          </w:placeholder>
        </w:sdtPr>
        <w:sdtContent>
          <w:r w:rsidR="004E6989" w:rsidRPr="004E6989">
            <w:rPr>
              <w:color w:val="000000"/>
              <w:sz w:val="22"/>
              <w:szCs w:val="22"/>
            </w:rPr>
            <w:t>(Wampler et al., 2021)</w:t>
          </w:r>
        </w:sdtContent>
      </w:sdt>
      <w:r w:rsidRPr="002F18D2">
        <w:rPr>
          <w:sz w:val="22"/>
          <w:szCs w:val="22"/>
        </w:rPr>
        <w:t>.</w:t>
      </w:r>
    </w:p>
    <w:p w14:paraId="49C4A679" w14:textId="77777777" w:rsidR="002F18D2" w:rsidRPr="002F18D2" w:rsidRDefault="002F18D2" w:rsidP="002F18D2">
      <w:pPr>
        <w:spacing w:line="276" w:lineRule="auto"/>
        <w:rPr>
          <w:sz w:val="22"/>
          <w:szCs w:val="22"/>
        </w:rPr>
      </w:pPr>
      <w:r w:rsidRPr="002F18D2">
        <w:rPr>
          <w:sz w:val="22"/>
          <w:szCs w:val="22"/>
        </w:rPr>
        <w:t xml:space="preserve">A growing body of literature suggests that citizen participation can significantly improve the quality of decision-making within government institutions </w:t>
      </w:r>
      <w:sdt>
        <w:sdtPr>
          <w:rPr>
            <w:color w:val="000000"/>
            <w:sz w:val="22"/>
            <w:szCs w:val="22"/>
          </w:rPr>
          <w:tag w:val="MENDELEY_CITATION_v3_eyJjaXRhdGlvbklEIjoiTUVOREVMRVlfQ0lUQVRJT05fM2MyMTMwZDItM2QxYi00MTBhLTg3MWEtMzdmNGI1Yzk0YT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209183971"/>
          <w:placeholder>
            <w:docPart w:val="DefaultPlaceholder_-1854013440"/>
          </w:placeholder>
        </w:sdtPr>
        <w:sdtContent>
          <w:r w:rsidR="004E6989" w:rsidRPr="004E6989">
            <w:rPr>
              <w:color w:val="000000"/>
              <w:sz w:val="22"/>
              <w:szCs w:val="22"/>
            </w:rPr>
            <w:t>(Fung, 2015)</w:t>
          </w:r>
        </w:sdtContent>
      </w:sdt>
      <w:r w:rsidRPr="002F18D2">
        <w:rPr>
          <w:sz w:val="22"/>
          <w:szCs w:val="22"/>
        </w:rPr>
        <w:t xml:space="preserve">. Participatory governance mechanisms allow citizens to contribute local knowledge, express policy preferences, and monitor the performance of public institutions </w:t>
      </w:r>
      <w:sdt>
        <w:sdtPr>
          <w:rPr>
            <w:color w:val="000000"/>
            <w:sz w:val="22"/>
            <w:szCs w:val="22"/>
          </w:rPr>
          <w:tag w:val="MENDELEY_CITATION_v3_eyJjaXRhdGlvbklEIjoiTUVOREVMRVlfQ0lUQVRJT05fZDI4NGM0OTMtZGFmZC00MTExLWJmNjUtODNjMmU3N2JjNzFm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734819455"/>
          <w:placeholder>
            <w:docPart w:val="DefaultPlaceholder_-1854013440"/>
          </w:placeholder>
        </w:sdtPr>
        <w:sdtContent>
          <w:r w:rsidR="004E6989" w:rsidRPr="004E6989">
            <w:rPr>
              <w:rFonts w:eastAsia="Times New Roman"/>
              <w:color w:val="000000"/>
              <w:sz w:val="22"/>
            </w:rPr>
            <w:t>(</w:t>
          </w:r>
          <w:proofErr w:type="spellStart"/>
          <w:r w:rsidR="004E6989" w:rsidRPr="004E6989">
            <w:rPr>
              <w:rFonts w:eastAsia="Times New Roman"/>
              <w:color w:val="000000"/>
              <w:sz w:val="22"/>
            </w:rPr>
            <w:t>Nabatchi</w:t>
          </w:r>
          <w:proofErr w:type="spellEnd"/>
          <w:r w:rsidR="004E6989" w:rsidRPr="004E6989">
            <w:rPr>
              <w:rFonts w:eastAsia="Times New Roman"/>
              <w:color w:val="000000"/>
              <w:sz w:val="22"/>
            </w:rPr>
            <w:t xml:space="preserve"> &amp; </w:t>
          </w:r>
          <w:proofErr w:type="spellStart"/>
          <w:r w:rsidR="004E6989" w:rsidRPr="004E6989">
            <w:rPr>
              <w:rFonts w:eastAsia="Times New Roman"/>
              <w:color w:val="000000"/>
              <w:sz w:val="22"/>
            </w:rPr>
            <w:t>Leighninger</w:t>
          </w:r>
          <w:proofErr w:type="spellEnd"/>
          <w:r w:rsidR="004E6989" w:rsidRPr="004E6989">
            <w:rPr>
              <w:rFonts w:eastAsia="Times New Roman"/>
              <w:color w:val="000000"/>
              <w:sz w:val="22"/>
            </w:rPr>
            <w:t>, 2015)</w:t>
          </w:r>
        </w:sdtContent>
      </w:sdt>
      <w:r w:rsidRPr="002F18D2">
        <w:rPr>
          <w:sz w:val="22"/>
          <w:szCs w:val="22"/>
        </w:rPr>
        <w:t xml:space="preserve"> These interactions provide policymakers with valuable information that can improve the relevance and effectiveness of policy decisions </w:t>
      </w:r>
      <w:sdt>
        <w:sdtPr>
          <w:rPr>
            <w:color w:val="000000"/>
            <w:sz w:val="22"/>
            <w:szCs w:val="22"/>
          </w:rPr>
          <w:tag w:val="MENDELEY_CITATION_v3_eyJjaXRhdGlvbklEIjoiTUVOREVMRVlfQ0lUQVRJT05fMzc3YTcxNDgtMWZiNi00NDY3LWFmODMtOGRhNDkyMjIxZDg5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713244349"/>
          <w:placeholder>
            <w:docPart w:val="DefaultPlaceholder_-1854013440"/>
          </w:placeholder>
        </w:sdtPr>
        <w:sdtContent>
          <w:r w:rsidR="004E6989" w:rsidRPr="004E6989">
            <w:rPr>
              <w:rFonts w:eastAsia="Times New Roman"/>
              <w:color w:val="000000"/>
              <w:sz w:val="22"/>
            </w:rPr>
            <w:t>(Bovaird &amp; Loeffler, 2012)</w:t>
          </w:r>
        </w:sdtContent>
      </w:sdt>
      <w:r w:rsidRPr="002F18D2">
        <w:rPr>
          <w:sz w:val="22"/>
          <w:szCs w:val="22"/>
        </w:rPr>
        <w:t>.</w:t>
      </w:r>
    </w:p>
    <w:p w14:paraId="18333BA3" w14:textId="77777777" w:rsidR="002F18D2" w:rsidRPr="002F18D2" w:rsidRDefault="002F18D2" w:rsidP="002F18D2">
      <w:pPr>
        <w:spacing w:line="276" w:lineRule="auto"/>
        <w:rPr>
          <w:sz w:val="22"/>
          <w:szCs w:val="22"/>
        </w:rPr>
      </w:pPr>
      <w:r w:rsidRPr="002F18D2">
        <w:rPr>
          <w:sz w:val="22"/>
          <w:szCs w:val="22"/>
        </w:rPr>
        <w:t xml:space="preserve">Citizen participation has been shown to enhance transparency and accountability in governance systems </w:t>
      </w:r>
      <w:sdt>
        <w:sdtPr>
          <w:rPr>
            <w:color w:val="000000"/>
            <w:sz w:val="22"/>
            <w:szCs w:val="22"/>
          </w:rPr>
          <w:tag w:val="MENDELEY_CITATION_v3_eyJjaXRhdGlvbklEIjoiTUVOREVMRVlfQ0lUQVRJT05fNDIzM2E2OWEtY2ZjNy00NjlmLTlmNGEtMDMwYzljNjEwMWVm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464162993"/>
          <w:placeholder>
            <w:docPart w:val="DefaultPlaceholder_-1854013440"/>
          </w:placeholder>
        </w:sdtPr>
        <w:sdtContent>
          <w:r w:rsidR="00224682" w:rsidRPr="00224682">
            <w:rPr>
              <w:color w:val="000000"/>
              <w:sz w:val="22"/>
              <w:szCs w:val="22"/>
            </w:rPr>
            <w:t>(Fox, 2015)</w:t>
          </w:r>
        </w:sdtContent>
      </w:sdt>
      <w:r w:rsidRPr="002F18D2">
        <w:rPr>
          <w:sz w:val="22"/>
          <w:szCs w:val="22"/>
        </w:rPr>
        <w:t xml:space="preserve">. When citizens are actively involved in governance processes, they are better able to monitor government actions and demand accountability from public officials </w:t>
      </w:r>
      <w:sdt>
        <w:sdtPr>
          <w:rPr>
            <w:color w:val="000000"/>
            <w:sz w:val="22"/>
            <w:szCs w:val="22"/>
          </w:rPr>
          <w:tag w:val="MENDELEY_CITATION_v3_eyJjaXRhdGlvbklEIjoiTUVOREVMRVlfQ0lUQVRJT05fNGE2NGE5NTAtYjQ3Yy00NDczLTg2Y2UtYjE0ZjcyMzQ1YjU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2123184425"/>
          <w:placeholder>
            <w:docPart w:val="DefaultPlaceholder_-1854013440"/>
          </w:placeholder>
        </w:sdtPr>
        <w:sdtContent>
          <w:r w:rsidR="00224682" w:rsidRPr="00224682">
            <w:rPr>
              <w:color w:val="000000"/>
              <w:sz w:val="22"/>
              <w:szCs w:val="22"/>
            </w:rPr>
            <w:t>(Fox, 2015)</w:t>
          </w:r>
        </w:sdtContent>
      </w:sdt>
      <w:r w:rsidRPr="002F18D2">
        <w:rPr>
          <w:sz w:val="22"/>
          <w:szCs w:val="22"/>
        </w:rPr>
        <w:t xml:space="preserve">. Participatory governance mechanisms therefore strengthen social accountability by enabling citizens to hold public institutions responsible for policy outcomes </w:t>
      </w:r>
      <w:sdt>
        <w:sdtPr>
          <w:rPr>
            <w:color w:val="000000"/>
            <w:sz w:val="22"/>
            <w:szCs w:val="22"/>
          </w:rPr>
          <w:tag w:val="MENDELEY_CITATION_v3_eyJjaXRhdGlvbklEIjoiTUVOREVMRVlfQ0lUQVRJT05fZDllMmU0ODktNjVjNS00Mjg3LWE3NDctMTU5MjFiNmNjZG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046255277"/>
          <w:placeholder>
            <w:docPart w:val="DefaultPlaceholder_-1854013440"/>
          </w:placeholder>
        </w:sdtPr>
        <w:sdtContent>
          <w:r w:rsidR="00224682" w:rsidRPr="00224682">
            <w:rPr>
              <w:color w:val="000000"/>
              <w:sz w:val="22"/>
              <w:szCs w:val="22"/>
            </w:rPr>
            <w:t>(Fung, 2015)</w:t>
          </w:r>
        </w:sdtContent>
      </w:sdt>
      <w:r w:rsidRPr="002F18D2">
        <w:rPr>
          <w:sz w:val="22"/>
          <w:szCs w:val="22"/>
        </w:rPr>
        <w:t>.</w:t>
      </w:r>
    </w:p>
    <w:p w14:paraId="0083A13A" w14:textId="77777777" w:rsidR="002F18D2" w:rsidRPr="002F18D2" w:rsidRDefault="002F18D2" w:rsidP="002F18D2">
      <w:pPr>
        <w:spacing w:line="276" w:lineRule="auto"/>
        <w:rPr>
          <w:sz w:val="22"/>
          <w:szCs w:val="22"/>
        </w:rPr>
      </w:pPr>
      <w:r w:rsidRPr="002F18D2">
        <w:rPr>
          <w:sz w:val="22"/>
          <w:szCs w:val="22"/>
        </w:rPr>
        <w:t xml:space="preserve">Participatory governance has also been associated with improved responsiveness in public administration </w:t>
      </w:r>
      <w:sdt>
        <w:sdtPr>
          <w:rPr>
            <w:color w:val="000000"/>
            <w:sz w:val="22"/>
            <w:szCs w:val="22"/>
          </w:rPr>
          <w:tag w:val="MENDELEY_CITATION_v3_eyJjaXRhdGlvbklEIjoiTUVOREVMRVlfQ0lUQVRJT05fNTY2N2Y3Y2EtYWNkZS00YTg5LTg0OWQtOTgzY2Q2OTIxZmN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131631207"/>
          <w:placeholder>
            <w:docPart w:val="DefaultPlaceholder_-1854013440"/>
          </w:placeholder>
        </w:sdtPr>
        <w:sdtContent>
          <w:r w:rsidR="004E7F38" w:rsidRPr="004E7F38">
            <w:rPr>
              <w:color w:val="000000"/>
              <w:sz w:val="22"/>
              <w:szCs w:val="22"/>
            </w:rPr>
            <w:t>(Wampler et al., 2021)</w:t>
          </w:r>
        </w:sdtContent>
      </w:sdt>
      <w:r w:rsidRPr="002F18D2">
        <w:rPr>
          <w:sz w:val="22"/>
          <w:szCs w:val="22"/>
        </w:rPr>
        <w:t xml:space="preserve">. Through participatory processes such as community consultations and participatory budgeting, policymakers gain access to information about citizen priorities and community needs </w:t>
      </w:r>
      <w:sdt>
        <w:sdtPr>
          <w:rPr>
            <w:color w:val="000000"/>
            <w:sz w:val="22"/>
            <w:szCs w:val="22"/>
          </w:rPr>
          <w:tag w:val="MENDELEY_CITATION_v3_eyJjaXRhdGlvbklEIjoiTUVOREVMRVlfQ0lUQVRJT05fN2E2M2E4NmMtNDU5Ny00NDJlLTg0YmMtZmRmY2EwYmFmMGY2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571006208"/>
          <w:placeholder>
            <w:docPart w:val="DefaultPlaceholder_-1854013440"/>
          </w:placeholder>
        </w:sdtPr>
        <w:sdtContent>
          <w:r w:rsidR="004E7F38" w:rsidRPr="004E7F38">
            <w:rPr>
              <w:color w:val="000000"/>
              <w:sz w:val="22"/>
              <w:szCs w:val="22"/>
            </w:rPr>
            <w:t>(Wampler et al., 2021)</w:t>
          </w:r>
        </w:sdtContent>
      </w:sdt>
      <w:r w:rsidRPr="002F18D2">
        <w:rPr>
          <w:sz w:val="22"/>
          <w:szCs w:val="22"/>
        </w:rPr>
        <w:t xml:space="preserve">. This information allows government institutions to design policies that better reflect citizen expectations and development priorities </w:t>
      </w:r>
      <w:sdt>
        <w:sdtPr>
          <w:rPr>
            <w:color w:val="000000"/>
            <w:sz w:val="22"/>
            <w:szCs w:val="22"/>
          </w:rPr>
          <w:tag w:val="MENDELEY_CITATION_v3_eyJjaXRhdGlvbklEIjoiTUVOREVMRVlfQ0lUQVRJT05fMTFiNjk1OGYtMGIyNS00MWNhLWI5YzgtZDU0YjczZThlMDY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155376564"/>
          <w:placeholder>
            <w:docPart w:val="DefaultPlaceholder_-1854013440"/>
          </w:placeholder>
        </w:sdtPr>
        <w:sdtContent>
          <w:r w:rsidR="004E7F38" w:rsidRPr="004E7F38">
            <w:rPr>
              <w:rFonts w:eastAsia="Times New Roman"/>
              <w:color w:val="000000"/>
              <w:sz w:val="22"/>
            </w:rPr>
            <w:t>(Bovaird &amp; Loeffler, 2012)</w:t>
          </w:r>
        </w:sdtContent>
      </w:sdt>
      <w:r w:rsidRPr="002F18D2">
        <w:rPr>
          <w:sz w:val="22"/>
          <w:szCs w:val="22"/>
        </w:rPr>
        <w:t>.</w:t>
      </w:r>
    </w:p>
    <w:p w14:paraId="54CCECB6" w14:textId="77777777" w:rsidR="002F18D2" w:rsidRPr="002F18D2" w:rsidRDefault="002F18D2" w:rsidP="002F18D2">
      <w:pPr>
        <w:spacing w:line="276" w:lineRule="auto"/>
        <w:rPr>
          <w:sz w:val="22"/>
          <w:szCs w:val="22"/>
        </w:rPr>
      </w:pPr>
      <w:r w:rsidRPr="002F18D2">
        <w:rPr>
          <w:sz w:val="22"/>
          <w:szCs w:val="22"/>
        </w:rPr>
        <w:lastRenderedPageBreak/>
        <w:t xml:space="preserve">Citizen participation also contributes to the legitimacy of public decisions </w:t>
      </w:r>
      <w:sdt>
        <w:sdtPr>
          <w:rPr>
            <w:color w:val="000000"/>
            <w:sz w:val="22"/>
            <w:szCs w:val="22"/>
          </w:rPr>
          <w:tag w:val="MENDELEY_CITATION_v3_eyJjaXRhdGlvbklEIjoiTUVOREVMRVlfQ0lUQVRJT05fNTdhZTQzOTktZmMyOC00NTIxLWJlNzktMmY2ZDM5YzRjODM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275126131"/>
          <w:placeholder>
            <w:docPart w:val="DefaultPlaceholder_-1854013440"/>
          </w:placeholder>
        </w:sdtPr>
        <w:sdtContent>
          <w:r w:rsidR="004E7F38" w:rsidRPr="004E7F38">
            <w:rPr>
              <w:rFonts w:eastAsia="Times New Roman"/>
              <w:color w:val="000000"/>
              <w:sz w:val="22"/>
            </w:rPr>
            <w:t>(Michels &amp; De Graaf, 2017)</w:t>
          </w:r>
        </w:sdtContent>
      </w:sdt>
      <w:r w:rsidRPr="002F18D2">
        <w:rPr>
          <w:sz w:val="22"/>
          <w:szCs w:val="22"/>
        </w:rPr>
        <w:t xml:space="preserve">. When citizens are involved in decision-making processes, they are more likely to perceive government decisions as fair and legitimate </w:t>
      </w:r>
      <w:sdt>
        <w:sdtPr>
          <w:rPr>
            <w:color w:val="000000"/>
            <w:sz w:val="22"/>
            <w:szCs w:val="22"/>
          </w:rPr>
          <w:tag w:val="MENDELEY_CITATION_v3_eyJjaXRhdGlvbklEIjoiTUVOREVMRVlfQ0lUQVRJT05fM2I5MzJjNDktMmRjNC00MTc0LThmNzUtZDVmNmE3YjlhY2Y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155904934"/>
          <w:placeholder>
            <w:docPart w:val="DefaultPlaceholder_-1854013440"/>
          </w:placeholder>
        </w:sdtPr>
        <w:sdtContent>
          <w:r w:rsidR="004E7F38" w:rsidRPr="004E7F38">
            <w:rPr>
              <w:rFonts w:eastAsia="Times New Roman"/>
              <w:color w:val="000000"/>
              <w:sz w:val="22"/>
            </w:rPr>
            <w:t>(Michels &amp; De Graaf, 2017)</w:t>
          </w:r>
        </w:sdtContent>
      </w:sdt>
      <w:r w:rsidRPr="002F18D2">
        <w:rPr>
          <w:sz w:val="22"/>
          <w:szCs w:val="22"/>
        </w:rPr>
        <w:t xml:space="preserve">. Participatory governance mechanisms therefore strengthen trust between citizens and government institutions </w:t>
      </w:r>
      <w:sdt>
        <w:sdtPr>
          <w:rPr>
            <w:color w:val="000000"/>
            <w:sz w:val="22"/>
            <w:szCs w:val="22"/>
          </w:rPr>
          <w:tag w:val="MENDELEY_CITATION_v3_eyJjaXRhdGlvbklEIjoiTUVOREVMRVlfQ0lUQVRJT05fODhjNzI4YzktODQ3MC00NGEyLWFlYmYtNzMxNWQ4ZTVjM2Fi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2002858620"/>
          <w:placeholder>
            <w:docPart w:val="DefaultPlaceholder_-1854013440"/>
          </w:placeholder>
        </w:sdtPr>
        <w:sdtContent>
          <w:r w:rsidR="004E7F38" w:rsidRPr="004E7F38">
            <w:rPr>
              <w:rFonts w:eastAsia="Times New Roman"/>
              <w:color w:val="000000"/>
              <w:sz w:val="22"/>
            </w:rPr>
            <w:t>(</w:t>
          </w:r>
          <w:proofErr w:type="spellStart"/>
          <w:r w:rsidR="004E7F38" w:rsidRPr="004E7F38">
            <w:rPr>
              <w:rFonts w:eastAsia="Times New Roman"/>
              <w:color w:val="000000"/>
              <w:sz w:val="22"/>
            </w:rPr>
            <w:t>Nabatchi</w:t>
          </w:r>
          <w:proofErr w:type="spellEnd"/>
          <w:r w:rsidR="004E7F38" w:rsidRPr="004E7F38">
            <w:rPr>
              <w:rFonts w:eastAsia="Times New Roman"/>
              <w:color w:val="000000"/>
              <w:sz w:val="22"/>
            </w:rPr>
            <w:t xml:space="preserve"> &amp; </w:t>
          </w:r>
          <w:proofErr w:type="spellStart"/>
          <w:r w:rsidR="004E7F38" w:rsidRPr="004E7F38">
            <w:rPr>
              <w:rFonts w:eastAsia="Times New Roman"/>
              <w:color w:val="000000"/>
              <w:sz w:val="22"/>
            </w:rPr>
            <w:t>Leighninger</w:t>
          </w:r>
          <w:proofErr w:type="spellEnd"/>
          <w:r w:rsidR="004E7F38" w:rsidRPr="004E7F38">
            <w:rPr>
              <w:rFonts w:eastAsia="Times New Roman"/>
              <w:color w:val="000000"/>
              <w:sz w:val="22"/>
            </w:rPr>
            <w:t>, 2015)</w:t>
          </w:r>
        </w:sdtContent>
      </w:sdt>
      <w:r w:rsidRPr="002F18D2">
        <w:rPr>
          <w:sz w:val="22"/>
          <w:szCs w:val="22"/>
        </w:rPr>
        <w:t>.</w:t>
      </w:r>
    </w:p>
    <w:p w14:paraId="54A1D643" w14:textId="77777777" w:rsidR="002F18D2" w:rsidRPr="002F18D2" w:rsidRDefault="002F18D2" w:rsidP="002F18D2">
      <w:pPr>
        <w:spacing w:line="276" w:lineRule="auto"/>
        <w:rPr>
          <w:sz w:val="22"/>
          <w:szCs w:val="22"/>
        </w:rPr>
      </w:pPr>
      <w:r w:rsidRPr="002F18D2">
        <w:rPr>
          <w:sz w:val="22"/>
          <w:szCs w:val="22"/>
        </w:rPr>
        <w:t xml:space="preserve">Despite the extensive literature on participatory governance, several gaps remain in existing research (Fung, 2015). First, many studies focus primarily on the institutional design of participatory mechanisms rather than examining how these mechanisms influence the quality of decision-making outcomes within local government institutions </w:t>
      </w:r>
      <w:sdt>
        <w:sdtPr>
          <w:rPr>
            <w:color w:val="000000"/>
            <w:sz w:val="22"/>
            <w:szCs w:val="22"/>
          </w:rPr>
          <w:tag w:val="MENDELEY_CITATION_v3_eyJjaXRhdGlvbklEIjoiTUVOREVMRVlfQ0lUQVRJT05fNmVhM2M2YjctNTBmNC00ZmQ3LWIzNzQtMDVkYzUyMzY5MjI4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872605991"/>
          <w:placeholder>
            <w:docPart w:val="DefaultPlaceholder_-1854013440"/>
          </w:placeholder>
        </w:sdtPr>
        <w:sdtContent>
          <w:r w:rsidR="004E7F38" w:rsidRPr="004E7F38">
            <w:rPr>
              <w:rFonts w:eastAsia="Times New Roman"/>
              <w:color w:val="000000"/>
              <w:sz w:val="22"/>
            </w:rPr>
            <w:t>(</w:t>
          </w:r>
          <w:proofErr w:type="spellStart"/>
          <w:r w:rsidR="004E7F38" w:rsidRPr="004E7F38">
            <w:rPr>
              <w:rFonts w:eastAsia="Times New Roman"/>
              <w:color w:val="000000"/>
              <w:sz w:val="22"/>
            </w:rPr>
            <w:t>Nabatchi</w:t>
          </w:r>
          <w:proofErr w:type="spellEnd"/>
          <w:r w:rsidR="004E7F38" w:rsidRPr="004E7F38">
            <w:rPr>
              <w:rFonts w:eastAsia="Times New Roman"/>
              <w:color w:val="000000"/>
              <w:sz w:val="22"/>
            </w:rPr>
            <w:t xml:space="preserve"> &amp; </w:t>
          </w:r>
          <w:proofErr w:type="spellStart"/>
          <w:r w:rsidR="004E7F38" w:rsidRPr="004E7F38">
            <w:rPr>
              <w:rFonts w:eastAsia="Times New Roman"/>
              <w:color w:val="000000"/>
              <w:sz w:val="22"/>
            </w:rPr>
            <w:t>Leighninger</w:t>
          </w:r>
          <w:proofErr w:type="spellEnd"/>
          <w:r w:rsidR="004E7F38" w:rsidRPr="004E7F38">
            <w:rPr>
              <w:rFonts w:eastAsia="Times New Roman"/>
              <w:color w:val="000000"/>
              <w:sz w:val="22"/>
            </w:rPr>
            <w:t>, 2015)</w:t>
          </w:r>
        </w:sdtContent>
      </w:sdt>
      <w:r w:rsidRPr="002F18D2">
        <w:rPr>
          <w:sz w:val="22"/>
          <w:szCs w:val="22"/>
        </w:rPr>
        <w:t>.</w:t>
      </w:r>
    </w:p>
    <w:p w14:paraId="5FA5ACF8" w14:textId="77777777" w:rsidR="002F18D2" w:rsidRPr="002F18D2" w:rsidRDefault="002F18D2" w:rsidP="002F18D2">
      <w:pPr>
        <w:spacing w:line="276" w:lineRule="auto"/>
        <w:rPr>
          <w:sz w:val="22"/>
          <w:szCs w:val="22"/>
        </w:rPr>
      </w:pPr>
      <w:r w:rsidRPr="002F18D2">
        <w:rPr>
          <w:sz w:val="22"/>
          <w:szCs w:val="22"/>
        </w:rPr>
        <w:t xml:space="preserve">Second, much of the empirical literature on citizen participation has been conducted in developed countries, particularly in Europe and North America </w:t>
      </w:r>
      <w:sdt>
        <w:sdtPr>
          <w:rPr>
            <w:color w:val="000000"/>
            <w:sz w:val="22"/>
            <w:szCs w:val="22"/>
          </w:rPr>
          <w:tag w:val="MENDELEY_CITATION_v3_eyJjaXRhdGlvbklEIjoiTUVOREVMRVlfQ0lUQVRJT05fOWQ0ZGNkZTgtZGJjYS00ZDc0LTljYmQtMTNhNTgxOTQxZWE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003275837"/>
          <w:placeholder>
            <w:docPart w:val="DefaultPlaceholder_-1854013440"/>
          </w:placeholder>
        </w:sdtPr>
        <w:sdtContent>
          <w:r w:rsidR="004E7F38" w:rsidRPr="004E7F38">
            <w:rPr>
              <w:rFonts w:eastAsia="Times New Roman"/>
              <w:color w:val="000000"/>
              <w:sz w:val="22"/>
            </w:rPr>
            <w:t>(Bovaird &amp; Loeffler, 2012)</w:t>
          </w:r>
        </w:sdtContent>
      </w:sdt>
      <w:r w:rsidRPr="002F18D2">
        <w:rPr>
          <w:sz w:val="22"/>
          <w:szCs w:val="22"/>
        </w:rPr>
        <w:t xml:space="preserve">. Although participatory governance initiatives have also been implemented in developing countries, fewer studies have systematically examined their impact on governance outcomes in African contexts </w:t>
      </w:r>
      <w:sdt>
        <w:sdtPr>
          <w:rPr>
            <w:color w:val="000000"/>
            <w:sz w:val="22"/>
            <w:szCs w:val="22"/>
          </w:rPr>
          <w:tag w:val="MENDELEY_CITATION_v3_eyJjaXRhdGlvbklEIjoiTUVOREVMRVlfQ0lUQVRJT05fMWZmZDMwMjMtMmM2Mi00YTg4LWJjNTYtYTg0MzM4MzhkOGVl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229888732"/>
          <w:placeholder>
            <w:docPart w:val="DefaultPlaceholder_-1854013440"/>
          </w:placeholder>
        </w:sdtPr>
        <w:sdtContent>
          <w:r w:rsidR="004E7F38" w:rsidRPr="004E7F38">
            <w:rPr>
              <w:color w:val="000000"/>
              <w:sz w:val="22"/>
              <w:szCs w:val="22"/>
            </w:rPr>
            <w:t>(Williams et al., 2012)</w:t>
          </w:r>
        </w:sdtContent>
      </w:sdt>
      <w:r w:rsidRPr="002F18D2">
        <w:rPr>
          <w:sz w:val="22"/>
          <w:szCs w:val="22"/>
        </w:rPr>
        <w:t>.</w:t>
      </w:r>
    </w:p>
    <w:p w14:paraId="71E97DC2" w14:textId="77777777" w:rsidR="002F18D2" w:rsidRPr="002F18D2" w:rsidRDefault="002F18D2" w:rsidP="002F18D2">
      <w:pPr>
        <w:spacing w:line="276" w:lineRule="auto"/>
        <w:rPr>
          <w:sz w:val="22"/>
          <w:szCs w:val="22"/>
        </w:rPr>
      </w:pPr>
      <w:r w:rsidRPr="002F18D2">
        <w:rPr>
          <w:sz w:val="22"/>
          <w:szCs w:val="22"/>
        </w:rPr>
        <w:t xml:space="preserve">Third, some studies document the existence of participatory mechanisms within local governance systems but do not adequately examine the challenges that affect meaningful citizen engagement </w:t>
      </w:r>
      <w:sdt>
        <w:sdtPr>
          <w:rPr>
            <w:color w:val="000000"/>
            <w:sz w:val="22"/>
            <w:szCs w:val="22"/>
          </w:rPr>
          <w:tag w:val="MENDELEY_CITATION_v3_eyJjaXRhdGlvbklEIjoiTUVOREVMRVlfQ0lUQVRJT05fYjhhYWExNWYtZGNmNi00MmRlLWE0MjItNzI3M2MxOWQ3NDcz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702240450"/>
          <w:placeholder>
            <w:docPart w:val="DefaultPlaceholder_-1854013440"/>
          </w:placeholder>
        </w:sdtPr>
        <w:sdtContent>
          <w:r w:rsidR="004E7F38" w:rsidRPr="004E7F38">
            <w:rPr>
              <w:color w:val="000000"/>
              <w:sz w:val="22"/>
              <w:szCs w:val="22"/>
            </w:rPr>
            <w:t>(Fox, 2015)</w:t>
          </w:r>
        </w:sdtContent>
      </w:sdt>
      <w:r w:rsidRPr="002F18D2">
        <w:rPr>
          <w:sz w:val="22"/>
          <w:szCs w:val="22"/>
        </w:rPr>
        <w:t xml:space="preserve">. Issues such as limited civic awareness, political interference, and institutional constraints may limit the effectiveness of participatory governance initiatives in practice </w:t>
      </w:r>
      <w:sdt>
        <w:sdtPr>
          <w:rPr>
            <w:color w:val="000000"/>
            <w:sz w:val="22"/>
            <w:szCs w:val="22"/>
          </w:rPr>
          <w:tag w:val="MENDELEY_CITATION_v3_eyJjaXRhdGlvbklEIjoiTUVOREVMRVlfQ0lUQVRJT05fZTVjZTI4MTctODIxZi00MzRhLTlhZDAtYjQ1M2EwMDIwZW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330046254"/>
          <w:placeholder>
            <w:docPart w:val="DefaultPlaceholder_-1854013440"/>
          </w:placeholder>
        </w:sdtPr>
        <w:sdtContent>
          <w:r w:rsidR="004E7F38" w:rsidRPr="004E7F38">
            <w:rPr>
              <w:color w:val="000000"/>
              <w:sz w:val="22"/>
              <w:szCs w:val="22"/>
            </w:rPr>
            <w:t>(Fung, 2015)</w:t>
          </w:r>
        </w:sdtContent>
      </w:sdt>
      <w:r w:rsidRPr="002F18D2">
        <w:rPr>
          <w:sz w:val="22"/>
          <w:szCs w:val="22"/>
        </w:rPr>
        <w:t>.</w:t>
      </w:r>
    </w:p>
    <w:p w14:paraId="258A6940" w14:textId="77777777" w:rsidR="002F18D2" w:rsidRPr="002F18D2" w:rsidRDefault="002F18D2" w:rsidP="002F18D2">
      <w:pPr>
        <w:spacing w:line="276" w:lineRule="auto"/>
        <w:rPr>
          <w:sz w:val="22"/>
          <w:szCs w:val="22"/>
        </w:rPr>
      </w:pPr>
      <w:r w:rsidRPr="002F18D2">
        <w:rPr>
          <w:sz w:val="22"/>
          <w:szCs w:val="22"/>
        </w:rPr>
        <w:t>Addressing these gaps is essential for understanding how citizen participation can contribute to improved governance outcomes within decentralized governance systems. This study therefore seeks to examine how citizen participation influences the quality of decision-making in local government institutions.</w:t>
      </w:r>
    </w:p>
    <w:p w14:paraId="49F473C6" w14:textId="77777777" w:rsidR="00E020F2" w:rsidRPr="00E020F2" w:rsidRDefault="00E020F2" w:rsidP="00E020F2">
      <w:pPr>
        <w:spacing w:line="276" w:lineRule="auto"/>
        <w:rPr>
          <w:b/>
          <w:bCs/>
          <w:sz w:val="22"/>
          <w:szCs w:val="22"/>
        </w:rPr>
      </w:pPr>
      <w:r>
        <w:rPr>
          <w:b/>
          <w:bCs/>
          <w:sz w:val="22"/>
          <w:szCs w:val="22"/>
        </w:rPr>
        <w:t>4. Materials and Methods</w:t>
      </w:r>
    </w:p>
    <w:p w14:paraId="420A3D42" w14:textId="77777777" w:rsidR="00E020F2" w:rsidRPr="00E020F2" w:rsidRDefault="00E020F2" w:rsidP="00E020F2">
      <w:pPr>
        <w:spacing w:line="276" w:lineRule="auto"/>
        <w:rPr>
          <w:b/>
          <w:bCs/>
          <w:sz w:val="22"/>
          <w:szCs w:val="22"/>
        </w:rPr>
      </w:pPr>
      <w:r w:rsidRPr="00E020F2">
        <w:rPr>
          <w:b/>
          <w:bCs/>
          <w:sz w:val="22"/>
          <w:szCs w:val="22"/>
        </w:rPr>
        <w:t>Research Design</w:t>
      </w:r>
    </w:p>
    <w:p w14:paraId="1DDCEE03" w14:textId="77777777" w:rsidR="00E020F2" w:rsidRPr="00E020F2" w:rsidRDefault="00E020F2" w:rsidP="00E020F2">
      <w:pPr>
        <w:spacing w:line="276" w:lineRule="auto"/>
        <w:rPr>
          <w:sz w:val="22"/>
          <w:szCs w:val="22"/>
        </w:rPr>
      </w:pPr>
      <w:r w:rsidRPr="00E020F2">
        <w:rPr>
          <w:sz w:val="22"/>
          <w:szCs w:val="22"/>
        </w:rPr>
        <w:t xml:space="preserve">This study adopted a </w:t>
      </w:r>
      <w:r w:rsidRPr="00E020F2">
        <w:rPr>
          <w:bCs/>
          <w:sz w:val="22"/>
          <w:szCs w:val="22"/>
        </w:rPr>
        <w:t>qualitative research design</w:t>
      </w:r>
      <w:r w:rsidRPr="00E020F2">
        <w:rPr>
          <w:sz w:val="22"/>
          <w:szCs w:val="22"/>
        </w:rPr>
        <w:t xml:space="preserve"> in order to explore the relationship between citizen participation and the quality of decision-making in local government institutions. Qualitative research is particularly suitable for studies that seek to understand complex social phenomena, institutional processes, and governance dynamics within their real-life contexts </w:t>
      </w:r>
      <w:sdt>
        <w:sdtPr>
          <w:rPr>
            <w:color w:val="000000"/>
            <w:sz w:val="22"/>
            <w:szCs w:val="22"/>
          </w:rPr>
          <w:tag w:val="MENDELEY_CITATION_v3_eyJjaXRhdGlvbklEIjoiTUVOREVMRVlfQ0lUQVRJT05fMTQxZWVjYjYtNzQ2Yi00NjQ3LTgwZTEtZWJjNGMyZGNmN2Y5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
          <w:id w:val="982577141"/>
          <w:placeholder>
            <w:docPart w:val="DefaultPlaceholder_-1854013440"/>
          </w:placeholder>
        </w:sdtPr>
        <w:sdtContent>
          <w:r w:rsidR="004E7F38" w:rsidRPr="004E7F38">
            <w:rPr>
              <w:rFonts w:eastAsia="Times New Roman"/>
              <w:color w:val="000000"/>
              <w:sz w:val="22"/>
            </w:rPr>
            <w:t>(Creswell &amp; Vicki, 2017)</w:t>
          </w:r>
        </w:sdtContent>
      </w:sdt>
      <w:r w:rsidRPr="00E020F2">
        <w:rPr>
          <w:sz w:val="22"/>
          <w:szCs w:val="22"/>
        </w:rPr>
        <w:t xml:space="preserve">. Unlike quantitative approaches that emphasize statistical measurement, qualitative research focuses on interpreting meanings, experiences, and institutional practices that shape governance processes </w:t>
      </w:r>
      <w:sdt>
        <w:sdtPr>
          <w:rPr>
            <w:color w:val="000000"/>
            <w:sz w:val="22"/>
            <w:szCs w:val="22"/>
          </w:rPr>
          <w:tag w:val="MENDELEY_CITATION_v3_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"/>
          <w:id w:val="-1812400528"/>
          <w:placeholder>
            <w:docPart w:val="DefaultPlaceholder_-1854013440"/>
          </w:placeholder>
        </w:sdtPr>
        <w:sdtContent>
          <w:r w:rsidR="004E7F38" w:rsidRPr="004E7F38">
            <w:rPr>
              <w:color w:val="000000"/>
              <w:sz w:val="22"/>
              <w:szCs w:val="22"/>
            </w:rPr>
            <w:t>(Silverman, 2017)</w:t>
          </w:r>
        </w:sdtContent>
      </w:sdt>
      <w:r w:rsidRPr="00E020F2">
        <w:rPr>
          <w:sz w:val="22"/>
          <w:szCs w:val="22"/>
        </w:rPr>
        <w:t>.</w:t>
      </w:r>
    </w:p>
    <w:p w14:paraId="3FA3A52F" w14:textId="77777777" w:rsidR="00E020F2" w:rsidRPr="00E020F2" w:rsidRDefault="00E020F2" w:rsidP="00E020F2">
      <w:pPr>
        <w:spacing w:line="276" w:lineRule="auto"/>
        <w:rPr>
          <w:sz w:val="22"/>
          <w:szCs w:val="22"/>
        </w:rPr>
      </w:pPr>
      <w:r w:rsidRPr="00E020F2">
        <w:rPr>
          <w:sz w:val="22"/>
          <w:szCs w:val="22"/>
        </w:rPr>
        <w:t xml:space="preserve">The choice of a qualitative research design was guided by the nature of the research problem, which requires an in-depth understanding of how citizen participation mechanisms influence decision-making processes in local governments. Qualitative methods allow researchers to explore governance practices, institutional arrangements, and policy frameworks that shape participatory decision-making </w:t>
      </w:r>
      <w:sdt>
        <w:sdtPr>
          <w:rPr>
            <w:color w:val="000000"/>
            <w:sz w:val="22"/>
            <w:szCs w:val="22"/>
          </w:rPr>
          <w:tag w:val="MENDELEY_CITATION_v3_eyJjaXRhdGlvbklEIjoiTUVOREVMRVlfQ0lUQVRJT05fZjgyZDY4MmItMDViNC00ZDdkLTljZTktZjE0Njk3YmViNzkz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
          <w:id w:val="-2004576070"/>
          <w:placeholder>
            <w:docPart w:val="DefaultPlaceholder_-1854013440"/>
          </w:placeholder>
        </w:sdtPr>
        <w:sdtContent>
          <w:r w:rsidR="004E7F38" w:rsidRPr="004E7F38">
            <w:rPr>
              <w:color w:val="000000"/>
              <w:sz w:val="22"/>
              <w:szCs w:val="22"/>
            </w:rPr>
            <w:t>(Flick, 2018)</w:t>
          </w:r>
        </w:sdtContent>
      </w:sdt>
      <w:r w:rsidRPr="00E020F2">
        <w:rPr>
          <w:sz w:val="22"/>
          <w:szCs w:val="22"/>
        </w:rPr>
        <w:t xml:space="preserve">. This approach is particularly appropriate for public administration studies where the objective is to analyze governance processes and institutional relationships rather than to measure variables statistically </w:t>
      </w:r>
      <w:sdt>
        <w:sdtPr>
          <w:rPr>
            <w:color w:val="000000"/>
            <w:sz w:val="22"/>
            <w:szCs w:val="22"/>
          </w:rPr>
          <w:tag w:val="MENDELEY_CITATION_v3_eyJjaXRhdGlvbklEIjoiTUVOREVMRVlfQ0lUQVRJT05fYTExMzc0ZjMtNTBiZS00N2NiLWE5ZjQtMzM5NjkwYjRkODQx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1724634521"/>
          <w:placeholder>
            <w:docPart w:val="DefaultPlaceholder_-1854013440"/>
          </w:placeholder>
        </w:sdtPr>
        <w:sdtContent>
          <w:r w:rsidR="004E7F38" w:rsidRPr="004E7F38">
            <w:rPr>
              <w:color w:val="000000"/>
              <w:sz w:val="22"/>
              <w:szCs w:val="22"/>
            </w:rPr>
            <w:t>(Bryman, 2016)</w:t>
          </w:r>
        </w:sdtContent>
      </w:sdt>
      <w:r w:rsidRPr="00E020F2">
        <w:rPr>
          <w:sz w:val="22"/>
          <w:szCs w:val="22"/>
        </w:rPr>
        <w:t>.</w:t>
      </w:r>
    </w:p>
    <w:p w14:paraId="0404C97B" w14:textId="77777777" w:rsidR="00E020F2" w:rsidRPr="00E020F2" w:rsidRDefault="00E020F2" w:rsidP="00E020F2">
      <w:pPr>
        <w:spacing w:line="276" w:lineRule="auto"/>
        <w:rPr>
          <w:sz w:val="22"/>
          <w:szCs w:val="22"/>
        </w:rPr>
      </w:pPr>
      <w:r w:rsidRPr="00E020F2">
        <w:rPr>
          <w:sz w:val="22"/>
          <w:szCs w:val="22"/>
        </w:rPr>
        <w:t xml:space="preserve">In governance research, qualitative approaches are widely used to examine participatory governance mechanisms, policy processes, and institutional dynamics within public institutions </w:t>
      </w:r>
      <w:sdt>
        <w:sdtPr>
          <w:rPr>
            <w:color w:val="000000"/>
            <w:sz w:val="22"/>
            <w:szCs w:val="22"/>
          </w:rPr>
          <w:tag w:val="MENDELEY_CITATION_v3_eyJjaXRhdGlvbklEIjoiTUVOREVMRVlfQ0lUQVRJT05fYjFiMjY4YjAtNzM1Ny00OWIyLThlNWMtYzQ2MTY4M2U1OGYw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
          <w:id w:val="-1167020279"/>
          <w:placeholder>
            <w:docPart w:val="DefaultPlaceholder_-1854013440"/>
          </w:placeholder>
        </w:sdtPr>
        <w:sdtContent>
          <w:r w:rsidR="004E7F38" w:rsidRPr="004E7F38">
            <w:rPr>
              <w:color w:val="000000"/>
              <w:sz w:val="22"/>
              <w:szCs w:val="22"/>
            </w:rPr>
            <w:t>(Flick, 2018)</w:t>
          </w:r>
        </w:sdtContent>
      </w:sdt>
      <w:r w:rsidRPr="00E020F2">
        <w:rPr>
          <w:sz w:val="22"/>
          <w:szCs w:val="22"/>
        </w:rPr>
        <w:t xml:space="preserve">. The qualitative design adopted in this study </w:t>
      </w:r>
      <w:r w:rsidRPr="00E020F2">
        <w:rPr>
          <w:sz w:val="22"/>
          <w:szCs w:val="22"/>
        </w:rPr>
        <w:lastRenderedPageBreak/>
        <w:t>therefore provides an appropriate framework for examining how citizen participation contributes to the quality of decision-making within local government systems.</w:t>
      </w:r>
    </w:p>
    <w:p w14:paraId="46B21926" w14:textId="77777777" w:rsidR="00E020F2" w:rsidRPr="00E020F2" w:rsidRDefault="00E020F2" w:rsidP="00E020F2">
      <w:pPr>
        <w:spacing w:line="276" w:lineRule="auto"/>
        <w:rPr>
          <w:b/>
          <w:bCs/>
          <w:sz w:val="22"/>
          <w:szCs w:val="22"/>
        </w:rPr>
      </w:pPr>
      <w:r w:rsidRPr="00E020F2">
        <w:rPr>
          <w:b/>
          <w:bCs/>
          <w:sz w:val="22"/>
          <w:szCs w:val="22"/>
        </w:rPr>
        <w:t>Data Sources</w:t>
      </w:r>
    </w:p>
    <w:p w14:paraId="397B99C0" w14:textId="77777777" w:rsidR="00E020F2" w:rsidRPr="00E020F2" w:rsidRDefault="00E020F2" w:rsidP="00E020F2">
      <w:pPr>
        <w:spacing w:line="276" w:lineRule="auto"/>
        <w:rPr>
          <w:sz w:val="22"/>
          <w:szCs w:val="22"/>
        </w:rPr>
      </w:pPr>
      <w:r w:rsidRPr="00E020F2">
        <w:rPr>
          <w:sz w:val="22"/>
          <w:szCs w:val="22"/>
        </w:rPr>
        <w:t xml:space="preserve">The study relied on </w:t>
      </w:r>
      <w:r w:rsidRPr="00E020F2">
        <w:rPr>
          <w:bCs/>
          <w:sz w:val="22"/>
          <w:szCs w:val="22"/>
        </w:rPr>
        <w:t>secondary data sources</w:t>
      </w:r>
      <w:r w:rsidRPr="00E020F2">
        <w:rPr>
          <w:sz w:val="22"/>
          <w:szCs w:val="22"/>
        </w:rPr>
        <w:t xml:space="preserve"> to examine citizen participation and decision-making processes in local government institutions. Secondary data refers to information that has already been collected and documented by other researchers, government institutions, and organizations for purposes related to governance and policy analysis </w:t>
      </w:r>
      <w:sdt>
        <w:sdtPr>
          <w:rPr>
            <w:color w:val="000000"/>
            <w:sz w:val="22"/>
            <w:szCs w:val="22"/>
          </w:rPr>
          <w:tag w:val="MENDELEY_CITATION_v3_eyJjaXRhdGlvbklEIjoiTUVOREVMRVlfQ0lUQVRJT05fODIwOTk3YmEtMGQ0Yy00NjEyLWJjZWItY2Y0MzFjYWZkYmRh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
          <w:id w:val="-1523234836"/>
          <w:placeholder>
            <w:docPart w:val="DefaultPlaceholder_-1854013440"/>
          </w:placeholder>
        </w:sdtPr>
        <w:sdtContent>
          <w:r w:rsidR="00817578" w:rsidRPr="00817578">
            <w:rPr>
              <w:color w:val="000000"/>
              <w:sz w:val="22"/>
              <w:szCs w:val="22"/>
            </w:rPr>
            <w:t>(Johnston, 2014)</w:t>
          </w:r>
        </w:sdtContent>
      </w:sdt>
      <w:r w:rsidRPr="00E020F2">
        <w:rPr>
          <w:sz w:val="22"/>
          <w:szCs w:val="22"/>
        </w:rPr>
        <w:t>. Using secondary sources allows researchers to analyze existing knowledge and policy frameworks in order to develop a comprehensive understanding of the study phenomenon.</w:t>
      </w:r>
    </w:p>
    <w:p w14:paraId="55C63783" w14:textId="77777777" w:rsidR="00E020F2" w:rsidRPr="00E020F2" w:rsidRDefault="00E020F2" w:rsidP="00E020F2">
      <w:pPr>
        <w:spacing w:line="276" w:lineRule="auto"/>
        <w:rPr>
          <w:sz w:val="22"/>
          <w:szCs w:val="22"/>
        </w:rPr>
      </w:pPr>
      <w:r w:rsidRPr="00E020F2">
        <w:rPr>
          <w:sz w:val="22"/>
          <w:szCs w:val="22"/>
        </w:rPr>
        <w:t xml:space="preserve">The data used in this study were obtained from multiple sources to ensure the credibility and comprehensiveness of the analysis. The first category of sources consisted of </w:t>
      </w:r>
      <w:r w:rsidRPr="00E020F2">
        <w:rPr>
          <w:bCs/>
          <w:sz w:val="22"/>
          <w:szCs w:val="22"/>
        </w:rPr>
        <w:t>academic literature</w:t>
      </w:r>
      <w:r w:rsidRPr="00E020F2">
        <w:rPr>
          <w:sz w:val="22"/>
          <w:szCs w:val="22"/>
        </w:rPr>
        <w:t>, including peer-reviewed journal articles, scholarly books, and conference papers focusing on participatory governance and public administration. Academic literature provided theoretical and empirical insights into the role of citizen participation in democratic governance and decision-making processes.</w:t>
      </w:r>
    </w:p>
    <w:p w14:paraId="304C717C" w14:textId="77777777" w:rsidR="00E020F2" w:rsidRPr="00E020F2" w:rsidRDefault="00E020F2" w:rsidP="00E020F2">
      <w:pPr>
        <w:spacing w:line="276" w:lineRule="auto"/>
        <w:rPr>
          <w:sz w:val="22"/>
          <w:szCs w:val="22"/>
        </w:rPr>
      </w:pPr>
      <w:r w:rsidRPr="00E020F2">
        <w:rPr>
          <w:sz w:val="22"/>
          <w:szCs w:val="22"/>
        </w:rPr>
        <w:t xml:space="preserve">The second category of sources included </w:t>
      </w:r>
      <w:r w:rsidRPr="00E020F2">
        <w:rPr>
          <w:bCs/>
          <w:sz w:val="22"/>
          <w:szCs w:val="22"/>
        </w:rPr>
        <w:t>government policy documents</w:t>
      </w:r>
      <w:r w:rsidRPr="00E020F2">
        <w:rPr>
          <w:sz w:val="22"/>
          <w:szCs w:val="22"/>
        </w:rPr>
        <w:t xml:space="preserve"> related to decentralization, citizen participation, and local governance. Government policies and regulatory frameworks provide important information about the institutional arrangements through which citizens engage in governance processes. Such policy documents are important sources for analyzing how participatory governance mechanisms are designed and implemented within local government systems.</w:t>
      </w:r>
    </w:p>
    <w:p w14:paraId="7FAA742A" w14:textId="77777777" w:rsidR="00E020F2" w:rsidRPr="00E020F2" w:rsidRDefault="00E020F2" w:rsidP="00E020F2">
      <w:pPr>
        <w:spacing w:line="276" w:lineRule="auto"/>
        <w:rPr>
          <w:sz w:val="22"/>
          <w:szCs w:val="22"/>
        </w:rPr>
      </w:pPr>
      <w:r w:rsidRPr="00E020F2">
        <w:rPr>
          <w:sz w:val="22"/>
          <w:szCs w:val="22"/>
        </w:rPr>
        <w:t xml:space="preserve">The study also utilized </w:t>
      </w:r>
      <w:r w:rsidRPr="00E020F2">
        <w:rPr>
          <w:bCs/>
          <w:sz w:val="22"/>
          <w:szCs w:val="22"/>
        </w:rPr>
        <w:t>governance reports</w:t>
      </w:r>
      <w:r w:rsidRPr="00E020F2">
        <w:rPr>
          <w:sz w:val="22"/>
          <w:szCs w:val="22"/>
        </w:rPr>
        <w:t xml:space="preserve"> produced by international organizations, civil society institutions, and development agencies. Governance reports often provide detailed analyses of governance reforms, decentralization policies, and citizen engagement initiatives within public institutions. These reports provide contextual insights into the functioning of participatory governance systems in different governance environments.</w:t>
      </w:r>
    </w:p>
    <w:p w14:paraId="49377275" w14:textId="77777777" w:rsidR="00E020F2" w:rsidRPr="00E020F2" w:rsidRDefault="00E020F2" w:rsidP="00E020F2">
      <w:pPr>
        <w:spacing w:line="276" w:lineRule="auto"/>
        <w:rPr>
          <w:sz w:val="22"/>
          <w:szCs w:val="22"/>
        </w:rPr>
      </w:pPr>
      <w:r w:rsidRPr="00E020F2">
        <w:rPr>
          <w:sz w:val="22"/>
          <w:szCs w:val="22"/>
        </w:rPr>
        <w:t xml:space="preserve">Finally, the study examined </w:t>
      </w:r>
      <w:r w:rsidRPr="00E020F2">
        <w:rPr>
          <w:bCs/>
          <w:sz w:val="22"/>
          <w:szCs w:val="22"/>
        </w:rPr>
        <w:t>local government regulations and legal frameworks</w:t>
      </w:r>
      <w:r w:rsidRPr="00E020F2">
        <w:rPr>
          <w:sz w:val="22"/>
          <w:szCs w:val="22"/>
        </w:rPr>
        <w:t xml:space="preserve"> that define institutional arrangements for citizen participation in governance processes. These regulatory frameworks outline procedures through which citizens participate in planning, budgeting, and oversight processes at the local government level. Analyzing these documents provided important insights into the institutional structures that facilitate citizen participation in decision-making.</w:t>
      </w:r>
    </w:p>
    <w:p w14:paraId="6F2ECE70" w14:textId="77777777" w:rsidR="00E020F2" w:rsidRPr="00E020F2" w:rsidRDefault="00E020F2" w:rsidP="00E020F2">
      <w:pPr>
        <w:spacing w:line="276" w:lineRule="auto"/>
        <w:rPr>
          <w:sz w:val="22"/>
          <w:szCs w:val="22"/>
        </w:rPr>
      </w:pPr>
      <w:r w:rsidRPr="00E020F2">
        <w:rPr>
          <w:sz w:val="22"/>
          <w:szCs w:val="22"/>
        </w:rPr>
        <w:t xml:space="preserve">Using multiple secondary data sources enabled the study to triangulate information from different perspectives, thereby strengthening the reliability and validity of the research findings </w:t>
      </w:r>
      <w:sdt>
        <w:sdtPr>
          <w:rPr>
            <w:color w:val="000000"/>
            <w:sz w:val="22"/>
            <w:szCs w:val="22"/>
          </w:rPr>
          <w:tag w:val="MENDELEY_CITATION_v3_eyJjaXRhdGlvbklEIjoiTUVOREVMRVlfQ0lUQVRJT05fMjUxZjg5MWEtZGUwMC00NTc0LTkzODEtNmM4NTg3ZWRjNDI1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
          <w:id w:val="-1921943454"/>
          <w:placeholder>
            <w:docPart w:val="DefaultPlaceholder_-1854013440"/>
          </w:placeholder>
        </w:sdtPr>
        <w:sdtContent>
          <w:r w:rsidR="00817578" w:rsidRPr="00817578">
            <w:rPr>
              <w:color w:val="000000"/>
              <w:sz w:val="22"/>
              <w:szCs w:val="22"/>
            </w:rPr>
            <w:t>(Johnston, 2014)</w:t>
          </w:r>
        </w:sdtContent>
      </w:sdt>
      <w:r w:rsidRPr="00E020F2">
        <w:rPr>
          <w:sz w:val="22"/>
          <w:szCs w:val="22"/>
        </w:rPr>
        <w:t>.</w:t>
      </w:r>
    </w:p>
    <w:p w14:paraId="71B29A04" w14:textId="77777777" w:rsidR="00E020F2" w:rsidRPr="00E020F2" w:rsidRDefault="00E020F2" w:rsidP="00E020F2">
      <w:pPr>
        <w:spacing w:line="276" w:lineRule="auto"/>
        <w:rPr>
          <w:b/>
          <w:bCs/>
          <w:sz w:val="22"/>
          <w:szCs w:val="22"/>
        </w:rPr>
      </w:pPr>
      <w:r w:rsidRPr="00E020F2">
        <w:rPr>
          <w:b/>
          <w:bCs/>
          <w:sz w:val="22"/>
          <w:szCs w:val="22"/>
        </w:rPr>
        <w:t>Data Collection Method</w:t>
      </w:r>
    </w:p>
    <w:p w14:paraId="6BCB8B0E" w14:textId="77777777" w:rsidR="00E020F2" w:rsidRPr="00E020F2" w:rsidRDefault="00E020F2" w:rsidP="00E020F2">
      <w:pPr>
        <w:spacing w:line="276" w:lineRule="auto"/>
        <w:rPr>
          <w:sz w:val="22"/>
          <w:szCs w:val="22"/>
        </w:rPr>
      </w:pPr>
      <w:r w:rsidRPr="00E020F2">
        <w:rPr>
          <w:sz w:val="22"/>
          <w:szCs w:val="22"/>
        </w:rPr>
        <w:t xml:space="preserve">The primary data collection method used in this study was </w:t>
      </w:r>
      <w:r w:rsidRPr="00E020F2">
        <w:rPr>
          <w:bCs/>
          <w:sz w:val="22"/>
          <w:szCs w:val="22"/>
        </w:rPr>
        <w:t>document review</w:t>
      </w:r>
      <w:r w:rsidRPr="00E020F2">
        <w:rPr>
          <w:sz w:val="22"/>
          <w:szCs w:val="22"/>
        </w:rPr>
        <w:t xml:space="preserve">, complemented by a systematic </w:t>
      </w:r>
      <w:r w:rsidRPr="00E020F2">
        <w:rPr>
          <w:bCs/>
          <w:sz w:val="22"/>
          <w:szCs w:val="22"/>
        </w:rPr>
        <w:t>literature review</w:t>
      </w:r>
      <w:r w:rsidRPr="00E020F2">
        <w:rPr>
          <w:sz w:val="22"/>
          <w:szCs w:val="22"/>
        </w:rPr>
        <w:t xml:space="preserve">. Document review is a qualitative research technique that involves the systematic examination and interpretation of written materials in order to gain understanding of a particular research problem </w:t>
      </w:r>
      <w:sdt>
        <w:sdtPr>
          <w:rPr>
            <w:color w:val="000000"/>
            <w:sz w:val="22"/>
            <w:szCs w:val="22"/>
          </w:rPr>
          <w:tag w:val="MENDELEY_CITATION_v3_eyJjaXRhdGlvbklEIjoiTUVOREVMRVlfQ0lUQVRJT05fYzJkYWY5ZjktZGE5OC00Njg5LTg3ZDUtYWRkZTM3ZTg4OGQy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
          <w:id w:val="-1255821433"/>
          <w:placeholder>
            <w:docPart w:val="DefaultPlaceholder_-1854013440"/>
          </w:placeholder>
        </w:sdtPr>
        <w:sdtContent>
          <w:r w:rsidR="00817578" w:rsidRPr="00817578">
            <w:rPr>
              <w:color w:val="000000"/>
              <w:sz w:val="22"/>
              <w:szCs w:val="22"/>
            </w:rPr>
            <w:t>(Bowen, 2009)</w:t>
          </w:r>
        </w:sdtContent>
      </w:sdt>
      <w:r w:rsidRPr="00E020F2">
        <w:rPr>
          <w:sz w:val="22"/>
          <w:szCs w:val="22"/>
        </w:rPr>
        <w:t>. Although commonly used in qualitative research, document analysis remains a relevant method for examining governance policies, institutional frameworks, and administrative practices.</w:t>
      </w:r>
    </w:p>
    <w:p w14:paraId="7AA27ECF" w14:textId="77777777" w:rsidR="00E020F2" w:rsidRPr="00E020F2" w:rsidRDefault="00E020F2" w:rsidP="00E020F2">
      <w:pPr>
        <w:spacing w:line="276" w:lineRule="auto"/>
        <w:rPr>
          <w:sz w:val="22"/>
          <w:szCs w:val="22"/>
        </w:rPr>
      </w:pPr>
      <w:r w:rsidRPr="00E020F2">
        <w:rPr>
          <w:sz w:val="22"/>
          <w:szCs w:val="22"/>
        </w:rPr>
        <w:lastRenderedPageBreak/>
        <w:t>Through document review, the study examined academic publications, government policy documents, governance reports, and legal frameworks related to citizen participation and local government decision-making. The documents were selected based on their relevance to the research objectives and their contribution to understanding participatory governance processes.</w:t>
      </w:r>
    </w:p>
    <w:p w14:paraId="46E7CC9A" w14:textId="77777777" w:rsidR="00E020F2" w:rsidRPr="00E020F2" w:rsidRDefault="00E020F2" w:rsidP="00E020F2">
      <w:pPr>
        <w:spacing w:line="276" w:lineRule="auto"/>
        <w:rPr>
          <w:sz w:val="22"/>
          <w:szCs w:val="22"/>
        </w:rPr>
      </w:pPr>
      <w:r w:rsidRPr="00E020F2">
        <w:rPr>
          <w:sz w:val="22"/>
          <w:szCs w:val="22"/>
        </w:rPr>
        <w:t xml:space="preserve">In addition to document review, the study conducted a </w:t>
      </w:r>
      <w:r w:rsidRPr="00323434">
        <w:rPr>
          <w:bCs/>
          <w:sz w:val="22"/>
          <w:szCs w:val="22"/>
        </w:rPr>
        <w:t>systematic literature review</w:t>
      </w:r>
      <w:r w:rsidRPr="00E020F2">
        <w:rPr>
          <w:sz w:val="22"/>
          <w:szCs w:val="22"/>
        </w:rPr>
        <w:t xml:space="preserve"> of scholarly publications related to citizen participation and governance. Literature review allows researchers to synthesize existing knowledge, identify theoretical perspectives, and evaluate empirical findings related to a particular research topic </w:t>
      </w:r>
      <w:sdt>
        <w:sdtPr>
          <w:rPr>
            <w:color w:val="000000"/>
            <w:sz w:val="22"/>
            <w:szCs w:val="22"/>
          </w:rPr>
          <w:tag w:val="MENDELEY_CITATION_v3_eyJjaXRhdGlvbklEIjoiTUVOREVMRVlfQ0lUQVRJT05fYTc4ZjU1YTMtZmU2MC00ODIzLWI4MjItOWU0Y2Y5ZDYyZmU1IiwicHJvcGVydGllcyI6eyJub3RlSW5kZXgiOjB9LCJpc0VkaXRlZCI6ZmFsc2UsIm1hbnVhbE92ZXJyaWRlIjp7ImlzTWFudWFsbHlPdmVycmlkZGVuIjpmYWxzZSwiY2l0ZXByb2NUZXh0IjoiKFNueWRlciwgMjAxOSkiLCJtYW51YWxPdmVycmlkZVRleHQiOiIifSwiY2l0YXRpb25JdGVtcyI6W3siaWQiOiIyYzM1YmFkMi0xNDhhLTMzOWItODJmZi1lYTI5Mjk3NTA5OTkiLCJpdGVtRGF0YSI6eyJ0eXBlIjoiYXJ0aWNsZS1qb3VybmFsIiwiaWQiOiIyYzM1YmFkMi0xNDhhLTMzOWItODJmZi1lYTI5Mjk3NTA5OTk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LiBCdXMuIFJlcy4iLCJET0kiOiIxMC4xMDE2L2ouamJ1c3Jlcy4yMDE5LjA3LjAzOSIsIklTU04iOiIwMTQ4Mjk2MyIsImlzc3VlZCI6eyJkYXRlLXBhcnRzIjpbWzIwMTksMTFdXX0sInBhZ2UiOiIzMzMtMzM5Iiwidm9sdW1lIjoiMTA0In0sImlzVGVtcG9yYXJ5IjpmYWxzZSwic3VwcHJlc3MtYXV0aG9yIjpmYWxzZSwiY29tcG9zaXRlIjpmYWxzZSwiYXV0aG9yLW9ubHkiOmZhbHNlfV19"/>
          <w:id w:val="648878983"/>
          <w:placeholder>
            <w:docPart w:val="DefaultPlaceholder_-1854013440"/>
          </w:placeholder>
        </w:sdtPr>
        <w:sdtContent>
          <w:r w:rsidR="00817578" w:rsidRPr="00817578">
            <w:rPr>
              <w:color w:val="000000"/>
              <w:sz w:val="22"/>
              <w:szCs w:val="22"/>
            </w:rPr>
            <w:t>(Snyder, 2019)</w:t>
          </w:r>
        </w:sdtContent>
      </w:sdt>
      <w:r w:rsidRPr="00E020F2">
        <w:rPr>
          <w:sz w:val="22"/>
          <w:szCs w:val="22"/>
        </w:rPr>
        <w:t>. The literature review process involved identifying relevant academic studies, analyzing their findings, and synthesizing their contributions to the understanding of citizen participation and governance outcomes.</w:t>
      </w:r>
    </w:p>
    <w:p w14:paraId="45A0FE18" w14:textId="77777777" w:rsidR="00E020F2" w:rsidRPr="00E020F2" w:rsidRDefault="00E020F2" w:rsidP="00E020F2">
      <w:pPr>
        <w:spacing w:line="276" w:lineRule="auto"/>
        <w:rPr>
          <w:sz w:val="22"/>
          <w:szCs w:val="22"/>
        </w:rPr>
      </w:pPr>
      <w:r w:rsidRPr="00E020F2">
        <w:rPr>
          <w:sz w:val="22"/>
          <w:szCs w:val="22"/>
        </w:rPr>
        <w:t>Combining document review and literature review enabled the study to gather comprehensive information about participatory governance mechanisms and their influence on decision-making processes in local government institutions.</w:t>
      </w:r>
    </w:p>
    <w:p w14:paraId="4C40C9DE" w14:textId="77777777" w:rsidR="00E020F2" w:rsidRPr="00E020F2" w:rsidRDefault="00E020F2" w:rsidP="00E020F2">
      <w:pPr>
        <w:spacing w:line="276" w:lineRule="auto"/>
        <w:rPr>
          <w:b/>
          <w:bCs/>
          <w:sz w:val="22"/>
          <w:szCs w:val="22"/>
        </w:rPr>
      </w:pPr>
      <w:r w:rsidRPr="00E020F2">
        <w:rPr>
          <w:b/>
          <w:bCs/>
          <w:sz w:val="22"/>
          <w:szCs w:val="22"/>
        </w:rPr>
        <w:t>Data Analysis</w:t>
      </w:r>
    </w:p>
    <w:p w14:paraId="6C8D19BF" w14:textId="77777777" w:rsidR="00E020F2" w:rsidRPr="00E020F2" w:rsidRDefault="00E020F2" w:rsidP="00E020F2">
      <w:pPr>
        <w:spacing w:line="276" w:lineRule="auto"/>
        <w:rPr>
          <w:sz w:val="22"/>
          <w:szCs w:val="22"/>
        </w:rPr>
      </w:pPr>
      <w:r w:rsidRPr="00E020F2">
        <w:rPr>
          <w:sz w:val="22"/>
          <w:szCs w:val="22"/>
        </w:rPr>
        <w:t xml:space="preserve">The collected data were analyzed using </w:t>
      </w:r>
      <w:r w:rsidRPr="00E020F2">
        <w:rPr>
          <w:bCs/>
          <w:sz w:val="22"/>
          <w:szCs w:val="22"/>
        </w:rPr>
        <w:t>thematic analysis</w:t>
      </w:r>
      <w:r w:rsidRPr="00E020F2">
        <w:rPr>
          <w:sz w:val="22"/>
          <w:szCs w:val="22"/>
        </w:rPr>
        <w:t xml:space="preserve">, a qualitative analytical technique used to identify patterns, themes, and relationships within textual data. Thematic analysis involves systematically examining qualitative data in order to identify recurring concepts and patterns relevant to the research objectives </w:t>
      </w:r>
      <w:sdt>
        <w:sdtPr>
          <w:rPr>
            <w:color w:val="000000"/>
            <w:sz w:val="22"/>
            <w:szCs w:val="22"/>
          </w:rPr>
          <w:tag w:val="MENDELEY_CITATION_v3_eyJjaXRhdGlvbklEIjoiTUVOREVMRVlfQ0lUQVRJT05fMTFlNTkyMDAtODYyMC00ZGE3LTk2N2MtMmY4ZWRkOWMzNDQ2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1566221455"/>
          <w:placeholder>
            <w:docPart w:val="DefaultPlaceholder_-1854013440"/>
          </w:placeholder>
        </w:sdtPr>
        <w:sdtContent>
          <w:r w:rsidR="00817578" w:rsidRPr="00817578">
            <w:rPr>
              <w:rFonts w:eastAsia="Times New Roman"/>
              <w:color w:val="000000"/>
              <w:sz w:val="22"/>
            </w:rPr>
            <w:t>(Braun &amp; Clarke, 2006)</w:t>
          </w:r>
        </w:sdtContent>
      </w:sdt>
      <w:r w:rsidRPr="00E020F2">
        <w:rPr>
          <w:sz w:val="22"/>
          <w:szCs w:val="22"/>
        </w:rPr>
        <w:t>.</w:t>
      </w:r>
    </w:p>
    <w:p w14:paraId="7C2194E4" w14:textId="77777777" w:rsidR="00E020F2" w:rsidRPr="00E020F2" w:rsidRDefault="00E020F2" w:rsidP="00E020F2">
      <w:pPr>
        <w:spacing w:line="276" w:lineRule="auto"/>
        <w:rPr>
          <w:sz w:val="22"/>
          <w:szCs w:val="22"/>
        </w:rPr>
      </w:pPr>
      <w:r w:rsidRPr="00E020F2">
        <w:rPr>
          <w:sz w:val="22"/>
          <w:szCs w:val="22"/>
        </w:rPr>
        <w:t>In this study, thematic analysis was conducted through several stages. The first stage involved familiarization with the collected documents and literature in order to gain an overall understanding of the data. During this stage, the researcher carefully read the documents and identified sections relevant to citizen participation and local government decision-making.</w:t>
      </w:r>
    </w:p>
    <w:p w14:paraId="2F59ED3C" w14:textId="77777777" w:rsidR="00E020F2" w:rsidRPr="00E020F2" w:rsidRDefault="00E020F2" w:rsidP="00E020F2">
      <w:pPr>
        <w:spacing w:line="276" w:lineRule="auto"/>
        <w:rPr>
          <w:sz w:val="22"/>
          <w:szCs w:val="22"/>
        </w:rPr>
      </w:pPr>
      <w:r w:rsidRPr="00E020F2">
        <w:rPr>
          <w:sz w:val="22"/>
          <w:szCs w:val="22"/>
        </w:rPr>
        <w:t xml:space="preserve">The second stage involved coding the data based on key concepts and themes emerging from the literature. Coding involves labeling segments of text according to categories that represent meaningful patterns within the data </w:t>
      </w:r>
      <w:sdt>
        <w:sdtPr>
          <w:rPr>
            <w:color w:val="000000"/>
            <w:sz w:val="22"/>
            <w:szCs w:val="22"/>
          </w:rPr>
          <w:tag w:val="MENDELEY_CITATION_v3_eyJjaXRhdGlvbklEIjoiTUVOREVMRVlfQ0lUQVRJT05fMDgwMWZlYmMtMzU5Ny00NDM0LTllNjUtMWYzNDg5ZGZhMTQ0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1570873464"/>
          <w:placeholder>
            <w:docPart w:val="DefaultPlaceholder_-1854013440"/>
          </w:placeholder>
        </w:sdtPr>
        <w:sdtContent>
          <w:r w:rsidR="00817578" w:rsidRPr="00817578">
            <w:rPr>
              <w:rFonts w:eastAsia="Times New Roman"/>
              <w:color w:val="000000"/>
              <w:sz w:val="22"/>
            </w:rPr>
            <w:t>(Braun &amp; Clarke, 2006)</w:t>
          </w:r>
        </w:sdtContent>
      </w:sdt>
      <w:r w:rsidRPr="00E020F2">
        <w:rPr>
          <w:sz w:val="22"/>
          <w:szCs w:val="22"/>
        </w:rPr>
        <w:t>. Codes related to citizen participation mechanisms, governance principles, and decision-making quality were developed during this stage.</w:t>
      </w:r>
    </w:p>
    <w:p w14:paraId="27EEDAC2" w14:textId="77777777" w:rsidR="00E020F2" w:rsidRPr="00E020F2" w:rsidRDefault="00E020F2" w:rsidP="00E020F2">
      <w:pPr>
        <w:spacing w:line="276" w:lineRule="auto"/>
        <w:rPr>
          <w:sz w:val="22"/>
          <w:szCs w:val="22"/>
        </w:rPr>
      </w:pPr>
      <w:r w:rsidRPr="00E020F2">
        <w:rPr>
          <w:sz w:val="22"/>
          <w:szCs w:val="22"/>
        </w:rPr>
        <w:t>The final stage involved organizing the codes into broader themes that explain the relationship between citizen participation and the quality of decision-making in local governments. These themes formed the basis for the presentation and discussion of research findings in the subsequent section.</w:t>
      </w:r>
    </w:p>
    <w:p w14:paraId="114B14A7" w14:textId="77777777" w:rsidR="00E020F2" w:rsidRPr="00E020F2" w:rsidRDefault="00E020F2" w:rsidP="00E020F2">
      <w:pPr>
        <w:spacing w:line="276" w:lineRule="auto"/>
        <w:rPr>
          <w:sz w:val="22"/>
          <w:szCs w:val="22"/>
        </w:rPr>
      </w:pPr>
      <w:r w:rsidRPr="00E020F2">
        <w:rPr>
          <w:sz w:val="22"/>
          <w:szCs w:val="22"/>
        </w:rPr>
        <w:t>The use of thematic analysis allowed the study to systematically interpret the collected data and generate insights into how citizen participation mechanisms influence governance outcomes in local government institutions.</w:t>
      </w:r>
    </w:p>
    <w:p w14:paraId="08640BC9" w14:textId="77777777" w:rsidR="00323434" w:rsidRPr="00323434" w:rsidRDefault="00323434" w:rsidP="00323434">
      <w:pPr>
        <w:spacing w:line="276" w:lineRule="auto"/>
        <w:rPr>
          <w:b/>
          <w:bCs/>
          <w:sz w:val="22"/>
          <w:szCs w:val="22"/>
        </w:rPr>
      </w:pPr>
      <w:r w:rsidRPr="00323434">
        <w:rPr>
          <w:b/>
          <w:bCs/>
          <w:sz w:val="22"/>
          <w:szCs w:val="22"/>
        </w:rPr>
        <w:t>5. Findings and Discussion</w:t>
      </w:r>
    </w:p>
    <w:p w14:paraId="0124CB95" w14:textId="77777777" w:rsidR="00323434" w:rsidRPr="00323434" w:rsidRDefault="00323434" w:rsidP="00323434">
      <w:pPr>
        <w:spacing w:line="276" w:lineRule="auto"/>
        <w:rPr>
          <w:sz w:val="22"/>
          <w:szCs w:val="22"/>
        </w:rPr>
      </w:pPr>
      <w:r w:rsidRPr="00323434">
        <w:rPr>
          <w:sz w:val="22"/>
          <w:szCs w:val="22"/>
        </w:rPr>
        <w:t>The thematic analysis of the reviewed literature revealed several key themes regarding citizen participation and the quality of decision-making in local government institutions. These themes relate to the forms of citizen participation available in local governance systems, as well as the influence of citizen engagement on governance outcomes such as transparency, accountability, and responsiveness. The analysis also identified several challenges that limit meaningful citizen participation in local governance processes.</w:t>
      </w:r>
    </w:p>
    <w:p w14:paraId="7BA2B106" w14:textId="77777777" w:rsidR="00323434" w:rsidRPr="00323434" w:rsidRDefault="00323434" w:rsidP="00323434">
      <w:pPr>
        <w:spacing w:line="276" w:lineRule="auto"/>
        <w:rPr>
          <w:b/>
          <w:bCs/>
          <w:sz w:val="22"/>
          <w:szCs w:val="22"/>
        </w:rPr>
      </w:pPr>
      <w:r w:rsidRPr="00323434">
        <w:rPr>
          <w:b/>
          <w:bCs/>
          <w:sz w:val="22"/>
          <w:szCs w:val="22"/>
        </w:rPr>
        <w:t>Forms of Citizen Participation in Local Government</w:t>
      </w:r>
    </w:p>
    <w:p w14:paraId="2B6E1F3B" w14:textId="77777777" w:rsidR="00323434" w:rsidRPr="00323434" w:rsidRDefault="00323434" w:rsidP="00323434">
      <w:pPr>
        <w:spacing w:line="276" w:lineRule="auto"/>
        <w:rPr>
          <w:sz w:val="22"/>
          <w:szCs w:val="22"/>
        </w:rPr>
      </w:pPr>
      <w:r w:rsidRPr="00323434">
        <w:rPr>
          <w:sz w:val="22"/>
          <w:szCs w:val="22"/>
        </w:rPr>
        <w:lastRenderedPageBreak/>
        <w:t>The literature indicates that local governments employ several participatory mechanisms to facilitate citizen engagement in governance processes. Among the most common forms of participation are community meetings, participatory budgeting processes, and local consultations. These mechanisms create opportunities for citizens to express their views and influence public decisions affecting their communities.</w:t>
      </w:r>
    </w:p>
    <w:p w14:paraId="3AB0D69A" w14:textId="77777777" w:rsidR="00323434" w:rsidRPr="00323434" w:rsidRDefault="00323434" w:rsidP="00323434">
      <w:pPr>
        <w:spacing w:line="276" w:lineRule="auto"/>
        <w:rPr>
          <w:sz w:val="22"/>
          <w:szCs w:val="22"/>
        </w:rPr>
      </w:pPr>
      <w:r w:rsidRPr="00323434">
        <w:rPr>
          <w:bCs/>
          <w:sz w:val="22"/>
          <w:szCs w:val="22"/>
        </w:rPr>
        <w:t>Community meetings</w:t>
      </w:r>
      <w:r w:rsidRPr="00323434">
        <w:rPr>
          <w:sz w:val="22"/>
          <w:szCs w:val="22"/>
        </w:rPr>
        <w:t xml:space="preserve"> represent one of the most widely used forms of citizen participation in local governance. Community meetings provide platforms where local residents can interact directly with government officials to discuss development priorities and evaluate government programs </w:t>
      </w:r>
      <w:sdt>
        <w:sdtPr>
          <w:rPr>
            <w:color w:val="000000"/>
            <w:sz w:val="22"/>
            <w:szCs w:val="22"/>
          </w:rPr>
          <w:tag w:val="MENDELEY_CITATION_v3_eyJjaXRhdGlvbklEIjoiTUVOREVMRVlfQ0lUQVRJT05fYjZlYzJkZTMtZTQ3Zi00YWMyLWIzNjYtNmM3NTRhN2YzMmE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431127785"/>
          <w:placeholder>
            <w:docPart w:val="DefaultPlaceholder_-1854013440"/>
          </w:placeholder>
        </w:sdtPr>
        <w:sdtContent>
          <w:r w:rsidR="00817578" w:rsidRPr="00817578">
            <w:rPr>
              <w:color w:val="000000"/>
              <w:sz w:val="22"/>
              <w:szCs w:val="22"/>
            </w:rPr>
            <w:t>(Fung, 2015)</w:t>
          </w:r>
        </w:sdtContent>
      </w:sdt>
      <w:r w:rsidRPr="00323434">
        <w:rPr>
          <w:sz w:val="22"/>
          <w:szCs w:val="22"/>
        </w:rPr>
        <w:t xml:space="preserve">. Such forums allow citizens to raise concerns, provide feedback on government initiatives, and contribute ideas for community development </w:t>
      </w:r>
      <w:sdt>
        <w:sdtPr>
          <w:rPr>
            <w:color w:val="000000"/>
            <w:sz w:val="22"/>
            <w:szCs w:val="22"/>
          </w:rPr>
          <w:tag w:val="MENDELEY_CITATION_v3_eyJjaXRhdGlvbklEIjoiTUVOREVMRVlfQ0lUQVRJT05fMGUyNWQ2YTEtODc4Mi00NzI4LWJlNDMtYWE2MmFlNmY2YjA4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971326790"/>
          <w:placeholder>
            <w:docPart w:val="DefaultPlaceholder_-1854013440"/>
          </w:placeholder>
        </w:sdtPr>
        <w:sdtContent>
          <w:r w:rsidR="00817578" w:rsidRPr="00817578">
            <w:rPr>
              <w:rFonts w:eastAsia="Times New Roman"/>
              <w:color w:val="000000"/>
              <w:sz w:val="22"/>
            </w:rPr>
            <w:t>(Bovaird &amp; Loeffler, 2012)</w:t>
          </w:r>
        </w:sdtContent>
      </w:sdt>
      <w:r w:rsidRPr="00323434">
        <w:rPr>
          <w:sz w:val="22"/>
          <w:szCs w:val="22"/>
        </w:rPr>
        <w:t xml:space="preserve">. Research suggests that community meetings can enhance democratic engagement by facilitating dialogue between citizens and policymakers, thereby strengthening participatory governance processes </w:t>
      </w:r>
      <w:sdt>
        <w:sdtPr>
          <w:rPr>
            <w:color w:val="000000"/>
            <w:sz w:val="22"/>
            <w:szCs w:val="22"/>
          </w:rPr>
          <w:tag w:val="MENDELEY_CITATION_v3_eyJjaXRhdGlvbklEIjoiTUVOREVMRVlfQ0lUQVRJT05fYWViN2Y2NGYtNGIzNy00YWViLTk5N2QtZjIyOTAwODIwYzQz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632302536"/>
          <w:placeholder>
            <w:docPart w:val="DefaultPlaceholder_-1854013440"/>
          </w:placeholder>
        </w:sdt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w:t>
      </w:r>
    </w:p>
    <w:p w14:paraId="2D25A651" w14:textId="77777777" w:rsidR="00323434" w:rsidRPr="00323434" w:rsidRDefault="00323434" w:rsidP="00323434">
      <w:pPr>
        <w:spacing w:line="276" w:lineRule="auto"/>
        <w:rPr>
          <w:sz w:val="22"/>
          <w:szCs w:val="22"/>
        </w:rPr>
      </w:pPr>
      <w:r w:rsidRPr="00323434">
        <w:rPr>
          <w:sz w:val="22"/>
          <w:szCs w:val="22"/>
        </w:rPr>
        <w:t xml:space="preserve">Another important participatory mechanism is </w:t>
      </w:r>
      <w:r w:rsidRPr="00323434">
        <w:rPr>
          <w:bCs/>
          <w:sz w:val="22"/>
          <w:szCs w:val="22"/>
        </w:rPr>
        <w:t>participatory budgeting</w:t>
      </w:r>
      <w:r w:rsidRPr="00323434">
        <w:rPr>
          <w:sz w:val="22"/>
          <w:szCs w:val="22"/>
        </w:rPr>
        <w:t xml:space="preserve">, which enables citizens to participate directly in decisions regarding the allocation of public resources. Participatory budgeting allows community members to propose development projects, deliberate on spending priorities, and vote on the allocation of government funds </w:t>
      </w:r>
      <w:sdt>
        <w:sdtPr>
          <w:rPr>
            <w:color w:val="000000"/>
            <w:sz w:val="22"/>
            <w:szCs w:val="22"/>
          </w:rPr>
          <w:tag w:val="MENDELEY_CITATION_v3_eyJjaXRhdGlvbklEIjoiTUVOREVMRVlfQ0lUQVRJT05fNjYwNmQ5NDQtNWM3YS00M2MxLTg3NWYtZDY0NTE0MmNmMzU3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995629886"/>
          <w:placeholder>
            <w:docPart w:val="DefaultPlaceholder_-1854013440"/>
          </w:placeholder>
        </w:sdtPr>
        <w:sdtContent>
          <w:r w:rsidR="00817578" w:rsidRPr="00817578">
            <w:rPr>
              <w:color w:val="000000"/>
              <w:sz w:val="22"/>
              <w:szCs w:val="22"/>
            </w:rPr>
            <w:t>(Wampler et al., 2021)</w:t>
          </w:r>
        </w:sdtContent>
      </w:sdt>
      <w:r w:rsidRPr="00323434">
        <w:rPr>
          <w:sz w:val="22"/>
          <w:szCs w:val="22"/>
        </w:rPr>
        <w:t xml:space="preserve">. Studies indicate that participatory budgeting initiatives can improve public sector transparency and enhance citizen trust in government institutions by involving communities in financial decision-making processes </w:t>
      </w:r>
      <w:sdt>
        <w:sdtPr>
          <w:rPr>
            <w:color w:val="000000"/>
            <w:sz w:val="22"/>
            <w:szCs w:val="22"/>
          </w:rPr>
          <w:tag w:val="MENDELEY_CITATION_v3_eyJjaXRhdGlvbklEIjoiTUVOREVMRVlfQ0lUQVRJT05fYTFhOWIwMTMtYjVmZi00M2M1LTg2YjUtNjA0ZjE2ZTBkMTQ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016769428"/>
          <w:placeholder>
            <w:docPart w:val="DefaultPlaceholder_-1854013440"/>
          </w:placeholder>
        </w:sdtPr>
        <w:sdtContent>
          <w:r w:rsidR="00817578" w:rsidRPr="00817578">
            <w:rPr>
              <w:color w:val="000000"/>
              <w:sz w:val="22"/>
              <w:szCs w:val="22"/>
            </w:rPr>
            <w:t>(Fung, 2015)</w:t>
          </w:r>
        </w:sdtContent>
      </w:sdt>
      <w:r w:rsidRPr="00323434">
        <w:rPr>
          <w:sz w:val="22"/>
          <w:szCs w:val="22"/>
        </w:rPr>
        <w:t>.</w:t>
      </w:r>
    </w:p>
    <w:p w14:paraId="186A3923" w14:textId="77777777" w:rsidR="00323434" w:rsidRPr="00323434" w:rsidRDefault="00323434" w:rsidP="00323434">
      <w:pPr>
        <w:spacing w:line="276" w:lineRule="auto"/>
        <w:rPr>
          <w:sz w:val="22"/>
          <w:szCs w:val="22"/>
        </w:rPr>
      </w:pPr>
      <w:r w:rsidRPr="00323434">
        <w:rPr>
          <w:bCs/>
          <w:sz w:val="22"/>
          <w:szCs w:val="22"/>
        </w:rPr>
        <w:t>Local consultations</w:t>
      </w:r>
      <w:r w:rsidRPr="00323434">
        <w:rPr>
          <w:sz w:val="22"/>
          <w:szCs w:val="22"/>
        </w:rPr>
        <w:t xml:space="preserve"> also play an important role in facilitating citizen participation in governance processes. These consultations involve structured engagement processes through which government officials gather input from citizens during policy formulation and planning stages </w:t>
      </w:r>
      <w:sdt>
        <w:sdtPr>
          <w:rPr>
            <w:color w:val="000000"/>
            <w:sz w:val="22"/>
            <w:szCs w:val="22"/>
          </w:rPr>
          <w:tag w:val="MENDELEY_CITATION_v3_eyJjaXRhdGlvbklEIjoiTUVOREVMRVlfQ0lUQVRJT05fM2NkMGMzNzMtZjM5ZC00M2MzLThiMWUtNTNkZWYwM2EyZjc1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54401639"/>
          <w:placeholder>
            <w:docPart w:val="DefaultPlaceholder_-1854013440"/>
          </w:placeholder>
        </w:sdtPr>
        <w:sdtContent>
          <w:r w:rsidR="00817578" w:rsidRPr="00817578">
            <w:rPr>
              <w:color w:val="000000"/>
              <w:sz w:val="22"/>
              <w:szCs w:val="22"/>
            </w:rPr>
            <w:t>(Williams et al., 2012)</w:t>
          </w:r>
        </w:sdtContent>
      </w:sdt>
      <w:r w:rsidRPr="00323434">
        <w:rPr>
          <w:sz w:val="22"/>
          <w:szCs w:val="22"/>
        </w:rPr>
        <w:t xml:space="preserve">. Through consultations, local governments can obtain valuable information about community needs, priorities, and preferences. Incorporating such citizen input into policymaking processes can improve the relevance and effectiveness of government decisions </w:t>
      </w:r>
      <w:sdt>
        <w:sdtPr>
          <w:rPr>
            <w:color w:val="000000"/>
            <w:sz w:val="22"/>
            <w:szCs w:val="22"/>
          </w:rPr>
          <w:tag w:val="MENDELEY_CITATION_v3_eyJjaXRhdGlvbklEIjoiTUVOREVMRVlfQ0lUQVRJT05fNTNlNDRjODUtMjU0ZC00Zjk2LWIyOGItODg5OWRjNjQxYTZl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708633020"/>
          <w:placeholder>
            <w:docPart w:val="DefaultPlaceholder_-1854013440"/>
          </w:placeholder>
        </w:sdtPr>
        <w:sdtContent>
          <w:r w:rsidR="00817578" w:rsidRPr="00817578">
            <w:rPr>
              <w:rFonts w:eastAsia="Times New Roman"/>
              <w:color w:val="000000"/>
              <w:sz w:val="22"/>
            </w:rPr>
            <w:t>(Quick &amp; Bryson, 2022)</w:t>
          </w:r>
        </w:sdtContent>
      </w:sdt>
      <w:r w:rsidRPr="00323434">
        <w:rPr>
          <w:sz w:val="22"/>
          <w:szCs w:val="22"/>
        </w:rPr>
        <w:t>.</w:t>
      </w:r>
    </w:p>
    <w:p w14:paraId="3E1EA0AC" w14:textId="77777777" w:rsidR="00323434" w:rsidRPr="00323434" w:rsidRDefault="00323434" w:rsidP="00323434">
      <w:pPr>
        <w:spacing w:line="276" w:lineRule="auto"/>
        <w:rPr>
          <w:sz w:val="22"/>
          <w:szCs w:val="22"/>
        </w:rPr>
      </w:pPr>
      <w:r w:rsidRPr="00323434">
        <w:rPr>
          <w:sz w:val="22"/>
          <w:szCs w:val="22"/>
        </w:rPr>
        <w:t xml:space="preserve">Collectively, these participatory mechanisms create institutional channels through which citizens can engage in governance processes and influence decision-making outcomes within local government systems </w:t>
      </w:r>
      <w:sdt>
        <w:sdtPr>
          <w:rPr>
            <w:color w:val="000000"/>
            <w:sz w:val="22"/>
            <w:szCs w:val="22"/>
          </w:rPr>
          <w:tag w:val="MENDELEY_CITATION_v3_eyJjaXRhdGlvbklEIjoiTUVOREVMRVlfQ0lUQVRJT05fNWQyMGI1NDQtNzkxNy00YjlhLWEzYzQtMzE2NzZkNDBmNjNh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206797175"/>
          <w:placeholder>
            <w:docPart w:val="DefaultPlaceholder_-1854013440"/>
          </w:placeholder>
        </w:sdtPr>
        <w:sdtContent>
          <w:r w:rsidR="00817578" w:rsidRPr="00817578">
            <w:rPr>
              <w:rFonts w:eastAsia="Times New Roman"/>
              <w:color w:val="000000"/>
              <w:sz w:val="22"/>
            </w:rPr>
            <w:t>(Bovaird &amp; Loeffler, 2012)</w:t>
          </w:r>
        </w:sdtContent>
      </w:sdt>
      <w:r w:rsidRPr="00323434">
        <w:rPr>
          <w:sz w:val="22"/>
          <w:szCs w:val="22"/>
        </w:rPr>
        <w:t>.</w:t>
      </w:r>
    </w:p>
    <w:p w14:paraId="3806BFBA" w14:textId="77777777" w:rsidR="00323434" w:rsidRPr="00323434" w:rsidRDefault="00323434" w:rsidP="00323434">
      <w:pPr>
        <w:spacing w:line="276" w:lineRule="auto"/>
        <w:rPr>
          <w:b/>
          <w:bCs/>
          <w:sz w:val="22"/>
          <w:szCs w:val="22"/>
        </w:rPr>
      </w:pPr>
      <w:r w:rsidRPr="00323434">
        <w:rPr>
          <w:b/>
          <w:bCs/>
          <w:sz w:val="22"/>
          <w:szCs w:val="22"/>
        </w:rPr>
        <w:t>Citizen Participation and Transparency in Decision-Making</w:t>
      </w:r>
    </w:p>
    <w:p w14:paraId="75F602DB" w14:textId="77777777" w:rsidR="00323434" w:rsidRPr="00323434" w:rsidRDefault="00323434" w:rsidP="00323434">
      <w:pPr>
        <w:spacing w:line="276" w:lineRule="auto"/>
        <w:rPr>
          <w:sz w:val="22"/>
          <w:szCs w:val="22"/>
        </w:rPr>
      </w:pPr>
      <w:r w:rsidRPr="00323434">
        <w:rPr>
          <w:sz w:val="22"/>
          <w:szCs w:val="22"/>
        </w:rPr>
        <w:t xml:space="preserve">The literature reviewed suggests that citizen participation contributes significantly to transparency in governance processes. Transparency refers to the openness of government activities and the availability of information about public decisions and policies </w:t>
      </w:r>
      <w:sdt>
        <w:sdtPr>
          <w:rPr>
            <w:color w:val="000000"/>
            <w:sz w:val="22"/>
            <w:szCs w:val="22"/>
          </w:rPr>
          <w:tag w:val="MENDELEY_CITATION_v3_eyJjaXRhdGlvbklEIjoiTUVOREVMRVlfQ0lUQVRJT05fNzFjZjVjNmEtNmE1My00NmQ4LWE3YjItZWViNTkyMDY4MWQ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52631003"/>
          <w:placeholder>
            <w:docPart w:val="DefaultPlaceholder_-1854013440"/>
          </w:placeholder>
        </w:sdtPr>
        <w:sdtContent>
          <w:r w:rsidR="00817578" w:rsidRPr="00817578">
            <w:rPr>
              <w:color w:val="000000"/>
              <w:sz w:val="22"/>
              <w:szCs w:val="22"/>
            </w:rPr>
            <w:t>(Meijer, 2015)</w:t>
          </w:r>
        </w:sdtContent>
      </w:sdt>
      <w:r w:rsidRPr="00323434">
        <w:rPr>
          <w:sz w:val="22"/>
          <w:szCs w:val="22"/>
        </w:rPr>
        <w:t>. Transparent governance systems enable citizens to access information about government operations, thereby strengthening democratic accountability.</w:t>
      </w:r>
    </w:p>
    <w:p w14:paraId="79D885EA" w14:textId="77777777" w:rsidR="00323434" w:rsidRPr="00323434" w:rsidRDefault="00323434" w:rsidP="00323434">
      <w:pPr>
        <w:spacing w:line="276" w:lineRule="auto"/>
        <w:rPr>
          <w:sz w:val="22"/>
          <w:szCs w:val="22"/>
        </w:rPr>
      </w:pPr>
      <w:r w:rsidRPr="00323434">
        <w:rPr>
          <w:sz w:val="22"/>
          <w:szCs w:val="22"/>
        </w:rPr>
        <w:t xml:space="preserve">Participatory governance mechanisms such as public meetings, participatory budgeting forums, and community consultations enhance transparency by allowing citizens to observe and engage in decision-making processes </w:t>
      </w:r>
      <w:sdt>
        <w:sdtPr>
          <w:rPr>
            <w:color w:val="000000"/>
            <w:sz w:val="22"/>
            <w:szCs w:val="22"/>
          </w:rPr>
          <w:tag w:val="MENDELEY_CITATION_v3_eyJjaXRhdGlvbklEIjoiTUVOREVMRVlfQ0lUQVRJT05fOGJjZmEyNDUtZjNiNy00ODU0LWI4ZTUtZjdjYzYyM2EwOGUx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72075321"/>
          <w:placeholder>
            <w:docPart w:val="DefaultPlaceholder_-1854013440"/>
          </w:placeholder>
        </w:sdtPr>
        <w:sdtContent>
          <w:r w:rsidR="00817578" w:rsidRPr="00817578">
            <w:rPr>
              <w:color w:val="000000"/>
              <w:sz w:val="22"/>
              <w:szCs w:val="22"/>
            </w:rPr>
            <w:t>(Fung, 2015)</w:t>
          </w:r>
        </w:sdtContent>
      </w:sdt>
      <w:r w:rsidRPr="00323434">
        <w:rPr>
          <w:sz w:val="22"/>
          <w:szCs w:val="22"/>
        </w:rPr>
        <w:t xml:space="preserve"> When citizens participate in governance processes, they gain direct access to information regarding policy discussions, budget allocations, and development planning initiatives. This access to information enables citizens to understand how decisions are made and how public resources are utilized.</w:t>
      </w:r>
    </w:p>
    <w:p w14:paraId="029653AE" w14:textId="77777777" w:rsidR="00323434" w:rsidRPr="00323434" w:rsidRDefault="00323434" w:rsidP="00323434">
      <w:pPr>
        <w:spacing w:line="276" w:lineRule="auto"/>
        <w:rPr>
          <w:sz w:val="22"/>
          <w:szCs w:val="22"/>
        </w:rPr>
      </w:pPr>
      <w:r w:rsidRPr="00323434">
        <w:rPr>
          <w:sz w:val="22"/>
          <w:szCs w:val="22"/>
        </w:rPr>
        <w:t xml:space="preserve">Scholars argue that participatory governance can reduce information asymmetry between government officials and citizens </w:t>
      </w:r>
      <w:sdt>
        <w:sdtPr>
          <w:rPr>
            <w:color w:val="000000"/>
            <w:sz w:val="22"/>
            <w:szCs w:val="22"/>
          </w:rPr>
          <w:tag w:val="MENDELEY_CITATION_v3_eyJjaXRhdGlvbklEIjoiTUVOREVMRVlfQ0lUQVRJT05fNzRjOTIzMzQtMjJhMS00ZDI4LTgzMWEtNjA1OGFiMGQ0MzQ0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523286705"/>
          <w:placeholder>
            <w:docPart w:val="DefaultPlaceholder_-1854013440"/>
          </w:placeholder>
        </w:sdtPr>
        <w:sdtContent>
          <w:r w:rsidR="00817578" w:rsidRPr="00817578">
            <w:rPr>
              <w:color w:val="000000"/>
              <w:sz w:val="22"/>
              <w:szCs w:val="22"/>
            </w:rPr>
            <w:t>(Fox, 2015)</w:t>
          </w:r>
        </w:sdtContent>
      </w:sdt>
      <w:r w:rsidRPr="00323434">
        <w:rPr>
          <w:sz w:val="22"/>
          <w:szCs w:val="22"/>
        </w:rPr>
        <w:t xml:space="preserve">. By involving citizens in governance processes, governments can improve the flow of information </w:t>
      </w:r>
      <w:r w:rsidRPr="00323434">
        <w:rPr>
          <w:sz w:val="22"/>
          <w:szCs w:val="22"/>
        </w:rPr>
        <w:lastRenderedPageBreak/>
        <w:t xml:space="preserve">between public institutions and communities. This transparency can strengthen public trust in government institutions and enhance the legitimacy of policy decisions </w:t>
      </w:r>
      <w:sdt>
        <w:sdtPr>
          <w:rPr>
            <w:color w:val="000000"/>
            <w:sz w:val="22"/>
            <w:szCs w:val="22"/>
          </w:rPr>
          <w:tag w:val="MENDELEY_CITATION_v3_eyJjaXRhdGlvbklEIjoiTUVOREVMRVlfQ0lUQVRJT05fNWRlNGY0MTEtY2UwYi00YmI0LWE2ZDQtNmY1OWYzZDRmMDFk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461706932"/>
          <w:placeholder>
            <w:docPart w:val="DefaultPlaceholder_-1854013440"/>
          </w:placeholder>
        </w:sdt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w:t>
      </w:r>
    </w:p>
    <w:p w14:paraId="5C14DC74" w14:textId="77777777" w:rsidR="00323434" w:rsidRPr="00323434" w:rsidRDefault="00323434" w:rsidP="00323434">
      <w:pPr>
        <w:spacing w:line="276" w:lineRule="auto"/>
        <w:rPr>
          <w:b/>
          <w:bCs/>
          <w:sz w:val="22"/>
          <w:szCs w:val="22"/>
        </w:rPr>
      </w:pPr>
      <w:r w:rsidRPr="00323434">
        <w:rPr>
          <w:b/>
          <w:bCs/>
          <w:sz w:val="22"/>
          <w:szCs w:val="22"/>
        </w:rPr>
        <w:t>Citizen Participation and Accountability</w:t>
      </w:r>
    </w:p>
    <w:p w14:paraId="275A285C" w14:textId="77777777" w:rsidR="00323434" w:rsidRPr="00323434" w:rsidRDefault="00323434" w:rsidP="00323434">
      <w:pPr>
        <w:spacing w:line="276" w:lineRule="auto"/>
        <w:rPr>
          <w:sz w:val="22"/>
          <w:szCs w:val="22"/>
        </w:rPr>
      </w:pPr>
      <w:r w:rsidRPr="00323434">
        <w:rPr>
          <w:sz w:val="22"/>
          <w:szCs w:val="22"/>
        </w:rPr>
        <w:t xml:space="preserve">Citizen participation also plays a crucial role in strengthening accountability within governance systems. Accountability refers to mechanisms through which public officials are held responsible for their actions and decisions </w:t>
      </w:r>
      <w:sdt>
        <w:sdtPr>
          <w:rPr>
            <w:color w:val="000000"/>
            <w:sz w:val="22"/>
            <w:szCs w:val="22"/>
          </w:rPr>
          <w:tag w:val="MENDELEY_CITATION_v3_eyJjaXRhdGlvbklEIjoiTUVOREVMRVlfQ0lUQVRJT05fNTVhODc2ZjAtNWVmMi00N2E4LWEyYWMtNjVjM2I0Njc2Mzg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984918941"/>
          <w:placeholder>
            <w:docPart w:val="DefaultPlaceholder_-1854013440"/>
          </w:placeholder>
        </w:sdtPr>
        <w:sdtContent>
          <w:r w:rsidR="00817578" w:rsidRPr="00817578">
            <w:rPr>
              <w:color w:val="000000"/>
              <w:sz w:val="22"/>
              <w:szCs w:val="22"/>
            </w:rPr>
            <w:t>(Fox, 2015)</w:t>
          </w:r>
        </w:sdtContent>
      </w:sdt>
      <w:r w:rsidRPr="00323434">
        <w:rPr>
          <w:sz w:val="22"/>
          <w:szCs w:val="22"/>
        </w:rPr>
        <w:t>. When citizens participate actively in governance processes, they are better positioned to monitor government performance and demand accountability from public officials.</w:t>
      </w:r>
    </w:p>
    <w:p w14:paraId="48CB1036" w14:textId="77777777" w:rsidR="00323434" w:rsidRPr="00323434" w:rsidRDefault="00323434" w:rsidP="00323434">
      <w:pPr>
        <w:spacing w:line="276" w:lineRule="auto"/>
        <w:rPr>
          <w:sz w:val="22"/>
          <w:szCs w:val="22"/>
        </w:rPr>
      </w:pPr>
      <w:r w:rsidRPr="00323434">
        <w:rPr>
          <w:sz w:val="22"/>
          <w:szCs w:val="22"/>
        </w:rPr>
        <w:t xml:space="preserve">Participatory governance mechanisms enable citizens to scrutinize government decisions and evaluate the performance of public institutions </w:t>
      </w:r>
      <w:sdt>
        <w:sdtPr>
          <w:rPr>
            <w:color w:val="000000"/>
            <w:sz w:val="22"/>
            <w:szCs w:val="22"/>
          </w:rPr>
          <w:tag w:val="MENDELEY_CITATION_v3_eyJjaXRhdGlvbklEIjoiTUVOREVMRVlfQ0lUQVRJT05fODdkODBhNmYtMTYzNC00YzBlLTk5NzEtMmQ3ZTQ4OTgwNWY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256326442"/>
          <w:placeholder>
            <w:docPart w:val="DefaultPlaceholder_-1854013440"/>
          </w:placeholder>
        </w:sdtPr>
        <w:sdtContent>
          <w:r w:rsidR="00817578" w:rsidRPr="00817578">
            <w:rPr>
              <w:rFonts w:eastAsia="Times New Roman"/>
              <w:color w:val="000000"/>
              <w:sz w:val="22"/>
            </w:rPr>
            <w:t>(Bovaird &amp; Loeffler, 2012)</w:t>
          </w:r>
        </w:sdtContent>
      </w:sdt>
      <w:r w:rsidRPr="00323434">
        <w:rPr>
          <w:sz w:val="22"/>
          <w:szCs w:val="22"/>
        </w:rPr>
        <w:t xml:space="preserve">. Through participatory processes such as community meetings and public consultations, citizens can question government officials, seek explanations for policy decisions, and demand transparency in public resource management </w:t>
      </w:r>
      <w:sdt>
        <w:sdtPr>
          <w:rPr>
            <w:color w:val="000000"/>
            <w:sz w:val="22"/>
            <w:szCs w:val="22"/>
          </w:rPr>
          <w:tag w:val="MENDELEY_CITATION_v3_eyJjaXRhdGlvbklEIjoiTUVOREVMRVlfQ0lUQVRJT05fNjJlNTExYzEtMzQ5NS00ZjcyLTkxMTMtOGEzOTBlNmNlMT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234852857"/>
          <w:placeholder>
            <w:docPart w:val="DefaultPlaceholder_-1854013440"/>
          </w:placeholder>
        </w:sdtPr>
        <w:sdtContent>
          <w:r w:rsidR="00817578" w:rsidRPr="00817578">
            <w:rPr>
              <w:color w:val="000000"/>
              <w:sz w:val="22"/>
              <w:szCs w:val="22"/>
            </w:rPr>
            <w:t>(Fung, 2015)</w:t>
          </w:r>
        </w:sdtContent>
      </w:sdt>
      <w:r w:rsidRPr="00323434">
        <w:rPr>
          <w:sz w:val="22"/>
          <w:szCs w:val="22"/>
        </w:rPr>
        <w:t>.</w:t>
      </w:r>
    </w:p>
    <w:p w14:paraId="3139C9B3" w14:textId="77777777" w:rsidR="00323434" w:rsidRPr="00323434" w:rsidRDefault="00323434" w:rsidP="00323434">
      <w:pPr>
        <w:spacing w:line="276" w:lineRule="auto"/>
        <w:rPr>
          <w:sz w:val="22"/>
          <w:szCs w:val="22"/>
        </w:rPr>
      </w:pPr>
      <w:r w:rsidRPr="00323434">
        <w:rPr>
          <w:sz w:val="22"/>
          <w:szCs w:val="22"/>
        </w:rPr>
        <w:t xml:space="preserve">Research suggests that citizen participation strengthens </w:t>
      </w:r>
      <w:r w:rsidRPr="00323434">
        <w:rPr>
          <w:bCs/>
          <w:sz w:val="22"/>
          <w:szCs w:val="22"/>
        </w:rPr>
        <w:t>social accountability</w:t>
      </w:r>
      <w:r w:rsidRPr="00323434">
        <w:rPr>
          <w:sz w:val="22"/>
          <w:szCs w:val="22"/>
        </w:rPr>
        <w:t>, which refers to the capacity of citizens and civil society organizations to hold government institutions accountable for policy outcomes (Fox, 2015). Social accountability mechanisms enable citizens to monitor the implementation of government programs and ensure that public resources are used effectively and responsibly.</w:t>
      </w:r>
    </w:p>
    <w:p w14:paraId="10FBA8F4" w14:textId="77777777" w:rsidR="00323434" w:rsidRPr="00323434" w:rsidRDefault="00323434" w:rsidP="00323434">
      <w:pPr>
        <w:spacing w:line="276" w:lineRule="auto"/>
        <w:rPr>
          <w:sz w:val="22"/>
          <w:szCs w:val="22"/>
        </w:rPr>
      </w:pPr>
      <w:r w:rsidRPr="00323434">
        <w:rPr>
          <w:sz w:val="22"/>
          <w:szCs w:val="22"/>
        </w:rPr>
        <w:t xml:space="preserve">Furthermore, participatory governance mechanisms can strengthen institutional accountability by creating opportunities for collaborative oversight between citizens and public institutions </w:t>
      </w:r>
      <w:sdt>
        <w:sdtPr>
          <w:rPr>
            <w:color w:val="000000"/>
            <w:sz w:val="22"/>
            <w:szCs w:val="22"/>
          </w:rPr>
          <w:tag w:val="MENDELEY_CITATION_v3_eyJjaXRhdGlvbklEIjoiTUVOREVMRVlfQ0lUQVRJT05fMTQ4MWFiMWUtYjRiZS00ZGNlLThlNDgtOGMzYWQzMzMzNmEw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216481473"/>
          <w:placeholder>
            <w:docPart w:val="DefaultPlaceholder_-1854013440"/>
          </w:placeholder>
        </w:sdt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 This collaborative oversight enhances the credibility and legitimacy of governance systems while promoting responsible public administration.</w:t>
      </w:r>
    </w:p>
    <w:p w14:paraId="218D52B6" w14:textId="77777777" w:rsidR="00323434" w:rsidRPr="00323434" w:rsidRDefault="00323434" w:rsidP="00323434">
      <w:pPr>
        <w:spacing w:line="276" w:lineRule="auto"/>
        <w:rPr>
          <w:b/>
          <w:bCs/>
          <w:sz w:val="22"/>
          <w:szCs w:val="22"/>
        </w:rPr>
      </w:pPr>
      <w:r w:rsidRPr="00323434">
        <w:rPr>
          <w:b/>
          <w:bCs/>
          <w:sz w:val="22"/>
          <w:szCs w:val="22"/>
        </w:rPr>
        <w:t>Citizen Participation and Responsiveness of Local Government</w:t>
      </w:r>
    </w:p>
    <w:p w14:paraId="45AAE131" w14:textId="77777777" w:rsidR="00323434" w:rsidRPr="00323434" w:rsidRDefault="00323434" w:rsidP="00323434">
      <w:pPr>
        <w:spacing w:line="276" w:lineRule="auto"/>
        <w:rPr>
          <w:sz w:val="22"/>
          <w:szCs w:val="22"/>
        </w:rPr>
      </w:pPr>
      <w:r w:rsidRPr="00323434">
        <w:rPr>
          <w:sz w:val="22"/>
          <w:szCs w:val="22"/>
        </w:rPr>
        <w:t xml:space="preserve">Another important finding emerging from the literature is the relationship between citizen participation and the responsiveness of local government institutions. Responsiveness refers to the ability of government institutions to respond effectively to the needs and preferences of citizens </w:t>
      </w:r>
      <w:sdt>
        <w:sdtPr>
          <w:rPr>
            <w:color w:val="000000"/>
            <w:sz w:val="22"/>
            <w:szCs w:val="22"/>
          </w:rPr>
          <w:tag w:val="MENDELEY_CITATION_v3_eyJjaXRhdGlvbklEIjoiTUVOREVMRVlfQ0lUQVRJT05fMzljZTA3ZTgtMDVjZS00OTRjLTkwNzEtM2ZkNzc5N2I0MTdk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2116943956"/>
          <w:placeholder>
            <w:docPart w:val="DefaultPlaceholder_-1854013440"/>
          </w:placeholder>
        </w:sdtPr>
        <w:sdtContent>
          <w:r w:rsidR="00817578" w:rsidRPr="00817578">
            <w:rPr>
              <w:rFonts w:eastAsia="Times New Roman"/>
              <w:color w:val="000000"/>
              <w:sz w:val="22"/>
            </w:rPr>
            <w:t>(Bovaird &amp; Loeffler, 2012)</w:t>
          </w:r>
        </w:sdtContent>
      </w:sdt>
      <w:r w:rsidRPr="00323434">
        <w:rPr>
          <w:sz w:val="22"/>
          <w:szCs w:val="22"/>
        </w:rPr>
        <w:t>.</w:t>
      </w:r>
    </w:p>
    <w:p w14:paraId="478DDCCF" w14:textId="77777777" w:rsidR="00323434" w:rsidRPr="00323434" w:rsidRDefault="00323434" w:rsidP="00323434">
      <w:pPr>
        <w:spacing w:line="276" w:lineRule="auto"/>
        <w:rPr>
          <w:sz w:val="22"/>
          <w:szCs w:val="22"/>
        </w:rPr>
      </w:pPr>
      <w:r w:rsidRPr="00323434">
        <w:rPr>
          <w:sz w:val="22"/>
          <w:szCs w:val="22"/>
        </w:rPr>
        <w:t xml:space="preserve">Participatory governance mechanisms allow policymakers to obtain information about citizen priorities, which can improve the responsiveness of public policies </w:t>
      </w:r>
      <w:sdt>
        <w:sdtPr>
          <w:rPr>
            <w:color w:val="000000"/>
            <w:sz w:val="22"/>
            <w:szCs w:val="22"/>
          </w:rPr>
          <w:tag w:val="MENDELEY_CITATION_v3_eyJjaXRhdGlvbklEIjoiTUVOREVMRVlfQ0lUQVRJT05fMTk4NTEwMDEtNmZjZC00ZDIyLWJkMmYtODU1YzQ2ZmM5NzQ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446420578"/>
          <w:placeholder>
            <w:docPart w:val="DefaultPlaceholder_-1854013440"/>
          </w:placeholder>
        </w:sdtPr>
        <w:sdtContent>
          <w:r w:rsidR="00817578" w:rsidRPr="00817578">
            <w:rPr>
              <w:color w:val="000000"/>
              <w:sz w:val="22"/>
              <w:szCs w:val="22"/>
            </w:rPr>
            <w:t>(Wampler et al., 2021)</w:t>
          </w:r>
        </w:sdtContent>
      </w:sdt>
      <w:r w:rsidRPr="00323434">
        <w:rPr>
          <w:sz w:val="22"/>
          <w:szCs w:val="22"/>
        </w:rPr>
        <w:t>. Through participatory processes such as community consultations and participatory planning sessions, government officials can gather feedback from citizens regarding development priorities and service delivery needs.</w:t>
      </w:r>
    </w:p>
    <w:p w14:paraId="285CBA08" w14:textId="77777777" w:rsidR="00323434" w:rsidRPr="00323434" w:rsidRDefault="00323434" w:rsidP="00323434">
      <w:pPr>
        <w:spacing w:line="276" w:lineRule="auto"/>
        <w:rPr>
          <w:sz w:val="22"/>
          <w:szCs w:val="22"/>
        </w:rPr>
      </w:pPr>
      <w:r w:rsidRPr="00323434">
        <w:rPr>
          <w:sz w:val="22"/>
          <w:szCs w:val="22"/>
        </w:rPr>
        <w:t xml:space="preserve">Studies indicate that when citizens participate in governance processes, policymakers are more likely to design policies that reflect community needs and preferences </w:t>
      </w:r>
      <w:sdt>
        <w:sdtPr>
          <w:rPr>
            <w:color w:val="000000"/>
            <w:sz w:val="22"/>
            <w:szCs w:val="22"/>
          </w:rPr>
          <w:tag w:val="MENDELEY_CITATION_v3_eyJjaXRhdGlvbklEIjoiTUVOREVMRVlfQ0lUQVRJT05fMWVlODFmOWUtMzYyNy00YzBmLWEwOTYtNzQzN2IwNmE0M2Rh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841202202"/>
          <w:placeholder>
            <w:docPart w:val="DefaultPlaceholder_-1854013440"/>
          </w:placeholder>
        </w:sdtPr>
        <w:sdtContent>
          <w:r w:rsidR="00817578" w:rsidRPr="00817578">
            <w:rPr>
              <w:color w:val="000000"/>
              <w:sz w:val="22"/>
              <w:szCs w:val="22"/>
            </w:rPr>
            <w:t>(Fung, 2015)</w:t>
          </w:r>
        </w:sdtContent>
      </w:sdt>
      <w:r w:rsidRPr="00323434">
        <w:rPr>
          <w:sz w:val="22"/>
          <w:szCs w:val="22"/>
        </w:rPr>
        <w:t>. Citizen engagement therefore helps bridge the gap between government institutions and communities by ensuring that public policies address real societal challenges.</w:t>
      </w:r>
    </w:p>
    <w:p w14:paraId="08598DAA" w14:textId="77777777" w:rsidR="00323434" w:rsidRPr="00323434" w:rsidRDefault="00323434" w:rsidP="00323434">
      <w:pPr>
        <w:spacing w:line="276" w:lineRule="auto"/>
        <w:rPr>
          <w:sz w:val="22"/>
          <w:szCs w:val="22"/>
        </w:rPr>
      </w:pPr>
      <w:r w:rsidRPr="00323434">
        <w:rPr>
          <w:sz w:val="22"/>
          <w:szCs w:val="22"/>
        </w:rPr>
        <w:t xml:space="preserve">Participatory governance also encourages collaborative problem-solving between citizens and policymakers. Such collaboration can lead to more effective policy solutions because citizens contribute local knowledge and practical insights that may not be available through bureaucratic channels </w:t>
      </w:r>
      <w:sdt>
        <w:sdtPr>
          <w:rPr>
            <w:color w:val="000000"/>
            <w:sz w:val="22"/>
            <w:szCs w:val="22"/>
          </w:rPr>
          <w:tag w:val="MENDELEY_CITATION_v3_eyJjaXRhdGlvbklEIjoiTUVOREVMRVlfQ0lUQVRJT05fNTdiOWFjYjItMjFkOC00ZWY2LTlkMzgtOTk5ZGU2ZDMwNWY0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706787208"/>
          <w:placeholder>
            <w:docPart w:val="DefaultPlaceholder_-1854013440"/>
          </w:placeholder>
        </w:sdtPr>
        <w:sdtContent>
          <w:r w:rsidR="00817578" w:rsidRPr="00817578">
            <w:rPr>
              <w:color w:val="000000"/>
              <w:sz w:val="22"/>
              <w:szCs w:val="22"/>
            </w:rPr>
            <w:t>(Williams et al., 2012)</w:t>
          </w:r>
        </w:sdtContent>
      </w:sdt>
      <w:r w:rsidRPr="00323434">
        <w:rPr>
          <w:sz w:val="22"/>
          <w:szCs w:val="22"/>
        </w:rPr>
        <w:t>.</w:t>
      </w:r>
    </w:p>
    <w:p w14:paraId="6E9C748B" w14:textId="77777777" w:rsidR="00323434" w:rsidRPr="00323434" w:rsidRDefault="00323434" w:rsidP="00323434">
      <w:pPr>
        <w:spacing w:line="276" w:lineRule="auto"/>
        <w:rPr>
          <w:b/>
          <w:bCs/>
          <w:sz w:val="22"/>
          <w:szCs w:val="22"/>
        </w:rPr>
      </w:pPr>
      <w:r w:rsidRPr="00323434">
        <w:rPr>
          <w:b/>
          <w:bCs/>
          <w:sz w:val="22"/>
          <w:szCs w:val="22"/>
        </w:rPr>
        <w:t>Challenges Affecting Citizen Participation</w:t>
      </w:r>
    </w:p>
    <w:p w14:paraId="032FE4C6" w14:textId="77777777" w:rsidR="00323434" w:rsidRPr="00323434" w:rsidRDefault="00323434" w:rsidP="00323434">
      <w:pPr>
        <w:spacing w:line="276" w:lineRule="auto"/>
        <w:rPr>
          <w:sz w:val="22"/>
          <w:szCs w:val="22"/>
        </w:rPr>
      </w:pPr>
      <w:r w:rsidRPr="00323434">
        <w:rPr>
          <w:sz w:val="22"/>
          <w:szCs w:val="22"/>
        </w:rPr>
        <w:lastRenderedPageBreak/>
        <w:t>Despite the potential benefits of participatory governance, the literature identifies several challenges that limit meaningful citizen participation in governance processes.</w:t>
      </w:r>
    </w:p>
    <w:p w14:paraId="5F681F2C" w14:textId="77777777" w:rsidR="00323434" w:rsidRPr="00323434" w:rsidRDefault="00323434" w:rsidP="00323434">
      <w:pPr>
        <w:spacing w:line="276" w:lineRule="auto"/>
        <w:rPr>
          <w:sz w:val="22"/>
          <w:szCs w:val="22"/>
        </w:rPr>
      </w:pPr>
      <w:r w:rsidRPr="00323434">
        <w:rPr>
          <w:sz w:val="22"/>
          <w:szCs w:val="22"/>
        </w:rPr>
        <w:t xml:space="preserve">One major challenge is </w:t>
      </w:r>
      <w:r w:rsidRPr="00323434">
        <w:rPr>
          <w:bCs/>
          <w:sz w:val="22"/>
          <w:szCs w:val="22"/>
        </w:rPr>
        <w:t>political interference</w:t>
      </w:r>
      <w:r w:rsidRPr="00323434">
        <w:rPr>
          <w:sz w:val="22"/>
          <w:szCs w:val="22"/>
        </w:rPr>
        <w:t xml:space="preserve">, which may undermine participatory governance mechanisms </w:t>
      </w:r>
      <w:sdt>
        <w:sdtPr>
          <w:rPr>
            <w:color w:val="000000"/>
            <w:sz w:val="22"/>
            <w:szCs w:val="22"/>
          </w:rPr>
          <w:tag w:val="MENDELEY_CITATION_v3_eyJjaXRhdGlvbklEIjoiTUVOREVMRVlfQ0lUQVRJT05fNDJiMDhlMGUtYjczOS00MGVlLWI5N2EtMWE1ZTNkZTExZWRj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736973681"/>
          <w:placeholder>
            <w:docPart w:val="DefaultPlaceholder_-1854013440"/>
          </w:placeholder>
        </w:sdtPr>
        <w:sdtContent>
          <w:r w:rsidR="00817578" w:rsidRPr="00817578">
            <w:rPr>
              <w:color w:val="000000"/>
              <w:sz w:val="22"/>
              <w:szCs w:val="22"/>
            </w:rPr>
            <w:t>(Fox, 2015)</w:t>
          </w:r>
        </w:sdtContent>
      </w:sdt>
      <w:r w:rsidRPr="00323434">
        <w:rPr>
          <w:sz w:val="22"/>
          <w:szCs w:val="22"/>
        </w:rPr>
        <w:t>. Political actors may manipulate participatory processes to advance their own interests, thereby limiting genuine citizen engagement in decision-making.</w:t>
      </w:r>
    </w:p>
    <w:p w14:paraId="3880D160" w14:textId="77777777" w:rsidR="00323434" w:rsidRPr="00323434" w:rsidRDefault="00323434" w:rsidP="00323434">
      <w:pPr>
        <w:spacing w:line="276" w:lineRule="auto"/>
        <w:rPr>
          <w:sz w:val="22"/>
          <w:szCs w:val="22"/>
        </w:rPr>
      </w:pPr>
      <w:r w:rsidRPr="00323434">
        <w:rPr>
          <w:sz w:val="22"/>
          <w:szCs w:val="22"/>
        </w:rPr>
        <w:t xml:space="preserve">Another challenge is </w:t>
      </w:r>
      <w:r w:rsidRPr="00323434">
        <w:rPr>
          <w:bCs/>
          <w:sz w:val="22"/>
          <w:szCs w:val="22"/>
        </w:rPr>
        <w:t>low civic awareness</w:t>
      </w:r>
      <w:r w:rsidRPr="00323434">
        <w:rPr>
          <w:sz w:val="22"/>
          <w:szCs w:val="22"/>
        </w:rPr>
        <w:t xml:space="preserve">, which reduces citizens’ ability to participate effectively in governance processes </w:t>
      </w:r>
      <w:sdt>
        <w:sdtPr>
          <w:rPr>
            <w:color w:val="000000"/>
            <w:sz w:val="22"/>
            <w:szCs w:val="22"/>
          </w:rPr>
          <w:tag w:val="MENDELEY_CITATION_v3_eyJjaXRhdGlvbklEIjoiTUVOREVMRVlfQ0lUQVRJT05fYzUxMmI4NGMtMDVlNi00ZTUzLWJmYzMtMWNkNzkwZjk4ODk0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026567087"/>
          <w:placeholder>
            <w:docPart w:val="DefaultPlaceholder_-1854013440"/>
          </w:placeholder>
        </w:sdt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 Many citizens lack sufficient knowledge about their rights, governance processes, and available participation mechanisms, which limits their involvement in public decision-making.</w:t>
      </w:r>
    </w:p>
    <w:p w14:paraId="40ED1A0E" w14:textId="77777777" w:rsidR="00323434" w:rsidRPr="00323434" w:rsidRDefault="00323434" w:rsidP="00323434">
      <w:pPr>
        <w:spacing w:line="276" w:lineRule="auto"/>
        <w:rPr>
          <w:sz w:val="22"/>
          <w:szCs w:val="22"/>
        </w:rPr>
      </w:pPr>
      <w:r w:rsidRPr="00323434">
        <w:rPr>
          <w:bCs/>
          <w:sz w:val="22"/>
          <w:szCs w:val="22"/>
        </w:rPr>
        <w:t>Limited institutional capacity</w:t>
      </w:r>
      <w:r w:rsidRPr="00323434">
        <w:rPr>
          <w:sz w:val="22"/>
          <w:szCs w:val="22"/>
        </w:rPr>
        <w:t xml:space="preserve"> within local governments also constrains participatory governance initiatives </w:t>
      </w:r>
      <w:sdt>
        <w:sdtPr>
          <w:rPr>
            <w:color w:val="000000"/>
            <w:sz w:val="22"/>
            <w:szCs w:val="22"/>
          </w:rPr>
          <w:tag w:val="MENDELEY_CITATION_v3_eyJjaXRhdGlvbklEIjoiTUVOREVMRVlfQ0lUQVRJT05fZGY1OWVmNGEtN2ZmNy00MTc2LWFjZDAtYjExODAwY2I0MDQ3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371309492"/>
          <w:placeholder>
            <w:docPart w:val="DefaultPlaceholder_-1854013440"/>
          </w:placeholder>
        </w:sdtPr>
        <w:sdtContent>
          <w:r w:rsidR="00817578" w:rsidRPr="00817578">
            <w:rPr>
              <w:rFonts w:eastAsia="Times New Roman"/>
              <w:color w:val="000000"/>
              <w:sz w:val="22"/>
            </w:rPr>
            <w:t>(Bovaird &amp; Loeffler, 2012)</w:t>
          </w:r>
        </w:sdtContent>
      </w:sdt>
      <w:r w:rsidRPr="00323434">
        <w:rPr>
          <w:sz w:val="22"/>
          <w:szCs w:val="22"/>
        </w:rPr>
        <w:t>. Local government institutions may lack the administrative resources, technical expertise, or financial capacity required to facilitate effective citizen participation.</w:t>
      </w:r>
    </w:p>
    <w:p w14:paraId="630D5E2E" w14:textId="77777777" w:rsidR="00323434" w:rsidRPr="00323434" w:rsidRDefault="00323434" w:rsidP="00323434">
      <w:pPr>
        <w:spacing w:line="276" w:lineRule="auto"/>
        <w:rPr>
          <w:sz w:val="22"/>
          <w:szCs w:val="22"/>
        </w:rPr>
      </w:pPr>
      <w:r w:rsidRPr="00323434">
        <w:rPr>
          <w:sz w:val="22"/>
          <w:szCs w:val="22"/>
        </w:rPr>
        <w:t xml:space="preserve">Finally, </w:t>
      </w:r>
      <w:r w:rsidRPr="00323434">
        <w:rPr>
          <w:bCs/>
          <w:sz w:val="22"/>
          <w:szCs w:val="22"/>
        </w:rPr>
        <w:t>elite capture</w:t>
      </w:r>
      <w:r w:rsidRPr="00323434">
        <w:rPr>
          <w:sz w:val="22"/>
          <w:szCs w:val="22"/>
        </w:rPr>
        <w:t xml:space="preserve"> represents a significant challenge in participatory governance systems </w:t>
      </w:r>
      <w:sdt>
        <w:sdtPr>
          <w:rPr>
            <w:color w:val="000000"/>
            <w:sz w:val="22"/>
            <w:szCs w:val="22"/>
          </w:rPr>
          <w:tag w:val="MENDELEY_CITATION_v3_eyJjaXRhdGlvbklEIjoiTUVOREVMRVlfQ0lUQVRJT05fOWVmYWU5MTUtN2ViMi00NzI2LTlkZDMtODk5OWM2ZWM2YjY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5021221"/>
          <w:placeholder>
            <w:docPart w:val="DefaultPlaceholder_-1854013440"/>
          </w:placeholder>
        </w:sdtPr>
        <w:sdtContent>
          <w:r w:rsidR="00817578" w:rsidRPr="00817578">
            <w:rPr>
              <w:color w:val="000000"/>
              <w:sz w:val="22"/>
              <w:szCs w:val="22"/>
            </w:rPr>
            <w:t>(Fung, 2015)</w:t>
          </w:r>
        </w:sdtContent>
      </w:sdt>
      <w:r w:rsidRPr="00323434">
        <w:rPr>
          <w:sz w:val="22"/>
          <w:szCs w:val="22"/>
        </w:rPr>
        <w:t>. In some cases, local elites dominate participatory forums and influence decision-making processes to advance their own interests rather than the interests of the broader community.</w:t>
      </w:r>
    </w:p>
    <w:p w14:paraId="12E2F569" w14:textId="77777777" w:rsidR="00323434" w:rsidRPr="00323434" w:rsidRDefault="00323434" w:rsidP="00323434">
      <w:pPr>
        <w:spacing w:line="276" w:lineRule="auto"/>
        <w:rPr>
          <w:sz w:val="22"/>
          <w:szCs w:val="22"/>
        </w:rPr>
      </w:pPr>
      <w:r w:rsidRPr="00323434">
        <w:rPr>
          <w:sz w:val="22"/>
          <w:szCs w:val="22"/>
        </w:rPr>
        <w:t>These challenges highlight the need for institutional reforms and policy interventions aimed at strengthening participatory governance mechanisms within local government systems.</w:t>
      </w:r>
    </w:p>
    <w:p w14:paraId="27ED89CC" w14:textId="77777777" w:rsidR="00323434" w:rsidRPr="00323434" w:rsidRDefault="00323434" w:rsidP="00323434">
      <w:pPr>
        <w:spacing w:line="276" w:lineRule="auto"/>
        <w:rPr>
          <w:b/>
          <w:bCs/>
          <w:sz w:val="22"/>
          <w:szCs w:val="22"/>
        </w:rPr>
      </w:pPr>
      <w:r w:rsidRPr="00323434">
        <w:rPr>
          <w:b/>
          <w:bCs/>
          <w:sz w:val="22"/>
          <w:szCs w:val="22"/>
        </w:rPr>
        <w:t>6. Implications for Public Administration</w:t>
      </w:r>
    </w:p>
    <w:p w14:paraId="5ECC29FA" w14:textId="77777777" w:rsidR="00323434" w:rsidRPr="00323434" w:rsidRDefault="00323434" w:rsidP="00323434">
      <w:pPr>
        <w:spacing w:line="276" w:lineRule="auto"/>
        <w:rPr>
          <w:sz w:val="22"/>
          <w:szCs w:val="22"/>
        </w:rPr>
      </w:pPr>
      <w:r w:rsidRPr="00323434">
        <w:rPr>
          <w:sz w:val="22"/>
          <w:szCs w:val="22"/>
        </w:rPr>
        <w:t>The findings of this study have important implications for public administration practice and governance reforms. First, the analysis suggests that participatory governance mechanisms can improve the quality of decision-making in local government institutions by enhancing transparency, accountability, and responsiveness.</w:t>
      </w:r>
    </w:p>
    <w:p w14:paraId="597357FA" w14:textId="77777777" w:rsidR="00323434" w:rsidRPr="00323434" w:rsidRDefault="00323434" w:rsidP="00323434">
      <w:pPr>
        <w:spacing w:line="276" w:lineRule="auto"/>
        <w:rPr>
          <w:sz w:val="22"/>
          <w:szCs w:val="22"/>
        </w:rPr>
      </w:pPr>
      <w:r w:rsidRPr="00323434">
        <w:rPr>
          <w:sz w:val="22"/>
          <w:szCs w:val="22"/>
        </w:rPr>
        <w:t>For public administration practitioners, the findings emphasize the importance of designing governance systems that facilitate meaningful citizen engagement in policy processes. Public administrators should therefore prioritize the development of participatory governance frameworks that enable citizens to contribute to decision-making processes.</w:t>
      </w:r>
    </w:p>
    <w:p w14:paraId="3902EAD6" w14:textId="77777777" w:rsidR="00323434" w:rsidRPr="00323434" w:rsidRDefault="00323434" w:rsidP="00323434">
      <w:pPr>
        <w:spacing w:line="276" w:lineRule="auto"/>
        <w:rPr>
          <w:sz w:val="22"/>
          <w:szCs w:val="22"/>
        </w:rPr>
      </w:pPr>
      <w:r w:rsidRPr="00323434">
        <w:rPr>
          <w:sz w:val="22"/>
          <w:szCs w:val="22"/>
        </w:rPr>
        <w:t>The findings also highlight the need for governance reforms that strengthen institutional capacity for citizen participation. Public administration institutions should invest in administrative systems, digital platforms, and civic engagement initiatives that facilitate communication between government institutions and citizens.</w:t>
      </w:r>
    </w:p>
    <w:p w14:paraId="3FF7E57D" w14:textId="77777777" w:rsidR="00323434" w:rsidRPr="00323434" w:rsidRDefault="00323434" w:rsidP="00323434">
      <w:pPr>
        <w:spacing w:line="276" w:lineRule="auto"/>
        <w:rPr>
          <w:sz w:val="22"/>
          <w:szCs w:val="22"/>
        </w:rPr>
      </w:pPr>
      <w:r w:rsidRPr="00323434">
        <w:rPr>
          <w:sz w:val="22"/>
          <w:szCs w:val="22"/>
        </w:rPr>
        <w:t>Furthermore, participatory governance systems should be institutionalized within public administration frameworks to ensure that citizen engagement becomes a routine component of governance processes rather than an occasional initiative.</w:t>
      </w:r>
    </w:p>
    <w:p w14:paraId="242BCCC5" w14:textId="77777777" w:rsidR="00323434" w:rsidRPr="00323434" w:rsidRDefault="00323434" w:rsidP="00323434">
      <w:pPr>
        <w:spacing w:line="276" w:lineRule="auto"/>
        <w:rPr>
          <w:b/>
          <w:bCs/>
          <w:sz w:val="22"/>
          <w:szCs w:val="22"/>
        </w:rPr>
      </w:pPr>
      <w:r w:rsidRPr="00323434">
        <w:rPr>
          <w:b/>
          <w:bCs/>
          <w:sz w:val="22"/>
          <w:szCs w:val="22"/>
        </w:rPr>
        <w:t>7. Conclusion and Recommendations</w:t>
      </w:r>
    </w:p>
    <w:p w14:paraId="3F5B6BAC" w14:textId="77777777" w:rsidR="00323434" w:rsidRPr="00323434" w:rsidRDefault="00323434" w:rsidP="00323434">
      <w:pPr>
        <w:spacing w:line="276" w:lineRule="auto"/>
        <w:rPr>
          <w:b/>
          <w:bCs/>
          <w:sz w:val="22"/>
          <w:szCs w:val="22"/>
        </w:rPr>
      </w:pPr>
      <w:r w:rsidRPr="00323434">
        <w:rPr>
          <w:b/>
          <w:bCs/>
          <w:sz w:val="22"/>
          <w:szCs w:val="22"/>
        </w:rPr>
        <w:t>Conclusion</w:t>
      </w:r>
    </w:p>
    <w:p w14:paraId="313E719D" w14:textId="77777777" w:rsidR="00323434" w:rsidRPr="00323434" w:rsidRDefault="00323434" w:rsidP="00323434">
      <w:pPr>
        <w:spacing w:line="276" w:lineRule="auto"/>
        <w:rPr>
          <w:sz w:val="22"/>
          <w:szCs w:val="22"/>
        </w:rPr>
      </w:pPr>
      <w:r w:rsidRPr="00323434">
        <w:rPr>
          <w:sz w:val="22"/>
          <w:szCs w:val="22"/>
        </w:rPr>
        <w:t>This study examined the relationship between citizen participation and the quality of decision-making in local government institutions. The findings indicate that citizen participation plays an important role in improving governance outcomes by enhancing transparency, accountability, and responsiveness in public decision-making processes.</w:t>
      </w:r>
    </w:p>
    <w:p w14:paraId="43995C7E" w14:textId="77777777" w:rsidR="00323434" w:rsidRPr="00323434" w:rsidRDefault="00323434" w:rsidP="00323434">
      <w:pPr>
        <w:spacing w:line="276" w:lineRule="auto"/>
        <w:rPr>
          <w:sz w:val="22"/>
          <w:szCs w:val="22"/>
        </w:rPr>
      </w:pPr>
      <w:r w:rsidRPr="00323434">
        <w:rPr>
          <w:sz w:val="22"/>
          <w:szCs w:val="22"/>
        </w:rPr>
        <w:lastRenderedPageBreak/>
        <w:t>Participatory mechanisms such as community meetings, participatory budgeting initiatives, and public consultations create opportunities for citizens to engage directly in governance processes. Through these mechanisms, citizens can influence policy decisions, monitor government performance, and contribute to the formulation of development priorities.</w:t>
      </w:r>
    </w:p>
    <w:p w14:paraId="6D7E1A0C" w14:textId="77777777" w:rsidR="00323434" w:rsidRPr="00323434" w:rsidRDefault="00323434" w:rsidP="00323434">
      <w:pPr>
        <w:spacing w:line="276" w:lineRule="auto"/>
        <w:rPr>
          <w:sz w:val="22"/>
          <w:szCs w:val="22"/>
        </w:rPr>
      </w:pPr>
      <w:r w:rsidRPr="00323434">
        <w:rPr>
          <w:sz w:val="22"/>
          <w:szCs w:val="22"/>
        </w:rPr>
        <w:t>However, the study also identified several challenges that limit effective citizen participation in local governance systems. These challenges include political interference, low civic awareness, limited institutional capacity, and elite capture of participatory processes.</w:t>
      </w:r>
    </w:p>
    <w:p w14:paraId="19BA3B1E" w14:textId="77777777" w:rsidR="00323434" w:rsidRPr="00323434" w:rsidRDefault="00323434" w:rsidP="00323434">
      <w:pPr>
        <w:spacing w:line="276" w:lineRule="auto"/>
        <w:rPr>
          <w:sz w:val="22"/>
          <w:szCs w:val="22"/>
        </w:rPr>
      </w:pPr>
      <w:r w:rsidRPr="00323434">
        <w:rPr>
          <w:sz w:val="22"/>
          <w:szCs w:val="22"/>
        </w:rPr>
        <w:t>Addressing these challenges is essential for strengthening participatory governance and improving the quality of decision-making within local government institutions.</w:t>
      </w:r>
    </w:p>
    <w:p w14:paraId="187AB203" w14:textId="77777777" w:rsidR="00323434" w:rsidRPr="00323434" w:rsidRDefault="00323434" w:rsidP="00323434">
      <w:pPr>
        <w:spacing w:line="276" w:lineRule="auto"/>
        <w:rPr>
          <w:b/>
          <w:bCs/>
          <w:sz w:val="22"/>
          <w:szCs w:val="22"/>
        </w:rPr>
      </w:pPr>
      <w:r w:rsidRPr="00323434">
        <w:rPr>
          <w:b/>
          <w:bCs/>
          <w:sz w:val="22"/>
          <w:szCs w:val="22"/>
        </w:rPr>
        <w:t>Recommendations</w:t>
      </w:r>
    </w:p>
    <w:p w14:paraId="360BD4D6" w14:textId="77777777" w:rsidR="00323434" w:rsidRPr="00323434" w:rsidRDefault="00323434" w:rsidP="00323434">
      <w:pPr>
        <w:spacing w:line="276" w:lineRule="auto"/>
        <w:rPr>
          <w:sz w:val="22"/>
          <w:szCs w:val="22"/>
        </w:rPr>
      </w:pPr>
      <w:r w:rsidRPr="00323434">
        <w:rPr>
          <w:sz w:val="22"/>
          <w:szCs w:val="22"/>
        </w:rPr>
        <w:t>Based on the findings of the study, several policy recommendations can be proposed.</w:t>
      </w:r>
    </w:p>
    <w:p w14:paraId="7EF0F4F9" w14:textId="77777777" w:rsidR="00323434" w:rsidRPr="00323434" w:rsidRDefault="00323434" w:rsidP="00323434">
      <w:pPr>
        <w:spacing w:line="276" w:lineRule="auto"/>
        <w:rPr>
          <w:sz w:val="22"/>
          <w:szCs w:val="22"/>
        </w:rPr>
      </w:pPr>
      <w:r w:rsidRPr="00323434">
        <w:rPr>
          <w:sz w:val="22"/>
          <w:szCs w:val="22"/>
        </w:rPr>
        <w:t>First, governments should strengthen participatory governance mechanisms by establishing institutional frameworks that facilitate citizen engagement in decision-making processes. Participatory platforms such as community forums, public consultations, and participatory budgeting initiatives should be integrated into local governance systems.</w:t>
      </w:r>
    </w:p>
    <w:p w14:paraId="7CF2EF7C" w14:textId="77777777" w:rsidR="00323434" w:rsidRPr="00323434" w:rsidRDefault="00323434" w:rsidP="00323434">
      <w:pPr>
        <w:spacing w:line="276" w:lineRule="auto"/>
        <w:rPr>
          <w:sz w:val="22"/>
          <w:szCs w:val="22"/>
        </w:rPr>
      </w:pPr>
      <w:r w:rsidRPr="00323434">
        <w:rPr>
          <w:sz w:val="22"/>
          <w:szCs w:val="22"/>
        </w:rPr>
        <w:t>Second, civic education programs should be implemented to improve citizen awareness of governance processes and participation opportunities. Civic education initiatives can empower citizens with the knowledge and skills required to participate effectively in governance processes.</w:t>
      </w:r>
    </w:p>
    <w:p w14:paraId="0EDA7225" w14:textId="77777777" w:rsidR="00323434" w:rsidRPr="00323434" w:rsidRDefault="00323434" w:rsidP="00323434">
      <w:pPr>
        <w:spacing w:line="276" w:lineRule="auto"/>
        <w:rPr>
          <w:sz w:val="22"/>
          <w:szCs w:val="22"/>
        </w:rPr>
      </w:pPr>
      <w:r w:rsidRPr="00323434">
        <w:rPr>
          <w:sz w:val="22"/>
          <w:szCs w:val="22"/>
        </w:rPr>
        <w:t>Third, local governments should institutionalize community consultations within planning and policymaking processes. Regular consultations with citizens can help ensure that public policies reflect community needs and development priorities.</w:t>
      </w:r>
    </w:p>
    <w:p w14:paraId="6D599FEC" w14:textId="77777777" w:rsidR="00323434" w:rsidRPr="00323434" w:rsidRDefault="00323434" w:rsidP="00323434">
      <w:pPr>
        <w:spacing w:line="276" w:lineRule="auto"/>
        <w:rPr>
          <w:sz w:val="22"/>
          <w:szCs w:val="22"/>
        </w:rPr>
      </w:pPr>
      <w:r w:rsidRPr="00323434">
        <w:rPr>
          <w:sz w:val="22"/>
          <w:szCs w:val="22"/>
        </w:rPr>
        <w:t>Finally, governments should strengthen institutional capacity for participatory governance by providing resources, training, and administrative support for citizen engagement initiatives.</w:t>
      </w:r>
    </w:p>
    <w:p w14:paraId="22592090" w14:textId="77777777" w:rsidR="002F18D2" w:rsidRPr="006131F2" w:rsidRDefault="002F18D2" w:rsidP="006131F2">
      <w:pPr>
        <w:spacing w:line="276" w:lineRule="auto"/>
        <w:rPr>
          <w:sz w:val="22"/>
          <w:szCs w:val="22"/>
        </w:rPr>
      </w:pPr>
    </w:p>
    <w:p w14:paraId="504309A8" w14:textId="77777777" w:rsidR="00A71960" w:rsidRDefault="00A71960" w:rsidP="00A71960">
      <w:pPr>
        <w:rPr>
          <w:sz w:val="22"/>
          <w:szCs w:val="22"/>
        </w:rPr>
      </w:pPr>
    </w:p>
    <w:p w14:paraId="36D6479A" w14:textId="77777777" w:rsidR="00C96FE1" w:rsidRDefault="00C96FE1" w:rsidP="00A71960">
      <w:pPr>
        <w:rPr>
          <w:sz w:val="22"/>
          <w:szCs w:val="22"/>
        </w:rPr>
      </w:pPr>
    </w:p>
    <w:p w14:paraId="5585A30E" w14:textId="77777777" w:rsidR="00C96FE1" w:rsidRDefault="00C96FE1" w:rsidP="00A71960">
      <w:pPr>
        <w:rPr>
          <w:sz w:val="22"/>
          <w:szCs w:val="22"/>
        </w:rPr>
      </w:pPr>
    </w:p>
    <w:p w14:paraId="02CD2E33" w14:textId="77777777" w:rsidR="00C96FE1" w:rsidRDefault="00C96FE1" w:rsidP="00A71960">
      <w:pPr>
        <w:rPr>
          <w:sz w:val="22"/>
          <w:szCs w:val="22"/>
        </w:rPr>
      </w:pPr>
    </w:p>
    <w:p w14:paraId="14721367" w14:textId="77777777" w:rsidR="00C96FE1" w:rsidRDefault="00C96FE1" w:rsidP="00A71960">
      <w:pPr>
        <w:rPr>
          <w:sz w:val="22"/>
          <w:szCs w:val="22"/>
        </w:rPr>
      </w:pPr>
    </w:p>
    <w:p w14:paraId="775F04B9" w14:textId="77777777" w:rsidR="00A81D7C" w:rsidRDefault="00A81D7C" w:rsidP="00A71960">
      <w:pPr>
        <w:rPr>
          <w:b/>
          <w:bCs/>
          <w:sz w:val="22"/>
          <w:szCs w:val="22"/>
        </w:rPr>
      </w:pPr>
    </w:p>
    <w:p w14:paraId="134527CB" w14:textId="77777777" w:rsidR="00A81D7C" w:rsidRDefault="00A81D7C" w:rsidP="00A71960">
      <w:pPr>
        <w:rPr>
          <w:b/>
          <w:bCs/>
          <w:sz w:val="22"/>
          <w:szCs w:val="22"/>
        </w:rPr>
      </w:pPr>
    </w:p>
    <w:p w14:paraId="5F145084" w14:textId="77777777" w:rsidR="00A71960" w:rsidRPr="00773C27" w:rsidRDefault="00A71960" w:rsidP="00A71960">
      <w:pPr>
        <w:rPr>
          <w:b/>
          <w:bCs/>
          <w:sz w:val="22"/>
          <w:szCs w:val="22"/>
        </w:rPr>
      </w:pPr>
      <w:r w:rsidRPr="00773C27">
        <w:rPr>
          <w:b/>
          <w:bCs/>
          <w:sz w:val="22"/>
          <w:szCs w:val="22"/>
        </w:rPr>
        <w:lastRenderedPageBreak/>
        <w:t>References</w:t>
      </w:r>
    </w:p>
    <w:sdt>
      <w:sdtPr>
        <w:rPr>
          <w:color w:val="000000"/>
          <w:sz w:val="22"/>
          <w:szCs w:val="22"/>
        </w:rPr>
        <w:tag w:val="MENDELEY_BIBLIOGRAPHY"/>
        <w:id w:val="1993833952"/>
        <w:placeholder>
          <w:docPart w:val="DefaultPlaceholder_-1854013440"/>
        </w:placeholder>
      </w:sdtPr>
      <w:sdtContent>
        <w:p w14:paraId="2961B384" w14:textId="77777777" w:rsidR="006B7881" w:rsidRPr="006B7881" w:rsidRDefault="006B7881" w:rsidP="006B7881">
          <w:pPr>
            <w:autoSpaceDE w:val="0"/>
            <w:autoSpaceDN w:val="0"/>
            <w:spacing w:after="0"/>
            <w:ind w:hanging="480"/>
            <w:divId w:val="631522760"/>
            <w:rPr>
              <w:rFonts w:eastAsia="Times New Roman"/>
              <w:color w:val="000000"/>
              <w:sz w:val="22"/>
            </w:rPr>
          </w:pPr>
          <w:r w:rsidRPr="006B7881">
            <w:rPr>
              <w:rFonts w:eastAsia="Times New Roman"/>
              <w:color w:val="000000"/>
              <w:sz w:val="22"/>
            </w:rPr>
            <w:t xml:space="preserve">Bächtiger, A., </w:t>
          </w:r>
          <w:proofErr w:type="spellStart"/>
          <w:r w:rsidRPr="006B7881">
            <w:rPr>
              <w:rFonts w:eastAsia="Times New Roman"/>
              <w:color w:val="000000"/>
              <w:sz w:val="22"/>
            </w:rPr>
            <w:t>Dryzek</w:t>
          </w:r>
          <w:proofErr w:type="spellEnd"/>
          <w:r w:rsidRPr="006B7881">
            <w:rPr>
              <w:rFonts w:eastAsia="Times New Roman"/>
              <w:color w:val="000000"/>
              <w:sz w:val="22"/>
            </w:rPr>
            <w:t xml:space="preserve">, J. S., Mansbridge, J., &amp; Mark, D. W. (2018). </w:t>
          </w:r>
          <w:r w:rsidRPr="006B7881">
            <w:rPr>
              <w:rFonts w:eastAsia="Times New Roman"/>
              <w:i/>
              <w:iCs/>
              <w:color w:val="000000"/>
              <w:sz w:val="22"/>
            </w:rPr>
            <w:t>The Oxford Handbook of Deliberative Democracy</w:t>
          </w:r>
          <w:r w:rsidRPr="006B7881">
            <w:rPr>
              <w:rFonts w:eastAsia="Times New Roman"/>
              <w:color w:val="000000"/>
              <w:sz w:val="22"/>
            </w:rPr>
            <w:t xml:space="preserve"> (A. Bächtiger, J. S. </w:t>
          </w:r>
          <w:proofErr w:type="spellStart"/>
          <w:r w:rsidRPr="006B7881">
            <w:rPr>
              <w:rFonts w:eastAsia="Times New Roman"/>
              <w:color w:val="000000"/>
              <w:sz w:val="22"/>
            </w:rPr>
            <w:t>Dryzek</w:t>
          </w:r>
          <w:proofErr w:type="spellEnd"/>
          <w:r w:rsidRPr="006B7881">
            <w:rPr>
              <w:rFonts w:eastAsia="Times New Roman"/>
              <w:color w:val="000000"/>
              <w:sz w:val="22"/>
            </w:rPr>
            <w:t>, J. Mansbridge, &amp; M. D. Warren, Eds.). Oxford University Press. https://doi.org/10.1093/oxfordhb/9780198747369.001.0001</w:t>
          </w:r>
        </w:p>
        <w:p w14:paraId="2430A772" w14:textId="77777777" w:rsidR="006B7881" w:rsidRPr="006B7881" w:rsidRDefault="006B7881" w:rsidP="006B7881">
          <w:pPr>
            <w:autoSpaceDE w:val="0"/>
            <w:autoSpaceDN w:val="0"/>
            <w:spacing w:after="0"/>
            <w:ind w:hanging="480"/>
            <w:divId w:val="700399528"/>
            <w:rPr>
              <w:rFonts w:eastAsia="Times New Roman"/>
              <w:color w:val="000000"/>
              <w:sz w:val="22"/>
            </w:rPr>
          </w:pPr>
          <w:r w:rsidRPr="006B7881">
            <w:rPr>
              <w:rFonts w:eastAsia="Times New Roman"/>
              <w:color w:val="000000"/>
              <w:sz w:val="22"/>
            </w:rPr>
            <w:t xml:space="preserve">Bertot, J. C., Jaeger, P. T., &amp; Grimes, J. M. (2010). Using ICTs to create a culture of transparency: E-government and social media as openness and anti-corruption tools for societies. </w:t>
          </w:r>
          <w:r w:rsidRPr="006B7881">
            <w:rPr>
              <w:rFonts w:eastAsia="Times New Roman"/>
              <w:i/>
              <w:iCs/>
              <w:color w:val="000000"/>
              <w:sz w:val="22"/>
            </w:rPr>
            <w:t>Government Information Quarterly</w:t>
          </w:r>
          <w:r w:rsidRPr="006B7881">
            <w:rPr>
              <w:rFonts w:eastAsia="Times New Roman"/>
              <w:color w:val="000000"/>
              <w:sz w:val="22"/>
            </w:rPr>
            <w:t xml:space="preserve">, </w:t>
          </w:r>
          <w:r w:rsidRPr="006B7881">
            <w:rPr>
              <w:rFonts w:eastAsia="Times New Roman"/>
              <w:i/>
              <w:iCs/>
              <w:color w:val="000000"/>
              <w:sz w:val="22"/>
            </w:rPr>
            <w:t>27</w:t>
          </w:r>
          <w:r w:rsidRPr="006B7881">
            <w:rPr>
              <w:rFonts w:eastAsia="Times New Roman"/>
              <w:color w:val="000000"/>
              <w:sz w:val="22"/>
            </w:rPr>
            <w:t>(3), 264–271. https://doi.org/10.1016/j.giq.2010.03.001</w:t>
          </w:r>
        </w:p>
        <w:p w14:paraId="799487BE" w14:textId="77777777" w:rsidR="006B7881" w:rsidRPr="006B7881" w:rsidRDefault="006B7881" w:rsidP="006B7881">
          <w:pPr>
            <w:autoSpaceDE w:val="0"/>
            <w:autoSpaceDN w:val="0"/>
            <w:spacing w:after="0"/>
            <w:ind w:hanging="480"/>
            <w:divId w:val="403838769"/>
            <w:rPr>
              <w:rFonts w:eastAsia="Times New Roman"/>
              <w:color w:val="000000"/>
              <w:sz w:val="22"/>
            </w:rPr>
          </w:pPr>
          <w:r w:rsidRPr="006B7881">
            <w:rPr>
              <w:rFonts w:eastAsia="Times New Roman"/>
              <w:color w:val="000000"/>
              <w:sz w:val="22"/>
            </w:rPr>
            <w:t xml:space="preserve">Bovaird, T., &amp; Loeffler, E. (2012). From Engagement to Co-production: The Contribution of Users and Communities to Outcomes and Public Value. </w:t>
          </w:r>
          <w:proofErr w:type="spellStart"/>
          <w:r w:rsidRPr="006B7881">
            <w:rPr>
              <w:rFonts w:eastAsia="Times New Roman"/>
              <w:i/>
              <w:iCs/>
              <w:color w:val="000000"/>
              <w:sz w:val="22"/>
            </w:rPr>
            <w:t>Voluntas</w:t>
          </w:r>
          <w:proofErr w:type="spellEnd"/>
          <w:r w:rsidRPr="006B7881">
            <w:rPr>
              <w:rFonts w:eastAsia="Times New Roman"/>
              <w:i/>
              <w:iCs/>
              <w:color w:val="000000"/>
              <w:sz w:val="22"/>
            </w:rPr>
            <w:t>: International Journal of Voluntary and Nonprofit Organizations</w:t>
          </w:r>
          <w:r w:rsidRPr="006B7881">
            <w:rPr>
              <w:rFonts w:eastAsia="Times New Roman"/>
              <w:color w:val="000000"/>
              <w:sz w:val="22"/>
            </w:rPr>
            <w:t xml:space="preserve">, </w:t>
          </w:r>
          <w:r w:rsidRPr="006B7881">
            <w:rPr>
              <w:rFonts w:eastAsia="Times New Roman"/>
              <w:i/>
              <w:iCs/>
              <w:color w:val="000000"/>
              <w:sz w:val="22"/>
            </w:rPr>
            <w:t>23</w:t>
          </w:r>
          <w:r w:rsidRPr="006B7881">
            <w:rPr>
              <w:rFonts w:eastAsia="Times New Roman"/>
              <w:color w:val="000000"/>
              <w:sz w:val="22"/>
            </w:rPr>
            <w:t>(4), 1119–1138. https://doi.org/10.1007/s11266-012-9309-6</w:t>
          </w:r>
        </w:p>
        <w:p w14:paraId="5228813A" w14:textId="77777777" w:rsidR="006B7881" w:rsidRPr="006B7881" w:rsidRDefault="006B7881" w:rsidP="006B7881">
          <w:pPr>
            <w:autoSpaceDE w:val="0"/>
            <w:autoSpaceDN w:val="0"/>
            <w:spacing w:after="0"/>
            <w:ind w:hanging="480"/>
            <w:divId w:val="1219321923"/>
            <w:rPr>
              <w:rFonts w:eastAsia="Times New Roman"/>
              <w:color w:val="000000"/>
              <w:sz w:val="22"/>
            </w:rPr>
          </w:pPr>
          <w:r w:rsidRPr="006B7881">
            <w:rPr>
              <w:rFonts w:eastAsia="Times New Roman"/>
              <w:color w:val="000000"/>
              <w:sz w:val="22"/>
            </w:rPr>
            <w:t xml:space="preserve">Bowen, G. A. (2009). Document Analysis as a Qualitative Research Method. </w:t>
          </w:r>
          <w:r w:rsidRPr="006B7881">
            <w:rPr>
              <w:rFonts w:eastAsia="Times New Roman"/>
              <w:i/>
              <w:iCs/>
              <w:color w:val="000000"/>
              <w:sz w:val="22"/>
            </w:rPr>
            <w:t>Qualitative Research Journal</w:t>
          </w:r>
          <w:r w:rsidRPr="006B7881">
            <w:rPr>
              <w:rFonts w:eastAsia="Times New Roman"/>
              <w:color w:val="000000"/>
              <w:sz w:val="22"/>
            </w:rPr>
            <w:t xml:space="preserve">, </w:t>
          </w:r>
          <w:r w:rsidRPr="006B7881">
            <w:rPr>
              <w:rFonts w:eastAsia="Times New Roman"/>
              <w:i/>
              <w:iCs/>
              <w:color w:val="000000"/>
              <w:sz w:val="22"/>
            </w:rPr>
            <w:t>9</w:t>
          </w:r>
          <w:r w:rsidRPr="006B7881">
            <w:rPr>
              <w:rFonts w:eastAsia="Times New Roman"/>
              <w:color w:val="000000"/>
              <w:sz w:val="22"/>
            </w:rPr>
            <w:t>(2), 27–40. https://doi.org/10.3316/QRJ0902027</w:t>
          </w:r>
        </w:p>
        <w:p w14:paraId="76F27BFD" w14:textId="77777777" w:rsidR="006B7881" w:rsidRPr="006B7881" w:rsidRDefault="006B7881" w:rsidP="006B7881">
          <w:pPr>
            <w:autoSpaceDE w:val="0"/>
            <w:autoSpaceDN w:val="0"/>
            <w:spacing w:after="0"/>
            <w:ind w:hanging="480"/>
            <w:divId w:val="2080705717"/>
            <w:rPr>
              <w:rFonts w:eastAsia="Times New Roman"/>
              <w:color w:val="000000"/>
              <w:sz w:val="22"/>
            </w:rPr>
          </w:pPr>
          <w:r w:rsidRPr="006B7881">
            <w:rPr>
              <w:rFonts w:eastAsia="Times New Roman"/>
              <w:color w:val="000000"/>
              <w:sz w:val="22"/>
            </w:rPr>
            <w:t xml:space="preserve">Braun, V., &amp; Clarke, V. (2006). Using thematic analysis in psychology. </w:t>
          </w:r>
          <w:r w:rsidRPr="006B7881">
            <w:rPr>
              <w:rFonts w:eastAsia="Times New Roman"/>
              <w:i/>
              <w:iCs/>
              <w:color w:val="000000"/>
              <w:sz w:val="22"/>
            </w:rPr>
            <w:t>Qualitative Research in Psychology</w:t>
          </w:r>
          <w:r w:rsidRPr="006B7881">
            <w:rPr>
              <w:rFonts w:eastAsia="Times New Roman"/>
              <w:color w:val="000000"/>
              <w:sz w:val="22"/>
            </w:rPr>
            <w:t xml:space="preserve">, </w:t>
          </w:r>
          <w:r w:rsidRPr="006B7881">
            <w:rPr>
              <w:rFonts w:eastAsia="Times New Roman"/>
              <w:i/>
              <w:iCs/>
              <w:color w:val="000000"/>
              <w:sz w:val="22"/>
            </w:rPr>
            <w:t>3</w:t>
          </w:r>
          <w:r w:rsidRPr="006B7881">
            <w:rPr>
              <w:rFonts w:eastAsia="Times New Roman"/>
              <w:color w:val="000000"/>
              <w:sz w:val="22"/>
            </w:rPr>
            <w:t>(2), 77–101. https://doi.org/10.1191/1478088706qp063oa</w:t>
          </w:r>
        </w:p>
        <w:p w14:paraId="4F8B84A8" w14:textId="77777777" w:rsidR="006B7881" w:rsidRPr="006B7881" w:rsidRDefault="006B7881" w:rsidP="006B7881">
          <w:pPr>
            <w:autoSpaceDE w:val="0"/>
            <w:autoSpaceDN w:val="0"/>
            <w:spacing w:after="0"/>
            <w:ind w:hanging="480"/>
            <w:divId w:val="188376249"/>
            <w:rPr>
              <w:rFonts w:eastAsia="Times New Roman"/>
              <w:color w:val="000000"/>
              <w:sz w:val="22"/>
            </w:rPr>
          </w:pPr>
          <w:r w:rsidRPr="006B7881">
            <w:rPr>
              <w:rFonts w:eastAsia="Times New Roman"/>
              <w:color w:val="000000"/>
              <w:sz w:val="22"/>
            </w:rPr>
            <w:t xml:space="preserve">Bryman, A. (2016). </w:t>
          </w:r>
          <w:r w:rsidRPr="006B7881">
            <w:rPr>
              <w:rFonts w:eastAsia="Times New Roman"/>
              <w:i/>
              <w:iCs/>
              <w:color w:val="000000"/>
              <w:sz w:val="22"/>
            </w:rPr>
            <w:t>Social Research Methods</w:t>
          </w:r>
          <w:r w:rsidRPr="006B7881">
            <w:rPr>
              <w:rFonts w:eastAsia="Times New Roman"/>
              <w:color w:val="000000"/>
              <w:sz w:val="22"/>
            </w:rPr>
            <w:t xml:space="preserve"> (Fifth Edition). Oxford University Press.</w:t>
          </w:r>
        </w:p>
        <w:p w14:paraId="366D02AA" w14:textId="77777777" w:rsidR="006B7881" w:rsidRPr="006B7881" w:rsidRDefault="006B7881" w:rsidP="006B7881">
          <w:pPr>
            <w:autoSpaceDE w:val="0"/>
            <w:autoSpaceDN w:val="0"/>
            <w:spacing w:after="0"/>
            <w:ind w:hanging="480"/>
            <w:divId w:val="714738739"/>
            <w:rPr>
              <w:rFonts w:eastAsia="Times New Roman"/>
              <w:color w:val="000000"/>
              <w:sz w:val="22"/>
            </w:rPr>
          </w:pPr>
          <w:proofErr w:type="spellStart"/>
          <w:r w:rsidRPr="006B7881">
            <w:rPr>
              <w:rFonts w:eastAsia="Times New Roman"/>
              <w:color w:val="000000"/>
              <w:sz w:val="22"/>
            </w:rPr>
            <w:t>Cepiku</w:t>
          </w:r>
          <w:proofErr w:type="spellEnd"/>
          <w:r w:rsidRPr="006B7881">
            <w:rPr>
              <w:rFonts w:eastAsia="Times New Roman"/>
              <w:color w:val="000000"/>
              <w:sz w:val="22"/>
            </w:rPr>
            <w:t xml:space="preserve">, D., &amp; </w:t>
          </w:r>
          <w:proofErr w:type="spellStart"/>
          <w:r w:rsidRPr="006B7881">
            <w:rPr>
              <w:rFonts w:eastAsia="Times New Roman"/>
              <w:color w:val="000000"/>
              <w:sz w:val="22"/>
            </w:rPr>
            <w:t>Mastrodascio</w:t>
          </w:r>
          <w:proofErr w:type="spellEnd"/>
          <w:r w:rsidRPr="006B7881">
            <w:rPr>
              <w:rFonts w:eastAsia="Times New Roman"/>
              <w:color w:val="000000"/>
              <w:sz w:val="22"/>
            </w:rPr>
            <w:t xml:space="preserve">, M. (2021). Leadership </w:t>
          </w:r>
          <w:proofErr w:type="spellStart"/>
          <w:r w:rsidRPr="006B7881">
            <w:rPr>
              <w:rFonts w:eastAsia="Times New Roman"/>
              <w:color w:val="000000"/>
              <w:sz w:val="22"/>
            </w:rPr>
            <w:t>behaviours</w:t>
          </w:r>
          <w:proofErr w:type="spellEnd"/>
          <w:r w:rsidRPr="006B7881">
            <w:rPr>
              <w:rFonts w:eastAsia="Times New Roman"/>
              <w:color w:val="000000"/>
              <w:sz w:val="22"/>
            </w:rPr>
            <w:t xml:space="preserve"> in local government networks: an empirical replication study. </w:t>
          </w:r>
          <w:r w:rsidRPr="006B7881">
            <w:rPr>
              <w:rFonts w:eastAsia="Times New Roman"/>
              <w:i/>
              <w:iCs/>
              <w:color w:val="000000"/>
              <w:sz w:val="22"/>
            </w:rPr>
            <w:t>Public Management Review</w:t>
          </w:r>
          <w:r w:rsidRPr="006B7881">
            <w:rPr>
              <w:rFonts w:eastAsia="Times New Roman"/>
              <w:color w:val="000000"/>
              <w:sz w:val="22"/>
            </w:rPr>
            <w:t xml:space="preserve">, </w:t>
          </w:r>
          <w:r w:rsidRPr="006B7881">
            <w:rPr>
              <w:rFonts w:eastAsia="Times New Roman"/>
              <w:i/>
              <w:iCs/>
              <w:color w:val="000000"/>
              <w:sz w:val="22"/>
            </w:rPr>
            <w:t>23</w:t>
          </w:r>
          <w:r w:rsidRPr="006B7881">
            <w:rPr>
              <w:rFonts w:eastAsia="Times New Roman"/>
              <w:color w:val="000000"/>
              <w:sz w:val="22"/>
            </w:rPr>
            <w:t>(3), 354–375. https://doi.org/10.1080/14719037.2019.1679233</w:t>
          </w:r>
        </w:p>
        <w:p w14:paraId="0F0C013D" w14:textId="77777777" w:rsidR="006B7881" w:rsidRPr="006B7881" w:rsidRDefault="006B7881" w:rsidP="006B7881">
          <w:pPr>
            <w:autoSpaceDE w:val="0"/>
            <w:autoSpaceDN w:val="0"/>
            <w:spacing w:after="0"/>
            <w:ind w:hanging="480"/>
            <w:divId w:val="6947455"/>
            <w:rPr>
              <w:rFonts w:eastAsia="Times New Roman"/>
              <w:color w:val="000000"/>
              <w:sz w:val="22"/>
            </w:rPr>
          </w:pPr>
          <w:r w:rsidRPr="006B7881">
            <w:rPr>
              <w:rFonts w:eastAsia="Times New Roman"/>
              <w:color w:val="000000"/>
              <w:sz w:val="22"/>
            </w:rPr>
            <w:t xml:space="preserve">Creswell, J. W., &amp; Vicki, L. P. C. (2017). </w:t>
          </w:r>
          <w:r w:rsidRPr="006B7881">
            <w:rPr>
              <w:rFonts w:eastAsia="Times New Roman"/>
              <w:i/>
              <w:iCs/>
              <w:color w:val="000000"/>
              <w:sz w:val="22"/>
            </w:rPr>
            <w:t>Designing and Conducting Mixed Methods Research</w:t>
          </w:r>
          <w:r w:rsidRPr="006B7881">
            <w:rPr>
              <w:rFonts w:eastAsia="Times New Roman"/>
              <w:color w:val="000000"/>
              <w:sz w:val="22"/>
            </w:rPr>
            <w:t xml:space="preserve"> (Third Edition).</w:t>
          </w:r>
        </w:p>
        <w:p w14:paraId="5A982D97" w14:textId="77777777" w:rsidR="006B7881" w:rsidRPr="006B7881" w:rsidRDefault="006B7881" w:rsidP="006B7881">
          <w:pPr>
            <w:autoSpaceDE w:val="0"/>
            <w:autoSpaceDN w:val="0"/>
            <w:spacing w:after="0"/>
            <w:ind w:hanging="480"/>
            <w:divId w:val="1056395880"/>
            <w:rPr>
              <w:rFonts w:eastAsia="Times New Roman"/>
              <w:color w:val="000000"/>
              <w:sz w:val="22"/>
            </w:rPr>
          </w:pPr>
          <w:r w:rsidRPr="006B7881">
            <w:rPr>
              <w:rFonts w:eastAsia="Times New Roman"/>
              <w:color w:val="000000"/>
              <w:sz w:val="22"/>
            </w:rPr>
            <w:t xml:space="preserve">Curato, N., </w:t>
          </w:r>
          <w:proofErr w:type="spellStart"/>
          <w:r w:rsidRPr="006B7881">
            <w:rPr>
              <w:rFonts w:eastAsia="Times New Roman"/>
              <w:color w:val="000000"/>
              <w:sz w:val="22"/>
            </w:rPr>
            <w:t>Dryzek</w:t>
          </w:r>
          <w:proofErr w:type="spellEnd"/>
          <w:r w:rsidRPr="006B7881">
            <w:rPr>
              <w:rFonts w:eastAsia="Times New Roman"/>
              <w:color w:val="000000"/>
              <w:sz w:val="22"/>
            </w:rPr>
            <w:t xml:space="preserve">, J. S., Ercan, S. A., Hendriks, C. M., &amp; Niemeyer, S. (2017). Twelve Key Findings in Deliberative Democracy Research. </w:t>
          </w:r>
          <w:r w:rsidRPr="006B7881">
            <w:rPr>
              <w:rFonts w:eastAsia="Times New Roman"/>
              <w:i/>
              <w:iCs/>
              <w:color w:val="000000"/>
              <w:sz w:val="22"/>
            </w:rPr>
            <w:t>Daedalus</w:t>
          </w:r>
          <w:r w:rsidRPr="006B7881">
            <w:rPr>
              <w:rFonts w:eastAsia="Times New Roman"/>
              <w:color w:val="000000"/>
              <w:sz w:val="22"/>
            </w:rPr>
            <w:t xml:space="preserve">, </w:t>
          </w:r>
          <w:r w:rsidRPr="006B7881">
            <w:rPr>
              <w:rFonts w:eastAsia="Times New Roman"/>
              <w:i/>
              <w:iCs/>
              <w:color w:val="000000"/>
              <w:sz w:val="22"/>
            </w:rPr>
            <w:t>146</w:t>
          </w:r>
          <w:r w:rsidRPr="006B7881">
            <w:rPr>
              <w:rFonts w:eastAsia="Times New Roman"/>
              <w:color w:val="000000"/>
              <w:sz w:val="22"/>
            </w:rPr>
            <w:t>(3), 28–38. https://doi.org/10.1162/DAED_a_00444</w:t>
          </w:r>
        </w:p>
        <w:p w14:paraId="1B19EF0C" w14:textId="77777777" w:rsidR="006B7881" w:rsidRPr="006B7881" w:rsidRDefault="006B7881" w:rsidP="006B7881">
          <w:pPr>
            <w:autoSpaceDE w:val="0"/>
            <w:autoSpaceDN w:val="0"/>
            <w:spacing w:after="0"/>
            <w:ind w:hanging="480"/>
            <w:divId w:val="319236925"/>
            <w:rPr>
              <w:rFonts w:eastAsia="Times New Roman"/>
              <w:color w:val="000000"/>
              <w:sz w:val="22"/>
            </w:rPr>
          </w:pPr>
          <w:r w:rsidRPr="006B7881">
            <w:rPr>
              <w:rFonts w:eastAsia="Times New Roman"/>
              <w:color w:val="000000"/>
              <w:sz w:val="22"/>
            </w:rPr>
            <w:t xml:space="preserve">Flick, U. (2018). </w:t>
          </w:r>
          <w:r w:rsidRPr="006B7881">
            <w:rPr>
              <w:rFonts w:eastAsia="Times New Roman"/>
              <w:i/>
              <w:iCs/>
              <w:color w:val="000000"/>
              <w:sz w:val="22"/>
            </w:rPr>
            <w:t>An Introduction to Qualitative Research</w:t>
          </w:r>
          <w:r w:rsidRPr="006B7881">
            <w:rPr>
              <w:rFonts w:eastAsia="Times New Roman"/>
              <w:color w:val="000000"/>
              <w:sz w:val="22"/>
            </w:rPr>
            <w:t xml:space="preserve"> (7th Edition). SAGE Publications Ltd.</w:t>
          </w:r>
        </w:p>
        <w:p w14:paraId="4CF45622" w14:textId="77777777" w:rsidR="006B7881" w:rsidRPr="006B7881" w:rsidRDefault="006B7881" w:rsidP="006B7881">
          <w:pPr>
            <w:autoSpaceDE w:val="0"/>
            <w:autoSpaceDN w:val="0"/>
            <w:spacing w:after="0"/>
            <w:ind w:hanging="480"/>
            <w:divId w:val="1666860224"/>
            <w:rPr>
              <w:rFonts w:eastAsia="Times New Roman"/>
              <w:color w:val="000000"/>
              <w:sz w:val="22"/>
            </w:rPr>
          </w:pPr>
          <w:r w:rsidRPr="006B7881">
            <w:rPr>
              <w:rFonts w:eastAsia="Times New Roman"/>
              <w:color w:val="000000"/>
              <w:sz w:val="22"/>
            </w:rPr>
            <w:t xml:space="preserve">Fox, J. A. (2015). Social Accountability: What Does the Evidence Really Say? </w:t>
          </w:r>
          <w:r w:rsidRPr="006B7881">
            <w:rPr>
              <w:rFonts w:eastAsia="Times New Roman"/>
              <w:i/>
              <w:iCs/>
              <w:color w:val="000000"/>
              <w:sz w:val="22"/>
            </w:rPr>
            <w:t>World Development</w:t>
          </w:r>
          <w:r w:rsidRPr="006B7881">
            <w:rPr>
              <w:rFonts w:eastAsia="Times New Roman"/>
              <w:color w:val="000000"/>
              <w:sz w:val="22"/>
            </w:rPr>
            <w:t xml:space="preserve">, </w:t>
          </w:r>
          <w:r w:rsidRPr="006B7881">
            <w:rPr>
              <w:rFonts w:eastAsia="Times New Roman"/>
              <w:i/>
              <w:iCs/>
              <w:color w:val="000000"/>
              <w:sz w:val="22"/>
            </w:rPr>
            <w:t>72</w:t>
          </w:r>
          <w:r w:rsidRPr="006B7881">
            <w:rPr>
              <w:rFonts w:eastAsia="Times New Roman"/>
              <w:color w:val="000000"/>
              <w:sz w:val="22"/>
            </w:rPr>
            <w:t>, 346–361. https://doi.org/10.1016/j.worlddev.2015.03.011</w:t>
          </w:r>
        </w:p>
        <w:p w14:paraId="549927B9" w14:textId="77777777" w:rsidR="006B7881" w:rsidRPr="006B7881" w:rsidRDefault="006B7881" w:rsidP="006B7881">
          <w:pPr>
            <w:autoSpaceDE w:val="0"/>
            <w:autoSpaceDN w:val="0"/>
            <w:spacing w:after="0"/>
            <w:ind w:hanging="480"/>
            <w:divId w:val="444427708"/>
            <w:rPr>
              <w:rFonts w:eastAsia="Times New Roman"/>
              <w:color w:val="000000"/>
              <w:sz w:val="22"/>
            </w:rPr>
          </w:pPr>
          <w:r w:rsidRPr="006B7881">
            <w:rPr>
              <w:rFonts w:eastAsia="Times New Roman"/>
              <w:color w:val="000000"/>
              <w:sz w:val="22"/>
            </w:rPr>
            <w:t xml:space="preserve">Fung, A. (2015). Putting the Public Back into Governance: The Challenges of Citizen Participation and Its Future. </w:t>
          </w:r>
          <w:r w:rsidRPr="006B7881">
            <w:rPr>
              <w:rFonts w:eastAsia="Times New Roman"/>
              <w:i/>
              <w:iCs/>
              <w:color w:val="000000"/>
              <w:sz w:val="22"/>
            </w:rPr>
            <w:t>Public Administration Review</w:t>
          </w:r>
          <w:r w:rsidRPr="006B7881">
            <w:rPr>
              <w:rFonts w:eastAsia="Times New Roman"/>
              <w:color w:val="000000"/>
              <w:sz w:val="22"/>
            </w:rPr>
            <w:t xml:space="preserve">, </w:t>
          </w:r>
          <w:r w:rsidRPr="006B7881">
            <w:rPr>
              <w:rFonts w:eastAsia="Times New Roman"/>
              <w:i/>
              <w:iCs/>
              <w:color w:val="000000"/>
              <w:sz w:val="22"/>
            </w:rPr>
            <w:t>75</w:t>
          </w:r>
          <w:r w:rsidRPr="006B7881">
            <w:rPr>
              <w:rFonts w:eastAsia="Times New Roman"/>
              <w:color w:val="000000"/>
              <w:sz w:val="22"/>
            </w:rPr>
            <w:t>(4), 513–522. https://doi.org/10.1111/puar.12361</w:t>
          </w:r>
        </w:p>
        <w:p w14:paraId="1295C817" w14:textId="77777777" w:rsidR="006B7881" w:rsidRPr="006B7881" w:rsidRDefault="006B7881" w:rsidP="006B7881">
          <w:pPr>
            <w:autoSpaceDE w:val="0"/>
            <w:autoSpaceDN w:val="0"/>
            <w:spacing w:after="0"/>
            <w:ind w:hanging="480"/>
            <w:divId w:val="1623923796"/>
            <w:rPr>
              <w:rFonts w:eastAsia="Times New Roman"/>
              <w:color w:val="000000"/>
              <w:sz w:val="22"/>
            </w:rPr>
          </w:pPr>
          <w:r w:rsidRPr="006B7881">
            <w:rPr>
              <w:rFonts w:eastAsia="Times New Roman"/>
              <w:color w:val="000000"/>
              <w:sz w:val="22"/>
            </w:rPr>
            <w:t xml:space="preserve">Holum, M. (2023). Citizen Participation: Linking Government Efforts, Actual Participation, and Trust in Local Politicians. </w:t>
          </w:r>
          <w:r w:rsidRPr="006B7881">
            <w:rPr>
              <w:rFonts w:eastAsia="Times New Roman"/>
              <w:i/>
              <w:iCs/>
              <w:color w:val="000000"/>
              <w:sz w:val="22"/>
            </w:rPr>
            <w:t>International Journal of Public Administration</w:t>
          </w:r>
          <w:r w:rsidRPr="006B7881">
            <w:rPr>
              <w:rFonts w:eastAsia="Times New Roman"/>
              <w:color w:val="000000"/>
              <w:sz w:val="22"/>
            </w:rPr>
            <w:t xml:space="preserve">, </w:t>
          </w:r>
          <w:r w:rsidRPr="006B7881">
            <w:rPr>
              <w:rFonts w:eastAsia="Times New Roman"/>
              <w:i/>
              <w:iCs/>
              <w:color w:val="000000"/>
              <w:sz w:val="22"/>
            </w:rPr>
            <w:t>46</w:t>
          </w:r>
          <w:r w:rsidRPr="006B7881">
            <w:rPr>
              <w:rFonts w:eastAsia="Times New Roman"/>
              <w:color w:val="000000"/>
              <w:sz w:val="22"/>
            </w:rPr>
            <w:t>(13), 915–925. https://doi.org/10.1080/01900692.2022.2048667</w:t>
          </w:r>
        </w:p>
        <w:p w14:paraId="1729D2B4" w14:textId="77777777" w:rsidR="006B7881" w:rsidRPr="006B7881" w:rsidRDefault="006B7881" w:rsidP="006B7881">
          <w:pPr>
            <w:autoSpaceDE w:val="0"/>
            <w:autoSpaceDN w:val="0"/>
            <w:spacing w:after="0"/>
            <w:ind w:hanging="480"/>
            <w:divId w:val="1129588089"/>
            <w:rPr>
              <w:rFonts w:eastAsia="Times New Roman"/>
              <w:color w:val="000000"/>
              <w:sz w:val="22"/>
            </w:rPr>
          </w:pPr>
          <w:r w:rsidRPr="006B7881">
            <w:rPr>
              <w:rFonts w:eastAsia="Times New Roman"/>
              <w:color w:val="000000"/>
              <w:sz w:val="22"/>
            </w:rPr>
            <w:t xml:space="preserve">Ishii, R. (2017). Community Participation in Local Governance – An Empirical Analysis of Urbanized Local Governments in the Philippines and Uganda. </w:t>
          </w:r>
          <w:r w:rsidRPr="006B7881">
            <w:rPr>
              <w:rFonts w:eastAsia="Times New Roman"/>
              <w:i/>
              <w:iCs/>
              <w:color w:val="000000"/>
              <w:sz w:val="22"/>
            </w:rPr>
            <w:t>International Journal of Public Administration</w:t>
          </w:r>
          <w:r w:rsidRPr="006B7881">
            <w:rPr>
              <w:rFonts w:eastAsia="Times New Roman"/>
              <w:color w:val="000000"/>
              <w:sz w:val="22"/>
            </w:rPr>
            <w:t xml:space="preserve">, </w:t>
          </w:r>
          <w:r w:rsidRPr="006B7881">
            <w:rPr>
              <w:rFonts w:eastAsia="Times New Roman"/>
              <w:i/>
              <w:iCs/>
              <w:color w:val="000000"/>
              <w:sz w:val="22"/>
            </w:rPr>
            <w:t>40</w:t>
          </w:r>
          <w:r w:rsidRPr="006B7881">
            <w:rPr>
              <w:rFonts w:eastAsia="Times New Roman"/>
              <w:color w:val="000000"/>
              <w:sz w:val="22"/>
            </w:rPr>
            <w:t>(11), 907–917. https://doi.org/10.1080/01900692.2016.1242610</w:t>
          </w:r>
        </w:p>
        <w:p w14:paraId="3A850DA5" w14:textId="77777777" w:rsidR="006B7881" w:rsidRPr="006B7881" w:rsidRDefault="006B7881" w:rsidP="006B7881">
          <w:pPr>
            <w:autoSpaceDE w:val="0"/>
            <w:autoSpaceDN w:val="0"/>
            <w:spacing w:after="0"/>
            <w:ind w:hanging="480"/>
            <w:divId w:val="416562310"/>
            <w:rPr>
              <w:rFonts w:eastAsia="Times New Roman"/>
              <w:color w:val="000000"/>
              <w:sz w:val="22"/>
            </w:rPr>
          </w:pPr>
          <w:r w:rsidRPr="006B7881">
            <w:rPr>
              <w:rFonts w:eastAsia="Times New Roman"/>
              <w:color w:val="000000"/>
              <w:sz w:val="22"/>
            </w:rPr>
            <w:lastRenderedPageBreak/>
            <w:t xml:space="preserve">Johnston, M. P. (2014). Secondary Data Analysis: A Method of which the Time Has Come. </w:t>
          </w:r>
          <w:r w:rsidRPr="006B7881">
            <w:rPr>
              <w:rFonts w:eastAsia="Times New Roman"/>
              <w:i/>
              <w:iCs/>
              <w:color w:val="000000"/>
              <w:sz w:val="22"/>
            </w:rPr>
            <w:t>Qualitative and Quantitative Methods in Libraries (QQML)</w:t>
          </w:r>
          <w:r w:rsidRPr="006B7881">
            <w:rPr>
              <w:rFonts w:eastAsia="Times New Roman"/>
              <w:color w:val="000000"/>
              <w:sz w:val="22"/>
            </w:rPr>
            <w:t xml:space="preserve">, </w:t>
          </w:r>
          <w:r w:rsidRPr="006B7881">
            <w:rPr>
              <w:rFonts w:eastAsia="Times New Roman"/>
              <w:i/>
              <w:iCs/>
              <w:color w:val="000000"/>
              <w:sz w:val="22"/>
            </w:rPr>
            <w:t>3</w:t>
          </w:r>
          <w:r w:rsidRPr="006B7881">
            <w:rPr>
              <w:rFonts w:eastAsia="Times New Roman"/>
              <w:color w:val="000000"/>
              <w:sz w:val="22"/>
            </w:rPr>
            <w:t>, 619–626.</w:t>
          </w:r>
        </w:p>
        <w:p w14:paraId="1D694D02" w14:textId="77777777" w:rsidR="006B7881" w:rsidRPr="006B7881" w:rsidRDefault="006B7881" w:rsidP="006B7881">
          <w:pPr>
            <w:autoSpaceDE w:val="0"/>
            <w:autoSpaceDN w:val="0"/>
            <w:spacing w:after="0"/>
            <w:ind w:hanging="480"/>
            <w:divId w:val="1879076501"/>
            <w:rPr>
              <w:rFonts w:eastAsia="Times New Roman"/>
              <w:color w:val="000000"/>
              <w:sz w:val="22"/>
            </w:rPr>
          </w:pPr>
          <w:proofErr w:type="spellStart"/>
          <w:r w:rsidRPr="006B7881">
            <w:rPr>
              <w:rFonts w:eastAsia="Times New Roman"/>
              <w:color w:val="000000"/>
              <w:sz w:val="22"/>
            </w:rPr>
            <w:t>Kakumba</w:t>
          </w:r>
          <w:proofErr w:type="spellEnd"/>
          <w:r w:rsidRPr="006B7881">
            <w:rPr>
              <w:rFonts w:eastAsia="Times New Roman"/>
              <w:color w:val="000000"/>
              <w:sz w:val="22"/>
            </w:rPr>
            <w:t xml:space="preserve">, U. (2010). Local government citizen participation and rural development: reflections on Uganda’s decentralization system. </w:t>
          </w:r>
          <w:r w:rsidRPr="006B7881">
            <w:rPr>
              <w:rFonts w:eastAsia="Times New Roman"/>
              <w:i/>
              <w:iCs/>
              <w:color w:val="000000"/>
              <w:sz w:val="22"/>
            </w:rPr>
            <w:t>International Review of Administrative Sciences</w:t>
          </w:r>
          <w:r w:rsidRPr="006B7881">
            <w:rPr>
              <w:rFonts w:eastAsia="Times New Roman"/>
              <w:color w:val="000000"/>
              <w:sz w:val="22"/>
            </w:rPr>
            <w:t xml:space="preserve">, </w:t>
          </w:r>
          <w:r w:rsidRPr="006B7881">
            <w:rPr>
              <w:rFonts w:eastAsia="Times New Roman"/>
              <w:i/>
              <w:iCs/>
              <w:color w:val="000000"/>
              <w:sz w:val="22"/>
            </w:rPr>
            <w:t>76</w:t>
          </w:r>
          <w:r w:rsidRPr="006B7881">
            <w:rPr>
              <w:rFonts w:eastAsia="Times New Roman"/>
              <w:color w:val="000000"/>
              <w:sz w:val="22"/>
            </w:rPr>
            <w:t>(1), 171–186. https://doi.org/10.1177/0020852309359049</w:t>
          </w:r>
        </w:p>
        <w:p w14:paraId="6BBC05F0" w14:textId="77777777" w:rsidR="006B7881" w:rsidRPr="006B7881" w:rsidRDefault="006B7881" w:rsidP="006B7881">
          <w:pPr>
            <w:autoSpaceDE w:val="0"/>
            <w:autoSpaceDN w:val="0"/>
            <w:spacing w:after="0"/>
            <w:ind w:hanging="480"/>
            <w:divId w:val="1892575894"/>
            <w:rPr>
              <w:rFonts w:eastAsia="Times New Roman"/>
              <w:color w:val="000000"/>
              <w:sz w:val="22"/>
            </w:rPr>
          </w:pPr>
          <w:r w:rsidRPr="006B7881">
            <w:rPr>
              <w:rFonts w:eastAsia="Times New Roman"/>
              <w:color w:val="000000"/>
              <w:sz w:val="22"/>
            </w:rPr>
            <w:t xml:space="preserve">Lambright, G. M. </w:t>
          </w:r>
          <w:proofErr w:type="gramStart"/>
          <w:r w:rsidRPr="006B7881">
            <w:rPr>
              <w:rFonts w:eastAsia="Times New Roman"/>
              <w:color w:val="000000"/>
              <w:sz w:val="22"/>
            </w:rPr>
            <w:t>S. .</w:t>
          </w:r>
          <w:proofErr w:type="gramEnd"/>
          <w:r w:rsidRPr="006B7881">
            <w:rPr>
              <w:rFonts w:eastAsia="Times New Roman"/>
              <w:color w:val="000000"/>
              <w:sz w:val="22"/>
            </w:rPr>
            <w:t xml:space="preserve"> (2011). </w:t>
          </w:r>
          <w:r w:rsidRPr="006B7881">
            <w:rPr>
              <w:rFonts w:eastAsia="Times New Roman"/>
              <w:i/>
              <w:iCs/>
              <w:color w:val="000000"/>
              <w:sz w:val="22"/>
            </w:rPr>
            <w:t>Decentralization in Uganda : explaining successes and failures in local governance</w:t>
          </w:r>
          <w:r w:rsidRPr="006B7881">
            <w:rPr>
              <w:rFonts w:eastAsia="Times New Roman"/>
              <w:color w:val="000000"/>
              <w:sz w:val="22"/>
            </w:rPr>
            <w:t xml:space="preserve">. </w:t>
          </w:r>
          <w:proofErr w:type="spellStart"/>
          <w:r w:rsidRPr="006B7881">
            <w:rPr>
              <w:rFonts w:eastAsia="Times New Roman"/>
              <w:color w:val="000000"/>
              <w:sz w:val="22"/>
            </w:rPr>
            <w:t>FirstForumPress</w:t>
          </w:r>
          <w:proofErr w:type="spellEnd"/>
          <w:r w:rsidRPr="006B7881">
            <w:rPr>
              <w:rFonts w:eastAsia="Times New Roman"/>
              <w:color w:val="000000"/>
              <w:sz w:val="22"/>
            </w:rPr>
            <w:t>.</w:t>
          </w:r>
        </w:p>
        <w:p w14:paraId="273CBB94" w14:textId="77777777" w:rsidR="006B7881" w:rsidRPr="006B7881" w:rsidRDefault="006B7881" w:rsidP="006B7881">
          <w:pPr>
            <w:autoSpaceDE w:val="0"/>
            <w:autoSpaceDN w:val="0"/>
            <w:spacing w:after="0"/>
            <w:ind w:hanging="480"/>
            <w:divId w:val="324357625"/>
            <w:rPr>
              <w:rFonts w:eastAsia="Times New Roman"/>
              <w:color w:val="000000"/>
              <w:sz w:val="22"/>
            </w:rPr>
          </w:pPr>
          <w:r w:rsidRPr="006B7881">
            <w:rPr>
              <w:rFonts w:eastAsia="Times New Roman"/>
              <w:color w:val="000000"/>
              <w:sz w:val="22"/>
            </w:rPr>
            <w:t xml:space="preserve">Meijer, A. (2015). E-governance innovation: Barriers and strategies. </w:t>
          </w:r>
          <w:r w:rsidRPr="006B7881">
            <w:rPr>
              <w:rFonts w:eastAsia="Times New Roman"/>
              <w:i/>
              <w:iCs/>
              <w:color w:val="000000"/>
              <w:sz w:val="22"/>
            </w:rPr>
            <w:t>Government Information Quarterly</w:t>
          </w:r>
          <w:r w:rsidRPr="006B7881">
            <w:rPr>
              <w:rFonts w:eastAsia="Times New Roman"/>
              <w:color w:val="000000"/>
              <w:sz w:val="22"/>
            </w:rPr>
            <w:t xml:space="preserve">, </w:t>
          </w:r>
          <w:r w:rsidRPr="006B7881">
            <w:rPr>
              <w:rFonts w:eastAsia="Times New Roman"/>
              <w:i/>
              <w:iCs/>
              <w:color w:val="000000"/>
              <w:sz w:val="22"/>
            </w:rPr>
            <w:t>32</w:t>
          </w:r>
          <w:r w:rsidRPr="006B7881">
            <w:rPr>
              <w:rFonts w:eastAsia="Times New Roman"/>
              <w:color w:val="000000"/>
              <w:sz w:val="22"/>
            </w:rPr>
            <w:t>(2), 198–206. https://doi.org/10.1016/j.giq.2015.01.001</w:t>
          </w:r>
        </w:p>
        <w:p w14:paraId="5FF4EC1D" w14:textId="77777777" w:rsidR="006B7881" w:rsidRPr="006B7881" w:rsidRDefault="006B7881" w:rsidP="006B7881">
          <w:pPr>
            <w:autoSpaceDE w:val="0"/>
            <w:autoSpaceDN w:val="0"/>
            <w:spacing w:after="0"/>
            <w:ind w:hanging="480"/>
            <w:divId w:val="1885023559"/>
            <w:rPr>
              <w:rFonts w:eastAsia="Times New Roman"/>
              <w:color w:val="000000"/>
              <w:sz w:val="22"/>
            </w:rPr>
          </w:pPr>
          <w:r w:rsidRPr="006B7881">
            <w:rPr>
              <w:rFonts w:eastAsia="Times New Roman"/>
              <w:color w:val="000000"/>
              <w:sz w:val="22"/>
            </w:rPr>
            <w:t xml:space="preserve">Michels, A., &amp; De Graaf, L. (2017). Examining citizen participation: local participatory policymaking and democracy revisited. </w:t>
          </w:r>
          <w:r w:rsidRPr="006B7881">
            <w:rPr>
              <w:rFonts w:eastAsia="Times New Roman"/>
              <w:i/>
              <w:iCs/>
              <w:color w:val="000000"/>
              <w:sz w:val="22"/>
            </w:rPr>
            <w:t>Local Government Studies</w:t>
          </w:r>
          <w:r w:rsidRPr="006B7881">
            <w:rPr>
              <w:rFonts w:eastAsia="Times New Roman"/>
              <w:color w:val="000000"/>
              <w:sz w:val="22"/>
            </w:rPr>
            <w:t xml:space="preserve">, </w:t>
          </w:r>
          <w:r w:rsidRPr="006B7881">
            <w:rPr>
              <w:rFonts w:eastAsia="Times New Roman"/>
              <w:i/>
              <w:iCs/>
              <w:color w:val="000000"/>
              <w:sz w:val="22"/>
            </w:rPr>
            <w:t>43</w:t>
          </w:r>
          <w:r w:rsidRPr="006B7881">
            <w:rPr>
              <w:rFonts w:eastAsia="Times New Roman"/>
              <w:color w:val="000000"/>
              <w:sz w:val="22"/>
            </w:rPr>
            <w:t>(6), 875–881. https://doi.org/10.1080/03003930.2017.1365712</w:t>
          </w:r>
        </w:p>
        <w:p w14:paraId="5212FC16" w14:textId="77777777" w:rsidR="006B7881" w:rsidRPr="006B7881" w:rsidRDefault="006B7881" w:rsidP="006B7881">
          <w:pPr>
            <w:autoSpaceDE w:val="0"/>
            <w:autoSpaceDN w:val="0"/>
            <w:spacing w:after="0"/>
            <w:ind w:hanging="480"/>
            <w:divId w:val="610479964"/>
            <w:rPr>
              <w:rFonts w:eastAsia="Times New Roman"/>
              <w:color w:val="000000"/>
              <w:sz w:val="22"/>
            </w:rPr>
          </w:pPr>
          <w:r w:rsidRPr="006B7881">
            <w:rPr>
              <w:rFonts w:eastAsia="Times New Roman"/>
              <w:color w:val="000000"/>
              <w:sz w:val="22"/>
            </w:rPr>
            <w:t xml:space="preserve">Mwesigwa, D., Bogere, M., &amp; Ogwal, J. B. (2022). Local citizen participation in Uganda: Examining the political, administrative and financial aspects in Hoima district. </w:t>
          </w:r>
          <w:r w:rsidRPr="006B7881">
            <w:rPr>
              <w:rFonts w:eastAsia="Times New Roman"/>
              <w:i/>
              <w:iCs/>
              <w:color w:val="000000"/>
              <w:sz w:val="22"/>
            </w:rPr>
            <w:t>Journal of Governance and Accountability Studies</w:t>
          </w:r>
          <w:r w:rsidRPr="006B7881">
            <w:rPr>
              <w:rFonts w:eastAsia="Times New Roman"/>
              <w:color w:val="000000"/>
              <w:sz w:val="22"/>
            </w:rPr>
            <w:t xml:space="preserve">, </w:t>
          </w:r>
          <w:r w:rsidRPr="006B7881">
            <w:rPr>
              <w:rFonts w:eastAsia="Times New Roman"/>
              <w:i/>
              <w:iCs/>
              <w:color w:val="000000"/>
              <w:sz w:val="22"/>
            </w:rPr>
            <w:t>2</w:t>
          </w:r>
          <w:r w:rsidRPr="006B7881">
            <w:rPr>
              <w:rFonts w:eastAsia="Times New Roman"/>
              <w:color w:val="000000"/>
              <w:sz w:val="22"/>
            </w:rPr>
            <w:t>(1), 49–63. https://doi.org/10.35912/jgas.v2i1.892</w:t>
          </w:r>
        </w:p>
        <w:p w14:paraId="3D5DB2E1" w14:textId="77777777" w:rsidR="006B7881" w:rsidRPr="006B7881" w:rsidRDefault="006B7881" w:rsidP="006B7881">
          <w:pPr>
            <w:autoSpaceDE w:val="0"/>
            <w:autoSpaceDN w:val="0"/>
            <w:spacing w:after="0"/>
            <w:ind w:hanging="480"/>
            <w:divId w:val="1706325328"/>
            <w:rPr>
              <w:rFonts w:eastAsia="Times New Roman"/>
              <w:color w:val="000000"/>
              <w:sz w:val="22"/>
            </w:rPr>
          </w:pPr>
          <w:proofErr w:type="spellStart"/>
          <w:r w:rsidRPr="006B7881">
            <w:rPr>
              <w:rFonts w:eastAsia="Times New Roman"/>
              <w:color w:val="000000"/>
              <w:sz w:val="22"/>
            </w:rPr>
            <w:t>Nabatchi</w:t>
          </w:r>
          <w:proofErr w:type="spellEnd"/>
          <w:r w:rsidRPr="006B7881">
            <w:rPr>
              <w:rFonts w:eastAsia="Times New Roman"/>
              <w:color w:val="000000"/>
              <w:sz w:val="22"/>
            </w:rPr>
            <w:t xml:space="preserve">, T., &amp; </w:t>
          </w:r>
          <w:proofErr w:type="spellStart"/>
          <w:r w:rsidRPr="006B7881">
            <w:rPr>
              <w:rFonts w:eastAsia="Times New Roman"/>
              <w:color w:val="000000"/>
              <w:sz w:val="22"/>
            </w:rPr>
            <w:t>Leighninger</w:t>
          </w:r>
          <w:proofErr w:type="spellEnd"/>
          <w:r w:rsidRPr="006B7881">
            <w:rPr>
              <w:rFonts w:eastAsia="Times New Roman"/>
              <w:color w:val="000000"/>
              <w:sz w:val="22"/>
            </w:rPr>
            <w:t xml:space="preserve">, M. (2015). </w:t>
          </w:r>
          <w:r w:rsidRPr="006B7881">
            <w:rPr>
              <w:rFonts w:eastAsia="Times New Roman"/>
              <w:i/>
              <w:iCs/>
              <w:color w:val="000000"/>
              <w:sz w:val="22"/>
            </w:rPr>
            <w:t>Public Participation for 21st Century Democracy</w:t>
          </w:r>
          <w:r w:rsidRPr="006B7881">
            <w:rPr>
              <w:rFonts w:eastAsia="Times New Roman"/>
              <w:color w:val="000000"/>
              <w:sz w:val="22"/>
            </w:rPr>
            <w:t xml:space="preserve"> (T. </w:t>
          </w:r>
          <w:proofErr w:type="spellStart"/>
          <w:r w:rsidRPr="006B7881">
            <w:rPr>
              <w:rFonts w:eastAsia="Times New Roman"/>
              <w:color w:val="000000"/>
              <w:sz w:val="22"/>
            </w:rPr>
            <w:t>Nabatchi</w:t>
          </w:r>
          <w:proofErr w:type="spellEnd"/>
          <w:r w:rsidRPr="006B7881">
            <w:rPr>
              <w:rFonts w:eastAsia="Times New Roman"/>
              <w:color w:val="000000"/>
              <w:sz w:val="22"/>
            </w:rPr>
            <w:t xml:space="preserve"> &amp; M. </w:t>
          </w:r>
          <w:proofErr w:type="spellStart"/>
          <w:r w:rsidRPr="006B7881">
            <w:rPr>
              <w:rFonts w:eastAsia="Times New Roman"/>
              <w:color w:val="000000"/>
              <w:sz w:val="22"/>
            </w:rPr>
            <w:t>Leighninger</w:t>
          </w:r>
          <w:proofErr w:type="spellEnd"/>
          <w:r w:rsidRPr="006B7881">
            <w:rPr>
              <w:rFonts w:eastAsia="Times New Roman"/>
              <w:color w:val="000000"/>
              <w:sz w:val="22"/>
            </w:rPr>
            <w:t>, Eds.). Wiley. https://doi.org/10.1002/9781119154815</w:t>
          </w:r>
        </w:p>
        <w:p w14:paraId="4EA4483D" w14:textId="77777777" w:rsidR="006B7881" w:rsidRPr="006B7881" w:rsidRDefault="006B7881" w:rsidP="006B7881">
          <w:pPr>
            <w:autoSpaceDE w:val="0"/>
            <w:autoSpaceDN w:val="0"/>
            <w:spacing w:after="0"/>
            <w:ind w:hanging="480"/>
            <w:divId w:val="911543545"/>
            <w:rPr>
              <w:rFonts w:eastAsia="Times New Roman"/>
              <w:color w:val="000000"/>
              <w:sz w:val="22"/>
            </w:rPr>
          </w:pPr>
          <w:r w:rsidRPr="006B7881">
            <w:rPr>
              <w:rFonts w:eastAsia="Times New Roman"/>
              <w:color w:val="000000"/>
              <w:sz w:val="22"/>
            </w:rPr>
            <w:t xml:space="preserve">Pateman, C. (2012). Participatory Democracy Revisited. </w:t>
          </w:r>
          <w:r w:rsidRPr="006B7881">
            <w:rPr>
              <w:rFonts w:eastAsia="Times New Roman"/>
              <w:i/>
              <w:iCs/>
              <w:color w:val="000000"/>
              <w:sz w:val="22"/>
            </w:rPr>
            <w:t>Perspectives on Politics</w:t>
          </w:r>
          <w:r w:rsidRPr="006B7881">
            <w:rPr>
              <w:rFonts w:eastAsia="Times New Roman"/>
              <w:color w:val="000000"/>
              <w:sz w:val="22"/>
            </w:rPr>
            <w:t xml:space="preserve">, </w:t>
          </w:r>
          <w:r w:rsidRPr="006B7881">
            <w:rPr>
              <w:rFonts w:eastAsia="Times New Roman"/>
              <w:i/>
              <w:iCs/>
              <w:color w:val="000000"/>
              <w:sz w:val="22"/>
            </w:rPr>
            <w:t>10</w:t>
          </w:r>
          <w:r w:rsidRPr="006B7881">
            <w:rPr>
              <w:rFonts w:eastAsia="Times New Roman"/>
              <w:color w:val="000000"/>
              <w:sz w:val="22"/>
            </w:rPr>
            <w:t>(1), 7–19. https://doi.org/10.1017/S1537592711004877</w:t>
          </w:r>
        </w:p>
        <w:p w14:paraId="0F743896" w14:textId="77777777" w:rsidR="006B7881" w:rsidRPr="006B7881" w:rsidRDefault="006B7881" w:rsidP="006B7881">
          <w:pPr>
            <w:autoSpaceDE w:val="0"/>
            <w:autoSpaceDN w:val="0"/>
            <w:spacing w:after="0"/>
            <w:ind w:hanging="480"/>
            <w:divId w:val="962536365"/>
            <w:rPr>
              <w:rFonts w:eastAsia="Times New Roman"/>
              <w:color w:val="000000"/>
              <w:sz w:val="22"/>
            </w:rPr>
          </w:pPr>
          <w:r w:rsidRPr="006B7881">
            <w:rPr>
              <w:rFonts w:eastAsia="Times New Roman"/>
              <w:color w:val="000000"/>
              <w:sz w:val="22"/>
            </w:rPr>
            <w:t xml:space="preserve">Quick, K. S., &amp; Bryson, J. M. (2022). Public participation. In </w:t>
          </w:r>
          <w:r w:rsidRPr="006B7881">
            <w:rPr>
              <w:rFonts w:eastAsia="Times New Roman"/>
              <w:i/>
              <w:iCs/>
              <w:color w:val="000000"/>
              <w:sz w:val="22"/>
            </w:rPr>
            <w:t>Handbook on Theories of Governance</w:t>
          </w:r>
          <w:r w:rsidRPr="006B7881">
            <w:rPr>
              <w:rFonts w:eastAsia="Times New Roman"/>
              <w:color w:val="000000"/>
              <w:sz w:val="22"/>
            </w:rPr>
            <w:t>. Edward Elgar Publishing. https://doi.org/10.4337/9781800371972.00022</w:t>
          </w:r>
        </w:p>
        <w:p w14:paraId="78AB7F99" w14:textId="77777777" w:rsidR="006B7881" w:rsidRPr="006B7881" w:rsidRDefault="006B7881" w:rsidP="006B7881">
          <w:pPr>
            <w:autoSpaceDE w:val="0"/>
            <w:autoSpaceDN w:val="0"/>
            <w:spacing w:after="0"/>
            <w:ind w:hanging="480"/>
            <w:divId w:val="781798729"/>
            <w:rPr>
              <w:rFonts w:eastAsia="Times New Roman"/>
              <w:color w:val="000000"/>
              <w:sz w:val="22"/>
            </w:rPr>
          </w:pPr>
          <w:r w:rsidRPr="006B7881">
            <w:rPr>
              <w:rFonts w:eastAsia="Times New Roman"/>
              <w:color w:val="000000"/>
              <w:sz w:val="22"/>
            </w:rPr>
            <w:t xml:space="preserve">Silverman, D. (2017). </w:t>
          </w:r>
          <w:r w:rsidRPr="006B7881">
            <w:rPr>
              <w:rFonts w:eastAsia="Times New Roman"/>
              <w:i/>
              <w:iCs/>
              <w:color w:val="000000"/>
              <w:sz w:val="22"/>
            </w:rPr>
            <w:t>Doing Qualitative Research</w:t>
          </w:r>
          <w:r w:rsidRPr="006B7881">
            <w:rPr>
              <w:rFonts w:eastAsia="Times New Roman"/>
              <w:color w:val="000000"/>
              <w:sz w:val="22"/>
            </w:rPr>
            <w:t xml:space="preserve"> (5th, unabridged ed.). SAGE Publications Ltd.</w:t>
          </w:r>
        </w:p>
        <w:p w14:paraId="664AF7C2" w14:textId="77777777" w:rsidR="006B7881" w:rsidRPr="006B7881" w:rsidRDefault="006B7881" w:rsidP="006B7881">
          <w:pPr>
            <w:autoSpaceDE w:val="0"/>
            <w:autoSpaceDN w:val="0"/>
            <w:spacing w:after="0"/>
            <w:ind w:hanging="480"/>
            <w:divId w:val="16926531"/>
            <w:rPr>
              <w:rFonts w:eastAsia="Times New Roman"/>
              <w:color w:val="000000"/>
              <w:sz w:val="22"/>
            </w:rPr>
          </w:pPr>
          <w:r w:rsidRPr="006B7881">
            <w:rPr>
              <w:rFonts w:eastAsia="Times New Roman"/>
              <w:color w:val="000000"/>
              <w:sz w:val="22"/>
            </w:rPr>
            <w:t xml:space="preserve">Smoke, P. (2015). Rethinking Decentralization: Assessing Challenges to a Popular Public Sector Reform. </w:t>
          </w:r>
          <w:r w:rsidRPr="006B7881">
            <w:rPr>
              <w:rFonts w:eastAsia="Times New Roman"/>
              <w:i/>
              <w:iCs/>
              <w:color w:val="000000"/>
              <w:sz w:val="22"/>
            </w:rPr>
            <w:t>Public Administration and Development</w:t>
          </w:r>
          <w:r w:rsidRPr="006B7881">
            <w:rPr>
              <w:rFonts w:eastAsia="Times New Roman"/>
              <w:color w:val="000000"/>
              <w:sz w:val="22"/>
            </w:rPr>
            <w:t xml:space="preserve">, </w:t>
          </w:r>
          <w:r w:rsidRPr="006B7881">
            <w:rPr>
              <w:rFonts w:eastAsia="Times New Roman"/>
              <w:i/>
              <w:iCs/>
              <w:color w:val="000000"/>
              <w:sz w:val="22"/>
            </w:rPr>
            <w:t>35</w:t>
          </w:r>
          <w:r w:rsidRPr="006B7881">
            <w:rPr>
              <w:rFonts w:eastAsia="Times New Roman"/>
              <w:color w:val="000000"/>
              <w:sz w:val="22"/>
            </w:rPr>
            <w:t>(2), 97–112. https://doi.org/10.1002/pad.1703</w:t>
          </w:r>
        </w:p>
        <w:p w14:paraId="650FABF6" w14:textId="77777777" w:rsidR="006B7881" w:rsidRPr="006B7881" w:rsidRDefault="006B7881" w:rsidP="006B7881">
          <w:pPr>
            <w:autoSpaceDE w:val="0"/>
            <w:autoSpaceDN w:val="0"/>
            <w:spacing w:after="0"/>
            <w:ind w:hanging="480"/>
            <w:divId w:val="1714234461"/>
            <w:rPr>
              <w:rFonts w:eastAsia="Times New Roman"/>
              <w:color w:val="000000"/>
              <w:sz w:val="22"/>
            </w:rPr>
          </w:pPr>
          <w:r w:rsidRPr="006B7881">
            <w:rPr>
              <w:rFonts w:eastAsia="Times New Roman"/>
              <w:color w:val="000000"/>
              <w:sz w:val="22"/>
            </w:rPr>
            <w:t xml:space="preserve">Snyder, H. (2019). Literature review as a research methodology: An overview and guidelines. </w:t>
          </w:r>
          <w:r w:rsidRPr="006B7881">
            <w:rPr>
              <w:rFonts w:eastAsia="Times New Roman"/>
              <w:i/>
              <w:iCs/>
              <w:color w:val="000000"/>
              <w:sz w:val="22"/>
            </w:rPr>
            <w:t>Journal of Business Research</w:t>
          </w:r>
          <w:r w:rsidRPr="006B7881">
            <w:rPr>
              <w:rFonts w:eastAsia="Times New Roman"/>
              <w:color w:val="000000"/>
              <w:sz w:val="22"/>
            </w:rPr>
            <w:t xml:space="preserve">, </w:t>
          </w:r>
          <w:r w:rsidRPr="006B7881">
            <w:rPr>
              <w:rFonts w:eastAsia="Times New Roman"/>
              <w:i/>
              <w:iCs/>
              <w:color w:val="000000"/>
              <w:sz w:val="22"/>
            </w:rPr>
            <w:t>104</w:t>
          </w:r>
          <w:r w:rsidRPr="006B7881">
            <w:rPr>
              <w:rFonts w:eastAsia="Times New Roman"/>
              <w:color w:val="000000"/>
              <w:sz w:val="22"/>
            </w:rPr>
            <w:t>, 333–339. https://doi.org/10.1016/j.jbusres.2019.07.039</w:t>
          </w:r>
        </w:p>
        <w:p w14:paraId="2544D815" w14:textId="77777777" w:rsidR="006B7881" w:rsidRPr="006B7881" w:rsidRDefault="006B7881" w:rsidP="006B7881">
          <w:pPr>
            <w:autoSpaceDE w:val="0"/>
            <w:autoSpaceDN w:val="0"/>
            <w:spacing w:after="0"/>
            <w:ind w:hanging="480"/>
            <w:divId w:val="689524516"/>
            <w:rPr>
              <w:rFonts w:eastAsia="Times New Roman"/>
              <w:color w:val="000000"/>
              <w:sz w:val="22"/>
            </w:rPr>
          </w:pPr>
          <w:r w:rsidRPr="006B7881">
            <w:rPr>
              <w:rFonts w:eastAsia="Times New Roman"/>
              <w:color w:val="000000"/>
              <w:sz w:val="22"/>
            </w:rPr>
            <w:t xml:space="preserve">Speer, J. (2012). Participatory Governance Reform: A Good Strategy for Increasing Government Responsiveness and Improving Public Services? </w:t>
          </w:r>
          <w:r w:rsidRPr="006B7881">
            <w:rPr>
              <w:rFonts w:eastAsia="Times New Roman"/>
              <w:i/>
              <w:iCs/>
              <w:color w:val="000000"/>
              <w:sz w:val="22"/>
            </w:rPr>
            <w:t>World Development</w:t>
          </w:r>
          <w:r w:rsidRPr="006B7881">
            <w:rPr>
              <w:rFonts w:eastAsia="Times New Roman"/>
              <w:color w:val="000000"/>
              <w:sz w:val="22"/>
            </w:rPr>
            <w:t xml:space="preserve">, </w:t>
          </w:r>
          <w:r w:rsidRPr="006B7881">
            <w:rPr>
              <w:rFonts w:eastAsia="Times New Roman"/>
              <w:i/>
              <w:iCs/>
              <w:color w:val="000000"/>
              <w:sz w:val="22"/>
            </w:rPr>
            <w:t>40</w:t>
          </w:r>
          <w:r w:rsidRPr="006B7881">
            <w:rPr>
              <w:rFonts w:eastAsia="Times New Roman"/>
              <w:color w:val="000000"/>
              <w:sz w:val="22"/>
            </w:rPr>
            <w:t>(12), 2379–2398. https://doi.org/10.1016/j.worlddev.2012.05.034</w:t>
          </w:r>
        </w:p>
        <w:p w14:paraId="5D225DB1" w14:textId="77777777" w:rsidR="006B7881" w:rsidRPr="006B7881" w:rsidRDefault="006B7881" w:rsidP="006B7881">
          <w:pPr>
            <w:autoSpaceDE w:val="0"/>
            <w:autoSpaceDN w:val="0"/>
            <w:spacing w:after="0"/>
            <w:ind w:hanging="480"/>
            <w:divId w:val="666634802"/>
            <w:rPr>
              <w:rFonts w:eastAsia="Times New Roman"/>
              <w:color w:val="000000"/>
              <w:sz w:val="22"/>
            </w:rPr>
          </w:pPr>
          <w:proofErr w:type="spellStart"/>
          <w:r w:rsidRPr="006B7881">
            <w:rPr>
              <w:rFonts w:eastAsia="Times New Roman"/>
              <w:color w:val="000000"/>
              <w:sz w:val="22"/>
            </w:rPr>
            <w:t>Tassabehji</w:t>
          </w:r>
          <w:proofErr w:type="spellEnd"/>
          <w:r w:rsidRPr="006B7881">
            <w:rPr>
              <w:rFonts w:eastAsia="Times New Roman"/>
              <w:color w:val="000000"/>
              <w:sz w:val="22"/>
            </w:rPr>
            <w:t xml:space="preserve">, R., Hackney, R., &amp; </w:t>
          </w:r>
          <w:proofErr w:type="spellStart"/>
          <w:r w:rsidRPr="006B7881">
            <w:rPr>
              <w:rFonts w:eastAsia="Times New Roman"/>
              <w:color w:val="000000"/>
              <w:sz w:val="22"/>
            </w:rPr>
            <w:t>Popovič</w:t>
          </w:r>
          <w:proofErr w:type="spellEnd"/>
          <w:r w:rsidRPr="006B7881">
            <w:rPr>
              <w:rFonts w:eastAsia="Times New Roman"/>
              <w:color w:val="000000"/>
              <w:sz w:val="22"/>
            </w:rPr>
            <w:t xml:space="preserve">, A. (2016). Emergent digital era governance: Enacting the role of the ‘institutional entrepreneur’ in transformational change. </w:t>
          </w:r>
          <w:r w:rsidRPr="006B7881">
            <w:rPr>
              <w:rFonts w:eastAsia="Times New Roman"/>
              <w:i/>
              <w:iCs/>
              <w:color w:val="000000"/>
              <w:sz w:val="22"/>
            </w:rPr>
            <w:t>Government Information Quarterly</w:t>
          </w:r>
          <w:r w:rsidRPr="006B7881">
            <w:rPr>
              <w:rFonts w:eastAsia="Times New Roman"/>
              <w:color w:val="000000"/>
              <w:sz w:val="22"/>
            </w:rPr>
            <w:t xml:space="preserve">, </w:t>
          </w:r>
          <w:r w:rsidRPr="006B7881">
            <w:rPr>
              <w:rFonts w:eastAsia="Times New Roman"/>
              <w:i/>
              <w:iCs/>
              <w:color w:val="000000"/>
              <w:sz w:val="22"/>
            </w:rPr>
            <w:t>33</w:t>
          </w:r>
          <w:r w:rsidRPr="006B7881">
            <w:rPr>
              <w:rFonts w:eastAsia="Times New Roman"/>
              <w:color w:val="000000"/>
              <w:sz w:val="22"/>
            </w:rPr>
            <w:t>(2), 223–236. https://doi.org/10.1016/j.giq.2016.04.003</w:t>
          </w:r>
        </w:p>
        <w:p w14:paraId="0A7134C2" w14:textId="77777777" w:rsidR="006B7881" w:rsidRPr="006B7881" w:rsidRDefault="006B7881" w:rsidP="006B7881">
          <w:pPr>
            <w:autoSpaceDE w:val="0"/>
            <w:autoSpaceDN w:val="0"/>
            <w:spacing w:after="0"/>
            <w:ind w:hanging="480"/>
            <w:divId w:val="1005205509"/>
            <w:rPr>
              <w:rFonts w:eastAsia="Times New Roman"/>
              <w:color w:val="000000"/>
              <w:sz w:val="22"/>
            </w:rPr>
          </w:pPr>
          <w:r w:rsidRPr="006B7881">
            <w:rPr>
              <w:rFonts w:eastAsia="Times New Roman"/>
              <w:color w:val="000000"/>
              <w:sz w:val="22"/>
            </w:rPr>
            <w:lastRenderedPageBreak/>
            <w:t xml:space="preserve">Torfing, J., Peters, B. G., Pierre, J., &amp; Sørensen, E. (2012). </w:t>
          </w:r>
          <w:r w:rsidRPr="006B7881">
            <w:rPr>
              <w:rFonts w:eastAsia="Times New Roman"/>
              <w:i/>
              <w:iCs/>
              <w:color w:val="000000"/>
              <w:sz w:val="22"/>
            </w:rPr>
            <w:t xml:space="preserve">Interactive </w:t>
          </w:r>
          <w:proofErr w:type="spellStart"/>
          <w:r w:rsidRPr="006B7881">
            <w:rPr>
              <w:rFonts w:eastAsia="Times New Roman"/>
              <w:i/>
              <w:iCs/>
              <w:color w:val="000000"/>
              <w:sz w:val="22"/>
            </w:rPr>
            <w:t>GovernanceAdvancing</w:t>
          </w:r>
          <w:proofErr w:type="spellEnd"/>
          <w:r w:rsidRPr="006B7881">
            <w:rPr>
              <w:rFonts w:eastAsia="Times New Roman"/>
              <w:i/>
              <w:iCs/>
              <w:color w:val="000000"/>
              <w:sz w:val="22"/>
            </w:rPr>
            <w:t xml:space="preserve"> the Paradigm</w:t>
          </w:r>
          <w:r w:rsidRPr="006B7881">
            <w:rPr>
              <w:rFonts w:eastAsia="Times New Roman"/>
              <w:color w:val="000000"/>
              <w:sz w:val="22"/>
            </w:rPr>
            <w:t>. Oxford University Press. https://doi.org/10.1093/acprof:oso/9780199596751.001.0001</w:t>
          </w:r>
        </w:p>
        <w:p w14:paraId="3401A7B5" w14:textId="77777777" w:rsidR="006B7881" w:rsidRPr="006B7881" w:rsidRDefault="006B7881" w:rsidP="006B7881">
          <w:pPr>
            <w:autoSpaceDE w:val="0"/>
            <w:autoSpaceDN w:val="0"/>
            <w:spacing w:after="0"/>
            <w:ind w:hanging="480"/>
            <w:divId w:val="761217549"/>
            <w:rPr>
              <w:rFonts w:eastAsia="Times New Roman"/>
              <w:color w:val="000000"/>
              <w:sz w:val="22"/>
            </w:rPr>
          </w:pPr>
          <w:r w:rsidRPr="006B7881">
            <w:rPr>
              <w:rFonts w:eastAsia="Times New Roman"/>
              <w:color w:val="000000"/>
              <w:sz w:val="22"/>
            </w:rPr>
            <w:t xml:space="preserve">United Nations. (2015). </w:t>
          </w:r>
          <w:r w:rsidRPr="006B7881">
            <w:rPr>
              <w:rFonts w:eastAsia="Times New Roman"/>
              <w:i/>
              <w:iCs/>
              <w:color w:val="000000"/>
              <w:sz w:val="22"/>
            </w:rPr>
            <w:t>Transforming our World: The 2030 Agenda for Sustainable Development</w:t>
          </w:r>
          <w:r w:rsidRPr="006B7881">
            <w:rPr>
              <w:rFonts w:eastAsia="Times New Roman"/>
              <w:color w:val="000000"/>
              <w:sz w:val="22"/>
            </w:rPr>
            <w:t>. Https://Sdgs.Un.Org/Publications/Transforming-Our-World-2030-Agenda-Sustainable-Development-17981.</w:t>
          </w:r>
        </w:p>
        <w:p w14:paraId="3E8B8B31" w14:textId="77777777" w:rsidR="006B7881" w:rsidRPr="006B7881" w:rsidRDefault="006B7881" w:rsidP="006B7881">
          <w:pPr>
            <w:autoSpaceDE w:val="0"/>
            <w:autoSpaceDN w:val="0"/>
            <w:spacing w:after="0"/>
            <w:ind w:hanging="480"/>
            <w:divId w:val="1989237083"/>
            <w:rPr>
              <w:rFonts w:eastAsia="Times New Roman"/>
              <w:color w:val="000000"/>
              <w:sz w:val="22"/>
            </w:rPr>
          </w:pPr>
          <w:r w:rsidRPr="006B7881">
            <w:rPr>
              <w:rFonts w:eastAsia="Times New Roman"/>
              <w:color w:val="000000"/>
              <w:sz w:val="22"/>
            </w:rPr>
            <w:t xml:space="preserve">Wampler, B., McNulty, S., &amp; Touchton, M. (2021). </w:t>
          </w:r>
          <w:r w:rsidRPr="006B7881">
            <w:rPr>
              <w:rFonts w:eastAsia="Times New Roman"/>
              <w:i/>
              <w:iCs/>
              <w:color w:val="000000"/>
              <w:sz w:val="22"/>
            </w:rPr>
            <w:t>Participatory Budgeting in Global Perspective</w:t>
          </w:r>
          <w:r w:rsidRPr="006B7881">
            <w:rPr>
              <w:rFonts w:eastAsia="Times New Roman"/>
              <w:color w:val="000000"/>
              <w:sz w:val="22"/>
            </w:rPr>
            <w:t xml:space="preserve">. Oxford University </w:t>
          </w:r>
          <w:proofErr w:type="spellStart"/>
          <w:r w:rsidRPr="006B7881">
            <w:rPr>
              <w:rFonts w:eastAsia="Times New Roman"/>
              <w:color w:val="000000"/>
              <w:sz w:val="22"/>
            </w:rPr>
            <w:t>PressOxford</w:t>
          </w:r>
          <w:proofErr w:type="spellEnd"/>
          <w:r w:rsidRPr="006B7881">
            <w:rPr>
              <w:rFonts w:eastAsia="Times New Roman"/>
              <w:color w:val="000000"/>
              <w:sz w:val="22"/>
            </w:rPr>
            <w:t>. https://doi.org/10.1093/oso/9780192897756.001.0001</w:t>
          </w:r>
        </w:p>
        <w:p w14:paraId="0A67B8BC" w14:textId="77777777" w:rsidR="006B7881" w:rsidRPr="006B7881" w:rsidRDefault="006B7881" w:rsidP="006B7881">
          <w:pPr>
            <w:autoSpaceDE w:val="0"/>
            <w:autoSpaceDN w:val="0"/>
            <w:spacing w:after="0"/>
            <w:ind w:hanging="480"/>
            <w:divId w:val="275066434"/>
            <w:rPr>
              <w:rFonts w:eastAsia="Times New Roman"/>
              <w:color w:val="000000"/>
              <w:sz w:val="22"/>
            </w:rPr>
          </w:pPr>
          <w:r w:rsidRPr="006B7881">
            <w:rPr>
              <w:rFonts w:eastAsia="Times New Roman"/>
              <w:color w:val="000000"/>
              <w:sz w:val="22"/>
            </w:rPr>
            <w:t xml:space="preserve">Williams, G., Thampi, B. V., Narayana, D., </w:t>
          </w:r>
          <w:proofErr w:type="spellStart"/>
          <w:r w:rsidRPr="006B7881">
            <w:rPr>
              <w:rFonts w:eastAsia="Times New Roman"/>
              <w:color w:val="000000"/>
              <w:sz w:val="22"/>
            </w:rPr>
            <w:t>Nandigama</w:t>
          </w:r>
          <w:proofErr w:type="spellEnd"/>
          <w:r w:rsidRPr="006B7881">
            <w:rPr>
              <w:rFonts w:eastAsia="Times New Roman"/>
              <w:color w:val="000000"/>
              <w:sz w:val="22"/>
            </w:rPr>
            <w:t xml:space="preserve">, S., &amp; Bhattacharyya, D. (2012). The politics of defining and alleviating poverty: State strategies and their impacts in rural Kerala. </w:t>
          </w:r>
          <w:proofErr w:type="spellStart"/>
          <w:r w:rsidRPr="006B7881">
            <w:rPr>
              <w:rFonts w:eastAsia="Times New Roman"/>
              <w:i/>
              <w:iCs/>
              <w:color w:val="000000"/>
              <w:sz w:val="22"/>
            </w:rPr>
            <w:t>Geoforum</w:t>
          </w:r>
          <w:proofErr w:type="spellEnd"/>
          <w:r w:rsidRPr="006B7881">
            <w:rPr>
              <w:rFonts w:eastAsia="Times New Roman"/>
              <w:color w:val="000000"/>
              <w:sz w:val="22"/>
            </w:rPr>
            <w:t xml:space="preserve">, </w:t>
          </w:r>
          <w:r w:rsidRPr="006B7881">
            <w:rPr>
              <w:rFonts w:eastAsia="Times New Roman"/>
              <w:i/>
              <w:iCs/>
              <w:color w:val="000000"/>
              <w:sz w:val="22"/>
            </w:rPr>
            <w:t>43</w:t>
          </w:r>
          <w:r w:rsidRPr="006B7881">
            <w:rPr>
              <w:rFonts w:eastAsia="Times New Roman"/>
              <w:color w:val="000000"/>
              <w:sz w:val="22"/>
            </w:rPr>
            <w:t>(5), 991–1001. https://doi.org/10.1016/j.geoforum.2012.06.001</w:t>
          </w:r>
        </w:p>
        <w:p w14:paraId="4826C748" w14:textId="77777777" w:rsidR="00A81829" w:rsidRPr="00773C27" w:rsidRDefault="006B7881" w:rsidP="006B7881">
          <w:pPr>
            <w:spacing w:after="0"/>
            <w:rPr>
              <w:sz w:val="22"/>
              <w:szCs w:val="22"/>
            </w:rPr>
          </w:pPr>
          <w:r w:rsidRPr="006B7881">
            <w:rPr>
              <w:rFonts w:eastAsia="Times New Roman"/>
              <w:color w:val="000000"/>
              <w:sz w:val="22"/>
            </w:rPr>
            <w:t> </w:t>
          </w:r>
        </w:p>
      </w:sdtContent>
    </w:sdt>
    <w:sectPr w:rsidR="00A81829" w:rsidRPr="00773C27" w:rsidSect="008044E2">
      <w:pgSz w:w="12240" w:h="15840"/>
      <w:pgMar w:top="2340" w:right="810" w:bottom="1440" w:left="9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B1F9" w14:textId="77777777" w:rsidR="00760B69" w:rsidRDefault="00760B69" w:rsidP="00E528FC">
      <w:pPr>
        <w:spacing w:after="0" w:line="240" w:lineRule="auto"/>
      </w:pPr>
      <w:r>
        <w:separator/>
      </w:r>
    </w:p>
  </w:endnote>
  <w:endnote w:type="continuationSeparator" w:id="0">
    <w:p w14:paraId="20E72090" w14:textId="77777777" w:rsidR="00760B69" w:rsidRDefault="00760B69" w:rsidP="00E5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ADC1" w14:textId="77777777" w:rsidR="008C53FE" w:rsidRDefault="008C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37528"/>
      <w:docPartObj>
        <w:docPartGallery w:val="Page Numbers (Bottom of Page)"/>
        <w:docPartUnique/>
      </w:docPartObj>
    </w:sdtPr>
    <w:sdtEndPr>
      <w:rPr>
        <w:noProof/>
      </w:rPr>
    </w:sdtEndPr>
    <w:sdtContent>
      <w:p w14:paraId="6CB7BADC" w14:textId="77777777" w:rsidR="008044E2" w:rsidRDefault="008044E2">
        <w:pPr>
          <w:pStyle w:val="Footer"/>
          <w:jc w:val="center"/>
        </w:pPr>
        <w:r>
          <w:rPr>
            <w:noProof/>
          </w:rPr>
          <mc:AlternateContent>
            <mc:Choice Requires="wps">
              <w:drawing>
                <wp:inline distT="0" distB="0" distL="0" distR="0" wp14:anchorId="172821E0" wp14:editId="79A849CA">
                  <wp:extent cx="5467350" cy="45085"/>
                  <wp:effectExtent l="38100" t="0" r="76200" b="12065"/>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C1DECC1"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" fillcolor="#0070c0">
                  <w10:anchorlock/>
                </v:shape>
              </w:pict>
            </mc:Fallback>
          </mc:AlternateContent>
        </w:r>
      </w:p>
      <w:p w14:paraId="5F88833B" w14:textId="77777777" w:rsidR="008044E2" w:rsidRDefault="008044E2">
        <w:pPr>
          <w:pStyle w:val="Footer"/>
          <w:jc w:val="center"/>
        </w:pPr>
        <w:r>
          <w:fldChar w:fldCharType="begin"/>
        </w:r>
        <w:r>
          <w:instrText xml:space="preserve"> PAGE    \* MERGEFORMAT </w:instrText>
        </w:r>
        <w:r>
          <w:fldChar w:fldCharType="separate"/>
        </w:r>
        <w:r w:rsidR="00151557">
          <w:rPr>
            <w:noProof/>
          </w:rPr>
          <w:t>18</w:t>
        </w:r>
        <w:r>
          <w:rPr>
            <w:noProof/>
          </w:rPr>
          <w:fldChar w:fldCharType="end"/>
        </w:r>
      </w:p>
    </w:sdtContent>
  </w:sdt>
  <w:p w14:paraId="131F4B46" w14:textId="77777777" w:rsidR="008044E2" w:rsidRDefault="00804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209C" w14:textId="77777777" w:rsidR="008C53FE" w:rsidRDefault="008C5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BD3F" w14:textId="77777777" w:rsidR="00760B69" w:rsidRDefault="00760B69" w:rsidP="00E528FC">
      <w:pPr>
        <w:spacing w:after="0" w:line="240" w:lineRule="auto"/>
      </w:pPr>
      <w:r>
        <w:separator/>
      </w:r>
    </w:p>
  </w:footnote>
  <w:footnote w:type="continuationSeparator" w:id="0">
    <w:p w14:paraId="28CD22D5" w14:textId="77777777" w:rsidR="00760B69" w:rsidRDefault="00760B69" w:rsidP="00E5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1633" w14:textId="77777777" w:rsidR="008C53FE" w:rsidRDefault="008C5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229D" w14:textId="77777777" w:rsidR="004E7F38" w:rsidRDefault="004E7F38" w:rsidP="008044E2">
    <w:pPr>
      <w:pStyle w:val="Header"/>
      <w:spacing w:line="276" w:lineRule="auto"/>
      <w:jc w:val="center"/>
      <w:rPr>
        <w:b/>
        <w:color w:val="002060"/>
        <w:sz w:val="22"/>
        <w:szCs w:val="22"/>
      </w:rPr>
    </w:pPr>
    <w:r w:rsidRPr="006A4F3E">
      <w:rPr>
        <w:b/>
        <w:color w:val="002060"/>
        <w:sz w:val="22"/>
        <w:szCs w:val="22"/>
      </w:rPr>
      <w:t>Citizen Participation and Its Effect on the Quality of Local Government Decision-Making</w:t>
    </w:r>
  </w:p>
  <w:p w14:paraId="19ACC778" w14:textId="26E4117E" w:rsidR="004E7F38" w:rsidRPr="00782E92" w:rsidRDefault="004E7F38" w:rsidP="00782E92">
    <w:pPr>
      <w:pStyle w:val="Header"/>
      <w:spacing w:line="276" w:lineRule="auto"/>
      <w:rPr>
        <w:b/>
        <w:color w:val="002060"/>
        <w:sz w:val="22"/>
        <w:szCs w:val="22"/>
      </w:rPr>
    </w:pPr>
  </w:p>
  <w:p w14:paraId="146D14F9" w14:textId="77777777" w:rsidR="004E7F38" w:rsidRPr="008044E2" w:rsidRDefault="004E7F38" w:rsidP="008044E2">
    <w:pPr>
      <w:pStyle w:val="Header"/>
      <w:spacing w:line="276" w:lineRule="auto"/>
      <w:jc w:val="center"/>
      <w:rPr>
        <w:sz w:val="22"/>
        <w:szCs w:val="22"/>
      </w:rPr>
    </w:pPr>
    <w:r w:rsidRPr="008044E2">
      <w:rPr>
        <w:noProof/>
        <w:sz w:val="22"/>
        <w:szCs w:val="22"/>
      </w:rPr>
      <mc:AlternateContent>
        <mc:Choice Requires="wps">
          <w:drawing>
            <wp:anchor distT="0" distB="0" distL="114300" distR="114300" simplePos="0" relativeHeight="251659264" behindDoc="0" locked="0" layoutInCell="1" allowOverlap="1" wp14:anchorId="2641BA13" wp14:editId="428C305C">
              <wp:simplePos x="0" y="0"/>
              <wp:positionH relativeFrom="column">
                <wp:posOffset>-31750</wp:posOffset>
              </wp:positionH>
              <wp:positionV relativeFrom="paragraph">
                <wp:posOffset>125730</wp:posOffset>
              </wp:positionV>
              <wp:extent cx="6762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5D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9pt" to="53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b6tgEAAMM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8575" w14:textId="77777777" w:rsidR="008C53FE" w:rsidRDefault="008C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51D"/>
    <w:multiLevelType w:val="multilevel"/>
    <w:tmpl w:val="AE64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7BE8"/>
    <w:multiLevelType w:val="multilevel"/>
    <w:tmpl w:val="7FB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B75C4"/>
    <w:multiLevelType w:val="multilevel"/>
    <w:tmpl w:val="50C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37A65"/>
    <w:multiLevelType w:val="multilevel"/>
    <w:tmpl w:val="6FC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721FD"/>
    <w:multiLevelType w:val="multilevel"/>
    <w:tmpl w:val="5B16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33C2F"/>
    <w:multiLevelType w:val="multilevel"/>
    <w:tmpl w:val="3B7A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17F0A"/>
    <w:multiLevelType w:val="multilevel"/>
    <w:tmpl w:val="D020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17D2F"/>
    <w:multiLevelType w:val="multilevel"/>
    <w:tmpl w:val="6FE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81DD8"/>
    <w:multiLevelType w:val="multilevel"/>
    <w:tmpl w:val="32C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C317D"/>
    <w:multiLevelType w:val="multilevel"/>
    <w:tmpl w:val="92E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BD51FB"/>
    <w:multiLevelType w:val="multilevel"/>
    <w:tmpl w:val="826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51DDF"/>
    <w:multiLevelType w:val="multilevel"/>
    <w:tmpl w:val="495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733D5"/>
    <w:multiLevelType w:val="multilevel"/>
    <w:tmpl w:val="6A1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D4FF7"/>
    <w:multiLevelType w:val="hybridMultilevel"/>
    <w:tmpl w:val="9DF67D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F3E00"/>
    <w:multiLevelType w:val="multilevel"/>
    <w:tmpl w:val="692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7132F"/>
    <w:multiLevelType w:val="multilevel"/>
    <w:tmpl w:val="6F9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459137">
    <w:abstractNumId w:val="5"/>
  </w:num>
  <w:num w:numId="2" w16cid:durableId="1022442040">
    <w:abstractNumId w:val="14"/>
  </w:num>
  <w:num w:numId="3" w16cid:durableId="831801512">
    <w:abstractNumId w:val="7"/>
  </w:num>
  <w:num w:numId="4" w16cid:durableId="261573122">
    <w:abstractNumId w:val="2"/>
  </w:num>
  <w:num w:numId="5" w16cid:durableId="1624383811">
    <w:abstractNumId w:val="1"/>
  </w:num>
  <w:num w:numId="6" w16cid:durableId="334958398">
    <w:abstractNumId w:val="9"/>
  </w:num>
  <w:num w:numId="7" w16cid:durableId="1594433203">
    <w:abstractNumId w:val="4"/>
  </w:num>
  <w:num w:numId="8" w16cid:durableId="1370230042">
    <w:abstractNumId w:val="3"/>
  </w:num>
  <w:num w:numId="9" w16cid:durableId="1898935246">
    <w:abstractNumId w:val="8"/>
  </w:num>
  <w:num w:numId="10" w16cid:durableId="806431616">
    <w:abstractNumId w:val="15"/>
  </w:num>
  <w:num w:numId="11" w16cid:durableId="456919648">
    <w:abstractNumId w:val="6"/>
  </w:num>
  <w:num w:numId="12" w16cid:durableId="1952854290">
    <w:abstractNumId w:val="11"/>
  </w:num>
  <w:num w:numId="13" w16cid:durableId="232398759">
    <w:abstractNumId w:val="12"/>
  </w:num>
  <w:num w:numId="14" w16cid:durableId="2051221898">
    <w:abstractNumId w:val="10"/>
  </w:num>
  <w:num w:numId="15" w16cid:durableId="1760833159">
    <w:abstractNumId w:val="0"/>
  </w:num>
  <w:num w:numId="16" w16cid:durableId="508132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60"/>
    <w:rsid w:val="000009C0"/>
    <w:rsid w:val="0006723A"/>
    <w:rsid w:val="00094C90"/>
    <w:rsid w:val="000A701F"/>
    <w:rsid w:val="000C5F13"/>
    <w:rsid w:val="00151557"/>
    <w:rsid w:val="0015312C"/>
    <w:rsid w:val="001E0996"/>
    <w:rsid w:val="00224682"/>
    <w:rsid w:val="002B19B8"/>
    <w:rsid w:val="002C2443"/>
    <w:rsid w:val="002F18D2"/>
    <w:rsid w:val="00323434"/>
    <w:rsid w:val="003662B2"/>
    <w:rsid w:val="00470019"/>
    <w:rsid w:val="004E6989"/>
    <w:rsid w:val="004E7F38"/>
    <w:rsid w:val="005403DF"/>
    <w:rsid w:val="005C165A"/>
    <w:rsid w:val="006131F2"/>
    <w:rsid w:val="00660DFB"/>
    <w:rsid w:val="006A4F3E"/>
    <w:rsid w:val="006B7881"/>
    <w:rsid w:val="00706C15"/>
    <w:rsid w:val="0073726D"/>
    <w:rsid w:val="00745F7D"/>
    <w:rsid w:val="00760B69"/>
    <w:rsid w:val="00773C27"/>
    <w:rsid w:val="00782E92"/>
    <w:rsid w:val="008044E2"/>
    <w:rsid w:val="00817578"/>
    <w:rsid w:val="008B4D4D"/>
    <w:rsid w:val="008C53FE"/>
    <w:rsid w:val="0090525A"/>
    <w:rsid w:val="009565E6"/>
    <w:rsid w:val="00A71960"/>
    <w:rsid w:val="00A81829"/>
    <w:rsid w:val="00A81D7C"/>
    <w:rsid w:val="00AF1510"/>
    <w:rsid w:val="00BE606A"/>
    <w:rsid w:val="00C96FE1"/>
    <w:rsid w:val="00D24CFF"/>
    <w:rsid w:val="00D71713"/>
    <w:rsid w:val="00DC5EB7"/>
    <w:rsid w:val="00E020F2"/>
    <w:rsid w:val="00E2270F"/>
    <w:rsid w:val="00E528FC"/>
    <w:rsid w:val="00EE728C"/>
    <w:rsid w:val="00EF29A8"/>
    <w:rsid w:val="00F14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C0B73"/>
  <w15:chartTrackingRefBased/>
  <w15:docId w15:val="{D62C9EE6-A2CC-448C-B314-5A866518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70F"/>
  </w:style>
  <w:style w:type="paragraph" w:styleId="Heading1">
    <w:name w:val="heading 1"/>
    <w:basedOn w:val="Normal"/>
    <w:next w:val="Normal"/>
    <w:link w:val="Heading1Char"/>
    <w:uiPriority w:val="9"/>
    <w:qFormat/>
    <w:rsid w:val="00E2270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0F"/>
    <w:rPr>
      <w:rFonts w:eastAsiaTheme="majorEastAsia" w:cstheme="majorBidi"/>
      <w:b/>
      <w:bCs/>
      <w:szCs w:val="28"/>
    </w:rPr>
  </w:style>
  <w:style w:type="paragraph" w:styleId="Header">
    <w:name w:val="header"/>
    <w:basedOn w:val="Normal"/>
    <w:link w:val="HeaderChar"/>
    <w:uiPriority w:val="99"/>
    <w:unhideWhenUsed/>
    <w:rsid w:val="00E5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FC"/>
  </w:style>
  <w:style w:type="paragraph" w:styleId="Footer">
    <w:name w:val="footer"/>
    <w:basedOn w:val="Normal"/>
    <w:link w:val="FooterChar"/>
    <w:uiPriority w:val="99"/>
    <w:unhideWhenUsed/>
    <w:rsid w:val="00E5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FC"/>
  </w:style>
  <w:style w:type="character" w:styleId="PlaceholderText">
    <w:name w:val="Placeholder Text"/>
    <w:basedOn w:val="DefaultParagraphFont"/>
    <w:uiPriority w:val="99"/>
    <w:semiHidden/>
    <w:rsid w:val="003662B2"/>
    <w:rPr>
      <w:color w:val="808080"/>
    </w:rPr>
  </w:style>
  <w:style w:type="paragraph" w:styleId="ListParagraph">
    <w:name w:val="List Paragraph"/>
    <w:basedOn w:val="Normal"/>
    <w:uiPriority w:val="34"/>
    <w:qFormat/>
    <w:rsid w:val="00D24CFF"/>
    <w:pPr>
      <w:ind w:left="720"/>
      <w:contextualSpacing/>
    </w:pPr>
  </w:style>
  <w:style w:type="character" w:styleId="Hyperlink">
    <w:name w:val="Hyperlink"/>
    <w:basedOn w:val="DefaultParagraphFont"/>
    <w:uiPriority w:val="99"/>
    <w:unhideWhenUsed/>
    <w:rsid w:val="008B4D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25">
      <w:bodyDiv w:val="1"/>
      <w:marLeft w:val="0"/>
      <w:marRight w:val="0"/>
      <w:marTop w:val="0"/>
      <w:marBottom w:val="0"/>
      <w:divBdr>
        <w:top w:val="none" w:sz="0" w:space="0" w:color="auto"/>
        <w:left w:val="none" w:sz="0" w:space="0" w:color="auto"/>
        <w:bottom w:val="none" w:sz="0" w:space="0" w:color="auto"/>
        <w:right w:val="none" w:sz="0" w:space="0" w:color="auto"/>
      </w:divBdr>
    </w:div>
    <w:div w:id="40327567">
      <w:bodyDiv w:val="1"/>
      <w:marLeft w:val="0"/>
      <w:marRight w:val="0"/>
      <w:marTop w:val="0"/>
      <w:marBottom w:val="0"/>
      <w:divBdr>
        <w:top w:val="none" w:sz="0" w:space="0" w:color="auto"/>
        <w:left w:val="none" w:sz="0" w:space="0" w:color="auto"/>
        <w:bottom w:val="none" w:sz="0" w:space="0" w:color="auto"/>
        <w:right w:val="none" w:sz="0" w:space="0" w:color="auto"/>
      </w:divBdr>
    </w:div>
    <w:div w:id="69011189">
      <w:bodyDiv w:val="1"/>
      <w:marLeft w:val="0"/>
      <w:marRight w:val="0"/>
      <w:marTop w:val="0"/>
      <w:marBottom w:val="0"/>
      <w:divBdr>
        <w:top w:val="none" w:sz="0" w:space="0" w:color="auto"/>
        <w:left w:val="none" w:sz="0" w:space="0" w:color="auto"/>
        <w:bottom w:val="none" w:sz="0" w:space="0" w:color="auto"/>
        <w:right w:val="none" w:sz="0" w:space="0" w:color="auto"/>
      </w:divBdr>
    </w:div>
    <w:div w:id="93522546">
      <w:bodyDiv w:val="1"/>
      <w:marLeft w:val="0"/>
      <w:marRight w:val="0"/>
      <w:marTop w:val="0"/>
      <w:marBottom w:val="0"/>
      <w:divBdr>
        <w:top w:val="none" w:sz="0" w:space="0" w:color="auto"/>
        <w:left w:val="none" w:sz="0" w:space="0" w:color="auto"/>
        <w:bottom w:val="none" w:sz="0" w:space="0" w:color="auto"/>
        <w:right w:val="none" w:sz="0" w:space="0" w:color="auto"/>
      </w:divBdr>
    </w:div>
    <w:div w:id="110590831">
      <w:bodyDiv w:val="1"/>
      <w:marLeft w:val="0"/>
      <w:marRight w:val="0"/>
      <w:marTop w:val="0"/>
      <w:marBottom w:val="0"/>
      <w:divBdr>
        <w:top w:val="none" w:sz="0" w:space="0" w:color="auto"/>
        <w:left w:val="none" w:sz="0" w:space="0" w:color="auto"/>
        <w:bottom w:val="none" w:sz="0" w:space="0" w:color="auto"/>
        <w:right w:val="none" w:sz="0" w:space="0" w:color="auto"/>
      </w:divBdr>
    </w:div>
    <w:div w:id="120270534">
      <w:bodyDiv w:val="1"/>
      <w:marLeft w:val="0"/>
      <w:marRight w:val="0"/>
      <w:marTop w:val="0"/>
      <w:marBottom w:val="0"/>
      <w:divBdr>
        <w:top w:val="none" w:sz="0" w:space="0" w:color="auto"/>
        <w:left w:val="none" w:sz="0" w:space="0" w:color="auto"/>
        <w:bottom w:val="none" w:sz="0" w:space="0" w:color="auto"/>
        <w:right w:val="none" w:sz="0" w:space="0" w:color="auto"/>
      </w:divBdr>
    </w:div>
    <w:div w:id="152264078">
      <w:bodyDiv w:val="1"/>
      <w:marLeft w:val="0"/>
      <w:marRight w:val="0"/>
      <w:marTop w:val="0"/>
      <w:marBottom w:val="0"/>
      <w:divBdr>
        <w:top w:val="none" w:sz="0" w:space="0" w:color="auto"/>
        <w:left w:val="none" w:sz="0" w:space="0" w:color="auto"/>
        <w:bottom w:val="none" w:sz="0" w:space="0" w:color="auto"/>
        <w:right w:val="none" w:sz="0" w:space="0" w:color="auto"/>
      </w:divBdr>
    </w:div>
    <w:div w:id="186452121">
      <w:bodyDiv w:val="1"/>
      <w:marLeft w:val="0"/>
      <w:marRight w:val="0"/>
      <w:marTop w:val="0"/>
      <w:marBottom w:val="0"/>
      <w:divBdr>
        <w:top w:val="none" w:sz="0" w:space="0" w:color="auto"/>
        <w:left w:val="none" w:sz="0" w:space="0" w:color="auto"/>
        <w:bottom w:val="none" w:sz="0" w:space="0" w:color="auto"/>
        <w:right w:val="none" w:sz="0" w:space="0" w:color="auto"/>
      </w:divBdr>
    </w:div>
    <w:div w:id="203560641">
      <w:bodyDiv w:val="1"/>
      <w:marLeft w:val="0"/>
      <w:marRight w:val="0"/>
      <w:marTop w:val="0"/>
      <w:marBottom w:val="0"/>
      <w:divBdr>
        <w:top w:val="none" w:sz="0" w:space="0" w:color="auto"/>
        <w:left w:val="none" w:sz="0" w:space="0" w:color="auto"/>
        <w:bottom w:val="none" w:sz="0" w:space="0" w:color="auto"/>
        <w:right w:val="none" w:sz="0" w:space="0" w:color="auto"/>
      </w:divBdr>
    </w:div>
    <w:div w:id="222103729">
      <w:bodyDiv w:val="1"/>
      <w:marLeft w:val="0"/>
      <w:marRight w:val="0"/>
      <w:marTop w:val="0"/>
      <w:marBottom w:val="0"/>
      <w:divBdr>
        <w:top w:val="none" w:sz="0" w:space="0" w:color="auto"/>
        <w:left w:val="none" w:sz="0" w:space="0" w:color="auto"/>
        <w:bottom w:val="none" w:sz="0" w:space="0" w:color="auto"/>
        <w:right w:val="none" w:sz="0" w:space="0" w:color="auto"/>
      </w:divBdr>
    </w:div>
    <w:div w:id="241066314">
      <w:bodyDiv w:val="1"/>
      <w:marLeft w:val="0"/>
      <w:marRight w:val="0"/>
      <w:marTop w:val="0"/>
      <w:marBottom w:val="0"/>
      <w:divBdr>
        <w:top w:val="none" w:sz="0" w:space="0" w:color="auto"/>
        <w:left w:val="none" w:sz="0" w:space="0" w:color="auto"/>
        <w:bottom w:val="none" w:sz="0" w:space="0" w:color="auto"/>
        <w:right w:val="none" w:sz="0" w:space="0" w:color="auto"/>
      </w:divBdr>
    </w:div>
    <w:div w:id="263808750">
      <w:bodyDiv w:val="1"/>
      <w:marLeft w:val="0"/>
      <w:marRight w:val="0"/>
      <w:marTop w:val="0"/>
      <w:marBottom w:val="0"/>
      <w:divBdr>
        <w:top w:val="none" w:sz="0" w:space="0" w:color="auto"/>
        <w:left w:val="none" w:sz="0" w:space="0" w:color="auto"/>
        <w:bottom w:val="none" w:sz="0" w:space="0" w:color="auto"/>
        <w:right w:val="none" w:sz="0" w:space="0" w:color="auto"/>
      </w:divBdr>
    </w:div>
    <w:div w:id="270556321">
      <w:bodyDiv w:val="1"/>
      <w:marLeft w:val="0"/>
      <w:marRight w:val="0"/>
      <w:marTop w:val="0"/>
      <w:marBottom w:val="0"/>
      <w:divBdr>
        <w:top w:val="none" w:sz="0" w:space="0" w:color="auto"/>
        <w:left w:val="none" w:sz="0" w:space="0" w:color="auto"/>
        <w:bottom w:val="none" w:sz="0" w:space="0" w:color="auto"/>
        <w:right w:val="none" w:sz="0" w:space="0" w:color="auto"/>
      </w:divBdr>
    </w:div>
    <w:div w:id="283191979">
      <w:bodyDiv w:val="1"/>
      <w:marLeft w:val="0"/>
      <w:marRight w:val="0"/>
      <w:marTop w:val="0"/>
      <w:marBottom w:val="0"/>
      <w:divBdr>
        <w:top w:val="none" w:sz="0" w:space="0" w:color="auto"/>
        <w:left w:val="none" w:sz="0" w:space="0" w:color="auto"/>
        <w:bottom w:val="none" w:sz="0" w:space="0" w:color="auto"/>
        <w:right w:val="none" w:sz="0" w:space="0" w:color="auto"/>
      </w:divBdr>
    </w:div>
    <w:div w:id="295525500">
      <w:bodyDiv w:val="1"/>
      <w:marLeft w:val="0"/>
      <w:marRight w:val="0"/>
      <w:marTop w:val="0"/>
      <w:marBottom w:val="0"/>
      <w:divBdr>
        <w:top w:val="none" w:sz="0" w:space="0" w:color="auto"/>
        <w:left w:val="none" w:sz="0" w:space="0" w:color="auto"/>
        <w:bottom w:val="none" w:sz="0" w:space="0" w:color="auto"/>
        <w:right w:val="none" w:sz="0" w:space="0" w:color="auto"/>
      </w:divBdr>
    </w:div>
    <w:div w:id="299506597">
      <w:bodyDiv w:val="1"/>
      <w:marLeft w:val="0"/>
      <w:marRight w:val="0"/>
      <w:marTop w:val="0"/>
      <w:marBottom w:val="0"/>
      <w:divBdr>
        <w:top w:val="none" w:sz="0" w:space="0" w:color="auto"/>
        <w:left w:val="none" w:sz="0" w:space="0" w:color="auto"/>
        <w:bottom w:val="none" w:sz="0" w:space="0" w:color="auto"/>
        <w:right w:val="none" w:sz="0" w:space="0" w:color="auto"/>
      </w:divBdr>
    </w:div>
    <w:div w:id="303002739">
      <w:bodyDiv w:val="1"/>
      <w:marLeft w:val="0"/>
      <w:marRight w:val="0"/>
      <w:marTop w:val="0"/>
      <w:marBottom w:val="0"/>
      <w:divBdr>
        <w:top w:val="none" w:sz="0" w:space="0" w:color="auto"/>
        <w:left w:val="none" w:sz="0" w:space="0" w:color="auto"/>
        <w:bottom w:val="none" w:sz="0" w:space="0" w:color="auto"/>
        <w:right w:val="none" w:sz="0" w:space="0" w:color="auto"/>
      </w:divBdr>
    </w:div>
    <w:div w:id="307520780">
      <w:bodyDiv w:val="1"/>
      <w:marLeft w:val="0"/>
      <w:marRight w:val="0"/>
      <w:marTop w:val="0"/>
      <w:marBottom w:val="0"/>
      <w:divBdr>
        <w:top w:val="none" w:sz="0" w:space="0" w:color="auto"/>
        <w:left w:val="none" w:sz="0" w:space="0" w:color="auto"/>
        <w:bottom w:val="none" w:sz="0" w:space="0" w:color="auto"/>
        <w:right w:val="none" w:sz="0" w:space="0" w:color="auto"/>
      </w:divBdr>
    </w:div>
    <w:div w:id="319384226">
      <w:bodyDiv w:val="1"/>
      <w:marLeft w:val="0"/>
      <w:marRight w:val="0"/>
      <w:marTop w:val="0"/>
      <w:marBottom w:val="0"/>
      <w:divBdr>
        <w:top w:val="none" w:sz="0" w:space="0" w:color="auto"/>
        <w:left w:val="none" w:sz="0" w:space="0" w:color="auto"/>
        <w:bottom w:val="none" w:sz="0" w:space="0" w:color="auto"/>
        <w:right w:val="none" w:sz="0" w:space="0" w:color="auto"/>
      </w:divBdr>
    </w:div>
    <w:div w:id="332224514">
      <w:bodyDiv w:val="1"/>
      <w:marLeft w:val="0"/>
      <w:marRight w:val="0"/>
      <w:marTop w:val="0"/>
      <w:marBottom w:val="0"/>
      <w:divBdr>
        <w:top w:val="none" w:sz="0" w:space="0" w:color="auto"/>
        <w:left w:val="none" w:sz="0" w:space="0" w:color="auto"/>
        <w:bottom w:val="none" w:sz="0" w:space="0" w:color="auto"/>
        <w:right w:val="none" w:sz="0" w:space="0" w:color="auto"/>
      </w:divBdr>
    </w:div>
    <w:div w:id="353043237">
      <w:bodyDiv w:val="1"/>
      <w:marLeft w:val="0"/>
      <w:marRight w:val="0"/>
      <w:marTop w:val="0"/>
      <w:marBottom w:val="0"/>
      <w:divBdr>
        <w:top w:val="none" w:sz="0" w:space="0" w:color="auto"/>
        <w:left w:val="none" w:sz="0" w:space="0" w:color="auto"/>
        <w:bottom w:val="none" w:sz="0" w:space="0" w:color="auto"/>
        <w:right w:val="none" w:sz="0" w:space="0" w:color="auto"/>
      </w:divBdr>
    </w:div>
    <w:div w:id="358744712">
      <w:bodyDiv w:val="1"/>
      <w:marLeft w:val="0"/>
      <w:marRight w:val="0"/>
      <w:marTop w:val="0"/>
      <w:marBottom w:val="0"/>
      <w:divBdr>
        <w:top w:val="none" w:sz="0" w:space="0" w:color="auto"/>
        <w:left w:val="none" w:sz="0" w:space="0" w:color="auto"/>
        <w:bottom w:val="none" w:sz="0" w:space="0" w:color="auto"/>
        <w:right w:val="none" w:sz="0" w:space="0" w:color="auto"/>
      </w:divBdr>
    </w:div>
    <w:div w:id="363487614">
      <w:bodyDiv w:val="1"/>
      <w:marLeft w:val="0"/>
      <w:marRight w:val="0"/>
      <w:marTop w:val="0"/>
      <w:marBottom w:val="0"/>
      <w:divBdr>
        <w:top w:val="none" w:sz="0" w:space="0" w:color="auto"/>
        <w:left w:val="none" w:sz="0" w:space="0" w:color="auto"/>
        <w:bottom w:val="none" w:sz="0" w:space="0" w:color="auto"/>
        <w:right w:val="none" w:sz="0" w:space="0" w:color="auto"/>
      </w:divBdr>
    </w:div>
    <w:div w:id="417561672">
      <w:bodyDiv w:val="1"/>
      <w:marLeft w:val="0"/>
      <w:marRight w:val="0"/>
      <w:marTop w:val="0"/>
      <w:marBottom w:val="0"/>
      <w:divBdr>
        <w:top w:val="none" w:sz="0" w:space="0" w:color="auto"/>
        <w:left w:val="none" w:sz="0" w:space="0" w:color="auto"/>
        <w:bottom w:val="none" w:sz="0" w:space="0" w:color="auto"/>
        <w:right w:val="none" w:sz="0" w:space="0" w:color="auto"/>
      </w:divBdr>
    </w:div>
    <w:div w:id="417993006">
      <w:bodyDiv w:val="1"/>
      <w:marLeft w:val="0"/>
      <w:marRight w:val="0"/>
      <w:marTop w:val="0"/>
      <w:marBottom w:val="0"/>
      <w:divBdr>
        <w:top w:val="none" w:sz="0" w:space="0" w:color="auto"/>
        <w:left w:val="none" w:sz="0" w:space="0" w:color="auto"/>
        <w:bottom w:val="none" w:sz="0" w:space="0" w:color="auto"/>
        <w:right w:val="none" w:sz="0" w:space="0" w:color="auto"/>
      </w:divBdr>
    </w:div>
    <w:div w:id="432095875">
      <w:bodyDiv w:val="1"/>
      <w:marLeft w:val="0"/>
      <w:marRight w:val="0"/>
      <w:marTop w:val="0"/>
      <w:marBottom w:val="0"/>
      <w:divBdr>
        <w:top w:val="none" w:sz="0" w:space="0" w:color="auto"/>
        <w:left w:val="none" w:sz="0" w:space="0" w:color="auto"/>
        <w:bottom w:val="none" w:sz="0" w:space="0" w:color="auto"/>
        <w:right w:val="none" w:sz="0" w:space="0" w:color="auto"/>
      </w:divBdr>
    </w:div>
    <w:div w:id="450562601">
      <w:bodyDiv w:val="1"/>
      <w:marLeft w:val="0"/>
      <w:marRight w:val="0"/>
      <w:marTop w:val="0"/>
      <w:marBottom w:val="0"/>
      <w:divBdr>
        <w:top w:val="none" w:sz="0" w:space="0" w:color="auto"/>
        <w:left w:val="none" w:sz="0" w:space="0" w:color="auto"/>
        <w:bottom w:val="none" w:sz="0" w:space="0" w:color="auto"/>
        <w:right w:val="none" w:sz="0" w:space="0" w:color="auto"/>
      </w:divBdr>
    </w:div>
    <w:div w:id="461002983">
      <w:bodyDiv w:val="1"/>
      <w:marLeft w:val="0"/>
      <w:marRight w:val="0"/>
      <w:marTop w:val="0"/>
      <w:marBottom w:val="0"/>
      <w:divBdr>
        <w:top w:val="none" w:sz="0" w:space="0" w:color="auto"/>
        <w:left w:val="none" w:sz="0" w:space="0" w:color="auto"/>
        <w:bottom w:val="none" w:sz="0" w:space="0" w:color="auto"/>
        <w:right w:val="none" w:sz="0" w:space="0" w:color="auto"/>
      </w:divBdr>
    </w:div>
    <w:div w:id="468481017">
      <w:bodyDiv w:val="1"/>
      <w:marLeft w:val="0"/>
      <w:marRight w:val="0"/>
      <w:marTop w:val="0"/>
      <w:marBottom w:val="0"/>
      <w:divBdr>
        <w:top w:val="none" w:sz="0" w:space="0" w:color="auto"/>
        <w:left w:val="none" w:sz="0" w:space="0" w:color="auto"/>
        <w:bottom w:val="none" w:sz="0" w:space="0" w:color="auto"/>
        <w:right w:val="none" w:sz="0" w:space="0" w:color="auto"/>
      </w:divBdr>
    </w:div>
    <w:div w:id="497965482">
      <w:bodyDiv w:val="1"/>
      <w:marLeft w:val="0"/>
      <w:marRight w:val="0"/>
      <w:marTop w:val="0"/>
      <w:marBottom w:val="0"/>
      <w:divBdr>
        <w:top w:val="none" w:sz="0" w:space="0" w:color="auto"/>
        <w:left w:val="none" w:sz="0" w:space="0" w:color="auto"/>
        <w:bottom w:val="none" w:sz="0" w:space="0" w:color="auto"/>
        <w:right w:val="none" w:sz="0" w:space="0" w:color="auto"/>
      </w:divBdr>
    </w:div>
    <w:div w:id="500586739">
      <w:bodyDiv w:val="1"/>
      <w:marLeft w:val="0"/>
      <w:marRight w:val="0"/>
      <w:marTop w:val="0"/>
      <w:marBottom w:val="0"/>
      <w:divBdr>
        <w:top w:val="none" w:sz="0" w:space="0" w:color="auto"/>
        <w:left w:val="none" w:sz="0" w:space="0" w:color="auto"/>
        <w:bottom w:val="none" w:sz="0" w:space="0" w:color="auto"/>
        <w:right w:val="none" w:sz="0" w:space="0" w:color="auto"/>
      </w:divBdr>
    </w:div>
    <w:div w:id="529421034">
      <w:bodyDiv w:val="1"/>
      <w:marLeft w:val="0"/>
      <w:marRight w:val="0"/>
      <w:marTop w:val="0"/>
      <w:marBottom w:val="0"/>
      <w:divBdr>
        <w:top w:val="none" w:sz="0" w:space="0" w:color="auto"/>
        <w:left w:val="none" w:sz="0" w:space="0" w:color="auto"/>
        <w:bottom w:val="none" w:sz="0" w:space="0" w:color="auto"/>
        <w:right w:val="none" w:sz="0" w:space="0" w:color="auto"/>
      </w:divBdr>
    </w:div>
    <w:div w:id="537469665">
      <w:bodyDiv w:val="1"/>
      <w:marLeft w:val="0"/>
      <w:marRight w:val="0"/>
      <w:marTop w:val="0"/>
      <w:marBottom w:val="0"/>
      <w:divBdr>
        <w:top w:val="none" w:sz="0" w:space="0" w:color="auto"/>
        <w:left w:val="none" w:sz="0" w:space="0" w:color="auto"/>
        <w:bottom w:val="none" w:sz="0" w:space="0" w:color="auto"/>
        <w:right w:val="none" w:sz="0" w:space="0" w:color="auto"/>
      </w:divBdr>
    </w:div>
    <w:div w:id="546378230">
      <w:bodyDiv w:val="1"/>
      <w:marLeft w:val="0"/>
      <w:marRight w:val="0"/>
      <w:marTop w:val="0"/>
      <w:marBottom w:val="0"/>
      <w:divBdr>
        <w:top w:val="none" w:sz="0" w:space="0" w:color="auto"/>
        <w:left w:val="none" w:sz="0" w:space="0" w:color="auto"/>
        <w:bottom w:val="none" w:sz="0" w:space="0" w:color="auto"/>
        <w:right w:val="none" w:sz="0" w:space="0" w:color="auto"/>
      </w:divBdr>
    </w:div>
    <w:div w:id="550269043">
      <w:bodyDiv w:val="1"/>
      <w:marLeft w:val="0"/>
      <w:marRight w:val="0"/>
      <w:marTop w:val="0"/>
      <w:marBottom w:val="0"/>
      <w:divBdr>
        <w:top w:val="none" w:sz="0" w:space="0" w:color="auto"/>
        <w:left w:val="none" w:sz="0" w:space="0" w:color="auto"/>
        <w:bottom w:val="none" w:sz="0" w:space="0" w:color="auto"/>
        <w:right w:val="none" w:sz="0" w:space="0" w:color="auto"/>
      </w:divBdr>
    </w:div>
    <w:div w:id="587006475">
      <w:bodyDiv w:val="1"/>
      <w:marLeft w:val="0"/>
      <w:marRight w:val="0"/>
      <w:marTop w:val="0"/>
      <w:marBottom w:val="0"/>
      <w:divBdr>
        <w:top w:val="none" w:sz="0" w:space="0" w:color="auto"/>
        <w:left w:val="none" w:sz="0" w:space="0" w:color="auto"/>
        <w:bottom w:val="none" w:sz="0" w:space="0" w:color="auto"/>
        <w:right w:val="none" w:sz="0" w:space="0" w:color="auto"/>
      </w:divBdr>
    </w:div>
    <w:div w:id="601768671">
      <w:bodyDiv w:val="1"/>
      <w:marLeft w:val="0"/>
      <w:marRight w:val="0"/>
      <w:marTop w:val="0"/>
      <w:marBottom w:val="0"/>
      <w:divBdr>
        <w:top w:val="none" w:sz="0" w:space="0" w:color="auto"/>
        <w:left w:val="none" w:sz="0" w:space="0" w:color="auto"/>
        <w:bottom w:val="none" w:sz="0" w:space="0" w:color="auto"/>
        <w:right w:val="none" w:sz="0" w:space="0" w:color="auto"/>
      </w:divBdr>
    </w:div>
    <w:div w:id="622463281">
      <w:bodyDiv w:val="1"/>
      <w:marLeft w:val="0"/>
      <w:marRight w:val="0"/>
      <w:marTop w:val="0"/>
      <w:marBottom w:val="0"/>
      <w:divBdr>
        <w:top w:val="none" w:sz="0" w:space="0" w:color="auto"/>
        <w:left w:val="none" w:sz="0" w:space="0" w:color="auto"/>
        <w:bottom w:val="none" w:sz="0" w:space="0" w:color="auto"/>
        <w:right w:val="none" w:sz="0" w:space="0" w:color="auto"/>
      </w:divBdr>
    </w:div>
    <w:div w:id="633412954">
      <w:bodyDiv w:val="1"/>
      <w:marLeft w:val="0"/>
      <w:marRight w:val="0"/>
      <w:marTop w:val="0"/>
      <w:marBottom w:val="0"/>
      <w:divBdr>
        <w:top w:val="none" w:sz="0" w:space="0" w:color="auto"/>
        <w:left w:val="none" w:sz="0" w:space="0" w:color="auto"/>
        <w:bottom w:val="none" w:sz="0" w:space="0" w:color="auto"/>
        <w:right w:val="none" w:sz="0" w:space="0" w:color="auto"/>
      </w:divBdr>
    </w:div>
    <w:div w:id="644505112">
      <w:bodyDiv w:val="1"/>
      <w:marLeft w:val="0"/>
      <w:marRight w:val="0"/>
      <w:marTop w:val="0"/>
      <w:marBottom w:val="0"/>
      <w:divBdr>
        <w:top w:val="none" w:sz="0" w:space="0" w:color="auto"/>
        <w:left w:val="none" w:sz="0" w:space="0" w:color="auto"/>
        <w:bottom w:val="none" w:sz="0" w:space="0" w:color="auto"/>
        <w:right w:val="none" w:sz="0" w:space="0" w:color="auto"/>
      </w:divBdr>
    </w:div>
    <w:div w:id="661083329">
      <w:bodyDiv w:val="1"/>
      <w:marLeft w:val="0"/>
      <w:marRight w:val="0"/>
      <w:marTop w:val="0"/>
      <w:marBottom w:val="0"/>
      <w:divBdr>
        <w:top w:val="none" w:sz="0" w:space="0" w:color="auto"/>
        <w:left w:val="none" w:sz="0" w:space="0" w:color="auto"/>
        <w:bottom w:val="none" w:sz="0" w:space="0" w:color="auto"/>
        <w:right w:val="none" w:sz="0" w:space="0" w:color="auto"/>
      </w:divBdr>
    </w:div>
    <w:div w:id="678240310">
      <w:bodyDiv w:val="1"/>
      <w:marLeft w:val="0"/>
      <w:marRight w:val="0"/>
      <w:marTop w:val="0"/>
      <w:marBottom w:val="0"/>
      <w:divBdr>
        <w:top w:val="none" w:sz="0" w:space="0" w:color="auto"/>
        <w:left w:val="none" w:sz="0" w:space="0" w:color="auto"/>
        <w:bottom w:val="none" w:sz="0" w:space="0" w:color="auto"/>
        <w:right w:val="none" w:sz="0" w:space="0" w:color="auto"/>
      </w:divBdr>
    </w:div>
    <w:div w:id="685013609">
      <w:bodyDiv w:val="1"/>
      <w:marLeft w:val="0"/>
      <w:marRight w:val="0"/>
      <w:marTop w:val="0"/>
      <w:marBottom w:val="0"/>
      <w:divBdr>
        <w:top w:val="none" w:sz="0" w:space="0" w:color="auto"/>
        <w:left w:val="none" w:sz="0" w:space="0" w:color="auto"/>
        <w:bottom w:val="none" w:sz="0" w:space="0" w:color="auto"/>
        <w:right w:val="none" w:sz="0" w:space="0" w:color="auto"/>
      </w:divBdr>
    </w:div>
    <w:div w:id="697127803">
      <w:bodyDiv w:val="1"/>
      <w:marLeft w:val="0"/>
      <w:marRight w:val="0"/>
      <w:marTop w:val="0"/>
      <w:marBottom w:val="0"/>
      <w:divBdr>
        <w:top w:val="none" w:sz="0" w:space="0" w:color="auto"/>
        <w:left w:val="none" w:sz="0" w:space="0" w:color="auto"/>
        <w:bottom w:val="none" w:sz="0" w:space="0" w:color="auto"/>
        <w:right w:val="none" w:sz="0" w:space="0" w:color="auto"/>
      </w:divBdr>
    </w:div>
    <w:div w:id="737362911">
      <w:bodyDiv w:val="1"/>
      <w:marLeft w:val="0"/>
      <w:marRight w:val="0"/>
      <w:marTop w:val="0"/>
      <w:marBottom w:val="0"/>
      <w:divBdr>
        <w:top w:val="none" w:sz="0" w:space="0" w:color="auto"/>
        <w:left w:val="none" w:sz="0" w:space="0" w:color="auto"/>
        <w:bottom w:val="none" w:sz="0" w:space="0" w:color="auto"/>
        <w:right w:val="none" w:sz="0" w:space="0" w:color="auto"/>
      </w:divBdr>
    </w:div>
    <w:div w:id="744912141">
      <w:bodyDiv w:val="1"/>
      <w:marLeft w:val="0"/>
      <w:marRight w:val="0"/>
      <w:marTop w:val="0"/>
      <w:marBottom w:val="0"/>
      <w:divBdr>
        <w:top w:val="none" w:sz="0" w:space="0" w:color="auto"/>
        <w:left w:val="none" w:sz="0" w:space="0" w:color="auto"/>
        <w:bottom w:val="none" w:sz="0" w:space="0" w:color="auto"/>
        <w:right w:val="none" w:sz="0" w:space="0" w:color="auto"/>
      </w:divBdr>
    </w:div>
    <w:div w:id="751662341">
      <w:bodyDiv w:val="1"/>
      <w:marLeft w:val="0"/>
      <w:marRight w:val="0"/>
      <w:marTop w:val="0"/>
      <w:marBottom w:val="0"/>
      <w:divBdr>
        <w:top w:val="none" w:sz="0" w:space="0" w:color="auto"/>
        <w:left w:val="none" w:sz="0" w:space="0" w:color="auto"/>
        <w:bottom w:val="none" w:sz="0" w:space="0" w:color="auto"/>
        <w:right w:val="none" w:sz="0" w:space="0" w:color="auto"/>
      </w:divBdr>
    </w:div>
    <w:div w:id="757142703">
      <w:bodyDiv w:val="1"/>
      <w:marLeft w:val="0"/>
      <w:marRight w:val="0"/>
      <w:marTop w:val="0"/>
      <w:marBottom w:val="0"/>
      <w:divBdr>
        <w:top w:val="none" w:sz="0" w:space="0" w:color="auto"/>
        <w:left w:val="none" w:sz="0" w:space="0" w:color="auto"/>
        <w:bottom w:val="none" w:sz="0" w:space="0" w:color="auto"/>
        <w:right w:val="none" w:sz="0" w:space="0" w:color="auto"/>
      </w:divBdr>
      <w:divsChild>
        <w:div w:id="148211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9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74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503320">
      <w:bodyDiv w:val="1"/>
      <w:marLeft w:val="0"/>
      <w:marRight w:val="0"/>
      <w:marTop w:val="0"/>
      <w:marBottom w:val="0"/>
      <w:divBdr>
        <w:top w:val="none" w:sz="0" w:space="0" w:color="auto"/>
        <w:left w:val="none" w:sz="0" w:space="0" w:color="auto"/>
        <w:bottom w:val="none" w:sz="0" w:space="0" w:color="auto"/>
        <w:right w:val="none" w:sz="0" w:space="0" w:color="auto"/>
      </w:divBdr>
    </w:div>
    <w:div w:id="770509756">
      <w:bodyDiv w:val="1"/>
      <w:marLeft w:val="0"/>
      <w:marRight w:val="0"/>
      <w:marTop w:val="0"/>
      <w:marBottom w:val="0"/>
      <w:divBdr>
        <w:top w:val="none" w:sz="0" w:space="0" w:color="auto"/>
        <w:left w:val="none" w:sz="0" w:space="0" w:color="auto"/>
        <w:bottom w:val="none" w:sz="0" w:space="0" w:color="auto"/>
        <w:right w:val="none" w:sz="0" w:space="0" w:color="auto"/>
      </w:divBdr>
    </w:div>
    <w:div w:id="796339081">
      <w:bodyDiv w:val="1"/>
      <w:marLeft w:val="0"/>
      <w:marRight w:val="0"/>
      <w:marTop w:val="0"/>
      <w:marBottom w:val="0"/>
      <w:divBdr>
        <w:top w:val="none" w:sz="0" w:space="0" w:color="auto"/>
        <w:left w:val="none" w:sz="0" w:space="0" w:color="auto"/>
        <w:bottom w:val="none" w:sz="0" w:space="0" w:color="auto"/>
        <w:right w:val="none" w:sz="0" w:space="0" w:color="auto"/>
      </w:divBdr>
    </w:div>
    <w:div w:id="799300470">
      <w:bodyDiv w:val="1"/>
      <w:marLeft w:val="0"/>
      <w:marRight w:val="0"/>
      <w:marTop w:val="0"/>
      <w:marBottom w:val="0"/>
      <w:divBdr>
        <w:top w:val="none" w:sz="0" w:space="0" w:color="auto"/>
        <w:left w:val="none" w:sz="0" w:space="0" w:color="auto"/>
        <w:bottom w:val="none" w:sz="0" w:space="0" w:color="auto"/>
        <w:right w:val="none" w:sz="0" w:space="0" w:color="auto"/>
      </w:divBdr>
    </w:div>
    <w:div w:id="814765079">
      <w:bodyDiv w:val="1"/>
      <w:marLeft w:val="0"/>
      <w:marRight w:val="0"/>
      <w:marTop w:val="0"/>
      <w:marBottom w:val="0"/>
      <w:divBdr>
        <w:top w:val="none" w:sz="0" w:space="0" w:color="auto"/>
        <w:left w:val="none" w:sz="0" w:space="0" w:color="auto"/>
        <w:bottom w:val="none" w:sz="0" w:space="0" w:color="auto"/>
        <w:right w:val="none" w:sz="0" w:space="0" w:color="auto"/>
      </w:divBdr>
    </w:div>
    <w:div w:id="831415099">
      <w:bodyDiv w:val="1"/>
      <w:marLeft w:val="0"/>
      <w:marRight w:val="0"/>
      <w:marTop w:val="0"/>
      <w:marBottom w:val="0"/>
      <w:divBdr>
        <w:top w:val="none" w:sz="0" w:space="0" w:color="auto"/>
        <w:left w:val="none" w:sz="0" w:space="0" w:color="auto"/>
        <w:bottom w:val="none" w:sz="0" w:space="0" w:color="auto"/>
        <w:right w:val="none" w:sz="0" w:space="0" w:color="auto"/>
      </w:divBdr>
    </w:div>
    <w:div w:id="837426117">
      <w:bodyDiv w:val="1"/>
      <w:marLeft w:val="0"/>
      <w:marRight w:val="0"/>
      <w:marTop w:val="0"/>
      <w:marBottom w:val="0"/>
      <w:divBdr>
        <w:top w:val="none" w:sz="0" w:space="0" w:color="auto"/>
        <w:left w:val="none" w:sz="0" w:space="0" w:color="auto"/>
        <w:bottom w:val="none" w:sz="0" w:space="0" w:color="auto"/>
        <w:right w:val="none" w:sz="0" w:space="0" w:color="auto"/>
      </w:divBdr>
    </w:div>
    <w:div w:id="841168579">
      <w:bodyDiv w:val="1"/>
      <w:marLeft w:val="0"/>
      <w:marRight w:val="0"/>
      <w:marTop w:val="0"/>
      <w:marBottom w:val="0"/>
      <w:divBdr>
        <w:top w:val="none" w:sz="0" w:space="0" w:color="auto"/>
        <w:left w:val="none" w:sz="0" w:space="0" w:color="auto"/>
        <w:bottom w:val="none" w:sz="0" w:space="0" w:color="auto"/>
        <w:right w:val="none" w:sz="0" w:space="0" w:color="auto"/>
      </w:divBdr>
    </w:div>
    <w:div w:id="844782391">
      <w:bodyDiv w:val="1"/>
      <w:marLeft w:val="0"/>
      <w:marRight w:val="0"/>
      <w:marTop w:val="0"/>
      <w:marBottom w:val="0"/>
      <w:divBdr>
        <w:top w:val="none" w:sz="0" w:space="0" w:color="auto"/>
        <w:left w:val="none" w:sz="0" w:space="0" w:color="auto"/>
        <w:bottom w:val="none" w:sz="0" w:space="0" w:color="auto"/>
        <w:right w:val="none" w:sz="0" w:space="0" w:color="auto"/>
      </w:divBdr>
    </w:div>
    <w:div w:id="853962431">
      <w:bodyDiv w:val="1"/>
      <w:marLeft w:val="0"/>
      <w:marRight w:val="0"/>
      <w:marTop w:val="0"/>
      <w:marBottom w:val="0"/>
      <w:divBdr>
        <w:top w:val="none" w:sz="0" w:space="0" w:color="auto"/>
        <w:left w:val="none" w:sz="0" w:space="0" w:color="auto"/>
        <w:bottom w:val="none" w:sz="0" w:space="0" w:color="auto"/>
        <w:right w:val="none" w:sz="0" w:space="0" w:color="auto"/>
      </w:divBdr>
    </w:div>
    <w:div w:id="863908086">
      <w:bodyDiv w:val="1"/>
      <w:marLeft w:val="0"/>
      <w:marRight w:val="0"/>
      <w:marTop w:val="0"/>
      <w:marBottom w:val="0"/>
      <w:divBdr>
        <w:top w:val="none" w:sz="0" w:space="0" w:color="auto"/>
        <w:left w:val="none" w:sz="0" w:space="0" w:color="auto"/>
        <w:bottom w:val="none" w:sz="0" w:space="0" w:color="auto"/>
        <w:right w:val="none" w:sz="0" w:space="0" w:color="auto"/>
      </w:divBdr>
    </w:div>
    <w:div w:id="880869472">
      <w:bodyDiv w:val="1"/>
      <w:marLeft w:val="0"/>
      <w:marRight w:val="0"/>
      <w:marTop w:val="0"/>
      <w:marBottom w:val="0"/>
      <w:divBdr>
        <w:top w:val="none" w:sz="0" w:space="0" w:color="auto"/>
        <w:left w:val="none" w:sz="0" w:space="0" w:color="auto"/>
        <w:bottom w:val="none" w:sz="0" w:space="0" w:color="auto"/>
        <w:right w:val="none" w:sz="0" w:space="0" w:color="auto"/>
      </w:divBdr>
    </w:div>
    <w:div w:id="907883226">
      <w:bodyDiv w:val="1"/>
      <w:marLeft w:val="0"/>
      <w:marRight w:val="0"/>
      <w:marTop w:val="0"/>
      <w:marBottom w:val="0"/>
      <w:divBdr>
        <w:top w:val="none" w:sz="0" w:space="0" w:color="auto"/>
        <w:left w:val="none" w:sz="0" w:space="0" w:color="auto"/>
        <w:bottom w:val="none" w:sz="0" w:space="0" w:color="auto"/>
        <w:right w:val="none" w:sz="0" w:space="0" w:color="auto"/>
      </w:divBdr>
    </w:div>
    <w:div w:id="953514543">
      <w:bodyDiv w:val="1"/>
      <w:marLeft w:val="0"/>
      <w:marRight w:val="0"/>
      <w:marTop w:val="0"/>
      <w:marBottom w:val="0"/>
      <w:divBdr>
        <w:top w:val="none" w:sz="0" w:space="0" w:color="auto"/>
        <w:left w:val="none" w:sz="0" w:space="0" w:color="auto"/>
        <w:bottom w:val="none" w:sz="0" w:space="0" w:color="auto"/>
        <w:right w:val="none" w:sz="0" w:space="0" w:color="auto"/>
      </w:divBdr>
    </w:div>
    <w:div w:id="960693751">
      <w:bodyDiv w:val="1"/>
      <w:marLeft w:val="0"/>
      <w:marRight w:val="0"/>
      <w:marTop w:val="0"/>
      <w:marBottom w:val="0"/>
      <w:divBdr>
        <w:top w:val="none" w:sz="0" w:space="0" w:color="auto"/>
        <w:left w:val="none" w:sz="0" w:space="0" w:color="auto"/>
        <w:bottom w:val="none" w:sz="0" w:space="0" w:color="auto"/>
        <w:right w:val="none" w:sz="0" w:space="0" w:color="auto"/>
      </w:divBdr>
    </w:div>
    <w:div w:id="960919152">
      <w:bodyDiv w:val="1"/>
      <w:marLeft w:val="0"/>
      <w:marRight w:val="0"/>
      <w:marTop w:val="0"/>
      <w:marBottom w:val="0"/>
      <w:divBdr>
        <w:top w:val="none" w:sz="0" w:space="0" w:color="auto"/>
        <w:left w:val="none" w:sz="0" w:space="0" w:color="auto"/>
        <w:bottom w:val="none" w:sz="0" w:space="0" w:color="auto"/>
        <w:right w:val="none" w:sz="0" w:space="0" w:color="auto"/>
      </w:divBdr>
    </w:div>
    <w:div w:id="983587119">
      <w:bodyDiv w:val="1"/>
      <w:marLeft w:val="0"/>
      <w:marRight w:val="0"/>
      <w:marTop w:val="0"/>
      <w:marBottom w:val="0"/>
      <w:divBdr>
        <w:top w:val="none" w:sz="0" w:space="0" w:color="auto"/>
        <w:left w:val="none" w:sz="0" w:space="0" w:color="auto"/>
        <w:bottom w:val="none" w:sz="0" w:space="0" w:color="auto"/>
        <w:right w:val="none" w:sz="0" w:space="0" w:color="auto"/>
      </w:divBdr>
    </w:div>
    <w:div w:id="986475724">
      <w:bodyDiv w:val="1"/>
      <w:marLeft w:val="0"/>
      <w:marRight w:val="0"/>
      <w:marTop w:val="0"/>
      <w:marBottom w:val="0"/>
      <w:divBdr>
        <w:top w:val="none" w:sz="0" w:space="0" w:color="auto"/>
        <w:left w:val="none" w:sz="0" w:space="0" w:color="auto"/>
        <w:bottom w:val="none" w:sz="0" w:space="0" w:color="auto"/>
        <w:right w:val="none" w:sz="0" w:space="0" w:color="auto"/>
      </w:divBdr>
    </w:div>
    <w:div w:id="1008798642">
      <w:bodyDiv w:val="1"/>
      <w:marLeft w:val="0"/>
      <w:marRight w:val="0"/>
      <w:marTop w:val="0"/>
      <w:marBottom w:val="0"/>
      <w:divBdr>
        <w:top w:val="none" w:sz="0" w:space="0" w:color="auto"/>
        <w:left w:val="none" w:sz="0" w:space="0" w:color="auto"/>
        <w:bottom w:val="none" w:sz="0" w:space="0" w:color="auto"/>
        <w:right w:val="none" w:sz="0" w:space="0" w:color="auto"/>
      </w:divBdr>
    </w:div>
    <w:div w:id="1029067908">
      <w:bodyDiv w:val="1"/>
      <w:marLeft w:val="0"/>
      <w:marRight w:val="0"/>
      <w:marTop w:val="0"/>
      <w:marBottom w:val="0"/>
      <w:divBdr>
        <w:top w:val="none" w:sz="0" w:space="0" w:color="auto"/>
        <w:left w:val="none" w:sz="0" w:space="0" w:color="auto"/>
        <w:bottom w:val="none" w:sz="0" w:space="0" w:color="auto"/>
        <w:right w:val="none" w:sz="0" w:space="0" w:color="auto"/>
      </w:divBdr>
      <w:divsChild>
        <w:div w:id="631522760">
          <w:marLeft w:val="480"/>
          <w:marRight w:val="0"/>
          <w:marTop w:val="0"/>
          <w:marBottom w:val="0"/>
          <w:divBdr>
            <w:top w:val="none" w:sz="0" w:space="0" w:color="auto"/>
            <w:left w:val="none" w:sz="0" w:space="0" w:color="auto"/>
            <w:bottom w:val="none" w:sz="0" w:space="0" w:color="auto"/>
            <w:right w:val="none" w:sz="0" w:space="0" w:color="auto"/>
          </w:divBdr>
        </w:div>
        <w:div w:id="700399528">
          <w:marLeft w:val="480"/>
          <w:marRight w:val="0"/>
          <w:marTop w:val="0"/>
          <w:marBottom w:val="0"/>
          <w:divBdr>
            <w:top w:val="none" w:sz="0" w:space="0" w:color="auto"/>
            <w:left w:val="none" w:sz="0" w:space="0" w:color="auto"/>
            <w:bottom w:val="none" w:sz="0" w:space="0" w:color="auto"/>
            <w:right w:val="none" w:sz="0" w:space="0" w:color="auto"/>
          </w:divBdr>
        </w:div>
        <w:div w:id="403838769">
          <w:marLeft w:val="480"/>
          <w:marRight w:val="0"/>
          <w:marTop w:val="0"/>
          <w:marBottom w:val="0"/>
          <w:divBdr>
            <w:top w:val="none" w:sz="0" w:space="0" w:color="auto"/>
            <w:left w:val="none" w:sz="0" w:space="0" w:color="auto"/>
            <w:bottom w:val="none" w:sz="0" w:space="0" w:color="auto"/>
            <w:right w:val="none" w:sz="0" w:space="0" w:color="auto"/>
          </w:divBdr>
        </w:div>
        <w:div w:id="1219321923">
          <w:marLeft w:val="480"/>
          <w:marRight w:val="0"/>
          <w:marTop w:val="0"/>
          <w:marBottom w:val="0"/>
          <w:divBdr>
            <w:top w:val="none" w:sz="0" w:space="0" w:color="auto"/>
            <w:left w:val="none" w:sz="0" w:space="0" w:color="auto"/>
            <w:bottom w:val="none" w:sz="0" w:space="0" w:color="auto"/>
            <w:right w:val="none" w:sz="0" w:space="0" w:color="auto"/>
          </w:divBdr>
        </w:div>
        <w:div w:id="2080705717">
          <w:marLeft w:val="480"/>
          <w:marRight w:val="0"/>
          <w:marTop w:val="0"/>
          <w:marBottom w:val="0"/>
          <w:divBdr>
            <w:top w:val="none" w:sz="0" w:space="0" w:color="auto"/>
            <w:left w:val="none" w:sz="0" w:space="0" w:color="auto"/>
            <w:bottom w:val="none" w:sz="0" w:space="0" w:color="auto"/>
            <w:right w:val="none" w:sz="0" w:space="0" w:color="auto"/>
          </w:divBdr>
        </w:div>
        <w:div w:id="188376249">
          <w:marLeft w:val="480"/>
          <w:marRight w:val="0"/>
          <w:marTop w:val="0"/>
          <w:marBottom w:val="0"/>
          <w:divBdr>
            <w:top w:val="none" w:sz="0" w:space="0" w:color="auto"/>
            <w:left w:val="none" w:sz="0" w:space="0" w:color="auto"/>
            <w:bottom w:val="none" w:sz="0" w:space="0" w:color="auto"/>
            <w:right w:val="none" w:sz="0" w:space="0" w:color="auto"/>
          </w:divBdr>
        </w:div>
        <w:div w:id="714738739">
          <w:marLeft w:val="480"/>
          <w:marRight w:val="0"/>
          <w:marTop w:val="0"/>
          <w:marBottom w:val="0"/>
          <w:divBdr>
            <w:top w:val="none" w:sz="0" w:space="0" w:color="auto"/>
            <w:left w:val="none" w:sz="0" w:space="0" w:color="auto"/>
            <w:bottom w:val="none" w:sz="0" w:space="0" w:color="auto"/>
            <w:right w:val="none" w:sz="0" w:space="0" w:color="auto"/>
          </w:divBdr>
        </w:div>
        <w:div w:id="6947455">
          <w:marLeft w:val="480"/>
          <w:marRight w:val="0"/>
          <w:marTop w:val="0"/>
          <w:marBottom w:val="0"/>
          <w:divBdr>
            <w:top w:val="none" w:sz="0" w:space="0" w:color="auto"/>
            <w:left w:val="none" w:sz="0" w:space="0" w:color="auto"/>
            <w:bottom w:val="none" w:sz="0" w:space="0" w:color="auto"/>
            <w:right w:val="none" w:sz="0" w:space="0" w:color="auto"/>
          </w:divBdr>
        </w:div>
        <w:div w:id="1056395880">
          <w:marLeft w:val="480"/>
          <w:marRight w:val="0"/>
          <w:marTop w:val="0"/>
          <w:marBottom w:val="0"/>
          <w:divBdr>
            <w:top w:val="none" w:sz="0" w:space="0" w:color="auto"/>
            <w:left w:val="none" w:sz="0" w:space="0" w:color="auto"/>
            <w:bottom w:val="none" w:sz="0" w:space="0" w:color="auto"/>
            <w:right w:val="none" w:sz="0" w:space="0" w:color="auto"/>
          </w:divBdr>
        </w:div>
        <w:div w:id="319236925">
          <w:marLeft w:val="480"/>
          <w:marRight w:val="0"/>
          <w:marTop w:val="0"/>
          <w:marBottom w:val="0"/>
          <w:divBdr>
            <w:top w:val="none" w:sz="0" w:space="0" w:color="auto"/>
            <w:left w:val="none" w:sz="0" w:space="0" w:color="auto"/>
            <w:bottom w:val="none" w:sz="0" w:space="0" w:color="auto"/>
            <w:right w:val="none" w:sz="0" w:space="0" w:color="auto"/>
          </w:divBdr>
        </w:div>
        <w:div w:id="1666860224">
          <w:marLeft w:val="480"/>
          <w:marRight w:val="0"/>
          <w:marTop w:val="0"/>
          <w:marBottom w:val="0"/>
          <w:divBdr>
            <w:top w:val="none" w:sz="0" w:space="0" w:color="auto"/>
            <w:left w:val="none" w:sz="0" w:space="0" w:color="auto"/>
            <w:bottom w:val="none" w:sz="0" w:space="0" w:color="auto"/>
            <w:right w:val="none" w:sz="0" w:space="0" w:color="auto"/>
          </w:divBdr>
        </w:div>
        <w:div w:id="444427708">
          <w:marLeft w:val="480"/>
          <w:marRight w:val="0"/>
          <w:marTop w:val="0"/>
          <w:marBottom w:val="0"/>
          <w:divBdr>
            <w:top w:val="none" w:sz="0" w:space="0" w:color="auto"/>
            <w:left w:val="none" w:sz="0" w:space="0" w:color="auto"/>
            <w:bottom w:val="none" w:sz="0" w:space="0" w:color="auto"/>
            <w:right w:val="none" w:sz="0" w:space="0" w:color="auto"/>
          </w:divBdr>
        </w:div>
        <w:div w:id="1623923796">
          <w:marLeft w:val="480"/>
          <w:marRight w:val="0"/>
          <w:marTop w:val="0"/>
          <w:marBottom w:val="0"/>
          <w:divBdr>
            <w:top w:val="none" w:sz="0" w:space="0" w:color="auto"/>
            <w:left w:val="none" w:sz="0" w:space="0" w:color="auto"/>
            <w:bottom w:val="none" w:sz="0" w:space="0" w:color="auto"/>
            <w:right w:val="none" w:sz="0" w:space="0" w:color="auto"/>
          </w:divBdr>
        </w:div>
        <w:div w:id="1129588089">
          <w:marLeft w:val="480"/>
          <w:marRight w:val="0"/>
          <w:marTop w:val="0"/>
          <w:marBottom w:val="0"/>
          <w:divBdr>
            <w:top w:val="none" w:sz="0" w:space="0" w:color="auto"/>
            <w:left w:val="none" w:sz="0" w:space="0" w:color="auto"/>
            <w:bottom w:val="none" w:sz="0" w:space="0" w:color="auto"/>
            <w:right w:val="none" w:sz="0" w:space="0" w:color="auto"/>
          </w:divBdr>
        </w:div>
        <w:div w:id="416562310">
          <w:marLeft w:val="480"/>
          <w:marRight w:val="0"/>
          <w:marTop w:val="0"/>
          <w:marBottom w:val="0"/>
          <w:divBdr>
            <w:top w:val="none" w:sz="0" w:space="0" w:color="auto"/>
            <w:left w:val="none" w:sz="0" w:space="0" w:color="auto"/>
            <w:bottom w:val="none" w:sz="0" w:space="0" w:color="auto"/>
            <w:right w:val="none" w:sz="0" w:space="0" w:color="auto"/>
          </w:divBdr>
        </w:div>
        <w:div w:id="1879076501">
          <w:marLeft w:val="480"/>
          <w:marRight w:val="0"/>
          <w:marTop w:val="0"/>
          <w:marBottom w:val="0"/>
          <w:divBdr>
            <w:top w:val="none" w:sz="0" w:space="0" w:color="auto"/>
            <w:left w:val="none" w:sz="0" w:space="0" w:color="auto"/>
            <w:bottom w:val="none" w:sz="0" w:space="0" w:color="auto"/>
            <w:right w:val="none" w:sz="0" w:space="0" w:color="auto"/>
          </w:divBdr>
        </w:div>
        <w:div w:id="1892575894">
          <w:marLeft w:val="480"/>
          <w:marRight w:val="0"/>
          <w:marTop w:val="0"/>
          <w:marBottom w:val="0"/>
          <w:divBdr>
            <w:top w:val="none" w:sz="0" w:space="0" w:color="auto"/>
            <w:left w:val="none" w:sz="0" w:space="0" w:color="auto"/>
            <w:bottom w:val="none" w:sz="0" w:space="0" w:color="auto"/>
            <w:right w:val="none" w:sz="0" w:space="0" w:color="auto"/>
          </w:divBdr>
        </w:div>
        <w:div w:id="324357625">
          <w:marLeft w:val="480"/>
          <w:marRight w:val="0"/>
          <w:marTop w:val="0"/>
          <w:marBottom w:val="0"/>
          <w:divBdr>
            <w:top w:val="none" w:sz="0" w:space="0" w:color="auto"/>
            <w:left w:val="none" w:sz="0" w:space="0" w:color="auto"/>
            <w:bottom w:val="none" w:sz="0" w:space="0" w:color="auto"/>
            <w:right w:val="none" w:sz="0" w:space="0" w:color="auto"/>
          </w:divBdr>
        </w:div>
        <w:div w:id="1885023559">
          <w:marLeft w:val="480"/>
          <w:marRight w:val="0"/>
          <w:marTop w:val="0"/>
          <w:marBottom w:val="0"/>
          <w:divBdr>
            <w:top w:val="none" w:sz="0" w:space="0" w:color="auto"/>
            <w:left w:val="none" w:sz="0" w:space="0" w:color="auto"/>
            <w:bottom w:val="none" w:sz="0" w:space="0" w:color="auto"/>
            <w:right w:val="none" w:sz="0" w:space="0" w:color="auto"/>
          </w:divBdr>
        </w:div>
        <w:div w:id="610479964">
          <w:marLeft w:val="480"/>
          <w:marRight w:val="0"/>
          <w:marTop w:val="0"/>
          <w:marBottom w:val="0"/>
          <w:divBdr>
            <w:top w:val="none" w:sz="0" w:space="0" w:color="auto"/>
            <w:left w:val="none" w:sz="0" w:space="0" w:color="auto"/>
            <w:bottom w:val="none" w:sz="0" w:space="0" w:color="auto"/>
            <w:right w:val="none" w:sz="0" w:space="0" w:color="auto"/>
          </w:divBdr>
        </w:div>
        <w:div w:id="1706325328">
          <w:marLeft w:val="480"/>
          <w:marRight w:val="0"/>
          <w:marTop w:val="0"/>
          <w:marBottom w:val="0"/>
          <w:divBdr>
            <w:top w:val="none" w:sz="0" w:space="0" w:color="auto"/>
            <w:left w:val="none" w:sz="0" w:space="0" w:color="auto"/>
            <w:bottom w:val="none" w:sz="0" w:space="0" w:color="auto"/>
            <w:right w:val="none" w:sz="0" w:space="0" w:color="auto"/>
          </w:divBdr>
        </w:div>
        <w:div w:id="911543545">
          <w:marLeft w:val="480"/>
          <w:marRight w:val="0"/>
          <w:marTop w:val="0"/>
          <w:marBottom w:val="0"/>
          <w:divBdr>
            <w:top w:val="none" w:sz="0" w:space="0" w:color="auto"/>
            <w:left w:val="none" w:sz="0" w:space="0" w:color="auto"/>
            <w:bottom w:val="none" w:sz="0" w:space="0" w:color="auto"/>
            <w:right w:val="none" w:sz="0" w:space="0" w:color="auto"/>
          </w:divBdr>
        </w:div>
        <w:div w:id="962536365">
          <w:marLeft w:val="480"/>
          <w:marRight w:val="0"/>
          <w:marTop w:val="0"/>
          <w:marBottom w:val="0"/>
          <w:divBdr>
            <w:top w:val="none" w:sz="0" w:space="0" w:color="auto"/>
            <w:left w:val="none" w:sz="0" w:space="0" w:color="auto"/>
            <w:bottom w:val="none" w:sz="0" w:space="0" w:color="auto"/>
            <w:right w:val="none" w:sz="0" w:space="0" w:color="auto"/>
          </w:divBdr>
        </w:div>
        <w:div w:id="781798729">
          <w:marLeft w:val="480"/>
          <w:marRight w:val="0"/>
          <w:marTop w:val="0"/>
          <w:marBottom w:val="0"/>
          <w:divBdr>
            <w:top w:val="none" w:sz="0" w:space="0" w:color="auto"/>
            <w:left w:val="none" w:sz="0" w:space="0" w:color="auto"/>
            <w:bottom w:val="none" w:sz="0" w:space="0" w:color="auto"/>
            <w:right w:val="none" w:sz="0" w:space="0" w:color="auto"/>
          </w:divBdr>
        </w:div>
        <w:div w:id="16926531">
          <w:marLeft w:val="480"/>
          <w:marRight w:val="0"/>
          <w:marTop w:val="0"/>
          <w:marBottom w:val="0"/>
          <w:divBdr>
            <w:top w:val="none" w:sz="0" w:space="0" w:color="auto"/>
            <w:left w:val="none" w:sz="0" w:space="0" w:color="auto"/>
            <w:bottom w:val="none" w:sz="0" w:space="0" w:color="auto"/>
            <w:right w:val="none" w:sz="0" w:space="0" w:color="auto"/>
          </w:divBdr>
        </w:div>
        <w:div w:id="1714234461">
          <w:marLeft w:val="480"/>
          <w:marRight w:val="0"/>
          <w:marTop w:val="0"/>
          <w:marBottom w:val="0"/>
          <w:divBdr>
            <w:top w:val="none" w:sz="0" w:space="0" w:color="auto"/>
            <w:left w:val="none" w:sz="0" w:space="0" w:color="auto"/>
            <w:bottom w:val="none" w:sz="0" w:space="0" w:color="auto"/>
            <w:right w:val="none" w:sz="0" w:space="0" w:color="auto"/>
          </w:divBdr>
        </w:div>
        <w:div w:id="689524516">
          <w:marLeft w:val="480"/>
          <w:marRight w:val="0"/>
          <w:marTop w:val="0"/>
          <w:marBottom w:val="0"/>
          <w:divBdr>
            <w:top w:val="none" w:sz="0" w:space="0" w:color="auto"/>
            <w:left w:val="none" w:sz="0" w:space="0" w:color="auto"/>
            <w:bottom w:val="none" w:sz="0" w:space="0" w:color="auto"/>
            <w:right w:val="none" w:sz="0" w:space="0" w:color="auto"/>
          </w:divBdr>
        </w:div>
        <w:div w:id="666634802">
          <w:marLeft w:val="480"/>
          <w:marRight w:val="0"/>
          <w:marTop w:val="0"/>
          <w:marBottom w:val="0"/>
          <w:divBdr>
            <w:top w:val="none" w:sz="0" w:space="0" w:color="auto"/>
            <w:left w:val="none" w:sz="0" w:space="0" w:color="auto"/>
            <w:bottom w:val="none" w:sz="0" w:space="0" w:color="auto"/>
            <w:right w:val="none" w:sz="0" w:space="0" w:color="auto"/>
          </w:divBdr>
        </w:div>
        <w:div w:id="1005205509">
          <w:marLeft w:val="480"/>
          <w:marRight w:val="0"/>
          <w:marTop w:val="0"/>
          <w:marBottom w:val="0"/>
          <w:divBdr>
            <w:top w:val="none" w:sz="0" w:space="0" w:color="auto"/>
            <w:left w:val="none" w:sz="0" w:space="0" w:color="auto"/>
            <w:bottom w:val="none" w:sz="0" w:space="0" w:color="auto"/>
            <w:right w:val="none" w:sz="0" w:space="0" w:color="auto"/>
          </w:divBdr>
        </w:div>
        <w:div w:id="761217549">
          <w:marLeft w:val="480"/>
          <w:marRight w:val="0"/>
          <w:marTop w:val="0"/>
          <w:marBottom w:val="0"/>
          <w:divBdr>
            <w:top w:val="none" w:sz="0" w:space="0" w:color="auto"/>
            <w:left w:val="none" w:sz="0" w:space="0" w:color="auto"/>
            <w:bottom w:val="none" w:sz="0" w:space="0" w:color="auto"/>
            <w:right w:val="none" w:sz="0" w:space="0" w:color="auto"/>
          </w:divBdr>
        </w:div>
        <w:div w:id="1989237083">
          <w:marLeft w:val="480"/>
          <w:marRight w:val="0"/>
          <w:marTop w:val="0"/>
          <w:marBottom w:val="0"/>
          <w:divBdr>
            <w:top w:val="none" w:sz="0" w:space="0" w:color="auto"/>
            <w:left w:val="none" w:sz="0" w:space="0" w:color="auto"/>
            <w:bottom w:val="none" w:sz="0" w:space="0" w:color="auto"/>
            <w:right w:val="none" w:sz="0" w:space="0" w:color="auto"/>
          </w:divBdr>
        </w:div>
        <w:div w:id="275066434">
          <w:marLeft w:val="480"/>
          <w:marRight w:val="0"/>
          <w:marTop w:val="0"/>
          <w:marBottom w:val="0"/>
          <w:divBdr>
            <w:top w:val="none" w:sz="0" w:space="0" w:color="auto"/>
            <w:left w:val="none" w:sz="0" w:space="0" w:color="auto"/>
            <w:bottom w:val="none" w:sz="0" w:space="0" w:color="auto"/>
            <w:right w:val="none" w:sz="0" w:space="0" w:color="auto"/>
          </w:divBdr>
        </w:div>
      </w:divsChild>
    </w:div>
    <w:div w:id="1078096485">
      <w:bodyDiv w:val="1"/>
      <w:marLeft w:val="0"/>
      <w:marRight w:val="0"/>
      <w:marTop w:val="0"/>
      <w:marBottom w:val="0"/>
      <w:divBdr>
        <w:top w:val="none" w:sz="0" w:space="0" w:color="auto"/>
        <w:left w:val="none" w:sz="0" w:space="0" w:color="auto"/>
        <w:bottom w:val="none" w:sz="0" w:space="0" w:color="auto"/>
        <w:right w:val="none" w:sz="0" w:space="0" w:color="auto"/>
      </w:divBdr>
    </w:div>
    <w:div w:id="1095632112">
      <w:bodyDiv w:val="1"/>
      <w:marLeft w:val="0"/>
      <w:marRight w:val="0"/>
      <w:marTop w:val="0"/>
      <w:marBottom w:val="0"/>
      <w:divBdr>
        <w:top w:val="none" w:sz="0" w:space="0" w:color="auto"/>
        <w:left w:val="none" w:sz="0" w:space="0" w:color="auto"/>
        <w:bottom w:val="none" w:sz="0" w:space="0" w:color="auto"/>
        <w:right w:val="none" w:sz="0" w:space="0" w:color="auto"/>
      </w:divBdr>
    </w:div>
    <w:div w:id="1102264410">
      <w:bodyDiv w:val="1"/>
      <w:marLeft w:val="0"/>
      <w:marRight w:val="0"/>
      <w:marTop w:val="0"/>
      <w:marBottom w:val="0"/>
      <w:divBdr>
        <w:top w:val="none" w:sz="0" w:space="0" w:color="auto"/>
        <w:left w:val="none" w:sz="0" w:space="0" w:color="auto"/>
        <w:bottom w:val="none" w:sz="0" w:space="0" w:color="auto"/>
        <w:right w:val="none" w:sz="0" w:space="0" w:color="auto"/>
      </w:divBdr>
    </w:div>
    <w:div w:id="1104035082">
      <w:bodyDiv w:val="1"/>
      <w:marLeft w:val="0"/>
      <w:marRight w:val="0"/>
      <w:marTop w:val="0"/>
      <w:marBottom w:val="0"/>
      <w:divBdr>
        <w:top w:val="none" w:sz="0" w:space="0" w:color="auto"/>
        <w:left w:val="none" w:sz="0" w:space="0" w:color="auto"/>
        <w:bottom w:val="none" w:sz="0" w:space="0" w:color="auto"/>
        <w:right w:val="none" w:sz="0" w:space="0" w:color="auto"/>
      </w:divBdr>
    </w:div>
    <w:div w:id="1106510540">
      <w:bodyDiv w:val="1"/>
      <w:marLeft w:val="0"/>
      <w:marRight w:val="0"/>
      <w:marTop w:val="0"/>
      <w:marBottom w:val="0"/>
      <w:divBdr>
        <w:top w:val="none" w:sz="0" w:space="0" w:color="auto"/>
        <w:left w:val="none" w:sz="0" w:space="0" w:color="auto"/>
        <w:bottom w:val="none" w:sz="0" w:space="0" w:color="auto"/>
        <w:right w:val="none" w:sz="0" w:space="0" w:color="auto"/>
      </w:divBdr>
    </w:div>
    <w:div w:id="1120297844">
      <w:bodyDiv w:val="1"/>
      <w:marLeft w:val="0"/>
      <w:marRight w:val="0"/>
      <w:marTop w:val="0"/>
      <w:marBottom w:val="0"/>
      <w:divBdr>
        <w:top w:val="none" w:sz="0" w:space="0" w:color="auto"/>
        <w:left w:val="none" w:sz="0" w:space="0" w:color="auto"/>
        <w:bottom w:val="none" w:sz="0" w:space="0" w:color="auto"/>
        <w:right w:val="none" w:sz="0" w:space="0" w:color="auto"/>
      </w:divBdr>
    </w:div>
    <w:div w:id="1146552622">
      <w:bodyDiv w:val="1"/>
      <w:marLeft w:val="0"/>
      <w:marRight w:val="0"/>
      <w:marTop w:val="0"/>
      <w:marBottom w:val="0"/>
      <w:divBdr>
        <w:top w:val="none" w:sz="0" w:space="0" w:color="auto"/>
        <w:left w:val="none" w:sz="0" w:space="0" w:color="auto"/>
        <w:bottom w:val="none" w:sz="0" w:space="0" w:color="auto"/>
        <w:right w:val="none" w:sz="0" w:space="0" w:color="auto"/>
      </w:divBdr>
    </w:div>
    <w:div w:id="1165240514">
      <w:bodyDiv w:val="1"/>
      <w:marLeft w:val="0"/>
      <w:marRight w:val="0"/>
      <w:marTop w:val="0"/>
      <w:marBottom w:val="0"/>
      <w:divBdr>
        <w:top w:val="none" w:sz="0" w:space="0" w:color="auto"/>
        <w:left w:val="none" w:sz="0" w:space="0" w:color="auto"/>
        <w:bottom w:val="none" w:sz="0" w:space="0" w:color="auto"/>
        <w:right w:val="none" w:sz="0" w:space="0" w:color="auto"/>
      </w:divBdr>
    </w:div>
    <w:div w:id="1192257140">
      <w:bodyDiv w:val="1"/>
      <w:marLeft w:val="0"/>
      <w:marRight w:val="0"/>
      <w:marTop w:val="0"/>
      <w:marBottom w:val="0"/>
      <w:divBdr>
        <w:top w:val="none" w:sz="0" w:space="0" w:color="auto"/>
        <w:left w:val="none" w:sz="0" w:space="0" w:color="auto"/>
        <w:bottom w:val="none" w:sz="0" w:space="0" w:color="auto"/>
        <w:right w:val="none" w:sz="0" w:space="0" w:color="auto"/>
      </w:divBdr>
    </w:div>
    <w:div w:id="1227448722">
      <w:bodyDiv w:val="1"/>
      <w:marLeft w:val="0"/>
      <w:marRight w:val="0"/>
      <w:marTop w:val="0"/>
      <w:marBottom w:val="0"/>
      <w:divBdr>
        <w:top w:val="none" w:sz="0" w:space="0" w:color="auto"/>
        <w:left w:val="none" w:sz="0" w:space="0" w:color="auto"/>
        <w:bottom w:val="none" w:sz="0" w:space="0" w:color="auto"/>
        <w:right w:val="none" w:sz="0" w:space="0" w:color="auto"/>
      </w:divBdr>
    </w:div>
    <w:div w:id="1238249760">
      <w:bodyDiv w:val="1"/>
      <w:marLeft w:val="0"/>
      <w:marRight w:val="0"/>
      <w:marTop w:val="0"/>
      <w:marBottom w:val="0"/>
      <w:divBdr>
        <w:top w:val="none" w:sz="0" w:space="0" w:color="auto"/>
        <w:left w:val="none" w:sz="0" w:space="0" w:color="auto"/>
        <w:bottom w:val="none" w:sz="0" w:space="0" w:color="auto"/>
        <w:right w:val="none" w:sz="0" w:space="0" w:color="auto"/>
      </w:divBdr>
    </w:div>
    <w:div w:id="1241989279">
      <w:bodyDiv w:val="1"/>
      <w:marLeft w:val="0"/>
      <w:marRight w:val="0"/>
      <w:marTop w:val="0"/>
      <w:marBottom w:val="0"/>
      <w:divBdr>
        <w:top w:val="none" w:sz="0" w:space="0" w:color="auto"/>
        <w:left w:val="none" w:sz="0" w:space="0" w:color="auto"/>
        <w:bottom w:val="none" w:sz="0" w:space="0" w:color="auto"/>
        <w:right w:val="none" w:sz="0" w:space="0" w:color="auto"/>
      </w:divBdr>
    </w:div>
    <w:div w:id="1252544047">
      <w:bodyDiv w:val="1"/>
      <w:marLeft w:val="0"/>
      <w:marRight w:val="0"/>
      <w:marTop w:val="0"/>
      <w:marBottom w:val="0"/>
      <w:divBdr>
        <w:top w:val="none" w:sz="0" w:space="0" w:color="auto"/>
        <w:left w:val="none" w:sz="0" w:space="0" w:color="auto"/>
        <w:bottom w:val="none" w:sz="0" w:space="0" w:color="auto"/>
        <w:right w:val="none" w:sz="0" w:space="0" w:color="auto"/>
      </w:divBdr>
    </w:div>
    <w:div w:id="1252547412">
      <w:bodyDiv w:val="1"/>
      <w:marLeft w:val="0"/>
      <w:marRight w:val="0"/>
      <w:marTop w:val="0"/>
      <w:marBottom w:val="0"/>
      <w:divBdr>
        <w:top w:val="none" w:sz="0" w:space="0" w:color="auto"/>
        <w:left w:val="none" w:sz="0" w:space="0" w:color="auto"/>
        <w:bottom w:val="none" w:sz="0" w:space="0" w:color="auto"/>
        <w:right w:val="none" w:sz="0" w:space="0" w:color="auto"/>
      </w:divBdr>
    </w:div>
    <w:div w:id="1253584336">
      <w:bodyDiv w:val="1"/>
      <w:marLeft w:val="0"/>
      <w:marRight w:val="0"/>
      <w:marTop w:val="0"/>
      <w:marBottom w:val="0"/>
      <w:divBdr>
        <w:top w:val="none" w:sz="0" w:space="0" w:color="auto"/>
        <w:left w:val="none" w:sz="0" w:space="0" w:color="auto"/>
        <w:bottom w:val="none" w:sz="0" w:space="0" w:color="auto"/>
        <w:right w:val="none" w:sz="0" w:space="0" w:color="auto"/>
      </w:divBdr>
    </w:div>
    <w:div w:id="1261841079">
      <w:bodyDiv w:val="1"/>
      <w:marLeft w:val="0"/>
      <w:marRight w:val="0"/>
      <w:marTop w:val="0"/>
      <w:marBottom w:val="0"/>
      <w:divBdr>
        <w:top w:val="none" w:sz="0" w:space="0" w:color="auto"/>
        <w:left w:val="none" w:sz="0" w:space="0" w:color="auto"/>
        <w:bottom w:val="none" w:sz="0" w:space="0" w:color="auto"/>
        <w:right w:val="none" w:sz="0" w:space="0" w:color="auto"/>
      </w:divBdr>
    </w:div>
    <w:div w:id="1269386812">
      <w:bodyDiv w:val="1"/>
      <w:marLeft w:val="0"/>
      <w:marRight w:val="0"/>
      <w:marTop w:val="0"/>
      <w:marBottom w:val="0"/>
      <w:divBdr>
        <w:top w:val="none" w:sz="0" w:space="0" w:color="auto"/>
        <w:left w:val="none" w:sz="0" w:space="0" w:color="auto"/>
        <w:bottom w:val="none" w:sz="0" w:space="0" w:color="auto"/>
        <w:right w:val="none" w:sz="0" w:space="0" w:color="auto"/>
      </w:divBdr>
    </w:div>
    <w:div w:id="1312517143">
      <w:bodyDiv w:val="1"/>
      <w:marLeft w:val="0"/>
      <w:marRight w:val="0"/>
      <w:marTop w:val="0"/>
      <w:marBottom w:val="0"/>
      <w:divBdr>
        <w:top w:val="none" w:sz="0" w:space="0" w:color="auto"/>
        <w:left w:val="none" w:sz="0" w:space="0" w:color="auto"/>
        <w:bottom w:val="none" w:sz="0" w:space="0" w:color="auto"/>
        <w:right w:val="none" w:sz="0" w:space="0" w:color="auto"/>
      </w:divBdr>
    </w:div>
    <w:div w:id="1341086849">
      <w:bodyDiv w:val="1"/>
      <w:marLeft w:val="0"/>
      <w:marRight w:val="0"/>
      <w:marTop w:val="0"/>
      <w:marBottom w:val="0"/>
      <w:divBdr>
        <w:top w:val="none" w:sz="0" w:space="0" w:color="auto"/>
        <w:left w:val="none" w:sz="0" w:space="0" w:color="auto"/>
        <w:bottom w:val="none" w:sz="0" w:space="0" w:color="auto"/>
        <w:right w:val="none" w:sz="0" w:space="0" w:color="auto"/>
      </w:divBdr>
    </w:div>
    <w:div w:id="1367213218">
      <w:bodyDiv w:val="1"/>
      <w:marLeft w:val="0"/>
      <w:marRight w:val="0"/>
      <w:marTop w:val="0"/>
      <w:marBottom w:val="0"/>
      <w:divBdr>
        <w:top w:val="none" w:sz="0" w:space="0" w:color="auto"/>
        <w:left w:val="none" w:sz="0" w:space="0" w:color="auto"/>
        <w:bottom w:val="none" w:sz="0" w:space="0" w:color="auto"/>
        <w:right w:val="none" w:sz="0" w:space="0" w:color="auto"/>
      </w:divBdr>
    </w:div>
    <w:div w:id="1426002210">
      <w:bodyDiv w:val="1"/>
      <w:marLeft w:val="0"/>
      <w:marRight w:val="0"/>
      <w:marTop w:val="0"/>
      <w:marBottom w:val="0"/>
      <w:divBdr>
        <w:top w:val="none" w:sz="0" w:space="0" w:color="auto"/>
        <w:left w:val="none" w:sz="0" w:space="0" w:color="auto"/>
        <w:bottom w:val="none" w:sz="0" w:space="0" w:color="auto"/>
        <w:right w:val="none" w:sz="0" w:space="0" w:color="auto"/>
      </w:divBdr>
    </w:div>
    <w:div w:id="1426802678">
      <w:bodyDiv w:val="1"/>
      <w:marLeft w:val="0"/>
      <w:marRight w:val="0"/>
      <w:marTop w:val="0"/>
      <w:marBottom w:val="0"/>
      <w:divBdr>
        <w:top w:val="none" w:sz="0" w:space="0" w:color="auto"/>
        <w:left w:val="none" w:sz="0" w:space="0" w:color="auto"/>
        <w:bottom w:val="none" w:sz="0" w:space="0" w:color="auto"/>
        <w:right w:val="none" w:sz="0" w:space="0" w:color="auto"/>
      </w:divBdr>
    </w:div>
    <w:div w:id="1442607912">
      <w:bodyDiv w:val="1"/>
      <w:marLeft w:val="0"/>
      <w:marRight w:val="0"/>
      <w:marTop w:val="0"/>
      <w:marBottom w:val="0"/>
      <w:divBdr>
        <w:top w:val="none" w:sz="0" w:space="0" w:color="auto"/>
        <w:left w:val="none" w:sz="0" w:space="0" w:color="auto"/>
        <w:bottom w:val="none" w:sz="0" w:space="0" w:color="auto"/>
        <w:right w:val="none" w:sz="0" w:space="0" w:color="auto"/>
      </w:divBdr>
    </w:div>
    <w:div w:id="1445151700">
      <w:bodyDiv w:val="1"/>
      <w:marLeft w:val="0"/>
      <w:marRight w:val="0"/>
      <w:marTop w:val="0"/>
      <w:marBottom w:val="0"/>
      <w:divBdr>
        <w:top w:val="none" w:sz="0" w:space="0" w:color="auto"/>
        <w:left w:val="none" w:sz="0" w:space="0" w:color="auto"/>
        <w:bottom w:val="none" w:sz="0" w:space="0" w:color="auto"/>
        <w:right w:val="none" w:sz="0" w:space="0" w:color="auto"/>
      </w:divBdr>
    </w:div>
    <w:div w:id="1450974403">
      <w:bodyDiv w:val="1"/>
      <w:marLeft w:val="0"/>
      <w:marRight w:val="0"/>
      <w:marTop w:val="0"/>
      <w:marBottom w:val="0"/>
      <w:divBdr>
        <w:top w:val="none" w:sz="0" w:space="0" w:color="auto"/>
        <w:left w:val="none" w:sz="0" w:space="0" w:color="auto"/>
        <w:bottom w:val="none" w:sz="0" w:space="0" w:color="auto"/>
        <w:right w:val="none" w:sz="0" w:space="0" w:color="auto"/>
      </w:divBdr>
    </w:div>
    <w:div w:id="1477065408">
      <w:bodyDiv w:val="1"/>
      <w:marLeft w:val="0"/>
      <w:marRight w:val="0"/>
      <w:marTop w:val="0"/>
      <w:marBottom w:val="0"/>
      <w:divBdr>
        <w:top w:val="none" w:sz="0" w:space="0" w:color="auto"/>
        <w:left w:val="none" w:sz="0" w:space="0" w:color="auto"/>
        <w:bottom w:val="none" w:sz="0" w:space="0" w:color="auto"/>
        <w:right w:val="none" w:sz="0" w:space="0" w:color="auto"/>
      </w:divBdr>
    </w:div>
    <w:div w:id="1487818635">
      <w:bodyDiv w:val="1"/>
      <w:marLeft w:val="0"/>
      <w:marRight w:val="0"/>
      <w:marTop w:val="0"/>
      <w:marBottom w:val="0"/>
      <w:divBdr>
        <w:top w:val="none" w:sz="0" w:space="0" w:color="auto"/>
        <w:left w:val="none" w:sz="0" w:space="0" w:color="auto"/>
        <w:bottom w:val="none" w:sz="0" w:space="0" w:color="auto"/>
        <w:right w:val="none" w:sz="0" w:space="0" w:color="auto"/>
      </w:divBdr>
    </w:div>
    <w:div w:id="1518034519">
      <w:bodyDiv w:val="1"/>
      <w:marLeft w:val="0"/>
      <w:marRight w:val="0"/>
      <w:marTop w:val="0"/>
      <w:marBottom w:val="0"/>
      <w:divBdr>
        <w:top w:val="none" w:sz="0" w:space="0" w:color="auto"/>
        <w:left w:val="none" w:sz="0" w:space="0" w:color="auto"/>
        <w:bottom w:val="none" w:sz="0" w:space="0" w:color="auto"/>
        <w:right w:val="none" w:sz="0" w:space="0" w:color="auto"/>
      </w:divBdr>
    </w:div>
    <w:div w:id="1527058847">
      <w:bodyDiv w:val="1"/>
      <w:marLeft w:val="0"/>
      <w:marRight w:val="0"/>
      <w:marTop w:val="0"/>
      <w:marBottom w:val="0"/>
      <w:divBdr>
        <w:top w:val="none" w:sz="0" w:space="0" w:color="auto"/>
        <w:left w:val="none" w:sz="0" w:space="0" w:color="auto"/>
        <w:bottom w:val="none" w:sz="0" w:space="0" w:color="auto"/>
        <w:right w:val="none" w:sz="0" w:space="0" w:color="auto"/>
      </w:divBdr>
    </w:div>
    <w:div w:id="1539313464">
      <w:bodyDiv w:val="1"/>
      <w:marLeft w:val="0"/>
      <w:marRight w:val="0"/>
      <w:marTop w:val="0"/>
      <w:marBottom w:val="0"/>
      <w:divBdr>
        <w:top w:val="none" w:sz="0" w:space="0" w:color="auto"/>
        <w:left w:val="none" w:sz="0" w:space="0" w:color="auto"/>
        <w:bottom w:val="none" w:sz="0" w:space="0" w:color="auto"/>
        <w:right w:val="none" w:sz="0" w:space="0" w:color="auto"/>
      </w:divBdr>
    </w:div>
    <w:div w:id="1577592241">
      <w:bodyDiv w:val="1"/>
      <w:marLeft w:val="0"/>
      <w:marRight w:val="0"/>
      <w:marTop w:val="0"/>
      <w:marBottom w:val="0"/>
      <w:divBdr>
        <w:top w:val="none" w:sz="0" w:space="0" w:color="auto"/>
        <w:left w:val="none" w:sz="0" w:space="0" w:color="auto"/>
        <w:bottom w:val="none" w:sz="0" w:space="0" w:color="auto"/>
        <w:right w:val="none" w:sz="0" w:space="0" w:color="auto"/>
      </w:divBdr>
    </w:div>
    <w:div w:id="1599752941">
      <w:bodyDiv w:val="1"/>
      <w:marLeft w:val="0"/>
      <w:marRight w:val="0"/>
      <w:marTop w:val="0"/>
      <w:marBottom w:val="0"/>
      <w:divBdr>
        <w:top w:val="none" w:sz="0" w:space="0" w:color="auto"/>
        <w:left w:val="none" w:sz="0" w:space="0" w:color="auto"/>
        <w:bottom w:val="none" w:sz="0" w:space="0" w:color="auto"/>
        <w:right w:val="none" w:sz="0" w:space="0" w:color="auto"/>
      </w:divBdr>
    </w:div>
    <w:div w:id="1631202784">
      <w:bodyDiv w:val="1"/>
      <w:marLeft w:val="0"/>
      <w:marRight w:val="0"/>
      <w:marTop w:val="0"/>
      <w:marBottom w:val="0"/>
      <w:divBdr>
        <w:top w:val="none" w:sz="0" w:space="0" w:color="auto"/>
        <w:left w:val="none" w:sz="0" w:space="0" w:color="auto"/>
        <w:bottom w:val="none" w:sz="0" w:space="0" w:color="auto"/>
        <w:right w:val="none" w:sz="0" w:space="0" w:color="auto"/>
      </w:divBdr>
    </w:div>
    <w:div w:id="1648438316">
      <w:bodyDiv w:val="1"/>
      <w:marLeft w:val="0"/>
      <w:marRight w:val="0"/>
      <w:marTop w:val="0"/>
      <w:marBottom w:val="0"/>
      <w:divBdr>
        <w:top w:val="none" w:sz="0" w:space="0" w:color="auto"/>
        <w:left w:val="none" w:sz="0" w:space="0" w:color="auto"/>
        <w:bottom w:val="none" w:sz="0" w:space="0" w:color="auto"/>
        <w:right w:val="none" w:sz="0" w:space="0" w:color="auto"/>
      </w:divBdr>
    </w:div>
    <w:div w:id="1656642779">
      <w:bodyDiv w:val="1"/>
      <w:marLeft w:val="0"/>
      <w:marRight w:val="0"/>
      <w:marTop w:val="0"/>
      <w:marBottom w:val="0"/>
      <w:divBdr>
        <w:top w:val="none" w:sz="0" w:space="0" w:color="auto"/>
        <w:left w:val="none" w:sz="0" w:space="0" w:color="auto"/>
        <w:bottom w:val="none" w:sz="0" w:space="0" w:color="auto"/>
        <w:right w:val="none" w:sz="0" w:space="0" w:color="auto"/>
      </w:divBdr>
    </w:div>
    <w:div w:id="1663005826">
      <w:bodyDiv w:val="1"/>
      <w:marLeft w:val="0"/>
      <w:marRight w:val="0"/>
      <w:marTop w:val="0"/>
      <w:marBottom w:val="0"/>
      <w:divBdr>
        <w:top w:val="none" w:sz="0" w:space="0" w:color="auto"/>
        <w:left w:val="none" w:sz="0" w:space="0" w:color="auto"/>
        <w:bottom w:val="none" w:sz="0" w:space="0" w:color="auto"/>
        <w:right w:val="none" w:sz="0" w:space="0" w:color="auto"/>
      </w:divBdr>
    </w:div>
    <w:div w:id="1725175030">
      <w:bodyDiv w:val="1"/>
      <w:marLeft w:val="0"/>
      <w:marRight w:val="0"/>
      <w:marTop w:val="0"/>
      <w:marBottom w:val="0"/>
      <w:divBdr>
        <w:top w:val="none" w:sz="0" w:space="0" w:color="auto"/>
        <w:left w:val="none" w:sz="0" w:space="0" w:color="auto"/>
        <w:bottom w:val="none" w:sz="0" w:space="0" w:color="auto"/>
        <w:right w:val="none" w:sz="0" w:space="0" w:color="auto"/>
      </w:divBdr>
    </w:div>
    <w:div w:id="1729643296">
      <w:bodyDiv w:val="1"/>
      <w:marLeft w:val="0"/>
      <w:marRight w:val="0"/>
      <w:marTop w:val="0"/>
      <w:marBottom w:val="0"/>
      <w:divBdr>
        <w:top w:val="none" w:sz="0" w:space="0" w:color="auto"/>
        <w:left w:val="none" w:sz="0" w:space="0" w:color="auto"/>
        <w:bottom w:val="none" w:sz="0" w:space="0" w:color="auto"/>
        <w:right w:val="none" w:sz="0" w:space="0" w:color="auto"/>
      </w:divBdr>
    </w:div>
    <w:div w:id="1760909456">
      <w:bodyDiv w:val="1"/>
      <w:marLeft w:val="0"/>
      <w:marRight w:val="0"/>
      <w:marTop w:val="0"/>
      <w:marBottom w:val="0"/>
      <w:divBdr>
        <w:top w:val="none" w:sz="0" w:space="0" w:color="auto"/>
        <w:left w:val="none" w:sz="0" w:space="0" w:color="auto"/>
        <w:bottom w:val="none" w:sz="0" w:space="0" w:color="auto"/>
        <w:right w:val="none" w:sz="0" w:space="0" w:color="auto"/>
      </w:divBdr>
    </w:div>
    <w:div w:id="1832983912">
      <w:bodyDiv w:val="1"/>
      <w:marLeft w:val="0"/>
      <w:marRight w:val="0"/>
      <w:marTop w:val="0"/>
      <w:marBottom w:val="0"/>
      <w:divBdr>
        <w:top w:val="none" w:sz="0" w:space="0" w:color="auto"/>
        <w:left w:val="none" w:sz="0" w:space="0" w:color="auto"/>
        <w:bottom w:val="none" w:sz="0" w:space="0" w:color="auto"/>
        <w:right w:val="none" w:sz="0" w:space="0" w:color="auto"/>
      </w:divBdr>
    </w:div>
    <w:div w:id="1847986174">
      <w:bodyDiv w:val="1"/>
      <w:marLeft w:val="0"/>
      <w:marRight w:val="0"/>
      <w:marTop w:val="0"/>
      <w:marBottom w:val="0"/>
      <w:divBdr>
        <w:top w:val="none" w:sz="0" w:space="0" w:color="auto"/>
        <w:left w:val="none" w:sz="0" w:space="0" w:color="auto"/>
        <w:bottom w:val="none" w:sz="0" w:space="0" w:color="auto"/>
        <w:right w:val="none" w:sz="0" w:space="0" w:color="auto"/>
      </w:divBdr>
    </w:div>
    <w:div w:id="1884827133">
      <w:bodyDiv w:val="1"/>
      <w:marLeft w:val="0"/>
      <w:marRight w:val="0"/>
      <w:marTop w:val="0"/>
      <w:marBottom w:val="0"/>
      <w:divBdr>
        <w:top w:val="none" w:sz="0" w:space="0" w:color="auto"/>
        <w:left w:val="none" w:sz="0" w:space="0" w:color="auto"/>
        <w:bottom w:val="none" w:sz="0" w:space="0" w:color="auto"/>
        <w:right w:val="none" w:sz="0" w:space="0" w:color="auto"/>
      </w:divBdr>
    </w:div>
    <w:div w:id="1959487914">
      <w:bodyDiv w:val="1"/>
      <w:marLeft w:val="0"/>
      <w:marRight w:val="0"/>
      <w:marTop w:val="0"/>
      <w:marBottom w:val="0"/>
      <w:divBdr>
        <w:top w:val="none" w:sz="0" w:space="0" w:color="auto"/>
        <w:left w:val="none" w:sz="0" w:space="0" w:color="auto"/>
        <w:bottom w:val="none" w:sz="0" w:space="0" w:color="auto"/>
        <w:right w:val="none" w:sz="0" w:space="0" w:color="auto"/>
      </w:divBdr>
    </w:div>
    <w:div w:id="1965456218">
      <w:bodyDiv w:val="1"/>
      <w:marLeft w:val="0"/>
      <w:marRight w:val="0"/>
      <w:marTop w:val="0"/>
      <w:marBottom w:val="0"/>
      <w:divBdr>
        <w:top w:val="none" w:sz="0" w:space="0" w:color="auto"/>
        <w:left w:val="none" w:sz="0" w:space="0" w:color="auto"/>
        <w:bottom w:val="none" w:sz="0" w:space="0" w:color="auto"/>
        <w:right w:val="none" w:sz="0" w:space="0" w:color="auto"/>
      </w:divBdr>
    </w:div>
    <w:div w:id="1969163798">
      <w:bodyDiv w:val="1"/>
      <w:marLeft w:val="0"/>
      <w:marRight w:val="0"/>
      <w:marTop w:val="0"/>
      <w:marBottom w:val="0"/>
      <w:divBdr>
        <w:top w:val="none" w:sz="0" w:space="0" w:color="auto"/>
        <w:left w:val="none" w:sz="0" w:space="0" w:color="auto"/>
        <w:bottom w:val="none" w:sz="0" w:space="0" w:color="auto"/>
        <w:right w:val="none" w:sz="0" w:space="0" w:color="auto"/>
      </w:divBdr>
      <w:divsChild>
        <w:div w:id="18379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66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41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717222">
      <w:bodyDiv w:val="1"/>
      <w:marLeft w:val="0"/>
      <w:marRight w:val="0"/>
      <w:marTop w:val="0"/>
      <w:marBottom w:val="0"/>
      <w:divBdr>
        <w:top w:val="none" w:sz="0" w:space="0" w:color="auto"/>
        <w:left w:val="none" w:sz="0" w:space="0" w:color="auto"/>
        <w:bottom w:val="none" w:sz="0" w:space="0" w:color="auto"/>
        <w:right w:val="none" w:sz="0" w:space="0" w:color="auto"/>
      </w:divBdr>
    </w:div>
    <w:div w:id="1977253052">
      <w:bodyDiv w:val="1"/>
      <w:marLeft w:val="0"/>
      <w:marRight w:val="0"/>
      <w:marTop w:val="0"/>
      <w:marBottom w:val="0"/>
      <w:divBdr>
        <w:top w:val="none" w:sz="0" w:space="0" w:color="auto"/>
        <w:left w:val="none" w:sz="0" w:space="0" w:color="auto"/>
        <w:bottom w:val="none" w:sz="0" w:space="0" w:color="auto"/>
        <w:right w:val="none" w:sz="0" w:space="0" w:color="auto"/>
      </w:divBdr>
    </w:div>
    <w:div w:id="1990280011">
      <w:bodyDiv w:val="1"/>
      <w:marLeft w:val="0"/>
      <w:marRight w:val="0"/>
      <w:marTop w:val="0"/>
      <w:marBottom w:val="0"/>
      <w:divBdr>
        <w:top w:val="none" w:sz="0" w:space="0" w:color="auto"/>
        <w:left w:val="none" w:sz="0" w:space="0" w:color="auto"/>
        <w:bottom w:val="none" w:sz="0" w:space="0" w:color="auto"/>
        <w:right w:val="none" w:sz="0" w:space="0" w:color="auto"/>
      </w:divBdr>
    </w:div>
    <w:div w:id="2010448610">
      <w:bodyDiv w:val="1"/>
      <w:marLeft w:val="0"/>
      <w:marRight w:val="0"/>
      <w:marTop w:val="0"/>
      <w:marBottom w:val="0"/>
      <w:divBdr>
        <w:top w:val="none" w:sz="0" w:space="0" w:color="auto"/>
        <w:left w:val="none" w:sz="0" w:space="0" w:color="auto"/>
        <w:bottom w:val="none" w:sz="0" w:space="0" w:color="auto"/>
        <w:right w:val="none" w:sz="0" w:space="0" w:color="auto"/>
      </w:divBdr>
    </w:div>
    <w:div w:id="2065441060">
      <w:bodyDiv w:val="1"/>
      <w:marLeft w:val="0"/>
      <w:marRight w:val="0"/>
      <w:marTop w:val="0"/>
      <w:marBottom w:val="0"/>
      <w:divBdr>
        <w:top w:val="none" w:sz="0" w:space="0" w:color="auto"/>
        <w:left w:val="none" w:sz="0" w:space="0" w:color="auto"/>
        <w:bottom w:val="none" w:sz="0" w:space="0" w:color="auto"/>
        <w:right w:val="none" w:sz="0" w:space="0" w:color="auto"/>
      </w:divBdr>
    </w:div>
    <w:div w:id="2070877387">
      <w:bodyDiv w:val="1"/>
      <w:marLeft w:val="0"/>
      <w:marRight w:val="0"/>
      <w:marTop w:val="0"/>
      <w:marBottom w:val="0"/>
      <w:divBdr>
        <w:top w:val="none" w:sz="0" w:space="0" w:color="auto"/>
        <w:left w:val="none" w:sz="0" w:space="0" w:color="auto"/>
        <w:bottom w:val="none" w:sz="0" w:space="0" w:color="auto"/>
        <w:right w:val="none" w:sz="0" w:space="0" w:color="auto"/>
      </w:divBdr>
    </w:div>
    <w:div w:id="2073892621">
      <w:bodyDiv w:val="1"/>
      <w:marLeft w:val="0"/>
      <w:marRight w:val="0"/>
      <w:marTop w:val="0"/>
      <w:marBottom w:val="0"/>
      <w:divBdr>
        <w:top w:val="none" w:sz="0" w:space="0" w:color="auto"/>
        <w:left w:val="none" w:sz="0" w:space="0" w:color="auto"/>
        <w:bottom w:val="none" w:sz="0" w:space="0" w:color="auto"/>
        <w:right w:val="none" w:sz="0" w:space="0" w:color="auto"/>
      </w:divBdr>
    </w:div>
    <w:div w:id="2081100070">
      <w:bodyDiv w:val="1"/>
      <w:marLeft w:val="0"/>
      <w:marRight w:val="0"/>
      <w:marTop w:val="0"/>
      <w:marBottom w:val="0"/>
      <w:divBdr>
        <w:top w:val="none" w:sz="0" w:space="0" w:color="auto"/>
        <w:left w:val="none" w:sz="0" w:space="0" w:color="auto"/>
        <w:bottom w:val="none" w:sz="0" w:space="0" w:color="auto"/>
        <w:right w:val="none" w:sz="0" w:space="0" w:color="auto"/>
      </w:divBdr>
    </w:div>
    <w:div w:id="2098011338">
      <w:bodyDiv w:val="1"/>
      <w:marLeft w:val="0"/>
      <w:marRight w:val="0"/>
      <w:marTop w:val="0"/>
      <w:marBottom w:val="0"/>
      <w:divBdr>
        <w:top w:val="none" w:sz="0" w:space="0" w:color="auto"/>
        <w:left w:val="none" w:sz="0" w:space="0" w:color="auto"/>
        <w:bottom w:val="none" w:sz="0" w:space="0" w:color="auto"/>
        <w:right w:val="none" w:sz="0" w:space="0" w:color="auto"/>
      </w:divBdr>
    </w:div>
    <w:div w:id="2105956036">
      <w:bodyDiv w:val="1"/>
      <w:marLeft w:val="0"/>
      <w:marRight w:val="0"/>
      <w:marTop w:val="0"/>
      <w:marBottom w:val="0"/>
      <w:divBdr>
        <w:top w:val="none" w:sz="0" w:space="0" w:color="auto"/>
        <w:left w:val="none" w:sz="0" w:space="0" w:color="auto"/>
        <w:bottom w:val="none" w:sz="0" w:space="0" w:color="auto"/>
        <w:right w:val="none" w:sz="0" w:space="0" w:color="auto"/>
      </w:divBdr>
    </w:div>
    <w:div w:id="2107260729">
      <w:bodyDiv w:val="1"/>
      <w:marLeft w:val="0"/>
      <w:marRight w:val="0"/>
      <w:marTop w:val="0"/>
      <w:marBottom w:val="0"/>
      <w:divBdr>
        <w:top w:val="none" w:sz="0" w:space="0" w:color="auto"/>
        <w:left w:val="none" w:sz="0" w:space="0" w:color="auto"/>
        <w:bottom w:val="none" w:sz="0" w:space="0" w:color="auto"/>
        <w:right w:val="none" w:sz="0" w:space="0" w:color="auto"/>
      </w:divBdr>
    </w:div>
    <w:div w:id="2131852671">
      <w:bodyDiv w:val="1"/>
      <w:marLeft w:val="0"/>
      <w:marRight w:val="0"/>
      <w:marTop w:val="0"/>
      <w:marBottom w:val="0"/>
      <w:divBdr>
        <w:top w:val="none" w:sz="0" w:space="0" w:color="auto"/>
        <w:left w:val="none" w:sz="0" w:space="0" w:color="auto"/>
        <w:bottom w:val="none" w:sz="0" w:space="0" w:color="auto"/>
        <w:right w:val="none" w:sz="0" w:space="0" w:color="auto"/>
      </w:divBdr>
    </w:div>
    <w:div w:id="2136483224">
      <w:bodyDiv w:val="1"/>
      <w:marLeft w:val="0"/>
      <w:marRight w:val="0"/>
      <w:marTop w:val="0"/>
      <w:marBottom w:val="0"/>
      <w:divBdr>
        <w:top w:val="none" w:sz="0" w:space="0" w:color="auto"/>
        <w:left w:val="none" w:sz="0" w:space="0" w:color="auto"/>
        <w:bottom w:val="none" w:sz="0" w:space="0" w:color="auto"/>
        <w:right w:val="none" w:sz="0" w:space="0" w:color="auto"/>
      </w:divBdr>
    </w:div>
    <w:div w:id="2137482212">
      <w:bodyDiv w:val="1"/>
      <w:marLeft w:val="0"/>
      <w:marRight w:val="0"/>
      <w:marTop w:val="0"/>
      <w:marBottom w:val="0"/>
      <w:divBdr>
        <w:top w:val="none" w:sz="0" w:space="0" w:color="auto"/>
        <w:left w:val="none" w:sz="0" w:space="0" w:color="auto"/>
        <w:bottom w:val="none" w:sz="0" w:space="0" w:color="auto"/>
        <w:right w:val="none" w:sz="0" w:space="0" w:color="auto"/>
      </w:divBdr>
    </w:div>
    <w:div w:id="2138571027">
      <w:bodyDiv w:val="1"/>
      <w:marLeft w:val="0"/>
      <w:marRight w:val="0"/>
      <w:marTop w:val="0"/>
      <w:marBottom w:val="0"/>
      <w:divBdr>
        <w:top w:val="none" w:sz="0" w:space="0" w:color="auto"/>
        <w:left w:val="none" w:sz="0" w:space="0" w:color="auto"/>
        <w:bottom w:val="none" w:sz="0" w:space="0" w:color="auto"/>
        <w:right w:val="none" w:sz="0" w:space="0" w:color="auto"/>
      </w:divBdr>
    </w:div>
    <w:div w:id="21386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4CD497-BCBE-40C2-9331-1A4F8EBEDCEB}"/>
      </w:docPartPr>
      <w:docPartBody>
        <w:p w:rsidR="00FD229D" w:rsidRDefault="00FD229D">
          <w:r w:rsidRPr="003B53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9D"/>
    <w:rsid w:val="00587461"/>
    <w:rsid w:val="008C76ED"/>
    <w:rsid w:val="0090525A"/>
    <w:rsid w:val="00A35FE1"/>
    <w:rsid w:val="00B34BA2"/>
    <w:rsid w:val="00B80D33"/>
    <w:rsid w:val="00FD2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2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B862B-0C27-4A02-A4E6-EAB9ADCB1A45}">
  <we:reference id="wa104382081" version="1.55.1.0" store="en-US" storeType="OMEX"/>
  <we:alternateReferences>
    <we:reference id="wa104382081" version="1.55.1.0" store="wa104382081" storeType="OMEX"/>
  </we:alternateReferences>
  <we:properties>
    <we:property name="MENDELEY_CITATIONS" value="[{&quot;citationID&quot;:&quot;MENDELEY_CITATION_09bf8cdc-5d66-4eba-b04e-f99bc0a54e05&quot;,&quot;properties&quot;:{&quot;noteIndex&quot;:0},&quot;isEdited&quot;:false,&quot;manualOverride&quot;:{&quot;isManuallyOverridden&quot;:false,&quot;citeprocText&quot;:&quot;(Holum, 2023)&quot;,&quot;manualOverrideText&quot;:&quot;&quot;},&quot;citationTag&quot;:&quot;MENDELEY_CITATION_v3_eyJjaXRhdGlvbklEIjoiTUVOREVMRVlfQ0lUQVRJT05fMDliZjhjZGMtNWQ2Ni00ZWJhLWIwNGUtZjk5YmMwYTU0ZTA1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209df8c4-c89b-4a36-a5ac-a09695e46180&quot;,&quot;properties&quot;:{&quot;noteIndex&quot;:0},&quot;isEdited&quot;:false,&quot;manualOverride&quot;:{&quot;isManuallyOverridden&quot;:false,&quot;citeprocText&quot;:&quot;(United Nations, 2015)&quot;,&quot;manualOverrideText&quot;:&quot;&quot;},&quot;citationTag&quot;:&quot;MENDELEY_CITATION_v3_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&quot;,&quot;citationItems&quot;:[{&quot;id&quot;:&quot;37f89e60-7075-3639-978b-a07d2cf60015&quot;,&quot;itemData&quot;:{&quot;type&quot;:&quot;webpage&quot;,&quot;id&quot;:&quot;37f89e60-7075-3639-978b-a07d2cf60015&quot;,&quot;title&quot;:&quot;Transforming our World: The 2030 Agenda for Sustainable Development&quot;,&quot;author&quot;:[{&quot;family&quot;:&quot;United Nations&quot;,&quot;given&quot;:&quot;&quot;,&quot;parse-names&quot;:false,&quot;dropping-particle&quot;:&quot;&quot;,&quot;non-dropping-particle&quot;:&quot;&quot;}],&quot;container-title&quot;:&quot;https://sdgs.un.org/publications/transforming-our-world-2030-agenda-sustainable-development-17981&quot;,&quot;issued&quot;:{&quot;date-parts&quot;:[[2015]]},&quot;container-title-short&quot;:&quot;&quot;},&quot;isTemporary&quot;:false,&quot;suppress-author&quot;:false,&quot;composite&quot;:false,&quot;author-only&quot;:false}]},{&quot;citationID&quot;:&quot;MENDELEY_CITATION_a25434a1-b49c-463e-899e-07dc282ff898&quot;,&quot;properties&quot;:{&quot;noteIndex&quot;:0},&quot;isEdited&quot;:false,&quot;manualOverride&quot;:{&quot;isManuallyOverridden&quot;:false,&quot;citeprocText&quot;:&quot;(Fung, 2015)&quot;,&quot;manualOverrideText&quot;:&quot;&quot;},&quot;citationTag&quot;:&quot;MENDELEY_CITATION_v3_eyJjaXRhdGlvbklEIjoiTUVOREVMRVlfQ0lUQVRJT05fYTI1NDM0YTEtYjQ5Yy00NjNlLTg5OWUtMDdkYzI4MmZmODk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f2efe373-9979-4ffa-9915-04659bd35626&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ZjJlZmUzNzMtOTk3OS00ZmZhLTk5MTUtMDQ2NTliZDM1NjI2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cf73ff2b-dd50-440b-8f11-7a7518b0036d&quot;,&quot;properties&quot;:{&quot;noteIndex&quot;:0},&quot;isEdited&quot;:false,&quot;manualOverride&quot;:{&quot;isManuallyOverridden&quot;:false,&quot;citeprocText&quot;:&quot;(Smoke, 2015)&quot;,&quot;manualOverrideText&quot;:&quot;&quot;},&quot;citationTag&quot;:&quot;MENDELEY_CITATION_v3_eyJjaXRhdGlvbklEIjoiTUVOREVMRVlfQ0lUQVRJT05fY2Y3M2ZmMmItZGQ1MC00NDBiLThmMTEtN2E3NTE4YjAwMzZk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ID&quot;:&quot;MENDELEY_CITATION_9e9777c2-ee46-498e-8411-ec05dd4c74f7&quot;,&quot;properties&quot;:{&quot;noteIndex&quot;:0},&quot;isEdited&quot;:false,&quot;manualOverride&quot;:{&quot;isManuallyOverridden&quot;:false,&quot;citeprocText&quot;:&quot;(Speer, 2012)&quot;,&quot;manualOverrideText&quot;:&quot;&quot;},&quot;citationTag&quot;:&quot;MENDELEY_CITATION_v3_eyJjaXRhdGlvbklEIjoiTUVOREVMRVlfQ0lUQVRJT05fOWU5Nzc3YzItZWU0Ni00OThlLTg0MTEtZWMwNWRkNGM3NGY3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quot;,&quot;citationItems&quot;:[{&quot;id&quot;:&quot;03985c51-4762-3d41-9b2b-4b6a0def9366&quot;,&quot;itemData&quot;:{&quot;type&quot;:&quot;article-journal&quot;,&quot;id&quot;:&quot;03985c51-4762-3d41-9b2b-4b6a0def9366&quot;,&quot;title&quot;:&quot;Participatory Governance Reform: A Good Strategy for Increasing Government Responsiveness and Improving Public Services?&quot;,&quot;author&quot;:[{&quot;family&quot;:&quot;Speer&quot;,&quot;given&quot;:&quot;Johanna&quot;,&quot;parse-names&quot;:false,&quot;dropping-particle&quot;:&quot;&quot;,&quot;non-dropping-particle&quot;:&quot;&quot;}],&quot;container-title&quot;:&quot;World Development&quot;,&quot;container-title-short&quot;:&quot;World Dev.&quot;,&quot;DOI&quot;:&quot;10.1016/j.worlddev.2012.05.034&quot;,&quot;ISSN&quot;:&quot;0305750X&quot;,&quot;issued&quot;:{&quot;date-parts&quot;:[[2012,12]]},&quot;page&quot;:&quot;2379-2398&quot;,&quot;issue&quot;:&quot;12&quot;,&quot;volume&quot;:&quot;40&quot;},&quot;isTemporary&quot;:false,&quot;suppress-author&quot;:false,&quot;composite&quot;:false,&quot;author-only&quot;:false}]},{&quot;citationID&quot;:&quot;MENDELEY_CITATION_30b60603-8208-4b8d-be96-a6d8e64c4daa&quot;,&quot;properties&quot;:{&quot;noteIndex&quot;:0},&quot;isEdited&quot;:false,&quot;manualOverride&quot;:{&quot;isManuallyOverridden&quot;:false,&quot;citeprocText&quot;:&quot;(Holum, 2023)&quot;,&quot;manualOverrideText&quot;:&quot;&quot;},&quot;citationTag&quot;:&quot;MENDELEY_CITATION_v3_eyJjaXRhdGlvbklEIjoiTUVOREVMRVlfQ0lUQVRJT05fMzBiNjA2MDMtODIwOC00YjhkLWJlOTYtYTZkOGU2NGM0ZGF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0ec4a5a3-249b-42b3-be69-f46ab62c415f&quot;,&quot;properties&quot;:{&quot;noteIndex&quot;:0},&quot;isEdited&quot;:false,&quot;manualOverride&quot;:{&quot;isManuallyOverridden&quot;:false,&quot;citeprocText&quot;:&quot;(Kakumba, 2010)&quot;,&quot;manualOverrideText&quot;:&quot;&quot;},&quot;citationTag&quot;:&quot;MENDELEY_CITATION_v3_eyJjaXRhdGlvbklEIjoiTUVOREVMRVlfQ0lUQVRJT05fMGVjNGE1YTMtMjQ5Yi00MmIzLWJlNjktZjQ2YWI2MmM0MTVm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quot;,&quot;citationItems&quot;:[{&quot;id&quot;:&quot;4cf8b9c3-9268-3b53-be49-d0956c849e2a&quot;,&quot;itemData&quot;:{&quot;type&quot;:&quot;article-journal&quot;,&quot;id&quot;:&quot;4cf8b9c3-9268-3b53-be49-d0956c849e2a&quot;,&quot;title&quot;:&quot;Local government citizen participation and rural development: reflections on Uganda’s decentralization system&quot;,&quot;author&quot;:[{&quot;family&quot;:&quot;Kakumba&quot;,&quot;given&quot;:&quot;Umar&quot;,&quot;parse-names&quot;:false,&quot;dropping-particle&quot;:&quot;&quot;,&quot;non-dropping-particle&quot;:&quot;&quot;}],&quot;container-title&quot;:&quot;International Review of Administrative Sciences&quot;,&quot;DOI&quot;:&quot;10.1177/0020852309359049&quot;,&quot;ISSN&quot;:&quot;0020-8523&quot;,&quot;issued&quot;:{&quot;date-parts&quot;:[[2010,3,19]]},&quot;page&quot;:&quot;171-186&quot;,&quot;abstract&quot;:&quot;&lt;p&gt;The governance and development discourse continues to embrace citizen participation as a fundamental mechanism of building local capacity towards poverty reduction and rural development. This article presents a review of the decentralization system of local governance in Uganda and evaluates its participatory mechanisms to establish how far they have enhanced the process of rural development. The review acknowledges achievements in human development, arising from citizen participation and representation, but these are yet to be translated into empowerment and shared benefits for the rural poor. Whereas some powers and functions have been devolved to local governments, the cardinal goals of decentralization seem to be elusive, whereby there is less support of the community’s role in raising resources for local development, demanding accountability from their leaders, participating in planning, and choosing their leaders without manipulation from the local ‘elite’ at the time of elections. The unfolding central government (CG) control rekindles the ‘recentralization’ of decentralization. It is argued that tackling rural development in predominantly agricultural economies like that of Uganda requires participation to link to mechanisms that can boost agricultural production, increased employment and household incomes. Likewise, the central government’s conceived development strategies should enlist participation in order to attain strong local ownership and empowerment.&lt;/p&gt;&quot;,&quot;issue&quot;:&quot;1&quot;,&quot;volume&quot;:&quot;76&quot;,&quot;container-title-short&quot;:&quot;&quot;},&quot;isTemporary&quot;:false,&quot;suppress-author&quot;:false,&quot;composite&quot;:false,&quot;author-only&quot;:false}]},{&quot;citationID&quot;:&quot;MENDELEY_CITATION_bb91748f-a0a0-4d2b-91d4-56be48b18957&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YmI5MTc0OGYtYTBhMC00ZDJiLTkxZDQtNTZiZTQ4YjE4OTU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2b237d3f-dedd-483e-8c43-67cfd3a04a73&quot;,&quot;properties&quot;:{&quot;noteIndex&quot;:0},&quot;isEdited&quot;:false,&quot;manualOverride&quot;:{&quot;isManuallyOverridden&quot;:false,&quot;citeprocText&quot;:&quot;(Fung, 2015)&quot;,&quot;manualOverrideText&quot;:&quot;&quot;},&quot;citationTag&quot;:&quot;MENDELEY_CITATION_v3_eyJjaXRhdGlvbklEIjoiTUVOREVMRVlfQ0lUQVRJT05fMmIyMzdkM2YtZGVkZC00ODNlLThjNDMtNjdjZmQzYTA0YTc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21c50ec4-3466-4526-a2c4-a63db1311614&quot;,&quot;properties&quot;:{&quot;noteIndex&quot;:0},&quot;isEdited&quot;:false,&quot;manualOverride&quot;:{&quot;isManuallyOverridden&quot;:false,&quot;citeprocText&quot;:&quot;(Mwesigwa et al., 2022)&quot;,&quot;manualOverrideText&quot;:&quot;&quot;},&quot;citationTag&quot;:&quot;MENDELEY_CITATION_v3_eyJjaXRhdGlvbklEIjoiTUVOREVMRVlfQ0lUQVRJT05fMjFjNTBlYzQtMzQ2Ni00NTI2LWEyYzQtYTYzZGIxMzExNjE0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quot;,&quot;citationItems&quot;:[{&quot;id&quot;:&quot;d407f40d-026e-3fc7-8e98-91ab8a025cdd&quot;,&quot;itemData&quot;:{&quot;type&quot;:&quot;article-journal&quot;,&quot;id&quot;:&quot;d407f40d-026e-3fc7-8e98-91ab8a025cdd&quot;,&quot;title&quot;:&quot;Local citizen participation in Uganda: Examining the political, administrative and financial aspects in Hoima district&quot;,&quot;author&quot;:[{&quot;family&quot;:&quot;Mwesigwa&quot;,&quot;given&quot;:&quot;David&quot;,&quot;parse-names&quot;:false,&quot;dropping-particle&quot;:&quot;&quot;,&quot;non-dropping-particle&quot;:&quot;&quot;},{&quot;family&quot;:&quot;Bogere&quot;,&quot;given&quot;:&quot;Mohammed&quot;,&quot;parse-names&quot;:false,&quot;dropping-particle&quot;:&quot;&quot;,&quot;non-dropping-particle&quot;:&quot;&quot;},{&quot;family&quot;:&quot;Ogwal&quot;,&quot;given&quot;:&quot;John Baptist&quot;,&quot;parse-names&quot;:false,&quot;dropping-particle&quot;:&quot;&quot;,&quot;non-dropping-particle&quot;:&quot;&quot;}],&quot;container-title&quot;:&quot;Journal of Governance and Accountability Studies&quot;,&quot;DOI&quot;:&quot;10.35912/jgas.v2i1.892&quot;,&quot;ISSN&quot;:&quot;27746739&quot;,&quot;issued&quot;:{&quot;date-parts&quot;:[[2022,1,25]]},&quot;page&quot;:&quot;49-63&quot;,&quot;abstract&quot;:&quot;&lt;p&gt;Abstract Purpose: This study aims to ascertain the impact of political, administrative and financial factors on local participants in Hoima district, Uganda. Research methodology: To ascertain the factors that impact participants in Uganda, a descriptive study was used in which primary data was analysed using descriptive statistics. Results: The factors were identified and clustered into thematic areas; they indicate a cluster of three factors appeared as themes. The results suggest that financial and political challenges are key impediments to effective participation and a good number of the technical personnel were not appointed on the basis of technical know-how. Hoima district needed to intensify its advocacy regarding increased central government transfers as well as the disbursements of more unconditional grants coupled with regular monitoring of its technical personnel. Limitations: The key limitation is the geographical scope since this study covered only one district, implying that the results cannot be generalized for the whole country. Contribution: The results of this are essential to academics in both Public Administration and Policy studies interested in enhancing local democracy and citizen-based governance.&lt;/p&gt;&quot;,&quot;issue&quot;:&quot;1&quot;,&quot;volume&quot;:&quot;2&quot;,&quot;container-title-short&quot;:&quot;&quot;},&quot;isTemporary&quot;:false,&quot;suppress-author&quot;:false,&quot;composite&quot;:false,&quot;author-only&quot;:false}]},{&quot;citationID&quot;:&quot;MENDELEY_CITATION_7ae62777-b627-4730-a669-e31b75a057b6&quot;,&quot;properties&quot;:{&quot;noteIndex&quot;:0},&quot;isEdited&quot;:false,&quot;manualOverride&quot;:{&quot;isManuallyOverridden&quot;:false,&quot;citeprocText&quot;:&quot;(Ishii, 2017)&quot;,&quot;manualOverrideText&quot;:&quot;&quot;},&quot;citationTag&quot;:&quot;MENDELEY_CITATION_v3_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&quot;,&quot;citationItems&quot;:[{&quot;id&quot;:&quot;ad58d106-0cf7-3074-9639-e7bf0f286417&quot;,&quot;itemData&quot;:{&quot;type&quot;:&quot;article-journal&quot;,&quot;id&quot;:&quot;ad58d106-0cf7-3074-9639-e7bf0f286417&quot;,&quot;title&quot;:&quot;Community Participation in Local Governance – An Empirical Analysis of Urbanized Local Governments in the Philippines and Uganda&quot;,&quot;author&quot;:[{&quot;family&quot;:&quot;Ishii&quot;,&quot;given&quot;:&quot;Risako&quot;,&quot;parse-names&quot;:false,&quot;dropping-particle&quot;:&quot;&quot;,&quot;non-dropping-particle&quot;:&quot;&quot;}],&quot;container-title&quot;:&quot;International Journal of Public Administration&quot;,&quot;DOI&quot;:&quot;10.1080/01900692.2016.1242610&quot;,&quot;ISSN&quot;:&quot;0190-0692&quot;,&quot;issued&quot;:{&quot;date-parts&quot;:[[2017,9,19]]},&quot;page&quot;:&quot;907-917&quot;,&quot;issue&quot;:&quot;11&quot;,&quot;volume&quot;:&quot;40&quot;,&quot;container-title-short&quot;:&quot;&quot;},&quot;isTemporary&quot;:false,&quot;suppress-author&quot;:false,&quot;composite&quot;:false,&quot;author-only&quot;:false}]},{&quot;citationID&quot;:&quot;MENDELEY_CITATION_054e0b67-8c7b-476b-8050-3602cedfad32&quot;,&quot;properties&quot;:{&quot;noteIndex&quot;:0},&quot;isEdited&quot;:false,&quot;manualOverride&quot;:{&quot;isManuallyOverridden&quot;:false,&quot;citeprocText&quot;:&quot;(Mwesigwa et al., 2022)&quot;,&quot;manualOverrideText&quot;:&quot;&quot;},&quot;citationTag&quot;:&quot;MENDELEY_CITATION_v3_eyJjaXRhdGlvbklEIjoiTUVOREVMRVlfQ0lUQVRJT05fMDU0ZTBiNjctOGM3Yi00NzZiLTgwNTAtMzYwMmNlZGZhZDMy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quot;,&quot;citationItems&quot;:[{&quot;id&quot;:&quot;d407f40d-026e-3fc7-8e98-91ab8a025cdd&quot;,&quot;itemData&quot;:{&quot;type&quot;:&quot;article-journal&quot;,&quot;id&quot;:&quot;d407f40d-026e-3fc7-8e98-91ab8a025cdd&quot;,&quot;title&quot;:&quot;Local citizen participation in Uganda: Examining the political, administrative and financial aspects in Hoima district&quot;,&quot;author&quot;:[{&quot;family&quot;:&quot;Mwesigwa&quot;,&quot;given&quot;:&quot;David&quot;,&quot;parse-names&quot;:false,&quot;dropping-particle&quot;:&quot;&quot;,&quot;non-dropping-particle&quot;:&quot;&quot;},{&quot;family&quot;:&quot;Bogere&quot;,&quot;given&quot;:&quot;Mohammed&quot;,&quot;parse-names&quot;:false,&quot;dropping-particle&quot;:&quot;&quot;,&quot;non-dropping-particle&quot;:&quot;&quot;},{&quot;family&quot;:&quot;Ogwal&quot;,&quot;given&quot;:&quot;John Baptist&quot;,&quot;parse-names&quot;:false,&quot;dropping-particle&quot;:&quot;&quot;,&quot;non-dropping-particle&quot;:&quot;&quot;}],&quot;container-title&quot;:&quot;Journal of Governance and Accountability Studies&quot;,&quot;DOI&quot;:&quot;10.35912/jgas.v2i1.892&quot;,&quot;ISSN&quot;:&quot;27746739&quot;,&quot;issued&quot;:{&quot;date-parts&quot;:[[2022,1,25]]},&quot;page&quot;:&quot;49-63&quot;,&quot;abstract&quot;:&quot;&lt;p&gt;Abstract Purpose: This study aims to ascertain the impact of political, administrative and financial factors on local participants in Hoima district, Uganda. Research methodology: To ascertain the factors that impact participants in Uganda, a descriptive study was used in which primary data was analysed using descriptive statistics. Results: The factors were identified and clustered into thematic areas; they indicate a cluster of three factors appeared as themes. The results suggest that financial and political challenges are key impediments to effective participation and a good number of the technical personnel were not appointed on the basis of technical know-how. Hoima district needed to intensify its advocacy regarding increased central government transfers as well as the disbursements of more unconditional grants coupled with regular monitoring of its technical personnel. Limitations: The key limitation is the geographical scope since this study covered only one district, implying that the results cannot be generalized for the whole country. Contribution: The results of this are essential to academics in both Public Administration and Policy studies interested in enhancing local democracy and citizen-based governance.&lt;/p&gt;&quot;,&quot;issue&quot;:&quot;1&quot;,&quot;volume&quot;:&quot;2&quot;,&quot;container-title-short&quot;:&quot;&quot;},&quot;isTemporary&quot;:false,&quot;suppress-author&quot;:false,&quot;composite&quot;:false,&quot;author-only&quot;:false}]},{&quot;citationID&quot;:&quot;MENDELEY_CITATION_1d94072b-f7f8-437b-b946-a66a24ce4f2b&quot;,&quot;properties&quot;:{&quot;noteIndex&quot;:0},&quot;isEdited&quot;:false,&quot;manualOverride&quot;:{&quot;isManuallyOverridden&quot;:false,&quot;citeprocText&quot;:&quot;(Kakumba, 2010)&quot;,&quot;manualOverrideText&quot;:&quot;&quot;},&quot;citationTag&quot;:&quot;MENDELEY_CITATION_v3_eyJjaXRhdGlvbklEIjoiTUVOREVMRVlfQ0lUQVRJT05fMWQ5NDA3MmItZjdmOC00MzdiLWI5NDYtYTY2YTI0Y2U0ZjJi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quot;,&quot;citationItems&quot;:[{&quot;id&quot;:&quot;4cf8b9c3-9268-3b53-be49-d0956c849e2a&quot;,&quot;itemData&quot;:{&quot;type&quot;:&quot;article-journal&quot;,&quot;id&quot;:&quot;4cf8b9c3-9268-3b53-be49-d0956c849e2a&quot;,&quot;title&quot;:&quot;Local government citizen participation and rural development: reflections on Uganda’s decentralization system&quot;,&quot;author&quot;:[{&quot;family&quot;:&quot;Kakumba&quot;,&quot;given&quot;:&quot;Umar&quot;,&quot;parse-names&quot;:false,&quot;dropping-particle&quot;:&quot;&quot;,&quot;non-dropping-particle&quot;:&quot;&quot;}],&quot;container-title&quot;:&quot;International Review of Administrative Sciences&quot;,&quot;DOI&quot;:&quot;10.1177/0020852309359049&quot;,&quot;ISSN&quot;:&quot;0020-8523&quot;,&quot;issued&quot;:{&quot;date-parts&quot;:[[2010,3,19]]},&quot;page&quot;:&quot;171-186&quot;,&quot;abstract&quot;:&quot;&lt;p&gt;The governance and development discourse continues to embrace citizen participation as a fundamental mechanism of building local capacity towards poverty reduction and rural development. This article presents a review of the decentralization system of local governance in Uganda and evaluates its participatory mechanisms to establish how far they have enhanced the process of rural development. The review acknowledges achievements in human development, arising from citizen participation and representation, but these are yet to be translated into empowerment and shared benefits for the rural poor. Whereas some powers and functions have been devolved to local governments, the cardinal goals of decentralization seem to be elusive, whereby there is less support of the community’s role in raising resources for local development, demanding accountability from their leaders, participating in planning, and choosing their leaders without manipulation from the local ‘elite’ at the time of elections. The unfolding central government (CG) control rekindles the ‘recentralization’ of decentralization. It is argued that tackling rural development in predominantly agricultural economies like that of Uganda requires participation to link to mechanisms that can boost agricultural production, increased employment and household incomes. Likewise, the central government’s conceived development strategies should enlist participation in order to attain strong local ownership and empowerment.&lt;/p&gt;&quot;,&quot;issue&quot;:&quot;1&quot;,&quot;volume&quot;:&quot;76&quot;,&quot;container-title-short&quot;:&quot;&quot;},&quot;isTemporary&quot;:false,&quot;suppress-author&quot;:false,&quot;composite&quot;:false,&quot;author-only&quot;:false}]},{&quot;citationID&quot;:&quot;MENDELEY_CITATION_64f774c7-5cef-4c60-91e8-8ee165dd3a1b&quot;,&quot;properties&quot;:{&quot;noteIndex&quot;:0},&quot;isEdited&quot;:false,&quot;manualOverride&quot;:{&quot;isManuallyOverridden&quot;:false,&quot;citeprocText&quot;:&quot;(Speer, 2012)&quot;,&quot;manualOverrideText&quot;:&quot;&quot;},&quot;citationTag&quot;:&quot;MENDELEY_CITATION_v3_eyJjaXRhdGlvbklEIjoiTUVOREVMRVlfQ0lUQVRJT05fNjRmNzc0YzctNWNlZi00YzYwLTkxZTgtOGVlMTY1ZGQzYTFi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quot;,&quot;citationItems&quot;:[{&quot;id&quot;:&quot;03985c51-4762-3d41-9b2b-4b6a0def9366&quot;,&quot;itemData&quot;:{&quot;type&quot;:&quot;article-journal&quot;,&quot;id&quot;:&quot;03985c51-4762-3d41-9b2b-4b6a0def9366&quot;,&quot;title&quot;:&quot;Participatory Governance Reform: A Good Strategy for Increasing Government Responsiveness and Improving Public Services?&quot;,&quot;author&quot;:[{&quot;family&quot;:&quot;Speer&quot;,&quot;given&quot;:&quot;Johanna&quot;,&quot;parse-names&quot;:false,&quot;dropping-particle&quot;:&quot;&quot;,&quot;non-dropping-particle&quot;:&quot;&quot;}],&quot;container-title&quot;:&quot;World Development&quot;,&quot;container-title-short&quot;:&quot;World Dev.&quot;,&quot;DOI&quot;:&quot;10.1016/j.worlddev.2012.05.034&quot;,&quot;ISSN&quot;:&quot;0305750X&quot;,&quot;issued&quot;:{&quot;date-parts&quot;:[[2012,12]]},&quot;page&quot;:&quot;2379-2398&quot;,&quot;issue&quot;:&quot;12&quot;,&quot;volume&quot;:&quot;40&quot;},&quot;isTemporary&quot;:false,&quot;suppress-author&quot;:false,&quot;composite&quot;:false,&quot;author-only&quot;:false}]},{&quot;citationID&quot;:&quot;MENDELEY_CITATION_737df35a-6745-4e0a-9dc0-f58d6bf253db&quot;,&quot;properties&quot;:{&quot;noteIndex&quot;:0},&quot;isEdited&quot;:false,&quot;manualOverride&quot;:{&quot;isManuallyOverridden&quot;:false,&quot;citeprocText&quot;:&quot;(Holum, 2023)&quot;,&quot;manualOverrideText&quot;:&quot;&quot;},&quot;citationTag&quot;:&quot;MENDELEY_CITATION_v3_eyJjaXRhdGlvbklEIjoiTUVOREVMRVlfQ0lUQVRJT05fNzM3ZGYzNWEtNjc0NS00ZTBhLTlkYzAtZjU4ZDZiZjI1M2Ri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83677e4c-16a7-4507-b0f8-421042cf35ee&quot;,&quot;properties&quot;:{&quot;noteIndex&quot;:0},&quot;isEdited&quot;:false,&quot;manualOverride&quot;:{&quot;isManuallyOverridden&quot;:false,&quot;citeprocText&quot;:&quot;(Pateman, 2012)&quot;,&quot;manualOverrideText&quot;:&quot;&quot;},&quot;citationTag&quot;:&quot;MENDELEY_CITATION_v3_eyJjaXRhdGlvbklEIjoiTUVOREVMRVlfQ0lUQVRJT05fODM2NzdlNGMtMTZhNy00NTA3LWIwZjgtNDIxMDQyY2YzNWVl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647d07af-40b6-4436-8945-983faffc9bb3&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jQ3ZDA3YWYtNDBiNi00NDM2LTg5NDUtOTgzZmFmZmM5YmIz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728bf4f2-9a57-47fa-8d1d-d7f0510ee8d7&quot;,&quot;properties&quot;:{&quot;noteIndex&quot;:0},&quot;isEdited&quot;:false,&quot;manualOverride&quot;:{&quot;isManuallyOverridden&quot;:false,&quot;citeprocText&quot;:&quot;(Smoke, 2015)&quot;,&quot;manualOverrideText&quot;:&quot;&quot;},&quot;citationTag&quot;:&quot;MENDELEY_CITATION_v3_eyJjaXRhdGlvbklEIjoiTUVOREVMRVlfQ0lUQVRJT05fNzI4YmY0ZjItOWE1Ny00N2ZhLThkMWQtZDdmMDUxMGVlOGQ3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ID&quot;:&quot;MENDELEY_CITATION_fb435edb-3de1-4f0e-bde9-539b737341b8&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ZmI0MzVlZGItM2RlMS00ZjBlLWJkZTktNTM5YjczNzM0MWI4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73dfa4db-b87a-41b0-840d-0ad94b7a5456&quot;,&quot;properties&quot;:{&quot;noteIndex&quot;:0},&quot;isEdited&quot;:false,&quot;manualOverride&quot;:{&quot;isManuallyOverridden&quot;:false,&quot;citeprocText&quot;:&quot;(Kakumba, 2010)&quot;,&quot;manualOverrideText&quot;:&quot;&quot;},&quot;citationTag&quot;:&quot;MENDELEY_CITATION_v3_eyJjaXRhdGlvbklEIjoiTUVOREVMRVlfQ0lUQVRJT05fNzNkZmE0ZGItYjg3YS00MWIwLTg0MGQtMGFkOTRiN2E1NDU2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quot;,&quot;citationItems&quot;:[{&quot;id&quot;:&quot;4cf8b9c3-9268-3b53-be49-d0956c849e2a&quot;,&quot;itemData&quot;:{&quot;type&quot;:&quot;article-journal&quot;,&quot;id&quot;:&quot;4cf8b9c3-9268-3b53-be49-d0956c849e2a&quot;,&quot;title&quot;:&quot;Local government citizen participation and rural development: reflections on Uganda’s decentralization system&quot;,&quot;author&quot;:[{&quot;family&quot;:&quot;Kakumba&quot;,&quot;given&quot;:&quot;Umar&quot;,&quot;parse-names&quot;:false,&quot;dropping-particle&quot;:&quot;&quot;,&quot;non-dropping-particle&quot;:&quot;&quot;}],&quot;container-title&quot;:&quot;International Review of Administrative Sciences&quot;,&quot;DOI&quot;:&quot;10.1177/0020852309359049&quot;,&quot;ISSN&quot;:&quot;0020-8523&quot;,&quot;issued&quot;:{&quot;date-parts&quot;:[[2010,3,19]]},&quot;page&quot;:&quot;171-186&quot;,&quot;abstract&quot;:&quot;&lt;p&gt;The governance and development discourse continues to embrace citizen participation as a fundamental mechanism of building local capacity towards poverty reduction and rural development. This article presents a review of the decentralization system of local governance in Uganda and evaluates its participatory mechanisms to establish how far they have enhanced the process of rural development. The review acknowledges achievements in human development, arising from citizen participation and representation, but these are yet to be translated into empowerment and shared benefits for the rural poor. Whereas some powers and functions have been devolved to local governments, the cardinal goals of decentralization seem to be elusive, whereby there is less support of the community’s role in raising resources for local development, demanding accountability from their leaders, participating in planning, and choosing their leaders without manipulation from the local ‘elite’ at the time of elections. The unfolding central government (CG) control rekindles the ‘recentralization’ of decentralization. It is argued that tackling rural development in predominantly agricultural economies like that of Uganda requires participation to link to mechanisms that can boost agricultural production, increased employment and household incomes. Likewise, the central government’s conceived development strategies should enlist participation in order to attain strong local ownership and empowerment.&lt;/p&gt;&quot;,&quot;issue&quot;:&quot;1&quot;,&quot;volume&quot;:&quot;76&quot;,&quot;container-title-short&quot;:&quot;&quot;},&quot;isTemporary&quot;:false,&quot;suppress-author&quot;:false,&quot;composite&quot;:false,&quot;author-only&quot;:false}]},{&quot;citationID&quot;:&quot;MENDELEY_CITATION_99329eba-9d7a-466e-bd29-25befe34d17a&quot;,&quot;properties&quot;:{&quot;noteIndex&quot;:0},&quot;isEdited&quot;:false,&quot;manualOverride&quot;:{&quot;isManuallyOverridden&quot;:false,&quot;citeprocText&quot;:&quot;(Holum, 2023)&quot;,&quot;manualOverrideText&quot;:&quot;&quot;},&quot;citationTag&quot;:&quot;MENDELEY_CITATION_v3_eyJjaXRhdGlvbklEIjoiTUVOREVMRVlfQ0lUQVRJT05fOTkzMjllYmEtOWQ3YS00NjZlLWJkMjktMjViZWZlMzRkMTd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3619508f-5a76-472e-83fb-06e1320ec56b&quot;,&quot;properties&quot;:{&quot;noteIndex&quot;:0},&quot;isEdited&quot;:false,&quot;manualOverride&quot;:{&quot;isManuallyOverridden&quot;:false,&quot;citeprocText&quot;:&quot;(Mwesigwa et al., 2022)&quot;,&quot;manualOverrideText&quot;:&quot;&quot;},&quot;citationTag&quot;:&quot;MENDELEY_CITATION_v3_eyJjaXRhdGlvbklEIjoiTUVOREVMRVlfQ0lUQVRJT05fMzYxOTUwOGYtNWE3Ni00NzJlLTgzZmItMDZlMTMyMGVjNTZi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quot;,&quot;citationItems&quot;:[{&quot;id&quot;:&quot;d407f40d-026e-3fc7-8e98-91ab8a025cdd&quot;,&quot;itemData&quot;:{&quot;type&quot;:&quot;article-journal&quot;,&quot;id&quot;:&quot;d407f40d-026e-3fc7-8e98-91ab8a025cdd&quot;,&quot;title&quot;:&quot;Local citizen participation in Uganda: Examining the political, administrative and financial aspects in Hoima district&quot;,&quot;author&quot;:[{&quot;family&quot;:&quot;Mwesigwa&quot;,&quot;given&quot;:&quot;David&quot;,&quot;parse-names&quot;:false,&quot;dropping-particle&quot;:&quot;&quot;,&quot;non-dropping-particle&quot;:&quot;&quot;},{&quot;family&quot;:&quot;Bogere&quot;,&quot;given&quot;:&quot;Mohammed&quot;,&quot;parse-names&quot;:false,&quot;dropping-particle&quot;:&quot;&quot;,&quot;non-dropping-particle&quot;:&quot;&quot;},{&quot;family&quot;:&quot;Ogwal&quot;,&quot;given&quot;:&quot;John Baptist&quot;,&quot;parse-names&quot;:false,&quot;dropping-particle&quot;:&quot;&quot;,&quot;non-dropping-particle&quot;:&quot;&quot;}],&quot;container-title&quot;:&quot;Journal of Governance and Accountability Studies&quot;,&quot;DOI&quot;:&quot;10.35912/jgas.v2i1.892&quot;,&quot;ISSN&quot;:&quot;27746739&quot;,&quot;issued&quot;:{&quot;date-parts&quot;:[[2022,1,25]]},&quot;page&quot;:&quot;49-63&quot;,&quot;abstract&quot;:&quot;&lt;p&gt;Abstract Purpose: This study aims to ascertain the impact of political, administrative and financial factors on local participants in Hoima district, Uganda. Research methodology: To ascertain the factors that impact participants in Uganda, a descriptive study was used in which primary data was analysed using descriptive statistics. Results: The factors were identified and clustered into thematic areas; they indicate a cluster of three factors appeared as themes. The results suggest that financial and political challenges are key impediments to effective participation and a good number of the technical personnel were not appointed on the basis of technical know-how. Hoima district needed to intensify its advocacy regarding increased central government transfers as well as the disbursements of more unconditional grants coupled with regular monitoring of its technical personnel. Limitations: The key limitation is the geographical scope since this study covered only one district, implying that the results cannot be generalized for the whole country. Contribution: The results of this are essential to academics in both Public Administration and Policy studies interested in enhancing local democracy and citizen-based governance.&lt;/p&gt;&quot;,&quot;issue&quot;:&quot;1&quot;,&quot;volume&quot;:&quot;2&quot;,&quot;container-title-short&quot;:&quot;&quot;},&quot;isTemporary&quot;:false,&quot;suppress-author&quot;:false,&quot;composite&quot;:false,&quot;author-only&quot;:false}]},{&quot;citationID&quot;:&quot;MENDELEY_CITATION_17552ff1-f134-45b1-809e-4aa8af469fa4&quot;,&quot;properties&quot;:{&quot;noteIndex&quot;:0},&quot;isEdited&quot;:false,&quot;manualOverride&quot;:{&quot;isManuallyOverridden&quot;:false,&quot;citeprocText&quot;:&quot;(Tassabehji et al., 2016)&quot;,&quot;manualOverrideText&quot;:&quot;&quot;},&quot;citationTag&quot;:&quot;MENDELEY_CITATION_v3_eyJjaXRhdGlvbklEIjoiTUVOREVMRVlfQ0lUQVRJT05fMTc1NTJmZjEtZjEzNC00NWIxLTgwOWUtNGFhOGFmNDY5ZmE0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quot;,&quot;citationItems&quot;:[{&quot;id&quot;:&quot;8534a8f5-e85b-3c2d-aa74-bf0710bd211a&quot;,&quot;itemData&quot;:{&quot;type&quot;:&quot;article-journal&quot;,&quot;id&quot;:&quot;8534a8f5-e85b-3c2d-aa74-bf0710bd211a&quot;,&quot;title&quot;:&quot;Emergent digital era governance: Enacting the role of the ‘institutional entrepreneur’ in transformational change&quot;,&quot;author&quot;:[{&quot;family&quot;:&quot;Tassabehji&quot;,&quot;given&quot;:&quot;Rana&quot;,&quot;parse-names&quot;:false,&quot;dropping-particle&quot;:&quot;&quot;,&quot;non-dropping-particle&quot;:&quot;&quot;},{&quot;family&quot;:&quot;Hackney&quot;,&quot;given&quot;:&quot;Ray&quot;,&quot;parse-names&quot;:false,&quot;dropping-particle&quot;:&quot;&quot;,&quot;non-dropping-particle&quot;:&quot;&quot;},{&quot;family&quot;:&quot;Popovič&quot;,&quot;given&quot;:&quot;Aleš&quot;,&quot;parse-names&quot;:false,&quot;dropping-particle&quot;:&quot;&quot;,&quot;non-dropping-particle&quot;:&quot;&quot;}],&quot;container-title&quot;:&quot;Government Information Quarterly&quot;,&quot;container-title-short&quot;:&quot;Gov. Inf. Q.&quot;,&quot;DOI&quot;:&quot;10.1016/j.giq.2016.04.003&quot;,&quot;ISSN&quot;:&quot;0740624X&quot;,&quot;issued&quot;:{&quot;date-parts&quot;:[[2016,4]]},&quot;page&quot;:&quot;223-236&quot;,&quot;issue&quot;:&quot;2&quot;,&quot;volume&quot;:&quot;33&quot;},&quot;isTemporary&quot;:false,&quot;suppress-author&quot;:false,&quot;composite&quot;:false,&quot;author-only&quot;:false}]},{&quot;citationID&quot;:&quot;MENDELEY_CITATION_4d666838-4ee3-45a8-b3f3-606eb3536f85&quot;,&quot;properties&quot;:{&quot;noteIndex&quot;:0},&quot;isEdited&quot;:false,&quot;manualOverride&quot;:{&quot;isManuallyOverridden&quot;:false,&quot;citeprocText&quot;:&quot;(Speer, 2012)&quot;,&quot;manualOverrideText&quot;:&quot;&quot;},&quot;citationTag&quot;:&quot;MENDELEY_CITATION_v3_eyJjaXRhdGlvbklEIjoiTUVOREVMRVlfQ0lUQVRJT05fNGQ2NjY4MzgtNGVlMy00NWE4LWIzZjMtNjA2ZWIzNTM2Zjg1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quot;,&quot;citationItems&quot;:[{&quot;id&quot;:&quot;03985c51-4762-3d41-9b2b-4b6a0def9366&quot;,&quot;itemData&quot;:{&quot;type&quot;:&quot;article-journal&quot;,&quot;id&quot;:&quot;03985c51-4762-3d41-9b2b-4b6a0def9366&quot;,&quot;title&quot;:&quot;Participatory Governance Reform: A Good Strategy for Increasing Government Responsiveness and Improving Public Services?&quot;,&quot;author&quot;:[{&quot;family&quot;:&quot;Speer&quot;,&quot;given&quot;:&quot;Johanna&quot;,&quot;parse-names&quot;:false,&quot;dropping-particle&quot;:&quot;&quot;,&quot;non-dropping-particle&quot;:&quot;&quot;}],&quot;container-title&quot;:&quot;World Development&quot;,&quot;container-title-short&quot;:&quot;World Dev.&quot;,&quot;DOI&quot;:&quot;10.1016/j.worlddev.2012.05.034&quot;,&quot;ISSN&quot;:&quot;0305750X&quot;,&quot;issued&quot;:{&quot;date-parts&quot;:[[2012,12]]},&quot;page&quot;:&quot;2379-2398&quot;,&quot;issue&quot;:&quot;12&quot;,&quot;volume&quot;:&quot;40&quot;},&quot;isTemporary&quot;:false,&quot;suppress-author&quot;:false,&quot;composite&quot;:false,&quot;author-only&quot;:false}]},{&quot;citationID&quot;:&quot;MENDELEY_CITATION_2dd8d99e-98d8-4562-ad6d-7b15b66479ca&quot;,&quot;properties&quot;:{&quot;noteIndex&quot;:0},&quot;isEdited&quot;:false,&quot;manualOverride&quot;:{&quot;isManuallyOverridden&quot;:false,&quot;citeprocText&quot;:&quot;(Fox, 2015)&quot;,&quot;manualOverrideText&quot;:&quot;&quot;},&quot;citationTag&quot;:&quot;MENDELEY_CITATION_v3_eyJjaXRhdGlvbklEIjoiTUVOREVMRVlfQ0lUQVRJT05fMmRkOGQ5OWUtOThkOC00NTYyLWFkNmQtN2IxNWI2NjQ3OWN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4ea957d3-d3c7-4a1d-8c87-bee334dfe4da&quot;,&quot;properties&quot;:{&quot;noteIndex&quot;:0},&quot;isEdited&quot;:false,&quot;manualOverride&quot;:{&quot;isManuallyOverridden&quot;:false,&quot;citeprocText&quot;:&quot;(Holum, 2023)&quot;,&quot;manualOverrideText&quot;:&quot;&quot;},&quot;citationTag&quot;:&quot;MENDELEY_CITATION_v3_eyJjaXRhdGlvbklEIjoiTUVOREVMRVlfQ0lUQVRJT05fNGVhOTU3ZDMtZDNjNy00YTFkLThjODctYmVlMzM0ZGZlNGR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6bd73dcb-aea8-45aa-bdaa-7473f7bfc00b&quot;,&quot;properties&quot;:{&quot;noteIndex&quot;:0},&quot;isEdited&quot;:false,&quot;manualOverride&quot;:{&quot;isManuallyOverridden&quot;:false,&quot;citeprocText&quot;:&quot;(Lambright, 2011)&quot;,&quot;manualOverrideText&quot;:&quot;&quot;},&quot;citationTag&quot;:&quot;MENDELEY_CITATION_v3_eyJjaXRhdGlvbklEIjoiTUVOREVMRVlfQ0lUQVRJT05fNmJkNzNkY2ItYWVhOC00NWFhLWJkYWEtNzQ3M2Y3YmZjMDBi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ID&quot;:&quot;MENDELEY_CITATION_61cf000b-a6f0-42d9-be37-75085494d884&quot;,&quot;properties&quot;:{&quot;noteIndex&quot;:0},&quot;isEdited&quot;:false,&quot;manualOverride&quot;:{&quot;isManuallyOverridden&quot;:false,&quot;citeprocText&quot;:&quot;(Pateman, 2012)&quot;,&quot;manualOverrideText&quot;:&quot;&quot;},&quot;citationTag&quot;:&quot;MENDELEY_CITATION_v3_eyJjaXRhdGlvbklEIjoiTUVOREVMRVlfQ0lUQVRJT05fNjFjZjAwMGItYTZmMC00MmQ5LWJlMzctNzUwODU0OTRkODg0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6bdd85fb-5040-4ca3-88e3-5aed64390189&quot;,&quot;properties&quot;:{&quot;noteIndex&quot;:0},&quot;isEdited&quot;:false,&quot;manualOverride&quot;:{&quot;isManuallyOverridden&quot;:false,&quot;citeprocText&quot;:&quot;(Pateman, 2012)&quot;,&quot;manualOverrideText&quot;:&quot;&quot;},&quot;citationTag&quot;:&quot;MENDELEY_CITATION_v3_eyJjaXRhdGlvbklEIjoiTUVOREVMRVlfQ0lUQVRJT05fNmJkZDg1ZmItNTA0MC00Y2EzLTg4ZTMtNWFlZDY0MzkwMTg5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30764731-6da5-43f3-9cac-3c3a9f5080f0&quot;,&quot;properties&quot;:{&quot;noteIndex&quot;:0},&quot;isEdited&quot;:false,&quot;manualOverride&quot;:{&quot;isManuallyOverridden&quot;:false,&quot;citeprocText&quot;:&quot;(Pateman, 2012)&quot;,&quot;manualOverrideText&quot;:&quot;&quot;},&quot;citationTag&quot;:&quot;MENDELEY_CITATION_v3_eyJjaXRhdGlvbklEIjoiTUVOREVMRVlfQ0lUQVRJT05fMzA3NjQ3MzEtNmRhNS00M2YzLTljYWMtM2MzYTlmNTA4MGYw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473d4285-4bc4-49dc-bf96-fbf4fc12337b&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NDczZDQyODUtNGJjNC00OWRjLWJmOTYtZmJmNGZjMTIzMzdi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417a62c3-fbab-441e-be64-b4fdec003ecd&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DE3YTYyYzMtZmJhYi00NDFlLWJlNjQtYjRmZGVjMDAzZWNk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244c1629-9f45-448b-8c49-4965c234cfb7&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MjQ0YzE2MjktOWY0NS00NDhiLThjNDktNDk2NWMyMzRjZmI3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bc68ca9f-2243-472e-843f-559633ce3562&quot;,&quot;properties&quot;:{&quot;noteIndex&quot;:0},&quot;isEdited&quot;:false,&quot;manualOverride&quot;:{&quot;isManuallyOverridden&quot;:false,&quot;citeprocText&quot;:&quot;(Bächtiger et al., 2018)&quot;,&quot;manualOverrideText&quot;:&quot;&quot;},&quot;citationTag&quot;:&quot;MENDELEY_CITATION_v3_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&quot;,&quot;citationItems&quot;:[{&quot;id&quot;:&quot;9b2811dd-73c5-3e35-988a-657e49cab7e1&quot;,&quot;itemData&quot;:{&quot;type&quot;:&quot;book&quot;,&quot;id&quot;:&quot;9b2811dd-73c5-3e35-988a-657e49cab7e1&quot;,&quot;title&quot;:&quot;The Oxford Handbook of Deliberative Democracy&quot;,&quot;author&quot;:[{&quot;family&quot;:&quot;Bächtiger&quot;,&quot;given&quot;:&quot;Andre&quot;,&quot;parse-names&quot;:false,&quot;dropping-particle&quot;:&quot;&quot;,&quot;non-dropping-particle&quot;:&quot;&quot;},{&quot;family&quot;:&quot;Dryzek&quot;,&quot;given&quot;:&quot;John S.&quot;,&quot;parse-names&quot;:false,&quot;dropping-particle&quot;:&quot;&quot;,&quot;non-dropping-particle&quot;:&quot;&quot;},{&quot;family&quot;:&quot;Mansbridge&quot;,&quot;given&quot;:&quot;Jane&quot;,&quot;parse-names&quot;:false,&quot;dropping-particle&quot;:&quot;&quot;,&quot;non-dropping-particle&quot;:&quot;&quot;},{&quot;family&quot;:&quot;Mark&quot;,&quot;given&quot;:&quot;D. Warren&quot;,&quot;parse-names&quot;:false,&quot;dropping-particle&quot;:&quot;&quot;,&quot;non-dropping-particle&quot;:&quot;&quot;}],&quot;editor&quot;:[{&quot;family&quot;:&quot;Bächtiger&quot;,&quot;given&quot;:&quot;Andre&quot;,&quot;parse-names&quot;:false,&quot;dropping-particle&quot;:&quot;&quot;,&quot;non-dropping-particle&quot;:&quot;&quot;},{&quot;family&quot;:&quot;Dryzek&quot;,&quot;given&quot;:&quot;John S.&quot;,&quot;parse-names&quot;:false,&quot;dropping-particle&quot;:&quot;&quot;,&quot;non-dropping-particle&quot;:&quot;&quot;},{&quot;family&quot;:&quot;Mansbridge&quot;,&quot;given&quot;:&quot;Jane&quot;,&quot;parse-names&quot;:false,&quot;dropping-particle&quot;:&quot;&quot;,&quot;non-dropping-particle&quot;:&quot;&quot;},{&quot;family&quot;:&quot;Warren&quot;,&quot;given&quot;:&quot;Mark D.&quot;,&quot;parse-names&quot;:false,&quot;dropping-particle&quot;:&quot;&quot;,&quot;non-dropping-particle&quot;:&quot;&quot;}],&quot;DOI&quot;:&quot;10.1093/oxfordhb/9780198747369.001.0001&quot;,&quot;ISBN&quot;:&quot;9780198747369&quot;,&quot;issued&quot;:{&quot;date-parts&quot;:[[2018,9,6]]},&quot;publisher&quot;:&quot;Oxford University Press&quot;,&quot;container-title-short&quot;:&quot;&quot;},&quot;isTemporary&quot;:false,&quot;suppress-author&quot;:false,&quot;composite&quot;:false,&quot;author-only&quot;:false}]},{&quot;citationID&quot;:&quot;MENDELEY_CITATION_0c3bdc84-e849-40d6-9ff6-d7401eaa92a3&quot;,&quot;properties&quot;:{&quot;noteIndex&quot;:0,&quot;mode&quot;:&quot;composite&quot;},&quot;isEdited&quot;:false,&quot;manualOverride&quot;:{&quot;isManuallyOverridden&quot;:false,&quot;citeprocText&quot;:&quot;Curato et al. (2017)&quot;,&quot;manualOverrideText&quot;:&quot;&quot;},&quot;citationTag&quot;:&quot;MENDELEY_CITATION_v3_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&quot;,&quot;citationItems&quot;:[{&quot;displayAs&quot;:&quot;composite&quot;,&quot;label&quot;:&quot;page&quot;,&quot;id&quot;:&quot;daf645b7-7994-3748-b836-5b5763883c7e&quot;,&quot;itemData&quot;:{&quot;type&quot;:&quot;article-journal&quot;,&quot;id&quot;:&quot;daf645b7-7994-3748-b836-5b5763883c7e&quot;,&quot;title&quot;:&quot;Twelve Key Findings in Deliberative Democracy Research&quot;,&quot;author&quot;:[{&quot;family&quot;:&quot;Curato&quot;,&quot;given&quot;:&quot;Nicole&quot;,&quot;parse-names&quot;:false,&quot;dropping-particle&quot;:&quot;&quot;,&quot;non-dropping-particle&quot;:&quot;&quot;},{&quot;family&quot;:&quot;Dryzek&quot;,&quot;given&quot;:&quot;John S.&quot;,&quot;parse-names&quot;:false,&quot;dropping-particle&quot;:&quot;&quot;,&quot;non-dropping-particle&quot;:&quot;&quot;},{&quot;family&quot;:&quot;Ercan&quot;,&quot;given&quot;:&quot;Selen A.&quot;,&quot;parse-names&quot;:false,&quot;dropping-particle&quot;:&quot;&quot;,&quot;non-dropping-particle&quot;:&quot;&quot;},{&quot;family&quot;:&quot;Hendriks&quot;,&quot;given&quot;:&quot;Carolyn M.&quot;,&quot;parse-names&quot;:false,&quot;dropping-particle&quot;:&quot;&quot;,&quot;non-dropping-particle&quot;:&quot;&quot;},{&quot;family&quot;:&quot;Niemeyer&quot;,&quot;given&quot;:&quot;Simon&quot;,&quot;parse-names&quot;:false,&quot;dropping-particle&quot;:&quot;&quot;,&quot;non-dropping-particle&quot;:&quot;&quot;}],&quot;container-title&quot;:&quot;Daedalus&quot;,&quot;container-title-short&quot;:&quot;Daedalus&quot;,&quot;DOI&quot;:&quot;10.1162/DAED_a_00444&quot;,&quot;ISSN&quot;:&quot;0011-5266&quot;,&quot;issued&quot;:{&quot;date-parts&quot;:[[2017,7]]},&quot;page&quot;:&quot;28-38&quot;,&quot;abstract&quot;:&quot;&lt;p&gt;This essay reflects on the development of the field of deliberative democracy by discussing twelve key findings that capture a number of resolved issues in normative theory, conceptual clarification, and associated empirical results. We argue that these findings deserve to be more widely recognized and viewed as a foundation for future practice and research. We draw on our own research and that of others in the field.&lt;/p&gt;&quot;,&quot;issue&quot;:&quot;3&quot;,&quot;volume&quot;:&quot;146&quot;},&quot;isTemporary&quot;:false,&quot;suppress-author&quot;:false,&quot;composite&quot;:true,&quot;author-only&quot;:false}]},{&quot;citationID&quot;:&quot;MENDELEY_CITATION_16d1af0c-9c82-4aa8-9f2e-53cd4d7ae93c&quot;,&quot;properties&quot;:{&quot;noteIndex&quot;:0},&quot;isEdited&quot;:false,&quot;manualOverride&quot;:{&quot;isManuallyOverridden&quot;:false,&quot;citeprocText&quot;:&quot;(Torfing et al., 2012)&quot;,&quot;manualOverrideText&quot;:&quot;&quot;},&quot;citationTag&quot;:&quot;MENDELEY_CITATION_v3_eyJjaXRhdGlvbklEIjoiTUVOREVMRVlfQ0lUQVRJT05fMTZkMWFmMGMtOWM4Mi00YWE4LTlmMmUtNTNjZDRkN2FlOTNj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quot;,&quot;citationItems&quot;:[{&quot;id&quot;:&quot;952a9318-66a9-3999-bf7a-576cf16beb00&quot;,&quot;itemData&quot;:{&quot;type&quot;:&quot;book&quot;,&quot;id&quot;:&quot;952a9318-66a9-3999-bf7a-576cf16beb00&quot;,&quot;title&quot;:&quot;Interactive GovernanceAdvancing the Paradigm&quot;,&quot;author&quot;:[{&quot;family&quot;:&quot;Torfing&quot;,&quot;given&quot;:&quot;Jacob&quot;,&quot;parse-names&quot;:false,&quot;dropping-particle&quot;:&quot;&quot;,&quot;non-dropping-particle&quot;:&quot;&quot;},{&quot;family&quot;:&quot;Peters&quot;,&quot;given&quot;:&quot;B. Guy&quot;,&quot;parse-names&quot;:false,&quot;dropping-particle&quot;:&quot;&quot;,&quot;non-dropping-particle&quot;:&quot;&quot;},{&quot;family&quot;:&quot;Pierre&quot;,&quot;given&quot;:&quot;Jon&quot;,&quot;parse-names&quot;:false,&quot;dropping-particle&quot;:&quot;&quot;,&quot;non-dropping-particle&quot;:&quot;&quot;},{&quot;family&quot;:&quot;Sørensen&quot;,&quot;given&quot;:&quot;Eva&quot;,&quot;parse-names&quot;:false,&quot;dropping-particle&quot;:&quot;&quot;,&quot;non-dropping-particle&quot;:&quot;&quot;}],&quot;DOI&quot;:&quot;10.1093/acprof:oso/9780199596751.001.0001&quot;,&quot;ISBN&quot;:&quot;9780199596751&quot;,&quot;issued&quot;:{&quot;date-parts&quot;:[[2012,1,12]]},&quot;publisher&quot;:&quot;Oxford University Press&quot;,&quot;container-title-short&quot;:&quot;&quot;},&quot;isTemporary&quot;:false,&quot;suppress-author&quot;:false,&quot;composite&quot;:false,&quot;author-only&quot;:false}]},{&quot;citationID&quot;:&quot;MENDELEY_CITATION_37bf31e9-24a2-4725-bcff-495db3a1b94b&quot;,&quot;properties&quot;:{&quot;noteIndex&quot;:0},&quot;isEdited&quot;:false,&quot;manualOverride&quot;:{&quot;isManuallyOverridden&quot;:false,&quot;citeprocText&quot;:&quot;(Fung, 2015)&quot;,&quot;manualOverrideText&quot;:&quot;&quot;},&quot;citationTag&quot;:&quot;MENDELEY_CITATION_v3_eyJjaXRhdGlvbklEIjoiTUVOREVMRVlfQ0lUQVRJT05fMzdiZjMxZTktMjRhMi00NzI1LWJjZmYtNDk1ZGIzYTFiOTR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12928c6c-d624-4b9d-acbe-1dddd96ea7e5&quot;,&quot;properties&quot;:{&quot;noteIndex&quot;:0},&quot;isEdited&quot;:false,&quot;manualOverride&quot;:{&quot;isManuallyOverridden&quot;:false,&quot;citeprocText&quot;:&quot;(Cepiku &amp;#38; Mastrodascio, 2021)&quot;,&quot;manualOverrideText&quot;:&quot;&quot;},&quot;citationTag&quot;:&quot;MENDELEY_CITATION_v3_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&quot;,&quot;citationItems&quot;:[{&quot;id&quot;:&quot;28b0d6f6-1360-3412-a458-06509214fe87&quot;,&quot;itemData&quot;:{&quot;type&quot;:&quot;article-journal&quot;,&quot;id&quot;:&quot;28b0d6f6-1360-3412-a458-06509214fe87&quot;,&quot;title&quot;:&quot;Leadership behaviours in local government networks: an empirical replication study&quot;,&quot;author&quot;:[{&quot;family&quot;:&quot;Cepiku&quot;,&quot;given&quot;:&quot;Denita&quot;,&quot;parse-names&quot;:false,&quot;dropping-particle&quot;:&quot;&quot;,&quot;non-dropping-particle&quot;:&quot;&quot;},{&quot;family&quot;:&quot;Mastrodascio&quot;,&quot;given&quot;:&quot;Marco&quot;,&quot;parse-names&quot;:false,&quot;dropping-particle&quot;:&quot;&quot;,&quot;non-dropping-particle&quot;:&quot;&quot;}],&quot;container-title&quot;:&quot;Public Management Review&quot;,&quot;DOI&quot;:&quot;10.1080/14719037.2019.1679233&quot;,&quot;ISSN&quot;:&quot;1471-9037&quot;,&quot;issued&quot;:{&quot;date-parts&quot;:[[2021,3,4]]},&quot;page&quot;:&quot;354-375&quot;,&quot;issue&quot;:&quot;3&quot;,&quot;volume&quot;:&quot;23&quot;,&quot;container-title-short&quot;:&quot;&quot;},&quot;isTemporary&quot;:false,&quot;suppress-author&quot;:false,&quot;composite&quot;:false,&quot;author-only&quot;:false}]},{&quot;citationID&quot;:&quot;MENDELEY_CITATION_4beda91f-e28b-46e6-9e78-3bbc3cede666&quot;,&quot;properties&quot;:{&quot;noteIndex&quot;:0},&quot;isEdited&quot;:false,&quot;manualOverride&quot;:{&quot;isManuallyOverridden&quot;:false,&quot;citeprocText&quot;:&quot;(Bertot et al., 2010)&quot;,&quot;manualOverrideText&quot;:&quot;&quot;},&quot;citationTag&quot;:&quot;MENDELEY_CITATION_v3_eyJjaXRhdGlvbklEIjoiTUVOREVMRVlfQ0lUQVRJT05fNGJlZGE5MWYtZTI4Yi00NmU2LTllNzgtM2JiYzNjZWRlNjY2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ID&quot;:&quot;MENDELEY_CITATION_a884fecb-15c6-4aaf-be53-4471290858ae&quot;,&quot;properties&quot;:{&quot;noteIndex&quot;:0},&quot;isEdited&quot;:false,&quot;manualOverride&quot;:{&quot;isManuallyOverridden&quot;:false,&quot;citeprocText&quot;:&quot;(Meijer, 2015)&quot;,&quot;manualOverrideText&quot;:&quot;&quot;},&quot;citationTag&quot;:&quot;MENDELEY_CITATION_v3_eyJjaXRhdGlvbklEIjoiTUVOREVMRVlfQ0lUQVRJT05fYTg4NGZlY2ItMTVjNi00YWFmLWJlNTMtNDQ3MTI5MDg1OGFl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49e1dad3-0157-45d1-aa12-bc28f4d0611a&quot;,&quot;properties&quot;:{&quot;noteIndex&quot;:0},&quot;isEdited&quot;:false,&quot;manualOverride&quot;:{&quot;isManuallyOverridden&quot;:false,&quot;citeprocText&quot;:&quot;(Torfing et al., 2012)&quot;,&quot;manualOverrideText&quot;:&quot;&quot;},&quot;citationTag&quot;:&quot;MENDELEY_CITATION_v3_eyJjaXRhdGlvbklEIjoiTUVOREVMRVlfQ0lUQVRJT05fNDllMWRhZDMtMDE1Ny00NWQxLWFhMTItYmMyOGY0ZDA2MTFh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quot;,&quot;citationItems&quot;:[{&quot;id&quot;:&quot;952a9318-66a9-3999-bf7a-576cf16beb00&quot;,&quot;itemData&quot;:{&quot;type&quot;:&quot;book&quot;,&quot;id&quot;:&quot;952a9318-66a9-3999-bf7a-576cf16beb00&quot;,&quot;title&quot;:&quot;Interactive GovernanceAdvancing the Paradigm&quot;,&quot;author&quot;:[{&quot;family&quot;:&quot;Torfing&quot;,&quot;given&quot;:&quot;Jacob&quot;,&quot;parse-names&quot;:false,&quot;dropping-particle&quot;:&quot;&quot;,&quot;non-dropping-particle&quot;:&quot;&quot;},{&quot;family&quot;:&quot;Peters&quot;,&quot;given&quot;:&quot;B. Guy&quot;,&quot;parse-names&quot;:false,&quot;dropping-particle&quot;:&quot;&quot;,&quot;non-dropping-particle&quot;:&quot;&quot;},{&quot;family&quot;:&quot;Pierre&quot;,&quot;given&quot;:&quot;Jon&quot;,&quot;parse-names&quot;:false,&quot;dropping-particle&quot;:&quot;&quot;,&quot;non-dropping-particle&quot;:&quot;&quot;},{&quot;family&quot;:&quot;Sørensen&quot;,&quot;given&quot;:&quot;Eva&quot;,&quot;parse-names&quot;:false,&quot;dropping-particle&quot;:&quot;&quot;,&quot;non-dropping-particle&quot;:&quot;&quot;}],&quot;DOI&quot;:&quot;10.1093/acprof:oso/9780199596751.001.0001&quot;,&quot;ISBN&quot;:&quot;9780199596751&quot;,&quot;issued&quot;:{&quot;date-parts&quot;:[[2012,1,12]]},&quot;publisher&quot;:&quot;Oxford University Press&quot;,&quot;container-title-short&quot;:&quot;&quot;},&quot;isTemporary&quot;:false,&quot;suppress-author&quot;:false,&quot;composite&quot;:false,&quot;author-only&quot;:false}]},{&quot;citationID&quot;:&quot;MENDELEY_CITATION_a89a8313-322d-4137-a81b-8a62d32d63e4&quot;,&quot;properties&quot;:{&quot;noteIndex&quot;:0},&quot;isEdited&quot;:false,&quot;manualOverride&quot;:{&quot;isManuallyOverridden&quot;:false,&quot;citeprocText&quot;:&quot;(Holum, 2023)&quot;,&quot;manualOverrideText&quot;:&quot;&quot;},&quot;citationTag&quot;:&quot;MENDELEY_CITATION_v3_eyJjaXRhdGlvbklEIjoiTUVOREVMRVlfQ0lUQVRJT05fYTg5YTgzMTMtMzIyZC00MTM3LWE4MWItOGE2MmQzMmQ2M2U0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89b8549c-f858-47db-b965-8b54108d388f&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ODliODU0OWMtZjg1OC00N2RiLWI5NjUtOGI1NDEwOGQzODhm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5854f679-69ea-462c-8e6f-9934441dc7b2&quot;,&quot;properties&quot;:{&quot;noteIndex&quot;:0},&quot;isEdited&quot;:false,&quot;manualOverride&quot;:{&quot;isManuallyOverridden&quot;:false,&quot;citeprocText&quot;:&quot;(Lambright, 2011)&quot;,&quot;manualOverrideText&quot;:&quot;&quot;},&quot;citationTag&quot;:&quot;MENDELEY_CITATION_v3_eyJjaXRhdGlvbklEIjoiTUVOREVMRVlfQ0lUQVRJT05fNTg1NGY2NzktNjllYS00NjJjLThlNmYtOTkzNDQ0MWRjN2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ID&quot;:&quot;MENDELEY_CITATION_77cc3266-f6cc-4189-9800-e7143505d985&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NzdjYzMyNjYtZjZjYy00MTg5LTk4MDAtZTcxNDM1MDVkOTg1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cf50250e-5098-4e90-94be-e6f1c185ab7d&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Y2Y1MDI1MGUtNTA5OC00ZTkwLTk0YmUtZTZmMWMxODVhYjdk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f13dd1ba-8078-4bfb-855d-7a7916e9a700&quot;,&quot;properties&quot;:{&quot;noteIndex&quot;:0},&quot;isEdited&quot;:false,&quot;manualOverride&quot;:{&quot;isManuallyOverridden&quot;:false,&quot;citeprocText&quot;:&quot;(Fung, 2015)&quot;,&quot;manualOverrideText&quot;:&quot;&quot;},&quot;citationTag&quot;:&quot;MENDELEY_CITATION_v3_eyJjaXRhdGlvbklEIjoiTUVOREVMRVlfQ0lUQVRJT05fZjEzZGQxYmEtODA3OC00YmZiLTg1NWQtN2E3OTE2ZTlhNzA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79ef932f-82cf-4e6b-aaf0-169573970dca&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NzllZjkzMmYtODJjZi00ZTZiLWFhZjAtMTY5NTczOTcwZGNh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b1a634e5-f684-4e86-9885-75e16f474121&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YjFhNjM0ZTUtZjY4NC00ZTg2LTk4ODUtNzVlMTZmNDc0MTIx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77ce317f-2165-4e33-be06-19fa4391e687&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NzdjZTMxN2YtMjE2NS00ZTMzLWJlMDYtMTlmYTQzOTFlNjg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1b16cc54-40f5-47a1-b30f-4ae531b4db02&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WIxNmNjNTQtNDBmNS00N2ExLWIzMGYtNGFlNTMxYjRkYjA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86d5ca98-4856-4dc7-bec9-f95335e2e855&quot;,&quot;properties&quot;:{&quot;noteIndex&quot;:0},&quot;isEdited&quot;:false,&quot;manualOverride&quot;:{&quot;isManuallyOverridden&quot;:false,&quot;citeprocText&quot;:&quot;(Fung, 2015)&quot;,&quot;manualOverrideText&quot;:&quot;&quot;},&quot;citationTag&quot;:&quot;MENDELEY_CITATION_v3_eyJjaXRhdGlvbklEIjoiTUVOREVMRVlfQ0lUQVRJT05fODZkNWNhOTgtNDg1Ni00ZGM3LWJlYzktZjk1MzM1ZTJlODU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f33fbbd2-4aa4-4726-8da5-c702e2bf26bd&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ZjMzZmJiZDItNGFhNC00NzI2LThkYTUtYzcwMmUyYmYyNmJk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fb9b7c4e-0398-4e4b-831a-bcd6a835d439&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ZmI5YjdjNGUtMDM5OC00ZTRiLTgzMWEtYmNkNmE4MzVkNDM5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3366f675-1840-480e-8e7b-58910177a0a1&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MzM2NmY2NzUtMTg0MC00ODBlLThlN2ItNTg5MTAxNzdhMG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675dc26c-62ec-4da0-b6a6-255ff74dc62f&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jc1ZGMyNmMtNjJlYy00ZGEwLWI2YTYtMjU1ZmY3NGRjNjJ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ee836838-d42a-4785-ad38-62c60e7c23a4&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ZWU4MzY4MzgtZDQyYS00Nzg1LWFkMzgtNjJjNjBlN2MyM2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95b79e0c-8a2d-4f23-a5aa-bb61f8586b08&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OTViNzllMGMtOGEyZC00ZjIzLWE1YWEtYmI2MWY4NTg2YjA4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0f57de27-9d72-4e55-9baf-0c612afa0a2b&quot;,&quot;properties&quot;:{&quot;noteIndex&quot;:0},&quot;isEdited&quot;:false,&quot;manualOverride&quot;:{&quot;isManuallyOverridden&quot;:false,&quot;citeprocText&quot;:&quot;(Fung, 2015)&quot;,&quot;manualOverrideText&quot;:&quot;&quot;},&quot;citationTag&quot;:&quot;MENDELEY_CITATION_v3_eyJjaXRhdGlvbklEIjoiTUVOREVMRVlfQ0lUQVRJT05fMGY1N2RlMjctOWQ3Mi00ZTU1LTliYWYtMGM2MTJhZmEwYTJ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d1aa39db-2181-4713-a9c3-577076423b63&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ZDFhYTM5ZGItMjE4MS00NzEzLWE5YzMtNTc3MDc2NDIzYjY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4608246d-f2b5-4a50-9347-ed05bb60db01&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NDYwODI0NmQtZjJiNS00YTUwLTkzNDctZWQwNWJiNjBkYjA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e10bd213-1c84-4f33-aa2f-271c3e5bcb0f&quot;,&quot;properties&quot;:{&quot;noteIndex&quot;:0},&quot;isEdited&quot;:false,&quot;manualOverride&quot;:{&quot;isManuallyOverridden&quot;:false,&quot;citeprocText&quot;:&quot;(Fung, 2015)&quot;,&quot;manualOverrideText&quot;:&quot;&quot;},&quot;citationTag&quot;:&quot;MENDELEY_CITATION_v3_eyJjaXRhdGlvbklEIjoiTUVOREVMRVlfQ0lUQVRJT05fZTEwYmQyMTMtMWM4NC00ZjMzLWFhMmYtMjcxYzNlNWJjYjBm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9b8b8b6a-8dff-4619-8711-06a140acf6df&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OWI4YjhiNmEtOGRmZi00NjE5LTg3MTEtMDZhMTQwYWNmNmRm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c14cf722-70ba-49ad-bba6-06b5498e17f5&quot;,&quot;properties&quot;:{&quot;noteIndex&quot;:0},&quot;isEdited&quot;:false,&quot;manualOverride&quot;:{&quot;isManuallyOverridden&quot;:false,&quot;citeprocText&quot;:&quot;(Fung, 2015)&quot;,&quot;manualOverrideText&quot;:&quot;&quot;},&quot;citationTag&quot;:&quot;MENDELEY_CITATION_v3_eyJjaXRhdGlvbklEIjoiTUVOREVMRVlfQ0lUQVRJT05fYzE0Y2Y3MjItNzBiYS00OWFkLWJiYTYtMDZiNTQ5OGUxN2Y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20ea486d-d95f-48e7-8fea-9d2ba602348c&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jBlYTQ4NmQtZDk1Zi00OGU3LThmZWEtOWQyYmE2MDIzNDhj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2f19fe2f-e5f6-405c-8fe0-8c23e5e11bcb&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mYxOWZlMmYtZTVmNi00MDVjLThmZTAtOGMyM2U1ZTExYmNi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ddf78b6d-17a1-48ff-9336-944212396133&quot;,&quot;properties&quot;:{&quot;noteIndex&quot;:0},&quot;isEdited&quot;:false,&quot;manualOverride&quot;:{&quot;isManuallyOverridden&quot;:false,&quot;citeprocText&quot;:&quot;(Fung, 2015)&quot;,&quot;manualOverrideText&quot;:&quot;&quot;},&quot;citationTag&quot;:&quot;MENDELEY_CITATION_v3_eyJjaXRhdGlvbklEIjoiTUVOREVMRVlfQ0lUQVRJT05fZGRmNzhiNmQtMTdhMS00OGZmLTkzMzYtOTQ0MjEyMzk2MTM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8ae25eb2-d206-4ec1-a5a1-1928125e47d8&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OGFlMjVlYjItZDIwNi00ZWMxLWE1YTEtMTkyODEyNWU0N2Q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41dd1afb-9105-4251-8bce-af5737e4061c&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NDFkZDFhZmItOTEwNS00MjUxLThiY2UtYWY1NzM3ZTQwNjFj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12b61774-ade8-423d-9740-8a16cfda1173&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MTJiNjE3NzQtYWRlOC00MjNkLTk3NDAtOGExNmNmZGExMTc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8b06961c-7ff0-4c25-865e-747cbada1885&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OGIwNjk2MWMtN2ZmMC00YzI1LTg2NWUtNzQ3Y2JhZGExODg1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7518dc82-76a1-4392-8fbf-a7a81853e9cf&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NzUxOGRjODItNzZhMS00MzkyLThmYmYtYTdhODE4NTNlOWN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c6fe5b43-5eaa-4af9-8502-1a8d02725e11&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YzZmZTViNDMtNWVhYS00YWY5LTg1MDItMWE4ZDAyNzI1ZT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6c78c1ee-47c2-4e22-ab31-420cabd4742c&quot;,&quot;properties&quot;:{&quot;noteIndex&quot;:0},&quot;isEdited&quot;:false,&quot;manualOverride&quot;:{&quot;isManuallyOverridden&quot;:false,&quot;citeprocText&quot;:&quot;(Fung, 2015)&quot;,&quot;manualOverrideText&quot;:&quot;&quot;},&quot;citationTag&quot;:&quot;MENDELEY_CITATION_v3_eyJjaXRhdGlvbklEIjoiTUVOREVMRVlfQ0lUQVRJT05fNmM3OGMxZWUtNDdjMi00ZTIyLWFiMzEtNDIwY2FiZDQ3NDJj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d84fcf19-5f15-4eaf-88e3-35809fea6781&quot;,&quot;properties&quot;:{&quot;noteIndex&quot;:0},&quot;isEdited&quot;:false,&quot;manualOverride&quot;:{&quot;isManuallyOverridden&quot;:false,&quot;citeprocText&quot;:&quot;(Meijer, 2015)&quot;,&quot;manualOverrideText&quot;:&quot;&quot;},&quot;citationTag&quot;:&quot;MENDELEY_CITATION_v3_eyJjaXRhdGlvbklEIjoiTUVOREVMRVlfQ0lUQVRJT05fZDg0ZmNmMTktNWYxNS00ZWFmLTg4ZTMtMzU4MDlmZWE2Nzgx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cbf97588-42b3-40f4-936b-27c329052f1a&quot;,&quot;properties&quot;:{&quot;noteIndex&quot;:0},&quot;isEdited&quot;:false,&quot;manualOverride&quot;:{&quot;isManuallyOverridden&quot;:false,&quot;citeprocText&quot;:&quot;(Fox, 2015)&quot;,&quot;manualOverrideText&quot;:&quot;&quot;},&quot;citationTag&quot;:&quot;MENDELEY_CITATION_v3_eyJjaXRhdGlvbklEIjoiTUVOREVMRVlfQ0lUQVRJT05fY2JmOTc1ODgtNDJiMy00MGY0LTkzNmItMjdjMzI5MDUyZjF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6fa1de7a-6d60-42c2-8191-69186d8309c2&quot;,&quot;properties&quot;:{&quot;noteIndex&quot;:0},&quot;isEdited&quot;:false,&quot;manualOverride&quot;:{&quot;isManuallyOverridden&quot;:false,&quot;citeprocText&quot;:&quot;(Meijer, 2015)&quot;,&quot;manualOverrideText&quot;:&quot;&quot;},&quot;citationTag&quot;:&quot;MENDELEY_CITATION_v3_eyJjaXRhdGlvbklEIjoiTUVOREVMRVlfQ0lUQVRJT05fNmZhMWRlN2EtNmQ2MC00MmMyLTgxOTEtNjkxODZkODMwOWMy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821ab66c-85f6-41a7-92fe-15cc3ab27b7a&quot;,&quot;properties&quot;:{&quot;noteIndex&quot;:0},&quot;isEdited&quot;:false,&quot;manualOverride&quot;:{&quot;isManuallyOverridden&quot;:false,&quot;citeprocText&quot;:&quot;(Fox, 2015)&quot;,&quot;manualOverrideText&quot;:&quot;&quot;},&quot;citationTag&quot;:&quot;MENDELEY_CITATION_v3_eyJjaXRhdGlvbklEIjoiTUVOREVMRVlfQ0lUQVRJT05fODIxYWI2NmMtODVmNi00MWE3LTkyZmUtMTVjYzNhYjI3Yjd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a0d7fc97-fa5b-4b29-a47f-33eee14ff086&quot;,&quot;properties&quot;:{&quot;noteIndex&quot;:0},&quot;isEdited&quot;:false,&quot;manualOverride&quot;:{&quot;isManuallyOverridden&quot;:false,&quot;citeprocText&quot;:&quot;(Meijer, 2015)&quot;,&quot;manualOverrideText&quot;:&quot;&quot;},&quot;citationTag&quot;:&quot;MENDELEY_CITATION_v3_eyJjaXRhdGlvbklEIjoiTUVOREVMRVlfQ0lUQVRJT05fYTBkN2ZjOTctZmE1Yi00YjI5LWE0N2YtMzNlZWUxNGZmMDg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7fb5645b-d7bf-48f9-8ca8-a85a69f8d319&quot;,&quot;properties&quot;:{&quot;noteIndex&quot;:0},&quot;isEdited&quot;:false,&quot;manualOverride&quot;:{&quot;isManuallyOverridden&quot;:false,&quot;citeprocText&quot;:&quot;(Fox, 2015)&quot;,&quot;manualOverrideText&quot;:&quot;&quot;},&quot;citationTag&quot;:&quot;MENDELEY_CITATION_v3_eyJjaXRhdGlvbklEIjoiTUVOREVMRVlfQ0lUQVRJT05fN2ZiNTY0NWItZDdiZi00OGY5LThjYTgtYTg1YTY5ZjhkMzE5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b363a459-bc4a-4017-b46e-2b2292424c4e&quot;,&quot;properties&quot;:{&quot;noteIndex&quot;:0},&quot;isEdited&quot;:false,&quot;manualOverride&quot;:{&quot;isManuallyOverridden&quot;:false,&quot;citeprocText&quot;:&quot;(Fox, 2015)&quot;,&quot;manualOverrideText&quot;:&quot;&quot;},&quot;citationTag&quot;:&quot;MENDELEY_CITATION_v3_eyJjaXRhdGlvbklEIjoiTUVOREVMRVlfQ0lUQVRJT05fYjM2M2E0NTktYmM0YS00MDE3LWI0NmUtMmIyMjkyNDI0YzRl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baddcc7e-41ab-409e-8e5b-142019b610f6&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YmFkZGNjN2UtNDFhYi00MDllLThlNWItMTQyMDE5YjYxMGY2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fe25a7e8-9e98-4064-b161-38a427e79554&quot;,&quot;properties&quot;:{&quot;noteIndex&quot;:0},&quot;isEdited&quot;:false,&quot;manualOverride&quot;:{&quot;isManuallyOverridden&quot;:false,&quot;citeprocText&quot;:&quot;(Fung, 2015)&quot;,&quot;manualOverrideText&quot;:&quot;&quot;},&quot;citationTag&quot;:&quot;MENDELEY_CITATION_v3_eyJjaXRhdGlvbklEIjoiTUVOREVMRVlfQ0lUQVRJT05fZmUyNWE3ZTgtOWU5OC00MDY0LWIxNjEtMzhhNDI3ZTc5NTU0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ebea32cf-7a5c-4bb0-8f6c-25390dc2ef1f&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ZWJlYTMyY2YtN2E1Yy00YmIwLThmNmMtMjUzOTBkYzJlZjF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2a91184c-be41-4a77-8125-52cb5a7855fe&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mE5MTE4NGMtYmU0MS00YTc3LTgxMjUtNTJjYjVhNzg1NWZl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94e60215-b601-4bea-9a92-869a84f6a44a&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OTRlNjAyMTUtYjYwMS00YmVhLTlhOTItODY5YTg0ZjZhNDRh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590ce23a-4acb-4643-91f5-aaa5f1ae6208&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NTkwY2UyM2EtNGFjYi00NjQzLTkxZjUtYWFhNWYxYWU2MjA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8d8dbf2f-ab92-4ad0-bb88-830f07d4c8a4&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OGQ4ZGJmMmYtYWI5Mi00YWQwLWJiODgtODMwZjA3ZDRjOG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9a1d43e1-ef77-4e32-aa5c-2e1fdfcecd7d&quot;,&quot;properties&quot;:{&quot;noteIndex&quot;:0},&quot;isEdited&quot;:false,&quot;manualOverride&quot;:{&quot;isManuallyOverridden&quot;:false,&quot;citeprocText&quot;:&quot;(Meijer, 2015)&quot;,&quot;manualOverrideText&quot;:&quot;&quot;},&quot;citationTag&quot;:&quot;MENDELEY_CITATION_v3_eyJjaXRhdGlvbklEIjoiTUVOREVMRVlfQ0lUQVRJT05fOWExZDQzZTEtZWY3Ny00ZTMyLWFhNWMtMmUxZmRmY2VjZDdk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5bf55822-6735-4a89-b677-25b030eed118&quot;,&quot;properties&quot;:{&quot;noteIndex&quot;:0},&quot;isEdited&quot;:false,&quot;manualOverride&quot;:{&quot;isManuallyOverridden&quot;:false,&quot;citeprocText&quot;:&quot;(Fung, 2015)&quot;,&quot;manualOverrideText&quot;:&quot;&quot;},&quot;citationTag&quot;:&quot;MENDELEY_CITATION_v3_eyJjaXRhdGlvbklEIjoiTUVOREVMRVlfQ0lUQVRJT05fNWJmNTU4MjItNjczNS00YTg5LWI2NzctMjViMDMwZWVkMTE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bbc15a1d-cdf0-49bb-99d2-3ee0e3b26da2&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YmJjMTVhMWQtY2RmMC00OWJiLTk5ZDItM2VlMGUzYjI2ZGE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3c2130d2-3d1b-410a-871a-37f4b5c94a6e&quot;,&quot;properties&quot;:{&quot;noteIndex&quot;:0},&quot;isEdited&quot;:false,&quot;manualOverride&quot;:{&quot;isManuallyOverridden&quot;:false,&quot;citeprocText&quot;:&quot;(Fung, 2015)&quot;,&quot;manualOverrideText&quot;:&quot;&quot;},&quot;citationTag&quot;:&quot;MENDELEY_CITATION_v3_eyJjaXRhdGlvbklEIjoiTUVOREVMRVlfQ0lUQVRJT05fM2MyMTMwZDItM2QxYi00MTBhLTg3MWEtMzdmNGI1Yzk0YT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d284c493-dafd-4111-bf65-83c2e77bc71f&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ZDI4NGM0OTMtZGFmZC00MTExLWJmNjUtODNjMmU3N2JjNzFm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377a7148-1fb6-4467-af83-8da492221d89&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zc3YTcxNDgtMWZiNi00NDY3LWFmODMtOGRhNDkyMjIxZDg5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4233a69a-cfc7-469f-9f4a-030c9c6101ef&quot;,&quot;properties&quot;:{&quot;noteIndex&quot;:0},&quot;isEdited&quot;:false,&quot;manualOverride&quot;:{&quot;isManuallyOverridden&quot;:false,&quot;citeprocText&quot;:&quot;(Fox, 2015)&quot;,&quot;manualOverrideText&quot;:&quot;&quot;},&quot;citationTag&quot;:&quot;MENDELEY_CITATION_v3_eyJjaXRhdGlvbklEIjoiTUVOREVMRVlfQ0lUQVRJT05fNDIzM2E2OWEtY2ZjNy00NjlmLTlmNGEtMDMwYzljNjEwMWVm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4a64a950-b47c-4473-86ce-b14f72345b50&quot;,&quot;properties&quot;:{&quot;noteIndex&quot;:0},&quot;isEdited&quot;:false,&quot;manualOverride&quot;:{&quot;isManuallyOverridden&quot;:false,&quot;citeprocText&quot;:&quot;(Fox, 2015)&quot;,&quot;manualOverrideText&quot;:&quot;&quot;},&quot;citationTag&quot;:&quot;MENDELEY_CITATION_v3_eyJjaXRhdGlvbklEIjoiTUVOREVMRVlfQ0lUQVRJT05fNGE2NGE5NTAtYjQ3Yy00NDczLTg2Y2UtYjE0ZjcyMzQ1YjU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d9e2e489-65c5-4287-a747-15921b6ccda6&quot;,&quot;properties&quot;:{&quot;noteIndex&quot;:0},&quot;isEdited&quot;:false,&quot;manualOverride&quot;:{&quot;isManuallyOverridden&quot;:false,&quot;citeprocText&quot;:&quot;(Fung, 2015)&quot;,&quot;manualOverrideText&quot;:&quot;&quot;},&quot;citationTag&quot;:&quot;MENDELEY_CITATION_v3_eyJjaXRhdGlvbklEIjoiTUVOREVMRVlfQ0lUQVRJT05fZDllMmU0ODktNjVjNS00Mjg3LWE3NDctMTU5MjFiNmNjZG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5667f7ca-acde-4a89-849d-983cd6921fcf&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TY2N2Y3Y2EtYWNkZS00YTg5LTg0OWQtOTgzY2Q2OTIxZmN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7a63a86c-4597-442e-84bc-fdfca0baf0f6&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2E2M2E4NmMtNDU5Ny00NDJlLTg0YmMtZmRmY2EwYmFmMGY2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11b6958f-0b25-41ca-b9c8-d54b73e8e061&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TFiNjk1OGYtMGIyNS00MWNhLWI5YzgtZDU0YjczZThlMDY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57ae4399-fc28-4521-be79-2f6d39c4c834&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NTdhZTQzOTktZmMyOC00NTIxLWJlNzktMmY2ZDM5YzRjODM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3b932c49-2dc4-4174-8f75-d5f6a7b9acf4&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M2I5MzJjNDktMmRjNC00MTc0LThmNzUtZDVmNmE3YjlhY2Y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88c728c9-8470-44a2-aebf-7315d8e5c3ab&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ODhjNzI4YzktODQ3MC00NGEyLWFlYmYtNzMxNWQ4ZTVjM2Fi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6ea3c6b7-50f4-4fd7-b374-05dc52369228&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NmVhM2M2YjctNTBmNC00ZmQ3LWIzNzQtMDVkYzUyMzY5MjI4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9d4dcde8-dbca-4d74-9cbd-13a581941ea2&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OWQ0ZGNkZTgtZGJjYS00ZDc0LTljYmQtMTNhNTgxOTQxZWE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1ffd3023-2c62-4a88-bc56-a8433838d8ee&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MWZmZDMwMjMtMmM2Mi00YTg4LWJjNTYtYTg0MzM4MzhkOGVl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b8aaa15f-dcf6-42de-a422-7273c19d7473&quot;,&quot;properties&quot;:{&quot;noteIndex&quot;:0},&quot;isEdited&quot;:false,&quot;manualOverride&quot;:{&quot;isManuallyOverridden&quot;:false,&quot;citeprocText&quot;:&quot;(Fox, 2015)&quot;,&quot;manualOverrideText&quot;:&quot;&quot;},&quot;citationTag&quot;:&quot;MENDELEY_CITATION_v3_eyJjaXRhdGlvbklEIjoiTUVOREVMRVlfQ0lUQVRJT05fYjhhYWExNWYtZGNmNi00MmRlLWE0MjItNzI3M2MxOWQ3NDcz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e5ce2817-821f-434a-9ad0-b453a0020efe&quot;,&quot;properties&quot;:{&quot;noteIndex&quot;:0},&quot;isEdited&quot;:false,&quot;manualOverride&quot;:{&quot;isManuallyOverridden&quot;:false,&quot;citeprocText&quot;:&quot;(Fung, 2015)&quot;,&quot;manualOverrideText&quot;:&quot;&quot;},&quot;citationTag&quot;:&quot;MENDELEY_CITATION_v3_eyJjaXRhdGlvbklEIjoiTUVOREVMRVlfQ0lUQVRJT05fZTVjZTI4MTctODIxZi00MzRhLTlhZDAtYjQ1M2EwMDIwZW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141eecb6-746b-4647-80e1-ebc4c2dcf7f9&quot;,&quot;properties&quot;:{&quot;noteIndex&quot;:0},&quot;isEdited&quot;:false,&quot;manualOverride&quot;:{&quot;isManuallyOverridden&quot;:false,&quot;citeprocText&quot;:&quot;(Creswell &amp;#38; Vicki, 2017)&quot;,&quot;manualOverrideText&quot;:&quot;&quot;},&quot;citationTag&quot;:&quot;MENDELEY_CITATION_v3_eyJjaXRhdGlvbklEIjoiTUVOREVMRVlfQ0lUQVRJT05fMTQxZWVjYjYtNzQ2Yi00NjQ3LTgwZTEtZWJjNGMyZGNmN2Y5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quot;,&quot;citationItems&quot;:[{&quot;id&quot;:&quot;f417f5b1-0d59-3656-9f2f-55825a4bdbc0&quot;,&quot;itemData&quot;:{&quot;type&quot;:&quot;book&quot;,&quot;id&quot;:&quot;f417f5b1-0d59-3656-9f2f-55825a4bdbc0&quot;,&quot;title&quot;:&quot;Designing and Conducting Mixed Methods Research&quot;,&quot;author&quot;:[{&quot;family&quot;:&quot;Creswell&quot;,&quot;given&quot;:&quot;John W.&quot;,&quot;parse-names&quot;:false,&quot;dropping-particle&quot;:&quot;&quot;,&quot;non-dropping-particle&quot;:&quot;&quot;},{&quot;family&quot;:&quot;Vicki&quot;,&quot;given&quot;:&quot;L. Plano Clark&quot;,&quot;parse-names&quot;:false,&quot;dropping-particle&quot;:&quot;&quot;,&quot;non-dropping-particle&quot;:&quot;&quot;}],&quot;issued&quot;:{&quot;date-parts&quot;:[[2017]]},&quot;edition&quot;:&quot;Third Edition&quot;,&quot;container-title-short&quot;:&quot;&quot;},&quot;isTemporary&quot;:false,&quot;suppress-author&quot;:false,&quot;composite&quot;:false,&quot;author-only&quot;:false}]},{&quot;citationID&quot;:&quot;MENDELEY_CITATION_5665fa64-33ec-4aa9-b794-a2d362fe73fb&quot;,&quot;properties&quot;:{&quot;noteIndex&quot;:0},&quot;isEdited&quot;:false,&quot;manualOverride&quot;:{&quot;isManuallyOverridden&quot;:false,&quot;citeprocText&quot;:&quot;(Silverman, 2017)&quot;,&quot;manualOverrideText&quot;:&quot;&quot;},&quot;citationTag&quot;:&quot;MENDELEY_CITATION_v3_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&quot;,&quot;citationItems&quot;:[{&quot;id&quot;:&quot;21e1c082-1cfd-38d9-8899-754a9b8c9f17&quot;,&quot;itemData&quot;:{&quot;type&quot;:&quot;book&quot;,&quot;id&quot;:&quot;21e1c082-1cfd-38d9-8899-754a9b8c9f17&quot;,&quot;title&quot;:&quot;Doing Qualitative Research&quot;,&quot;author&quot;:[{&quot;family&quot;:&quot;Silverman&quot;,&quot;given&quot;:&quot;David&quot;,&quot;parse-names&quot;:false,&quot;dropping-particle&quot;:&quot;&quot;,&quot;non-dropping-particle&quot;:&quot;&quot;}],&quot;issued&quot;:{&quot;date-parts&quot;:[[2017,11,25]]},&quot;edition&quot;:&quot;5, unabridged&quot;,&quot;publisher&quot;:&quot;SAGE Publications Ltd&quot;,&quot;container-title-short&quot;:&quot;&quot;},&quot;isTemporary&quot;:false,&quot;suppress-author&quot;:false,&quot;composite&quot;:false,&quot;author-only&quot;:false}]},{&quot;citationID&quot;:&quot;MENDELEY_CITATION_f82d682b-05b4-4d7d-9ce9-f14697beb793&quot;,&quot;properties&quot;:{&quot;noteIndex&quot;:0},&quot;isEdited&quot;:false,&quot;manualOverride&quot;:{&quot;isManuallyOverridden&quot;:false,&quot;citeprocText&quot;:&quot;(Flick, 2018)&quot;,&quot;manualOverrideText&quot;:&quot;&quot;},&quot;citationTag&quot;:&quot;MENDELEY_CITATION_v3_eyJjaXRhdGlvbklEIjoiTUVOREVMRVlfQ0lUQVRJT05fZjgyZDY4MmItMDViNC00ZDdkLTljZTktZjE0Njk3YmViNzkz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quot;,&quot;citationItems&quot;:[{&quot;id&quot;:&quot;14ce3760-8abf-34d0-875b-f03e6cd338e8&quot;,&quot;itemData&quot;:{&quot;type&quot;:&quot;book&quot;,&quot;id&quot;:&quot;14ce3760-8abf-34d0-875b-f03e6cd338e8&quot;,&quot;title&quot;:&quot;An Introduction to Qualitative Research&quot;,&quot;author&quot;:[{&quot;family&quot;:&quot;Flick&quot;,&quot;given&quot;:&quot;Uwe&quot;,&quot;parse-names&quot;:false,&quot;dropping-particle&quot;:&quot;&quot;,&quot;non-dropping-particle&quot;:&quot;&quot;}],&quot;issued&quot;:{&quot;date-parts&quot;:[[2018]]},&quot;edition&quot;:&quot;7th Edition&quot;,&quot;publisher&quot;:&quot;SAGE Publications Ltd&quot;,&quot;container-title-short&quot;:&quot;&quot;},&quot;isTemporary&quot;:false,&quot;suppress-author&quot;:false,&quot;composite&quot;:false,&quot;author-only&quot;:false}]},{&quot;citationID&quot;:&quot;MENDELEY_CITATION_a11374f3-50be-47cb-a9f4-339690b4d841&quot;,&quot;properties&quot;:{&quot;noteIndex&quot;:0},&quot;isEdited&quot;:false,&quot;manualOverride&quot;:{&quot;isManuallyOverridden&quot;:false,&quot;citeprocText&quot;:&quot;(Bryman, 2016)&quot;,&quot;manualOverrideText&quot;:&quot;&quot;},&quot;citationTag&quot;:&quot;MENDELEY_CITATION_v3_eyJjaXRhdGlvbklEIjoiTUVOREVMRVlfQ0lUQVRJT05fYTExMzc0ZjMtNTBiZS00N2NiLWE5ZjQtMzM5NjkwYjRkODQx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ID&quot;:&quot;MENDELEY_CITATION_b1b268b0-7357-49b2-8e5c-c461683e58f0&quot;,&quot;properties&quot;:{&quot;noteIndex&quot;:0},&quot;isEdited&quot;:false,&quot;manualOverride&quot;:{&quot;isManuallyOverridden&quot;:false,&quot;citeprocText&quot;:&quot;(Flick, 2018)&quot;,&quot;manualOverrideText&quot;:&quot;&quot;},&quot;citationTag&quot;:&quot;MENDELEY_CITATION_v3_eyJjaXRhdGlvbklEIjoiTUVOREVMRVlfQ0lUQVRJT05fYjFiMjY4YjAtNzM1Ny00OWIyLThlNWMtYzQ2MTY4M2U1OGYw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quot;,&quot;citationItems&quot;:[{&quot;id&quot;:&quot;14ce3760-8abf-34d0-875b-f03e6cd338e8&quot;,&quot;itemData&quot;:{&quot;type&quot;:&quot;book&quot;,&quot;id&quot;:&quot;14ce3760-8abf-34d0-875b-f03e6cd338e8&quot;,&quot;title&quot;:&quot;An Introduction to Qualitative Research&quot;,&quot;author&quot;:[{&quot;family&quot;:&quot;Flick&quot;,&quot;given&quot;:&quot;Uwe&quot;,&quot;parse-names&quot;:false,&quot;dropping-particle&quot;:&quot;&quot;,&quot;non-dropping-particle&quot;:&quot;&quot;}],&quot;issued&quot;:{&quot;date-parts&quot;:[[2018]]},&quot;edition&quot;:&quot;7th Edition&quot;,&quot;publisher&quot;:&quot;SAGE Publications Ltd&quot;,&quot;container-title-short&quot;:&quot;&quot;},&quot;isTemporary&quot;:false,&quot;suppress-author&quot;:false,&quot;composite&quot;:false,&quot;author-only&quot;:false}]},{&quot;citationID&quot;:&quot;MENDELEY_CITATION_820997ba-0d4c-4612-bceb-cf431cafdbda&quot;,&quot;properties&quot;:{&quot;noteIndex&quot;:0},&quot;isEdited&quot;:false,&quot;manualOverride&quot;:{&quot;isManuallyOverridden&quot;:false,&quot;citeprocText&quot;:&quot;(Johnston, 2014)&quot;,&quot;manualOverrideText&quot;:&quot;&quot;},&quot;citationTag&quot;:&quot;MENDELEY_CITATION_v3_eyJjaXRhdGlvbklEIjoiTUVOREVMRVlfQ0lUQVRJT05fODIwOTk3YmEtMGQ0Yy00NjEyLWJjZWItY2Y0MzFjYWZkYmRh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quot;,&quot;citationItems&quot;:[{&quot;id&quot;:&quot;885e16db-62d7-3524-bcc4-781f6f272d31&quot;,&quot;itemData&quot;:{&quot;type&quot;:&quot;article-journal&quot;,&quot;id&quot;:&quot;885e16db-62d7-3524-bcc4-781f6f272d31&quot;,&quot;title&quot;:&quot;Secondary Data Analysis: A Method of which the Time Has Come&quot;,&quot;author&quot;:[{&quot;family&quot;:&quot;Johnston&quot;,&quot;given&quot;:&quot;Melissa P&quot;,&quot;parse-names&quot;:false,&quot;dropping-particle&quot;:&quot;&quot;,&quot;non-dropping-particle&quot;:&quot;&quot;}],&quot;container-title&quot;:&quot;Qualitative and Quantitative Methods in Libraries (QQML)&quot;,&quot;ISSN&quot;:&quot;2241-1925&quot;,&quot;issued&quot;:{&quot;date-parts&quot;:[[2014]]},&quot;page&quot;:&quot;619-626&quot;,&quot;abstract&quot;:&quot;Technological advances have led to vast amounts of data that has been collected, compiled, and archived, and that is now easily accessible for research. As a result, utilizing existing data for research is becoming more prevalent, and therefore secondary data analysis. While secondary analysis is flexible and can be utilized in several ways, it is also an empirical exercise and a systematic method with procedural and evaluative steps, just as in collecting and evaluating primary data. This paper asserts that secondary data analysis is a viable method to utilize in the process of inquiry when a systematic procedure is followed and presents an illustrative research application utilizing secondary data analysis in library and information science research.&quot;,&quot;volume&quot;:&quot;3&quot;,&quot;container-title-short&quot;:&quot;&quot;},&quot;isTemporary&quot;:false,&quot;suppress-author&quot;:false,&quot;composite&quot;:false,&quot;author-only&quot;:false}]},{&quot;citationID&quot;:&quot;MENDELEY_CITATION_251f891a-de00-4574-9381-6c8587edc425&quot;,&quot;properties&quot;:{&quot;noteIndex&quot;:0},&quot;isEdited&quot;:false,&quot;manualOverride&quot;:{&quot;isManuallyOverridden&quot;:false,&quot;citeprocText&quot;:&quot;(Johnston, 2014)&quot;,&quot;manualOverrideText&quot;:&quot;&quot;},&quot;citationTag&quot;:&quot;MENDELEY_CITATION_v3_eyJjaXRhdGlvbklEIjoiTUVOREVMRVlfQ0lUQVRJT05fMjUxZjg5MWEtZGUwMC00NTc0LTkzODEtNmM4NTg3ZWRjNDI1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quot;,&quot;citationItems&quot;:[{&quot;id&quot;:&quot;885e16db-62d7-3524-bcc4-781f6f272d31&quot;,&quot;itemData&quot;:{&quot;type&quot;:&quot;article-journal&quot;,&quot;id&quot;:&quot;885e16db-62d7-3524-bcc4-781f6f272d31&quot;,&quot;title&quot;:&quot;Secondary Data Analysis: A Method of which the Time Has Come&quot;,&quot;author&quot;:[{&quot;family&quot;:&quot;Johnston&quot;,&quot;given&quot;:&quot;Melissa P&quot;,&quot;parse-names&quot;:false,&quot;dropping-particle&quot;:&quot;&quot;,&quot;non-dropping-particle&quot;:&quot;&quot;}],&quot;container-title&quot;:&quot;Qualitative and Quantitative Methods in Libraries (QQML)&quot;,&quot;ISSN&quot;:&quot;2241-1925&quot;,&quot;issued&quot;:{&quot;date-parts&quot;:[[2014]]},&quot;page&quot;:&quot;619-626&quot;,&quot;abstract&quot;:&quot;Technological advances have led to vast amounts of data that has been collected, compiled, and archived, and that is now easily accessible for research. As a result, utilizing existing data for research is becoming more prevalent, and therefore secondary data analysis. While secondary analysis is flexible and can be utilized in several ways, it is also an empirical exercise and a systematic method with procedural and evaluative steps, just as in collecting and evaluating primary data. This paper asserts that secondary data analysis is a viable method to utilize in the process of inquiry when a systematic procedure is followed and presents an illustrative research application utilizing secondary data analysis in library and information science research.&quot;,&quot;volume&quot;:&quot;3&quot;,&quot;container-title-short&quot;:&quot;&quot;},&quot;isTemporary&quot;:false,&quot;suppress-author&quot;:false,&quot;composite&quot;:false,&quot;author-only&quot;:false}]},{&quot;citationID&quot;:&quot;MENDELEY_CITATION_c2daf9f9-da98-4689-87d5-adde37e888d2&quot;,&quot;properties&quot;:{&quot;noteIndex&quot;:0},&quot;isEdited&quot;:false,&quot;manualOverride&quot;:{&quot;isManuallyOverridden&quot;:false,&quot;citeprocText&quot;:&quot;(Bowen, 2009)&quot;,&quot;manualOverrideText&quot;:&quot;&quot;},&quot;citationTag&quot;:&quot;MENDELEY_CITATION_v3_eyJjaXRhdGlvbklEIjoiTUVOREVMRVlfQ0lUQVRJT05fYzJkYWY5ZjktZGE5OC00Njg5LTg3ZDUtYWRkZTM3ZTg4OGQy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quot;,&quot;citationItems&quot;:[{&quot;id&quot;:&quot;8d314a5a-3fce-30a5-bdf0-31273dec0ba1&quot;,&quot;itemData&quot;:{&quot;type&quot;:&quot;article-journal&quot;,&quot;id&quot;:&quot;8d314a5a-3fce-30a5-bdf0-31273dec0ba1&quot;,&quot;title&quot;:&quot;Document Analysis as a Qualitative Research Method&quot;,&quot;author&quot;:[{&quot;family&quot;:&quot;Bowen&quot;,&quot;given&quot;:&quot;Glenn A.&quot;,&quot;parse-names&quot;:false,&quot;dropping-particle&quot;:&quot;&quot;,&quot;non-dropping-particle&quot;:&quot;&quot;}],&quot;container-title&quot;:&quot;Qualitative Research Journal&quot;,&quot;DOI&quot;:&quot;10.3316/QRJ0902027&quot;,&quot;ISSN&quot;:&quot;1443-9883&quot;,&quot;issued&quot;:{&quot;date-parts&quot;:[[2009,8,3]]},&quot;page&quot;:&quot;27-40&quot;,&quot;abstract&quot;:&quot;&lt;p&g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lt;/p&gt;&quot;,&quot;issue&quot;:&quot;2&quot;,&quot;volume&quot;:&quot;9&quot;,&quot;container-title-short&quot;:&quot;&quot;},&quot;isTemporary&quot;:false,&quot;suppress-author&quot;:false,&quot;composite&quot;:false,&quot;author-only&quot;:false}]},{&quot;citationID&quot;:&quot;MENDELEY_CITATION_a78f55a3-fe60-4823-b822-9e4cf9d62fe5&quot;,&quot;properties&quot;:{&quot;noteIndex&quot;:0},&quot;isEdited&quot;:false,&quot;manualOverride&quot;:{&quot;isManuallyOverridden&quot;:false,&quot;citeprocText&quot;:&quot;(Snyder, 2019)&quot;,&quot;manualOverrideText&quot;:&quot;&quot;},&quot;citationTag&quot;:&quot;MENDELEY_CITATION_v3_eyJjaXRhdGlvbklEIjoiTUVOREVMRVlfQ0lUQVRJT05fYTc4ZjU1YTMtZmU2MC00ODIzLWI4MjItOWU0Y2Y5ZDYyZmU1IiwicHJvcGVydGllcyI6eyJub3RlSW5kZXgiOjB9LCJpc0VkaXRlZCI6ZmFsc2UsIm1hbnVhbE92ZXJyaWRlIjp7ImlzTWFudWFsbHlPdmVycmlkZGVuIjpmYWxzZSwiY2l0ZXByb2NUZXh0IjoiKFNueWRlciwgMjAxOSkiLCJtYW51YWxPdmVycmlkZVRleHQiOiIifSwiY2l0YXRpb25JdGVtcyI6W3siaWQiOiIyYzM1YmFkMi0xNDhhLTMzOWItODJmZi1lYTI5Mjk3NTA5OTkiLCJpdGVtRGF0YSI6eyJ0eXBlIjoiYXJ0aWNsZS1qb3VybmFsIiwiaWQiOiIyYzM1YmFkMi0xNDhhLTMzOWItODJmZi1lYTI5Mjk3NTA5OTk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LiBCdXMuIFJlcy4iLCJET0kiOiIxMC4xMDE2L2ouamJ1c3Jlcy4yMDE5LjA3LjAzOSIsIklTU04iOiIwMTQ4Mjk2MyIsImlzc3VlZCI6eyJkYXRlLXBhcnRzIjpbWzIwMTksMTFdXX0sInBhZ2UiOiIzMzMtMzM5Iiwidm9sdW1lIjoiMTA0In0sImlzVGVtcG9yYXJ5IjpmYWxzZSwic3VwcHJlc3MtYXV0aG9yIjpmYWxzZSwiY29tcG9zaXRlIjpmYWxzZSwiYXV0aG9yLW9ubHkiOmZhbHNlfV19&quot;,&quot;citationItems&quot;:[{&quot;id&quot;:&quot;2c35bad2-148a-339b-82ff-ea2929750999&quot;,&quot;itemData&quot;:{&quot;type&quot;:&quot;article-journal&quot;,&quot;id&quot;:&quot;2c35bad2-148a-339b-82ff-ea2929750999&quot;,&quot;title&quot;:&quot;Literature review as a research methodology: An overview and guidelines&quot;,&quot;author&quot;:[{&quot;family&quot;:&quot;Snyder&quot;,&quot;given&quot;:&quot;Hannah&quot;,&quot;parse-names&quot;:false,&quot;dropping-particle&quot;:&quot;&quot;,&quot;non-dropping-particle&quot;:&quot;&quot;}],&quot;container-title&quot;:&quot;Journal of Business Research&quot;,&quot;container-title-short&quot;:&quot;J. Bus. Res.&quot;,&quot;DOI&quot;:&quot;10.1016/j.jbusres.2019.07.039&quot;,&quot;ISSN&quot;:&quot;01482963&quot;,&quot;issued&quot;:{&quot;date-parts&quot;:[[2019,11]]},&quot;page&quot;:&quot;333-339&quot;,&quot;volume&quot;:&quot;104&quot;},&quot;isTemporary&quot;:false,&quot;suppress-author&quot;:false,&quot;composite&quot;:false,&quot;author-only&quot;:false}]},{&quot;citationID&quot;:&quot;MENDELEY_CITATION_11e59200-8620-4da7-967c-2f8edd9c3446&quot;,&quot;properties&quot;:{&quot;noteIndex&quot;:0},&quot;isEdited&quot;:false,&quot;manualOverride&quot;:{&quot;isManuallyOverridden&quot;:false,&quot;citeprocText&quot;:&quot;(Braun &amp;#38; Clarke, 2006)&quot;,&quot;manualOverrideText&quot;:&quot;&quot;},&quot;citationTag&quot;:&quot;MENDELEY_CITATION_v3_eyJjaXRhdGlvbklEIjoiTUVOREVMRVlfQ0lUQVRJT05fMTFlNTkyMDAtODYyMC00ZGE3LTk2N2MtMmY4ZWRkOWMzNDQ2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tems&quot;:[{&quot;id&quot;:&quot;968ce372-7fc6-36ac-ad3f-73dd43ceae64&quot;,&quot;itemData&quot;:{&quot;type&quot;:&quot;article-journal&quot;,&quot;id&quot;:&quot;968ce372-7fc6-36ac-ad3f-73dd43ceae64&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ID&quot;:&quot;MENDELEY_CITATION_0801febc-3597-4434-9e65-1f3489dfa144&quot;,&quot;properties&quot;:{&quot;noteIndex&quot;:0},&quot;isEdited&quot;:false,&quot;manualOverride&quot;:{&quot;isManuallyOverridden&quot;:false,&quot;citeprocText&quot;:&quot;(Braun &amp;#38; Clarke, 2006)&quot;,&quot;manualOverrideText&quot;:&quot;&quot;},&quot;citationTag&quot;:&quot;MENDELEY_CITATION_v3_eyJjaXRhdGlvbklEIjoiTUVOREVMRVlfQ0lUQVRJT05fMDgwMWZlYmMtMzU5Ny00NDM0LTllNjUtMWYzNDg5ZGZhMTQ0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tems&quot;:[{&quot;id&quot;:&quot;968ce372-7fc6-36ac-ad3f-73dd43ceae64&quot;,&quot;itemData&quot;:{&quot;type&quot;:&quot;article-journal&quot;,&quot;id&quot;:&quot;968ce372-7fc6-36ac-ad3f-73dd43ceae64&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ID&quot;:&quot;MENDELEY_CITATION_b6ec2de3-e47f-4ac2-b366-6c754a7f32a0&quot;,&quot;properties&quot;:{&quot;noteIndex&quot;:0},&quot;isEdited&quot;:false,&quot;manualOverride&quot;:{&quot;isManuallyOverridden&quot;:false,&quot;citeprocText&quot;:&quot;(Fung, 2015)&quot;,&quot;manualOverrideText&quot;:&quot;&quot;},&quot;citationTag&quot;:&quot;MENDELEY_CITATION_v3_eyJjaXRhdGlvbklEIjoiTUVOREVMRVlfQ0lUQVRJT05fYjZlYzJkZTMtZTQ3Zi00YWMyLWIzNjYtNmM3NTRhN2YzMmE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0e25d6a1-8782-4728-be43-aa62ae6f6b08&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GUyNWQ2YTEtODc4Mi00NzI4LWJlNDMtYWE2MmFlNmY2YjA4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aeb7f64f-4b37-4aeb-997d-f22900820c43&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YWViN2Y2NGYtNGIzNy00YWViLTk5N2QtZjIyOTAwODIwYzQz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6606d944-5c7a-43c1-875f-d645142cf357&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jYwNmQ5NDQtNWM3YS00M2MxLTg3NWYtZDY0NTE0MmNmMzU3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a1a9b013-b5ff-43c5-86b5-604f16e0d149&quot;,&quot;properties&quot;:{&quot;noteIndex&quot;:0},&quot;isEdited&quot;:false,&quot;manualOverride&quot;:{&quot;isManuallyOverridden&quot;:false,&quot;citeprocText&quot;:&quot;(Fung, 2015)&quot;,&quot;manualOverrideText&quot;:&quot;&quot;},&quot;citationTag&quot;:&quot;MENDELEY_CITATION_v3_eyJjaXRhdGlvbklEIjoiTUVOREVMRVlfQ0lUQVRJT05fYTFhOWIwMTMtYjVmZi00M2M1LTg2YjUtNjA0ZjE2ZTBkMTQ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3cd0c373-f39d-43c3-8b1e-53def03a2f75&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M2NkMGMzNzMtZjM5ZC00M2MzLThiMWUtNTNkZWYwM2EyZjc1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53e44c85-254d-4f96-b28b-8899dc641a6e&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NTNlNDRjODUtMjU0ZC00Zjk2LWIyOGItODg5OWRjNjQxYTZl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5d20b544-7917-4b9a-a3c4-31676d40f63a&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NWQyMGI1NDQtNzkxNy00YjlhLWEzYzQtMzE2NzZkNDBmNjNh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71cf5c6a-6a53-46d8-a7b2-eeb5920681d6&quot;,&quot;properties&quot;:{&quot;noteIndex&quot;:0},&quot;isEdited&quot;:false,&quot;manualOverride&quot;:{&quot;isManuallyOverridden&quot;:false,&quot;citeprocText&quot;:&quot;(Meijer, 2015)&quot;,&quot;manualOverrideText&quot;:&quot;&quot;},&quot;citationTag&quot;:&quot;MENDELEY_CITATION_v3_eyJjaXRhdGlvbklEIjoiTUVOREVMRVlfQ0lUQVRJT05fNzFjZjVjNmEtNmE1My00NmQ4LWE3YjItZWViNTkyMDY4MWQ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8bcfa245-f3b7-4854-b8e5-f7cc623a08e1&quot;,&quot;properties&quot;:{&quot;noteIndex&quot;:0},&quot;isEdited&quot;:false,&quot;manualOverride&quot;:{&quot;isManuallyOverridden&quot;:false,&quot;citeprocText&quot;:&quot;(Fung, 2015)&quot;,&quot;manualOverrideText&quot;:&quot;&quot;},&quot;citationTag&quot;:&quot;MENDELEY_CITATION_v3_eyJjaXRhdGlvbklEIjoiTUVOREVMRVlfQ0lUQVRJT05fOGJjZmEyNDUtZjNiNy00ODU0LWI4ZTUtZjdjYzYyM2EwOGUx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74c92334-22a1-4d28-831a-6058ab0d4344&quot;,&quot;properties&quot;:{&quot;noteIndex&quot;:0},&quot;isEdited&quot;:false,&quot;manualOverride&quot;:{&quot;isManuallyOverridden&quot;:false,&quot;citeprocText&quot;:&quot;(Fox, 2015)&quot;,&quot;manualOverrideText&quot;:&quot;&quot;},&quot;citationTag&quot;:&quot;MENDELEY_CITATION_v3_eyJjaXRhdGlvbklEIjoiTUVOREVMRVlfQ0lUQVRJT05fNzRjOTIzMzQtMjJhMS00ZDI4LTgzMWEtNjA1OGFiMGQ0MzQ0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5de4f411-ce0b-4bb4-a6d4-6f59f3d4f01d&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NWRlNGY0MTEtY2UwYi00YmI0LWE2ZDQtNmY1OWYzZDRmMDFk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55a876f0-5ef2-47a8-a2ac-65c3b4676380&quot;,&quot;properties&quot;:{&quot;noteIndex&quot;:0},&quot;isEdited&quot;:false,&quot;manualOverride&quot;:{&quot;isManuallyOverridden&quot;:false,&quot;citeprocText&quot;:&quot;(Fox, 2015)&quot;,&quot;manualOverrideText&quot;:&quot;&quot;},&quot;citationTag&quot;:&quot;MENDELEY_CITATION_v3_eyJjaXRhdGlvbklEIjoiTUVOREVMRVlfQ0lUQVRJT05fNTVhODc2ZjAtNWVmMi00N2E4LWEyYWMtNjVjM2I0Njc2Mzg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87d80a6f-1634-4c0e-9971-2d7e489805f4&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ODdkODBhNmYtMTYzNC00YzBlLTk5NzEtMmQ3ZTQ4OTgwNWY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62e511c1-3495-4f72-9113-8a390e6ce116&quot;,&quot;properties&quot;:{&quot;noteIndex&quot;:0},&quot;isEdited&quot;:false,&quot;manualOverride&quot;:{&quot;isManuallyOverridden&quot;:false,&quot;citeprocText&quot;:&quot;(Fung, 2015)&quot;,&quot;manualOverrideText&quot;:&quot;&quot;},&quot;citationTag&quot;:&quot;MENDELEY_CITATION_v3_eyJjaXRhdGlvbklEIjoiTUVOREVMRVlfQ0lUQVRJT05fNjJlNTExYzEtMzQ5NS00ZjcyLTkxMTMtOGEzOTBlNmNlMT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1481ab1e-b4be-4dce-8e48-8c3ad33336a0&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MTQ4MWFiMWUtYjRiZS00ZGNlLThlNDgtOGMzYWQzMzMzNmEw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39ce07e8-05ce-494c-9071-3fd7797b417d&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zljZTA3ZTgtMDVjZS00OTRjLTkwNzEtM2ZkNzc5N2I0MTdk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19851001-6fcd-4d22-bd2f-855c46fc9742&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Tk4NTEwMDEtNmZjZC00ZDIyLWJkMmYtODU1YzQ2ZmM5NzQ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1ee81f9e-3627-4c0f-a096-7437b06a43da&quot;,&quot;properties&quot;:{&quot;noteIndex&quot;:0},&quot;isEdited&quot;:false,&quot;manualOverride&quot;:{&quot;isManuallyOverridden&quot;:false,&quot;citeprocText&quot;:&quot;(Fung, 2015)&quot;,&quot;manualOverrideText&quot;:&quot;&quot;},&quot;citationTag&quot;:&quot;MENDELEY_CITATION_v3_eyJjaXRhdGlvbklEIjoiTUVOREVMRVlfQ0lUQVRJT05fMWVlODFmOWUtMzYyNy00YzBmLWEwOTYtNzQzN2IwNmE0M2Rh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57b9acb2-21d8-4ef6-9d38-999de6d305f4&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NTdiOWFjYjItMjFkOC00ZWY2LTlkMzgtOTk5ZGU2ZDMwNWY0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42b08e0e-b739-40ee-b97a-1a5e3de11edc&quot;,&quot;properties&quot;:{&quot;noteIndex&quot;:0},&quot;isEdited&quot;:false,&quot;manualOverride&quot;:{&quot;isManuallyOverridden&quot;:false,&quot;citeprocText&quot;:&quot;(Fox, 2015)&quot;,&quot;manualOverrideText&quot;:&quot;&quot;},&quot;citationTag&quot;:&quot;MENDELEY_CITATION_v3_eyJjaXRhdGlvbklEIjoiTUVOREVMRVlfQ0lUQVRJT05fNDJiMDhlMGUtYjczOS00MGVlLWI5N2EtMWE1ZTNkZTExZWRj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c512b84c-05e6-4e53-bfc3-1cd790f98894&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YzUxMmI4NGMtMDVlNi00ZTUzLWJmYzMtMWNkNzkwZjk4ODk0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df59ef4a-7ff7-4176-acd0-b11800cb4047&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ZGY1OWVmNGEtN2ZmNy00MTc2LWFjZDAtYjExODAwY2I0MDQ3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9efae915-7eb2-4726-9dd3-8999c6ec6b69&quot;,&quot;properties&quot;:{&quot;noteIndex&quot;:0},&quot;isEdited&quot;:false,&quot;manualOverride&quot;:{&quot;isManuallyOverridden&quot;:false,&quot;citeprocText&quot;:&quot;(Fung, 2015)&quot;,&quot;manualOverrideText&quot;:&quot;&quot;},&quot;citationTag&quot;:&quot;MENDELEY_CITATION_v3_eyJjaXRhdGlvbklEIjoiTUVOREVMRVlfQ0lUQVRJT05fOWVmYWU5MTUtN2ViMi00NzI2LTlkZDMtODk5OWM2ZWM2YjY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3052825757"/>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1743</TotalTime>
  <Pages>19</Pages>
  <Words>9022</Words>
  <Characters>51427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Raising Abandoned Lives Co. Ltd RALF</dc:creator>
  <cp:keywords/>
  <dc:description/>
  <cp:lastModifiedBy>theaisha1707@gmail.com</cp:lastModifiedBy>
  <cp:revision>31</cp:revision>
  <dcterms:created xsi:type="dcterms:W3CDTF">2026-03-09T07:46:00Z</dcterms:created>
  <dcterms:modified xsi:type="dcterms:W3CDTF">2026-03-26T11:10:00Z</dcterms:modified>
</cp:coreProperties>
</file>