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5DEF9" w14:textId="23A6F172" w:rsidR="009512C3" w:rsidRPr="009512C3" w:rsidRDefault="009512C3" w:rsidP="009512C3">
      <w:pPr>
        <w:spacing w:after="0" w:line="240" w:lineRule="auto"/>
        <w:ind w:left="-5" w:right="4"/>
        <w:jc w:val="center"/>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STUDY ON THE ASSESSMENT OF PHYSICO-CHEMICAL PARAMETERS OF NARASAPURA LAKE, KARNATAKA</w:t>
      </w:r>
    </w:p>
    <w:p w14:paraId="000A2143" w14:textId="77777777" w:rsidR="009512C3" w:rsidRPr="009512C3" w:rsidRDefault="009512C3" w:rsidP="009512C3">
      <w:pPr>
        <w:spacing w:after="0" w:line="240" w:lineRule="auto"/>
        <w:ind w:right="1"/>
        <w:jc w:val="center"/>
        <w:rPr>
          <w:rFonts w:ascii="Times New Roman" w:eastAsia="Times New Roman" w:hAnsi="Times New Roman" w:cs="Times New Roman"/>
          <w:b/>
          <w:color w:val="0D0D0D" w:themeColor="text1" w:themeTint="F2"/>
          <w:sz w:val="24"/>
          <w:szCs w:val="24"/>
        </w:rPr>
      </w:pPr>
    </w:p>
    <w:p w14:paraId="6CD749EF" w14:textId="77777777" w:rsidR="009512C3" w:rsidRPr="009512C3" w:rsidRDefault="009512C3" w:rsidP="009512C3">
      <w:pPr>
        <w:spacing w:after="0" w:line="240" w:lineRule="auto"/>
        <w:ind w:left="-5" w:right="4"/>
        <w:jc w:val="both"/>
        <w:rPr>
          <w:rFonts w:ascii="Times New Roman" w:hAnsi="Times New Roman" w:cs="Times New Roman"/>
          <w:b/>
          <w:bCs/>
          <w:color w:val="0D0D0D" w:themeColor="text1" w:themeTint="F2"/>
          <w:sz w:val="24"/>
          <w:szCs w:val="24"/>
        </w:rPr>
      </w:pPr>
    </w:p>
    <w:p w14:paraId="0A535F90" w14:textId="7937CD98" w:rsidR="000E3419" w:rsidRPr="009512C3" w:rsidRDefault="000E3419" w:rsidP="000E3419">
      <w:pPr>
        <w:ind w:left="-5" w:right="4"/>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 xml:space="preserve">Abstract </w:t>
      </w:r>
    </w:p>
    <w:p w14:paraId="18D23626" w14:textId="5BA55273" w:rsidR="000E3419" w:rsidRPr="000E3419" w:rsidRDefault="000E3419" w:rsidP="009512C3">
      <w:pPr>
        <w:ind w:left="-6" w:right="6"/>
        <w:jc w:val="both"/>
        <w:rPr>
          <w:rFonts w:ascii="Times New Roman" w:hAnsi="Times New Roman" w:cs="Times New Roman"/>
          <w:color w:val="0D0D0D" w:themeColor="text1" w:themeTint="F2"/>
          <w:sz w:val="24"/>
          <w:szCs w:val="24"/>
        </w:rPr>
      </w:pPr>
      <w:r w:rsidRPr="000E3419">
        <w:rPr>
          <w:rFonts w:ascii="Times New Roman" w:hAnsi="Times New Roman" w:cs="Times New Roman"/>
          <w:color w:val="0D0D0D" w:themeColor="text1" w:themeTint="F2"/>
          <w:sz w:val="24"/>
          <w:szCs w:val="24"/>
        </w:rPr>
        <w:t xml:space="preserve">The present study was conducted to evaluate the seasonal variation of selected </w:t>
      </w:r>
      <w:proofErr w:type="spellStart"/>
      <w:r w:rsidRPr="000E3419">
        <w:rPr>
          <w:rFonts w:ascii="Times New Roman" w:hAnsi="Times New Roman" w:cs="Times New Roman"/>
          <w:color w:val="0D0D0D" w:themeColor="text1" w:themeTint="F2"/>
          <w:sz w:val="24"/>
          <w:szCs w:val="24"/>
        </w:rPr>
        <w:t>physico</w:t>
      </w:r>
      <w:proofErr w:type="spellEnd"/>
      <w:r w:rsidRPr="000E3419">
        <w:rPr>
          <w:rFonts w:ascii="Times New Roman" w:hAnsi="Times New Roman" w:cs="Times New Roman"/>
          <w:color w:val="0D0D0D" w:themeColor="text1" w:themeTint="F2"/>
          <w:sz w:val="24"/>
          <w:szCs w:val="24"/>
        </w:rPr>
        <w:t xml:space="preserve">-chemical parameters in </w:t>
      </w:r>
      <w:proofErr w:type="spellStart"/>
      <w:r w:rsidRPr="000E3419">
        <w:rPr>
          <w:rFonts w:ascii="Times New Roman" w:hAnsi="Times New Roman" w:cs="Times New Roman"/>
          <w:color w:val="0D0D0D" w:themeColor="text1" w:themeTint="F2"/>
          <w:sz w:val="24"/>
          <w:szCs w:val="24"/>
        </w:rPr>
        <w:t>Narasapura</w:t>
      </w:r>
      <w:proofErr w:type="spellEnd"/>
      <w:r w:rsidRPr="000E3419">
        <w:rPr>
          <w:rFonts w:ascii="Times New Roman" w:hAnsi="Times New Roman" w:cs="Times New Roman"/>
          <w:color w:val="0D0D0D" w:themeColor="text1" w:themeTint="F2"/>
          <w:sz w:val="24"/>
          <w:szCs w:val="24"/>
        </w:rPr>
        <w:t xml:space="preserve"> Lake, Kolar, Karnataka, from January to December 2024. Key parameters </w:t>
      </w:r>
      <w:r w:rsidRPr="009512C3">
        <w:rPr>
          <w:rFonts w:ascii="Times New Roman" w:hAnsi="Times New Roman" w:cs="Times New Roman"/>
          <w:color w:val="0D0D0D" w:themeColor="text1" w:themeTint="F2"/>
          <w:sz w:val="24"/>
          <w:szCs w:val="24"/>
        </w:rPr>
        <w:t>analysed</w:t>
      </w:r>
      <w:r w:rsidRPr="000E3419">
        <w:rPr>
          <w:rFonts w:ascii="Times New Roman" w:hAnsi="Times New Roman" w:cs="Times New Roman"/>
          <w:color w:val="0D0D0D" w:themeColor="text1" w:themeTint="F2"/>
          <w:sz w:val="24"/>
          <w:szCs w:val="24"/>
        </w:rPr>
        <w:t xml:space="preserve"> included pH, total alkalinity, total dissolved solids (TDS), magnesium, calcium, total hardness, iron, chloride, biochemical oxygen demand (BOD), and chemical oxygen demand (COD).</w:t>
      </w:r>
      <w:r w:rsidRPr="009512C3">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The results revealed noticeable seasonal fluctuations in all parameters, primarily influenced by monsoon dynamics. The pH remained within the acceptable range (6.5–8.5) throughout the study period. Alkalinity and TDS showed higher values during pre-monsoon months and declined significantly during monsoon</w:t>
      </w:r>
      <w:r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Magnesium levels remained relatively stable. Calcium</w:t>
      </w:r>
      <w:r w:rsidR="009512C3"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total hardness</w:t>
      </w:r>
      <w:r w:rsidR="009512C3" w:rsidRPr="009512C3">
        <w:rPr>
          <w:rFonts w:ascii="Times New Roman" w:hAnsi="Times New Roman" w:cs="Times New Roman"/>
          <w:color w:val="0D0D0D" w:themeColor="text1" w:themeTint="F2"/>
          <w:sz w:val="24"/>
          <w:szCs w:val="24"/>
        </w:rPr>
        <w:t>,</w:t>
      </w:r>
      <w:r w:rsidRPr="000E3419">
        <w:rPr>
          <w:rFonts w:ascii="Times New Roman" w:hAnsi="Times New Roman" w:cs="Times New Roman"/>
          <w:color w:val="0D0D0D" w:themeColor="text1" w:themeTint="F2"/>
          <w:sz w:val="24"/>
          <w:szCs w:val="24"/>
        </w:rPr>
        <w:t xml:space="preserve"> </w:t>
      </w:r>
      <w:r w:rsidR="009512C3" w:rsidRPr="000E3419">
        <w:rPr>
          <w:rFonts w:ascii="Times New Roman" w:hAnsi="Times New Roman" w:cs="Times New Roman"/>
          <w:color w:val="0D0D0D" w:themeColor="text1" w:themeTint="F2"/>
          <w:sz w:val="24"/>
          <w:szCs w:val="24"/>
        </w:rPr>
        <w:t xml:space="preserve">Iron and chloride </w:t>
      </w:r>
      <w:r w:rsidRPr="000E3419">
        <w:rPr>
          <w:rFonts w:ascii="Times New Roman" w:hAnsi="Times New Roman" w:cs="Times New Roman"/>
          <w:color w:val="0D0D0D" w:themeColor="text1" w:themeTint="F2"/>
          <w:sz w:val="24"/>
          <w:szCs w:val="24"/>
        </w:rPr>
        <w:t>exhibited higher concentrations during dry months and lower values during the monsoon season. BOD and COD values were higher during the initial months, indicating organic and chemical load, but showed a declining trend towards the end of the year, suggesting improvement in water quality.</w:t>
      </w:r>
      <w:r w:rsidR="009512C3" w:rsidRPr="009512C3">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The variations in water quality were mainly attributed to natural factors such as rainfall, evaporation, and water inflow</w:t>
      </w:r>
      <w:r w:rsidR="009512C3" w:rsidRPr="009512C3">
        <w:rPr>
          <w:rFonts w:ascii="Times New Roman" w:hAnsi="Times New Roman" w:cs="Times New Roman"/>
          <w:color w:val="0D0D0D" w:themeColor="text1" w:themeTint="F2"/>
          <w:sz w:val="24"/>
          <w:szCs w:val="24"/>
        </w:rPr>
        <w:t xml:space="preserve">. However, results showed </w:t>
      </w:r>
      <w:r w:rsidR="009512C3" w:rsidRPr="000E3419">
        <w:rPr>
          <w:rFonts w:ascii="Times New Roman" w:hAnsi="Times New Roman" w:cs="Times New Roman"/>
          <w:color w:val="0D0D0D" w:themeColor="text1" w:themeTint="F2"/>
          <w:sz w:val="24"/>
          <w:szCs w:val="24"/>
        </w:rPr>
        <w:t>most parameters were within acceptable limits, with no significant pollution observed.</w:t>
      </w:r>
    </w:p>
    <w:p w14:paraId="308BA657" w14:textId="153EC3F3" w:rsidR="00B34018" w:rsidRDefault="00B34018" w:rsidP="0079235C">
      <w:pPr>
        <w:ind w:left="-5" w:right="4"/>
        <w:jc w:val="both"/>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Keywords:</w:t>
      </w:r>
      <w:r w:rsidRPr="00B34018">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 xml:space="preserve">pH, </w:t>
      </w:r>
      <w:r>
        <w:rPr>
          <w:rFonts w:ascii="Times New Roman" w:hAnsi="Times New Roman" w:cs="Times New Roman"/>
          <w:color w:val="0D0D0D" w:themeColor="text1" w:themeTint="F2"/>
          <w:sz w:val="24"/>
          <w:szCs w:val="24"/>
        </w:rPr>
        <w:t>A</w:t>
      </w:r>
      <w:r w:rsidRPr="000E3419">
        <w:rPr>
          <w:rFonts w:ascii="Times New Roman" w:hAnsi="Times New Roman" w:cs="Times New Roman"/>
          <w:color w:val="0D0D0D" w:themeColor="text1" w:themeTint="F2"/>
          <w:sz w:val="24"/>
          <w:szCs w:val="24"/>
        </w:rPr>
        <w:t xml:space="preserve">lkalinity, TDS, </w:t>
      </w:r>
      <w:r>
        <w:rPr>
          <w:rFonts w:ascii="Times New Roman" w:hAnsi="Times New Roman" w:cs="Times New Roman"/>
          <w:color w:val="0D0D0D" w:themeColor="text1" w:themeTint="F2"/>
          <w:sz w:val="24"/>
          <w:szCs w:val="24"/>
        </w:rPr>
        <w:t>M</w:t>
      </w:r>
      <w:r w:rsidRPr="000E3419">
        <w:rPr>
          <w:rFonts w:ascii="Times New Roman" w:hAnsi="Times New Roman" w:cs="Times New Roman"/>
          <w:color w:val="0D0D0D" w:themeColor="text1" w:themeTint="F2"/>
          <w:sz w:val="24"/>
          <w:szCs w:val="24"/>
        </w:rPr>
        <w:t xml:space="preserve">agnesium, </w:t>
      </w:r>
      <w:r>
        <w:rPr>
          <w:rFonts w:ascii="Times New Roman" w:hAnsi="Times New Roman" w:cs="Times New Roman"/>
          <w:color w:val="0D0D0D" w:themeColor="text1" w:themeTint="F2"/>
          <w:sz w:val="24"/>
          <w:szCs w:val="24"/>
        </w:rPr>
        <w:t>C</w:t>
      </w:r>
      <w:r w:rsidRPr="000E3419">
        <w:rPr>
          <w:rFonts w:ascii="Times New Roman" w:hAnsi="Times New Roman" w:cs="Times New Roman"/>
          <w:color w:val="0D0D0D" w:themeColor="text1" w:themeTint="F2"/>
          <w:sz w:val="24"/>
          <w:szCs w:val="24"/>
        </w:rPr>
        <w:t xml:space="preserve">alcium, </w:t>
      </w:r>
      <w:r>
        <w:rPr>
          <w:rFonts w:ascii="Times New Roman" w:hAnsi="Times New Roman" w:cs="Times New Roman"/>
          <w:color w:val="0D0D0D" w:themeColor="text1" w:themeTint="F2"/>
          <w:sz w:val="24"/>
          <w:szCs w:val="24"/>
        </w:rPr>
        <w:t>H</w:t>
      </w:r>
      <w:r w:rsidRPr="000E3419">
        <w:rPr>
          <w:rFonts w:ascii="Times New Roman" w:hAnsi="Times New Roman" w:cs="Times New Roman"/>
          <w:color w:val="0D0D0D" w:themeColor="text1" w:themeTint="F2"/>
          <w:sz w:val="24"/>
          <w:szCs w:val="24"/>
        </w:rPr>
        <w:t xml:space="preserve">ardness, </w:t>
      </w:r>
      <w:r>
        <w:rPr>
          <w:rFonts w:ascii="Times New Roman" w:hAnsi="Times New Roman" w:cs="Times New Roman"/>
          <w:color w:val="0D0D0D" w:themeColor="text1" w:themeTint="F2"/>
          <w:sz w:val="24"/>
          <w:szCs w:val="24"/>
        </w:rPr>
        <w:t>I</w:t>
      </w:r>
      <w:r w:rsidRPr="000E3419">
        <w:rPr>
          <w:rFonts w:ascii="Times New Roman" w:hAnsi="Times New Roman" w:cs="Times New Roman"/>
          <w:color w:val="0D0D0D" w:themeColor="text1" w:themeTint="F2"/>
          <w:sz w:val="24"/>
          <w:szCs w:val="24"/>
        </w:rPr>
        <w:t xml:space="preserve">ron, </w:t>
      </w:r>
      <w:r>
        <w:rPr>
          <w:rFonts w:ascii="Times New Roman" w:hAnsi="Times New Roman" w:cs="Times New Roman"/>
          <w:color w:val="0D0D0D" w:themeColor="text1" w:themeTint="F2"/>
          <w:sz w:val="24"/>
          <w:szCs w:val="24"/>
        </w:rPr>
        <w:t>C</w:t>
      </w:r>
      <w:r w:rsidRPr="000E3419">
        <w:rPr>
          <w:rFonts w:ascii="Times New Roman" w:hAnsi="Times New Roman" w:cs="Times New Roman"/>
          <w:color w:val="0D0D0D" w:themeColor="text1" w:themeTint="F2"/>
          <w:sz w:val="24"/>
          <w:szCs w:val="24"/>
        </w:rPr>
        <w:t>hloride, BOD</w:t>
      </w:r>
      <w:r>
        <w:rPr>
          <w:rFonts w:ascii="Times New Roman" w:hAnsi="Times New Roman" w:cs="Times New Roman"/>
          <w:color w:val="0D0D0D" w:themeColor="text1" w:themeTint="F2"/>
          <w:sz w:val="24"/>
          <w:szCs w:val="24"/>
        </w:rPr>
        <w:t xml:space="preserve">, </w:t>
      </w:r>
      <w:r w:rsidRPr="000E3419">
        <w:rPr>
          <w:rFonts w:ascii="Times New Roman" w:hAnsi="Times New Roman" w:cs="Times New Roman"/>
          <w:color w:val="0D0D0D" w:themeColor="text1" w:themeTint="F2"/>
          <w:sz w:val="24"/>
          <w:szCs w:val="24"/>
        </w:rPr>
        <w:t>COD.</w:t>
      </w:r>
    </w:p>
    <w:p w14:paraId="663C70A6" w14:textId="23EFF43B" w:rsidR="00006EA8" w:rsidRPr="009512C3" w:rsidRDefault="00006EA8" w:rsidP="0079235C">
      <w:pPr>
        <w:ind w:left="-5" w:right="4"/>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 xml:space="preserve">Introduction </w:t>
      </w:r>
    </w:p>
    <w:p w14:paraId="5AB46043" w14:textId="68FDA8AA" w:rsidR="00006EA8" w:rsidRPr="009512C3" w:rsidRDefault="00D2759B" w:rsidP="0079235C">
      <w:pPr>
        <w:ind w:left="-5" w:right="4"/>
        <w:jc w:val="both"/>
        <w:rPr>
          <w:rFonts w:ascii="Times New Roman" w:hAnsi="Times New Roman" w:cs="Times New Roman"/>
          <w:bCs/>
          <w:color w:val="0D0D0D" w:themeColor="text1" w:themeTint="F2"/>
          <w:sz w:val="24"/>
          <w:szCs w:val="24"/>
        </w:rPr>
      </w:pPr>
      <w:r w:rsidRPr="009512C3">
        <w:rPr>
          <w:rFonts w:ascii="Times New Roman" w:hAnsi="Times New Roman" w:cs="Times New Roman"/>
          <w:color w:val="0D0D0D" w:themeColor="text1" w:themeTint="F2"/>
          <w:sz w:val="24"/>
          <w:szCs w:val="24"/>
        </w:rPr>
        <w:t xml:space="preserve">Lakes are non-marine, standing water bodies that are functionally linked to their surrounding landscapes (watersheds) through hydrological and atmospheric inputs. As relatively well-defined and self-contained ecosystems, they provide a clear framework for understanding the interactions among physical, biogeochemical, and biological processes. The distinct boundaries between water and land, as well as between water and air, facilitate strong coupling among ecosystem components, making lakes highly suitable for ecological study and informed management. </w:t>
      </w:r>
      <w:r w:rsidR="00BB0109" w:rsidRPr="009512C3">
        <w:rPr>
          <w:rFonts w:ascii="Times New Roman" w:eastAsia="Times New Roman" w:hAnsi="Times New Roman" w:cs="Times New Roman"/>
          <w:color w:val="0D0D0D" w:themeColor="text1" w:themeTint="F2"/>
          <w:sz w:val="24"/>
          <w:szCs w:val="24"/>
        </w:rPr>
        <w:t>Despite covering only 3% of the Earth’</w:t>
      </w:r>
      <w:r w:rsidR="00BB0109" w:rsidRPr="009512C3">
        <w:rPr>
          <w:rFonts w:ascii="Times New Roman" w:hAnsi="Times New Roman" w:cs="Times New Roman"/>
          <w:color w:val="0D0D0D" w:themeColor="text1" w:themeTint="F2"/>
          <w:sz w:val="24"/>
          <w:szCs w:val="24"/>
        </w:rPr>
        <w:t xml:space="preserve">s land surface, lakes store approximately </w:t>
      </w:r>
      <w:r w:rsidR="00BB0109" w:rsidRPr="009512C3">
        <w:rPr>
          <w:rFonts w:ascii="Times New Roman" w:eastAsia="Times New Roman" w:hAnsi="Times New Roman" w:cs="Times New Roman"/>
          <w:color w:val="0D0D0D" w:themeColor="text1" w:themeTint="F2"/>
          <w:sz w:val="24"/>
          <w:szCs w:val="24"/>
        </w:rPr>
        <w:t>87% of the world’s liquid freshwater (Yao et</w:t>
      </w:r>
      <w:r w:rsidR="00BB0109" w:rsidRPr="009512C3">
        <w:rPr>
          <w:rFonts w:ascii="Times New Roman" w:hAnsi="Times New Roman" w:cs="Times New Roman"/>
          <w:color w:val="0D0D0D" w:themeColor="text1" w:themeTint="F2"/>
          <w:sz w:val="24"/>
          <w:szCs w:val="24"/>
        </w:rPr>
        <w:t xml:space="preserve"> al., </w:t>
      </w:r>
      <w:r w:rsidR="00BB0109" w:rsidRPr="009512C3">
        <w:rPr>
          <w:rFonts w:ascii="Times New Roman" w:eastAsia="Times New Roman" w:hAnsi="Times New Roman" w:cs="Times New Roman"/>
          <w:bCs/>
          <w:color w:val="0D0D0D" w:themeColor="text1" w:themeTint="F2"/>
          <w:sz w:val="24"/>
          <w:szCs w:val="24"/>
        </w:rPr>
        <w:t>2023</w:t>
      </w:r>
      <w:r w:rsidR="00BB0109" w:rsidRPr="009512C3">
        <w:rPr>
          <w:rFonts w:ascii="Times New Roman" w:hAnsi="Times New Roman" w:cs="Times New Roman"/>
          <w:bCs/>
          <w:color w:val="0D0D0D" w:themeColor="text1" w:themeTint="F2"/>
          <w:sz w:val="24"/>
          <w:szCs w:val="24"/>
        </w:rPr>
        <w:t xml:space="preserve">), providing invaluable ecosystem services to more than 131 million people (Jenny et al., </w:t>
      </w:r>
      <w:r w:rsidR="00BB0109" w:rsidRPr="009512C3">
        <w:rPr>
          <w:rFonts w:ascii="Times New Roman" w:eastAsia="Times New Roman" w:hAnsi="Times New Roman" w:cs="Times New Roman"/>
          <w:bCs/>
          <w:color w:val="0D0D0D" w:themeColor="text1" w:themeTint="F2"/>
          <w:sz w:val="24"/>
          <w:szCs w:val="24"/>
        </w:rPr>
        <w:t>2020</w:t>
      </w:r>
      <w:r w:rsidR="00BB0109" w:rsidRPr="009512C3">
        <w:rPr>
          <w:rFonts w:ascii="Times New Roman" w:hAnsi="Times New Roman" w:cs="Times New Roman"/>
          <w:color w:val="0D0D0D" w:themeColor="text1" w:themeTint="F2"/>
          <w:sz w:val="24"/>
          <w:szCs w:val="24"/>
        </w:rPr>
        <w:t xml:space="preserve">).  </w:t>
      </w:r>
      <w:r w:rsidR="00AC7BDB" w:rsidRPr="009512C3">
        <w:rPr>
          <w:rFonts w:ascii="Times New Roman" w:hAnsi="Times New Roman" w:cs="Times New Roman"/>
          <w:bCs/>
          <w:color w:val="0D0D0D" w:themeColor="text1" w:themeTint="F2"/>
          <w:sz w:val="24"/>
          <w:szCs w:val="24"/>
        </w:rPr>
        <w:t>The ever-increasing population, rapid urbanization, and modernization have intensified problems related to sewage disposal and the contamination of surface water bodies such as lakes. In addition to anthropogenic factors, natural processes like weathering of rocks, soil leaching, and mining activities also contribute to water pollution. These factors collectively lead to nutrient enrichment in lakes, a process known as eutrophication. Furthermore, changes in land use patterns and longer growing seasons promote increased use of fertilizers, which often leach into nearby watercourses, rivers, and lakes. This nutrient influx accelerates eutrophication, ultimately resulting in the degradation of water quality and loss of aquatic biodiversity.</w:t>
      </w:r>
      <w:r w:rsidR="00AC7BDB" w:rsidRPr="009512C3">
        <w:rPr>
          <w:rFonts w:ascii="Times New Roman" w:hAnsi="Times New Roman" w:cs="Times New Roman"/>
          <w:color w:val="0D0D0D" w:themeColor="text1" w:themeTint="F2"/>
          <w:sz w:val="24"/>
          <w:szCs w:val="24"/>
        </w:rPr>
        <w:t xml:space="preserve"> </w:t>
      </w:r>
      <w:r w:rsidR="00AC7BDB" w:rsidRPr="009512C3">
        <w:rPr>
          <w:rFonts w:ascii="Times New Roman" w:hAnsi="Times New Roman" w:cs="Times New Roman"/>
          <w:bCs/>
          <w:color w:val="0D0D0D" w:themeColor="text1" w:themeTint="F2"/>
          <w:sz w:val="24"/>
          <w:szCs w:val="24"/>
        </w:rPr>
        <w:t xml:space="preserve">It is essential to test water quality before it is used for drinking, domestic, agricultural, or industrial purposes. Water may contain various types of impurities, including floating, dissolved, suspended, as well as microbiological and bacteriological contaminants. Therefore, comprehensive analysis using different </w:t>
      </w:r>
      <w:proofErr w:type="spellStart"/>
      <w:r w:rsidR="00AC7BDB" w:rsidRPr="009512C3">
        <w:rPr>
          <w:rFonts w:ascii="Times New Roman" w:hAnsi="Times New Roman" w:cs="Times New Roman"/>
          <w:bCs/>
          <w:color w:val="0D0D0D" w:themeColor="text1" w:themeTint="F2"/>
          <w:sz w:val="24"/>
          <w:szCs w:val="24"/>
        </w:rPr>
        <w:t>physico</w:t>
      </w:r>
      <w:proofErr w:type="spellEnd"/>
      <w:r w:rsidR="00AC7BDB" w:rsidRPr="009512C3">
        <w:rPr>
          <w:rFonts w:ascii="Times New Roman" w:hAnsi="Times New Roman" w:cs="Times New Roman"/>
          <w:bCs/>
          <w:color w:val="0D0D0D" w:themeColor="text1" w:themeTint="F2"/>
          <w:sz w:val="24"/>
          <w:szCs w:val="24"/>
        </w:rPr>
        <w:t xml:space="preserve">-chemical parameters is necessary. </w:t>
      </w:r>
      <w:r w:rsidR="00AC7BDB" w:rsidRPr="009512C3">
        <w:rPr>
          <w:rFonts w:ascii="Times New Roman" w:hAnsi="Times New Roman" w:cs="Times New Roman"/>
          <w:bCs/>
          <w:color w:val="0D0D0D" w:themeColor="text1" w:themeTint="F2"/>
          <w:sz w:val="24"/>
          <w:szCs w:val="24"/>
        </w:rPr>
        <w:lastRenderedPageBreak/>
        <w:t>Physical tests are conducted to assess characteristics such as temperature, pH, turbidity, and total dissolved solids (TDS). In addition, chemical tests are performed to determine parameters like biochemical oxygen demand (BOD), chemical oxygen demand (COD), dissolved oxygen (DO), alkalinity, hardness, and other relevant properties</w:t>
      </w:r>
      <w:r w:rsidRPr="009512C3">
        <w:rPr>
          <w:rFonts w:ascii="Times New Roman" w:hAnsi="Times New Roman" w:cs="Times New Roman"/>
          <w:bCs/>
          <w:color w:val="0D0D0D" w:themeColor="text1" w:themeTint="F2"/>
          <w:sz w:val="24"/>
          <w:szCs w:val="24"/>
        </w:rPr>
        <w:t xml:space="preserve"> (Kumar, et al., 2023)</w:t>
      </w:r>
      <w:r w:rsidR="00AC7BDB" w:rsidRPr="009512C3">
        <w:rPr>
          <w:rFonts w:ascii="Times New Roman" w:hAnsi="Times New Roman" w:cs="Times New Roman"/>
          <w:bCs/>
          <w:color w:val="0D0D0D" w:themeColor="text1" w:themeTint="F2"/>
          <w:sz w:val="24"/>
          <w:szCs w:val="24"/>
        </w:rPr>
        <w:t>. These assessments help ensure the safety and suitability of water for its intended use</w:t>
      </w:r>
      <w:r w:rsidRPr="009512C3">
        <w:rPr>
          <w:rFonts w:ascii="Times New Roman" w:hAnsi="Times New Roman" w:cs="Times New Roman"/>
          <w:bCs/>
          <w:color w:val="0D0D0D" w:themeColor="text1" w:themeTint="F2"/>
          <w:sz w:val="24"/>
          <w:szCs w:val="24"/>
        </w:rPr>
        <w:t xml:space="preserve"> (Sanath and Ramakrishna 2025)</w:t>
      </w:r>
      <w:r w:rsidR="00AC7BDB" w:rsidRPr="009512C3">
        <w:rPr>
          <w:rFonts w:ascii="Times New Roman" w:hAnsi="Times New Roman" w:cs="Times New Roman"/>
          <w:bCs/>
          <w:color w:val="0D0D0D" w:themeColor="text1" w:themeTint="F2"/>
          <w:sz w:val="24"/>
          <w:szCs w:val="24"/>
        </w:rPr>
        <w:t>.</w:t>
      </w:r>
      <w:r w:rsidRPr="009512C3">
        <w:rPr>
          <w:rFonts w:ascii="Times New Roman" w:hAnsi="Times New Roman" w:cs="Times New Roman"/>
          <w:bCs/>
          <w:color w:val="0D0D0D" w:themeColor="text1" w:themeTint="F2"/>
          <w:sz w:val="24"/>
          <w:szCs w:val="24"/>
        </w:rPr>
        <w:t xml:space="preserve"> </w:t>
      </w:r>
      <w:r w:rsidR="000F1CE1" w:rsidRPr="009512C3">
        <w:rPr>
          <w:rFonts w:ascii="Times New Roman" w:hAnsi="Times New Roman" w:cs="Times New Roman"/>
          <w:bCs/>
          <w:color w:val="0D0D0D" w:themeColor="text1" w:themeTint="F2"/>
          <w:sz w:val="24"/>
          <w:szCs w:val="24"/>
        </w:rPr>
        <w:t xml:space="preserve">Conventional water quality assessments mainly emphasize </w:t>
      </w:r>
      <w:proofErr w:type="spellStart"/>
      <w:r w:rsidR="000F1CE1" w:rsidRPr="009512C3">
        <w:rPr>
          <w:rFonts w:ascii="Times New Roman" w:hAnsi="Times New Roman" w:cs="Times New Roman"/>
          <w:bCs/>
          <w:color w:val="0D0D0D" w:themeColor="text1" w:themeTint="F2"/>
          <w:sz w:val="24"/>
          <w:szCs w:val="24"/>
        </w:rPr>
        <w:t>physico</w:t>
      </w:r>
      <w:proofErr w:type="spellEnd"/>
      <w:r w:rsidR="000F1CE1" w:rsidRPr="009512C3">
        <w:rPr>
          <w:rFonts w:ascii="Times New Roman" w:hAnsi="Times New Roman" w:cs="Times New Roman"/>
          <w:bCs/>
          <w:color w:val="0D0D0D" w:themeColor="text1" w:themeTint="F2"/>
          <w:sz w:val="24"/>
          <w:szCs w:val="24"/>
        </w:rPr>
        <w:t>-chemical parameters such as turbidity, pH, and conductivity. While these indicators are important, they are insufficient to fully represent the complexity of water quality. Various environmental factors also play a crucial role, including topographical features like slope and aspect, and geological characteristics such as lithology and soil type. These factors influence water quality both directly and indirectly by affecting processes like runoff, erosion, and the movement of nutrients and pollutants, ultimately shaping the overall condition of aquatic systems</w:t>
      </w:r>
      <w:r w:rsidRPr="009512C3">
        <w:rPr>
          <w:rFonts w:ascii="Times New Roman" w:hAnsi="Times New Roman" w:cs="Times New Roman"/>
          <w:bCs/>
          <w:color w:val="0D0D0D" w:themeColor="text1" w:themeTint="F2"/>
          <w:sz w:val="24"/>
          <w:szCs w:val="24"/>
        </w:rPr>
        <w:t xml:space="preserve"> (Choudhury, et al., 2022; Gupta, et al.,2022).</w:t>
      </w:r>
      <w:r w:rsidRPr="009512C3">
        <w:rPr>
          <w:rFonts w:ascii="Times New Roman" w:hAnsi="Times New Roman" w:cs="Times New Roman"/>
          <w:b/>
          <w:color w:val="0D0D0D" w:themeColor="text1" w:themeTint="F2"/>
          <w:sz w:val="24"/>
          <w:szCs w:val="24"/>
        </w:rPr>
        <w:t xml:space="preserve"> </w:t>
      </w:r>
      <w:r w:rsidR="00120383" w:rsidRPr="009512C3">
        <w:rPr>
          <w:rFonts w:ascii="Times New Roman" w:hAnsi="Times New Roman" w:cs="Times New Roman"/>
          <w:bCs/>
          <w:color w:val="0D0D0D" w:themeColor="text1" w:themeTint="F2"/>
          <w:sz w:val="24"/>
          <w:szCs w:val="24"/>
        </w:rPr>
        <w:t>Several research works have been carried out on the water quality of different lakes in India (Mishra Amarnath, 2020; Prachi Vasistha, 2020; Chaudhary, 2021; Singh, 2022).</w:t>
      </w:r>
      <w:r w:rsidR="00120383" w:rsidRPr="009512C3">
        <w:rPr>
          <w:rFonts w:ascii="Times New Roman" w:hAnsi="Times New Roman" w:cs="Times New Roman"/>
          <w:color w:val="0D0D0D" w:themeColor="text1" w:themeTint="F2"/>
          <w:sz w:val="24"/>
          <w:szCs w:val="24"/>
        </w:rPr>
        <w:t xml:space="preserve"> </w:t>
      </w:r>
      <w:r w:rsidR="00120383" w:rsidRPr="009512C3">
        <w:rPr>
          <w:rFonts w:ascii="Times New Roman" w:hAnsi="Times New Roman" w:cs="Times New Roman"/>
          <w:bCs/>
          <w:color w:val="0D0D0D" w:themeColor="text1" w:themeTint="F2"/>
          <w:sz w:val="24"/>
          <w:szCs w:val="24"/>
        </w:rPr>
        <w:t xml:space="preserve">Studies on the </w:t>
      </w:r>
      <w:proofErr w:type="spellStart"/>
      <w:r w:rsidR="00120383" w:rsidRPr="009512C3">
        <w:rPr>
          <w:rFonts w:ascii="Times New Roman" w:hAnsi="Times New Roman" w:cs="Times New Roman"/>
          <w:bCs/>
          <w:color w:val="0D0D0D" w:themeColor="text1" w:themeTint="F2"/>
          <w:sz w:val="24"/>
          <w:szCs w:val="24"/>
        </w:rPr>
        <w:t>physico</w:t>
      </w:r>
      <w:proofErr w:type="spellEnd"/>
      <w:r w:rsidR="00120383" w:rsidRPr="009512C3">
        <w:rPr>
          <w:rFonts w:ascii="Times New Roman" w:hAnsi="Times New Roman" w:cs="Times New Roman"/>
          <w:bCs/>
          <w:color w:val="0D0D0D" w:themeColor="text1" w:themeTint="F2"/>
          <w:sz w:val="24"/>
          <w:szCs w:val="24"/>
        </w:rPr>
        <w:t>-chemical characteristics of ponds and lakes provide valuable insights into water quality status and emphasize the need for effective management strategies to maintain ecological balance. Freshwater has become a scarce resource due to overexploitation, pollution, population growth, rapid urbanization, industrialization, and agricultural runoff (Gupta and Shukla, 2006).</w:t>
      </w:r>
      <w:r w:rsidR="0079235C" w:rsidRPr="009512C3">
        <w:rPr>
          <w:rFonts w:ascii="Times New Roman" w:hAnsi="Times New Roman" w:cs="Times New Roman"/>
          <w:bCs/>
          <w:color w:val="0D0D0D" w:themeColor="text1" w:themeTint="F2"/>
          <w:sz w:val="24"/>
          <w:szCs w:val="24"/>
        </w:rPr>
        <w:t xml:space="preserve"> In </w:t>
      </w:r>
      <w:proofErr w:type="spellStart"/>
      <w:r w:rsidR="0079235C" w:rsidRPr="009512C3">
        <w:rPr>
          <w:rFonts w:ascii="Times New Roman" w:hAnsi="Times New Roman" w:cs="Times New Roman"/>
          <w:bCs/>
          <w:color w:val="0D0D0D" w:themeColor="text1" w:themeTint="F2"/>
          <w:sz w:val="24"/>
          <w:szCs w:val="24"/>
        </w:rPr>
        <w:t>karnataka</w:t>
      </w:r>
      <w:proofErr w:type="spellEnd"/>
      <w:r w:rsidR="0079235C" w:rsidRPr="009512C3">
        <w:rPr>
          <w:rFonts w:ascii="Times New Roman" w:hAnsi="Times New Roman" w:cs="Times New Roman"/>
          <w:bCs/>
          <w:color w:val="0D0D0D" w:themeColor="text1" w:themeTint="F2"/>
          <w:sz w:val="24"/>
          <w:szCs w:val="24"/>
        </w:rPr>
        <w:t xml:space="preserve"> lakes, several researchers have attempted to assess the water quality periodically</w:t>
      </w:r>
      <w:bookmarkStart w:id="0" w:name="bbb0305"/>
      <w:r w:rsidR="0079235C" w:rsidRPr="009512C3">
        <w:rPr>
          <w:rFonts w:ascii="Times New Roman" w:hAnsi="Times New Roman" w:cs="Times New Roman"/>
          <w:bCs/>
          <w:color w:val="0D0D0D" w:themeColor="text1" w:themeTint="F2"/>
          <w:sz w:val="24"/>
          <w:szCs w:val="24"/>
        </w:rPr>
        <w:t>. Panikkar et al., (2022</w:t>
      </w:r>
      <w:bookmarkEnd w:id="0"/>
      <w:r w:rsidR="0079235C" w:rsidRPr="009512C3">
        <w:rPr>
          <w:rFonts w:ascii="Times New Roman" w:hAnsi="Times New Roman" w:cs="Times New Roman"/>
          <w:bCs/>
          <w:color w:val="0D0D0D" w:themeColor="text1" w:themeTint="F2"/>
          <w:sz w:val="24"/>
          <w:szCs w:val="24"/>
        </w:rPr>
        <w:t xml:space="preserve">) have studied </w:t>
      </w:r>
      <w:proofErr w:type="spellStart"/>
      <w:r w:rsidR="0079235C" w:rsidRPr="009512C3">
        <w:rPr>
          <w:rFonts w:ascii="Times New Roman" w:hAnsi="Times New Roman" w:cs="Times New Roman"/>
          <w:bCs/>
          <w:color w:val="0D0D0D" w:themeColor="text1" w:themeTint="F2"/>
          <w:sz w:val="24"/>
          <w:szCs w:val="24"/>
        </w:rPr>
        <w:t>hydrogeochemistry</w:t>
      </w:r>
      <w:proofErr w:type="spellEnd"/>
      <w:r w:rsidR="0079235C" w:rsidRPr="009512C3">
        <w:rPr>
          <w:rFonts w:ascii="Times New Roman" w:hAnsi="Times New Roman" w:cs="Times New Roman"/>
          <w:bCs/>
          <w:color w:val="0D0D0D" w:themeColor="text1" w:themeTint="F2"/>
          <w:sz w:val="24"/>
          <w:szCs w:val="24"/>
        </w:rPr>
        <w:t xml:space="preserve"> and water quality index (WQI), in different small and medium reservoirs of </w:t>
      </w:r>
      <w:bookmarkStart w:id="1" w:name="bbb0340"/>
      <w:r w:rsidR="0079235C" w:rsidRPr="009512C3">
        <w:rPr>
          <w:rFonts w:ascii="Times New Roman" w:hAnsi="Times New Roman" w:cs="Times New Roman"/>
          <w:bCs/>
          <w:color w:val="0D0D0D" w:themeColor="text1" w:themeTint="F2"/>
          <w:sz w:val="24"/>
          <w:szCs w:val="24"/>
        </w:rPr>
        <w:t xml:space="preserve">Karnataka, </w:t>
      </w:r>
      <w:proofErr w:type="spellStart"/>
      <w:r w:rsidR="0079235C" w:rsidRPr="009512C3">
        <w:rPr>
          <w:rFonts w:ascii="Times New Roman" w:hAnsi="Times New Roman" w:cs="Times New Roman"/>
          <w:bCs/>
          <w:color w:val="0D0D0D" w:themeColor="text1" w:themeTint="F2"/>
          <w:sz w:val="24"/>
          <w:szCs w:val="24"/>
        </w:rPr>
        <w:t>Purandara</w:t>
      </w:r>
      <w:proofErr w:type="spellEnd"/>
      <w:r w:rsidR="0079235C" w:rsidRPr="009512C3">
        <w:rPr>
          <w:rFonts w:ascii="Times New Roman" w:hAnsi="Times New Roman" w:cs="Times New Roman"/>
          <w:bCs/>
          <w:color w:val="0D0D0D" w:themeColor="text1" w:themeTint="F2"/>
          <w:sz w:val="24"/>
          <w:szCs w:val="24"/>
        </w:rPr>
        <w:t xml:space="preserve"> et al., (2012</w:t>
      </w:r>
      <w:bookmarkEnd w:id="1"/>
      <w:r w:rsidR="0079235C" w:rsidRPr="009512C3">
        <w:rPr>
          <w:rFonts w:ascii="Times New Roman" w:hAnsi="Times New Roman" w:cs="Times New Roman"/>
          <w:bCs/>
          <w:color w:val="0D0D0D" w:themeColor="text1" w:themeTint="F2"/>
          <w:sz w:val="24"/>
          <w:szCs w:val="24"/>
        </w:rPr>
        <w:t xml:space="preserve">) in surface water quality evaluation and modelling of </w:t>
      </w:r>
      <w:proofErr w:type="spellStart"/>
      <w:r w:rsidR="0079235C" w:rsidRPr="009512C3">
        <w:rPr>
          <w:rFonts w:ascii="Times New Roman" w:hAnsi="Times New Roman" w:cs="Times New Roman"/>
          <w:bCs/>
          <w:color w:val="0D0D0D" w:themeColor="text1" w:themeTint="F2"/>
          <w:sz w:val="24"/>
          <w:szCs w:val="24"/>
        </w:rPr>
        <w:t>Ghataprabha</w:t>
      </w:r>
      <w:proofErr w:type="spellEnd"/>
      <w:r w:rsidR="0079235C" w:rsidRPr="009512C3">
        <w:rPr>
          <w:rFonts w:ascii="Times New Roman" w:hAnsi="Times New Roman" w:cs="Times New Roman"/>
          <w:bCs/>
          <w:color w:val="0D0D0D" w:themeColor="text1" w:themeTint="F2"/>
          <w:sz w:val="24"/>
          <w:szCs w:val="24"/>
        </w:rPr>
        <w:t xml:space="preserve"> River, </w:t>
      </w:r>
      <w:bookmarkStart w:id="2" w:name="bbb0350"/>
      <w:r w:rsidR="0079235C" w:rsidRPr="009512C3">
        <w:rPr>
          <w:rFonts w:ascii="Times New Roman" w:hAnsi="Times New Roman" w:cs="Times New Roman"/>
          <w:bCs/>
          <w:color w:val="0D0D0D" w:themeColor="text1" w:themeTint="F2"/>
          <w:sz w:val="24"/>
          <w:szCs w:val="24"/>
        </w:rPr>
        <w:t>Ravikumar et al., (2013</w:t>
      </w:r>
      <w:bookmarkEnd w:id="2"/>
      <w:r w:rsidR="0079235C" w:rsidRPr="009512C3">
        <w:rPr>
          <w:rFonts w:ascii="Times New Roman" w:hAnsi="Times New Roman" w:cs="Times New Roman"/>
          <w:bCs/>
          <w:color w:val="0D0D0D" w:themeColor="text1" w:themeTint="F2"/>
          <w:sz w:val="24"/>
          <w:szCs w:val="24"/>
        </w:rPr>
        <w:t xml:space="preserve">) in Sankey tank and </w:t>
      </w:r>
      <w:proofErr w:type="spellStart"/>
      <w:r w:rsidR="0079235C" w:rsidRPr="009512C3">
        <w:rPr>
          <w:rFonts w:ascii="Times New Roman" w:hAnsi="Times New Roman" w:cs="Times New Roman"/>
          <w:bCs/>
          <w:color w:val="0D0D0D" w:themeColor="text1" w:themeTint="F2"/>
          <w:sz w:val="24"/>
          <w:szCs w:val="24"/>
        </w:rPr>
        <w:t>Mallathahalli</w:t>
      </w:r>
      <w:proofErr w:type="spellEnd"/>
      <w:r w:rsidR="0079235C" w:rsidRPr="009512C3">
        <w:rPr>
          <w:rFonts w:ascii="Times New Roman" w:hAnsi="Times New Roman" w:cs="Times New Roman"/>
          <w:bCs/>
          <w:color w:val="0D0D0D" w:themeColor="text1" w:themeTint="F2"/>
          <w:sz w:val="24"/>
          <w:szCs w:val="24"/>
        </w:rPr>
        <w:t xml:space="preserve"> Lake, Bangalore urban district, and </w:t>
      </w:r>
      <w:bookmarkStart w:id="3" w:name="bbb0320"/>
      <w:r w:rsidR="0079235C" w:rsidRPr="009512C3">
        <w:rPr>
          <w:rFonts w:ascii="Times New Roman" w:hAnsi="Times New Roman" w:cs="Times New Roman"/>
          <w:bCs/>
          <w:color w:val="0D0D0D" w:themeColor="text1" w:themeTint="F2"/>
          <w:sz w:val="24"/>
          <w:szCs w:val="24"/>
        </w:rPr>
        <w:t>Kumar and Prabhu, (2019</w:t>
      </w:r>
      <w:bookmarkEnd w:id="3"/>
      <w:r w:rsidR="0079235C" w:rsidRPr="009512C3">
        <w:rPr>
          <w:rFonts w:ascii="Times New Roman" w:hAnsi="Times New Roman" w:cs="Times New Roman"/>
          <w:bCs/>
          <w:color w:val="0D0D0D" w:themeColor="text1" w:themeTint="F2"/>
          <w:sz w:val="24"/>
          <w:szCs w:val="24"/>
        </w:rPr>
        <w:t xml:space="preserve">) in </w:t>
      </w:r>
      <w:proofErr w:type="spellStart"/>
      <w:r w:rsidR="0079235C" w:rsidRPr="009512C3">
        <w:rPr>
          <w:rFonts w:ascii="Times New Roman" w:hAnsi="Times New Roman" w:cs="Times New Roman"/>
          <w:bCs/>
          <w:color w:val="0D0D0D" w:themeColor="text1" w:themeTint="F2"/>
          <w:sz w:val="24"/>
          <w:szCs w:val="24"/>
        </w:rPr>
        <w:t>Kushawathi</w:t>
      </w:r>
      <w:proofErr w:type="spellEnd"/>
      <w:r w:rsidR="0079235C" w:rsidRPr="009512C3">
        <w:rPr>
          <w:rFonts w:ascii="Times New Roman" w:hAnsi="Times New Roman" w:cs="Times New Roman"/>
          <w:bCs/>
          <w:color w:val="0D0D0D" w:themeColor="text1" w:themeTint="F2"/>
          <w:sz w:val="24"/>
          <w:szCs w:val="24"/>
        </w:rPr>
        <w:t xml:space="preserve"> watershed area </w:t>
      </w:r>
      <w:proofErr w:type="spellStart"/>
      <w:r w:rsidR="0079235C" w:rsidRPr="009512C3">
        <w:rPr>
          <w:rFonts w:ascii="Times New Roman" w:hAnsi="Times New Roman" w:cs="Times New Roman"/>
          <w:bCs/>
          <w:color w:val="0D0D0D" w:themeColor="text1" w:themeTint="F2"/>
          <w:sz w:val="24"/>
          <w:szCs w:val="24"/>
        </w:rPr>
        <w:t>Chikkaballapur</w:t>
      </w:r>
      <w:proofErr w:type="spellEnd"/>
      <w:r w:rsidR="0079235C" w:rsidRPr="009512C3">
        <w:rPr>
          <w:rFonts w:ascii="Times New Roman" w:hAnsi="Times New Roman" w:cs="Times New Roman"/>
          <w:bCs/>
          <w:color w:val="0D0D0D" w:themeColor="text1" w:themeTint="F2"/>
          <w:sz w:val="24"/>
          <w:szCs w:val="24"/>
        </w:rPr>
        <w:t xml:space="preserve"> District. </w:t>
      </w:r>
      <w:r w:rsidR="00006EA8" w:rsidRPr="009512C3">
        <w:rPr>
          <w:rFonts w:ascii="Times New Roman" w:hAnsi="Times New Roman" w:cs="Times New Roman"/>
          <w:bCs/>
          <w:color w:val="0D0D0D" w:themeColor="text1" w:themeTint="F2"/>
          <w:sz w:val="24"/>
          <w:szCs w:val="24"/>
        </w:rPr>
        <w:t xml:space="preserve">However, no comprehensive water quality survey has been conducted in the study area to date. Hence, the present study has been undertaken to assess the water quality of </w:t>
      </w:r>
      <w:proofErr w:type="spellStart"/>
      <w:r w:rsidR="00006EA8" w:rsidRPr="009512C3">
        <w:rPr>
          <w:rFonts w:ascii="Times New Roman" w:hAnsi="Times New Roman" w:cs="Times New Roman"/>
          <w:bCs/>
          <w:color w:val="0D0D0D" w:themeColor="text1" w:themeTint="F2"/>
          <w:sz w:val="24"/>
          <w:szCs w:val="24"/>
        </w:rPr>
        <w:t>Narasapura</w:t>
      </w:r>
      <w:proofErr w:type="spellEnd"/>
      <w:r w:rsidR="00006EA8" w:rsidRPr="009512C3">
        <w:rPr>
          <w:rFonts w:ascii="Times New Roman" w:hAnsi="Times New Roman" w:cs="Times New Roman"/>
          <w:bCs/>
          <w:color w:val="0D0D0D" w:themeColor="text1" w:themeTint="F2"/>
          <w:sz w:val="24"/>
          <w:szCs w:val="24"/>
        </w:rPr>
        <w:t xml:space="preserve"> Lake, Karnataka, with particular reference to its </w:t>
      </w:r>
      <w:proofErr w:type="spellStart"/>
      <w:r w:rsidR="00006EA8" w:rsidRPr="009512C3">
        <w:rPr>
          <w:rFonts w:ascii="Times New Roman" w:hAnsi="Times New Roman" w:cs="Times New Roman"/>
          <w:bCs/>
          <w:color w:val="0D0D0D" w:themeColor="text1" w:themeTint="F2"/>
          <w:sz w:val="24"/>
          <w:szCs w:val="24"/>
        </w:rPr>
        <w:t>physico</w:t>
      </w:r>
      <w:proofErr w:type="spellEnd"/>
      <w:r w:rsidR="00006EA8" w:rsidRPr="009512C3">
        <w:rPr>
          <w:rFonts w:ascii="Times New Roman" w:hAnsi="Times New Roman" w:cs="Times New Roman"/>
          <w:bCs/>
          <w:color w:val="0D0D0D" w:themeColor="text1" w:themeTint="F2"/>
          <w:sz w:val="24"/>
          <w:szCs w:val="24"/>
        </w:rPr>
        <w:t xml:space="preserve">-chemical parameters. </w:t>
      </w:r>
    </w:p>
    <w:p w14:paraId="5F5C3519" w14:textId="6E0FA5C0" w:rsidR="00006EA8" w:rsidRPr="009512C3" w:rsidRDefault="00006EA8" w:rsidP="0079235C">
      <w:pPr>
        <w:ind w:left="-5" w:right="4"/>
        <w:jc w:val="both"/>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 xml:space="preserve">Materials and methods </w:t>
      </w:r>
    </w:p>
    <w:p w14:paraId="5C06B416" w14:textId="77777777" w:rsidR="00006EA8" w:rsidRPr="009512C3" w:rsidRDefault="00006EA8" w:rsidP="00006EA8">
      <w:pPr>
        <w:pStyle w:val="Heading1"/>
        <w:spacing w:after="110"/>
        <w:ind w:left="0" w:right="0"/>
        <w:rPr>
          <w:color w:val="0D0D0D" w:themeColor="text1" w:themeTint="F2"/>
        </w:rPr>
      </w:pPr>
      <w:r w:rsidRPr="009512C3">
        <w:rPr>
          <w:color w:val="0D0D0D" w:themeColor="text1" w:themeTint="F2"/>
        </w:rPr>
        <w:t xml:space="preserve">Study area and fish collection </w:t>
      </w:r>
    </w:p>
    <w:p w14:paraId="64DB5C8E" w14:textId="2D024870" w:rsidR="00006EA8" w:rsidRPr="009512C3" w:rsidRDefault="00006EA8" w:rsidP="00006EA8">
      <w:pPr>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situated in the Kolar district of Karnataka, is an important freshwater body covering an area of approximately 327.35 acres (131 hectares). Geographically, the lake is located at 13°07′59.7″N latitude and 77°59′59.0″E longitude, about 15 km from Kolar city and nearly 55 km from Bengaluru, making it a significant water resource in the region. The lake exhibits an irregular, roughly circular morphology, with considerable variation in depth across different parts, influenced by seasonal changes, sediment deposition, and water inflow patterns. Hydrologically, </w:t>
      </w: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is connected to the Koramangala–</w:t>
      </w:r>
      <w:proofErr w:type="spellStart"/>
      <w:r w:rsidRPr="009512C3">
        <w:rPr>
          <w:rFonts w:ascii="Times New Roman" w:hAnsi="Times New Roman" w:cs="Times New Roman"/>
          <w:color w:val="0D0D0D" w:themeColor="text1" w:themeTint="F2"/>
          <w:sz w:val="24"/>
          <w:szCs w:val="24"/>
        </w:rPr>
        <w:t>Challaghatta</w:t>
      </w:r>
      <w:proofErr w:type="spellEnd"/>
      <w:r w:rsidRPr="009512C3">
        <w:rPr>
          <w:rFonts w:ascii="Times New Roman" w:hAnsi="Times New Roman" w:cs="Times New Roman"/>
          <w:color w:val="0D0D0D" w:themeColor="text1" w:themeTint="F2"/>
          <w:sz w:val="24"/>
          <w:szCs w:val="24"/>
        </w:rPr>
        <w:t xml:space="preserve"> (KC) Valley Project, through which treated wastewater is supplied. This inflow plays a crucial role in maintaining the water level of the lake, especially during dry periods, but may also influence its </w:t>
      </w:r>
      <w:proofErr w:type="spellStart"/>
      <w:r w:rsidRPr="009512C3">
        <w:rPr>
          <w:rFonts w:ascii="Times New Roman" w:hAnsi="Times New Roman" w:cs="Times New Roman"/>
          <w:color w:val="0D0D0D" w:themeColor="text1" w:themeTint="F2"/>
          <w:sz w:val="24"/>
          <w:szCs w:val="24"/>
        </w:rPr>
        <w:t>physico</w:t>
      </w:r>
      <w:proofErr w:type="spellEnd"/>
      <w:r w:rsidRPr="009512C3">
        <w:rPr>
          <w:rFonts w:ascii="Times New Roman" w:hAnsi="Times New Roman" w:cs="Times New Roman"/>
          <w:color w:val="0D0D0D" w:themeColor="text1" w:themeTint="F2"/>
          <w:sz w:val="24"/>
          <w:szCs w:val="24"/>
        </w:rPr>
        <w:t xml:space="preserve">-chemical characteristics. The lake supports a rich aquatic ecosystem and is particularly known for its high fish productivity. Its relatively shallow nature, combined with nutrient availability, creates </w:t>
      </w:r>
      <w:proofErr w:type="spellStart"/>
      <w:r w:rsidRPr="009512C3">
        <w:rPr>
          <w:rFonts w:ascii="Times New Roman" w:hAnsi="Times New Roman" w:cs="Times New Roman"/>
          <w:color w:val="0D0D0D" w:themeColor="text1" w:themeTint="F2"/>
          <w:sz w:val="24"/>
          <w:szCs w:val="24"/>
        </w:rPr>
        <w:t>favorable</w:t>
      </w:r>
      <w:proofErr w:type="spellEnd"/>
      <w:r w:rsidRPr="009512C3">
        <w:rPr>
          <w:rFonts w:ascii="Times New Roman" w:hAnsi="Times New Roman" w:cs="Times New Roman"/>
          <w:color w:val="0D0D0D" w:themeColor="text1" w:themeTint="F2"/>
          <w:sz w:val="24"/>
          <w:szCs w:val="24"/>
        </w:rPr>
        <w:t xml:space="preserve"> conditions for fish growth and breeding, making it a prominent site for local fishing activities. In addition to its ecological importance, the lake also contributes </w:t>
      </w:r>
      <w:r w:rsidRPr="009512C3">
        <w:rPr>
          <w:rFonts w:ascii="Times New Roman" w:hAnsi="Times New Roman" w:cs="Times New Roman"/>
          <w:color w:val="0D0D0D" w:themeColor="text1" w:themeTint="F2"/>
          <w:sz w:val="24"/>
          <w:szCs w:val="24"/>
        </w:rPr>
        <w:lastRenderedPageBreak/>
        <w:t>to the livelihoods of nearby communities and plays a role in groundwater recharge and microclimatic regulation. However, increasing anthropogenic pressures and changes in water quality necessitate continuous monitoring and effective management to sustain its ecological health and productivity.</w:t>
      </w:r>
    </w:p>
    <w:p w14:paraId="0660245A" w14:textId="77777777" w:rsidR="00E879E4" w:rsidRPr="009512C3" w:rsidRDefault="00E879E4" w:rsidP="00E879E4">
      <w:pPr>
        <w:jc w:val="both"/>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Surface water sampling</w:t>
      </w:r>
    </w:p>
    <w:p w14:paraId="315F3CFB" w14:textId="46C9B14B" w:rsidR="00E879E4" w:rsidRPr="009512C3" w:rsidRDefault="00E879E4" w:rsidP="00D851CF">
      <w:pPr>
        <w:jc w:val="both"/>
        <w:rPr>
          <w:rFonts w:ascii="Times New Roman" w:hAnsi="Times New Roman" w:cs="Times New Roman"/>
          <w:bCs/>
          <w:color w:val="0D0D0D" w:themeColor="text1" w:themeTint="F2"/>
          <w:sz w:val="24"/>
          <w:szCs w:val="24"/>
        </w:rPr>
      </w:pPr>
      <w:r w:rsidRPr="009512C3">
        <w:rPr>
          <w:rFonts w:ascii="Times New Roman" w:hAnsi="Times New Roman" w:cs="Times New Roman"/>
          <w:bCs/>
          <w:color w:val="0D0D0D" w:themeColor="text1" w:themeTint="F2"/>
          <w:sz w:val="24"/>
          <w:szCs w:val="24"/>
        </w:rPr>
        <w:t xml:space="preserve">The surface water samples were collected from three different locations namely; Inlet of the Lake, Lake bund area and lake backwater area  of </w:t>
      </w:r>
      <w:proofErr w:type="spellStart"/>
      <w:r w:rsidRPr="009512C3">
        <w:rPr>
          <w:rFonts w:ascii="Times New Roman" w:hAnsi="Times New Roman" w:cs="Times New Roman"/>
          <w:bCs/>
          <w:color w:val="0D0D0D" w:themeColor="text1" w:themeTint="F2"/>
          <w:sz w:val="24"/>
          <w:szCs w:val="24"/>
        </w:rPr>
        <w:t>Narasapura</w:t>
      </w:r>
      <w:proofErr w:type="spellEnd"/>
      <w:r w:rsidRPr="009512C3">
        <w:rPr>
          <w:rFonts w:ascii="Times New Roman" w:hAnsi="Times New Roman" w:cs="Times New Roman"/>
          <w:bCs/>
          <w:color w:val="0D0D0D" w:themeColor="text1" w:themeTint="F2"/>
          <w:sz w:val="24"/>
          <w:szCs w:val="24"/>
        </w:rPr>
        <w:t xml:space="preserve"> Lake From January 2024 - December 2024.The water samples were collected on a monthly basis in sterilized polythene bottles for a period of 12 months, starting from January 2024 and ending in December 2024. The collected samples were subjected to comprehensive physicochemical analysis. General parameters such as water temperature, pH, electrical conductivity, and total dissolved solids were measured at the sampling site immediately after obtaining the samples. For the remaining parameters, the water samples were transferred to the laboratory and stored in a refrigerator at 4 °C for further analysis. All the physicochemical analyses were performed in accordance with the American Public Health Association (</w:t>
      </w:r>
      <w:bookmarkStart w:id="4" w:name="bbb0035"/>
      <w:r w:rsidRPr="009512C3">
        <w:rPr>
          <w:rFonts w:ascii="Times New Roman" w:hAnsi="Times New Roman" w:cs="Times New Roman"/>
          <w:bCs/>
          <w:color w:val="0D0D0D" w:themeColor="text1" w:themeTint="F2"/>
          <w:sz w:val="24"/>
          <w:szCs w:val="24"/>
        </w:rPr>
        <w:t>APHA, 2017</w:t>
      </w:r>
      <w:bookmarkEnd w:id="4"/>
      <w:r w:rsidR="00D851CF" w:rsidRPr="009512C3">
        <w:rPr>
          <w:rFonts w:ascii="Times New Roman" w:hAnsi="Times New Roman" w:cs="Times New Roman"/>
          <w:bCs/>
          <w:color w:val="0D0D0D" w:themeColor="text1" w:themeTint="F2"/>
          <w:sz w:val="24"/>
          <w:szCs w:val="24"/>
        </w:rPr>
        <w:t xml:space="preserve">; Gopal, et al., </w:t>
      </w:r>
      <w:r w:rsidR="00D851CF" w:rsidRPr="009512C3">
        <w:rPr>
          <w:rFonts w:ascii="Times New Roman" w:hAnsi="Times New Roman" w:cs="Times New Roman"/>
          <w:bCs/>
          <w:color w:val="0D0D0D" w:themeColor="text1" w:themeTint="F2"/>
          <w:spacing w:val="-5"/>
          <w:w w:val="105"/>
          <w:sz w:val="24"/>
          <w:szCs w:val="24"/>
          <w:lang w:bidi="en-US"/>
        </w:rPr>
        <w:t>1984</w:t>
      </w:r>
      <w:r w:rsidRPr="009512C3">
        <w:rPr>
          <w:rFonts w:ascii="Times New Roman" w:hAnsi="Times New Roman" w:cs="Times New Roman"/>
          <w:bCs/>
          <w:color w:val="0D0D0D" w:themeColor="text1" w:themeTint="F2"/>
          <w:sz w:val="24"/>
          <w:szCs w:val="24"/>
        </w:rPr>
        <w:t>)</w:t>
      </w:r>
      <w:r w:rsidR="00D851CF" w:rsidRPr="009512C3">
        <w:rPr>
          <w:rFonts w:ascii="Times New Roman" w:hAnsi="Times New Roman" w:cs="Times New Roman"/>
          <w:bCs/>
          <w:color w:val="0D0D0D" w:themeColor="text1" w:themeTint="F2"/>
          <w:sz w:val="24"/>
          <w:szCs w:val="24"/>
        </w:rPr>
        <w:t>.</w:t>
      </w:r>
      <w:r w:rsidRPr="009512C3">
        <w:rPr>
          <w:rFonts w:ascii="Times New Roman" w:hAnsi="Times New Roman" w:cs="Times New Roman"/>
          <w:bCs/>
          <w:color w:val="0D0D0D" w:themeColor="text1" w:themeTint="F2"/>
          <w:sz w:val="24"/>
          <w:szCs w:val="24"/>
        </w:rPr>
        <w:t xml:space="preserve"> </w:t>
      </w:r>
    </w:p>
    <w:p w14:paraId="4293DD1C" w14:textId="77777777" w:rsidR="00082C61" w:rsidRPr="009512C3" w:rsidRDefault="001B29A2" w:rsidP="00D851CF">
      <w:pPr>
        <w:rPr>
          <w:rFonts w:ascii="Times New Roman" w:hAnsi="Times New Roman" w:cs="Times New Roman"/>
          <w:b/>
          <w:color w:val="0D0D0D" w:themeColor="text1" w:themeTint="F2"/>
          <w:sz w:val="24"/>
          <w:szCs w:val="24"/>
        </w:rPr>
      </w:pPr>
      <w:r w:rsidRPr="009512C3">
        <w:rPr>
          <w:rFonts w:ascii="Times New Roman" w:hAnsi="Times New Roman" w:cs="Times New Roman"/>
          <w:b/>
          <w:color w:val="0D0D0D" w:themeColor="text1" w:themeTint="F2"/>
          <w:sz w:val="24"/>
          <w:szCs w:val="24"/>
        </w:rPr>
        <w:t>RESULTS AND DISCUSSIONS</w:t>
      </w:r>
    </w:p>
    <w:p w14:paraId="3D966126" w14:textId="03254CDF" w:rsidR="005F0F3A" w:rsidRPr="009512C3" w:rsidRDefault="005F0F3A" w:rsidP="001B29A2">
      <w:pPr>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w:t>
      </w:r>
      <w:r w:rsidR="00151767" w:rsidRPr="009512C3">
        <w:rPr>
          <w:rFonts w:ascii="Times New Roman" w:hAnsi="Times New Roman" w:cs="Times New Roman"/>
          <w:color w:val="0D0D0D" w:themeColor="text1" w:themeTint="F2"/>
          <w:sz w:val="24"/>
          <w:szCs w:val="24"/>
        </w:rPr>
        <w:t xml:space="preserve">water analysis was carried out to understand the level of some chemical parameters like pH, Alkalinity, TDS, Magnesium, Calcium, Hardness, Iron, Chloride, BOD and COD in  </w:t>
      </w: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water </w:t>
      </w:r>
      <w:r w:rsidR="00367901" w:rsidRPr="009512C3">
        <w:rPr>
          <w:rFonts w:ascii="Times New Roman" w:hAnsi="Times New Roman" w:cs="Times New Roman"/>
          <w:color w:val="0D0D0D" w:themeColor="text1" w:themeTint="F2"/>
          <w:sz w:val="24"/>
          <w:szCs w:val="24"/>
        </w:rPr>
        <w:t>from</w:t>
      </w:r>
      <w:r w:rsidRPr="009512C3">
        <w:rPr>
          <w:rFonts w:ascii="Times New Roman" w:hAnsi="Times New Roman" w:cs="Times New Roman"/>
          <w:color w:val="0D0D0D" w:themeColor="text1" w:themeTint="F2"/>
          <w:sz w:val="24"/>
          <w:szCs w:val="24"/>
        </w:rPr>
        <w:t xml:space="preserve"> </w:t>
      </w:r>
      <w:r w:rsidR="00367901" w:rsidRPr="009512C3">
        <w:rPr>
          <w:rFonts w:ascii="Times New Roman" w:hAnsi="Times New Roman" w:cs="Times New Roman"/>
          <w:color w:val="0D0D0D" w:themeColor="text1" w:themeTint="F2"/>
          <w:sz w:val="24"/>
          <w:szCs w:val="24"/>
        </w:rPr>
        <w:t>January</w:t>
      </w:r>
      <w:r w:rsidRPr="009512C3">
        <w:rPr>
          <w:rFonts w:ascii="Times New Roman" w:hAnsi="Times New Roman" w:cs="Times New Roman"/>
          <w:color w:val="0D0D0D" w:themeColor="text1" w:themeTint="F2"/>
          <w:sz w:val="24"/>
          <w:szCs w:val="24"/>
        </w:rPr>
        <w:t xml:space="preserve"> 202</w:t>
      </w:r>
      <w:r w:rsidR="00367901" w:rsidRPr="009512C3">
        <w:rPr>
          <w:rFonts w:ascii="Times New Roman" w:hAnsi="Times New Roman" w:cs="Times New Roman"/>
          <w:color w:val="0D0D0D" w:themeColor="text1" w:themeTint="F2"/>
          <w:sz w:val="24"/>
          <w:szCs w:val="24"/>
        </w:rPr>
        <w:t>4</w:t>
      </w:r>
      <w:r w:rsidRPr="009512C3">
        <w:rPr>
          <w:rFonts w:ascii="Times New Roman" w:hAnsi="Times New Roman" w:cs="Times New Roman"/>
          <w:color w:val="0D0D0D" w:themeColor="text1" w:themeTint="F2"/>
          <w:sz w:val="24"/>
          <w:szCs w:val="24"/>
        </w:rPr>
        <w:t xml:space="preserve"> to </w:t>
      </w:r>
      <w:r w:rsidR="006517F8" w:rsidRPr="009512C3">
        <w:rPr>
          <w:rFonts w:ascii="Times New Roman" w:hAnsi="Times New Roman" w:cs="Times New Roman"/>
          <w:color w:val="0D0D0D" w:themeColor="text1" w:themeTint="F2"/>
          <w:sz w:val="24"/>
          <w:szCs w:val="24"/>
        </w:rPr>
        <w:t>December</w:t>
      </w:r>
      <w:r w:rsidRPr="009512C3">
        <w:rPr>
          <w:rFonts w:ascii="Times New Roman" w:hAnsi="Times New Roman" w:cs="Times New Roman"/>
          <w:color w:val="0D0D0D" w:themeColor="text1" w:themeTint="F2"/>
          <w:sz w:val="24"/>
          <w:szCs w:val="24"/>
        </w:rPr>
        <w:t xml:space="preserve"> 202</w:t>
      </w:r>
      <w:r w:rsidR="00367901" w:rsidRPr="009512C3">
        <w:rPr>
          <w:rFonts w:ascii="Times New Roman" w:hAnsi="Times New Roman" w:cs="Times New Roman"/>
          <w:color w:val="0D0D0D" w:themeColor="text1" w:themeTint="F2"/>
          <w:sz w:val="24"/>
          <w:szCs w:val="24"/>
        </w:rPr>
        <w:t>4</w:t>
      </w:r>
      <w:r w:rsidR="00151767" w:rsidRPr="009512C3">
        <w:rPr>
          <w:rFonts w:ascii="Times New Roman" w:hAnsi="Times New Roman" w:cs="Times New Roman"/>
          <w:color w:val="0D0D0D" w:themeColor="text1" w:themeTint="F2"/>
          <w:sz w:val="24"/>
          <w:szCs w:val="24"/>
        </w:rPr>
        <w:t xml:space="preserve"> are shown in the figures 2 - 11</w:t>
      </w:r>
      <w:r w:rsidR="00800A05" w:rsidRPr="009512C3">
        <w:rPr>
          <w:rFonts w:ascii="Times New Roman" w:hAnsi="Times New Roman" w:cs="Times New Roman"/>
          <w:color w:val="0D0D0D" w:themeColor="text1" w:themeTint="F2"/>
          <w:sz w:val="24"/>
          <w:szCs w:val="24"/>
        </w:rPr>
        <w:t xml:space="preserve">. </w:t>
      </w:r>
    </w:p>
    <w:p w14:paraId="5B60235B" w14:textId="0DCC4697" w:rsidR="00D851CF" w:rsidRPr="009512C3" w:rsidRDefault="00D851CF" w:rsidP="00C12301">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678707EA" wp14:editId="326E60BF">
            <wp:extent cx="2800350" cy="2225675"/>
            <wp:effectExtent l="19050" t="19050" r="19050" b="22225"/>
            <wp:docPr id="671882752" name="Chart 1">
              <a:extLst xmlns:a="http://schemas.openxmlformats.org/drawingml/2006/main">
                <a:ext uri="{FF2B5EF4-FFF2-40B4-BE49-F238E27FC236}">
                  <a16:creationId xmlns:a16="http://schemas.microsoft.com/office/drawing/2014/main" id="{55F84675-3947-4749-7FB0-29CE062CF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895F4B" w:rsidRPr="009512C3">
        <w:rPr>
          <w:rFonts w:ascii="Times New Roman" w:hAnsi="Times New Roman" w:cs="Times New Roman"/>
          <w:color w:val="0D0D0D" w:themeColor="text1" w:themeTint="F2"/>
          <w:sz w:val="24"/>
          <w:szCs w:val="24"/>
        </w:rPr>
        <w:t xml:space="preserve"> </w:t>
      </w:r>
      <w:r w:rsidR="0066497E" w:rsidRPr="009512C3">
        <w:rPr>
          <w:rFonts w:ascii="Times New Roman" w:hAnsi="Times New Roman" w:cs="Times New Roman"/>
          <w:noProof/>
          <w:color w:val="0D0D0D" w:themeColor="text1" w:themeTint="F2"/>
          <w:sz w:val="24"/>
          <w:szCs w:val="24"/>
        </w:rPr>
        <w:drawing>
          <wp:inline distT="0" distB="0" distL="0" distR="0" wp14:anchorId="15F0F9C3" wp14:editId="705F7C14">
            <wp:extent cx="2858965" cy="2223770"/>
            <wp:effectExtent l="19050" t="19050" r="17780" b="24130"/>
            <wp:docPr id="1283250682" name="Chart 1">
              <a:extLst xmlns:a="http://schemas.openxmlformats.org/drawingml/2006/main">
                <a:ext uri="{FF2B5EF4-FFF2-40B4-BE49-F238E27FC236}">
                  <a16:creationId xmlns:a16="http://schemas.microsoft.com/office/drawing/2014/main" id="{E934D41F-14D0-B5C6-CC6F-6F333E8A6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9EB014B" w14:textId="42B55049"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Fig.2. pH Content in the water                              Fig.3. Total Alkalinity Content in the water</w:t>
      </w:r>
    </w:p>
    <w:p w14:paraId="0ECA9BEB" w14:textId="379D63AD" w:rsidR="00895F4B" w:rsidRPr="009512C3" w:rsidRDefault="00895F4B" w:rsidP="00895F4B">
      <w:pPr>
        <w:pStyle w:val="NoSpacing"/>
        <w:rPr>
          <w:rFonts w:ascii="Times New Roman" w:hAnsi="Times New Roman" w:cs="Times New Roman"/>
          <w:color w:val="0D0D0D" w:themeColor="text1" w:themeTint="F2"/>
          <w:sz w:val="24"/>
          <w:szCs w:val="24"/>
        </w:rPr>
      </w:pPr>
    </w:p>
    <w:p w14:paraId="66769D6B" w14:textId="70BCB584" w:rsidR="00D851CF" w:rsidRPr="009512C3" w:rsidRDefault="00D851CF" w:rsidP="00895F4B">
      <w:pPr>
        <w:tabs>
          <w:tab w:val="left" w:pos="3072"/>
        </w:tabs>
        <w:spacing w:after="0" w:line="240" w:lineRule="auto"/>
        <w:jc w:val="center"/>
        <w:rPr>
          <w:rFonts w:ascii="Times New Roman" w:hAnsi="Times New Roman" w:cs="Times New Roman"/>
          <w:noProof/>
          <w:color w:val="0D0D0D" w:themeColor="text1" w:themeTint="F2"/>
          <w:sz w:val="24"/>
          <w:szCs w:val="24"/>
        </w:rPr>
      </w:pPr>
      <w:r w:rsidRPr="009512C3">
        <w:rPr>
          <w:rFonts w:ascii="Times New Roman" w:hAnsi="Times New Roman" w:cs="Times New Roman"/>
          <w:noProof/>
          <w:color w:val="0D0D0D" w:themeColor="text1" w:themeTint="F2"/>
          <w:sz w:val="24"/>
          <w:szCs w:val="24"/>
        </w:rPr>
        <w:lastRenderedPageBreak/>
        <w:drawing>
          <wp:inline distT="0" distB="0" distL="0" distR="0" wp14:anchorId="76AD32F0" wp14:editId="62F5A20A">
            <wp:extent cx="2820670" cy="2018030"/>
            <wp:effectExtent l="19050" t="19050" r="17780" b="20320"/>
            <wp:docPr id="1946547835" name="Chart 1">
              <a:extLst xmlns:a="http://schemas.openxmlformats.org/drawingml/2006/main">
                <a:ext uri="{FF2B5EF4-FFF2-40B4-BE49-F238E27FC236}">
                  <a16:creationId xmlns:a16="http://schemas.microsoft.com/office/drawing/2014/main" id="{CA06DC56-CF33-E71A-FB79-B4A01A929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895F4B" w:rsidRPr="009512C3">
        <w:rPr>
          <w:rFonts w:ascii="Times New Roman" w:hAnsi="Times New Roman" w:cs="Times New Roman"/>
          <w:noProof/>
          <w:color w:val="0D0D0D" w:themeColor="text1" w:themeTint="F2"/>
          <w:sz w:val="24"/>
          <w:szCs w:val="24"/>
        </w:rPr>
        <w:t xml:space="preserve"> </w:t>
      </w:r>
      <w:r w:rsidR="00C12301" w:rsidRPr="009512C3">
        <w:rPr>
          <w:rFonts w:ascii="Times New Roman" w:hAnsi="Times New Roman" w:cs="Times New Roman"/>
          <w:noProof/>
          <w:color w:val="0D0D0D" w:themeColor="text1" w:themeTint="F2"/>
          <w:sz w:val="24"/>
          <w:szCs w:val="24"/>
        </w:rPr>
        <w:drawing>
          <wp:inline distT="0" distB="0" distL="0" distR="0" wp14:anchorId="2503A8BD" wp14:editId="73095777">
            <wp:extent cx="2855595" cy="2023745"/>
            <wp:effectExtent l="19050" t="19050" r="20955" b="14605"/>
            <wp:docPr id="2117968397" name="Chart 1">
              <a:extLst xmlns:a="http://schemas.openxmlformats.org/drawingml/2006/main">
                <a:ext uri="{FF2B5EF4-FFF2-40B4-BE49-F238E27FC236}">
                  <a16:creationId xmlns:a16="http://schemas.microsoft.com/office/drawing/2014/main" id="{E9950597-F423-F057-5269-EDD5C9750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A80164" w14:textId="1D9CF66B"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Fig.4. TDS Level in the water                              Fig.5. Magnesium Content in the water</w:t>
      </w:r>
    </w:p>
    <w:p w14:paraId="15E1B34B" w14:textId="77777777" w:rsidR="00895F4B" w:rsidRPr="009512C3" w:rsidRDefault="00895F4B" w:rsidP="00895F4B">
      <w:pPr>
        <w:tabs>
          <w:tab w:val="left" w:pos="3072"/>
        </w:tabs>
        <w:jc w:val="center"/>
        <w:rPr>
          <w:rFonts w:ascii="Times New Roman" w:hAnsi="Times New Roman" w:cs="Times New Roman"/>
          <w:noProof/>
          <w:color w:val="0D0D0D" w:themeColor="text1" w:themeTint="F2"/>
          <w:sz w:val="24"/>
          <w:szCs w:val="24"/>
        </w:rPr>
      </w:pPr>
    </w:p>
    <w:p w14:paraId="6382EDAF" w14:textId="29B97DF8" w:rsidR="009A6C7C" w:rsidRPr="009512C3" w:rsidRDefault="0072596D" w:rsidP="00895F4B">
      <w:pPr>
        <w:spacing w:after="0" w:line="240" w:lineRule="auto"/>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43CC8CD9" wp14:editId="4682A235">
            <wp:extent cx="2811780" cy="1962150"/>
            <wp:effectExtent l="19050" t="19050" r="26670" b="19050"/>
            <wp:docPr id="2038669113" name="Chart 1">
              <a:extLst xmlns:a="http://schemas.openxmlformats.org/drawingml/2006/main">
                <a:ext uri="{FF2B5EF4-FFF2-40B4-BE49-F238E27FC236}">
                  <a16:creationId xmlns:a16="http://schemas.microsoft.com/office/drawing/2014/main" id="{5724D725-CCA9-B8E5-753F-07261EDCD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6497E" w:rsidRPr="009512C3">
        <w:rPr>
          <w:rFonts w:ascii="Times New Roman" w:hAnsi="Times New Roman" w:cs="Times New Roman"/>
          <w:noProof/>
          <w:color w:val="0D0D0D" w:themeColor="text1" w:themeTint="F2"/>
          <w:sz w:val="24"/>
          <w:szCs w:val="24"/>
        </w:rPr>
        <w:drawing>
          <wp:inline distT="0" distB="0" distL="0" distR="0" wp14:anchorId="4C2265F7" wp14:editId="1DC7E8C4">
            <wp:extent cx="2864485" cy="1987550"/>
            <wp:effectExtent l="19050" t="19050" r="12065" b="12700"/>
            <wp:docPr id="1984896462" name="Chart 1">
              <a:extLst xmlns:a="http://schemas.openxmlformats.org/drawingml/2006/main">
                <a:ext uri="{FF2B5EF4-FFF2-40B4-BE49-F238E27FC236}">
                  <a16:creationId xmlns:a16="http://schemas.microsoft.com/office/drawing/2014/main" id="{5CCB92F4-49BC-A763-ECB4-16645D716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ECCB4C" w14:textId="4528BA5F"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Fig.6. Calcium Level in the water                              Fig.7. Hardness of water</w:t>
      </w:r>
    </w:p>
    <w:p w14:paraId="1AEEE5A6" w14:textId="77777777" w:rsidR="00895F4B" w:rsidRPr="009512C3" w:rsidRDefault="00895F4B" w:rsidP="00895F4B">
      <w:pPr>
        <w:spacing w:after="0" w:line="240" w:lineRule="auto"/>
        <w:jc w:val="center"/>
        <w:rPr>
          <w:rFonts w:ascii="Times New Roman" w:hAnsi="Times New Roman" w:cs="Times New Roman"/>
          <w:color w:val="0D0D0D" w:themeColor="text1" w:themeTint="F2"/>
          <w:sz w:val="24"/>
          <w:szCs w:val="24"/>
        </w:rPr>
      </w:pPr>
    </w:p>
    <w:p w14:paraId="0CD4233E" w14:textId="4038D4C1" w:rsidR="00280DDB" w:rsidRPr="009512C3" w:rsidRDefault="0072596D" w:rsidP="00895F4B">
      <w:pPr>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drawing>
          <wp:inline distT="0" distB="0" distL="0" distR="0" wp14:anchorId="657C085D" wp14:editId="0590EAD6">
            <wp:extent cx="2738120" cy="2086841"/>
            <wp:effectExtent l="19050" t="19050" r="24130" b="27940"/>
            <wp:docPr id="1540760247" name="Chart 1">
              <a:extLst xmlns:a="http://schemas.openxmlformats.org/drawingml/2006/main">
                <a:ext uri="{FF2B5EF4-FFF2-40B4-BE49-F238E27FC236}">
                  <a16:creationId xmlns:a16="http://schemas.microsoft.com/office/drawing/2014/main" id="{C4B7444D-08C2-B693-D50D-73C765C40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6497E" w:rsidRPr="009512C3">
        <w:rPr>
          <w:rFonts w:ascii="Times New Roman" w:hAnsi="Times New Roman" w:cs="Times New Roman"/>
          <w:noProof/>
          <w:color w:val="0D0D0D" w:themeColor="text1" w:themeTint="F2"/>
          <w:sz w:val="24"/>
          <w:szCs w:val="24"/>
        </w:rPr>
        <w:drawing>
          <wp:inline distT="0" distB="0" distL="0" distR="0" wp14:anchorId="5F46D0FE" wp14:editId="5A1D8BEF">
            <wp:extent cx="2783205" cy="2086841"/>
            <wp:effectExtent l="19050" t="19050" r="17145" b="27940"/>
            <wp:docPr id="1267201499" name="Chart 1">
              <a:extLst xmlns:a="http://schemas.openxmlformats.org/drawingml/2006/main">
                <a:ext uri="{FF2B5EF4-FFF2-40B4-BE49-F238E27FC236}">
                  <a16:creationId xmlns:a16="http://schemas.microsoft.com/office/drawing/2014/main" id="{CE4700A8-ABEC-5951-38C3-4B76B46E4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95B7FA" w14:textId="43129C91" w:rsidR="00895F4B" w:rsidRPr="009512C3" w:rsidRDefault="00895F4B" w:rsidP="00895F4B">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Fig.8. Iron Content in the water                              Fig.9. Chloride Content in the water</w:t>
      </w:r>
    </w:p>
    <w:p w14:paraId="02165ED5" w14:textId="44CDA61F" w:rsidR="008E127D" w:rsidRPr="009512C3" w:rsidRDefault="008E127D" w:rsidP="00A2193E">
      <w:pPr>
        <w:pStyle w:val="NoSpacing"/>
        <w:jc w:val="center"/>
        <w:rPr>
          <w:rFonts w:ascii="Times New Roman" w:hAnsi="Times New Roman" w:cs="Times New Roman"/>
          <w:b/>
          <w:color w:val="0D0D0D" w:themeColor="text1" w:themeTint="F2"/>
          <w:sz w:val="24"/>
          <w:szCs w:val="24"/>
        </w:rPr>
      </w:pPr>
    </w:p>
    <w:p w14:paraId="2F40C827" w14:textId="77777777" w:rsidR="006E28EB" w:rsidRPr="009512C3" w:rsidRDefault="006E28EB" w:rsidP="001B29A2">
      <w:pPr>
        <w:rPr>
          <w:rFonts w:ascii="Times New Roman" w:hAnsi="Times New Roman" w:cs="Times New Roman"/>
          <w:b/>
          <w:color w:val="0D0D0D" w:themeColor="text1" w:themeTint="F2"/>
          <w:sz w:val="24"/>
          <w:szCs w:val="24"/>
        </w:rPr>
      </w:pPr>
    </w:p>
    <w:p w14:paraId="29AB8271" w14:textId="3368677C" w:rsidR="00800A05" w:rsidRPr="009512C3" w:rsidRDefault="0066497E" w:rsidP="001B29A2">
      <w:pPr>
        <w:jc w:val="center"/>
        <w:rPr>
          <w:rFonts w:ascii="Times New Roman" w:hAnsi="Times New Roman" w:cs="Times New Roman"/>
          <w:color w:val="0D0D0D" w:themeColor="text1" w:themeTint="F2"/>
          <w:sz w:val="24"/>
          <w:szCs w:val="24"/>
        </w:rPr>
      </w:pPr>
      <w:r w:rsidRPr="009512C3">
        <w:rPr>
          <w:rFonts w:ascii="Times New Roman" w:hAnsi="Times New Roman" w:cs="Times New Roman"/>
          <w:noProof/>
          <w:color w:val="0D0D0D" w:themeColor="text1" w:themeTint="F2"/>
          <w:sz w:val="24"/>
          <w:szCs w:val="24"/>
        </w:rPr>
        <w:lastRenderedPageBreak/>
        <w:drawing>
          <wp:inline distT="0" distB="0" distL="0" distR="0" wp14:anchorId="36C68842" wp14:editId="3A02B03B">
            <wp:extent cx="2693670" cy="2552700"/>
            <wp:effectExtent l="19050" t="19050" r="11430" b="19050"/>
            <wp:docPr id="1360023587" name="Chart 1">
              <a:extLst xmlns:a="http://schemas.openxmlformats.org/drawingml/2006/main">
                <a:ext uri="{FF2B5EF4-FFF2-40B4-BE49-F238E27FC236}">
                  <a16:creationId xmlns:a16="http://schemas.microsoft.com/office/drawing/2014/main" id="{6EE5BF86-E6A3-76C0-3CA8-52FEA9F56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512C3">
        <w:rPr>
          <w:rFonts w:ascii="Times New Roman" w:hAnsi="Times New Roman" w:cs="Times New Roman"/>
          <w:noProof/>
          <w:color w:val="0D0D0D" w:themeColor="text1" w:themeTint="F2"/>
          <w:sz w:val="24"/>
          <w:szCs w:val="24"/>
        </w:rPr>
        <w:drawing>
          <wp:inline distT="0" distB="0" distL="0" distR="0" wp14:anchorId="4756D145" wp14:editId="7EB8C303">
            <wp:extent cx="2724150" cy="2539191"/>
            <wp:effectExtent l="19050" t="19050" r="19050" b="13970"/>
            <wp:docPr id="2024741737" name="Chart 1">
              <a:extLst xmlns:a="http://schemas.openxmlformats.org/drawingml/2006/main">
                <a:ext uri="{FF2B5EF4-FFF2-40B4-BE49-F238E27FC236}">
                  <a16:creationId xmlns:a16="http://schemas.microsoft.com/office/drawing/2014/main" id="{EC654B37-DA6E-4D9C-D8A2-C59CD2401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F08CAF" w14:textId="1F4A6A14" w:rsidR="00AE2527" w:rsidRPr="009512C3" w:rsidRDefault="00AE2527" w:rsidP="00AE2527">
      <w:pPr>
        <w:pStyle w:val="NoSpacing"/>
        <w:jc w:val="center"/>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Fig.10. BOD Level in the water                              Fig.11. COD Level in the water</w:t>
      </w:r>
    </w:p>
    <w:p w14:paraId="11853D39" w14:textId="77777777" w:rsidR="00800A05" w:rsidRPr="009512C3" w:rsidRDefault="00800A05" w:rsidP="001B29A2">
      <w:pPr>
        <w:jc w:val="center"/>
        <w:rPr>
          <w:rFonts w:ascii="Times New Roman" w:hAnsi="Times New Roman" w:cs="Times New Roman"/>
          <w:color w:val="0D0D0D" w:themeColor="text1" w:themeTint="F2"/>
          <w:sz w:val="24"/>
          <w:szCs w:val="24"/>
        </w:rPr>
      </w:pPr>
    </w:p>
    <w:p w14:paraId="7918CC27" w14:textId="77777777"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results of the present study showed (Figures 2 to 11) monthly variation of selected </w:t>
      </w:r>
      <w:proofErr w:type="spellStart"/>
      <w:r w:rsidRPr="009512C3">
        <w:rPr>
          <w:rFonts w:ascii="Times New Roman" w:hAnsi="Times New Roman" w:cs="Times New Roman"/>
          <w:color w:val="0D0D0D" w:themeColor="text1" w:themeTint="F2"/>
          <w:sz w:val="24"/>
          <w:szCs w:val="24"/>
        </w:rPr>
        <w:t>physico</w:t>
      </w:r>
      <w:proofErr w:type="spellEnd"/>
      <w:r w:rsidRPr="009512C3">
        <w:rPr>
          <w:rFonts w:ascii="Times New Roman" w:hAnsi="Times New Roman" w:cs="Times New Roman"/>
          <w:color w:val="0D0D0D" w:themeColor="text1" w:themeTint="F2"/>
          <w:sz w:val="24"/>
          <w:szCs w:val="24"/>
        </w:rPr>
        <w:t xml:space="preserve">-chemical parameters—pH, total alkalinity, total dissolved solids (TDS), and magnesium—in </w:t>
      </w:r>
      <w:proofErr w:type="spellStart"/>
      <w:r w:rsidRPr="009512C3">
        <w:rPr>
          <w:rFonts w:ascii="Times New Roman" w:hAnsi="Times New Roman" w:cs="Times New Roman"/>
          <w:color w:val="0D0D0D" w:themeColor="text1" w:themeTint="F2"/>
          <w:sz w:val="24"/>
          <w:szCs w:val="24"/>
        </w:rPr>
        <w:t>Narasapura</w:t>
      </w:r>
      <w:proofErr w:type="spellEnd"/>
      <w:r w:rsidRPr="009512C3">
        <w:rPr>
          <w:rFonts w:ascii="Times New Roman" w:hAnsi="Times New Roman" w:cs="Times New Roman"/>
          <w:color w:val="0D0D0D" w:themeColor="text1" w:themeTint="F2"/>
          <w:sz w:val="24"/>
          <w:szCs w:val="24"/>
        </w:rPr>
        <w:t xml:space="preserve"> Lake at three sampling locations: inlet water, lake bund middle, and backwater region over the study period.</w:t>
      </w:r>
    </w:p>
    <w:p w14:paraId="38A73059" w14:textId="41D49F10"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The pH values exhibit slight but consistent seasonal variation, remaining within the acceptable range of 6.5 to 8.5 throughout the study period</w:t>
      </w:r>
      <w:r w:rsidR="000E3419" w:rsidRPr="009512C3">
        <w:rPr>
          <w:rFonts w:ascii="Times New Roman" w:hAnsi="Times New Roman" w:cs="Times New Roman"/>
          <w:color w:val="0D0D0D" w:themeColor="text1" w:themeTint="F2"/>
          <w:sz w:val="24"/>
          <w:szCs w:val="24"/>
        </w:rPr>
        <w:t xml:space="preserve">. </w:t>
      </w:r>
      <w:r w:rsidRPr="009512C3">
        <w:rPr>
          <w:rFonts w:ascii="Times New Roman" w:hAnsi="Times New Roman" w:cs="Times New Roman"/>
          <w:color w:val="0D0D0D" w:themeColor="text1" w:themeTint="F2"/>
          <w:sz w:val="24"/>
          <w:szCs w:val="24"/>
        </w:rPr>
        <w:t>At the beginning of the year (January to April), pH values are relatively stable, ranging between approximately 7.5 and 8.0. A noticeable decline is observed during the pre-monsoon and early monsoon months (May to July</w:t>
      </w:r>
      <w:r w:rsidR="000E3419" w:rsidRPr="009512C3">
        <w:rPr>
          <w:rFonts w:ascii="Times New Roman" w:hAnsi="Times New Roman" w:cs="Times New Roman"/>
          <w:color w:val="0D0D0D" w:themeColor="text1" w:themeTint="F2"/>
          <w:sz w:val="24"/>
          <w:szCs w:val="24"/>
        </w:rPr>
        <w:t>)</w:t>
      </w:r>
      <w:r w:rsidRPr="009512C3">
        <w:rPr>
          <w:rFonts w:ascii="Times New Roman" w:hAnsi="Times New Roman" w:cs="Times New Roman"/>
          <w:color w:val="0D0D0D" w:themeColor="text1" w:themeTint="F2"/>
          <w:sz w:val="24"/>
          <w:szCs w:val="24"/>
        </w:rPr>
        <w:t xml:space="preserve">. This reduction may be attributed to dilution effects and increased organic matter decomposition. Total alkalinity shows moderate temporal and spatial variation across the sampling locations. Higher values are observed during the initial months (January to April), indicating greater buffering capacity of the water. A significant decline occurs during the monsoon period (June to August), with the lowest values recorded in July, especially in the backwater region. This decrease is likely due to dilution from rainwater and reduced concentration of bicarbonates. </w:t>
      </w:r>
    </w:p>
    <w:p w14:paraId="00F6A220" w14:textId="3DBC7080" w:rsidR="00151767" w:rsidRPr="009512C3" w:rsidRDefault="00151767" w:rsidP="00151767">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TDS levels are relatively high and stable across all sampling sites. </w:t>
      </w:r>
      <w:r w:rsidR="000E3419" w:rsidRPr="009512C3">
        <w:rPr>
          <w:rFonts w:ascii="Times New Roman" w:hAnsi="Times New Roman" w:cs="Times New Roman"/>
          <w:color w:val="0D0D0D" w:themeColor="text1" w:themeTint="F2"/>
          <w:sz w:val="24"/>
          <w:szCs w:val="24"/>
        </w:rPr>
        <w:t>Further, a</w:t>
      </w:r>
      <w:r w:rsidRPr="009512C3">
        <w:rPr>
          <w:rFonts w:ascii="Times New Roman" w:hAnsi="Times New Roman" w:cs="Times New Roman"/>
          <w:color w:val="0D0D0D" w:themeColor="text1" w:themeTint="F2"/>
          <w:sz w:val="24"/>
          <w:szCs w:val="24"/>
        </w:rPr>
        <w:t xml:space="preserve"> sharp decline is observed during May to July, with an extreme drop in June and July, especially in the backwater region where values approach minimal levels. This trend clearly indicates dilution effects caused by monsoon inflow and increased water volume. </w:t>
      </w:r>
    </w:p>
    <w:p w14:paraId="599A6C0F" w14:textId="23225CA7" w:rsidR="0093443F" w:rsidRPr="009512C3" w:rsidRDefault="00151767" w:rsidP="007D47D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Magnesium concentration exhibits relatively minor fluctuations throughout the study period. By December, values tend to stabilize again. Overall, magnesium levels remain within acceptable </w:t>
      </w:r>
      <w:r w:rsidRPr="009512C3">
        <w:rPr>
          <w:rFonts w:ascii="Times New Roman" w:hAnsi="Times New Roman" w:cs="Times New Roman"/>
          <w:color w:val="0D0D0D" w:themeColor="text1" w:themeTint="F2"/>
          <w:sz w:val="24"/>
          <w:szCs w:val="24"/>
        </w:rPr>
        <w:lastRenderedPageBreak/>
        <w:t>limits across all sampling points.</w:t>
      </w:r>
      <w:r w:rsidR="000E3419" w:rsidRPr="009512C3">
        <w:rPr>
          <w:rFonts w:ascii="Times New Roman" w:hAnsi="Times New Roman" w:cs="Times New Roman"/>
          <w:color w:val="0D0D0D" w:themeColor="text1" w:themeTint="F2"/>
          <w:sz w:val="24"/>
          <w:szCs w:val="24"/>
        </w:rPr>
        <w:t xml:space="preserve"> </w:t>
      </w:r>
      <w:r w:rsidR="006C3E09" w:rsidRPr="009512C3">
        <w:rPr>
          <w:rFonts w:ascii="Times New Roman" w:hAnsi="Times New Roman" w:cs="Times New Roman"/>
          <w:color w:val="0D0D0D" w:themeColor="text1" w:themeTint="F2"/>
          <w:sz w:val="24"/>
          <w:szCs w:val="24"/>
        </w:rPr>
        <w:t xml:space="preserve">Calcium level </w:t>
      </w:r>
      <w:r w:rsidR="006C3E09" w:rsidRPr="006C3E09">
        <w:rPr>
          <w:rFonts w:ascii="Times New Roman" w:hAnsi="Times New Roman" w:cs="Times New Roman"/>
          <w:color w:val="0D0D0D" w:themeColor="text1" w:themeTint="F2"/>
          <w:sz w:val="24"/>
          <w:szCs w:val="24"/>
        </w:rPr>
        <w:t>range</w:t>
      </w:r>
      <w:r w:rsidR="006C3E09" w:rsidRPr="009512C3">
        <w:rPr>
          <w:rFonts w:ascii="Times New Roman" w:hAnsi="Times New Roman" w:cs="Times New Roman"/>
          <w:color w:val="0D0D0D" w:themeColor="text1" w:themeTint="F2"/>
          <w:sz w:val="24"/>
          <w:szCs w:val="24"/>
        </w:rPr>
        <w:t>d</w:t>
      </w:r>
      <w:r w:rsidR="006C3E09" w:rsidRPr="006C3E09">
        <w:rPr>
          <w:rFonts w:ascii="Times New Roman" w:hAnsi="Times New Roman" w:cs="Times New Roman"/>
          <w:color w:val="0D0D0D" w:themeColor="text1" w:themeTint="F2"/>
          <w:sz w:val="24"/>
          <w:szCs w:val="24"/>
        </w:rPr>
        <w:t xml:space="preserve"> between ~30–60 mg/L. </w:t>
      </w:r>
      <w:r w:rsidR="006C3E09" w:rsidRPr="009512C3">
        <w:rPr>
          <w:rFonts w:ascii="Times New Roman" w:hAnsi="Times New Roman" w:cs="Times New Roman"/>
          <w:color w:val="0D0D0D" w:themeColor="text1" w:themeTint="F2"/>
          <w:sz w:val="24"/>
          <w:szCs w:val="24"/>
        </w:rPr>
        <w:t>however, the h</w:t>
      </w:r>
      <w:r w:rsidR="006C3E09" w:rsidRPr="006C3E09">
        <w:rPr>
          <w:rFonts w:ascii="Times New Roman" w:hAnsi="Times New Roman" w:cs="Times New Roman"/>
          <w:color w:val="0D0D0D" w:themeColor="text1" w:themeTint="F2"/>
          <w:sz w:val="24"/>
          <w:szCs w:val="24"/>
        </w:rPr>
        <w:t>igher values are observed during January–March and October–November, especially at the inlet, due to mineral inflow and evaporation</w:t>
      </w:r>
      <w:r w:rsidR="006C3E09" w:rsidRPr="009512C3">
        <w:rPr>
          <w:rFonts w:ascii="Times New Roman" w:hAnsi="Times New Roman" w:cs="Times New Roman"/>
          <w:color w:val="0D0D0D" w:themeColor="text1" w:themeTint="F2"/>
          <w:sz w:val="24"/>
          <w:szCs w:val="24"/>
        </w:rPr>
        <w:t xml:space="preserve"> and l</w:t>
      </w:r>
      <w:r w:rsidR="006C3E09" w:rsidRPr="006C3E09">
        <w:rPr>
          <w:rFonts w:ascii="Times New Roman" w:hAnsi="Times New Roman" w:cs="Times New Roman"/>
          <w:color w:val="0D0D0D" w:themeColor="text1" w:themeTint="F2"/>
          <w:sz w:val="24"/>
          <w:szCs w:val="24"/>
        </w:rPr>
        <w:t>owest values occur during June–July, caused by rainwater dilution during monsoon</w:t>
      </w:r>
      <w:r w:rsidR="006C3E09" w:rsidRPr="009512C3">
        <w:rPr>
          <w:rFonts w:ascii="Times New Roman" w:hAnsi="Times New Roman" w:cs="Times New Roman"/>
          <w:color w:val="0D0D0D" w:themeColor="text1" w:themeTint="F2"/>
          <w:sz w:val="24"/>
          <w:szCs w:val="24"/>
        </w:rPr>
        <w:t>. The total hardness</w:t>
      </w:r>
      <w:r w:rsidR="006C3E09" w:rsidRPr="006C3E09">
        <w:rPr>
          <w:rFonts w:ascii="Times New Roman" w:hAnsi="Times New Roman" w:cs="Times New Roman"/>
          <w:color w:val="0D0D0D" w:themeColor="text1" w:themeTint="F2"/>
          <w:sz w:val="24"/>
          <w:szCs w:val="24"/>
        </w:rPr>
        <w:t xml:space="preserve"> ranges from ~150–300 mg/</w:t>
      </w:r>
      <w:r w:rsidR="006C3E09" w:rsidRPr="009512C3">
        <w:rPr>
          <w:rFonts w:ascii="Times New Roman" w:hAnsi="Times New Roman" w:cs="Times New Roman"/>
          <w:color w:val="0D0D0D" w:themeColor="text1" w:themeTint="F2"/>
          <w:sz w:val="24"/>
          <w:szCs w:val="24"/>
        </w:rPr>
        <w:t>L showed h</w:t>
      </w:r>
      <w:r w:rsidR="006C3E09" w:rsidRPr="006C3E09">
        <w:rPr>
          <w:rFonts w:ascii="Times New Roman" w:hAnsi="Times New Roman" w:cs="Times New Roman"/>
          <w:color w:val="0D0D0D" w:themeColor="text1" w:themeTint="F2"/>
          <w:sz w:val="24"/>
          <w:szCs w:val="24"/>
        </w:rPr>
        <w:t xml:space="preserve">igher </w:t>
      </w:r>
      <w:r w:rsidR="006C3E09" w:rsidRPr="009512C3">
        <w:rPr>
          <w:rFonts w:ascii="Times New Roman" w:hAnsi="Times New Roman" w:cs="Times New Roman"/>
          <w:color w:val="0D0D0D" w:themeColor="text1" w:themeTint="F2"/>
          <w:sz w:val="24"/>
          <w:szCs w:val="24"/>
        </w:rPr>
        <w:t xml:space="preserve">level </w:t>
      </w:r>
      <w:r w:rsidR="006C3E09" w:rsidRPr="006C3E09">
        <w:rPr>
          <w:rFonts w:ascii="Times New Roman" w:hAnsi="Times New Roman" w:cs="Times New Roman"/>
          <w:color w:val="0D0D0D" w:themeColor="text1" w:themeTint="F2"/>
          <w:sz w:val="24"/>
          <w:szCs w:val="24"/>
        </w:rPr>
        <w:t>in January–April and October, especially at the inlet and bund middle</w:t>
      </w:r>
      <w:r w:rsidR="006C3E09" w:rsidRPr="009512C3">
        <w:rPr>
          <w:rFonts w:ascii="Times New Roman" w:hAnsi="Times New Roman" w:cs="Times New Roman"/>
          <w:color w:val="0D0D0D" w:themeColor="text1" w:themeTint="F2"/>
          <w:sz w:val="24"/>
          <w:szCs w:val="24"/>
        </w:rPr>
        <w:t xml:space="preserve"> and lo</w:t>
      </w:r>
      <w:r w:rsidR="006C3E09" w:rsidRPr="006C3E09">
        <w:rPr>
          <w:rFonts w:ascii="Times New Roman" w:hAnsi="Times New Roman" w:cs="Times New Roman"/>
          <w:color w:val="0D0D0D" w:themeColor="text1" w:themeTint="F2"/>
          <w:sz w:val="24"/>
          <w:szCs w:val="24"/>
        </w:rPr>
        <w:t xml:space="preserve">wer during June–August because of monsoon dilution. </w:t>
      </w:r>
      <w:r w:rsidR="006C3E09" w:rsidRPr="009512C3">
        <w:rPr>
          <w:rFonts w:ascii="Times New Roman" w:hAnsi="Times New Roman" w:cs="Times New Roman"/>
          <w:color w:val="0D0D0D" w:themeColor="text1" w:themeTint="F2"/>
          <w:sz w:val="24"/>
          <w:szCs w:val="24"/>
        </w:rPr>
        <w:t xml:space="preserve">Whereas, </w:t>
      </w:r>
      <w:r w:rsidR="006C3E09" w:rsidRPr="006C3E09">
        <w:rPr>
          <w:rFonts w:ascii="Times New Roman" w:hAnsi="Times New Roman" w:cs="Times New Roman"/>
          <w:color w:val="0D0D0D" w:themeColor="text1" w:themeTint="F2"/>
          <w:sz w:val="24"/>
          <w:szCs w:val="24"/>
        </w:rPr>
        <w:t xml:space="preserve">Back water has slightly lower hardness compared to other sites. </w:t>
      </w:r>
      <w:r w:rsidR="006C3E09" w:rsidRPr="009512C3">
        <w:rPr>
          <w:rFonts w:ascii="Times New Roman" w:hAnsi="Times New Roman" w:cs="Times New Roman"/>
          <w:color w:val="0D0D0D" w:themeColor="text1" w:themeTint="F2"/>
          <w:sz w:val="24"/>
          <w:szCs w:val="24"/>
        </w:rPr>
        <w:t xml:space="preserve">The </w:t>
      </w:r>
      <w:r w:rsidR="006C3E09" w:rsidRPr="006C3E09">
        <w:rPr>
          <w:rFonts w:ascii="Times New Roman" w:hAnsi="Times New Roman" w:cs="Times New Roman"/>
          <w:color w:val="0D0D0D" w:themeColor="text1" w:themeTint="F2"/>
          <w:sz w:val="24"/>
          <w:szCs w:val="24"/>
        </w:rPr>
        <w:t>Iron concentration ranges between 0.08 to 0.20 mg/L.</w:t>
      </w:r>
      <w:r w:rsidR="006C3E09" w:rsidRPr="009512C3">
        <w:rPr>
          <w:rFonts w:ascii="Times New Roman" w:hAnsi="Times New Roman" w:cs="Times New Roman"/>
          <w:color w:val="0D0D0D" w:themeColor="text1" w:themeTint="F2"/>
          <w:sz w:val="24"/>
          <w:szCs w:val="24"/>
        </w:rPr>
        <w:t xml:space="preserve">. </w:t>
      </w:r>
      <w:r w:rsidR="006C3E09" w:rsidRPr="006C3E09">
        <w:rPr>
          <w:rFonts w:ascii="Times New Roman" w:hAnsi="Times New Roman" w:cs="Times New Roman"/>
          <w:color w:val="0D0D0D" w:themeColor="text1" w:themeTint="F2"/>
          <w:sz w:val="24"/>
          <w:szCs w:val="24"/>
        </w:rPr>
        <w:t>Slight increase is seen during February–April and October</w:t>
      </w:r>
      <w:r w:rsidR="006C3E09" w:rsidRPr="009512C3">
        <w:rPr>
          <w:rFonts w:ascii="Times New Roman" w:hAnsi="Times New Roman" w:cs="Times New Roman"/>
          <w:color w:val="0D0D0D" w:themeColor="text1" w:themeTint="F2"/>
          <w:sz w:val="24"/>
          <w:szCs w:val="24"/>
        </w:rPr>
        <w:t xml:space="preserve"> and further lowered </w:t>
      </w:r>
      <w:r w:rsidR="006C3E09" w:rsidRPr="006C3E09">
        <w:rPr>
          <w:rFonts w:ascii="Times New Roman" w:hAnsi="Times New Roman" w:cs="Times New Roman"/>
          <w:color w:val="0D0D0D" w:themeColor="text1" w:themeTint="F2"/>
          <w:sz w:val="24"/>
          <w:szCs w:val="24"/>
        </w:rPr>
        <w:t xml:space="preserve">during June–August due to rainfall dilution. </w:t>
      </w:r>
      <w:r w:rsidR="006C3E09" w:rsidRPr="009512C3">
        <w:rPr>
          <w:rFonts w:ascii="Times New Roman" w:hAnsi="Times New Roman" w:cs="Times New Roman"/>
          <w:color w:val="0D0D0D" w:themeColor="text1" w:themeTint="F2"/>
          <w:sz w:val="24"/>
          <w:szCs w:val="24"/>
        </w:rPr>
        <w:t>B</w:t>
      </w:r>
      <w:r w:rsidR="006C3E09" w:rsidRPr="006C3E09">
        <w:rPr>
          <w:rFonts w:ascii="Times New Roman" w:hAnsi="Times New Roman" w:cs="Times New Roman"/>
          <w:color w:val="0D0D0D" w:themeColor="text1" w:themeTint="F2"/>
          <w:sz w:val="24"/>
          <w:szCs w:val="24"/>
        </w:rPr>
        <w:t>ack water sometimes shows slightly higher iron than other sites.</w:t>
      </w:r>
      <w:r w:rsidR="000E3419" w:rsidRPr="009512C3">
        <w:rPr>
          <w:rFonts w:ascii="Times New Roman" w:hAnsi="Times New Roman" w:cs="Times New Roman"/>
          <w:color w:val="0D0D0D" w:themeColor="text1" w:themeTint="F2"/>
          <w:sz w:val="24"/>
          <w:szCs w:val="24"/>
        </w:rPr>
        <w:t xml:space="preserve"> </w:t>
      </w:r>
      <w:r w:rsidR="006C3E09" w:rsidRPr="009512C3">
        <w:rPr>
          <w:rFonts w:ascii="Times New Roman" w:hAnsi="Times New Roman" w:cs="Times New Roman"/>
          <w:color w:val="0D0D0D" w:themeColor="text1" w:themeTint="F2"/>
          <w:sz w:val="24"/>
          <w:szCs w:val="24"/>
        </w:rPr>
        <w:t>Chloride</w:t>
      </w:r>
      <w:r w:rsidR="006C3E09" w:rsidRPr="006C3E09">
        <w:rPr>
          <w:rFonts w:ascii="Times New Roman" w:hAnsi="Times New Roman" w:cs="Times New Roman"/>
          <w:color w:val="0D0D0D" w:themeColor="text1" w:themeTint="F2"/>
          <w:sz w:val="24"/>
          <w:szCs w:val="24"/>
        </w:rPr>
        <w:t xml:space="preserve"> values range from 100 to 200 mg/L.</w:t>
      </w:r>
      <w:r w:rsidR="006C3E09" w:rsidRPr="009512C3">
        <w:rPr>
          <w:rFonts w:ascii="Times New Roman" w:hAnsi="Times New Roman" w:cs="Times New Roman"/>
          <w:color w:val="0D0D0D" w:themeColor="text1" w:themeTint="F2"/>
          <w:sz w:val="24"/>
          <w:szCs w:val="24"/>
        </w:rPr>
        <w:t xml:space="preserve"> </w:t>
      </w:r>
      <w:r w:rsidR="006C3E09" w:rsidRPr="006C3E09">
        <w:rPr>
          <w:rFonts w:ascii="Times New Roman" w:hAnsi="Times New Roman" w:cs="Times New Roman"/>
          <w:color w:val="0D0D0D" w:themeColor="text1" w:themeTint="F2"/>
          <w:sz w:val="24"/>
          <w:szCs w:val="24"/>
        </w:rPr>
        <w:t xml:space="preserve">Higher values are observed in summer months (April–June) due to evaporation and concentration. Lower values occur during monsoon (July–September) due to dilution. COD ranges from ~70 to 220 mg/L. Higher values are observed in early months (Jan–Apr), especially at the bund middle. </w:t>
      </w:r>
      <w:r w:rsidR="0093443F" w:rsidRPr="009512C3">
        <w:rPr>
          <w:rFonts w:ascii="Times New Roman" w:hAnsi="Times New Roman" w:cs="Times New Roman"/>
          <w:color w:val="0D0D0D" w:themeColor="text1" w:themeTint="F2"/>
          <w:sz w:val="24"/>
          <w:szCs w:val="24"/>
        </w:rPr>
        <w:t xml:space="preserve">Further the values </w:t>
      </w:r>
      <w:r w:rsidR="006C3E09" w:rsidRPr="006C3E09">
        <w:rPr>
          <w:rFonts w:ascii="Times New Roman" w:hAnsi="Times New Roman" w:cs="Times New Roman"/>
          <w:color w:val="0D0D0D" w:themeColor="text1" w:themeTint="F2"/>
          <w:sz w:val="24"/>
          <w:szCs w:val="24"/>
        </w:rPr>
        <w:t>decline</w:t>
      </w:r>
      <w:r w:rsidR="0093443F" w:rsidRPr="009512C3">
        <w:rPr>
          <w:rFonts w:ascii="Times New Roman" w:hAnsi="Times New Roman" w:cs="Times New Roman"/>
          <w:color w:val="0D0D0D" w:themeColor="text1" w:themeTint="F2"/>
          <w:sz w:val="24"/>
          <w:szCs w:val="24"/>
        </w:rPr>
        <w:t>d</w:t>
      </w:r>
      <w:r w:rsidR="006C3E09" w:rsidRPr="006C3E09">
        <w:rPr>
          <w:rFonts w:ascii="Times New Roman" w:hAnsi="Times New Roman" w:cs="Times New Roman"/>
          <w:color w:val="0D0D0D" w:themeColor="text1" w:themeTint="F2"/>
          <w:sz w:val="24"/>
          <w:szCs w:val="24"/>
        </w:rPr>
        <w:t xml:space="preserve"> May onwards, reaching lower values by September–December. </w:t>
      </w:r>
      <w:r w:rsidR="0093443F" w:rsidRPr="009512C3">
        <w:rPr>
          <w:rFonts w:ascii="Times New Roman" w:hAnsi="Times New Roman" w:cs="Times New Roman"/>
          <w:color w:val="0D0D0D" w:themeColor="text1" w:themeTint="F2"/>
          <w:sz w:val="24"/>
          <w:szCs w:val="24"/>
        </w:rPr>
        <w:t xml:space="preserve">The </w:t>
      </w:r>
      <w:r w:rsidR="0093443F" w:rsidRPr="0093443F">
        <w:rPr>
          <w:rFonts w:ascii="Times New Roman" w:hAnsi="Times New Roman" w:cs="Times New Roman"/>
          <w:color w:val="0D0D0D" w:themeColor="text1" w:themeTint="F2"/>
          <w:sz w:val="24"/>
          <w:szCs w:val="24"/>
        </w:rPr>
        <w:t xml:space="preserve">BOD values are high at the beginning (50–80 mg/L) and decrease gradually. A sharp decline occurs after July, reaching very low values (5 mg/L) by November–December. </w:t>
      </w:r>
      <w:r w:rsidR="0093443F" w:rsidRPr="009512C3">
        <w:rPr>
          <w:rFonts w:ascii="Times New Roman" w:hAnsi="Times New Roman" w:cs="Times New Roman"/>
          <w:color w:val="0D0D0D" w:themeColor="text1" w:themeTint="F2"/>
          <w:sz w:val="24"/>
          <w:szCs w:val="24"/>
        </w:rPr>
        <w:t>Later low values indicate improved water quality.</w:t>
      </w:r>
    </w:p>
    <w:p w14:paraId="7163A68F" w14:textId="06F29054" w:rsidR="007D47D3" w:rsidRPr="009512C3" w:rsidRDefault="00FA4ED9" w:rsidP="007D47D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The </w:t>
      </w:r>
      <w:r w:rsidR="0093443F" w:rsidRPr="009512C3">
        <w:rPr>
          <w:rFonts w:ascii="Times New Roman" w:hAnsi="Times New Roman" w:cs="Times New Roman"/>
          <w:color w:val="0D0D0D" w:themeColor="text1" w:themeTint="F2"/>
          <w:sz w:val="24"/>
          <w:szCs w:val="24"/>
        </w:rPr>
        <w:t xml:space="preserve">experiment results showed </w:t>
      </w:r>
      <w:r w:rsidRPr="009512C3">
        <w:rPr>
          <w:rFonts w:ascii="Times New Roman" w:hAnsi="Times New Roman" w:cs="Times New Roman"/>
          <w:color w:val="0D0D0D" w:themeColor="text1" w:themeTint="F2"/>
          <w:sz w:val="24"/>
          <w:szCs w:val="24"/>
        </w:rPr>
        <w:t xml:space="preserve">there </w:t>
      </w:r>
      <w:r w:rsidR="0093443F" w:rsidRPr="009512C3">
        <w:rPr>
          <w:rFonts w:ascii="Times New Roman" w:hAnsi="Times New Roman" w:cs="Times New Roman"/>
          <w:color w:val="0D0D0D" w:themeColor="text1" w:themeTint="F2"/>
          <w:sz w:val="24"/>
          <w:szCs w:val="24"/>
        </w:rPr>
        <w:t>was</w:t>
      </w:r>
      <w:r w:rsidRPr="009512C3">
        <w:rPr>
          <w:rFonts w:ascii="Times New Roman" w:hAnsi="Times New Roman" w:cs="Times New Roman"/>
          <w:color w:val="0D0D0D" w:themeColor="text1" w:themeTint="F2"/>
          <w:sz w:val="24"/>
          <w:szCs w:val="24"/>
        </w:rPr>
        <w:t xml:space="preserve"> no abnormal values observed in any of the parameters</w:t>
      </w:r>
      <w:r w:rsidR="005966D6" w:rsidRPr="009512C3">
        <w:rPr>
          <w:rFonts w:ascii="Times New Roman" w:hAnsi="Times New Roman" w:cs="Times New Roman"/>
          <w:color w:val="0D0D0D" w:themeColor="text1" w:themeTint="F2"/>
          <w:sz w:val="24"/>
          <w:szCs w:val="24"/>
        </w:rPr>
        <w:t xml:space="preserve"> or in any season</w:t>
      </w:r>
      <w:r w:rsidRPr="009512C3">
        <w:rPr>
          <w:rFonts w:ascii="Times New Roman" w:hAnsi="Times New Roman" w:cs="Times New Roman"/>
          <w:color w:val="0D0D0D" w:themeColor="text1" w:themeTint="F2"/>
          <w:sz w:val="24"/>
          <w:szCs w:val="24"/>
        </w:rPr>
        <w:t xml:space="preserve">, most of the parameter’s values are within the acceptable limit and few are within the permissible limit. </w:t>
      </w:r>
      <w:r w:rsidR="0093443F" w:rsidRPr="009512C3">
        <w:rPr>
          <w:rFonts w:ascii="Times New Roman" w:hAnsi="Times New Roman" w:cs="Times New Roman"/>
          <w:color w:val="0D0D0D" w:themeColor="text1" w:themeTint="F2"/>
          <w:sz w:val="24"/>
          <w:szCs w:val="24"/>
        </w:rPr>
        <w:t xml:space="preserve">However, the fluctuation in the all the parameters showed due to inflow of water, prolong stagnation and none domestic interference.  </w:t>
      </w:r>
      <w:r w:rsidR="00014C48" w:rsidRPr="009512C3">
        <w:rPr>
          <w:rFonts w:ascii="Times New Roman" w:hAnsi="Times New Roman" w:cs="Times New Roman"/>
          <w:color w:val="0D0D0D" w:themeColor="text1" w:themeTint="F2"/>
          <w:sz w:val="24"/>
          <w:szCs w:val="24"/>
        </w:rPr>
        <w:t xml:space="preserve">Previous studies have similarly reported lakes (Chandra et al.,2012; Musa et al., 2020; </w:t>
      </w:r>
      <w:r w:rsidR="000E3419" w:rsidRPr="009512C3">
        <w:rPr>
          <w:rFonts w:ascii="Times New Roman" w:hAnsi="Times New Roman" w:cs="Times New Roman"/>
          <w:color w:val="0D0D0D" w:themeColor="text1" w:themeTint="F2"/>
          <w:sz w:val="24"/>
          <w:szCs w:val="24"/>
        </w:rPr>
        <w:t xml:space="preserve">Bikila, et al., 2020; </w:t>
      </w:r>
      <w:proofErr w:type="spellStart"/>
      <w:r w:rsidR="00014C48" w:rsidRPr="009512C3">
        <w:rPr>
          <w:rFonts w:ascii="Times New Roman" w:hAnsi="Times New Roman" w:cs="Times New Roman"/>
          <w:color w:val="0D0D0D" w:themeColor="text1" w:themeTint="F2"/>
          <w:sz w:val="24"/>
          <w:szCs w:val="24"/>
        </w:rPr>
        <w:t>Akinbile</w:t>
      </w:r>
      <w:proofErr w:type="spellEnd"/>
      <w:r w:rsidR="00014C48" w:rsidRPr="009512C3">
        <w:rPr>
          <w:rFonts w:ascii="Times New Roman" w:hAnsi="Times New Roman" w:cs="Times New Roman"/>
          <w:color w:val="0D0D0D" w:themeColor="text1" w:themeTint="F2"/>
          <w:sz w:val="24"/>
          <w:szCs w:val="24"/>
        </w:rPr>
        <w:t xml:space="preserve"> &amp; Yusuff, 2021; Pratibha et al., 2021; Simeon et al., 2022). </w:t>
      </w:r>
    </w:p>
    <w:p w14:paraId="4F51B6E2" w14:textId="77777777" w:rsidR="000E3419" w:rsidRPr="009512C3" w:rsidRDefault="000E3419" w:rsidP="007D47D3">
      <w:pPr>
        <w:spacing w:line="360" w:lineRule="auto"/>
        <w:jc w:val="both"/>
        <w:rPr>
          <w:rFonts w:ascii="Times New Roman" w:hAnsi="Times New Roman" w:cs="Times New Roman"/>
          <w:color w:val="0D0D0D" w:themeColor="text1" w:themeTint="F2"/>
          <w:sz w:val="24"/>
          <w:szCs w:val="24"/>
        </w:rPr>
      </w:pPr>
    </w:p>
    <w:p w14:paraId="4932D4C9" w14:textId="77777777" w:rsidR="009512C3" w:rsidRPr="009512C3" w:rsidRDefault="009512C3" w:rsidP="007D47D3">
      <w:pPr>
        <w:spacing w:line="360" w:lineRule="auto"/>
        <w:jc w:val="both"/>
        <w:rPr>
          <w:rFonts w:ascii="Times New Roman" w:hAnsi="Times New Roman" w:cs="Times New Roman"/>
          <w:color w:val="0D0D0D" w:themeColor="text1" w:themeTint="F2"/>
          <w:sz w:val="24"/>
          <w:szCs w:val="24"/>
        </w:rPr>
      </w:pPr>
    </w:p>
    <w:p w14:paraId="04B8FB9A" w14:textId="77777777" w:rsidR="009512C3" w:rsidRPr="009512C3" w:rsidRDefault="009512C3" w:rsidP="007D47D3">
      <w:pPr>
        <w:spacing w:line="360" w:lineRule="auto"/>
        <w:jc w:val="both"/>
        <w:rPr>
          <w:rFonts w:ascii="Times New Roman" w:hAnsi="Times New Roman" w:cs="Times New Roman"/>
          <w:color w:val="0D0D0D" w:themeColor="text1" w:themeTint="F2"/>
          <w:sz w:val="24"/>
          <w:szCs w:val="24"/>
        </w:rPr>
      </w:pPr>
    </w:p>
    <w:p w14:paraId="18CB833A" w14:textId="77777777" w:rsidR="009512C3" w:rsidRPr="009512C3" w:rsidRDefault="009512C3" w:rsidP="009512C3">
      <w:pPr>
        <w:spacing w:line="360" w:lineRule="auto"/>
        <w:jc w:val="both"/>
        <w:rPr>
          <w:rFonts w:ascii="Times New Roman" w:hAnsi="Times New Roman" w:cs="Times New Roman"/>
          <w:b/>
          <w:bCs/>
          <w:color w:val="0D0D0D" w:themeColor="text1" w:themeTint="F2"/>
          <w:sz w:val="24"/>
          <w:szCs w:val="24"/>
        </w:rPr>
      </w:pPr>
      <w:r w:rsidRPr="009512C3">
        <w:rPr>
          <w:rFonts w:ascii="Times New Roman" w:hAnsi="Times New Roman" w:cs="Times New Roman"/>
          <w:b/>
          <w:bCs/>
          <w:color w:val="0D0D0D" w:themeColor="text1" w:themeTint="F2"/>
          <w:sz w:val="24"/>
          <w:szCs w:val="24"/>
        </w:rPr>
        <w:t>References</w:t>
      </w:r>
    </w:p>
    <w:p w14:paraId="5275FBD8" w14:textId="4798FE9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Akinbile</w:t>
      </w:r>
      <w:proofErr w:type="spellEnd"/>
      <w:r w:rsidRPr="009512C3">
        <w:rPr>
          <w:rFonts w:ascii="Times New Roman" w:hAnsi="Times New Roman" w:cs="Times New Roman"/>
          <w:color w:val="0D0D0D" w:themeColor="text1" w:themeTint="F2"/>
          <w:sz w:val="24"/>
          <w:szCs w:val="24"/>
        </w:rPr>
        <w:t xml:space="preserve">, C. O., &amp; Yusuff, R. O. (2021). Assessment of water quality in urban and rural areas in southwestern Nigeria. </w:t>
      </w:r>
      <w:r w:rsidRPr="009512C3">
        <w:rPr>
          <w:rFonts w:ascii="Times New Roman" w:hAnsi="Times New Roman" w:cs="Times New Roman"/>
          <w:i/>
          <w:iCs/>
          <w:color w:val="0D0D0D" w:themeColor="text1" w:themeTint="F2"/>
          <w:sz w:val="24"/>
          <w:szCs w:val="24"/>
        </w:rPr>
        <w:t>Environmental Monitoring and Assessment, 193</w:t>
      </w:r>
      <w:r w:rsidRPr="009512C3">
        <w:rPr>
          <w:rFonts w:ascii="Times New Roman" w:hAnsi="Times New Roman" w:cs="Times New Roman"/>
          <w:color w:val="0D0D0D" w:themeColor="text1" w:themeTint="F2"/>
          <w:sz w:val="24"/>
          <w:szCs w:val="24"/>
        </w:rPr>
        <w:t xml:space="preserve">(9), 1–12. </w:t>
      </w:r>
    </w:p>
    <w:p w14:paraId="134B7B04" w14:textId="536BB0CF"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lastRenderedPageBreak/>
        <w:t xml:space="preserve">Bikila, E. T., Akinyemi, M. B., &amp; Alabi, B. O. (2020). Assessment of the physicochemical and microbiological quality of drinking water sources in rural areas of Ethiopia. </w:t>
      </w:r>
      <w:r w:rsidRPr="009512C3">
        <w:rPr>
          <w:rFonts w:ascii="Times New Roman" w:hAnsi="Times New Roman" w:cs="Times New Roman"/>
          <w:i/>
          <w:iCs/>
          <w:color w:val="0D0D0D" w:themeColor="text1" w:themeTint="F2"/>
          <w:sz w:val="24"/>
          <w:szCs w:val="24"/>
        </w:rPr>
        <w:t>Water Quality Research Journal of Canada, 55</w:t>
      </w:r>
      <w:r w:rsidRPr="009512C3">
        <w:rPr>
          <w:rFonts w:ascii="Times New Roman" w:hAnsi="Times New Roman" w:cs="Times New Roman"/>
          <w:color w:val="0D0D0D" w:themeColor="text1" w:themeTint="F2"/>
          <w:sz w:val="24"/>
          <w:szCs w:val="24"/>
        </w:rPr>
        <w:t xml:space="preserve">(1), 1–9. </w:t>
      </w:r>
    </w:p>
    <w:p w14:paraId="51BB115C"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Chandra, S., Kumar, A., &amp; Tomar, P. K. (2012). Assessment of water quality values in Porur Lake (Chennai), Hussain Sagar (Hyderabad), and Vihar Lake (Mumbai), India. </w:t>
      </w:r>
      <w:r w:rsidRPr="009512C3">
        <w:rPr>
          <w:rFonts w:ascii="Times New Roman" w:hAnsi="Times New Roman" w:cs="Times New Roman"/>
          <w:i/>
          <w:iCs/>
          <w:color w:val="0D0D0D" w:themeColor="text1" w:themeTint="F2"/>
          <w:sz w:val="24"/>
          <w:szCs w:val="24"/>
        </w:rPr>
        <w:t>Chemical Science Transactions, 1</w:t>
      </w:r>
      <w:r w:rsidRPr="009512C3">
        <w:rPr>
          <w:rFonts w:ascii="Times New Roman" w:hAnsi="Times New Roman" w:cs="Times New Roman"/>
          <w:color w:val="0D0D0D" w:themeColor="text1" w:themeTint="F2"/>
          <w:sz w:val="24"/>
          <w:szCs w:val="24"/>
        </w:rPr>
        <w:t>(3), 508–515.</w:t>
      </w:r>
    </w:p>
    <w:p w14:paraId="1095C626"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Choudhury, S., Verma, S., &amp; Kumar, R. (2022). Seasonal variations in the physicochemical properties of lake water: A comprehensive study. </w:t>
      </w:r>
      <w:r w:rsidRPr="009512C3">
        <w:rPr>
          <w:rFonts w:ascii="Times New Roman" w:hAnsi="Times New Roman" w:cs="Times New Roman"/>
          <w:i/>
          <w:iCs/>
          <w:color w:val="0D0D0D" w:themeColor="text1" w:themeTint="F2"/>
          <w:sz w:val="24"/>
          <w:szCs w:val="24"/>
        </w:rPr>
        <w:t>Journal of Environmental Management, 300</w:t>
      </w:r>
      <w:r w:rsidRPr="009512C3">
        <w:rPr>
          <w:rFonts w:ascii="Times New Roman" w:hAnsi="Times New Roman" w:cs="Times New Roman"/>
          <w:color w:val="0D0D0D" w:themeColor="text1" w:themeTint="F2"/>
          <w:sz w:val="24"/>
          <w:szCs w:val="24"/>
        </w:rPr>
        <w:t>, 113642.</w:t>
      </w:r>
    </w:p>
    <w:p w14:paraId="5CDF5D78"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Gupta, R., Sinha, A., &amp; Sharma, N. (2022). Impacts of seasonal changes on water quality: A review. </w:t>
      </w:r>
      <w:r w:rsidRPr="009512C3">
        <w:rPr>
          <w:rFonts w:ascii="Times New Roman" w:hAnsi="Times New Roman" w:cs="Times New Roman"/>
          <w:i/>
          <w:iCs/>
          <w:color w:val="0D0D0D" w:themeColor="text1" w:themeTint="F2"/>
          <w:sz w:val="24"/>
          <w:szCs w:val="24"/>
        </w:rPr>
        <w:t>Water Research, 209</w:t>
      </w:r>
      <w:r w:rsidRPr="009512C3">
        <w:rPr>
          <w:rFonts w:ascii="Times New Roman" w:hAnsi="Times New Roman" w:cs="Times New Roman"/>
          <w:color w:val="0D0D0D" w:themeColor="text1" w:themeTint="F2"/>
          <w:sz w:val="24"/>
          <w:szCs w:val="24"/>
        </w:rPr>
        <w:t>, 117970.</w:t>
      </w:r>
    </w:p>
    <w:p w14:paraId="0011B13E"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Gupta, S., &amp; Shukla, D. N. (2006). Physico-chemical analysis of sewage water and its effect on seed germination and seedling growth of </w:t>
      </w:r>
      <w:r w:rsidRPr="009512C3">
        <w:rPr>
          <w:rFonts w:ascii="Times New Roman" w:hAnsi="Times New Roman" w:cs="Times New Roman"/>
          <w:i/>
          <w:iCs/>
          <w:color w:val="0D0D0D" w:themeColor="text1" w:themeTint="F2"/>
          <w:sz w:val="24"/>
          <w:szCs w:val="24"/>
        </w:rPr>
        <w:t>Sesamum indicum</w:t>
      </w:r>
      <w:r w:rsidRPr="009512C3">
        <w:rPr>
          <w:rFonts w:ascii="Times New Roman" w:hAnsi="Times New Roman" w:cs="Times New Roman"/>
          <w:color w:val="0D0D0D" w:themeColor="text1" w:themeTint="F2"/>
          <w:sz w:val="24"/>
          <w:szCs w:val="24"/>
        </w:rPr>
        <w:t xml:space="preserve">. </w:t>
      </w:r>
      <w:r w:rsidRPr="009512C3">
        <w:rPr>
          <w:rFonts w:ascii="Times New Roman" w:hAnsi="Times New Roman" w:cs="Times New Roman"/>
          <w:i/>
          <w:iCs/>
          <w:color w:val="0D0D0D" w:themeColor="text1" w:themeTint="F2"/>
          <w:sz w:val="24"/>
          <w:szCs w:val="24"/>
        </w:rPr>
        <w:t>Journal of Natural Resources Development, 1</w:t>
      </w:r>
      <w:r w:rsidRPr="009512C3">
        <w:rPr>
          <w:rFonts w:ascii="Times New Roman" w:hAnsi="Times New Roman" w:cs="Times New Roman"/>
          <w:color w:val="0D0D0D" w:themeColor="text1" w:themeTint="F2"/>
          <w:sz w:val="24"/>
          <w:szCs w:val="24"/>
        </w:rPr>
        <w:t>, 5–19.</w:t>
      </w:r>
    </w:p>
    <w:p w14:paraId="41C95989"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Jennings, W. C., Chern, E. C., O'Donohue, D., Kellogg, M. G., &amp; Boehm, A. B. (2018). Frequent detection of a human </w:t>
      </w:r>
      <w:proofErr w:type="spellStart"/>
      <w:r w:rsidRPr="009512C3">
        <w:rPr>
          <w:rFonts w:ascii="Times New Roman" w:hAnsi="Times New Roman" w:cs="Times New Roman"/>
          <w:color w:val="0D0D0D" w:themeColor="text1" w:themeTint="F2"/>
          <w:sz w:val="24"/>
          <w:szCs w:val="24"/>
        </w:rPr>
        <w:t>fecal</w:t>
      </w:r>
      <w:proofErr w:type="spellEnd"/>
      <w:r w:rsidRPr="009512C3">
        <w:rPr>
          <w:rFonts w:ascii="Times New Roman" w:hAnsi="Times New Roman" w:cs="Times New Roman"/>
          <w:color w:val="0D0D0D" w:themeColor="text1" w:themeTint="F2"/>
          <w:sz w:val="24"/>
          <w:szCs w:val="24"/>
        </w:rPr>
        <w:t xml:space="preserve"> indicator in the urban ocean: Environmental drivers and covariation with enterococci. </w:t>
      </w:r>
      <w:r w:rsidRPr="009512C3">
        <w:rPr>
          <w:rFonts w:ascii="Times New Roman" w:hAnsi="Times New Roman" w:cs="Times New Roman"/>
          <w:i/>
          <w:iCs/>
          <w:color w:val="0D0D0D" w:themeColor="text1" w:themeTint="F2"/>
          <w:sz w:val="24"/>
          <w:szCs w:val="24"/>
        </w:rPr>
        <w:t>Environmental Science: Processes &amp; Impacts, 20</w:t>
      </w:r>
      <w:r w:rsidRPr="009512C3">
        <w:rPr>
          <w:rFonts w:ascii="Times New Roman" w:hAnsi="Times New Roman" w:cs="Times New Roman"/>
          <w:color w:val="0D0D0D" w:themeColor="text1" w:themeTint="F2"/>
          <w:sz w:val="24"/>
          <w:szCs w:val="24"/>
        </w:rPr>
        <w:t>(3), 480–492.</w:t>
      </w:r>
    </w:p>
    <w:p w14:paraId="647CB795"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Kumar, S., Singh, R., &amp; Gupta, P. (2023). Impact of monsoon on turbidity and sedimentation in freshwater bodies. </w:t>
      </w:r>
      <w:r w:rsidRPr="009512C3">
        <w:rPr>
          <w:rFonts w:ascii="Times New Roman" w:hAnsi="Times New Roman" w:cs="Times New Roman"/>
          <w:i/>
          <w:iCs/>
          <w:color w:val="0D0D0D" w:themeColor="text1" w:themeTint="F2"/>
          <w:sz w:val="24"/>
          <w:szCs w:val="24"/>
        </w:rPr>
        <w:t>Environmental Science and Pollution Research, 30</w:t>
      </w:r>
      <w:r w:rsidRPr="009512C3">
        <w:rPr>
          <w:rFonts w:ascii="Times New Roman" w:hAnsi="Times New Roman" w:cs="Times New Roman"/>
          <w:color w:val="0D0D0D" w:themeColor="text1" w:themeTint="F2"/>
          <w:sz w:val="24"/>
          <w:szCs w:val="24"/>
        </w:rPr>
        <w:t>(4), 4621–4635.</w:t>
      </w:r>
    </w:p>
    <w:p w14:paraId="1F9BBC4D"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Kumar, T. M. M., &amp; Prabhu, N. (2019). Geochemical modelling of </w:t>
      </w:r>
      <w:proofErr w:type="spellStart"/>
      <w:r w:rsidRPr="009512C3">
        <w:rPr>
          <w:rFonts w:ascii="Times New Roman" w:hAnsi="Times New Roman" w:cs="Times New Roman"/>
          <w:color w:val="0D0D0D" w:themeColor="text1" w:themeTint="F2"/>
          <w:sz w:val="24"/>
          <w:szCs w:val="24"/>
        </w:rPr>
        <w:t>Kushawathi</w:t>
      </w:r>
      <w:proofErr w:type="spellEnd"/>
      <w:r w:rsidRPr="009512C3">
        <w:rPr>
          <w:rFonts w:ascii="Times New Roman" w:hAnsi="Times New Roman" w:cs="Times New Roman"/>
          <w:color w:val="0D0D0D" w:themeColor="text1" w:themeTint="F2"/>
          <w:sz w:val="24"/>
          <w:szCs w:val="24"/>
        </w:rPr>
        <w:t xml:space="preserve"> watershed area, </w:t>
      </w:r>
      <w:proofErr w:type="spellStart"/>
      <w:r w:rsidRPr="009512C3">
        <w:rPr>
          <w:rFonts w:ascii="Times New Roman" w:hAnsi="Times New Roman" w:cs="Times New Roman"/>
          <w:color w:val="0D0D0D" w:themeColor="text1" w:themeTint="F2"/>
          <w:sz w:val="24"/>
          <w:szCs w:val="24"/>
        </w:rPr>
        <w:t>Chikkaballapur</w:t>
      </w:r>
      <w:proofErr w:type="spellEnd"/>
      <w:r w:rsidRPr="009512C3">
        <w:rPr>
          <w:rFonts w:ascii="Times New Roman" w:hAnsi="Times New Roman" w:cs="Times New Roman"/>
          <w:color w:val="0D0D0D" w:themeColor="text1" w:themeTint="F2"/>
          <w:sz w:val="24"/>
          <w:szCs w:val="24"/>
        </w:rPr>
        <w:t xml:space="preserve"> District, Karnataka. </w:t>
      </w:r>
      <w:r w:rsidRPr="009512C3">
        <w:rPr>
          <w:rFonts w:ascii="Times New Roman" w:hAnsi="Times New Roman" w:cs="Times New Roman"/>
          <w:i/>
          <w:iCs/>
          <w:color w:val="0D0D0D" w:themeColor="text1" w:themeTint="F2"/>
          <w:sz w:val="24"/>
          <w:szCs w:val="24"/>
        </w:rPr>
        <w:t>International Journal of Scientific and Technology Research, 8</w:t>
      </w:r>
      <w:r w:rsidRPr="009512C3">
        <w:rPr>
          <w:rFonts w:ascii="Times New Roman" w:hAnsi="Times New Roman" w:cs="Times New Roman"/>
          <w:color w:val="0D0D0D" w:themeColor="text1" w:themeTint="F2"/>
          <w:sz w:val="24"/>
          <w:szCs w:val="24"/>
        </w:rPr>
        <w:t>(12), 1405–1409.</w:t>
      </w:r>
    </w:p>
    <w:p w14:paraId="3493A267"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Mahendra Pratap Chaudhary, S. S. (2021). Assessment of water quality parameters of Man Sagar Lake, Jaipur, Rajasthan, India. </w:t>
      </w:r>
      <w:r w:rsidRPr="009512C3">
        <w:rPr>
          <w:rFonts w:ascii="Times New Roman" w:hAnsi="Times New Roman" w:cs="Times New Roman"/>
          <w:i/>
          <w:iCs/>
          <w:color w:val="0D0D0D" w:themeColor="text1" w:themeTint="F2"/>
          <w:sz w:val="24"/>
          <w:szCs w:val="24"/>
        </w:rPr>
        <w:t>Pollution Research</w:t>
      </w:r>
      <w:r w:rsidRPr="009512C3">
        <w:rPr>
          <w:rFonts w:ascii="Times New Roman" w:hAnsi="Times New Roman" w:cs="Times New Roman"/>
          <w:color w:val="0D0D0D" w:themeColor="text1" w:themeTint="F2"/>
          <w:sz w:val="24"/>
          <w:szCs w:val="24"/>
        </w:rPr>
        <w:t>, S90–S96.</w:t>
      </w:r>
    </w:p>
    <w:p w14:paraId="1ECA0763"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Mishra, A., &amp; B. (2020). Study of water quality in Udaipur region, India. </w:t>
      </w:r>
      <w:r w:rsidRPr="009512C3">
        <w:rPr>
          <w:rFonts w:ascii="Times New Roman" w:hAnsi="Times New Roman" w:cs="Times New Roman"/>
          <w:i/>
          <w:iCs/>
          <w:color w:val="0D0D0D" w:themeColor="text1" w:themeTint="F2"/>
          <w:sz w:val="24"/>
          <w:szCs w:val="24"/>
        </w:rPr>
        <w:t>Asian Journal of Water, Environment and Pollution, 17</w:t>
      </w:r>
      <w:r w:rsidRPr="009512C3">
        <w:rPr>
          <w:rFonts w:ascii="Times New Roman" w:hAnsi="Times New Roman" w:cs="Times New Roman"/>
          <w:color w:val="0D0D0D" w:themeColor="text1" w:themeTint="F2"/>
          <w:sz w:val="24"/>
          <w:szCs w:val="24"/>
        </w:rPr>
        <w:t>(1), 51–57.</w:t>
      </w:r>
    </w:p>
    <w:p w14:paraId="478A1CC2" w14:textId="4F3091CF"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Musa, R., Bello, S. A., &amp; Adamu, S. M. (2020). Water quality and pollution status of selected water sources in Nigeria: Implications for sustainable development. </w:t>
      </w:r>
      <w:r w:rsidRPr="009512C3">
        <w:rPr>
          <w:rFonts w:ascii="Times New Roman" w:hAnsi="Times New Roman" w:cs="Times New Roman"/>
          <w:i/>
          <w:iCs/>
          <w:color w:val="0D0D0D" w:themeColor="text1" w:themeTint="F2"/>
          <w:sz w:val="24"/>
          <w:szCs w:val="24"/>
        </w:rPr>
        <w:t>Environmental Sustainability</w:t>
      </w:r>
      <w:r w:rsidRPr="009512C3">
        <w:rPr>
          <w:rFonts w:ascii="Times New Roman" w:hAnsi="Times New Roman" w:cs="Times New Roman"/>
          <w:color w:val="0D0D0D" w:themeColor="text1" w:themeTint="F2"/>
          <w:sz w:val="24"/>
          <w:szCs w:val="24"/>
        </w:rPr>
        <w:t>. https://doi.org/10.1007/s42152-020-00043-6</w:t>
      </w:r>
    </w:p>
    <w:p w14:paraId="187E165F"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lastRenderedPageBreak/>
        <w:t xml:space="preserve">Panikkar, P., Saha, A., </w:t>
      </w:r>
      <w:proofErr w:type="spellStart"/>
      <w:r w:rsidRPr="009512C3">
        <w:rPr>
          <w:rFonts w:ascii="Times New Roman" w:hAnsi="Times New Roman" w:cs="Times New Roman"/>
          <w:color w:val="0D0D0D" w:themeColor="text1" w:themeTint="F2"/>
          <w:sz w:val="24"/>
          <w:szCs w:val="24"/>
        </w:rPr>
        <w:t>Prusty</w:t>
      </w:r>
      <w:proofErr w:type="spellEnd"/>
      <w:r w:rsidRPr="009512C3">
        <w:rPr>
          <w:rFonts w:ascii="Times New Roman" w:hAnsi="Times New Roman" w:cs="Times New Roman"/>
          <w:color w:val="0D0D0D" w:themeColor="text1" w:themeTint="F2"/>
          <w:sz w:val="24"/>
          <w:szCs w:val="24"/>
        </w:rPr>
        <w:t xml:space="preserve">, A. K., Sarkar, U. K., &amp; Das, B. K. (2022). Assessing </w:t>
      </w:r>
      <w:proofErr w:type="spellStart"/>
      <w:r w:rsidRPr="009512C3">
        <w:rPr>
          <w:rFonts w:ascii="Times New Roman" w:hAnsi="Times New Roman" w:cs="Times New Roman"/>
          <w:color w:val="0D0D0D" w:themeColor="text1" w:themeTint="F2"/>
          <w:sz w:val="24"/>
          <w:szCs w:val="24"/>
        </w:rPr>
        <w:t>hydrogeochemistry</w:t>
      </w:r>
      <w:proofErr w:type="spellEnd"/>
      <w:r w:rsidRPr="009512C3">
        <w:rPr>
          <w:rFonts w:ascii="Times New Roman" w:hAnsi="Times New Roman" w:cs="Times New Roman"/>
          <w:color w:val="0D0D0D" w:themeColor="text1" w:themeTint="F2"/>
          <w:sz w:val="24"/>
          <w:szCs w:val="24"/>
        </w:rPr>
        <w:t xml:space="preserve">, water quality index (WQI), and seasonal pattern of plankton community in reservoirs of Karnataka, India. </w:t>
      </w:r>
      <w:r w:rsidRPr="009512C3">
        <w:rPr>
          <w:rFonts w:ascii="Times New Roman" w:hAnsi="Times New Roman" w:cs="Times New Roman"/>
          <w:i/>
          <w:iCs/>
          <w:color w:val="0D0D0D" w:themeColor="text1" w:themeTint="F2"/>
          <w:sz w:val="24"/>
          <w:szCs w:val="24"/>
        </w:rPr>
        <w:t>Arabian Journal of Geosciences, 15</w:t>
      </w:r>
      <w:r w:rsidRPr="009512C3">
        <w:rPr>
          <w:rFonts w:ascii="Times New Roman" w:hAnsi="Times New Roman" w:cs="Times New Roman"/>
          <w:color w:val="0D0D0D" w:themeColor="text1" w:themeTint="F2"/>
          <w:sz w:val="24"/>
          <w:szCs w:val="24"/>
        </w:rPr>
        <w:t>, 82.</w:t>
      </w:r>
    </w:p>
    <w:p w14:paraId="382CF076"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Pratibha, R., Verma, S., &amp; Rani, M. (2021). Toxicological impact of heavy metals on the environment and human health. </w:t>
      </w:r>
      <w:r w:rsidRPr="009512C3">
        <w:rPr>
          <w:rFonts w:ascii="Times New Roman" w:hAnsi="Times New Roman" w:cs="Times New Roman"/>
          <w:i/>
          <w:iCs/>
          <w:color w:val="0D0D0D" w:themeColor="text1" w:themeTint="F2"/>
          <w:sz w:val="24"/>
          <w:szCs w:val="24"/>
        </w:rPr>
        <w:t>Environmental Toxicology and Pharmacology, 79</w:t>
      </w:r>
      <w:r w:rsidRPr="009512C3">
        <w:rPr>
          <w:rFonts w:ascii="Times New Roman" w:hAnsi="Times New Roman" w:cs="Times New Roman"/>
          <w:color w:val="0D0D0D" w:themeColor="text1" w:themeTint="F2"/>
          <w:sz w:val="24"/>
          <w:szCs w:val="24"/>
        </w:rPr>
        <w:t>, 103413.</w:t>
      </w:r>
    </w:p>
    <w:p w14:paraId="2F11B051"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proofErr w:type="spellStart"/>
      <w:r w:rsidRPr="009512C3">
        <w:rPr>
          <w:rFonts w:ascii="Times New Roman" w:hAnsi="Times New Roman" w:cs="Times New Roman"/>
          <w:color w:val="0D0D0D" w:themeColor="text1" w:themeTint="F2"/>
          <w:sz w:val="24"/>
          <w:szCs w:val="24"/>
        </w:rPr>
        <w:t>Purandara</w:t>
      </w:r>
      <w:proofErr w:type="spellEnd"/>
      <w:r w:rsidRPr="009512C3">
        <w:rPr>
          <w:rFonts w:ascii="Times New Roman" w:hAnsi="Times New Roman" w:cs="Times New Roman"/>
          <w:color w:val="0D0D0D" w:themeColor="text1" w:themeTint="F2"/>
          <w:sz w:val="24"/>
          <w:szCs w:val="24"/>
        </w:rPr>
        <w:t xml:space="preserve">, B. K., Varadarajan, N., Venkatesh, B., &amp; Choubey, V. K. (2012). Surface water quality evaluation and </w:t>
      </w:r>
      <w:proofErr w:type="spellStart"/>
      <w:r w:rsidRPr="009512C3">
        <w:rPr>
          <w:rFonts w:ascii="Times New Roman" w:hAnsi="Times New Roman" w:cs="Times New Roman"/>
          <w:color w:val="0D0D0D" w:themeColor="text1" w:themeTint="F2"/>
          <w:sz w:val="24"/>
          <w:szCs w:val="24"/>
        </w:rPr>
        <w:t>modeling</w:t>
      </w:r>
      <w:proofErr w:type="spellEnd"/>
      <w:r w:rsidRPr="009512C3">
        <w:rPr>
          <w:rFonts w:ascii="Times New Roman" w:hAnsi="Times New Roman" w:cs="Times New Roman"/>
          <w:color w:val="0D0D0D" w:themeColor="text1" w:themeTint="F2"/>
          <w:sz w:val="24"/>
          <w:szCs w:val="24"/>
        </w:rPr>
        <w:t xml:space="preserve"> of </w:t>
      </w:r>
      <w:proofErr w:type="spellStart"/>
      <w:r w:rsidRPr="009512C3">
        <w:rPr>
          <w:rFonts w:ascii="Times New Roman" w:hAnsi="Times New Roman" w:cs="Times New Roman"/>
          <w:color w:val="0D0D0D" w:themeColor="text1" w:themeTint="F2"/>
          <w:sz w:val="24"/>
          <w:szCs w:val="24"/>
        </w:rPr>
        <w:t>Ghataprabha</w:t>
      </w:r>
      <w:proofErr w:type="spellEnd"/>
      <w:r w:rsidRPr="009512C3">
        <w:rPr>
          <w:rFonts w:ascii="Times New Roman" w:hAnsi="Times New Roman" w:cs="Times New Roman"/>
          <w:color w:val="0D0D0D" w:themeColor="text1" w:themeTint="F2"/>
          <w:sz w:val="24"/>
          <w:szCs w:val="24"/>
        </w:rPr>
        <w:t xml:space="preserve"> River, Karnataka, India. </w:t>
      </w:r>
      <w:r w:rsidRPr="009512C3">
        <w:rPr>
          <w:rFonts w:ascii="Times New Roman" w:hAnsi="Times New Roman" w:cs="Times New Roman"/>
          <w:i/>
          <w:iCs/>
          <w:color w:val="0D0D0D" w:themeColor="text1" w:themeTint="F2"/>
          <w:sz w:val="24"/>
          <w:szCs w:val="24"/>
        </w:rPr>
        <w:t>Environmental Monitoring and Assessment, 184</w:t>
      </w:r>
      <w:r w:rsidRPr="009512C3">
        <w:rPr>
          <w:rFonts w:ascii="Times New Roman" w:hAnsi="Times New Roman" w:cs="Times New Roman"/>
          <w:color w:val="0D0D0D" w:themeColor="text1" w:themeTint="F2"/>
          <w:sz w:val="24"/>
          <w:szCs w:val="24"/>
        </w:rPr>
        <w:t>, 1371–1378.</w:t>
      </w:r>
    </w:p>
    <w:p w14:paraId="54A5D7E9"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Ravikumar, M. A., Mehmood, R. K., &amp; Somashekar, R. K. (2013). Water quality index to determine the surface water quality of Sankey Tank and </w:t>
      </w:r>
      <w:proofErr w:type="spellStart"/>
      <w:r w:rsidRPr="009512C3">
        <w:rPr>
          <w:rFonts w:ascii="Times New Roman" w:hAnsi="Times New Roman" w:cs="Times New Roman"/>
          <w:color w:val="0D0D0D" w:themeColor="text1" w:themeTint="F2"/>
          <w:sz w:val="24"/>
          <w:szCs w:val="24"/>
        </w:rPr>
        <w:t>Mallathahalli</w:t>
      </w:r>
      <w:proofErr w:type="spellEnd"/>
      <w:r w:rsidRPr="009512C3">
        <w:rPr>
          <w:rFonts w:ascii="Times New Roman" w:hAnsi="Times New Roman" w:cs="Times New Roman"/>
          <w:color w:val="0D0D0D" w:themeColor="text1" w:themeTint="F2"/>
          <w:sz w:val="24"/>
          <w:szCs w:val="24"/>
        </w:rPr>
        <w:t xml:space="preserve"> Lake, Bangalore, India. </w:t>
      </w:r>
      <w:r w:rsidRPr="009512C3">
        <w:rPr>
          <w:rFonts w:ascii="Times New Roman" w:hAnsi="Times New Roman" w:cs="Times New Roman"/>
          <w:i/>
          <w:iCs/>
          <w:color w:val="0D0D0D" w:themeColor="text1" w:themeTint="F2"/>
          <w:sz w:val="24"/>
          <w:szCs w:val="24"/>
        </w:rPr>
        <w:t>Applied Water Science, 3</w:t>
      </w:r>
      <w:r w:rsidRPr="009512C3">
        <w:rPr>
          <w:rFonts w:ascii="Times New Roman" w:hAnsi="Times New Roman" w:cs="Times New Roman"/>
          <w:color w:val="0D0D0D" w:themeColor="text1" w:themeTint="F2"/>
          <w:sz w:val="24"/>
          <w:szCs w:val="24"/>
        </w:rPr>
        <w:t>, 247–261.</w:t>
      </w:r>
    </w:p>
    <w:p w14:paraId="7958E03B"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Simeon, T., Azazi, J. A., &amp; Aliyu, M. A. (2022). Microbial contamination and health risks in drinking water sources: A study in rural Nigeria. </w:t>
      </w:r>
      <w:r w:rsidRPr="009512C3">
        <w:rPr>
          <w:rFonts w:ascii="Times New Roman" w:hAnsi="Times New Roman" w:cs="Times New Roman"/>
          <w:i/>
          <w:iCs/>
          <w:color w:val="0D0D0D" w:themeColor="text1" w:themeTint="F2"/>
          <w:sz w:val="24"/>
          <w:szCs w:val="24"/>
        </w:rPr>
        <w:t>Journal of Environmental Health Science &amp; Engineering, 20</w:t>
      </w:r>
      <w:r w:rsidRPr="009512C3">
        <w:rPr>
          <w:rFonts w:ascii="Times New Roman" w:hAnsi="Times New Roman" w:cs="Times New Roman"/>
          <w:color w:val="0D0D0D" w:themeColor="text1" w:themeTint="F2"/>
          <w:sz w:val="24"/>
          <w:szCs w:val="24"/>
        </w:rPr>
        <w:t>(1), 207–215.</w:t>
      </w:r>
    </w:p>
    <w:p w14:paraId="619F286C"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Singh, A. S. (2022). Heavy metal contamination of water and their toxic effects on living organisms. </w:t>
      </w:r>
      <w:proofErr w:type="spellStart"/>
      <w:r w:rsidRPr="009512C3">
        <w:rPr>
          <w:rFonts w:ascii="Times New Roman" w:hAnsi="Times New Roman" w:cs="Times New Roman"/>
          <w:i/>
          <w:iCs/>
          <w:color w:val="0D0D0D" w:themeColor="text1" w:themeTint="F2"/>
          <w:sz w:val="24"/>
          <w:szCs w:val="24"/>
        </w:rPr>
        <w:t>IntechOpen</w:t>
      </w:r>
      <w:proofErr w:type="spellEnd"/>
      <w:r w:rsidRPr="009512C3">
        <w:rPr>
          <w:rFonts w:ascii="Times New Roman" w:hAnsi="Times New Roman" w:cs="Times New Roman"/>
          <w:color w:val="0D0D0D" w:themeColor="text1" w:themeTint="F2"/>
          <w:sz w:val="24"/>
          <w:szCs w:val="24"/>
        </w:rPr>
        <w:t>.</w:t>
      </w:r>
    </w:p>
    <w:p w14:paraId="31DEB424"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Vasistha, P., &amp; G. (2020). Water quality assessment of natural lakes and its importance: An overview. </w:t>
      </w:r>
      <w:r w:rsidRPr="009512C3">
        <w:rPr>
          <w:rFonts w:ascii="Times New Roman" w:hAnsi="Times New Roman" w:cs="Times New Roman"/>
          <w:i/>
          <w:iCs/>
          <w:color w:val="0D0D0D" w:themeColor="text1" w:themeTint="F2"/>
          <w:sz w:val="24"/>
          <w:szCs w:val="24"/>
        </w:rPr>
        <w:t>Materials Today: Proceedings</w:t>
      </w:r>
      <w:r w:rsidRPr="009512C3">
        <w:rPr>
          <w:rFonts w:ascii="Times New Roman" w:hAnsi="Times New Roman" w:cs="Times New Roman"/>
          <w:color w:val="0D0D0D" w:themeColor="text1" w:themeTint="F2"/>
          <w:sz w:val="24"/>
          <w:szCs w:val="24"/>
        </w:rPr>
        <w:t>, 544–552.</w:t>
      </w:r>
    </w:p>
    <w:p w14:paraId="47B19B0D" w14:textId="77777777" w:rsidR="009512C3" w:rsidRPr="009512C3" w:rsidRDefault="009512C3" w:rsidP="009512C3">
      <w:pPr>
        <w:spacing w:line="360" w:lineRule="auto"/>
        <w:jc w:val="both"/>
        <w:rPr>
          <w:rFonts w:ascii="Times New Roman" w:hAnsi="Times New Roman" w:cs="Times New Roman"/>
          <w:color w:val="0D0D0D" w:themeColor="text1" w:themeTint="F2"/>
          <w:sz w:val="24"/>
          <w:szCs w:val="24"/>
        </w:rPr>
      </w:pPr>
      <w:r w:rsidRPr="009512C3">
        <w:rPr>
          <w:rFonts w:ascii="Times New Roman" w:hAnsi="Times New Roman" w:cs="Times New Roman"/>
          <w:color w:val="0D0D0D" w:themeColor="text1" w:themeTint="F2"/>
          <w:sz w:val="24"/>
          <w:szCs w:val="24"/>
        </w:rPr>
        <w:t xml:space="preserve">Yao, F., </w:t>
      </w:r>
      <w:proofErr w:type="spellStart"/>
      <w:r w:rsidRPr="009512C3">
        <w:rPr>
          <w:rFonts w:ascii="Times New Roman" w:hAnsi="Times New Roman" w:cs="Times New Roman"/>
          <w:color w:val="0D0D0D" w:themeColor="text1" w:themeTint="F2"/>
          <w:sz w:val="24"/>
          <w:szCs w:val="24"/>
        </w:rPr>
        <w:t>Livneh</w:t>
      </w:r>
      <w:proofErr w:type="spellEnd"/>
      <w:r w:rsidRPr="009512C3">
        <w:rPr>
          <w:rFonts w:ascii="Times New Roman" w:hAnsi="Times New Roman" w:cs="Times New Roman"/>
          <w:color w:val="0D0D0D" w:themeColor="text1" w:themeTint="F2"/>
          <w:sz w:val="24"/>
          <w:szCs w:val="24"/>
        </w:rPr>
        <w:t xml:space="preserve">, B., Rajagopalan, B., Wang, J., </w:t>
      </w:r>
      <w:proofErr w:type="spellStart"/>
      <w:r w:rsidRPr="009512C3">
        <w:rPr>
          <w:rFonts w:ascii="Times New Roman" w:hAnsi="Times New Roman" w:cs="Times New Roman"/>
          <w:color w:val="0D0D0D" w:themeColor="text1" w:themeTint="F2"/>
          <w:sz w:val="24"/>
          <w:szCs w:val="24"/>
        </w:rPr>
        <w:t>Crétaux</w:t>
      </w:r>
      <w:proofErr w:type="spellEnd"/>
      <w:r w:rsidRPr="009512C3">
        <w:rPr>
          <w:rFonts w:ascii="Times New Roman" w:hAnsi="Times New Roman" w:cs="Times New Roman"/>
          <w:color w:val="0D0D0D" w:themeColor="text1" w:themeTint="F2"/>
          <w:sz w:val="24"/>
          <w:szCs w:val="24"/>
        </w:rPr>
        <w:t xml:space="preserve">, J.-F., Wada, Y., &amp; Berge-Nguyen, M. (2023). Satellites reveal widespread decline in global lake water storage. </w:t>
      </w:r>
      <w:r w:rsidRPr="009512C3">
        <w:rPr>
          <w:rFonts w:ascii="Times New Roman" w:hAnsi="Times New Roman" w:cs="Times New Roman"/>
          <w:i/>
          <w:iCs/>
          <w:color w:val="0D0D0D" w:themeColor="text1" w:themeTint="F2"/>
          <w:sz w:val="24"/>
          <w:szCs w:val="24"/>
        </w:rPr>
        <w:t>Science, 380</w:t>
      </w:r>
      <w:r w:rsidRPr="009512C3">
        <w:rPr>
          <w:rFonts w:ascii="Times New Roman" w:hAnsi="Times New Roman" w:cs="Times New Roman"/>
          <w:color w:val="0D0D0D" w:themeColor="text1" w:themeTint="F2"/>
          <w:sz w:val="24"/>
          <w:szCs w:val="24"/>
        </w:rPr>
        <w:t>(6646), 743–749.</w:t>
      </w:r>
    </w:p>
    <w:p w14:paraId="5118365B" w14:textId="77777777" w:rsidR="000E3419" w:rsidRPr="009512C3" w:rsidRDefault="000E3419" w:rsidP="007D47D3">
      <w:pPr>
        <w:spacing w:line="360" w:lineRule="auto"/>
        <w:jc w:val="both"/>
        <w:rPr>
          <w:rFonts w:ascii="Times New Roman" w:hAnsi="Times New Roman" w:cs="Times New Roman"/>
          <w:color w:val="0D0D0D" w:themeColor="text1" w:themeTint="F2"/>
          <w:sz w:val="24"/>
          <w:szCs w:val="24"/>
        </w:rPr>
      </w:pPr>
    </w:p>
    <w:sectPr w:rsidR="000E3419" w:rsidRPr="009512C3" w:rsidSect="00C12301">
      <w:pgSz w:w="11906" w:h="16838" w:code="9"/>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0D7E"/>
    <w:multiLevelType w:val="hybridMultilevel"/>
    <w:tmpl w:val="86109310"/>
    <w:lvl w:ilvl="0" w:tplc="A6A8F28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70959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E3B"/>
    <w:rsid w:val="00006EA8"/>
    <w:rsid w:val="00014C48"/>
    <w:rsid w:val="00033041"/>
    <w:rsid w:val="0004616B"/>
    <w:rsid w:val="00082C61"/>
    <w:rsid w:val="000969DA"/>
    <w:rsid w:val="000E3419"/>
    <w:rsid w:val="000F154E"/>
    <w:rsid w:val="000F1707"/>
    <w:rsid w:val="000F1CE1"/>
    <w:rsid w:val="00104094"/>
    <w:rsid w:val="00120383"/>
    <w:rsid w:val="001435F5"/>
    <w:rsid w:val="00151767"/>
    <w:rsid w:val="00167A94"/>
    <w:rsid w:val="001B29A2"/>
    <w:rsid w:val="001B5E3B"/>
    <w:rsid w:val="001D4A40"/>
    <w:rsid w:val="0021724B"/>
    <w:rsid w:val="002512CE"/>
    <w:rsid w:val="00257C6F"/>
    <w:rsid w:val="002776B4"/>
    <w:rsid w:val="00280DDB"/>
    <w:rsid w:val="002D788D"/>
    <w:rsid w:val="00354AD9"/>
    <w:rsid w:val="00367901"/>
    <w:rsid w:val="003E3C71"/>
    <w:rsid w:val="0045002F"/>
    <w:rsid w:val="0050025C"/>
    <w:rsid w:val="005342A7"/>
    <w:rsid w:val="00582BC3"/>
    <w:rsid w:val="005966D6"/>
    <w:rsid w:val="005B269F"/>
    <w:rsid w:val="005E5802"/>
    <w:rsid w:val="005E5FF9"/>
    <w:rsid w:val="005F0F3A"/>
    <w:rsid w:val="006517F8"/>
    <w:rsid w:val="0066497E"/>
    <w:rsid w:val="00673B9D"/>
    <w:rsid w:val="006B0DE9"/>
    <w:rsid w:val="006C3E09"/>
    <w:rsid w:val="006E28EB"/>
    <w:rsid w:val="0071572C"/>
    <w:rsid w:val="007223F4"/>
    <w:rsid w:val="0072596D"/>
    <w:rsid w:val="0074419F"/>
    <w:rsid w:val="0077771F"/>
    <w:rsid w:val="0079235C"/>
    <w:rsid w:val="007A0B85"/>
    <w:rsid w:val="007C14E0"/>
    <w:rsid w:val="007D47D3"/>
    <w:rsid w:val="00800A05"/>
    <w:rsid w:val="00844618"/>
    <w:rsid w:val="00844CD5"/>
    <w:rsid w:val="00895F4B"/>
    <w:rsid w:val="008E127D"/>
    <w:rsid w:val="008F1712"/>
    <w:rsid w:val="00912FFA"/>
    <w:rsid w:val="00930476"/>
    <w:rsid w:val="0093443F"/>
    <w:rsid w:val="009512C3"/>
    <w:rsid w:val="00952A76"/>
    <w:rsid w:val="009A20EC"/>
    <w:rsid w:val="009A6C7C"/>
    <w:rsid w:val="009C2B14"/>
    <w:rsid w:val="009F410D"/>
    <w:rsid w:val="009F7236"/>
    <w:rsid w:val="009F7D35"/>
    <w:rsid w:val="00A2193E"/>
    <w:rsid w:val="00A33367"/>
    <w:rsid w:val="00A571A5"/>
    <w:rsid w:val="00A85B58"/>
    <w:rsid w:val="00AB66E7"/>
    <w:rsid w:val="00AC7BDB"/>
    <w:rsid w:val="00AE2527"/>
    <w:rsid w:val="00B03BCF"/>
    <w:rsid w:val="00B34018"/>
    <w:rsid w:val="00B967A3"/>
    <w:rsid w:val="00BB0109"/>
    <w:rsid w:val="00BB620E"/>
    <w:rsid w:val="00BF3DA4"/>
    <w:rsid w:val="00C12301"/>
    <w:rsid w:val="00C54EDC"/>
    <w:rsid w:val="00CD2DB8"/>
    <w:rsid w:val="00CE47B7"/>
    <w:rsid w:val="00CF263A"/>
    <w:rsid w:val="00D2759B"/>
    <w:rsid w:val="00D851CF"/>
    <w:rsid w:val="00DA0DE9"/>
    <w:rsid w:val="00DD2EEF"/>
    <w:rsid w:val="00E43DF2"/>
    <w:rsid w:val="00E731E4"/>
    <w:rsid w:val="00E879E4"/>
    <w:rsid w:val="00F17088"/>
    <w:rsid w:val="00F21D2B"/>
    <w:rsid w:val="00F92D63"/>
    <w:rsid w:val="00FA4ED9"/>
    <w:rsid w:val="00FD05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B579"/>
  <w15:docId w15:val="{D7FCB6A9-2DE1-453C-80AD-D756D21E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006EA8"/>
    <w:pPr>
      <w:keepNext/>
      <w:keepLines/>
      <w:spacing w:after="148" w:line="259" w:lineRule="auto"/>
      <w:ind w:left="10" w:right="1" w:hanging="10"/>
      <w:outlineLvl w:val="0"/>
    </w:pPr>
    <w:rPr>
      <w:rFonts w:ascii="Times New Roman" w:eastAsia="Times New Roman" w:hAnsi="Times New Roman" w:cs="Times New Roman"/>
      <w:b/>
      <w:color w:val="000000"/>
      <w:kern w:val="2"/>
      <w:sz w:val="24"/>
      <w:szCs w:val="24"/>
      <w:lang w:eastAsia="en-IN"/>
      <w14:ligatures w14:val="standardContextual"/>
    </w:rPr>
  </w:style>
  <w:style w:type="paragraph" w:styleId="Heading3">
    <w:name w:val="heading 3"/>
    <w:basedOn w:val="Normal"/>
    <w:next w:val="Normal"/>
    <w:link w:val="Heading3Char"/>
    <w:uiPriority w:val="9"/>
    <w:semiHidden/>
    <w:unhideWhenUsed/>
    <w:qFormat/>
    <w:rsid w:val="00E879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E3B"/>
    <w:pPr>
      <w:ind w:left="720"/>
      <w:contextualSpacing/>
    </w:pPr>
  </w:style>
  <w:style w:type="paragraph" w:styleId="BalloonText">
    <w:name w:val="Balloon Text"/>
    <w:basedOn w:val="Normal"/>
    <w:link w:val="BalloonTextChar"/>
    <w:uiPriority w:val="99"/>
    <w:semiHidden/>
    <w:unhideWhenUsed/>
    <w:rsid w:val="005F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F3A"/>
    <w:rPr>
      <w:rFonts w:ascii="Tahoma" w:hAnsi="Tahoma" w:cs="Tahoma"/>
      <w:sz w:val="16"/>
      <w:szCs w:val="16"/>
    </w:rPr>
  </w:style>
  <w:style w:type="paragraph" w:styleId="NoSpacing">
    <w:name w:val="No Spacing"/>
    <w:uiPriority w:val="1"/>
    <w:qFormat/>
    <w:rsid w:val="00800A05"/>
    <w:pPr>
      <w:spacing w:after="0" w:line="240" w:lineRule="auto"/>
    </w:pPr>
  </w:style>
  <w:style w:type="paragraph" w:styleId="NormalWeb">
    <w:name w:val="Normal (Web)"/>
    <w:basedOn w:val="Normal"/>
    <w:uiPriority w:val="99"/>
    <w:semiHidden/>
    <w:unhideWhenUsed/>
    <w:rsid w:val="00A3336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7771F"/>
    <w:rPr>
      <w:i/>
      <w:iCs/>
    </w:rPr>
  </w:style>
  <w:style w:type="character" w:styleId="Hyperlink">
    <w:name w:val="Hyperlink"/>
    <w:basedOn w:val="DefaultParagraphFont"/>
    <w:uiPriority w:val="99"/>
    <w:unhideWhenUsed/>
    <w:rsid w:val="002D788D"/>
    <w:rPr>
      <w:color w:val="0000FF"/>
      <w:u w:val="single"/>
    </w:rPr>
  </w:style>
  <w:style w:type="character" w:styleId="UnresolvedMention">
    <w:name w:val="Unresolved Mention"/>
    <w:basedOn w:val="DefaultParagraphFont"/>
    <w:uiPriority w:val="99"/>
    <w:semiHidden/>
    <w:unhideWhenUsed/>
    <w:rsid w:val="00AC7BDB"/>
    <w:rPr>
      <w:color w:val="605E5C"/>
      <w:shd w:val="clear" w:color="auto" w:fill="E1DFDD"/>
    </w:rPr>
  </w:style>
  <w:style w:type="character" w:customStyle="1" w:styleId="Heading1Char">
    <w:name w:val="Heading 1 Char"/>
    <w:basedOn w:val="DefaultParagraphFont"/>
    <w:link w:val="Heading1"/>
    <w:uiPriority w:val="9"/>
    <w:rsid w:val="00006EA8"/>
    <w:rPr>
      <w:rFonts w:ascii="Times New Roman" w:eastAsia="Times New Roman" w:hAnsi="Times New Roman" w:cs="Times New Roman"/>
      <w:b/>
      <w:color w:val="000000"/>
      <w:kern w:val="2"/>
      <w:sz w:val="24"/>
      <w:szCs w:val="24"/>
      <w:lang w:eastAsia="en-IN"/>
      <w14:ligatures w14:val="standardContextual"/>
    </w:rPr>
  </w:style>
  <w:style w:type="character" w:customStyle="1" w:styleId="Heading3Char">
    <w:name w:val="Heading 3 Char"/>
    <w:basedOn w:val="DefaultParagraphFont"/>
    <w:link w:val="Heading3"/>
    <w:uiPriority w:val="9"/>
    <w:semiHidden/>
    <w:rsid w:val="00E879E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9904">
      <w:bodyDiv w:val="1"/>
      <w:marLeft w:val="0"/>
      <w:marRight w:val="0"/>
      <w:marTop w:val="0"/>
      <w:marBottom w:val="0"/>
      <w:divBdr>
        <w:top w:val="none" w:sz="0" w:space="0" w:color="auto"/>
        <w:left w:val="none" w:sz="0" w:space="0" w:color="auto"/>
        <w:bottom w:val="none" w:sz="0" w:space="0" w:color="auto"/>
        <w:right w:val="none" w:sz="0" w:space="0" w:color="auto"/>
      </w:divBdr>
    </w:div>
    <w:div w:id="273832356">
      <w:bodyDiv w:val="1"/>
      <w:marLeft w:val="0"/>
      <w:marRight w:val="0"/>
      <w:marTop w:val="0"/>
      <w:marBottom w:val="0"/>
      <w:divBdr>
        <w:top w:val="none" w:sz="0" w:space="0" w:color="auto"/>
        <w:left w:val="none" w:sz="0" w:space="0" w:color="auto"/>
        <w:bottom w:val="none" w:sz="0" w:space="0" w:color="auto"/>
        <w:right w:val="none" w:sz="0" w:space="0" w:color="auto"/>
      </w:divBdr>
    </w:div>
    <w:div w:id="410008599">
      <w:bodyDiv w:val="1"/>
      <w:marLeft w:val="0"/>
      <w:marRight w:val="0"/>
      <w:marTop w:val="0"/>
      <w:marBottom w:val="0"/>
      <w:divBdr>
        <w:top w:val="none" w:sz="0" w:space="0" w:color="auto"/>
        <w:left w:val="none" w:sz="0" w:space="0" w:color="auto"/>
        <w:bottom w:val="none" w:sz="0" w:space="0" w:color="auto"/>
        <w:right w:val="none" w:sz="0" w:space="0" w:color="auto"/>
      </w:divBdr>
    </w:div>
    <w:div w:id="490684179">
      <w:bodyDiv w:val="1"/>
      <w:marLeft w:val="0"/>
      <w:marRight w:val="0"/>
      <w:marTop w:val="0"/>
      <w:marBottom w:val="0"/>
      <w:divBdr>
        <w:top w:val="none" w:sz="0" w:space="0" w:color="auto"/>
        <w:left w:val="none" w:sz="0" w:space="0" w:color="auto"/>
        <w:bottom w:val="none" w:sz="0" w:space="0" w:color="auto"/>
        <w:right w:val="none" w:sz="0" w:space="0" w:color="auto"/>
      </w:divBdr>
    </w:div>
    <w:div w:id="693380417">
      <w:bodyDiv w:val="1"/>
      <w:marLeft w:val="0"/>
      <w:marRight w:val="0"/>
      <w:marTop w:val="0"/>
      <w:marBottom w:val="0"/>
      <w:divBdr>
        <w:top w:val="none" w:sz="0" w:space="0" w:color="auto"/>
        <w:left w:val="none" w:sz="0" w:space="0" w:color="auto"/>
        <w:bottom w:val="none" w:sz="0" w:space="0" w:color="auto"/>
        <w:right w:val="none" w:sz="0" w:space="0" w:color="auto"/>
      </w:divBdr>
    </w:div>
    <w:div w:id="812259626">
      <w:bodyDiv w:val="1"/>
      <w:marLeft w:val="0"/>
      <w:marRight w:val="0"/>
      <w:marTop w:val="0"/>
      <w:marBottom w:val="0"/>
      <w:divBdr>
        <w:top w:val="none" w:sz="0" w:space="0" w:color="auto"/>
        <w:left w:val="none" w:sz="0" w:space="0" w:color="auto"/>
        <w:bottom w:val="none" w:sz="0" w:space="0" w:color="auto"/>
        <w:right w:val="none" w:sz="0" w:space="0" w:color="auto"/>
      </w:divBdr>
    </w:div>
    <w:div w:id="843935870">
      <w:bodyDiv w:val="1"/>
      <w:marLeft w:val="0"/>
      <w:marRight w:val="0"/>
      <w:marTop w:val="0"/>
      <w:marBottom w:val="0"/>
      <w:divBdr>
        <w:top w:val="none" w:sz="0" w:space="0" w:color="auto"/>
        <w:left w:val="none" w:sz="0" w:space="0" w:color="auto"/>
        <w:bottom w:val="none" w:sz="0" w:space="0" w:color="auto"/>
        <w:right w:val="none" w:sz="0" w:space="0" w:color="auto"/>
      </w:divBdr>
    </w:div>
    <w:div w:id="1017846592">
      <w:bodyDiv w:val="1"/>
      <w:marLeft w:val="0"/>
      <w:marRight w:val="0"/>
      <w:marTop w:val="0"/>
      <w:marBottom w:val="0"/>
      <w:divBdr>
        <w:top w:val="none" w:sz="0" w:space="0" w:color="auto"/>
        <w:left w:val="none" w:sz="0" w:space="0" w:color="auto"/>
        <w:bottom w:val="none" w:sz="0" w:space="0" w:color="auto"/>
        <w:right w:val="none" w:sz="0" w:space="0" w:color="auto"/>
      </w:divBdr>
    </w:div>
    <w:div w:id="1058282582">
      <w:bodyDiv w:val="1"/>
      <w:marLeft w:val="0"/>
      <w:marRight w:val="0"/>
      <w:marTop w:val="0"/>
      <w:marBottom w:val="0"/>
      <w:divBdr>
        <w:top w:val="none" w:sz="0" w:space="0" w:color="auto"/>
        <w:left w:val="none" w:sz="0" w:space="0" w:color="auto"/>
        <w:bottom w:val="none" w:sz="0" w:space="0" w:color="auto"/>
        <w:right w:val="none" w:sz="0" w:space="0" w:color="auto"/>
      </w:divBdr>
    </w:div>
    <w:div w:id="1109852492">
      <w:bodyDiv w:val="1"/>
      <w:marLeft w:val="0"/>
      <w:marRight w:val="0"/>
      <w:marTop w:val="0"/>
      <w:marBottom w:val="0"/>
      <w:divBdr>
        <w:top w:val="none" w:sz="0" w:space="0" w:color="auto"/>
        <w:left w:val="none" w:sz="0" w:space="0" w:color="auto"/>
        <w:bottom w:val="none" w:sz="0" w:space="0" w:color="auto"/>
        <w:right w:val="none" w:sz="0" w:space="0" w:color="auto"/>
      </w:divBdr>
    </w:div>
    <w:div w:id="1514342226">
      <w:bodyDiv w:val="1"/>
      <w:marLeft w:val="0"/>
      <w:marRight w:val="0"/>
      <w:marTop w:val="0"/>
      <w:marBottom w:val="0"/>
      <w:divBdr>
        <w:top w:val="none" w:sz="0" w:space="0" w:color="auto"/>
        <w:left w:val="none" w:sz="0" w:space="0" w:color="auto"/>
        <w:bottom w:val="none" w:sz="0" w:space="0" w:color="auto"/>
        <w:right w:val="none" w:sz="0" w:space="0" w:color="auto"/>
      </w:divBdr>
    </w:div>
    <w:div w:id="1540437967">
      <w:bodyDiv w:val="1"/>
      <w:marLeft w:val="0"/>
      <w:marRight w:val="0"/>
      <w:marTop w:val="0"/>
      <w:marBottom w:val="0"/>
      <w:divBdr>
        <w:top w:val="none" w:sz="0" w:space="0" w:color="auto"/>
        <w:left w:val="none" w:sz="0" w:space="0" w:color="auto"/>
        <w:bottom w:val="none" w:sz="0" w:space="0" w:color="auto"/>
        <w:right w:val="none" w:sz="0" w:space="0" w:color="auto"/>
      </w:divBdr>
    </w:div>
    <w:div w:id="1663391889">
      <w:bodyDiv w:val="1"/>
      <w:marLeft w:val="0"/>
      <w:marRight w:val="0"/>
      <w:marTop w:val="0"/>
      <w:marBottom w:val="0"/>
      <w:divBdr>
        <w:top w:val="none" w:sz="0" w:space="0" w:color="auto"/>
        <w:left w:val="none" w:sz="0" w:space="0" w:color="auto"/>
        <w:bottom w:val="none" w:sz="0" w:space="0" w:color="auto"/>
        <w:right w:val="none" w:sz="0" w:space="0" w:color="auto"/>
      </w:divBdr>
    </w:div>
    <w:div w:id="1898971714">
      <w:bodyDiv w:val="1"/>
      <w:marLeft w:val="0"/>
      <w:marRight w:val="0"/>
      <w:marTop w:val="0"/>
      <w:marBottom w:val="0"/>
      <w:divBdr>
        <w:top w:val="none" w:sz="0" w:space="0" w:color="auto"/>
        <w:left w:val="none" w:sz="0" w:space="0" w:color="auto"/>
        <w:bottom w:val="none" w:sz="0" w:space="0" w:color="auto"/>
        <w:right w:val="none" w:sz="0" w:space="0" w:color="auto"/>
      </w:divBdr>
    </w:div>
    <w:div w:id="210383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9871583014478"/>
          <c:y val="0.26245634458672878"/>
          <c:w val="0.80389714375274701"/>
          <c:h val="0.53283849559550112"/>
        </c:manualLayout>
      </c:layout>
      <c:lineChart>
        <c:grouping val="standard"/>
        <c:varyColors val="0"/>
        <c:ser>
          <c:idx val="0"/>
          <c:order val="0"/>
          <c:tx>
            <c:strRef>
              <c:f>'Bar graph_2024'!$C$32</c:f>
              <c:strCache>
                <c:ptCount val="1"/>
                <c:pt idx="0">
                  <c:v>Inlet Lake Water</c:v>
                </c:pt>
              </c:strCache>
            </c:strRef>
          </c:tx>
          <c:spPr>
            <a:ln w="28575" cap="rnd">
              <a:solidFill>
                <a:schemeClr val="accent1"/>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graph_2024'!$C$33:$C$44</c:f>
              <c:numCache>
                <c:formatCode>General</c:formatCode>
                <c:ptCount val="12"/>
                <c:pt idx="0">
                  <c:v>7.89</c:v>
                </c:pt>
                <c:pt idx="1">
                  <c:v>7.91</c:v>
                </c:pt>
                <c:pt idx="2">
                  <c:v>7.88</c:v>
                </c:pt>
                <c:pt idx="3">
                  <c:v>7.76</c:v>
                </c:pt>
                <c:pt idx="4">
                  <c:v>7.36</c:v>
                </c:pt>
                <c:pt idx="5">
                  <c:v>7.31</c:v>
                </c:pt>
                <c:pt idx="6">
                  <c:v>7.36</c:v>
                </c:pt>
                <c:pt idx="7">
                  <c:v>7.28</c:v>
                </c:pt>
                <c:pt idx="8">
                  <c:v>7.15</c:v>
                </c:pt>
                <c:pt idx="9">
                  <c:v>7.88</c:v>
                </c:pt>
                <c:pt idx="10">
                  <c:v>7.75</c:v>
                </c:pt>
                <c:pt idx="11">
                  <c:v>7.56</c:v>
                </c:pt>
              </c:numCache>
            </c:numRef>
          </c:val>
          <c:smooth val="0"/>
          <c:extLst>
            <c:ext xmlns:c16="http://schemas.microsoft.com/office/drawing/2014/chart" uri="{C3380CC4-5D6E-409C-BE32-E72D297353CC}">
              <c16:uniqueId val="{00000000-AD6A-4BD7-8191-DFDFE613D2D7}"/>
            </c:ext>
          </c:extLst>
        </c:ser>
        <c:ser>
          <c:idx val="1"/>
          <c:order val="1"/>
          <c:tx>
            <c:strRef>
              <c:f>'Bar graph_2024'!$D$32</c:f>
              <c:strCache>
                <c:ptCount val="1"/>
                <c:pt idx="0">
                  <c:v>Lake Bund Middle</c:v>
                </c:pt>
              </c:strCache>
            </c:strRef>
          </c:tx>
          <c:spPr>
            <a:ln w="28575" cap="rnd">
              <a:solidFill>
                <a:schemeClr val="accent2"/>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graph_2024'!$D$33:$D$44</c:f>
              <c:numCache>
                <c:formatCode>General</c:formatCode>
                <c:ptCount val="12"/>
                <c:pt idx="0">
                  <c:v>7.61</c:v>
                </c:pt>
                <c:pt idx="1">
                  <c:v>7.65</c:v>
                </c:pt>
                <c:pt idx="2">
                  <c:v>7.66</c:v>
                </c:pt>
                <c:pt idx="3">
                  <c:v>7.62</c:v>
                </c:pt>
                <c:pt idx="4">
                  <c:v>7.39</c:v>
                </c:pt>
                <c:pt idx="5">
                  <c:v>7.26</c:v>
                </c:pt>
                <c:pt idx="6" formatCode="0.0">
                  <c:v>6.98</c:v>
                </c:pt>
                <c:pt idx="7" formatCode="0.0">
                  <c:v>7.05</c:v>
                </c:pt>
                <c:pt idx="8" formatCode="0.0">
                  <c:v>7.11</c:v>
                </c:pt>
                <c:pt idx="9" formatCode="0.0">
                  <c:v>7.92</c:v>
                </c:pt>
                <c:pt idx="10" formatCode="0.0">
                  <c:v>7.87</c:v>
                </c:pt>
                <c:pt idx="11" formatCode="0.0">
                  <c:v>7.39</c:v>
                </c:pt>
              </c:numCache>
            </c:numRef>
          </c:val>
          <c:smooth val="0"/>
          <c:extLst>
            <c:ext xmlns:c16="http://schemas.microsoft.com/office/drawing/2014/chart" uri="{C3380CC4-5D6E-409C-BE32-E72D297353CC}">
              <c16:uniqueId val="{00000001-AD6A-4BD7-8191-DFDFE613D2D7}"/>
            </c:ext>
          </c:extLst>
        </c:ser>
        <c:ser>
          <c:idx val="2"/>
          <c:order val="2"/>
          <c:tx>
            <c:strRef>
              <c:f>'Bar graph_2024'!$E$32</c:f>
              <c:strCache>
                <c:ptCount val="1"/>
                <c:pt idx="0">
                  <c:v>Lake Back Water</c:v>
                </c:pt>
              </c:strCache>
            </c:strRef>
          </c:tx>
          <c:spPr>
            <a:ln w="28575" cap="rnd">
              <a:solidFill>
                <a:schemeClr val="accent3"/>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graph_2024'!$E$33:$E$44</c:f>
              <c:numCache>
                <c:formatCode>General</c:formatCode>
                <c:ptCount val="12"/>
                <c:pt idx="0">
                  <c:v>7.99</c:v>
                </c:pt>
                <c:pt idx="1">
                  <c:v>8.02</c:v>
                </c:pt>
                <c:pt idx="2">
                  <c:v>8.0399999999999991</c:v>
                </c:pt>
                <c:pt idx="3">
                  <c:v>7.98</c:v>
                </c:pt>
                <c:pt idx="4">
                  <c:v>7.03</c:v>
                </c:pt>
                <c:pt idx="5">
                  <c:v>7.02</c:v>
                </c:pt>
                <c:pt idx="6" formatCode="0.0">
                  <c:v>6.95</c:v>
                </c:pt>
                <c:pt idx="7" formatCode="0.0">
                  <c:v>6.99</c:v>
                </c:pt>
                <c:pt idx="8" formatCode="0.0">
                  <c:v>7.06</c:v>
                </c:pt>
                <c:pt idx="9" formatCode="0.0">
                  <c:v>7.98</c:v>
                </c:pt>
                <c:pt idx="10" formatCode="0.0">
                  <c:v>7.81</c:v>
                </c:pt>
                <c:pt idx="11" formatCode="0.0">
                  <c:v>7.49</c:v>
                </c:pt>
              </c:numCache>
            </c:numRef>
          </c:val>
          <c:smooth val="0"/>
          <c:extLst>
            <c:ext xmlns:c16="http://schemas.microsoft.com/office/drawing/2014/chart" uri="{C3380CC4-5D6E-409C-BE32-E72D297353CC}">
              <c16:uniqueId val="{00000002-AD6A-4BD7-8191-DFDFE613D2D7}"/>
            </c:ext>
          </c:extLst>
        </c:ser>
        <c:ser>
          <c:idx val="3"/>
          <c:order val="3"/>
          <c:tx>
            <c:strRef>
              <c:f>'Bar graph_2024'!$F$32</c:f>
              <c:strCache>
                <c:ptCount val="1"/>
                <c:pt idx="0">
                  <c:v>Acceptable &gt;6.5</c:v>
                </c:pt>
              </c:strCache>
            </c:strRef>
          </c:tx>
          <c:spPr>
            <a:ln w="28575" cap="rnd">
              <a:solidFill>
                <a:schemeClr val="accent4"/>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graph_2024'!$F$33:$F$44</c:f>
              <c:numCache>
                <c:formatCode>General</c:formatCode>
                <c:ptCount val="12"/>
                <c:pt idx="0">
                  <c:v>6.5</c:v>
                </c:pt>
                <c:pt idx="1">
                  <c:v>6.5</c:v>
                </c:pt>
                <c:pt idx="2">
                  <c:v>6.5</c:v>
                </c:pt>
                <c:pt idx="3">
                  <c:v>6.5</c:v>
                </c:pt>
                <c:pt idx="4">
                  <c:v>6.5</c:v>
                </c:pt>
                <c:pt idx="5">
                  <c:v>6.5</c:v>
                </c:pt>
                <c:pt idx="6">
                  <c:v>6.5</c:v>
                </c:pt>
                <c:pt idx="7">
                  <c:v>6.5</c:v>
                </c:pt>
                <c:pt idx="8">
                  <c:v>6.5</c:v>
                </c:pt>
                <c:pt idx="9">
                  <c:v>6.5</c:v>
                </c:pt>
                <c:pt idx="10">
                  <c:v>6.5</c:v>
                </c:pt>
                <c:pt idx="11">
                  <c:v>6.5</c:v>
                </c:pt>
              </c:numCache>
            </c:numRef>
          </c:val>
          <c:smooth val="0"/>
          <c:extLst>
            <c:ext xmlns:c16="http://schemas.microsoft.com/office/drawing/2014/chart" uri="{C3380CC4-5D6E-409C-BE32-E72D297353CC}">
              <c16:uniqueId val="{00000003-AD6A-4BD7-8191-DFDFE613D2D7}"/>
            </c:ext>
          </c:extLst>
        </c:ser>
        <c:ser>
          <c:idx val="4"/>
          <c:order val="4"/>
          <c:tx>
            <c:strRef>
              <c:f>'Bar graph_2024'!$G$32</c:f>
              <c:strCache>
                <c:ptCount val="1"/>
                <c:pt idx="0">
                  <c:v>Acceptable &lt; 8.5</c:v>
                </c:pt>
              </c:strCache>
            </c:strRef>
          </c:tx>
          <c:spPr>
            <a:ln w="28575" cap="rnd">
              <a:solidFill>
                <a:schemeClr val="accent5"/>
              </a:solidFill>
              <a:round/>
            </a:ln>
            <a:effectLst/>
          </c:spPr>
          <c:marker>
            <c:symbol val="none"/>
          </c:marker>
          <c:cat>
            <c:numRef>
              <c:f>'Bar graph_2024'!$B$33:$B$44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graph_2024'!$G$33:$G$44</c:f>
              <c:numCache>
                <c:formatCode>General</c:formatCode>
                <c:ptCount val="12"/>
                <c:pt idx="0">
                  <c:v>8.5</c:v>
                </c:pt>
                <c:pt idx="1">
                  <c:v>8.5</c:v>
                </c:pt>
                <c:pt idx="2">
                  <c:v>8.5</c:v>
                </c:pt>
                <c:pt idx="3">
                  <c:v>8.5</c:v>
                </c:pt>
                <c:pt idx="4">
                  <c:v>8.5</c:v>
                </c:pt>
                <c:pt idx="5">
                  <c:v>8.5</c:v>
                </c:pt>
                <c:pt idx="6">
                  <c:v>8.5</c:v>
                </c:pt>
                <c:pt idx="7">
                  <c:v>8.5</c:v>
                </c:pt>
                <c:pt idx="8">
                  <c:v>8.5</c:v>
                </c:pt>
                <c:pt idx="9">
                  <c:v>8.5</c:v>
                </c:pt>
                <c:pt idx="10">
                  <c:v>8.5</c:v>
                </c:pt>
                <c:pt idx="11">
                  <c:v>8.5</c:v>
                </c:pt>
              </c:numCache>
            </c:numRef>
          </c:val>
          <c:smooth val="0"/>
          <c:extLst>
            <c:ext xmlns:c16="http://schemas.microsoft.com/office/drawing/2014/chart" uri="{C3380CC4-5D6E-409C-BE32-E72D297353CC}">
              <c16:uniqueId val="{00000004-AD6A-4BD7-8191-DFDFE613D2D7}"/>
            </c:ext>
          </c:extLst>
        </c:ser>
        <c:dLbls>
          <c:showLegendKey val="0"/>
          <c:showVal val="0"/>
          <c:showCatName val="0"/>
          <c:showSerName val="0"/>
          <c:showPercent val="0"/>
          <c:showBubbleSize val="0"/>
        </c:dLbls>
        <c:smooth val="0"/>
        <c:axId val="1444107039"/>
        <c:axId val="1444113759"/>
      </c:lineChart>
      <c:dateAx>
        <c:axId val="14441070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mn-lt"/>
                <a:ea typeface="+mn-ea"/>
                <a:cs typeface="+mn-cs"/>
              </a:defRPr>
            </a:pPr>
            <a:endParaRPr lang="en-US"/>
          </a:p>
        </c:txPr>
        <c:crossAx val="1444113759"/>
        <c:crosses val="autoZero"/>
        <c:auto val="1"/>
        <c:lblOffset val="100"/>
        <c:baseTimeUnit val="months"/>
      </c:dateAx>
      <c:valAx>
        <c:axId val="144411375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w="3175">
                      <a:noFill/>
                    </a:ln>
                    <a:solidFill>
                      <a:schemeClr val="tx1">
                        <a:lumMod val="65000"/>
                        <a:lumOff val="35000"/>
                      </a:schemeClr>
                    </a:solidFill>
                    <a:latin typeface="+mn-lt"/>
                    <a:ea typeface="+mn-ea"/>
                    <a:cs typeface="+mn-cs"/>
                  </a:defRPr>
                </a:pPr>
                <a:r>
                  <a:rPr lang="en-IN"/>
                  <a:t>pH Values</a:t>
                </a:r>
              </a:p>
            </c:rich>
          </c:tx>
          <c:overlay val="0"/>
          <c:spPr>
            <a:noFill/>
            <a:ln>
              <a:noFill/>
            </a:ln>
            <a:effectLst/>
          </c:spPr>
          <c:txPr>
            <a:bodyPr rot="-5400000" spcFirstLastPara="1" vertOverflow="ellipsis" vert="horz" wrap="square" anchor="ctr" anchorCtr="1"/>
            <a:lstStyle/>
            <a:p>
              <a:pPr>
                <a:defRPr sz="1000" b="0" i="0" u="none" strike="noStrike" kern="1200" baseline="0">
                  <a:ln w="3175">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mn-lt"/>
                <a:ea typeface="+mn-ea"/>
                <a:cs typeface="+mn-cs"/>
              </a:defRPr>
            </a:pPr>
            <a:endParaRPr lang="en-US"/>
          </a:p>
        </c:txPr>
        <c:crossAx val="1444107039"/>
        <c:crosses val="autoZero"/>
        <c:crossBetween val="between"/>
      </c:valAx>
      <c:spPr>
        <a:noFill/>
        <a:ln>
          <a:noFill/>
        </a:ln>
        <a:effectLst/>
      </c:spPr>
    </c:plotArea>
    <c:legend>
      <c:legendPos val="r"/>
      <c:layout>
        <c:manualLayout>
          <c:xMode val="edge"/>
          <c:yMode val="edge"/>
          <c:x val="9.1842506056279985E-2"/>
          <c:y val="2.936027059481359E-3"/>
          <c:w val="0.89084896949542924"/>
          <c:h val="0.19721247009432319"/>
        </c:manualLayout>
      </c:layout>
      <c:overlay val="0"/>
      <c:spPr>
        <a:noFill/>
        <a:ln>
          <a:noFill/>
        </a:ln>
        <a:effectLst/>
      </c:spPr>
      <c:txPr>
        <a:bodyPr rot="0" spcFirstLastPara="1" vertOverflow="ellipsis" vert="horz" wrap="square" anchor="ctr" anchorCtr="1"/>
        <a:lstStyle/>
        <a:p>
          <a:pPr>
            <a:defRPr sz="900" b="0" i="0" u="none" strike="noStrike" kern="1200" baseline="0">
              <a:ln w="3175">
                <a:noFill/>
              </a:ln>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accent1"/>
      </a:solidFill>
      <a:round/>
    </a:ln>
    <a:effectLst/>
  </c:spPr>
  <c:txPr>
    <a:bodyPr/>
    <a:lstStyle/>
    <a:p>
      <a:pPr>
        <a:defRPr>
          <a:ln w="3175">
            <a:noFill/>
          </a:ln>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6099700824114"/>
          <c:y val="0.22031960862320923"/>
          <c:w val="0.81438503753464386"/>
          <c:h val="0.60375069424476013"/>
        </c:manualLayout>
      </c:layout>
      <c:lineChart>
        <c:grouping val="standard"/>
        <c:varyColors val="0"/>
        <c:ser>
          <c:idx val="0"/>
          <c:order val="0"/>
          <c:tx>
            <c:strRef>
              <c:f>'Bar graph_2024'!$D$307</c:f>
              <c:strCache>
                <c:ptCount val="1"/>
                <c:pt idx="0">
                  <c:v>Inlet Lake Water</c:v>
                </c:pt>
              </c:strCache>
            </c:strRef>
          </c:tx>
          <c:spPr>
            <a:ln w="28575" cap="rnd">
              <a:solidFill>
                <a:schemeClr val="accent1"/>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graph_2024'!$D$308:$D$319</c:f>
              <c:numCache>
                <c:formatCode>General</c:formatCode>
                <c:ptCount val="12"/>
                <c:pt idx="0">
                  <c:v>150</c:v>
                </c:pt>
                <c:pt idx="1">
                  <c:v>168</c:v>
                </c:pt>
                <c:pt idx="2">
                  <c:v>160</c:v>
                </c:pt>
                <c:pt idx="3">
                  <c:v>158</c:v>
                </c:pt>
                <c:pt idx="4">
                  <c:v>96</c:v>
                </c:pt>
                <c:pt idx="5">
                  <c:v>90</c:v>
                </c:pt>
                <c:pt idx="6">
                  <c:v>82</c:v>
                </c:pt>
                <c:pt idx="7">
                  <c:v>78</c:v>
                </c:pt>
                <c:pt idx="8">
                  <c:v>72</c:v>
                </c:pt>
                <c:pt idx="9">
                  <c:v>56</c:v>
                </c:pt>
                <c:pt idx="10">
                  <c:v>60</c:v>
                </c:pt>
                <c:pt idx="11">
                  <c:v>56</c:v>
                </c:pt>
              </c:numCache>
            </c:numRef>
          </c:val>
          <c:smooth val="0"/>
          <c:extLst>
            <c:ext xmlns:c16="http://schemas.microsoft.com/office/drawing/2014/chart" uri="{C3380CC4-5D6E-409C-BE32-E72D297353CC}">
              <c16:uniqueId val="{00000000-B06A-41C6-8CCF-FA22A9C72833}"/>
            </c:ext>
          </c:extLst>
        </c:ser>
        <c:ser>
          <c:idx val="1"/>
          <c:order val="1"/>
          <c:tx>
            <c:strRef>
              <c:f>'Bar graph_2024'!$E$307</c:f>
              <c:strCache>
                <c:ptCount val="1"/>
                <c:pt idx="0">
                  <c:v>Lake Bund Middle</c:v>
                </c:pt>
              </c:strCache>
            </c:strRef>
          </c:tx>
          <c:spPr>
            <a:ln w="28575" cap="rnd">
              <a:solidFill>
                <a:schemeClr val="accent2"/>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graph_2024'!$E$308:$E$319</c:f>
              <c:numCache>
                <c:formatCode>General</c:formatCode>
                <c:ptCount val="12"/>
                <c:pt idx="0">
                  <c:v>218</c:v>
                </c:pt>
                <c:pt idx="1">
                  <c:v>210</c:v>
                </c:pt>
                <c:pt idx="2">
                  <c:v>216</c:v>
                </c:pt>
                <c:pt idx="3">
                  <c:v>210</c:v>
                </c:pt>
                <c:pt idx="4">
                  <c:v>175</c:v>
                </c:pt>
                <c:pt idx="5">
                  <c:v>150</c:v>
                </c:pt>
                <c:pt idx="6" formatCode="0">
                  <c:v>67</c:v>
                </c:pt>
                <c:pt idx="7" formatCode="0">
                  <c:v>78</c:v>
                </c:pt>
                <c:pt idx="8" formatCode="0">
                  <c:v>67</c:v>
                </c:pt>
                <c:pt idx="9" formatCode="0">
                  <c:v>72</c:v>
                </c:pt>
                <c:pt idx="10" formatCode="0">
                  <c:v>76</c:v>
                </c:pt>
                <c:pt idx="11" formatCode="0">
                  <c:v>70</c:v>
                </c:pt>
              </c:numCache>
            </c:numRef>
          </c:val>
          <c:smooth val="0"/>
          <c:extLst>
            <c:ext xmlns:c16="http://schemas.microsoft.com/office/drawing/2014/chart" uri="{C3380CC4-5D6E-409C-BE32-E72D297353CC}">
              <c16:uniqueId val="{00000001-B06A-41C6-8CCF-FA22A9C72833}"/>
            </c:ext>
          </c:extLst>
        </c:ser>
        <c:ser>
          <c:idx val="2"/>
          <c:order val="2"/>
          <c:tx>
            <c:strRef>
              <c:f>'Bar graph_2024'!$F$307</c:f>
              <c:strCache>
                <c:ptCount val="1"/>
                <c:pt idx="0">
                  <c:v>Lake Back Water</c:v>
                </c:pt>
              </c:strCache>
            </c:strRef>
          </c:tx>
          <c:spPr>
            <a:ln w="28575" cap="rnd">
              <a:solidFill>
                <a:schemeClr val="accent3"/>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graph_2024'!$F$308:$F$319</c:f>
              <c:numCache>
                <c:formatCode>General</c:formatCode>
                <c:ptCount val="12"/>
                <c:pt idx="0">
                  <c:v>120</c:v>
                </c:pt>
                <c:pt idx="1">
                  <c:v>122</c:v>
                </c:pt>
                <c:pt idx="2">
                  <c:v>130</c:v>
                </c:pt>
                <c:pt idx="3">
                  <c:v>128</c:v>
                </c:pt>
                <c:pt idx="4">
                  <c:v>122</c:v>
                </c:pt>
                <c:pt idx="5">
                  <c:v>124</c:v>
                </c:pt>
                <c:pt idx="6" formatCode="0">
                  <c:v>139</c:v>
                </c:pt>
                <c:pt idx="7" formatCode="0">
                  <c:v>143</c:v>
                </c:pt>
                <c:pt idx="8" formatCode="0">
                  <c:v>145</c:v>
                </c:pt>
                <c:pt idx="9" formatCode="0">
                  <c:v>68</c:v>
                </c:pt>
                <c:pt idx="10" formatCode="0">
                  <c:v>64</c:v>
                </c:pt>
                <c:pt idx="11" formatCode="0">
                  <c:v>56</c:v>
                </c:pt>
              </c:numCache>
            </c:numRef>
          </c:val>
          <c:smooth val="0"/>
          <c:extLst>
            <c:ext xmlns:c16="http://schemas.microsoft.com/office/drawing/2014/chart" uri="{C3380CC4-5D6E-409C-BE32-E72D297353CC}">
              <c16:uniqueId val="{00000002-B06A-41C6-8CCF-FA22A9C72833}"/>
            </c:ext>
          </c:extLst>
        </c:ser>
        <c:ser>
          <c:idx val="3"/>
          <c:order val="3"/>
          <c:tx>
            <c:strRef>
              <c:f>'Bar graph_2024'!$G$307</c:f>
              <c:strCache>
                <c:ptCount val="1"/>
                <c:pt idx="0">
                  <c:v>Acceptable </c:v>
                </c:pt>
              </c:strCache>
            </c:strRef>
          </c:tx>
          <c:spPr>
            <a:ln w="28575" cap="rnd">
              <a:solidFill>
                <a:schemeClr val="accent4"/>
              </a:solidFill>
              <a:round/>
            </a:ln>
            <a:effectLst/>
          </c:spPr>
          <c:marker>
            <c:symbol val="none"/>
          </c:marker>
          <c:cat>
            <c:numRef>
              <c:f>'Bar graph_2024'!$C$308:$C$319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graph_2024'!$G$308:$G$319</c:f>
              <c:numCache>
                <c:formatCode>0</c:formatCode>
                <c:ptCount val="12"/>
                <c:pt idx="0">
                  <c:v>250</c:v>
                </c:pt>
                <c:pt idx="1">
                  <c:v>250</c:v>
                </c:pt>
                <c:pt idx="2">
                  <c:v>250</c:v>
                </c:pt>
                <c:pt idx="3">
                  <c:v>250</c:v>
                </c:pt>
                <c:pt idx="4">
                  <c:v>250</c:v>
                </c:pt>
                <c:pt idx="5">
                  <c:v>250</c:v>
                </c:pt>
                <c:pt idx="6">
                  <c:v>250</c:v>
                </c:pt>
                <c:pt idx="7">
                  <c:v>250</c:v>
                </c:pt>
                <c:pt idx="8">
                  <c:v>250</c:v>
                </c:pt>
                <c:pt idx="9">
                  <c:v>250</c:v>
                </c:pt>
                <c:pt idx="10">
                  <c:v>250</c:v>
                </c:pt>
                <c:pt idx="11">
                  <c:v>250</c:v>
                </c:pt>
              </c:numCache>
            </c:numRef>
          </c:val>
          <c:smooth val="0"/>
          <c:extLst>
            <c:ext xmlns:c16="http://schemas.microsoft.com/office/drawing/2014/chart" uri="{C3380CC4-5D6E-409C-BE32-E72D297353CC}">
              <c16:uniqueId val="{00000003-B06A-41C6-8CCF-FA22A9C72833}"/>
            </c:ext>
          </c:extLst>
        </c:ser>
        <c:dLbls>
          <c:showLegendKey val="0"/>
          <c:showVal val="0"/>
          <c:showCatName val="0"/>
          <c:showSerName val="0"/>
          <c:showPercent val="0"/>
          <c:showBubbleSize val="0"/>
        </c:dLbls>
        <c:smooth val="0"/>
        <c:axId val="1545748559"/>
        <c:axId val="1545761999"/>
      </c:lineChart>
      <c:dateAx>
        <c:axId val="1545748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61999"/>
        <c:crosses val="autoZero"/>
        <c:auto val="1"/>
        <c:lblOffset val="100"/>
        <c:baseTimeUnit val="months"/>
      </c:dateAx>
      <c:valAx>
        <c:axId val="1545761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COD Value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48559"/>
        <c:crosses val="autoZero"/>
        <c:crossBetween val="between"/>
      </c:valAx>
      <c:spPr>
        <a:noFill/>
        <a:ln>
          <a:noFill/>
        </a:ln>
        <a:effectLst/>
      </c:spPr>
    </c:plotArea>
    <c:legend>
      <c:legendPos val="r"/>
      <c:layout>
        <c:manualLayout>
          <c:xMode val="edge"/>
          <c:yMode val="edge"/>
          <c:x val="8.7807940091404663E-2"/>
          <c:y val="2.9090372579167238E-2"/>
          <c:w val="0.87489602261255806"/>
          <c:h val="0.12677913760029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2253646782662"/>
          <c:y val="0.2727008993327531"/>
          <c:w val="0.78226874763477872"/>
          <c:h val="0.52568592111364665"/>
        </c:manualLayout>
      </c:layout>
      <c:lineChart>
        <c:grouping val="standard"/>
        <c:varyColors val="0"/>
        <c:ser>
          <c:idx val="0"/>
          <c:order val="0"/>
          <c:tx>
            <c:strRef>
              <c:f>'Bar graph_2024'!$D$261</c:f>
              <c:strCache>
                <c:ptCount val="1"/>
                <c:pt idx="0">
                  <c:v>Inlet Lake Water</c:v>
                </c:pt>
              </c:strCache>
            </c:strRef>
          </c:tx>
          <c:spPr>
            <a:ln w="28575" cap="rnd">
              <a:solidFill>
                <a:schemeClr val="accent1"/>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graph_2024'!$D$262:$D$273</c:f>
              <c:numCache>
                <c:formatCode>General</c:formatCode>
                <c:ptCount val="12"/>
                <c:pt idx="0">
                  <c:v>264</c:v>
                </c:pt>
                <c:pt idx="1">
                  <c:v>268</c:v>
                </c:pt>
                <c:pt idx="2">
                  <c:v>260</c:v>
                </c:pt>
                <c:pt idx="3">
                  <c:v>238</c:v>
                </c:pt>
                <c:pt idx="4">
                  <c:v>190</c:v>
                </c:pt>
                <c:pt idx="5">
                  <c:v>184</c:v>
                </c:pt>
                <c:pt idx="6">
                  <c:v>80</c:v>
                </c:pt>
                <c:pt idx="7">
                  <c:v>96</c:v>
                </c:pt>
                <c:pt idx="8">
                  <c:v>90</c:v>
                </c:pt>
                <c:pt idx="9">
                  <c:v>234</c:v>
                </c:pt>
                <c:pt idx="10">
                  <c:v>184</c:v>
                </c:pt>
                <c:pt idx="11">
                  <c:v>180</c:v>
                </c:pt>
              </c:numCache>
            </c:numRef>
          </c:val>
          <c:smooth val="0"/>
          <c:extLst>
            <c:ext xmlns:c16="http://schemas.microsoft.com/office/drawing/2014/chart" uri="{C3380CC4-5D6E-409C-BE32-E72D297353CC}">
              <c16:uniqueId val="{00000000-5D57-4A45-BB9A-02E27201B271}"/>
            </c:ext>
          </c:extLst>
        </c:ser>
        <c:ser>
          <c:idx val="1"/>
          <c:order val="1"/>
          <c:tx>
            <c:strRef>
              <c:f>'Bar graph_2024'!$E$261</c:f>
              <c:strCache>
                <c:ptCount val="1"/>
                <c:pt idx="0">
                  <c:v>Lake Bund Middle</c:v>
                </c:pt>
              </c:strCache>
            </c:strRef>
          </c:tx>
          <c:spPr>
            <a:ln w="28575" cap="rnd">
              <a:solidFill>
                <a:schemeClr val="accent2"/>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graph_2024'!$E$262:$E$273</c:f>
              <c:numCache>
                <c:formatCode>General</c:formatCode>
                <c:ptCount val="12"/>
                <c:pt idx="0">
                  <c:v>240</c:v>
                </c:pt>
                <c:pt idx="1">
                  <c:v>236</c:v>
                </c:pt>
                <c:pt idx="2">
                  <c:v>240</c:v>
                </c:pt>
                <c:pt idx="3">
                  <c:v>236</c:v>
                </c:pt>
                <c:pt idx="4">
                  <c:v>206</c:v>
                </c:pt>
                <c:pt idx="5">
                  <c:v>192</c:v>
                </c:pt>
                <c:pt idx="6" formatCode="0">
                  <c:v>90</c:v>
                </c:pt>
                <c:pt idx="7" formatCode="0">
                  <c:v>94</c:v>
                </c:pt>
                <c:pt idx="8" formatCode="0">
                  <c:v>98</c:v>
                </c:pt>
                <c:pt idx="9" formatCode="0">
                  <c:v>272</c:v>
                </c:pt>
                <c:pt idx="10" formatCode="0">
                  <c:v>254</c:v>
                </c:pt>
                <c:pt idx="11" formatCode="0">
                  <c:v>228</c:v>
                </c:pt>
              </c:numCache>
            </c:numRef>
          </c:val>
          <c:smooth val="0"/>
          <c:extLst>
            <c:ext xmlns:c16="http://schemas.microsoft.com/office/drawing/2014/chart" uri="{C3380CC4-5D6E-409C-BE32-E72D297353CC}">
              <c16:uniqueId val="{00000001-5D57-4A45-BB9A-02E27201B271}"/>
            </c:ext>
          </c:extLst>
        </c:ser>
        <c:ser>
          <c:idx val="2"/>
          <c:order val="2"/>
          <c:tx>
            <c:strRef>
              <c:f>'Bar graph_2024'!$F$261</c:f>
              <c:strCache>
                <c:ptCount val="1"/>
                <c:pt idx="0">
                  <c:v>Lake Back Water</c:v>
                </c:pt>
              </c:strCache>
            </c:strRef>
          </c:tx>
          <c:spPr>
            <a:ln w="28575" cap="rnd">
              <a:solidFill>
                <a:schemeClr val="accent3"/>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graph_2024'!$F$262:$F$273</c:f>
              <c:numCache>
                <c:formatCode>General</c:formatCode>
                <c:ptCount val="12"/>
                <c:pt idx="0">
                  <c:v>248</c:v>
                </c:pt>
                <c:pt idx="1">
                  <c:v>250</c:v>
                </c:pt>
                <c:pt idx="2">
                  <c:v>254</c:v>
                </c:pt>
                <c:pt idx="3">
                  <c:v>250</c:v>
                </c:pt>
                <c:pt idx="4">
                  <c:v>144</c:v>
                </c:pt>
                <c:pt idx="5">
                  <c:v>140</c:v>
                </c:pt>
                <c:pt idx="6" formatCode="0">
                  <c:v>73</c:v>
                </c:pt>
                <c:pt idx="7" formatCode="0">
                  <c:v>76</c:v>
                </c:pt>
                <c:pt idx="8" formatCode="0">
                  <c:v>80</c:v>
                </c:pt>
                <c:pt idx="9" formatCode="0">
                  <c:v>271</c:v>
                </c:pt>
                <c:pt idx="10" formatCode="0">
                  <c:v>136</c:v>
                </c:pt>
                <c:pt idx="11" formatCode="0">
                  <c:v>128</c:v>
                </c:pt>
              </c:numCache>
            </c:numRef>
          </c:val>
          <c:smooth val="0"/>
          <c:extLst>
            <c:ext xmlns:c16="http://schemas.microsoft.com/office/drawing/2014/chart" uri="{C3380CC4-5D6E-409C-BE32-E72D297353CC}">
              <c16:uniqueId val="{00000002-5D57-4A45-BB9A-02E27201B271}"/>
            </c:ext>
          </c:extLst>
        </c:ser>
        <c:ser>
          <c:idx val="3"/>
          <c:order val="3"/>
          <c:tx>
            <c:strRef>
              <c:f>'Bar graph_2024'!$G$261</c:f>
              <c:strCache>
                <c:ptCount val="1"/>
                <c:pt idx="0">
                  <c:v>Acceptable </c:v>
                </c:pt>
              </c:strCache>
            </c:strRef>
          </c:tx>
          <c:spPr>
            <a:ln w="28575" cap="rnd">
              <a:solidFill>
                <a:schemeClr val="accent4"/>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graph_2024'!$G$262:$G$273</c:f>
              <c:numCache>
                <c:formatCode>0</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c:ext xmlns:c16="http://schemas.microsoft.com/office/drawing/2014/chart" uri="{C3380CC4-5D6E-409C-BE32-E72D297353CC}">
              <c16:uniqueId val="{00000003-5D57-4A45-BB9A-02E27201B271}"/>
            </c:ext>
          </c:extLst>
        </c:ser>
        <c:ser>
          <c:idx val="4"/>
          <c:order val="4"/>
          <c:tx>
            <c:strRef>
              <c:f>'Bar graph_2024'!$H$261</c:f>
              <c:strCache>
                <c:ptCount val="1"/>
                <c:pt idx="0">
                  <c:v>Permissilbe</c:v>
                </c:pt>
              </c:strCache>
            </c:strRef>
          </c:tx>
          <c:spPr>
            <a:ln w="28575" cap="rnd">
              <a:solidFill>
                <a:schemeClr val="accent5"/>
              </a:solidFill>
              <a:round/>
            </a:ln>
            <a:effectLst/>
          </c:spPr>
          <c:marker>
            <c:symbol val="none"/>
          </c:marker>
          <c:cat>
            <c:numRef>
              <c:f>'Bar graph_2024'!$C$262:$C$273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graph_2024'!$H$262:$H$273</c:f>
              <c:numCache>
                <c:formatCode>General</c:formatCode>
                <c:ptCount val="12"/>
                <c:pt idx="0">
                  <c:v>600</c:v>
                </c:pt>
                <c:pt idx="1">
                  <c:v>600</c:v>
                </c:pt>
                <c:pt idx="2">
                  <c:v>600</c:v>
                </c:pt>
                <c:pt idx="3">
                  <c:v>600</c:v>
                </c:pt>
                <c:pt idx="4">
                  <c:v>600</c:v>
                </c:pt>
                <c:pt idx="5">
                  <c:v>600</c:v>
                </c:pt>
                <c:pt idx="6">
                  <c:v>600</c:v>
                </c:pt>
                <c:pt idx="7">
                  <c:v>600</c:v>
                </c:pt>
                <c:pt idx="8">
                  <c:v>600</c:v>
                </c:pt>
                <c:pt idx="9">
                  <c:v>600</c:v>
                </c:pt>
                <c:pt idx="10">
                  <c:v>600</c:v>
                </c:pt>
                <c:pt idx="11">
                  <c:v>600</c:v>
                </c:pt>
              </c:numCache>
            </c:numRef>
          </c:val>
          <c:smooth val="0"/>
          <c:extLst>
            <c:ext xmlns:c16="http://schemas.microsoft.com/office/drawing/2014/chart" uri="{C3380CC4-5D6E-409C-BE32-E72D297353CC}">
              <c16:uniqueId val="{00000004-5D57-4A45-BB9A-02E27201B271}"/>
            </c:ext>
          </c:extLst>
        </c:ser>
        <c:dLbls>
          <c:showLegendKey val="0"/>
          <c:showVal val="0"/>
          <c:showCatName val="0"/>
          <c:showSerName val="0"/>
          <c:showPercent val="0"/>
          <c:showBubbleSize val="0"/>
        </c:dLbls>
        <c:smooth val="0"/>
        <c:axId val="1735825535"/>
        <c:axId val="1735846655"/>
      </c:lineChart>
      <c:dateAx>
        <c:axId val="173582553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846655"/>
        <c:crosses val="autoZero"/>
        <c:auto val="1"/>
        <c:lblOffset val="100"/>
        <c:baseTimeUnit val="months"/>
      </c:dateAx>
      <c:valAx>
        <c:axId val="1735846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Total Alkalinity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825535"/>
        <c:crosses val="autoZero"/>
        <c:crossBetween val="between"/>
      </c:valAx>
      <c:spPr>
        <a:noFill/>
        <a:ln>
          <a:noFill/>
        </a:ln>
        <a:effectLst/>
      </c:spPr>
    </c:plotArea>
    <c:legend>
      <c:legendPos val="r"/>
      <c:layout>
        <c:manualLayout>
          <c:xMode val="edge"/>
          <c:yMode val="edge"/>
          <c:x val="8.6764816111475726E-2"/>
          <c:y val="4.63806253983265E-3"/>
          <c:w val="0.89466077014345813"/>
          <c:h val="0.19002716044306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58260626021476"/>
          <c:y val="0.23744911804613297"/>
          <c:w val="0.75835032102301936"/>
          <c:h val="0.54789634504642137"/>
        </c:manualLayout>
      </c:layout>
      <c:lineChart>
        <c:grouping val="standard"/>
        <c:varyColors val="0"/>
        <c:ser>
          <c:idx val="0"/>
          <c:order val="0"/>
          <c:tx>
            <c:strRef>
              <c:f>'Bar graph_2024'!$C$82</c:f>
              <c:strCache>
                <c:ptCount val="1"/>
                <c:pt idx="0">
                  <c:v>Inlet Lake Water</c:v>
                </c:pt>
              </c:strCache>
            </c:strRef>
          </c:tx>
          <c:spPr>
            <a:ln w="28575" cap="rnd">
              <a:solidFill>
                <a:schemeClr val="accent1"/>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graph_2024'!$C$83:$C$94</c:f>
              <c:numCache>
                <c:formatCode>General</c:formatCode>
                <c:ptCount val="12"/>
                <c:pt idx="0">
                  <c:v>546</c:v>
                </c:pt>
                <c:pt idx="1">
                  <c:v>559</c:v>
                </c:pt>
                <c:pt idx="2">
                  <c:v>540</c:v>
                </c:pt>
                <c:pt idx="3">
                  <c:v>527</c:v>
                </c:pt>
                <c:pt idx="4">
                  <c:v>442</c:v>
                </c:pt>
                <c:pt idx="5">
                  <c:v>410</c:v>
                </c:pt>
                <c:pt idx="6">
                  <c:v>260</c:v>
                </c:pt>
                <c:pt idx="7">
                  <c:v>273</c:v>
                </c:pt>
                <c:pt idx="8">
                  <c:v>273</c:v>
                </c:pt>
                <c:pt idx="9">
                  <c:v>527</c:v>
                </c:pt>
                <c:pt idx="10">
                  <c:v>507</c:v>
                </c:pt>
                <c:pt idx="11">
                  <c:v>468</c:v>
                </c:pt>
              </c:numCache>
            </c:numRef>
          </c:val>
          <c:smooth val="0"/>
          <c:extLst>
            <c:ext xmlns:c16="http://schemas.microsoft.com/office/drawing/2014/chart" uri="{C3380CC4-5D6E-409C-BE32-E72D297353CC}">
              <c16:uniqueId val="{00000000-C394-433D-9890-63E57BEE1CA2}"/>
            </c:ext>
          </c:extLst>
        </c:ser>
        <c:ser>
          <c:idx val="1"/>
          <c:order val="1"/>
          <c:tx>
            <c:strRef>
              <c:f>'Bar graph_2024'!$D$82</c:f>
              <c:strCache>
                <c:ptCount val="1"/>
                <c:pt idx="0">
                  <c:v>Lake Bund Middle</c:v>
                </c:pt>
              </c:strCache>
            </c:strRef>
          </c:tx>
          <c:spPr>
            <a:ln w="28575" cap="rnd">
              <a:solidFill>
                <a:schemeClr val="accent2"/>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graph_2024'!$D$83:$D$94</c:f>
              <c:numCache>
                <c:formatCode>General</c:formatCode>
                <c:ptCount val="12"/>
                <c:pt idx="0">
                  <c:v>475</c:v>
                </c:pt>
                <c:pt idx="1">
                  <c:v>468</c:v>
                </c:pt>
                <c:pt idx="2">
                  <c:v>471</c:v>
                </c:pt>
                <c:pt idx="3">
                  <c:v>468</c:v>
                </c:pt>
                <c:pt idx="4">
                  <c:v>397</c:v>
                </c:pt>
                <c:pt idx="5">
                  <c:v>377</c:v>
                </c:pt>
                <c:pt idx="6" formatCode="0">
                  <c:v>254</c:v>
                </c:pt>
                <c:pt idx="7" formatCode="0">
                  <c:v>267</c:v>
                </c:pt>
                <c:pt idx="8" formatCode="0">
                  <c:v>267</c:v>
                </c:pt>
                <c:pt idx="9" formatCode="0">
                  <c:v>527</c:v>
                </c:pt>
                <c:pt idx="10" formatCode="0">
                  <c:v>468</c:v>
                </c:pt>
                <c:pt idx="11" formatCode="0">
                  <c:v>442</c:v>
                </c:pt>
              </c:numCache>
            </c:numRef>
          </c:val>
          <c:smooth val="0"/>
          <c:extLst>
            <c:ext xmlns:c16="http://schemas.microsoft.com/office/drawing/2014/chart" uri="{C3380CC4-5D6E-409C-BE32-E72D297353CC}">
              <c16:uniqueId val="{00000001-C394-433D-9890-63E57BEE1CA2}"/>
            </c:ext>
          </c:extLst>
        </c:ser>
        <c:ser>
          <c:idx val="2"/>
          <c:order val="2"/>
          <c:tx>
            <c:strRef>
              <c:f>'Bar graph_2024'!$E$82</c:f>
              <c:strCache>
                <c:ptCount val="1"/>
                <c:pt idx="0">
                  <c:v>Lake Back Water</c:v>
                </c:pt>
              </c:strCache>
            </c:strRef>
          </c:tx>
          <c:spPr>
            <a:ln w="28575" cap="rnd">
              <a:solidFill>
                <a:schemeClr val="accent3"/>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graph_2024'!$E$83:$E$94</c:f>
              <c:numCache>
                <c:formatCode>General</c:formatCode>
                <c:ptCount val="12"/>
                <c:pt idx="0">
                  <c:v>536</c:v>
                </c:pt>
                <c:pt idx="1">
                  <c:v>540</c:v>
                </c:pt>
                <c:pt idx="2">
                  <c:v>543</c:v>
                </c:pt>
                <c:pt idx="3">
                  <c:v>540</c:v>
                </c:pt>
                <c:pt idx="4">
                  <c:v>293</c:v>
                </c:pt>
                <c:pt idx="5">
                  <c:v>27</c:v>
                </c:pt>
                <c:pt idx="6" formatCode="0">
                  <c:v>260</c:v>
                </c:pt>
                <c:pt idx="7" formatCode="0">
                  <c:v>273</c:v>
                </c:pt>
                <c:pt idx="8" formatCode="0">
                  <c:v>273</c:v>
                </c:pt>
                <c:pt idx="9" formatCode="0">
                  <c:v>533</c:v>
                </c:pt>
                <c:pt idx="10" formatCode="0">
                  <c:v>455</c:v>
                </c:pt>
                <c:pt idx="11" formatCode="0">
                  <c:v>442</c:v>
                </c:pt>
              </c:numCache>
            </c:numRef>
          </c:val>
          <c:smooth val="0"/>
          <c:extLst>
            <c:ext xmlns:c16="http://schemas.microsoft.com/office/drawing/2014/chart" uri="{C3380CC4-5D6E-409C-BE32-E72D297353CC}">
              <c16:uniqueId val="{00000002-C394-433D-9890-63E57BEE1CA2}"/>
            </c:ext>
          </c:extLst>
        </c:ser>
        <c:ser>
          <c:idx val="3"/>
          <c:order val="3"/>
          <c:tx>
            <c:strRef>
              <c:f>'Bar graph_2024'!$F$82</c:f>
              <c:strCache>
                <c:ptCount val="1"/>
                <c:pt idx="0">
                  <c:v>Acceptable </c:v>
                </c:pt>
              </c:strCache>
            </c:strRef>
          </c:tx>
          <c:spPr>
            <a:ln w="28575" cap="rnd">
              <a:solidFill>
                <a:schemeClr val="accent4"/>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graph_2024'!$F$83:$F$94</c:f>
              <c:numCache>
                <c:formatCode>General</c:formatCode>
                <c:ptCount val="12"/>
                <c:pt idx="0">
                  <c:v>500</c:v>
                </c:pt>
                <c:pt idx="1">
                  <c:v>500</c:v>
                </c:pt>
                <c:pt idx="2">
                  <c:v>500</c:v>
                </c:pt>
                <c:pt idx="3">
                  <c:v>500</c:v>
                </c:pt>
                <c:pt idx="4">
                  <c:v>500</c:v>
                </c:pt>
                <c:pt idx="5">
                  <c:v>500</c:v>
                </c:pt>
                <c:pt idx="6">
                  <c:v>500</c:v>
                </c:pt>
                <c:pt idx="7">
                  <c:v>500</c:v>
                </c:pt>
                <c:pt idx="8">
                  <c:v>500</c:v>
                </c:pt>
                <c:pt idx="9">
                  <c:v>500</c:v>
                </c:pt>
                <c:pt idx="10">
                  <c:v>500</c:v>
                </c:pt>
                <c:pt idx="11">
                  <c:v>500</c:v>
                </c:pt>
              </c:numCache>
            </c:numRef>
          </c:val>
          <c:smooth val="0"/>
          <c:extLst>
            <c:ext xmlns:c16="http://schemas.microsoft.com/office/drawing/2014/chart" uri="{C3380CC4-5D6E-409C-BE32-E72D297353CC}">
              <c16:uniqueId val="{00000003-C394-433D-9890-63E57BEE1CA2}"/>
            </c:ext>
          </c:extLst>
        </c:ser>
        <c:ser>
          <c:idx val="4"/>
          <c:order val="4"/>
          <c:tx>
            <c:strRef>
              <c:f>'Bar graph_2024'!$G$82</c:f>
              <c:strCache>
                <c:ptCount val="1"/>
                <c:pt idx="0">
                  <c:v>Permissilbe</c:v>
                </c:pt>
              </c:strCache>
            </c:strRef>
          </c:tx>
          <c:spPr>
            <a:ln w="28575" cap="rnd">
              <a:solidFill>
                <a:schemeClr val="accent5"/>
              </a:solidFill>
              <a:round/>
            </a:ln>
            <a:effectLst/>
          </c:spPr>
          <c:marker>
            <c:symbol val="none"/>
          </c:marker>
          <c:cat>
            <c:numRef>
              <c:f>'Bar graph_2024'!$B$83:$B$94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graph_2024'!$G$83:$G$94</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4-C394-433D-9890-63E57BEE1CA2}"/>
            </c:ext>
          </c:extLst>
        </c:ser>
        <c:dLbls>
          <c:showLegendKey val="0"/>
          <c:showVal val="0"/>
          <c:showCatName val="0"/>
          <c:showSerName val="0"/>
          <c:showPercent val="0"/>
          <c:showBubbleSize val="0"/>
        </c:dLbls>
        <c:smooth val="0"/>
        <c:axId val="1341952175"/>
        <c:axId val="1341959375"/>
      </c:lineChart>
      <c:dateAx>
        <c:axId val="13419521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41959375"/>
        <c:crosses val="autoZero"/>
        <c:auto val="1"/>
        <c:lblOffset val="100"/>
        <c:baseTimeUnit val="months"/>
      </c:dateAx>
      <c:valAx>
        <c:axId val="1341959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n-IN"/>
                  <a:t>TDS Value mg/li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41952175"/>
        <c:crosses val="autoZero"/>
        <c:crossBetween val="between"/>
      </c:valAx>
      <c:spPr>
        <a:noFill/>
        <a:ln>
          <a:noFill/>
        </a:ln>
        <a:effectLst/>
      </c:spPr>
    </c:plotArea>
    <c:legend>
      <c:legendPos val="r"/>
      <c:layout>
        <c:manualLayout>
          <c:xMode val="edge"/>
          <c:yMode val="edge"/>
          <c:x val="0.11046737122740342"/>
          <c:y val="2.2112949924678677E-2"/>
          <c:w val="0.86251777060060197"/>
          <c:h val="0.2027211829186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sz="900">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18822872291063"/>
          <c:y val="0.27824906684764167"/>
          <c:w val="0.76695854979435107"/>
          <c:h val="0.48307874817310548"/>
        </c:manualLayout>
      </c:layout>
      <c:lineChart>
        <c:grouping val="standard"/>
        <c:varyColors val="0"/>
        <c:ser>
          <c:idx val="0"/>
          <c:order val="0"/>
          <c:tx>
            <c:strRef>
              <c:f>'Bar graph_2024'!$C$3</c:f>
              <c:strCache>
                <c:ptCount val="1"/>
                <c:pt idx="0">
                  <c:v>Inlet Lake Water</c:v>
                </c:pt>
              </c:strCache>
            </c:strRef>
          </c:tx>
          <c:spPr>
            <a:ln w="28575" cap="rnd">
              <a:solidFill>
                <a:schemeClr val="accent1"/>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graph_2024'!$C$4:$C$15</c:f>
              <c:numCache>
                <c:formatCode>General</c:formatCode>
                <c:ptCount val="12"/>
                <c:pt idx="0">
                  <c:v>32</c:v>
                </c:pt>
                <c:pt idx="1">
                  <c:v>32</c:v>
                </c:pt>
                <c:pt idx="2">
                  <c:v>32</c:v>
                </c:pt>
                <c:pt idx="3">
                  <c:v>28</c:v>
                </c:pt>
                <c:pt idx="4">
                  <c:v>26</c:v>
                </c:pt>
                <c:pt idx="5">
                  <c:v>25</c:v>
                </c:pt>
                <c:pt idx="6">
                  <c:v>18</c:v>
                </c:pt>
                <c:pt idx="7">
                  <c:v>20</c:v>
                </c:pt>
                <c:pt idx="8">
                  <c:v>18</c:v>
                </c:pt>
                <c:pt idx="9">
                  <c:v>45</c:v>
                </c:pt>
                <c:pt idx="10">
                  <c:v>24</c:v>
                </c:pt>
                <c:pt idx="11">
                  <c:v>25</c:v>
                </c:pt>
              </c:numCache>
            </c:numRef>
          </c:val>
          <c:smooth val="0"/>
          <c:extLst>
            <c:ext xmlns:c16="http://schemas.microsoft.com/office/drawing/2014/chart" uri="{C3380CC4-5D6E-409C-BE32-E72D297353CC}">
              <c16:uniqueId val="{00000000-0BD3-4129-ADD3-22C891399A54}"/>
            </c:ext>
          </c:extLst>
        </c:ser>
        <c:ser>
          <c:idx val="1"/>
          <c:order val="1"/>
          <c:tx>
            <c:strRef>
              <c:f>'Bar graph_2024'!$D$3</c:f>
              <c:strCache>
                <c:ptCount val="1"/>
                <c:pt idx="0">
                  <c:v>Lake Bund Middle</c:v>
                </c:pt>
              </c:strCache>
            </c:strRef>
          </c:tx>
          <c:spPr>
            <a:ln w="28575" cap="rnd">
              <a:solidFill>
                <a:schemeClr val="accent2"/>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graph_2024'!$D$4:$D$15</c:f>
              <c:numCache>
                <c:formatCode>General</c:formatCode>
                <c:ptCount val="12"/>
                <c:pt idx="0">
                  <c:v>31</c:v>
                </c:pt>
                <c:pt idx="1">
                  <c:v>32</c:v>
                </c:pt>
                <c:pt idx="2">
                  <c:v>32</c:v>
                </c:pt>
                <c:pt idx="3">
                  <c:v>31</c:v>
                </c:pt>
                <c:pt idx="4">
                  <c:v>25</c:v>
                </c:pt>
                <c:pt idx="5">
                  <c:v>22</c:v>
                </c:pt>
                <c:pt idx="6" formatCode="0">
                  <c:v>17</c:v>
                </c:pt>
                <c:pt idx="7" formatCode="0">
                  <c:v>18</c:v>
                </c:pt>
                <c:pt idx="8" formatCode="0">
                  <c:v>18</c:v>
                </c:pt>
                <c:pt idx="9" formatCode="0">
                  <c:v>40</c:v>
                </c:pt>
                <c:pt idx="10" formatCode="0">
                  <c:v>38</c:v>
                </c:pt>
                <c:pt idx="11" formatCode="0">
                  <c:v>33</c:v>
                </c:pt>
              </c:numCache>
            </c:numRef>
          </c:val>
          <c:smooth val="0"/>
          <c:extLst>
            <c:ext xmlns:c16="http://schemas.microsoft.com/office/drawing/2014/chart" uri="{C3380CC4-5D6E-409C-BE32-E72D297353CC}">
              <c16:uniqueId val="{00000001-0BD3-4129-ADD3-22C891399A54}"/>
            </c:ext>
          </c:extLst>
        </c:ser>
        <c:ser>
          <c:idx val="2"/>
          <c:order val="2"/>
          <c:tx>
            <c:strRef>
              <c:f>'Bar graph_2024'!$E$3</c:f>
              <c:strCache>
                <c:ptCount val="1"/>
                <c:pt idx="0">
                  <c:v>Lake Back Water</c:v>
                </c:pt>
              </c:strCache>
            </c:strRef>
          </c:tx>
          <c:spPr>
            <a:ln w="28575" cap="rnd">
              <a:solidFill>
                <a:schemeClr val="accent3"/>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graph_2024'!$E$4:$E$15</c:f>
              <c:numCache>
                <c:formatCode>General</c:formatCode>
                <c:ptCount val="12"/>
                <c:pt idx="0">
                  <c:v>36</c:v>
                </c:pt>
                <c:pt idx="1">
                  <c:v>36</c:v>
                </c:pt>
                <c:pt idx="2">
                  <c:v>37</c:v>
                </c:pt>
                <c:pt idx="3">
                  <c:v>37</c:v>
                </c:pt>
                <c:pt idx="4">
                  <c:v>19</c:v>
                </c:pt>
                <c:pt idx="5">
                  <c:v>18</c:v>
                </c:pt>
                <c:pt idx="6" formatCode="0">
                  <c:v>15</c:v>
                </c:pt>
                <c:pt idx="7" formatCode="0">
                  <c:v>16</c:v>
                </c:pt>
                <c:pt idx="8" formatCode="0">
                  <c:v>17</c:v>
                </c:pt>
                <c:pt idx="9" formatCode="0">
                  <c:v>42</c:v>
                </c:pt>
                <c:pt idx="10" formatCode="0">
                  <c:v>37</c:v>
                </c:pt>
                <c:pt idx="11" formatCode="0">
                  <c:v>31</c:v>
                </c:pt>
              </c:numCache>
            </c:numRef>
          </c:val>
          <c:smooth val="0"/>
          <c:extLst>
            <c:ext xmlns:c16="http://schemas.microsoft.com/office/drawing/2014/chart" uri="{C3380CC4-5D6E-409C-BE32-E72D297353CC}">
              <c16:uniqueId val="{00000002-0BD3-4129-ADD3-22C891399A54}"/>
            </c:ext>
          </c:extLst>
        </c:ser>
        <c:ser>
          <c:idx val="3"/>
          <c:order val="3"/>
          <c:tx>
            <c:strRef>
              <c:f>'Bar graph_2024'!$F$3</c:f>
              <c:strCache>
                <c:ptCount val="1"/>
                <c:pt idx="0">
                  <c:v>Acceptable </c:v>
                </c:pt>
              </c:strCache>
            </c:strRef>
          </c:tx>
          <c:spPr>
            <a:ln w="28575" cap="rnd">
              <a:solidFill>
                <a:schemeClr val="accent4"/>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graph_2024'!$F$4:$F$15</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smooth val="0"/>
          <c:extLst>
            <c:ext xmlns:c16="http://schemas.microsoft.com/office/drawing/2014/chart" uri="{C3380CC4-5D6E-409C-BE32-E72D297353CC}">
              <c16:uniqueId val="{00000003-0BD3-4129-ADD3-22C891399A54}"/>
            </c:ext>
          </c:extLst>
        </c:ser>
        <c:ser>
          <c:idx val="4"/>
          <c:order val="4"/>
          <c:tx>
            <c:strRef>
              <c:f>'Bar graph_2024'!$G$3</c:f>
              <c:strCache>
                <c:ptCount val="1"/>
                <c:pt idx="0">
                  <c:v>Permissilbe</c:v>
                </c:pt>
              </c:strCache>
            </c:strRef>
          </c:tx>
          <c:spPr>
            <a:ln w="28575" cap="rnd">
              <a:solidFill>
                <a:schemeClr val="accent5"/>
              </a:solidFill>
              <a:round/>
            </a:ln>
            <a:effectLst/>
          </c:spPr>
          <c:marker>
            <c:symbol val="none"/>
          </c:marker>
          <c:cat>
            <c:numRef>
              <c:f>'Bar graph_2024'!$B$4:$B$15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graph_2024'!$G$4:$G$15</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4-0BD3-4129-ADD3-22C891399A54}"/>
            </c:ext>
          </c:extLst>
        </c:ser>
        <c:dLbls>
          <c:showLegendKey val="0"/>
          <c:showVal val="0"/>
          <c:showCatName val="0"/>
          <c:showSerName val="0"/>
          <c:showPercent val="0"/>
          <c:showBubbleSize val="0"/>
        </c:dLbls>
        <c:smooth val="0"/>
        <c:axId val="1581570303"/>
        <c:axId val="1581571743"/>
      </c:lineChart>
      <c:dateAx>
        <c:axId val="158157030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571743"/>
        <c:crosses val="autoZero"/>
        <c:auto val="1"/>
        <c:lblOffset val="100"/>
        <c:baseTimeUnit val="months"/>
      </c:dateAx>
      <c:valAx>
        <c:axId val="158157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Mgnesium value in mg/li</a:t>
                </a:r>
              </a:p>
            </c:rich>
          </c:tx>
          <c:layout>
            <c:manualLayout>
              <c:xMode val="edge"/>
              <c:yMode val="edge"/>
              <c:x val="3.1131865688236601E-2"/>
              <c:y val="0.203596878181201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570303"/>
        <c:crosses val="autoZero"/>
        <c:crossBetween val="between"/>
      </c:valAx>
      <c:spPr>
        <a:noFill/>
        <a:ln>
          <a:noFill/>
        </a:ln>
        <a:effectLst/>
      </c:spPr>
    </c:plotArea>
    <c:legend>
      <c:legendPos val="r"/>
      <c:layout>
        <c:manualLayout>
          <c:xMode val="edge"/>
          <c:yMode val="edge"/>
          <c:x val="0.17427086123907626"/>
          <c:y val="5.0012157031440003E-3"/>
          <c:w val="0.78570245430461949"/>
          <c:h val="0.223115459736179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0" cap="flat" cmpd="sng" algn="ctr">
      <a:solidFill>
        <a:schemeClr val="accent1">
          <a:alpha val="91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06645338963275"/>
          <c:y val="0.30561478322672353"/>
          <c:w val="0.79754049211700795"/>
          <c:h val="0.44443250563828773"/>
        </c:manualLayout>
      </c:layout>
      <c:lineChart>
        <c:grouping val="standard"/>
        <c:varyColors val="0"/>
        <c:ser>
          <c:idx val="0"/>
          <c:order val="0"/>
          <c:tx>
            <c:strRef>
              <c:f>'Bar graph_2024'!$C$99</c:f>
              <c:strCache>
                <c:ptCount val="1"/>
                <c:pt idx="0">
                  <c:v>Inlet Lake Water</c:v>
                </c:pt>
              </c:strCache>
            </c:strRef>
          </c:tx>
          <c:spPr>
            <a:ln w="28575" cap="rnd">
              <a:solidFill>
                <a:schemeClr val="accent1"/>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graph_2024'!$C$100:$C$111</c:f>
              <c:numCache>
                <c:formatCode>General</c:formatCode>
                <c:ptCount val="12"/>
                <c:pt idx="0">
                  <c:v>55</c:v>
                </c:pt>
                <c:pt idx="1">
                  <c:v>57</c:v>
                </c:pt>
                <c:pt idx="2">
                  <c:v>54</c:v>
                </c:pt>
                <c:pt idx="3">
                  <c:v>52</c:v>
                </c:pt>
                <c:pt idx="4">
                  <c:v>36</c:v>
                </c:pt>
                <c:pt idx="5">
                  <c:v>34</c:v>
                </c:pt>
                <c:pt idx="6">
                  <c:v>27</c:v>
                </c:pt>
                <c:pt idx="7">
                  <c:v>31</c:v>
                </c:pt>
                <c:pt idx="8">
                  <c:v>29</c:v>
                </c:pt>
                <c:pt idx="9">
                  <c:v>58</c:v>
                </c:pt>
                <c:pt idx="10">
                  <c:v>56</c:v>
                </c:pt>
                <c:pt idx="11">
                  <c:v>51</c:v>
                </c:pt>
              </c:numCache>
            </c:numRef>
          </c:val>
          <c:smooth val="0"/>
          <c:extLst>
            <c:ext xmlns:c16="http://schemas.microsoft.com/office/drawing/2014/chart" uri="{C3380CC4-5D6E-409C-BE32-E72D297353CC}">
              <c16:uniqueId val="{00000000-67A3-4A41-A877-2CE70F957C0D}"/>
            </c:ext>
          </c:extLst>
        </c:ser>
        <c:ser>
          <c:idx val="1"/>
          <c:order val="1"/>
          <c:tx>
            <c:strRef>
              <c:f>'Bar graph_2024'!$D$99</c:f>
              <c:strCache>
                <c:ptCount val="1"/>
                <c:pt idx="0">
                  <c:v>Lake Bund Middle</c:v>
                </c:pt>
              </c:strCache>
            </c:strRef>
          </c:tx>
          <c:spPr>
            <a:ln w="28575" cap="rnd">
              <a:solidFill>
                <a:schemeClr val="accent2"/>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graph_2024'!$D$100:$D$111</c:f>
              <c:numCache>
                <c:formatCode>General</c:formatCode>
                <c:ptCount val="12"/>
                <c:pt idx="0">
                  <c:v>48</c:v>
                </c:pt>
                <c:pt idx="1">
                  <c:v>49</c:v>
                </c:pt>
                <c:pt idx="2">
                  <c:v>50</c:v>
                </c:pt>
                <c:pt idx="3">
                  <c:v>48</c:v>
                </c:pt>
                <c:pt idx="4">
                  <c:v>42</c:v>
                </c:pt>
                <c:pt idx="5">
                  <c:v>40</c:v>
                </c:pt>
                <c:pt idx="6" formatCode="0">
                  <c:v>25</c:v>
                </c:pt>
                <c:pt idx="7" formatCode="0">
                  <c:v>27</c:v>
                </c:pt>
                <c:pt idx="8" formatCode="0">
                  <c:v>29</c:v>
                </c:pt>
                <c:pt idx="9" formatCode="0">
                  <c:v>44</c:v>
                </c:pt>
                <c:pt idx="10" formatCode="0">
                  <c:v>44</c:v>
                </c:pt>
                <c:pt idx="11" formatCode="0">
                  <c:v>40</c:v>
                </c:pt>
              </c:numCache>
            </c:numRef>
          </c:val>
          <c:smooth val="0"/>
          <c:extLst>
            <c:ext xmlns:c16="http://schemas.microsoft.com/office/drawing/2014/chart" uri="{C3380CC4-5D6E-409C-BE32-E72D297353CC}">
              <c16:uniqueId val="{00000001-67A3-4A41-A877-2CE70F957C0D}"/>
            </c:ext>
          </c:extLst>
        </c:ser>
        <c:ser>
          <c:idx val="2"/>
          <c:order val="2"/>
          <c:tx>
            <c:strRef>
              <c:f>'Bar graph_2024'!$E$99</c:f>
              <c:strCache>
                <c:ptCount val="1"/>
                <c:pt idx="0">
                  <c:v>Lake Back Water</c:v>
                </c:pt>
              </c:strCache>
            </c:strRef>
          </c:tx>
          <c:spPr>
            <a:ln w="28575" cap="rnd">
              <a:solidFill>
                <a:schemeClr val="accent3"/>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graph_2024'!$E$100:$E$111</c:f>
              <c:numCache>
                <c:formatCode>General</c:formatCode>
                <c:ptCount val="12"/>
                <c:pt idx="0">
                  <c:v>48</c:v>
                </c:pt>
                <c:pt idx="1">
                  <c:v>49</c:v>
                </c:pt>
                <c:pt idx="2">
                  <c:v>51</c:v>
                </c:pt>
                <c:pt idx="3">
                  <c:v>49</c:v>
                </c:pt>
                <c:pt idx="4">
                  <c:v>31</c:v>
                </c:pt>
                <c:pt idx="5">
                  <c:v>29</c:v>
                </c:pt>
                <c:pt idx="6" formatCode="0">
                  <c:v>24</c:v>
                </c:pt>
                <c:pt idx="7" formatCode="0">
                  <c:v>26</c:v>
                </c:pt>
                <c:pt idx="8" formatCode="0">
                  <c:v>28</c:v>
                </c:pt>
                <c:pt idx="9" formatCode="0">
                  <c:v>46</c:v>
                </c:pt>
                <c:pt idx="10" formatCode="0">
                  <c:v>41</c:v>
                </c:pt>
                <c:pt idx="11" formatCode="0">
                  <c:v>40</c:v>
                </c:pt>
              </c:numCache>
            </c:numRef>
          </c:val>
          <c:smooth val="0"/>
          <c:extLst>
            <c:ext xmlns:c16="http://schemas.microsoft.com/office/drawing/2014/chart" uri="{C3380CC4-5D6E-409C-BE32-E72D297353CC}">
              <c16:uniqueId val="{00000002-67A3-4A41-A877-2CE70F957C0D}"/>
            </c:ext>
          </c:extLst>
        </c:ser>
        <c:ser>
          <c:idx val="3"/>
          <c:order val="3"/>
          <c:tx>
            <c:strRef>
              <c:f>'Bar graph_2024'!$F$99</c:f>
              <c:strCache>
                <c:ptCount val="1"/>
                <c:pt idx="0">
                  <c:v>Acceptable </c:v>
                </c:pt>
              </c:strCache>
            </c:strRef>
          </c:tx>
          <c:spPr>
            <a:ln w="28575" cap="rnd">
              <a:solidFill>
                <a:schemeClr val="accent4"/>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graph_2024'!$F$100:$F$111</c:f>
              <c:numCache>
                <c:formatCode>General</c:formatCode>
                <c:ptCount val="12"/>
                <c:pt idx="0">
                  <c:v>75</c:v>
                </c:pt>
                <c:pt idx="1">
                  <c:v>75</c:v>
                </c:pt>
                <c:pt idx="2">
                  <c:v>75</c:v>
                </c:pt>
                <c:pt idx="3">
                  <c:v>75</c:v>
                </c:pt>
                <c:pt idx="4">
                  <c:v>75</c:v>
                </c:pt>
                <c:pt idx="5">
                  <c:v>75</c:v>
                </c:pt>
                <c:pt idx="6">
                  <c:v>75</c:v>
                </c:pt>
                <c:pt idx="7">
                  <c:v>75</c:v>
                </c:pt>
                <c:pt idx="8">
                  <c:v>75</c:v>
                </c:pt>
                <c:pt idx="9">
                  <c:v>75</c:v>
                </c:pt>
                <c:pt idx="10">
                  <c:v>75</c:v>
                </c:pt>
                <c:pt idx="11">
                  <c:v>75</c:v>
                </c:pt>
              </c:numCache>
            </c:numRef>
          </c:val>
          <c:smooth val="0"/>
          <c:extLst>
            <c:ext xmlns:c16="http://schemas.microsoft.com/office/drawing/2014/chart" uri="{C3380CC4-5D6E-409C-BE32-E72D297353CC}">
              <c16:uniqueId val="{00000003-67A3-4A41-A877-2CE70F957C0D}"/>
            </c:ext>
          </c:extLst>
        </c:ser>
        <c:ser>
          <c:idx val="4"/>
          <c:order val="4"/>
          <c:tx>
            <c:strRef>
              <c:f>'Bar graph_2024'!$G$99</c:f>
              <c:strCache>
                <c:ptCount val="1"/>
                <c:pt idx="0">
                  <c:v>Permissilbe</c:v>
                </c:pt>
              </c:strCache>
            </c:strRef>
          </c:tx>
          <c:spPr>
            <a:ln w="28575" cap="rnd">
              <a:solidFill>
                <a:schemeClr val="accent5"/>
              </a:solidFill>
              <a:round/>
            </a:ln>
            <a:effectLst/>
          </c:spPr>
          <c:marker>
            <c:symbol val="none"/>
          </c:marker>
          <c:cat>
            <c:numRef>
              <c:f>'Bar graph_2024'!$B$100:$B$111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graph_2024'!$G$100:$G$111</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4-67A3-4A41-A877-2CE70F957C0D}"/>
            </c:ext>
          </c:extLst>
        </c:ser>
        <c:dLbls>
          <c:showLegendKey val="0"/>
          <c:showVal val="0"/>
          <c:showCatName val="0"/>
          <c:showSerName val="0"/>
          <c:showPercent val="0"/>
          <c:showBubbleSize val="0"/>
        </c:dLbls>
        <c:smooth val="0"/>
        <c:axId val="1716554639"/>
        <c:axId val="1716550319"/>
      </c:lineChart>
      <c:dateAx>
        <c:axId val="17165546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50319"/>
        <c:crosses val="autoZero"/>
        <c:auto val="1"/>
        <c:lblOffset val="100"/>
        <c:baseTimeUnit val="months"/>
      </c:dateAx>
      <c:valAx>
        <c:axId val="17165503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Calcium Content in mg/li</a:t>
                </a:r>
              </a:p>
            </c:rich>
          </c:tx>
          <c:layout>
            <c:manualLayout>
              <c:xMode val="edge"/>
              <c:yMode val="edge"/>
              <c:x val="0"/>
              <c:y val="0.16321993731366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54639"/>
        <c:crosses val="autoZero"/>
        <c:crossBetween val="between"/>
      </c:valAx>
      <c:spPr>
        <a:noFill/>
        <a:ln>
          <a:noFill/>
        </a:ln>
        <a:effectLst/>
      </c:spPr>
    </c:plotArea>
    <c:legend>
      <c:legendPos val="r"/>
      <c:layout>
        <c:manualLayout>
          <c:xMode val="edge"/>
          <c:yMode val="edge"/>
          <c:x val="9.4093949610607838E-2"/>
          <c:y val="2.4249953830398061E-2"/>
          <c:w val="0.88766619630822485"/>
          <c:h val="0.21233875616294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50176558788054"/>
          <c:y val="0.28753993610223644"/>
          <c:w val="0.77949823441211941"/>
          <c:h val="0.48774219516490153"/>
        </c:manualLayout>
      </c:layout>
      <c:lineChart>
        <c:grouping val="standard"/>
        <c:varyColors val="0"/>
        <c:ser>
          <c:idx val="0"/>
          <c:order val="0"/>
          <c:tx>
            <c:strRef>
              <c:f>'Bar graph_2024'!$C$117</c:f>
              <c:strCache>
                <c:ptCount val="1"/>
                <c:pt idx="0">
                  <c:v>Inlet Lake Water</c:v>
                </c:pt>
              </c:strCache>
            </c:strRef>
          </c:tx>
          <c:spPr>
            <a:ln w="28575" cap="rnd">
              <a:solidFill>
                <a:schemeClr val="accent1"/>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graph_2024'!$C$118:$C$129</c:f>
              <c:numCache>
                <c:formatCode>General</c:formatCode>
                <c:ptCount val="12"/>
                <c:pt idx="0">
                  <c:v>270</c:v>
                </c:pt>
                <c:pt idx="1">
                  <c:v>274</c:v>
                </c:pt>
                <c:pt idx="2">
                  <c:v>268</c:v>
                </c:pt>
                <c:pt idx="3">
                  <c:v>248</c:v>
                </c:pt>
                <c:pt idx="4">
                  <c:v>198</c:v>
                </c:pt>
                <c:pt idx="5">
                  <c:v>190</c:v>
                </c:pt>
                <c:pt idx="6">
                  <c:v>130</c:v>
                </c:pt>
                <c:pt idx="7">
                  <c:v>158</c:v>
                </c:pt>
                <c:pt idx="8">
                  <c:v>150</c:v>
                </c:pt>
                <c:pt idx="9">
                  <c:v>245</c:v>
                </c:pt>
                <c:pt idx="10">
                  <c:v>240</c:v>
                </c:pt>
                <c:pt idx="11">
                  <c:v>232</c:v>
                </c:pt>
              </c:numCache>
            </c:numRef>
          </c:val>
          <c:smooth val="0"/>
          <c:extLst>
            <c:ext xmlns:c16="http://schemas.microsoft.com/office/drawing/2014/chart" uri="{C3380CC4-5D6E-409C-BE32-E72D297353CC}">
              <c16:uniqueId val="{00000000-B2C8-469F-ACE2-C8DD4651A04F}"/>
            </c:ext>
          </c:extLst>
        </c:ser>
        <c:ser>
          <c:idx val="1"/>
          <c:order val="1"/>
          <c:tx>
            <c:strRef>
              <c:f>'Bar graph_2024'!$D$117</c:f>
              <c:strCache>
                <c:ptCount val="1"/>
                <c:pt idx="0">
                  <c:v>Lake Bund Middle</c:v>
                </c:pt>
              </c:strCache>
            </c:strRef>
          </c:tx>
          <c:spPr>
            <a:ln w="28575" cap="rnd">
              <a:solidFill>
                <a:schemeClr val="accent2"/>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graph_2024'!$D$118:$D$129</c:f>
              <c:numCache>
                <c:formatCode>General</c:formatCode>
                <c:ptCount val="12"/>
                <c:pt idx="0">
                  <c:v>250</c:v>
                </c:pt>
                <c:pt idx="1">
                  <c:v>254</c:v>
                </c:pt>
                <c:pt idx="2">
                  <c:v>258</c:v>
                </c:pt>
                <c:pt idx="3">
                  <c:v>250</c:v>
                </c:pt>
                <c:pt idx="4">
                  <c:v>210</c:v>
                </c:pt>
                <c:pt idx="5">
                  <c:v>190</c:v>
                </c:pt>
                <c:pt idx="6" formatCode="0">
                  <c:v>130</c:v>
                </c:pt>
                <c:pt idx="7" formatCode="0">
                  <c:v>148</c:v>
                </c:pt>
                <c:pt idx="8" formatCode="0">
                  <c:v>150</c:v>
                </c:pt>
                <c:pt idx="9" formatCode="0">
                  <c:v>275</c:v>
                </c:pt>
                <c:pt idx="10" formatCode="0">
                  <c:v>270</c:v>
                </c:pt>
                <c:pt idx="11" formatCode="0">
                  <c:v>238</c:v>
                </c:pt>
              </c:numCache>
            </c:numRef>
          </c:val>
          <c:smooth val="0"/>
          <c:extLst>
            <c:ext xmlns:c16="http://schemas.microsoft.com/office/drawing/2014/chart" uri="{C3380CC4-5D6E-409C-BE32-E72D297353CC}">
              <c16:uniqueId val="{00000001-B2C8-469F-ACE2-C8DD4651A04F}"/>
            </c:ext>
          </c:extLst>
        </c:ser>
        <c:ser>
          <c:idx val="2"/>
          <c:order val="2"/>
          <c:tx>
            <c:strRef>
              <c:f>'Bar graph_2024'!$E$117</c:f>
              <c:strCache>
                <c:ptCount val="1"/>
                <c:pt idx="0">
                  <c:v>Lake Back Water</c:v>
                </c:pt>
              </c:strCache>
            </c:strRef>
          </c:tx>
          <c:spPr>
            <a:ln w="28575" cap="rnd">
              <a:solidFill>
                <a:schemeClr val="accent3"/>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graph_2024'!$E$118:$E$129</c:f>
              <c:numCache>
                <c:formatCode>General</c:formatCode>
                <c:ptCount val="12"/>
                <c:pt idx="0">
                  <c:v>268</c:v>
                </c:pt>
                <c:pt idx="1">
                  <c:v>274</c:v>
                </c:pt>
                <c:pt idx="2">
                  <c:v>280</c:v>
                </c:pt>
                <c:pt idx="3">
                  <c:v>276</c:v>
                </c:pt>
                <c:pt idx="4">
                  <c:v>158</c:v>
                </c:pt>
                <c:pt idx="5">
                  <c:v>148</c:v>
                </c:pt>
                <c:pt idx="6" formatCode="0">
                  <c:v>130</c:v>
                </c:pt>
                <c:pt idx="7" formatCode="0">
                  <c:v>143</c:v>
                </c:pt>
                <c:pt idx="8" formatCode="0">
                  <c:v>148</c:v>
                </c:pt>
                <c:pt idx="9" formatCode="0">
                  <c:v>290</c:v>
                </c:pt>
                <c:pt idx="10" formatCode="0">
                  <c:v>258</c:v>
                </c:pt>
                <c:pt idx="11" formatCode="0">
                  <c:v>228</c:v>
                </c:pt>
              </c:numCache>
            </c:numRef>
          </c:val>
          <c:smooth val="0"/>
          <c:extLst>
            <c:ext xmlns:c16="http://schemas.microsoft.com/office/drawing/2014/chart" uri="{C3380CC4-5D6E-409C-BE32-E72D297353CC}">
              <c16:uniqueId val="{00000002-B2C8-469F-ACE2-C8DD4651A04F}"/>
            </c:ext>
          </c:extLst>
        </c:ser>
        <c:ser>
          <c:idx val="3"/>
          <c:order val="3"/>
          <c:tx>
            <c:strRef>
              <c:f>'Bar graph_2024'!$F$117</c:f>
              <c:strCache>
                <c:ptCount val="1"/>
                <c:pt idx="0">
                  <c:v>Acceptable </c:v>
                </c:pt>
              </c:strCache>
            </c:strRef>
          </c:tx>
          <c:spPr>
            <a:ln w="28575" cap="rnd">
              <a:solidFill>
                <a:schemeClr val="accent4"/>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graph_2024'!$F$118:$F$129</c:f>
              <c:numCache>
                <c:formatCode>General</c:formatCode>
                <c:ptCount val="12"/>
                <c:pt idx="0">
                  <c:v>200</c:v>
                </c:pt>
                <c:pt idx="1">
                  <c:v>200</c:v>
                </c:pt>
                <c:pt idx="2">
                  <c:v>200</c:v>
                </c:pt>
                <c:pt idx="3">
                  <c:v>200</c:v>
                </c:pt>
                <c:pt idx="4">
                  <c:v>200</c:v>
                </c:pt>
                <c:pt idx="5">
                  <c:v>200</c:v>
                </c:pt>
                <c:pt idx="6">
                  <c:v>200</c:v>
                </c:pt>
                <c:pt idx="7">
                  <c:v>200</c:v>
                </c:pt>
                <c:pt idx="8">
                  <c:v>200</c:v>
                </c:pt>
                <c:pt idx="9">
                  <c:v>200</c:v>
                </c:pt>
                <c:pt idx="10">
                  <c:v>200</c:v>
                </c:pt>
                <c:pt idx="11">
                  <c:v>200</c:v>
                </c:pt>
              </c:numCache>
            </c:numRef>
          </c:val>
          <c:smooth val="0"/>
          <c:extLst>
            <c:ext xmlns:c16="http://schemas.microsoft.com/office/drawing/2014/chart" uri="{C3380CC4-5D6E-409C-BE32-E72D297353CC}">
              <c16:uniqueId val="{00000003-B2C8-469F-ACE2-C8DD4651A04F}"/>
            </c:ext>
          </c:extLst>
        </c:ser>
        <c:ser>
          <c:idx val="4"/>
          <c:order val="4"/>
          <c:tx>
            <c:strRef>
              <c:f>'Bar graph_2024'!$G$117</c:f>
              <c:strCache>
                <c:ptCount val="1"/>
                <c:pt idx="0">
                  <c:v>Permissilbe</c:v>
                </c:pt>
              </c:strCache>
            </c:strRef>
          </c:tx>
          <c:spPr>
            <a:ln w="28575" cap="rnd">
              <a:solidFill>
                <a:schemeClr val="accent5"/>
              </a:solidFill>
              <a:round/>
            </a:ln>
            <a:effectLst/>
          </c:spPr>
          <c:marker>
            <c:symbol val="none"/>
          </c:marker>
          <c:cat>
            <c:numRef>
              <c:f>'Bar graph_2024'!$B$118:$B$129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graph_2024'!$G$118:$G$129</c:f>
              <c:numCache>
                <c:formatCode>General</c:formatCode>
                <c:ptCount val="12"/>
                <c:pt idx="0">
                  <c:v>600</c:v>
                </c:pt>
                <c:pt idx="1">
                  <c:v>600</c:v>
                </c:pt>
                <c:pt idx="2">
                  <c:v>600</c:v>
                </c:pt>
                <c:pt idx="3">
                  <c:v>600</c:v>
                </c:pt>
                <c:pt idx="4">
                  <c:v>600</c:v>
                </c:pt>
                <c:pt idx="5">
                  <c:v>600</c:v>
                </c:pt>
                <c:pt idx="6">
                  <c:v>600</c:v>
                </c:pt>
                <c:pt idx="7">
                  <c:v>600</c:v>
                </c:pt>
                <c:pt idx="8">
                  <c:v>600</c:v>
                </c:pt>
                <c:pt idx="9">
                  <c:v>600</c:v>
                </c:pt>
                <c:pt idx="10">
                  <c:v>600</c:v>
                </c:pt>
                <c:pt idx="11">
                  <c:v>600</c:v>
                </c:pt>
              </c:numCache>
            </c:numRef>
          </c:val>
          <c:smooth val="0"/>
          <c:extLst>
            <c:ext xmlns:c16="http://schemas.microsoft.com/office/drawing/2014/chart" uri="{C3380CC4-5D6E-409C-BE32-E72D297353CC}">
              <c16:uniqueId val="{00000004-B2C8-469F-ACE2-C8DD4651A04F}"/>
            </c:ext>
          </c:extLst>
        </c:ser>
        <c:dLbls>
          <c:showLegendKey val="0"/>
          <c:showVal val="0"/>
          <c:showCatName val="0"/>
          <c:showSerName val="0"/>
          <c:showPercent val="0"/>
          <c:showBubbleSize val="0"/>
        </c:dLbls>
        <c:smooth val="0"/>
        <c:axId val="1735769855"/>
        <c:axId val="1735770335"/>
      </c:lineChart>
      <c:dateAx>
        <c:axId val="173576985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70335"/>
        <c:crosses val="autoZero"/>
        <c:auto val="1"/>
        <c:lblOffset val="100"/>
        <c:baseTimeUnit val="months"/>
      </c:dateAx>
      <c:valAx>
        <c:axId val="1735770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Total Hardness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69855"/>
        <c:crosses val="autoZero"/>
        <c:crossBetween val="between"/>
      </c:valAx>
      <c:spPr>
        <a:noFill/>
        <a:ln>
          <a:noFill/>
        </a:ln>
        <a:effectLst/>
      </c:spPr>
    </c:plotArea>
    <c:legend>
      <c:legendPos val="r"/>
      <c:layout>
        <c:manualLayout>
          <c:xMode val="edge"/>
          <c:yMode val="edge"/>
          <c:x val="8.3727790510336131E-2"/>
          <c:y val="5.6705491685743757E-2"/>
          <c:w val="0.8896705690551705"/>
          <c:h val="0.18371361726749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71879976041958"/>
          <c:y val="0.37132545931758532"/>
          <c:w val="0.79745190130454469"/>
          <c:h val="0.3803105120334534"/>
        </c:manualLayout>
      </c:layout>
      <c:lineChart>
        <c:grouping val="standard"/>
        <c:varyColors val="0"/>
        <c:ser>
          <c:idx val="0"/>
          <c:order val="0"/>
          <c:tx>
            <c:strRef>
              <c:f>'Bar graph_2024'!$C$142</c:f>
              <c:strCache>
                <c:ptCount val="1"/>
                <c:pt idx="0">
                  <c:v>Inlet Lake Water</c:v>
                </c:pt>
              </c:strCache>
            </c:strRef>
          </c:tx>
          <c:spPr>
            <a:ln w="28575" cap="rnd">
              <a:solidFill>
                <a:schemeClr val="accent1"/>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graph_2024'!$C$143:$C$154</c:f>
              <c:numCache>
                <c:formatCode>General</c:formatCode>
                <c:ptCount val="12"/>
                <c:pt idx="0">
                  <c:v>0.17</c:v>
                </c:pt>
                <c:pt idx="1">
                  <c:v>0.16</c:v>
                </c:pt>
                <c:pt idx="2">
                  <c:v>0.17</c:v>
                </c:pt>
                <c:pt idx="3">
                  <c:v>0.15</c:v>
                </c:pt>
                <c:pt idx="4">
                  <c:v>0.12</c:v>
                </c:pt>
                <c:pt idx="5" formatCode="0.000">
                  <c:v>0.12</c:v>
                </c:pt>
                <c:pt idx="6" formatCode="0.000">
                  <c:v>0.09</c:v>
                </c:pt>
                <c:pt idx="7" formatCode="0.00">
                  <c:v>0.12</c:v>
                </c:pt>
                <c:pt idx="8" formatCode="0.00">
                  <c:v>0.11</c:v>
                </c:pt>
                <c:pt idx="9" formatCode="0.00">
                  <c:v>0.16</c:v>
                </c:pt>
                <c:pt idx="10" formatCode="0.00">
                  <c:v>0.15</c:v>
                </c:pt>
                <c:pt idx="11" formatCode="0.00">
                  <c:v>0.12</c:v>
                </c:pt>
              </c:numCache>
            </c:numRef>
          </c:val>
          <c:smooth val="0"/>
          <c:extLst>
            <c:ext xmlns:c16="http://schemas.microsoft.com/office/drawing/2014/chart" uri="{C3380CC4-5D6E-409C-BE32-E72D297353CC}">
              <c16:uniqueId val="{00000000-033E-47C0-95A0-386479BBCDE0}"/>
            </c:ext>
          </c:extLst>
        </c:ser>
        <c:ser>
          <c:idx val="1"/>
          <c:order val="1"/>
          <c:tx>
            <c:strRef>
              <c:f>'Bar graph_2024'!$D$142</c:f>
              <c:strCache>
                <c:ptCount val="1"/>
                <c:pt idx="0">
                  <c:v>Lake Bund Middle</c:v>
                </c:pt>
              </c:strCache>
            </c:strRef>
          </c:tx>
          <c:spPr>
            <a:ln w="28575" cap="rnd">
              <a:solidFill>
                <a:schemeClr val="accent2"/>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graph_2024'!$D$143:$D$154</c:f>
              <c:numCache>
                <c:formatCode>General</c:formatCode>
                <c:ptCount val="12"/>
                <c:pt idx="0">
                  <c:v>0.16</c:v>
                </c:pt>
                <c:pt idx="1">
                  <c:v>0.14000000000000001</c:v>
                </c:pt>
                <c:pt idx="2">
                  <c:v>0.15</c:v>
                </c:pt>
                <c:pt idx="3">
                  <c:v>0.14000000000000001</c:v>
                </c:pt>
                <c:pt idx="4">
                  <c:v>0.13</c:v>
                </c:pt>
                <c:pt idx="5" formatCode="0.000">
                  <c:v>0.11</c:v>
                </c:pt>
                <c:pt idx="6" formatCode="0.000">
                  <c:v>0.1</c:v>
                </c:pt>
                <c:pt idx="7" formatCode="0.00">
                  <c:v>0.11</c:v>
                </c:pt>
                <c:pt idx="8" formatCode="0.00">
                  <c:v>0.12</c:v>
                </c:pt>
                <c:pt idx="9" formatCode="0.00">
                  <c:v>0.17</c:v>
                </c:pt>
                <c:pt idx="10" formatCode="0.00">
                  <c:v>0.15</c:v>
                </c:pt>
                <c:pt idx="11" formatCode="0.00">
                  <c:v>0.12</c:v>
                </c:pt>
              </c:numCache>
            </c:numRef>
          </c:val>
          <c:smooth val="0"/>
          <c:extLst>
            <c:ext xmlns:c16="http://schemas.microsoft.com/office/drawing/2014/chart" uri="{C3380CC4-5D6E-409C-BE32-E72D297353CC}">
              <c16:uniqueId val="{00000001-033E-47C0-95A0-386479BBCDE0}"/>
            </c:ext>
          </c:extLst>
        </c:ser>
        <c:ser>
          <c:idx val="2"/>
          <c:order val="2"/>
          <c:tx>
            <c:strRef>
              <c:f>'Bar graph_2024'!$E$142</c:f>
              <c:strCache>
                <c:ptCount val="1"/>
                <c:pt idx="0">
                  <c:v>Lake Back Water</c:v>
                </c:pt>
              </c:strCache>
            </c:strRef>
          </c:tx>
          <c:spPr>
            <a:ln w="28575" cap="rnd">
              <a:solidFill>
                <a:schemeClr val="accent3"/>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graph_2024'!$E$143:$E$154</c:f>
              <c:numCache>
                <c:formatCode>General</c:formatCode>
                <c:ptCount val="12"/>
                <c:pt idx="0">
                  <c:v>0.16</c:v>
                </c:pt>
                <c:pt idx="1">
                  <c:v>0.17</c:v>
                </c:pt>
                <c:pt idx="2">
                  <c:v>0.18</c:v>
                </c:pt>
                <c:pt idx="3">
                  <c:v>0.19</c:v>
                </c:pt>
                <c:pt idx="4">
                  <c:v>0.11</c:v>
                </c:pt>
                <c:pt idx="5" formatCode="0.000">
                  <c:v>0.1</c:v>
                </c:pt>
                <c:pt idx="6" formatCode="0.000">
                  <c:v>0.06</c:v>
                </c:pt>
                <c:pt idx="7" formatCode="0.00">
                  <c:v>0.08</c:v>
                </c:pt>
                <c:pt idx="8" formatCode="0.00">
                  <c:v>0.09</c:v>
                </c:pt>
                <c:pt idx="9" formatCode="0.00">
                  <c:v>0.19</c:v>
                </c:pt>
                <c:pt idx="10" formatCode="0.00">
                  <c:v>0.15</c:v>
                </c:pt>
                <c:pt idx="11" formatCode="0.00">
                  <c:v>0.12</c:v>
                </c:pt>
              </c:numCache>
            </c:numRef>
          </c:val>
          <c:smooth val="0"/>
          <c:extLst>
            <c:ext xmlns:c16="http://schemas.microsoft.com/office/drawing/2014/chart" uri="{C3380CC4-5D6E-409C-BE32-E72D297353CC}">
              <c16:uniqueId val="{00000002-033E-47C0-95A0-386479BBCDE0}"/>
            </c:ext>
          </c:extLst>
        </c:ser>
        <c:ser>
          <c:idx val="3"/>
          <c:order val="3"/>
          <c:tx>
            <c:strRef>
              <c:f>'Bar graph_2024'!$F$142</c:f>
              <c:strCache>
                <c:ptCount val="1"/>
                <c:pt idx="0">
                  <c:v>Acceptable </c:v>
                </c:pt>
              </c:strCache>
            </c:strRef>
          </c:tx>
          <c:spPr>
            <a:ln w="28575" cap="rnd">
              <a:solidFill>
                <a:schemeClr val="accent4"/>
              </a:solidFill>
              <a:round/>
            </a:ln>
            <a:effectLst/>
          </c:spPr>
          <c:marker>
            <c:symbol val="none"/>
          </c:marker>
          <c:cat>
            <c:numRef>
              <c:f>'Bar graph_2024'!$B$143:$B$154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graph_2024'!$F$143:$F$154</c:f>
              <c:numCache>
                <c:formatCode>0.0</c:formatCode>
                <c:ptCount val="12"/>
                <c:pt idx="0">
                  <c:v>0.3</c:v>
                </c:pt>
                <c:pt idx="1">
                  <c:v>0.3</c:v>
                </c:pt>
                <c:pt idx="2">
                  <c:v>0.3</c:v>
                </c:pt>
                <c:pt idx="3">
                  <c:v>0.3</c:v>
                </c:pt>
                <c:pt idx="4">
                  <c:v>0.3</c:v>
                </c:pt>
                <c:pt idx="5">
                  <c:v>0.3</c:v>
                </c:pt>
                <c:pt idx="6">
                  <c:v>0.3</c:v>
                </c:pt>
                <c:pt idx="7">
                  <c:v>0.3</c:v>
                </c:pt>
                <c:pt idx="8">
                  <c:v>0.3</c:v>
                </c:pt>
                <c:pt idx="9">
                  <c:v>0.3</c:v>
                </c:pt>
                <c:pt idx="10">
                  <c:v>0.3</c:v>
                </c:pt>
                <c:pt idx="11">
                  <c:v>0.3</c:v>
                </c:pt>
              </c:numCache>
            </c:numRef>
          </c:val>
          <c:smooth val="0"/>
          <c:extLst>
            <c:ext xmlns:c16="http://schemas.microsoft.com/office/drawing/2014/chart" uri="{C3380CC4-5D6E-409C-BE32-E72D297353CC}">
              <c16:uniqueId val="{00000003-033E-47C0-95A0-386479BBCDE0}"/>
            </c:ext>
          </c:extLst>
        </c:ser>
        <c:dLbls>
          <c:showLegendKey val="0"/>
          <c:showVal val="0"/>
          <c:showCatName val="0"/>
          <c:showSerName val="0"/>
          <c:showPercent val="0"/>
          <c:showBubbleSize val="0"/>
        </c:dLbls>
        <c:smooth val="0"/>
        <c:axId val="1735747775"/>
        <c:axId val="1735758815"/>
      </c:lineChart>
      <c:dateAx>
        <c:axId val="17357477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58815"/>
        <c:crosses val="autoZero"/>
        <c:auto val="1"/>
        <c:lblOffset val="100"/>
        <c:baseTimeUnit val="months"/>
      </c:dateAx>
      <c:valAx>
        <c:axId val="173575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Iron Value in mg/li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5747775"/>
        <c:crosses val="autoZero"/>
        <c:crossBetween val="between"/>
      </c:valAx>
      <c:spPr>
        <a:noFill/>
        <a:ln>
          <a:noFill/>
        </a:ln>
        <a:effectLst/>
      </c:spPr>
    </c:plotArea>
    <c:legend>
      <c:legendPos val="r"/>
      <c:layout>
        <c:manualLayout>
          <c:xMode val="edge"/>
          <c:yMode val="edge"/>
          <c:x val="2.2888697354389146E-2"/>
          <c:y val="2.1153076204457493E-3"/>
          <c:w val="0.90289979986267954"/>
          <c:h val="0.197746785889052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55497708576983"/>
          <c:y val="0.28077753779697623"/>
          <c:w val="0.765959029248654"/>
          <c:h val="0.44833194446806462"/>
        </c:manualLayout>
      </c:layout>
      <c:lineChart>
        <c:grouping val="standard"/>
        <c:varyColors val="0"/>
        <c:ser>
          <c:idx val="0"/>
          <c:order val="0"/>
          <c:tx>
            <c:strRef>
              <c:f>'Bar graph_2024'!$C$168</c:f>
              <c:strCache>
                <c:ptCount val="1"/>
                <c:pt idx="0">
                  <c:v>Inlet Lake Water</c:v>
                </c:pt>
              </c:strCache>
            </c:strRef>
          </c:tx>
          <c:spPr>
            <a:ln w="28575" cap="rnd">
              <a:solidFill>
                <a:schemeClr val="accent1"/>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graph_2024'!$C$169:$C$180</c:f>
              <c:numCache>
                <c:formatCode>General</c:formatCode>
                <c:ptCount val="12"/>
                <c:pt idx="0">
                  <c:v>148</c:v>
                </c:pt>
                <c:pt idx="1">
                  <c:v>150</c:v>
                </c:pt>
                <c:pt idx="2">
                  <c:v>152</c:v>
                </c:pt>
                <c:pt idx="3">
                  <c:v>144</c:v>
                </c:pt>
                <c:pt idx="4">
                  <c:v>120</c:v>
                </c:pt>
                <c:pt idx="5">
                  <c:v>116</c:v>
                </c:pt>
                <c:pt idx="6">
                  <c:v>56</c:v>
                </c:pt>
                <c:pt idx="7">
                  <c:v>64</c:v>
                </c:pt>
                <c:pt idx="8">
                  <c:v>60</c:v>
                </c:pt>
                <c:pt idx="9">
                  <c:v>146</c:v>
                </c:pt>
                <c:pt idx="10">
                  <c:v>140</c:v>
                </c:pt>
                <c:pt idx="11">
                  <c:v>130</c:v>
                </c:pt>
              </c:numCache>
            </c:numRef>
          </c:val>
          <c:smooth val="0"/>
          <c:extLst>
            <c:ext xmlns:c16="http://schemas.microsoft.com/office/drawing/2014/chart" uri="{C3380CC4-5D6E-409C-BE32-E72D297353CC}">
              <c16:uniqueId val="{00000000-E3F5-4F6F-A977-60E57B9554A4}"/>
            </c:ext>
          </c:extLst>
        </c:ser>
        <c:ser>
          <c:idx val="1"/>
          <c:order val="1"/>
          <c:tx>
            <c:strRef>
              <c:f>'Bar graph_2024'!$D$168</c:f>
              <c:strCache>
                <c:ptCount val="1"/>
                <c:pt idx="0">
                  <c:v>Lake Bund Middle</c:v>
                </c:pt>
              </c:strCache>
            </c:strRef>
          </c:tx>
          <c:spPr>
            <a:ln w="28575" cap="rnd">
              <a:solidFill>
                <a:schemeClr val="accent2"/>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graph_2024'!$D$169:$D$180</c:f>
              <c:numCache>
                <c:formatCode>General</c:formatCode>
                <c:ptCount val="12"/>
                <c:pt idx="0">
                  <c:v>132</c:v>
                </c:pt>
                <c:pt idx="1">
                  <c:v>130</c:v>
                </c:pt>
                <c:pt idx="2">
                  <c:v>132</c:v>
                </c:pt>
                <c:pt idx="3">
                  <c:v>130</c:v>
                </c:pt>
                <c:pt idx="4">
                  <c:v>122</c:v>
                </c:pt>
                <c:pt idx="5">
                  <c:v>186</c:v>
                </c:pt>
                <c:pt idx="6" formatCode="0">
                  <c:v>60</c:v>
                </c:pt>
                <c:pt idx="7" formatCode="0">
                  <c:v>64</c:v>
                </c:pt>
                <c:pt idx="8" formatCode="0">
                  <c:v>60</c:v>
                </c:pt>
                <c:pt idx="9" formatCode="0">
                  <c:v>148</c:v>
                </c:pt>
                <c:pt idx="10" formatCode="0">
                  <c:v>140</c:v>
                </c:pt>
                <c:pt idx="11" formatCode="0">
                  <c:v>130</c:v>
                </c:pt>
              </c:numCache>
            </c:numRef>
          </c:val>
          <c:smooth val="0"/>
          <c:extLst>
            <c:ext xmlns:c16="http://schemas.microsoft.com/office/drawing/2014/chart" uri="{C3380CC4-5D6E-409C-BE32-E72D297353CC}">
              <c16:uniqueId val="{00000001-E3F5-4F6F-A977-60E57B9554A4}"/>
            </c:ext>
          </c:extLst>
        </c:ser>
        <c:ser>
          <c:idx val="2"/>
          <c:order val="2"/>
          <c:tx>
            <c:strRef>
              <c:f>'Bar graph_2024'!$E$168</c:f>
              <c:strCache>
                <c:ptCount val="1"/>
                <c:pt idx="0">
                  <c:v>Lake Back Water</c:v>
                </c:pt>
              </c:strCache>
            </c:strRef>
          </c:tx>
          <c:spPr>
            <a:ln w="28575" cap="rnd">
              <a:solidFill>
                <a:schemeClr val="accent3"/>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graph_2024'!$E$169:$E$180</c:f>
              <c:numCache>
                <c:formatCode>General</c:formatCode>
                <c:ptCount val="12"/>
                <c:pt idx="0">
                  <c:v>130</c:v>
                </c:pt>
                <c:pt idx="1">
                  <c:v>132</c:v>
                </c:pt>
                <c:pt idx="2">
                  <c:v>138</c:v>
                </c:pt>
                <c:pt idx="3">
                  <c:v>134</c:v>
                </c:pt>
                <c:pt idx="4">
                  <c:v>116</c:v>
                </c:pt>
                <c:pt idx="5">
                  <c:v>112</c:v>
                </c:pt>
                <c:pt idx="6" formatCode="0">
                  <c:v>68</c:v>
                </c:pt>
                <c:pt idx="7" formatCode="0">
                  <c:v>70</c:v>
                </c:pt>
                <c:pt idx="8" formatCode="0">
                  <c:v>74</c:v>
                </c:pt>
                <c:pt idx="9" formatCode="0">
                  <c:v>150</c:v>
                </c:pt>
                <c:pt idx="10" formatCode="0">
                  <c:v>142</c:v>
                </c:pt>
                <c:pt idx="11" formatCode="0">
                  <c:v>136</c:v>
                </c:pt>
              </c:numCache>
            </c:numRef>
          </c:val>
          <c:smooth val="0"/>
          <c:extLst>
            <c:ext xmlns:c16="http://schemas.microsoft.com/office/drawing/2014/chart" uri="{C3380CC4-5D6E-409C-BE32-E72D297353CC}">
              <c16:uniqueId val="{00000002-E3F5-4F6F-A977-60E57B9554A4}"/>
            </c:ext>
          </c:extLst>
        </c:ser>
        <c:ser>
          <c:idx val="3"/>
          <c:order val="3"/>
          <c:tx>
            <c:strRef>
              <c:f>'Bar graph_2024'!$F$168</c:f>
              <c:strCache>
                <c:ptCount val="1"/>
                <c:pt idx="0">
                  <c:v>Acceptable </c:v>
                </c:pt>
              </c:strCache>
            </c:strRef>
          </c:tx>
          <c:spPr>
            <a:ln w="28575" cap="rnd">
              <a:solidFill>
                <a:schemeClr val="accent4"/>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graph_2024'!$F$169:$F$180</c:f>
              <c:numCache>
                <c:formatCode>0</c:formatCode>
                <c:ptCount val="12"/>
                <c:pt idx="0">
                  <c:v>250</c:v>
                </c:pt>
                <c:pt idx="1">
                  <c:v>250</c:v>
                </c:pt>
                <c:pt idx="2">
                  <c:v>250</c:v>
                </c:pt>
                <c:pt idx="3">
                  <c:v>250</c:v>
                </c:pt>
                <c:pt idx="4">
                  <c:v>250</c:v>
                </c:pt>
                <c:pt idx="5">
                  <c:v>250</c:v>
                </c:pt>
                <c:pt idx="6">
                  <c:v>250</c:v>
                </c:pt>
                <c:pt idx="7">
                  <c:v>250</c:v>
                </c:pt>
                <c:pt idx="8">
                  <c:v>250</c:v>
                </c:pt>
                <c:pt idx="9">
                  <c:v>250</c:v>
                </c:pt>
                <c:pt idx="10">
                  <c:v>250</c:v>
                </c:pt>
                <c:pt idx="11">
                  <c:v>250</c:v>
                </c:pt>
              </c:numCache>
            </c:numRef>
          </c:val>
          <c:smooth val="0"/>
          <c:extLst>
            <c:ext xmlns:c16="http://schemas.microsoft.com/office/drawing/2014/chart" uri="{C3380CC4-5D6E-409C-BE32-E72D297353CC}">
              <c16:uniqueId val="{00000003-E3F5-4F6F-A977-60E57B9554A4}"/>
            </c:ext>
          </c:extLst>
        </c:ser>
        <c:ser>
          <c:idx val="4"/>
          <c:order val="4"/>
          <c:tx>
            <c:strRef>
              <c:f>'Bar graph_2024'!$G$168</c:f>
              <c:strCache>
                <c:ptCount val="1"/>
                <c:pt idx="0">
                  <c:v>Permissilbe</c:v>
                </c:pt>
              </c:strCache>
            </c:strRef>
          </c:tx>
          <c:spPr>
            <a:ln w="28575" cap="rnd">
              <a:solidFill>
                <a:schemeClr val="accent5"/>
              </a:solidFill>
              <a:round/>
            </a:ln>
            <a:effectLst/>
          </c:spPr>
          <c:marker>
            <c:symbol val="none"/>
          </c:marker>
          <c:cat>
            <c:numRef>
              <c:f>'Bar graph_2024'!$B$169:$B$180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graph_2024'!$G$169:$G$180</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4-E3F5-4F6F-A977-60E57B9554A4}"/>
            </c:ext>
          </c:extLst>
        </c:ser>
        <c:dLbls>
          <c:showLegendKey val="0"/>
          <c:showVal val="0"/>
          <c:showCatName val="0"/>
          <c:showSerName val="0"/>
          <c:showPercent val="0"/>
          <c:showBubbleSize val="0"/>
        </c:dLbls>
        <c:smooth val="0"/>
        <c:axId val="1545772559"/>
        <c:axId val="1545780719"/>
      </c:lineChart>
      <c:dateAx>
        <c:axId val="154577255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80719"/>
        <c:crosses val="autoZero"/>
        <c:auto val="1"/>
        <c:lblOffset val="100"/>
        <c:baseTimeUnit val="months"/>
      </c:dateAx>
      <c:valAx>
        <c:axId val="1545780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Chloride Content in mg/li</a:t>
                </a:r>
              </a:p>
            </c:rich>
          </c:tx>
          <c:layout>
            <c:manualLayout>
              <c:xMode val="edge"/>
              <c:yMode val="edge"/>
              <c:x val="1.8252338580880677E-2"/>
              <c:y val="0.165586753059755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772559"/>
        <c:crosses val="autoZero"/>
        <c:crossBetween val="between"/>
      </c:valAx>
      <c:spPr>
        <a:noFill/>
        <a:ln>
          <a:noFill/>
        </a:ln>
        <a:effectLst/>
      </c:spPr>
    </c:plotArea>
    <c:legend>
      <c:legendPos val="r"/>
      <c:layout>
        <c:manualLayout>
          <c:xMode val="edge"/>
          <c:yMode val="edge"/>
          <c:x val="0.11628931393842708"/>
          <c:y val="3.9682998588459382E-2"/>
          <c:w val="0.85633217819025187"/>
          <c:h val="0.21509044630760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4843577721101"/>
          <c:y val="0.19900497512437812"/>
          <c:w val="0.83781532258962665"/>
          <c:h val="0.62602812708112976"/>
        </c:manualLayout>
      </c:layout>
      <c:lineChart>
        <c:grouping val="standard"/>
        <c:varyColors val="0"/>
        <c:ser>
          <c:idx val="0"/>
          <c:order val="0"/>
          <c:tx>
            <c:strRef>
              <c:f>'Bar graph_2024'!$D$283</c:f>
              <c:strCache>
                <c:ptCount val="1"/>
                <c:pt idx="0">
                  <c:v>Inlet Lake Water</c:v>
                </c:pt>
              </c:strCache>
            </c:strRef>
          </c:tx>
          <c:spPr>
            <a:ln w="28575" cap="rnd">
              <a:solidFill>
                <a:schemeClr val="accent1"/>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graph_2024'!$D$284:$D$295</c:f>
              <c:numCache>
                <c:formatCode>General</c:formatCode>
                <c:ptCount val="12"/>
                <c:pt idx="0">
                  <c:v>72</c:v>
                </c:pt>
                <c:pt idx="1">
                  <c:v>76</c:v>
                </c:pt>
                <c:pt idx="2">
                  <c:v>72</c:v>
                </c:pt>
                <c:pt idx="3">
                  <c:v>64</c:v>
                </c:pt>
                <c:pt idx="4">
                  <c:v>38</c:v>
                </c:pt>
                <c:pt idx="5">
                  <c:v>44</c:v>
                </c:pt>
                <c:pt idx="6">
                  <c:v>24</c:v>
                </c:pt>
                <c:pt idx="7">
                  <c:v>20</c:v>
                </c:pt>
                <c:pt idx="8">
                  <c:v>18</c:v>
                </c:pt>
                <c:pt idx="9">
                  <c:v>11</c:v>
                </c:pt>
                <c:pt idx="10">
                  <c:v>3</c:v>
                </c:pt>
                <c:pt idx="11">
                  <c:v>2</c:v>
                </c:pt>
              </c:numCache>
            </c:numRef>
          </c:val>
          <c:smooth val="0"/>
          <c:extLst>
            <c:ext xmlns:c16="http://schemas.microsoft.com/office/drawing/2014/chart" uri="{C3380CC4-5D6E-409C-BE32-E72D297353CC}">
              <c16:uniqueId val="{00000000-612C-47F7-92D7-D62B316959F9}"/>
            </c:ext>
          </c:extLst>
        </c:ser>
        <c:ser>
          <c:idx val="1"/>
          <c:order val="1"/>
          <c:tx>
            <c:strRef>
              <c:f>'Bar graph_2024'!$E$283</c:f>
              <c:strCache>
                <c:ptCount val="1"/>
                <c:pt idx="0">
                  <c:v>Lake Bund Middle</c:v>
                </c:pt>
              </c:strCache>
            </c:strRef>
          </c:tx>
          <c:spPr>
            <a:ln w="28575" cap="rnd">
              <a:solidFill>
                <a:schemeClr val="accent2"/>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graph_2024'!$E$284:$E$295</c:f>
              <c:numCache>
                <c:formatCode>General</c:formatCode>
                <c:ptCount val="12"/>
                <c:pt idx="0">
                  <c:v>66</c:v>
                </c:pt>
                <c:pt idx="1">
                  <c:v>60</c:v>
                </c:pt>
                <c:pt idx="2">
                  <c:v>64</c:v>
                </c:pt>
                <c:pt idx="3">
                  <c:v>60</c:v>
                </c:pt>
                <c:pt idx="4">
                  <c:v>54</c:v>
                </c:pt>
                <c:pt idx="5">
                  <c:v>60</c:v>
                </c:pt>
                <c:pt idx="6" formatCode="0">
                  <c:v>20</c:v>
                </c:pt>
                <c:pt idx="7" formatCode="0">
                  <c:v>20</c:v>
                </c:pt>
                <c:pt idx="8" formatCode="0">
                  <c:v>20</c:v>
                </c:pt>
                <c:pt idx="9" formatCode="0">
                  <c:v>4</c:v>
                </c:pt>
                <c:pt idx="10" formatCode="0">
                  <c:v>5</c:v>
                </c:pt>
                <c:pt idx="11" formatCode="0">
                  <c:v>4</c:v>
                </c:pt>
              </c:numCache>
            </c:numRef>
          </c:val>
          <c:smooth val="0"/>
          <c:extLst>
            <c:ext xmlns:c16="http://schemas.microsoft.com/office/drawing/2014/chart" uri="{C3380CC4-5D6E-409C-BE32-E72D297353CC}">
              <c16:uniqueId val="{00000001-612C-47F7-92D7-D62B316959F9}"/>
            </c:ext>
          </c:extLst>
        </c:ser>
        <c:ser>
          <c:idx val="2"/>
          <c:order val="2"/>
          <c:tx>
            <c:strRef>
              <c:f>'Bar graph_2024'!$F$283</c:f>
              <c:strCache>
                <c:ptCount val="1"/>
                <c:pt idx="0">
                  <c:v>Lake Back Water</c:v>
                </c:pt>
              </c:strCache>
            </c:strRef>
          </c:tx>
          <c:spPr>
            <a:ln w="28575" cap="rnd">
              <a:solidFill>
                <a:schemeClr val="accent3"/>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graph_2024'!$F$284:$F$295</c:f>
              <c:numCache>
                <c:formatCode>General</c:formatCode>
                <c:ptCount val="12"/>
                <c:pt idx="0">
                  <c:v>78</c:v>
                </c:pt>
                <c:pt idx="1">
                  <c:v>80</c:v>
                </c:pt>
                <c:pt idx="2">
                  <c:v>82</c:v>
                </c:pt>
                <c:pt idx="3">
                  <c:v>74</c:v>
                </c:pt>
                <c:pt idx="4">
                  <c:v>68</c:v>
                </c:pt>
                <c:pt idx="5">
                  <c:v>76</c:v>
                </c:pt>
                <c:pt idx="6" formatCode="0">
                  <c:v>50</c:v>
                </c:pt>
                <c:pt idx="7" formatCode="0">
                  <c:v>54</c:v>
                </c:pt>
                <c:pt idx="8" formatCode="0">
                  <c:v>62</c:v>
                </c:pt>
                <c:pt idx="9" formatCode="0">
                  <c:v>6</c:v>
                </c:pt>
                <c:pt idx="10" formatCode="0">
                  <c:v>5</c:v>
                </c:pt>
                <c:pt idx="11" formatCode="0">
                  <c:v>5</c:v>
                </c:pt>
              </c:numCache>
            </c:numRef>
          </c:val>
          <c:smooth val="0"/>
          <c:extLst>
            <c:ext xmlns:c16="http://schemas.microsoft.com/office/drawing/2014/chart" uri="{C3380CC4-5D6E-409C-BE32-E72D297353CC}">
              <c16:uniqueId val="{00000002-612C-47F7-92D7-D62B316959F9}"/>
            </c:ext>
          </c:extLst>
        </c:ser>
        <c:ser>
          <c:idx val="3"/>
          <c:order val="3"/>
          <c:tx>
            <c:strRef>
              <c:f>'Bar graph_2024'!$G$283</c:f>
              <c:strCache>
                <c:ptCount val="1"/>
                <c:pt idx="0">
                  <c:v>Acceptable </c:v>
                </c:pt>
              </c:strCache>
            </c:strRef>
          </c:tx>
          <c:spPr>
            <a:ln w="28575" cap="rnd">
              <a:solidFill>
                <a:schemeClr val="accent4"/>
              </a:solidFill>
              <a:round/>
            </a:ln>
            <a:effectLst/>
          </c:spPr>
          <c:marker>
            <c:symbol val="none"/>
          </c:marker>
          <c:cat>
            <c:numRef>
              <c:f>'Bar graph_2024'!$C$284:$C$295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'Bar graph_2024'!$G$284:$G$295</c:f>
              <c:numCache>
                <c:formatCode>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612C-47F7-92D7-D62B316959F9}"/>
            </c:ext>
          </c:extLst>
        </c:ser>
        <c:dLbls>
          <c:showLegendKey val="0"/>
          <c:showVal val="0"/>
          <c:showCatName val="0"/>
          <c:showSerName val="0"/>
          <c:showPercent val="0"/>
          <c:showBubbleSize val="0"/>
        </c:dLbls>
        <c:smooth val="0"/>
        <c:axId val="1716561839"/>
        <c:axId val="1716564239"/>
      </c:lineChart>
      <c:dateAx>
        <c:axId val="171656183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64239"/>
        <c:crosses val="autoZero"/>
        <c:auto val="1"/>
        <c:lblOffset val="100"/>
        <c:baseTimeUnit val="months"/>
      </c:dateAx>
      <c:valAx>
        <c:axId val="171656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BOD content</a:t>
                </a:r>
                <a:r>
                  <a:rPr lang="en-IN" baseline="0"/>
                  <a:t> mg/li</a:t>
                </a:r>
                <a:endParaRPr lang="en-IN"/>
              </a:p>
            </c:rich>
          </c:tx>
          <c:layout>
            <c:manualLayout>
              <c:xMode val="edge"/>
              <c:yMode val="edge"/>
              <c:x val="4.7147571900047151E-3"/>
              <c:y val="0.2917079954557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6561839"/>
        <c:crosses val="autoZero"/>
        <c:crossBetween val="between"/>
      </c:valAx>
      <c:spPr>
        <a:noFill/>
        <a:ln>
          <a:noFill/>
        </a:ln>
        <a:effectLst/>
      </c:spPr>
    </c:plotArea>
    <c:legend>
      <c:legendPos val="r"/>
      <c:layout>
        <c:manualLayout>
          <c:xMode val="edge"/>
          <c:yMode val="edge"/>
          <c:x val="6.7647484658477112E-3"/>
          <c:y val="3.979864457241352E-2"/>
          <c:w val="0.95551719401411461"/>
          <c:h val="0.10945743722333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8575" cap="flat" cmpd="sng" algn="ctr">
      <a:solidFill>
        <a:schemeClr val="tx2">
          <a:lumMod val="60000"/>
          <a:lumOff val="4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2502</Words>
  <Characters>14263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theaisha1707@gmail.com</cp:lastModifiedBy>
  <cp:revision>3</cp:revision>
  <dcterms:created xsi:type="dcterms:W3CDTF">2026-03-26T03:47:00Z</dcterms:created>
  <dcterms:modified xsi:type="dcterms:W3CDTF">2026-03-26T11:14:00Z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02e37be4-5211-4203-b02a-426cb9daad00</vt:lpwstr>
  </property>
</Properties>
</file>