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55C" w:rsidRDefault="00EE3472">
      <w:pPr>
        <w:spacing w:after="120"/>
        <w:jc w:val="center"/>
      </w:pPr>
      <w:r>
        <w:rPr>
          <w:b/>
          <w:bCs/>
          <w:sz w:val="32"/>
          <w:szCs w:val="32"/>
        </w:rPr>
        <w:t>SmartNest: A Neuro-Symbolic Framework for Personalised Portfolio Optimisation</w:t>
      </w:r>
    </w:p>
    <w:p w:rsidR="0012555C" w:rsidRDefault="00EE3472">
      <w:pPr>
        <w:spacing w:before="100" w:after="40"/>
      </w:pPr>
      <w:bookmarkStart w:id="0" w:name="_GoBack"/>
      <w:bookmarkEnd w:id="0"/>
      <w:r>
        <w:rPr>
          <w:b/>
          <w:bCs/>
        </w:rPr>
        <w:t>Abstract—</w:t>
      </w:r>
      <w:r>
        <w:t>SmartNest, a neuro-symbolic model, is a unification of deterministic quantitative evaluation and Large Language Model (LLM) logic in personalised optimisation of equity por</w:t>
      </w:r>
      <w:r>
        <w:t>tfolios, aimed at the Indian retail investor. The architecture introduces a high level of architectural separation of concerns, with a deterministic perception layer processing data ingestion, and symbolic grounding on six dimensions of analysis—fundamenta</w:t>
      </w:r>
      <w:r>
        <w:t>l analysis, technical analysis, sector macroeconomic conditioning, news intelligence, social media sentiment, and sector hierarchy construction—a Gemini-powered cognitive reasoning engine making structured qualitative inferences on the resulting symbolic r</w:t>
      </w:r>
      <w:r>
        <w:t>epresentations. The macroeconomic state is described using 10 indicators, scraped from authoritative sources and conditioned on a 12-sector taxonomy based on 260+ equities listed on the NSE. A three-layered progressive news summarisation processor maintain</w:t>
      </w:r>
      <w:r>
        <w:t>s a consistent temporal narrative state that records long-horizon event dependencies. A dynamic weighted-feature risk profiling module will further risk-profile capital allocation based on an investor's financial strength and psychological tolerance. The o</w:t>
      </w:r>
      <w:r>
        <w:t>ptimisation of Modern Portfolio Theory is based on maximising the Sharpe Ratio using Sequential Least Squares Programming (SLSQP) to determine the final portfolio weights and is tested on 50,000 Monte Carlo simulations of the efficient frontier. Backtestin</w:t>
      </w:r>
      <w:r>
        <w:t xml:space="preserve">g of the Nifty 50 universe over 3 years (January 2022–January 2025) shows a Sharpe ratio of 0.920, a Compound Annual Growth rate of 24.5%, and a maximum drawdown of −14.2%, which is superior to a classical, unfiltered Markowitz optimiser and a risk-parity </w:t>
      </w:r>
      <w:r>
        <w:t>baseline. A statistical test of the contributions by the Temporal Recursive Summarisation (TRS) mechanism and sector macroeconomic conditioning module is statistically significant.</w:t>
      </w:r>
    </w:p>
    <w:p w:rsidR="0012555C" w:rsidRDefault="00EE3472">
      <w:pPr>
        <w:spacing w:before="60" w:after="120"/>
      </w:pPr>
      <w:r>
        <w:rPr>
          <w:b/>
          <w:bCs/>
        </w:rPr>
        <w:t>Index Terms—</w:t>
      </w:r>
      <w:r>
        <w:t>Neuro-symbolic AI, portfolio optimisation, Modern Portfolio The</w:t>
      </w:r>
      <w:r>
        <w:t>ory, Sharpe ratio, large language models, sentiment analysis, temporal recursive summarisation, risk profiling, Indian equity markets, SLSQP</w:t>
      </w:r>
    </w:p>
    <w:p w:rsidR="0012555C" w:rsidRDefault="00EE3472">
      <w:pPr>
        <w:pStyle w:val="Heading1"/>
      </w:pPr>
      <w:r>
        <w:t>I. INTRODUCTION</w:t>
      </w:r>
    </w:p>
    <w:p w:rsidR="0012555C" w:rsidRDefault="00EE3472">
      <w:pPr>
        <w:spacing w:before="60" w:after="60" w:line="276" w:lineRule="auto"/>
        <w:jc w:val="both"/>
      </w:pPr>
      <w:r>
        <w:t>The rapid digitalisation of financial services and low-cost investment options have greatly increas</w:t>
      </w:r>
      <w:r>
        <w:t>ed retail investors in India. Commission-free brokerages, fractional share ownership, and simplified onboarding have lowered barriers to equity market entry, leading to millions of first-time investors, mainly young professionals. Yet, this market access h</w:t>
      </w:r>
      <w:r>
        <w:t>as revealed a structural issue: many new investors lack the financial literacy to make sound long-term decisions.</w:t>
      </w:r>
    </w:p>
    <w:p w:rsidR="0012555C" w:rsidRDefault="00EE3472">
      <w:pPr>
        <w:spacing w:before="60" w:after="60" w:line="276" w:lineRule="auto"/>
        <w:jc w:val="both"/>
      </w:pPr>
      <w:r>
        <w:t>A survey by the National Institute of Securities Markets (NISM) found only 24% of respondents understood finance and financial instruments [5]</w:t>
      </w:r>
      <w:r>
        <w:t>. The rest are more vulnerable to misinformation and emotional decisions. This lack of financial literacy is worsened by cognitive biases. Market rallies and corrections are amplified by herd behaviour, where individuals follow others rather than conductin</w:t>
      </w:r>
      <w:r>
        <w:t>g independent analysis [6]. Short-term price movements spark emotional responses, such as panic selling and overoptimism, hurting long-term outcomes [7]. Traditional household investments, like gold and fixed deposits, though culturally important in India,</w:t>
      </w:r>
      <w:r>
        <w:t xml:space="preserve"> consistently yield lower inflation-adjusted returns than diversified equity portfolios [5].</w:t>
      </w:r>
    </w:p>
    <w:p w:rsidR="0012555C" w:rsidRDefault="00EE3472">
      <w:pPr>
        <w:spacing w:before="60" w:after="60" w:line="276" w:lineRule="auto"/>
        <w:jc w:val="both"/>
      </w:pPr>
      <w:r>
        <w:t>Current Indian market AI advisory services use two main approaches: quantitative strategies based on Modern Portfolio Theory (MPT) [1] and its variants, or sentime</w:t>
      </w:r>
      <w:r>
        <w:t>nt analysis pipelines that process financial news without integrating results into a coherent decision framework. MPT-based models offer mathematical precision and transparency but do not account for qualitative factors like regulatory shifts, corporate go</w:t>
      </w:r>
      <w:r>
        <w:t>vernance, or macroeconomic regime changes. In contrast, LLM-driven financial reasoning systems [10, 9] offer richer context but may produce hallucinations, inconsistencies across long contexts, and lack optimality guarantees [11]. These systems also separa</w:t>
      </w:r>
      <w:r>
        <w:t>te quantitative estimation from qualitative semantic inference. The design strategy is clear: all data perception and symbolic grounding should use deterministic algorithms for reproducibility and reduced hallucination risk. Large Language Models should on</w:t>
      </w:r>
      <w:r>
        <w:t>ly reason over pre-verified symbolic data to enhance reliability. This approach aligns with neuro-symbolic AI studies [15], which show that combining symbolic and sub-symbolic computation yields more robust systems than using either alone.</w:t>
      </w:r>
    </w:p>
    <w:p w:rsidR="0012555C" w:rsidRDefault="00EE3472">
      <w:pPr>
        <w:spacing w:before="60" w:after="60" w:line="276" w:lineRule="auto"/>
        <w:jc w:val="both"/>
      </w:pPr>
      <w:r>
        <w:lastRenderedPageBreak/>
        <w:t xml:space="preserve">This work makes </w:t>
      </w:r>
      <w:r>
        <w:t>several contributions. First, it develops a six-dimensional deterministic perception layer for Indian equity analysis, including automated sector hierarchy construction and sector-conditioned macroeconomic reasoning. Second, it introduces a Temporal Recurs</w:t>
      </w:r>
      <w:r>
        <w:t>ive Summarisation (TRS) mechanism to maintain a continuous news narrative, preserving long-term event links typically lost in single-window summaries. Third, it proposes and evaluates a time-varying, weighted investor risk-profiling model on 10,000 synthet</w:t>
      </w:r>
      <w:r>
        <w:t>ic investor profiles reflecting real demographics. Finally, backtesting and ablation studies show the neuro-symbolic pipeline achieves better risk-adjusted returns than classical optimisation baselines.</w:t>
      </w:r>
    </w:p>
    <w:p w:rsidR="0012555C" w:rsidRDefault="00EE3472">
      <w:pPr>
        <w:spacing w:before="60" w:after="60" w:line="276" w:lineRule="auto"/>
        <w:jc w:val="both"/>
      </w:pPr>
      <w:r>
        <w:t>The paper is structured as follows: Section II review</w:t>
      </w:r>
      <w:r>
        <w:t>s related work, Section III describes SmartNest's methodology and architecture, Section IV presents experimental results, ablation analysis, and risk model validation, and Section V outlines future research directions.</w:t>
      </w:r>
    </w:p>
    <w:p w:rsidR="0012555C" w:rsidRDefault="00EE3472">
      <w:pPr>
        <w:pStyle w:val="Heading1"/>
      </w:pPr>
      <w:r>
        <w:t>II. RELATED WORK</w:t>
      </w:r>
    </w:p>
    <w:p w:rsidR="0012555C" w:rsidRDefault="00EE3472">
      <w:pPr>
        <w:pStyle w:val="Heading2"/>
      </w:pPr>
      <w:r>
        <w:t xml:space="preserve">A. Modern Portfolio </w:t>
      </w:r>
      <w:r>
        <w:t>Theory and Its Extensions</w:t>
      </w:r>
    </w:p>
    <w:p w:rsidR="0012555C" w:rsidRDefault="00EE3472">
      <w:pPr>
        <w:spacing w:before="60" w:after="60" w:line="276" w:lineRule="auto"/>
        <w:jc w:val="both"/>
      </w:pPr>
      <w:r>
        <w:t>Markowitz [1] established the quantitative foundation for portfolio management with the mean-variance optimisation model, formalising diversification to achieve specific expected returns with reduced variance. Sharpe [2] introduce</w:t>
      </w:r>
      <w:r>
        <w:t>d the Capital Asset Pricing Model (CAPM) and the Sharpe Ratio, a standard risk-adjusted performance measure. Later models, such as Black-Litterman [3] and risk parity [4], refined MPT by incorporating investor opinions and balancing asset risk contribution</w:t>
      </w:r>
      <w:r>
        <w:t>s. However, all MPT-based models rely on past returns to estimate future performance. This means they cannot directly incorporate forward-looking, qualitative data such as regulatory changes or macroeconomic risks.</w:t>
      </w:r>
    </w:p>
    <w:p w:rsidR="0012555C" w:rsidRDefault="00EE3472">
      <w:pPr>
        <w:pStyle w:val="Heading2"/>
      </w:pPr>
      <w:r>
        <w:t>B. Sentiment Analysis and News in Finance</w:t>
      </w:r>
    </w:p>
    <w:p w:rsidR="0012555C" w:rsidRDefault="00EE3472">
      <w:pPr>
        <w:spacing w:before="60" w:after="60" w:line="276" w:lineRule="auto"/>
        <w:jc w:val="both"/>
      </w:pPr>
      <w:r>
        <w:t>Early research on financial sentiment analysis revealed that textual cues in news could predict short-term price movements [20, 21]. Transformer language models [8] have improved the field, enabling detailed semantic understanding of financial language. M</w:t>
      </w:r>
      <w:r>
        <w:t>odels trained on financial texts outperform generic models in sentiment tasks [9]. More recent studies merge various sources—exchange filings, social media, and macroeconomic commentary—into a unified market signal [19, 14]. A major limitation remains: sen</w:t>
      </w:r>
      <w:r>
        <w:t>timent analysis methods often ignore financial context and cannot always show if changes in sentiment have real financial impacts on specific assets.</w:t>
      </w:r>
    </w:p>
    <w:p w:rsidR="0012555C" w:rsidRDefault="00EE3472">
      <w:pPr>
        <w:pStyle w:val="Heading2"/>
      </w:pPr>
      <w:r>
        <w:t>C. Large Language Models for Financial Reasoning</w:t>
      </w:r>
    </w:p>
    <w:p w:rsidR="0012555C" w:rsidRDefault="00EE3472">
      <w:pPr>
        <w:spacing w:before="60" w:after="60" w:line="276" w:lineRule="auto"/>
        <w:jc w:val="both"/>
      </w:pPr>
      <w:r>
        <w:t>The development of the massive generative models has crea</w:t>
      </w:r>
      <w:r>
        <w:t>ted new opportunities in financial analysis. The model with 50 billion parameters, trained on a filtered financial corpus of 363 billion tokens, outperforms general-purpose models of comparable size on financial metrics [10]. It was found that the predicti</w:t>
      </w:r>
      <w:r>
        <w:t>ons of the stock returns the next day of the news headings produced by the LLM have statistically significant predictive value, the first evidence of the ability of LLMs to encode actionable financial information [12]. Nevertheless, even with these improve</w:t>
      </w:r>
      <w:r>
        <w:t xml:space="preserve">ments, any of the mentioned either explicitly uses LLMs on raw financial data (which risks being perceived as hallucinated quantitative statements) or fails to directly incorporate LLM signals into a principled portfolio optimisation model with respect to </w:t>
      </w:r>
      <w:r>
        <w:t>risk management [11, 13].</w:t>
      </w:r>
    </w:p>
    <w:p w:rsidR="0012555C" w:rsidRDefault="00EE3472">
      <w:pPr>
        <w:pStyle w:val="Heading2"/>
      </w:pPr>
      <w:r>
        <w:t>D. Neuro-Symbolic AI</w:t>
      </w:r>
    </w:p>
    <w:p w:rsidR="0012555C" w:rsidRDefault="00EE3472">
      <w:pPr>
        <w:spacing w:before="60" w:after="60" w:line="276" w:lineRule="auto"/>
        <w:jc w:val="both"/>
      </w:pPr>
      <w:r>
        <w:t>The neuro-symbolic paradigm [15, 16] points out that strong intelligent systems must have the complementary advantages of symbolic reasoning, expressibility, interpretability, formal guarantees, neural learnin</w:t>
      </w:r>
      <w:r>
        <w:t>g, pattern recognition, and the ability to handle ambiguity and unstructured data. In the financial context, this can be directly translated to mean that quantitative analysis and qualitative reasoning must be separated in architecture rather than mixed. T</w:t>
      </w:r>
      <w:r>
        <w:t xml:space="preserve">his principle was applied to MarketSense AI [17], which subdivided the financial analysis into separate reasoning modules and achieved lower rates of LLM hallucinations when the models were run on structured </w:t>
      </w:r>
      <w:r>
        <w:lastRenderedPageBreak/>
        <w:t>analytical buckets rather than raw data. SmartNe</w:t>
      </w:r>
      <w:r>
        <w:t>st builds on this architecture with new dimensions of analysis, a persistent temporal memory mechanism and is combined with a full portfolio optimisation pipeline.</w:t>
      </w:r>
    </w:p>
    <w:p w:rsidR="0012555C" w:rsidRDefault="00EE3472">
      <w:pPr>
        <w:pStyle w:val="Heading2"/>
      </w:pPr>
      <w:r>
        <w:t>E. Investor Risk Profiling</w:t>
      </w:r>
    </w:p>
    <w:p w:rsidR="0012555C" w:rsidRDefault="00EE3472">
      <w:pPr>
        <w:spacing w:before="60" w:after="60" w:line="276" w:lineRule="auto"/>
        <w:jc w:val="both"/>
      </w:pPr>
      <w:r>
        <w:t>Early psychometric risk assessment instrument methodology [18] has provided a distinction between risk capacity (objective financial readiness, ability to absorb losses) and risk tolerance (subjective psychology toward embracing risk). This was later valid</w:t>
      </w:r>
      <w:r>
        <w:t>ated by empirical investigation in behavioural finance [7], which found that the two dimensions are systematically dissociated and must be measured separately. Current robo-advisor systems typically use a fixed set of questionnaire-based risk scores that d</w:t>
      </w:r>
      <w:r>
        <w:t>o not account for the dynamic relationship between financial constraints and psychological biases. The SmartNest weighted feature model addresses this shortcoming by co-optimising the two dimensions using a calibrated scoring function.</w:t>
      </w:r>
    </w:p>
    <w:p w:rsidR="0012555C" w:rsidRDefault="00EE3472">
      <w:pPr>
        <w:pStyle w:val="Heading1"/>
      </w:pPr>
      <w:r>
        <w:t>III. METHODOLOGY</w:t>
      </w:r>
    </w:p>
    <w:p w:rsidR="0012555C" w:rsidRDefault="00EE3472">
      <w:pPr>
        <w:spacing w:before="60" w:after="60" w:line="276" w:lineRule="auto"/>
        <w:jc w:val="both"/>
      </w:pPr>
      <w:r>
        <w:t>The</w:t>
      </w:r>
      <w:r>
        <w:t xml:space="preserve"> SmartNest pipeline comprises four consecutive stages: (A) Deterministic Perception and Symbolic Grounding, (B) Cognitive Reasoning Engine, (C) Investor Risk Validation, and (D) Mathematical Portfolio Optimisation. The data travel over the pipeline in the </w:t>
      </w:r>
      <w:r>
        <w:t>form of raw multi-modal inputs, such as financial statements, price series, macroeconomic reports, news corpora, and social media streams, into structured symbolic representations, on the basis of qualitative reasoning, on the basis of individual risk filt</w:t>
      </w:r>
      <w:r>
        <w:t>ering, and into a mathematically optimised capital allocation vector.</w:t>
      </w:r>
    </w:p>
    <w:p w:rsidR="0012555C" w:rsidRDefault="00EE3472">
      <w:pPr>
        <w:pStyle w:val="Heading2"/>
      </w:pPr>
      <w:r>
        <w:t>A. Deterministic Perception and Symbolic Grounding</w:t>
      </w:r>
    </w:p>
    <w:p w:rsidR="0012555C" w:rsidRDefault="00EE3472">
      <w:pPr>
        <w:spacing w:before="60" w:after="60" w:line="276" w:lineRule="auto"/>
        <w:jc w:val="both"/>
      </w:pPr>
      <w:r>
        <w:t xml:space="preserve">It is the perception layer that converts heterogeneous raw data sources into verified symbolic representations that fully describe the </w:t>
      </w:r>
      <w:r>
        <w:t>financial condition, technical placement, macroeconomic environment, and information environment of each asset. The architecture allows all quantitative computation to be run on a verified, reproducible set of features, rather than on unclear number sequen</w:t>
      </w:r>
      <w:r>
        <w:t>ces, by restricting it to this layer.</w:t>
      </w:r>
    </w:p>
    <w:p w:rsidR="0012555C" w:rsidRDefault="00EE3472">
      <w:pPr>
        <w:pStyle w:val="Heading3"/>
      </w:pPr>
      <w:r>
        <w:t>1) Automated Sector Hierarchy Construction</w:t>
      </w:r>
    </w:p>
    <w:p w:rsidR="0012555C" w:rsidRDefault="00EE3472">
      <w:pPr>
        <w:spacing w:before="60" w:after="60" w:line="276" w:lineRule="auto"/>
        <w:jc w:val="both"/>
      </w:pPr>
      <w:r>
        <w:t>To facilitate sector-level reasoning through diversification aggregation and modelling, a single equity dataset is created for all stocks listed on the National Stock Exchange</w:t>
      </w:r>
      <w:r>
        <w:t xml:space="preserve"> (NSE). A stock is mapped to a hierarchical industry classification through an automated extraction module that programmatically extracts breadcrumb-based data on the classification of stock used by Screener, one of the widely used equity analytics sites i</w:t>
      </w:r>
      <w:r>
        <w:t>n India. The taxonomy has a total of 260+ NSE listed stocks in 51+ sector classifications.</w:t>
      </w:r>
    </w:p>
    <w:p w:rsidR="0012555C" w:rsidRDefault="00EE3472">
      <w:pPr>
        <w:spacing w:before="60" w:after="60" w:line="276" w:lineRule="auto"/>
        <w:jc w:val="both"/>
      </w:pPr>
      <w:r>
        <w:t>The resulting classification string is broken down into four possible levels of hierarchy:</w:t>
      </w:r>
    </w:p>
    <w:p w:rsidR="0012555C" w:rsidRDefault="00EE3472">
      <w:pPr>
        <w:pStyle w:val="ListParagraph"/>
        <w:numPr>
          <w:ilvl w:val="0"/>
          <w:numId w:val="2"/>
        </w:numPr>
        <w:spacing w:before="40" w:after="40"/>
      </w:pPr>
      <w:r>
        <w:t xml:space="preserve">Level 1: Broad Sector (e.g., Commodities, Financial Services, Information </w:t>
      </w:r>
      <w:r>
        <w:t>Technology, Industrials)</w:t>
      </w:r>
    </w:p>
    <w:p w:rsidR="0012555C" w:rsidRDefault="00EE3472">
      <w:pPr>
        <w:pStyle w:val="ListParagraph"/>
        <w:numPr>
          <w:ilvl w:val="0"/>
          <w:numId w:val="2"/>
        </w:numPr>
        <w:spacing w:before="40" w:after="40"/>
      </w:pPr>
      <w:r>
        <w:t>Level 2: Industry Group (e.g., Metals &amp; Mining, Private Sector Banks, IT Consulting)</w:t>
      </w:r>
    </w:p>
    <w:p w:rsidR="0012555C" w:rsidRDefault="00EE3472">
      <w:pPr>
        <w:pStyle w:val="ListParagraph"/>
        <w:numPr>
          <w:ilvl w:val="0"/>
          <w:numId w:val="2"/>
        </w:numPr>
        <w:spacing w:before="40" w:after="40"/>
      </w:pPr>
      <w:r>
        <w:t>Level 3: Sub-Industry (e.g., Speciality Chemicals, Retail Banking, Software Products)</w:t>
      </w:r>
    </w:p>
    <w:p w:rsidR="0012555C" w:rsidRDefault="00EE3472">
      <w:pPr>
        <w:pStyle w:val="ListParagraph"/>
        <w:numPr>
          <w:ilvl w:val="0"/>
          <w:numId w:val="2"/>
        </w:numPr>
        <w:spacing w:before="40" w:after="40"/>
      </w:pPr>
      <w:r>
        <w:t>Level 4: Additional Subclassification, where available (e.g., Sponge Iron, Fertilisers)</w:t>
      </w:r>
    </w:p>
    <w:p w:rsidR="0012555C" w:rsidRDefault="00EE3472">
      <w:pPr>
        <w:spacing w:before="60" w:after="60" w:line="276" w:lineRule="auto"/>
        <w:jc w:val="both"/>
      </w:pPr>
      <w:r>
        <w:t>In the absence of intermediate levels, null placeholders are provided to maintain schema consistency. The resulting taxonomy can serve as a common reference framework f</w:t>
      </w:r>
      <w:r>
        <w:t>or the Fundamental Analysis, Sector Macroeconomic Conditioning, and News Intelligence modules to enable uniformity across the entire pipeline at the broadest level.</w:t>
      </w:r>
    </w:p>
    <w:p w:rsidR="0012555C" w:rsidRDefault="00EE3472">
      <w:pPr>
        <w:pStyle w:val="Heading3"/>
      </w:pPr>
      <w:r>
        <w:t>2) Fundamental Analysis Module</w:t>
      </w:r>
    </w:p>
    <w:p w:rsidR="0012555C" w:rsidRDefault="00EE3472">
      <w:pPr>
        <w:spacing w:before="60" w:after="60" w:line="276" w:lineRule="auto"/>
        <w:jc w:val="both"/>
      </w:pPr>
      <w:r>
        <w:t>The Fundamental Analysis Module produces a structure-based f</w:t>
      </w:r>
      <w:r>
        <w:t>inancial representation of every equity based upon confirmed accounting revelations and deterministic statistical transformations. The structured financial features of each stock i can be defined as:</w:t>
      </w:r>
    </w:p>
    <w:p w:rsidR="0012555C" w:rsidRDefault="00EE3472">
      <w:pPr>
        <w:spacing w:before="100" w:after="100"/>
        <w:jc w:val="center"/>
      </w:pPr>
      <w:r>
        <w:t>F_i = {x₁, x₂, …, xₙ}   (1)</w:t>
      </w:r>
    </w:p>
    <w:p w:rsidR="0012555C" w:rsidRDefault="00EE3472">
      <w:pPr>
        <w:spacing w:before="60" w:after="60" w:line="276" w:lineRule="auto"/>
        <w:jc w:val="both"/>
      </w:pPr>
      <w:r>
        <w:lastRenderedPageBreak/>
        <w:t>where each xₖ is a financial</w:t>
      </w:r>
      <w:r>
        <w:t xml:space="preserve"> measure based on audited financial statements and structured filings. These features are quarterly and annual net profit time series, Trailing Twelve Month (TTM) Compounded Revenue and profit growth, Capital Work in Progress (CWIP), cash flow of operating</w:t>
      </w:r>
      <w:r>
        <w:t xml:space="preserve"> activities, working capital efficiency ratio (e.g. debtor days), and shareholding distribution among Promoters, Foreign Institutional Investors (FIIs), Domestic Institutional Investors (DIIs), and public float.</w:t>
      </w:r>
    </w:p>
    <w:p w:rsidR="0012555C" w:rsidRDefault="00EE3472">
      <w:pPr>
        <w:spacing w:before="60" w:after="60" w:line="276" w:lineRule="auto"/>
        <w:jc w:val="both"/>
      </w:pPr>
      <w:r>
        <w:t>Information is compiled from two complementa</w:t>
      </w:r>
      <w:r>
        <w:t>ry sources: HTML-parsed disclosures on Screener.in for India-specific measures (P/E, ROCE, ROE, dividend yield, compounded growth rates), and the yfinance API for conventional income statement, balance sheet, and cash flow statement fields. A caching layer</w:t>
      </w:r>
      <w:r>
        <w:t xml:space="preserve"> based on MongoDB stores computed summaries keyed by ticker symbol, such that future queries retrieve pre-computed narratives in O(1) time and a regeneration event is only induced by a quarterly net-profit comparison indicating a change in underlying data.</w:t>
      </w:r>
    </w:p>
    <w:p w:rsidR="0012555C" w:rsidRDefault="00EE3472">
      <w:pPr>
        <w:spacing w:before="60" w:after="60" w:line="276" w:lineRule="auto"/>
        <w:jc w:val="both"/>
      </w:pPr>
      <w:r>
        <w:t>Deterministically calculated derived ratios:</w:t>
      </w:r>
    </w:p>
    <w:p w:rsidR="0012555C" w:rsidRDefault="00EE3472">
      <w:pPr>
        <w:spacing w:before="100" w:after="100"/>
        <w:jc w:val="center"/>
      </w:pPr>
      <w:r>
        <w:t>ROCE = EBIT / Capital Employed   (2)</w:t>
      </w:r>
    </w:p>
    <w:p w:rsidR="0012555C" w:rsidRDefault="00EE3472">
      <w:pPr>
        <w:spacing w:before="100" w:after="100"/>
        <w:jc w:val="center"/>
      </w:pPr>
      <w:r>
        <w:t>D/E = Total Debt / Shareholders' Equity   (3)</w:t>
      </w:r>
    </w:p>
    <w:p w:rsidR="0012555C" w:rsidRDefault="00EE3472">
      <w:pPr>
        <w:spacing w:before="60" w:after="60" w:line="276" w:lineRule="auto"/>
        <w:jc w:val="both"/>
      </w:pPr>
      <w:r>
        <w:t>In the case of cross-sectional grounding, a peer set is accessed for each stock i, based on sector classification, comprising t</w:t>
      </w:r>
      <w:r>
        <w:t>he highest-ranking peers within the same Level-1 and Level-2 industry groups by market capitalisation. Within the peer feature set, deterministically calculated sector-level comparative statistics include the median and dispersion of valuation multiples, p</w:t>
      </w:r>
      <w:r>
        <w:t>rofitability differentials relative to peer averages, and a growth and leverage comparison with industry benchmarks.</w:t>
      </w:r>
    </w:p>
    <w:p w:rsidR="0012555C" w:rsidRDefault="00EE3472">
      <w:pPr>
        <w:pStyle w:val="Heading3"/>
      </w:pPr>
      <w:r>
        <w:t>3) Technical Analysis Module</w:t>
      </w:r>
    </w:p>
    <w:p w:rsidR="0012555C" w:rsidRDefault="00EE3472">
      <w:pPr>
        <w:spacing w:before="60" w:after="60" w:line="276" w:lineRule="auto"/>
        <w:jc w:val="both"/>
      </w:pPr>
      <w:r>
        <w:t>The Technical Analysis Module is a short- and medium-term deterministic signal extractor from historical price</w:t>
      </w:r>
      <w:r>
        <w:t xml:space="preserve"> data, treating technical analysis as a symbolic state reconstruction problem rather than a sequence prediction problem. The computation of indicators is performed using the pandas_ta library, which provides numerically stable, vectorised implementations o</w:t>
      </w:r>
      <w:r>
        <w:t>f the most common technical indicators. At time t, the daily OHLCV data of one year of stock i is obtained using yfinance:</w:t>
      </w:r>
    </w:p>
    <w:p w:rsidR="0012555C" w:rsidRDefault="00EE3472">
      <w:pPr>
        <w:spacing w:before="100" w:after="100"/>
        <w:jc w:val="center"/>
      </w:pPr>
      <w:r>
        <w:t>P_i^t = {(Oτ, Hτ, Lτ, Cτ, Vτ)} for τ = 1 to T   (4)</w:t>
      </w:r>
    </w:p>
    <w:p w:rsidR="0012555C" w:rsidRDefault="00EE3472">
      <w:pPr>
        <w:spacing w:before="60" w:after="60" w:line="276" w:lineRule="auto"/>
        <w:jc w:val="both"/>
      </w:pPr>
      <w:r>
        <w:t>Based on this time series, a structured technical state vector is calculated, with each component an operationally determined categorical or Boolean signal:</w:t>
      </w:r>
    </w:p>
    <w:p w:rsidR="0012555C" w:rsidRDefault="00EE3472">
      <w:pPr>
        <w:spacing w:before="100" w:after="100"/>
        <w:jc w:val="center"/>
      </w:pPr>
      <w:r>
        <w:t>T_i^t = {z₁, z₂, …, zₘ}   (5)</w:t>
      </w:r>
    </w:p>
    <w:p w:rsidR="0012555C" w:rsidRDefault="00EE3472">
      <w:pPr>
        <w:spacing w:before="60" w:after="60" w:line="276" w:lineRule="auto"/>
        <w:jc w:val="both"/>
      </w:pPr>
      <w:r>
        <w:t>Directional signals in the form of Exponential Moving Averages are me</w:t>
      </w:r>
      <w:r>
        <w:t>asured at five timescales (EMA₁₀, EMA₂₀, EMA₅₀, EMA₁₀₀, EMA₂₀₀), and the relative positioning of directional signals is assessed as Bullish, Bearish or Neutral:</w:t>
      </w:r>
    </w:p>
    <w:p w:rsidR="0012555C" w:rsidRDefault="00EE3472">
      <w:pPr>
        <w:spacing w:before="100" w:after="100"/>
        <w:jc w:val="center"/>
      </w:pPr>
      <w:r>
        <w:t>z_trend = Bullish if EMA₁₀ &gt; EMA₂₀ &gt; EMA₅₀; Bearish if EMA₁₀ &lt; EMA₂₀ &lt; EMA₅₀; Neutral otherwise</w:t>
      </w:r>
      <w:r>
        <w:t xml:space="preserve">   (6)</w:t>
      </w:r>
    </w:p>
    <w:p w:rsidR="0012555C" w:rsidRDefault="00EE3472">
      <w:pPr>
        <w:spacing w:before="60" w:after="60" w:line="276" w:lineRule="auto"/>
        <w:jc w:val="both"/>
      </w:pPr>
      <w:r>
        <w:t>Momentum is measured using the Moving Average Convergence Divergence (MACD, with the parameters of 12-26-9) and the Relative Strength Index (RSI₁₄):</w:t>
      </w:r>
    </w:p>
    <w:p w:rsidR="0012555C" w:rsidRDefault="00EE3472">
      <w:pPr>
        <w:spacing w:before="100" w:after="100"/>
        <w:jc w:val="center"/>
      </w:pPr>
      <w:r>
        <w:t>MACD = EMA₁₂ − EMA₂₆   (7)</w:t>
      </w:r>
    </w:p>
    <w:p w:rsidR="0012555C" w:rsidRDefault="00EE3472">
      <w:pPr>
        <w:spacing w:before="100" w:after="100"/>
        <w:jc w:val="center"/>
      </w:pPr>
      <w:r>
        <w:t>RSI = 100 − 100/(1 + RS),   RS = Avg. Gain₁₄ / Avg. Loss₁₄   (8)</w:t>
      </w:r>
    </w:p>
    <w:p w:rsidR="0012555C" w:rsidRDefault="00EE3472">
      <w:pPr>
        <w:spacing w:before="60" w:after="60" w:line="276" w:lineRule="auto"/>
        <w:jc w:val="both"/>
      </w:pPr>
      <w:r>
        <w:t>Volatili</w:t>
      </w:r>
      <w:r>
        <w:t>ty is defined in terms of Bollinger Bands (20-period SMA, ±2σ), a statistically based price channel:</w:t>
      </w:r>
    </w:p>
    <w:p w:rsidR="0012555C" w:rsidRDefault="00EE3472">
      <w:pPr>
        <w:spacing w:before="100" w:after="100"/>
        <w:jc w:val="center"/>
      </w:pPr>
      <w:r>
        <w:t>BB_upper/lower = SMA₂₀ ± 2·σ₂₀   (9)</w:t>
      </w:r>
    </w:p>
    <w:p w:rsidR="0012555C" w:rsidRDefault="00EE3472">
      <w:pPr>
        <w:spacing w:before="60" w:after="60" w:line="276" w:lineRule="auto"/>
        <w:jc w:val="both"/>
      </w:pPr>
      <w:r>
        <w:t>Volume Weighted Average Price (VWAP) puts in place a volume-based fair value yardstick, whereas the Supertrend indicat</w:t>
      </w:r>
      <w:r>
        <w:t>or (period 10, multiplier 3.0) puts in place volatility-responsive directional bias. The logic gates used to detect candlestick patterns are explicit, rule-based, and use pure Python. A Doji is defined as:</w:t>
      </w:r>
    </w:p>
    <w:p w:rsidR="0012555C" w:rsidRDefault="00EE3472">
      <w:pPr>
        <w:spacing w:before="100" w:after="100"/>
        <w:jc w:val="center"/>
      </w:pPr>
      <w:r>
        <w:lastRenderedPageBreak/>
        <w:t>|C_t − O_t| ≤ (H_t − L_t) × 0.1  ⟹  Doji   (10)</w:t>
      </w:r>
    </w:p>
    <w:p w:rsidR="0012555C" w:rsidRDefault="00EE3472">
      <w:pPr>
        <w:spacing w:before="60" w:after="60" w:line="276" w:lineRule="auto"/>
        <w:jc w:val="both"/>
      </w:pPr>
      <w:r>
        <w:t>Si</w:t>
      </w:r>
      <w:r>
        <w:t>milar deterministic rules are used to detect Hammer, Bullish Engulfing and Bearish Engulfing patterns.</w:t>
      </w:r>
    </w:p>
    <w:p w:rsidR="0012555C" w:rsidRDefault="00EE3472">
      <w:pPr>
        <w:pStyle w:val="Heading3"/>
      </w:pPr>
      <w:r>
        <w:t>4) Sector Macroeconomic Conditioning Module</w:t>
      </w:r>
    </w:p>
    <w:p w:rsidR="0012555C" w:rsidRDefault="00EE3472">
      <w:pPr>
        <w:spacing w:before="60" w:after="60" w:line="276" w:lineRule="auto"/>
        <w:jc w:val="both"/>
      </w:pPr>
      <w:r>
        <w:t>The Sector Macroeconomic Conditioning Module injects order into the chain of reasoning by providing industry-</w:t>
      </w:r>
      <w:r>
        <w:t>level economic background. Programmatically scraping ten indicators at the national level from credible sources, the macroeconomic state M is built:</w:t>
      </w:r>
    </w:p>
    <w:p w:rsidR="0012555C" w:rsidRDefault="00EE3472">
      <w:pPr>
        <w:pStyle w:val="ListParagraph"/>
        <w:numPr>
          <w:ilvl w:val="0"/>
          <w:numId w:val="2"/>
        </w:numPr>
        <w:spacing w:before="40" w:after="40"/>
      </w:pPr>
      <w:r>
        <w:t>GDP growth (YoY) and Unemployment rate from TradingEconomics</w:t>
      </w:r>
    </w:p>
    <w:p w:rsidR="0012555C" w:rsidRDefault="00EE3472">
      <w:pPr>
        <w:pStyle w:val="ListParagraph"/>
        <w:numPr>
          <w:ilvl w:val="0"/>
          <w:numId w:val="2"/>
        </w:numPr>
        <w:spacing w:before="40" w:after="40"/>
      </w:pPr>
      <w:r>
        <w:t>Inflation rate (CPI) and Interest rate (RBI Re</w:t>
      </w:r>
      <w:r>
        <w:t>po) from TradingEconomics</w:t>
      </w:r>
    </w:p>
    <w:p w:rsidR="0012555C" w:rsidRDefault="00EE3472">
      <w:pPr>
        <w:pStyle w:val="ListParagraph"/>
        <w:numPr>
          <w:ilvl w:val="0"/>
          <w:numId w:val="2"/>
        </w:numPr>
        <w:spacing w:before="40" w:after="40"/>
      </w:pPr>
      <w:r>
        <w:t>Consumer Confidence Index and PMI Manufacturing from TradingEconomics</w:t>
      </w:r>
    </w:p>
    <w:p w:rsidR="0012555C" w:rsidRDefault="00EE3472">
      <w:pPr>
        <w:pStyle w:val="ListParagraph"/>
        <w:numPr>
          <w:ilvl w:val="0"/>
          <w:numId w:val="2"/>
        </w:numPr>
        <w:spacing w:before="40" w:after="40"/>
      </w:pPr>
      <w:r>
        <w:t>Current Account Balance and Fiscal Deficit (% of GDP) from TradingEconomics</w:t>
      </w:r>
    </w:p>
    <w:p w:rsidR="0012555C" w:rsidRDefault="00EE3472">
      <w:pPr>
        <w:pStyle w:val="ListParagraph"/>
        <w:numPr>
          <w:ilvl w:val="0"/>
          <w:numId w:val="2"/>
        </w:numPr>
        <w:spacing w:before="40" w:after="40"/>
      </w:pPr>
      <w:r>
        <w:t>USD/INR Exchange Rate from Wise.com</w:t>
      </w:r>
    </w:p>
    <w:p w:rsidR="0012555C" w:rsidRDefault="00EE3472">
      <w:pPr>
        <w:pStyle w:val="ListParagraph"/>
        <w:numPr>
          <w:ilvl w:val="0"/>
          <w:numId w:val="2"/>
        </w:numPr>
        <w:spacing w:before="40" w:after="40"/>
      </w:pPr>
      <w:r>
        <w:t>Brent Crude Oil Price from Yahoo Finance</w:t>
      </w:r>
    </w:p>
    <w:p w:rsidR="0012555C" w:rsidRDefault="00EE3472">
      <w:pPr>
        <w:spacing w:before="60" w:after="60" w:line="276" w:lineRule="auto"/>
        <w:jc w:val="both"/>
      </w:pPr>
      <w:r>
        <w:t>All the</w:t>
      </w:r>
      <w:r>
        <w:t>se indicators are pooled into a systematic macroeconomic feature M. One sector-conditioned macroeconomic interpretation of each asset i in a given sector is produced by a constrained Gemini transformation applied separately across 12 broad sector categorie</w:t>
      </w:r>
      <w:r>
        <w:t>s:</w:t>
      </w:r>
    </w:p>
    <w:p w:rsidR="0012555C" w:rsidRDefault="00EE3472">
      <w:pPr>
        <w:spacing w:before="100" w:after="100"/>
        <w:jc w:val="center"/>
      </w:pPr>
      <w:r>
        <w:t>M_i = f(M, C_i)   (11)</w:t>
      </w:r>
    </w:p>
    <w:p w:rsidR="0012555C" w:rsidRDefault="00EE3472">
      <w:pPr>
        <w:spacing w:before="60" w:after="60" w:line="276" w:lineRule="auto"/>
        <w:jc w:val="both"/>
      </w:pPr>
      <w:r>
        <w:t>The resultant industry-specific story decodes the importance of interest rate sensitivity, demand cycle, commodity exposure, vulnerability to regulation, and reliance on liquidity, on a case-by-case basis. Computed values are stor</w:t>
      </w:r>
      <w:r>
        <w:t>ed in MongoDB, indexed by sector label, allowing O(1) retrieval of successive assets in the same sector and eliminating redundant LLM inference.</w:t>
      </w:r>
    </w:p>
    <w:p w:rsidR="0012555C" w:rsidRDefault="00EE3472">
      <w:pPr>
        <w:pStyle w:val="Heading3"/>
      </w:pPr>
      <w:r>
        <w:t>5) News Intelligence Module</w:t>
      </w:r>
    </w:p>
    <w:p w:rsidR="0012555C" w:rsidRDefault="00EE3472">
      <w:pPr>
        <w:spacing w:before="60" w:after="60" w:line="276" w:lineRule="auto"/>
        <w:jc w:val="both"/>
      </w:pPr>
      <w:r>
        <w:t>The News Intelligence Module combines dynamic and event-based information via a thr</w:t>
      </w:r>
      <w:r>
        <w:t>ee-layer progressive summarisation pipeline that converts heterogeneous textual sources to concise structured narrative representations.</w:t>
      </w:r>
    </w:p>
    <w:p w:rsidR="0012555C" w:rsidRDefault="00EE3472">
      <w:pPr>
        <w:spacing w:before="60" w:after="60" w:line="276" w:lineRule="auto"/>
        <w:jc w:val="both"/>
      </w:pPr>
      <w:r>
        <w:rPr>
          <w:b/>
          <w:bCs/>
        </w:rPr>
        <w:t xml:space="preserve">Article Aggregation and Content Extraction. </w:t>
      </w:r>
      <w:r>
        <w:t xml:space="preserve">Each asset has a pair of Google News scrapers that aggregate stock-specific articles, one running a query on NSE exchange-specific news and the other on general company news. The text of raw articles is extracted using a three-level fallback pipeline with </w:t>
      </w:r>
      <w:r>
        <w:t>trafilatura, readability-lxml, and newspaper3k, with NLTK sentence tokenisation.</w:t>
      </w:r>
    </w:p>
    <w:p w:rsidR="0012555C" w:rsidRDefault="00EE3472">
      <w:pPr>
        <w:spacing w:before="60" w:after="60" w:line="276" w:lineRule="auto"/>
        <w:jc w:val="both"/>
      </w:pPr>
      <w:r>
        <w:rPr>
          <w:b/>
          <w:bCs/>
        </w:rPr>
        <w:t xml:space="preserve">Three-layer Progressive Summarisation. </w:t>
      </w:r>
      <w:r>
        <w:t xml:space="preserve">Layer 1 produces a structured, daily NSE-based summary of stock-specific events, market response, and trading information. The 2nd layer produces a supportive company summary daily of strategic announcements and corporate developments. Layer 3 then builds </w:t>
      </w:r>
      <w:r>
        <w:t>on the previous persistent summary of both Layer 1 and Layer 2 results to create a new state with five dimensions: current trends, stock-specific news, company advancements, market mood, and investment impact considerations.</w:t>
      </w:r>
    </w:p>
    <w:p w:rsidR="0012555C" w:rsidRDefault="00EE3472">
      <w:pPr>
        <w:spacing w:before="60" w:after="60" w:line="276" w:lineRule="auto"/>
        <w:jc w:val="both"/>
      </w:pPr>
      <w:r>
        <w:t>Let A_i = {A₁, A₂, …, A_T} deno</w:t>
      </w:r>
      <w:r>
        <w:t>te the temporally ordered sequence of news articles for asset i. The news representation is defined as:</w:t>
      </w:r>
    </w:p>
    <w:p w:rsidR="0012555C" w:rsidRDefault="00EE3472">
      <w:pPr>
        <w:spacing w:before="100" w:after="100"/>
        <w:jc w:val="center"/>
      </w:pPr>
      <w:r>
        <w:t>N_i = Σ wₜ · g(Aₜ)  for t = 1 to T   (12)</w:t>
      </w:r>
    </w:p>
    <w:p w:rsidR="0012555C" w:rsidRDefault="00EE3472">
      <w:pPr>
        <w:spacing w:before="60" w:after="60" w:line="276" w:lineRule="auto"/>
        <w:jc w:val="both"/>
      </w:pPr>
      <w:r>
        <w:t xml:space="preserve">Exponential decay weighting is used to prioritise recent developments while preserving significant historical </w:t>
      </w:r>
      <w:r>
        <w:t>events, with λ &gt; 0 controlling recency sensitivity:</w:t>
      </w:r>
    </w:p>
    <w:p w:rsidR="0012555C" w:rsidRDefault="00EE3472">
      <w:pPr>
        <w:spacing w:before="100" w:after="100"/>
        <w:jc w:val="center"/>
      </w:pPr>
      <w:r>
        <w:t>wₜ = e^(−λ(T−t)) / Σ e^(−λ(T−k))  for k = 1 to T   (13)</w:t>
      </w:r>
    </w:p>
    <w:p w:rsidR="0012555C" w:rsidRDefault="00EE3472">
      <w:pPr>
        <w:spacing w:before="60" w:after="60" w:line="276" w:lineRule="auto"/>
        <w:jc w:val="both"/>
      </w:pPr>
      <w:r>
        <w:t>An upsert pattern is used to store synthesised summaries in MongoDB.</w:t>
      </w:r>
    </w:p>
    <w:p w:rsidR="0012555C" w:rsidRDefault="00EE3472">
      <w:pPr>
        <w:pStyle w:val="Heading3"/>
      </w:pPr>
      <w:r>
        <w:t>6) Social Media Sentiment Analysis</w:t>
      </w:r>
    </w:p>
    <w:p w:rsidR="0012555C" w:rsidRDefault="00EE3472">
      <w:pPr>
        <w:spacing w:before="60" w:after="60" w:line="276" w:lineRule="auto"/>
        <w:jc w:val="both"/>
      </w:pPr>
      <w:r>
        <w:lastRenderedPageBreak/>
        <w:t>Social media platforms are part of an ever-g</w:t>
      </w:r>
      <w:r>
        <w:t>rowing segment of sentiment among retail investors in the Indian market. The social media sentiment module is a compilation of community-driven signals from corresponding financial forums and platforms, using transformer-based sentiment classification to o</w:t>
      </w:r>
      <w:r>
        <w:t>btain a directional sentiment score per asset.</w:t>
      </w:r>
    </w:p>
    <w:p w:rsidR="0012555C" w:rsidRDefault="00EE3472">
      <w:pPr>
        <w:pStyle w:val="Heading2"/>
      </w:pPr>
      <w:r>
        <w:t>B. Cognitive Reasoning Engine</w:t>
      </w:r>
    </w:p>
    <w:p w:rsidR="0012555C" w:rsidRDefault="00EE3472">
      <w:pPr>
        <w:spacing w:before="60" w:after="60" w:line="276" w:lineRule="auto"/>
        <w:jc w:val="both"/>
      </w:pPr>
      <w:r>
        <w:t>The integrative intelligence layer of the architecture comprises the Cognitive Reasoning Engine. It combines the organised outputs of all perception modules into a harmonised, qua</w:t>
      </w:r>
      <w:r>
        <w:t>litatively based investment rating for each asset, producing a discrete Buy, Hold, or Sell recommendation with a risk characterisation.</w:t>
      </w:r>
    </w:p>
    <w:p w:rsidR="0012555C" w:rsidRDefault="00EE3472">
      <w:pPr>
        <w:pStyle w:val="Heading3"/>
      </w:pPr>
      <w:r>
        <w:t>1) Temporal Recursive Summarisation</w:t>
      </w:r>
    </w:p>
    <w:p w:rsidR="0012555C" w:rsidRDefault="00EE3472">
      <w:pPr>
        <w:spacing w:before="60" w:after="60" w:line="276" w:lineRule="auto"/>
        <w:jc w:val="both"/>
      </w:pPr>
      <w:r>
        <w:t>The discarding of long-horizon narrative dependencies on which financial analysis is</w:t>
      </w:r>
      <w:r>
        <w:t xml:space="preserve"> based in standard single-window summarisation. Standard single-window summarisation ignores long-horizon narrative dependencies that are important to financial analysis: regulatory proceedings, restructuring cycles, and policy normalisation processes can </w:t>
      </w:r>
      <w:r>
        <w:t>take months or years. To solve this, SmartNest proposes Temporal Recursive Summarisation (TRS), a system that updates the temporal state of a narrative.</w:t>
      </w:r>
    </w:p>
    <w:p w:rsidR="0012555C" w:rsidRDefault="00EE3472">
      <w:pPr>
        <w:spacing w:before="60" w:after="60" w:line="276" w:lineRule="auto"/>
        <w:jc w:val="both"/>
      </w:pPr>
      <w:r>
        <w:t>Let S_t denote the narrative summary state at time t, initialized to a null state S₀ = ∅. The recursive</w:t>
      </w:r>
      <w:r>
        <w:t xml:space="preserve"> update rule is:</w:t>
      </w:r>
    </w:p>
    <w:p w:rsidR="0012555C" w:rsidRDefault="00EE3472">
      <w:pPr>
        <w:spacing w:before="100" w:after="100"/>
        <w:jc w:val="center"/>
      </w:pPr>
      <w:r>
        <w:t>S_t = Φ_LLM(S_{t−1} ⊕ N_t)   (14)</w:t>
      </w:r>
    </w:p>
    <w:p w:rsidR="0012555C" w:rsidRDefault="00EE3472">
      <w:pPr>
        <w:spacing w:before="60" w:after="60" w:line="276" w:lineRule="auto"/>
        <w:jc w:val="both"/>
      </w:pPr>
      <w:r>
        <w:t>The recursive update rule would compress the joint prior state together with the new information into an updated summary of limited length. It is a formulation that maintains the long-term financial narrat</w:t>
      </w:r>
      <w:r>
        <w:t>ive unchanged without necessarily reprocessing the entire historical context every time an update is made, and it balances the temporal coverage and computational cost.</w:t>
      </w:r>
    </w:p>
    <w:p w:rsidR="0012555C" w:rsidRDefault="00EE3472">
      <w:pPr>
        <w:pStyle w:val="Heading3"/>
      </w:pPr>
      <w:r>
        <w:t>2) Hierarchical Macro-to-Asset Constraint Propagation</w:t>
      </w:r>
    </w:p>
    <w:p w:rsidR="0012555C" w:rsidRDefault="00EE3472">
      <w:pPr>
        <w:spacing w:before="60" w:after="60" w:line="276" w:lineRule="auto"/>
        <w:jc w:val="both"/>
      </w:pPr>
      <w:r>
        <w:t>In order to impose macro-economic</w:t>
      </w:r>
      <w:r>
        <w:t xml:space="preserve"> consistency among individual asset judgments, the engine uses a cascade of three levels of logical reasoning:</w:t>
      </w:r>
    </w:p>
    <w:p w:rsidR="0012555C" w:rsidRDefault="00EE3472">
      <w:pPr>
        <w:pStyle w:val="ListParagraph"/>
        <w:numPr>
          <w:ilvl w:val="0"/>
          <w:numId w:val="2"/>
        </w:numPr>
        <w:spacing w:before="40" w:after="40"/>
      </w:pPr>
      <w:r>
        <w:t>Level 1 (Global Macro): The structured macroeconomic representation M elaborates on the current states of the economies across the nation and pro</w:t>
      </w:r>
      <w:r>
        <w:t>vides the highest level of restriction on all downstream inferences.</w:t>
      </w:r>
    </w:p>
    <w:p w:rsidR="0012555C" w:rsidRDefault="00EE3472">
      <w:pPr>
        <w:pStyle w:val="ListParagraph"/>
        <w:numPr>
          <w:ilvl w:val="0"/>
          <w:numId w:val="2"/>
        </w:numPr>
        <w:spacing w:before="40" w:after="40"/>
      </w:pPr>
      <w:r>
        <w:t>Level 2 (Sector Conditioning): Sector-specific contextualises macro signals by industry classification, converting them into sector-relevant dynamics.</w:t>
      </w:r>
    </w:p>
    <w:p w:rsidR="0012555C" w:rsidRDefault="00EE3472">
      <w:pPr>
        <w:pStyle w:val="ListParagraph"/>
        <w:numPr>
          <w:ilvl w:val="0"/>
          <w:numId w:val="2"/>
        </w:numPr>
        <w:spacing w:before="40" w:after="40"/>
      </w:pPr>
      <w:r>
        <w:t>Level 3 (Asset Evaluation): Asset-le</w:t>
      </w:r>
      <w:r>
        <w:t>vel features, including intrinsic financial measures, peer-relative measures, technical measures, and the temporal narrative state, are considered under sector conditioning.</w:t>
      </w:r>
    </w:p>
    <w:p w:rsidR="0012555C" w:rsidRDefault="00EE3472">
      <w:pPr>
        <w:spacing w:before="60" w:after="60" w:line="276" w:lineRule="auto"/>
        <w:jc w:val="both"/>
      </w:pPr>
      <w:r>
        <w:t xml:space="preserve">Such a cascade avoids the engine generating asset-level assessments that conflict </w:t>
      </w:r>
      <w:r>
        <w:t>with existing macroeconomic or sector dynamics.</w:t>
      </w:r>
    </w:p>
    <w:p w:rsidR="0012555C" w:rsidRDefault="00EE3472">
      <w:pPr>
        <w:pStyle w:val="Heading3"/>
      </w:pPr>
      <w:r>
        <w:t>3) Integrated Evaluation Function</w:t>
      </w:r>
    </w:p>
    <w:p w:rsidR="0012555C" w:rsidRDefault="00EE3472">
      <w:pPr>
        <w:spacing w:before="60" w:after="60" w:line="276" w:lineRule="auto"/>
        <w:jc w:val="both"/>
      </w:pPr>
      <w:r>
        <w:t>The last asset-level analysis includes a directional indicator (Buy/Hold/Sell), a risk profile (Low/Medium/High), and a human-readable explanation. The synthesis instantiates</w:t>
      </w:r>
      <w:r>
        <w:t xml:space="preserve"> the model with a SEBI-registered equity analyst persona, with five summaries of the analytics in an ordered sequence: News Summary, Sectoral Summary, Macroeconomic Summary, Fundamental Summary, and Technical Summary:</w:t>
      </w:r>
    </w:p>
    <w:p w:rsidR="0012555C" w:rsidRDefault="00EE3472">
      <w:pPr>
        <w:spacing w:before="100" w:after="100"/>
        <w:jc w:val="center"/>
      </w:pPr>
      <w:r>
        <w:t>D_i = Ψ(F_i, T_i^t, S_t, M_i)   (15)</w:t>
      </w:r>
    </w:p>
    <w:p w:rsidR="0012555C" w:rsidRDefault="00EE3472">
      <w:pPr>
        <w:pStyle w:val="Heading2"/>
      </w:pPr>
      <w:r>
        <w:t>C</w:t>
      </w:r>
      <w:r>
        <w:t>. Investor Risk Validation</w:t>
      </w:r>
    </w:p>
    <w:p w:rsidR="0012555C" w:rsidRDefault="00EE3472">
      <w:pPr>
        <w:spacing w:before="60" w:after="60" w:line="276" w:lineRule="auto"/>
        <w:jc w:val="both"/>
      </w:pPr>
      <w:r>
        <w:t>The personalisation of a portfolio would require an independent assessment of each investor'</w:t>
      </w:r>
      <w:r>
        <w:t>s financial ability to bear losses and psychological ability to withstand volatility. SmartNest uses a dynamic weighted-feature model, which optimises both dimensions.</w:t>
      </w:r>
    </w:p>
    <w:p w:rsidR="0012555C" w:rsidRDefault="00EE3472">
      <w:pPr>
        <w:pStyle w:val="Heading3"/>
      </w:pPr>
      <w:r>
        <w:t>1) Risk Profiling Questionnaire</w:t>
      </w:r>
    </w:p>
    <w:p w:rsidR="0012555C" w:rsidRDefault="00EE3472">
      <w:pPr>
        <w:spacing w:before="60" w:after="60" w:line="276" w:lineRule="auto"/>
        <w:jc w:val="both"/>
      </w:pPr>
      <w:r>
        <w:lastRenderedPageBreak/>
        <w:t>There are two independent dimensions measured by an eigh</w:t>
      </w:r>
      <w:r>
        <w:t xml:space="preserve">t-question instrument. Financial Capacity (Questions 1–4) discusses the investing horizon, financial objective, investment and income stability, and stage of life. Psychological Tolerance (Questions 5–8) addresses responses to market changes, comfort with </w:t>
      </w:r>
      <w:r>
        <w:t>volatility, investment preferences, and willingness to allocate equity. Representative question weights are given in Table I.</w:t>
      </w:r>
    </w:p>
    <w:p w:rsidR="0012555C" w:rsidRDefault="00EE3472">
      <w:pPr>
        <w:spacing w:before="100" w:after="60"/>
        <w:jc w:val="center"/>
      </w:pPr>
      <w:r>
        <w:rPr>
          <w:b/>
          <w:bCs/>
        </w:rPr>
        <w:t>TABLE I.  Risk Questionnaire Response Weights per Option (A/B/C)</w:t>
      </w:r>
    </w:p>
    <w:tbl>
      <w:tblPr>
        <w:tblW w:w="902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026"/>
        <w:gridCol w:w="1667"/>
        <w:gridCol w:w="1667"/>
        <w:gridCol w:w="1666"/>
      </w:tblGrid>
      <w:tr w:rsidR="0012555C">
        <w:tblPrEx>
          <w:tblCellMar>
            <w:top w:w="0" w:type="dxa"/>
            <w:bottom w:w="0" w:type="dxa"/>
          </w:tblCellMar>
        </w:tblPrEx>
        <w:trPr>
          <w:tblHeader/>
        </w:trPr>
        <w:tc>
          <w:tcPr>
            <w:tcW w:w="4026" w:type="dxa"/>
            <w:tcBorders>
              <w:top w:val="single" w:sz="6" w:space="0" w:color="000000"/>
              <w:left w:val="none" w:sz="0" w:space="0" w:color="FFFFFF"/>
              <w:bottom w:val="single" w:sz="6" w:space="0" w:color="000000"/>
              <w:right w:val="none" w:sz="0" w:space="0" w:color="FFFFFF"/>
            </w:tcBorders>
            <w:shd w:val="clear" w:color="auto" w:fill="DDDDDD"/>
            <w:tcMar>
              <w:top w:w="80" w:type="dxa"/>
              <w:left w:w="120" w:type="dxa"/>
              <w:bottom w:w="80" w:type="dxa"/>
              <w:right w:w="120" w:type="dxa"/>
            </w:tcMar>
          </w:tcPr>
          <w:p w:rsidR="0012555C" w:rsidRDefault="00EE3472">
            <w:pPr>
              <w:jc w:val="center"/>
            </w:pPr>
            <w:r>
              <w:rPr>
                <w:b/>
                <w:bCs/>
                <w:sz w:val="20"/>
                <w:szCs w:val="20"/>
              </w:rPr>
              <w:t>Question</w:t>
            </w:r>
          </w:p>
        </w:tc>
        <w:tc>
          <w:tcPr>
            <w:tcW w:w="1667" w:type="dxa"/>
            <w:tcBorders>
              <w:top w:val="single" w:sz="6" w:space="0" w:color="000000"/>
              <w:left w:val="none" w:sz="0" w:space="0" w:color="FFFFFF"/>
              <w:bottom w:val="single" w:sz="6" w:space="0" w:color="000000"/>
              <w:right w:val="none" w:sz="0" w:space="0" w:color="FFFFFF"/>
            </w:tcBorders>
            <w:shd w:val="clear" w:color="auto" w:fill="DDDDDD"/>
            <w:tcMar>
              <w:top w:w="80" w:type="dxa"/>
              <w:left w:w="120" w:type="dxa"/>
              <w:bottom w:w="80" w:type="dxa"/>
              <w:right w:w="120" w:type="dxa"/>
            </w:tcMar>
          </w:tcPr>
          <w:p w:rsidR="0012555C" w:rsidRDefault="00EE3472">
            <w:pPr>
              <w:jc w:val="center"/>
            </w:pPr>
            <w:r>
              <w:rPr>
                <w:b/>
                <w:bCs/>
                <w:sz w:val="20"/>
                <w:szCs w:val="20"/>
              </w:rPr>
              <w:t>Opt. A</w:t>
            </w:r>
          </w:p>
        </w:tc>
        <w:tc>
          <w:tcPr>
            <w:tcW w:w="1667" w:type="dxa"/>
            <w:tcBorders>
              <w:top w:val="single" w:sz="6" w:space="0" w:color="000000"/>
              <w:left w:val="none" w:sz="0" w:space="0" w:color="FFFFFF"/>
              <w:bottom w:val="single" w:sz="6" w:space="0" w:color="000000"/>
              <w:right w:val="none" w:sz="0" w:space="0" w:color="FFFFFF"/>
            </w:tcBorders>
            <w:shd w:val="clear" w:color="auto" w:fill="DDDDDD"/>
            <w:tcMar>
              <w:top w:w="80" w:type="dxa"/>
              <w:left w:w="120" w:type="dxa"/>
              <w:bottom w:w="80" w:type="dxa"/>
              <w:right w:w="120" w:type="dxa"/>
            </w:tcMar>
          </w:tcPr>
          <w:p w:rsidR="0012555C" w:rsidRDefault="00EE3472">
            <w:pPr>
              <w:jc w:val="center"/>
            </w:pPr>
            <w:r>
              <w:rPr>
                <w:b/>
                <w:bCs/>
                <w:sz w:val="20"/>
                <w:szCs w:val="20"/>
              </w:rPr>
              <w:t>Opt. B</w:t>
            </w:r>
          </w:p>
        </w:tc>
        <w:tc>
          <w:tcPr>
            <w:tcW w:w="1666" w:type="dxa"/>
            <w:tcBorders>
              <w:top w:val="single" w:sz="6" w:space="0" w:color="000000"/>
              <w:left w:val="none" w:sz="0" w:space="0" w:color="FFFFFF"/>
              <w:bottom w:val="single" w:sz="6" w:space="0" w:color="000000"/>
              <w:right w:val="none" w:sz="0" w:space="0" w:color="FFFFFF"/>
            </w:tcBorders>
            <w:shd w:val="clear" w:color="auto" w:fill="DDDDDD"/>
            <w:tcMar>
              <w:top w:w="80" w:type="dxa"/>
              <w:left w:w="120" w:type="dxa"/>
              <w:bottom w:w="80" w:type="dxa"/>
              <w:right w:w="120" w:type="dxa"/>
            </w:tcMar>
          </w:tcPr>
          <w:p w:rsidR="0012555C" w:rsidRDefault="00EE3472">
            <w:pPr>
              <w:jc w:val="center"/>
            </w:pPr>
            <w:r>
              <w:rPr>
                <w:b/>
                <w:bCs/>
                <w:sz w:val="20"/>
                <w:szCs w:val="20"/>
              </w:rPr>
              <w:t>Opt. C</w:t>
            </w:r>
          </w:p>
        </w:tc>
      </w:tr>
      <w:tr w:rsidR="0012555C">
        <w:tblPrEx>
          <w:tblCellMar>
            <w:top w:w="0" w:type="dxa"/>
            <w:bottom w:w="0" w:type="dxa"/>
          </w:tblCellMar>
        </w:tblPrEx>
        <w:tc>
          <w:tcPr>
            <w:tcW w:w="4026" w:type="dxa"/>
            <w:tcBorders>
              <w:top w:val="single" w:sz="6" w:space="0" w:color="000000"/>
              <w:left w:val="none" w:sz="0" w:space="0" w:color="FFFFFF"/>
              <w:bottom w:val="single" w:sz="6" w:space="0" w:color="000000"/>
              <w:right w:val="none" w:sz="0" w:space="0" w:color="FFFFFF"/>
            </w:tcBorders>
            <w:tcMar>
              <w:top w:w="80" w:type="dxa"/>
              <w:left w:w="120" w:type="dxa"/>
              <w:bottom w:w="80" w:type="dxa"/>
              <w:right w:w="120" w:type="dxa"/>
            </w:tcMar>
          </w:tcPr>
          <w:p w:rsidR="0012555C" w:rsidRDefault="00EE3472">
            <w:r>
              <w:rPr>
                <w:sz w:val="20"/>
                <w:szCs w:val="20"/>
              </w:rPr>
              <w:t>Q1 – Time horizon</w:t>
            </w:r>
          </w:p>
        </w:tc>
        <w:tc>
          <w:tcPr>
            <w:tcW w:w="1667" w:type="dxa"/>
            <w:tcBorders>
              <w:top w:val="single" w:sz="6" w:space="0" w:color="000000"/>
              <w:left w:val="none" w:sz="0" w:space="0" w:color="FFFFFF"/>
              <w:bottom w:val="single" w:sz="6" w:space="0" w:color="000000"/>
              <w:right w:val="none" w:sz="0" w:space="0" w:color="FFFFFF"/>
            </w:tcBorders>
            <w:tcMar>
              <w:top w:w="80" w:type="dxa"/>
              <w:left w:w="120" w:type="dxa"/>
              <w:bottom w:w="80" w:type="dxa"/>
              <w:right w:w="120" w:type="dxa"/>
            </w:tcMar>
          </w:tcPr>
          <w:p w:rsidR="0012555C" w:rsidRDefault="00EE3472">
            <w:pPr>
              <w:jc w:val="center"/>
            </w:pPr>
            <w:r>
              <w:rPr>
                <w:sz w:val="20"/>
                <w:szCs w:val="20"/>
              </w:rPr>
              <w:t>0.02</w:t>
            </w:r>
          </w:p>
        </w:tc>
        <w:tc>
          <w:tcPr>
            <w:tcW w:w="1667" w:type="dxa"/>
            <w:tcBorders>
              <w:top w:val="single" w:sz="6" w:space="0" w:color="000000"/>
              <w:left w:val="none" w:sz="0" w:space="0" w:color="FFFFFF"/>
              <w:bottom w:val="single" w:sz="6" w:space="0" w:color="000000"/>
              <w:right w:val="none" w:sz="0" w:space="0" w:color="FFFFFF"/>
            </w:tcBorders>
            <w:tcMar>
              <w:top w:w="80" w:type="dxa"/>
              <w:left w:w="120" w:type="dxa"/>
              <w:bottom w:w="80" w:type="dxa"/>
              <w:right w:w="120" w:type="dxa"/>
            </w:tcMar>
          </w:tcPr>
          <w:p w:rsidR="0012555C" w:rsidRDefault="00EE3472">
            <w:pPr>
              <w:jc w:val="center"/>
            </w:pPr>
            <w:r>
              <w:rPr>
                <w:sz w:val="20"/>
                <w:szCs w:val="20"/>
              </w:rPr>
              <w:t>0.05</w:t>
            </w:r>
          </w:p>
        </w:tc>
        <w:tc>
          <w:tcPr>
            <w:tcW w:w="1666" w:type="dxa"/>
            <w:tcBorders>
              <w:top w:val="single" w:sz="6" w:space="0" w:color="000000"/>
              <w:left w:val="none" w:sz="0" w:space="0" w:color="FFFFFF"/>
              <w:bottom w:val="single" w:sz="6" w:space="0" w:color="000000"/>
              <w:right w:val="none" w:sz="0" w:space="0" w:color="FFFFFF"/>
            </w:tcBorders>
            <w:tcMar>
              <w:top w:w="80" w:type="dxa"/>
              <w:left w:w="120" w:type="dxa"/>
              <w:bottom w:w="80" w:type="dxa"/>
              <w:right w:w="120" w:type="dxa"/>
            </w:tcMar>
          </w:tcPr>
          <w:p w:rsidR="0012555C" w:rsidRDefault="00EE3472">
            <w:pPr>
              <w:jc w:val="center"/>
            </w:pPr>
            <w:r>
              <w:rPr>
                <w:sz w:val="20"/>
                <w:szCs w:val="20"/>
              </w:rPr>
              <w:t>0.10</w:t>
            </w:r>
          </w:p>
        </w:tc>
      </w:tr>
      <w:tr w:rsidR="0012555C">
        <w:tblPrEx>
          <w:tblCellMar>
            <w:top w:w="0" w:type="dxa"/>
            <w:bottom w:w="0" w:type="dxa"/>
          </w:tblCellMar>
        </w:tblPrEx>
        <w:tc>
          <w:tcPr>
            <w:tcW w:w="4026" w:type="dxa"/>
            <w:tcBorders>
              <w:top w:val="single" w:sz="6" w:space="0" w:color="000000"/>
              <w:left w:val="none" w:sz="0" w:space="0" w:color="FFFFFF"/>
              <w:bottom w:val="single" w:sz="6" w:space="0" w:color="000000"/>
              <w:right w:val="none" w:sz="0" w:space="0" w:color="FFFFFF"/>
            </w:tcBorders>
            <w:tcMar>
              <w:top w:w="80" w:type="dxa"/>
              <w:left w:w="120" w:type="dxa"/>
              <w:bottom w:w="80" w:type="dxa"/>
              <w:right w:w="120" w:type="dxa"/>
            </w:tcMar>
          </w:tcPr>
          <w:p w:rsidR="0012555C" w:rsidRDefault="00EE3472">
            <w:r>
              <w:rPr>
                <w:sz w:val="20"/>
                <w:szCs w:val="20"/>
              </w:rPr>
              <w:t>Q2 – Financial goals</w:t>
            </w:r>
          </w:p>
        </w:tc>
        <w:tc>
          <w:tcPr>
            <w:tcW w:w="1667" w:type="dxa"/>
            <w:tcBorders>
              <w:top w:val="single" w:sz="6" w:space="0" w:color="000000"/>
              <w:left w:val="none" w:sz="0" w:space="0" w:color="FFFFFF"/>
              <w:bottom w:val="single" w:sz="6" w:space="0" w:color="000000"/>
              <w:right w:val="none" w:sz="0" w:space="0" w:color="FFFFFF"/>
            </w:tcBorders>
            <w:tcMar>
              <w:top w:w="80" w:type="dxa"/>
              <w:left w:w="120" w:type="dxa"/>
              <w:bottom w:w="80" w:type="dxa"/>
              <w:right w:w="120" w:type="dxa"/>
            </w:tcMar>
          </w:tcPr>
          <w:p w:rsidR="0012555C" w:rsidRDefault="00EE3472">
            <w:pPr>
              <w:jc w:val="center"/>
            </w:pPr>
            <w:r>
              <w:rPr>
                <w:sz w:val="20"/>
                <w:szCs w:val="20"/>
              </w:rPr>
              <w:t>0.03</w:t>
            </w:r>
          </w:p>
        </w:tc>
        <w:tc>
          <w:tcPr>
            <w:tcW w:w="1667" w:type="dxa"/>
            <w:tcBorders>
              <w:top w:val="single" w:sz="6" w:space="0" w:color="000000"/>
              <w:left w:val="none" w:sz="0" w:space="0" w:color="FFFFFF"/>
              <w:bottom w:val="single" w:sz="6" w:space="0" w:color="000000"/>
              <w:right w:val="none" w:sz="0" w:space="0" w:color="FFFFFF"/>
            </w:tcBorders>
            <w:tcMar>
              <w:top w:w="80" w:type="dxa"/>
              <w:left w:w="120" w:type="dxa"/>
              <w:bottom w:w="80" w:type="dxa"/>
              <w:right w:w="120" w:type="dxa"/>
            </w:tcMar>
          </w:tcPr>
          <w:p w:rsidR="0012555C" w:rsidRDefault="00EE3472">
            <w:pPr>
              <w:jc w:val="center"/>
            </w:pPr>
            <w:r>
              <w:rPr>
                <w:sz w:val="20"/>
                <w:szCs w:val="20"/>
              </w:rPr>
              <w:t>0.07</w:t>
            </w:r>
          </w:p>
        </w:tc>
        <w:tc>
          <w:tcPr>
            <w:tcW w:w="1666" w:type="dxa"/>
            <w:tcBorders>
              <w:top w:val="single" w:sz="6" w:space="0" w:color="000000"/>
              <w:left w:val="none" w:sz="0" w:space="0" w:color="FFFFFF"/>
              <w:bottom w:val="single" w:sz="6" w:space="0" w:color="000000"/>
              <w:right w:val="none" w:sz="0" w:space="0" w:color="FFFFFF"/>
            </w:tcBorders>
            <w:tcMar>
              <w:top w:w="80" w:type="dxa"/>
              <w:left w:w="120" w:type="dxa"/>
              <w:bottom w:w="80" w:type="dxa"/>
              <w:right w:w="120" w:type="dxa"/>
            </w:tcMar>
          </w:tcPr>
          <w:p w:rsidR="0012555C" w:rsidRDefault="00EE3472">
            <w:pPr>
              <w:jc w:val="center"/>
            </w:pPr>
            <w:r>
              <w:rPr>
                <w:sz w:val="20"/>
                <w:szCs w:val="20"/>
              </w:rPr>
              <w:t>0.12</w:t>
            </w:r>
          </w:p>
        </w:tc>
      </w:tr>
      <w:tr w:rsidR="0012555C">
        <w:tblPrEx>
          <w:tblCellMar>
            <w:top w:w="0" w:type="dxa"/>
            <w:bottom w:w="0" w:type="dxa"/>
          </w:tblCellMar>
        </w:tblPrEx>
        <w:tc>
          <w:tcPr>
            <w:tcW w:w="4026" w:type="dxa"/>
            <w:tcBorders>
              <w:top w:val="single" w:sz="6" w:space="0" w:color="000000"/>
              <w:left w:val="none" w:sz="0" w:space="0" w:color="FFFFFF"/>
              <w:bottom w:val="single" w:sz="6" w:space="0" w:color="000000"/>
              <w:right w:val="none" w:sz="0" w:space="0" w:color="FFFFFF"/>
            </w:tcBorders>
            <w:tcMar>
              <w:top w:w="80" w:type="dxa"/>
              <w:left w:w="120" w:type="dxa"/>
              <w:bottom w:w="80" w:type="dxa"/>
              <w:right w:w="120" w:type="dxa"/>
            </w:tcMar>
          </w:tcPr>
          <w:p w:rsidR="0012555C" w:rsidRDefault="00EE3472">
            <w:r>
              <w:rPr>
                <w:sz w:val="20"/>
                <w:szCs w:val="20"/>
              </w:rPr>
              <w:t>Q3 – Income stability</w:t>
            </w:r>
          </w:p>
        </w:tc>
        <w:tc>
          <w:tcPr>
            <w:tcW w:w="1667" w:type="dxa"/>
            <w:tcBorders>
              <w:top w:val="single" w:sz="6" w:space="0" w:color="000000"/>
              <w:left w:val="none" w:sz="0" w:space="0" w:color="FFFFFF"/>
              <w:bottom w:val="single" w:sz="6" w:space="0" w:color="000000"/>
              <w:right w:val="none" w:sz="0" w:space="0" w:color="FFFFFF"/>
            </w:tcBorders>
            <w:tcMar>
              <w:top w:w="80" w:type="dxa"/>
              <w:left w:w="120" w:type="dxa"/>
              <w:bottom w:w="80" w:type="dxa"/>
              <w:right w:w="120" w:type="dxa"/>
            </w:tcMar>
          </w:tcPr>
          <w:p w:rsidR="0012555C" w:rsidRDefault="00EE3472">
            <w:pPr>
              <w:jc w:val="center"/>
            </w:pPr>
            <w:r>
              <w:rPr>
                <w:sz w:val="20"/>
                <w:szCs w:val="20"/>
              </w:rPr>
              <w:t>−0.08</w:t>
            </w:r>
          </w:p>
        </w:tc>
        <w:tc>
          <w:tcPr>
            <w:tcW w:w="1667" w:type="dxa"/>
            <w:tcBorders>
              <w:top w:val="single" w:sz="6" w:space="0" w:color="000000"/>
              <w:left w:val="none" w:sz="0" w:space="0" w:color="FFFFFF"/>
              <w:bottom w:val="single" w:sz="6" w:space="0" w:color="000000"/>
              <w:right w:val="none" w:sz="0" w:space="0" w:color="FFFFFF"/>
            </w:tcBorders>
            <w:tcMar>
              <w:top w:w="80" w:type="dxa"/>
              <w:left w:w="120" w:type="dxa"/>
              <w:bottom w:w="80" w:type="dxa"/>
              <w:right w:w="120" w:type="dxa"/>
            </w:tcMar>
          </w:tcPr>
          <w:p w:rsidR="0012555C" w:rsidRDefault="00EE3472">
            <w:pPr>
              <w:jc w:val="center"/>
            </w:pPr>
            <w:r>
              <w:rPr>
                <w:sz w:val="20"/>
                <w:szCs w:val="20"/>
              </w:rPr>
              <w:t>0.05</w:t>
            </w:r>
          </w:p>
        </w:tc>
        <w:tc>
          <w:tcPr>
            <w:tcW w:w="1666" w:type="dxa"/>
            <w:tcBorders>
              <w:top w:val="single" w:sz="6" w:space="0" w:color="000000"/>
              <w:left w:val="none" w:sz="0" w:space="0" w:color="FFFFFF"/>
              <w:bottom w:val="single" w:sz="6" w:space="0" w:color="000000"/>
              <w:right w:val="none" w:sz="0" w:space="0" w:color="FFFFFF"/>
            </w:tcBorders>
            <w:tcMar>
              <w:top w:w="80" w:type="dxa"/>
              <w:left w:w="120" w:type="dxa"/>
              <w:bottom w:w="80" w:type="dxa"/>
              <w:right w:w="120" w:type="dxa"/>
            </w:tcMar>
          </w:tcPr>
          <w:p w:rsidR="0012555C" w:rsidRDefault="00EE3472">
            <w:pPr>
              <w:jc w:val="center"/>
            </w:pPr>
            <w:r>
              <w:rPr>
                <w:sz w:val="20"/>
                <w:szCs w:val="20"/>
              </w:rPr>
              <w:t>0.15</w:t>
            </w:r>
          </w:p>
        </w:tc>
      </w:tr>
      <w:tr w:rsidR="0012555C">
        <w:tblPrEx>
          <w:tblCellMar>
            <w:top w:w="0" w:type="dxa"/>
            <w:bottom w:w="0" w:type="dxa"/>
          </w:tblCellMar>
        </w:tblPrEx>
        <w:tc>
          <w:tcPr>
            <w:tcW w:w="4026" w:type="dxa"/>
            <w:tcBorders>
              <w:top w:val="single" w:sz="6" w:space="0" w:color="000000"/>
              <w:left w:val="none" w:sz="0" w:space="0" w:color="FFFFFF"/>
              <w:bottom w:val="single" w:sz="6" w:space="0" w:color="000000"/>
              <w:right w:val="none" w:sz="0" w:space="0" w:color="FFFFFF"/>
            </w:tcBorders>
            <w:tcMar>
              <w:top w:w="80" w:type="dxa"/>
              <w:left w:w="120" w:type="dxa"/>
              <w:bottom w:w="80" w:type="dxa"/>
              <w:right w:w="120" w:type="dxa"/>
            </w:tcMar>
          </w:tcPr>
          <w:p w:rsidR="0012555C" w:rsidRDefault="00EE3472">
            <w:r>
              <w:rPr>
                <w:sz w:val="20"/>
                <w:szCs w:val="20"/>
              </w:rPr>
              <w:t>Q4 – Life stage</w:t>
            </w:r>
          </w:p>
        </w:tc>
        <w:tc>
          <w:tcPr>
            <w:tcW w:w="1667" w:type="dxa"/>
            <w:tcBorders>
              <w:top w:val="single" w:sz="6" w:space="0" w:color="000000"/>
              <w:left w:val="none" w:sz="0" w:space="0" w:color="FFFFFF"/>
              <w:bottom w:val="single" w:sz="6" w:space="0" w:color="000000"/>
              <w:right w:val="none" w:sz="0" w:space="0" w:color="FFFFFF"/>
            </w:tcBorders>
            <w:tcMar>
              <w:top w:w="80" w:type="dxa"/>
              <w:left w:w="120" w:type="dxa"/>
              <w:bottom w:w="80" w:type="dxa"/>
              <w:right w:w="120" w:type="dxa"/>
            </w:tcMar>
          </w:tcPr>
          <w:p w:rsidR="0012555C" w:rsidRDefault="00EE3472">
            <w:pPr>
              <w:jc w:val="center"/>
            </w:pPr>
            <w:r>
              <w:rPr>
                <w:sz w:val="20"/>
                <w:szCs w:val="20"/>
              </w:rPr>
              <w:t>−0.05</w:t>
            </w:r>
          </w:p>
        </w:tc>
        <w:tc>
          <w:tcPr>
            <w:tcW w:w="1667" w:type="dxa"/>
            <w:tcBorders>
              <w:top w:val="single" w:sz="6" w:space="0" w:color="000000"/>
              <w:left w:val="none" w:sz="0" w:space="0" w:color="FFFFFF"/>
              <w:bottom w:val="single" w:sz="6" w:space="0" w:color="000000"/>
              <w:right w:val="none" w:sz="0" w:space="0" w:color="FFFFFF"/>
            </w:tcBorders>
            <w:tcMar>
              <w:top w:w="80" w:type="dxa"/>
              <w:left w:w="120" w:type="dxa"/>
              <w:bottom w:w="80" w:type="dxa"/>
              <w:right w:w="120" w:type="dxa"/>
            </w:tcMar>
          </w:tcPr>
          <w:p w:rsidR="0012555C" w:rsidRDefault="00EE3472">
            <w:pPr>
              <w:jc w:val="center"/>
            </w:pPr>
            <w:r>
              <w:rPr>
                <w:sz w:val="20"/>
                <w:szCs w:val="20"/>
              </w:rPr>
              <w:t>0.04</w:t>
            </w:r>
          </w:p>
        </w:tc>
        <w:tc>
          <w:tcPr>
            <w:tcW w:w="1666" w:type="dxa"/>
            <w:tcBorders>
              <w:top w:val="single" w:sz="6" w:space="0" w:color="000000"/>
              <w:left w:val="none" w:sz="0" w:space="0" w:color="FFFFFF"/>
              <w:bottom w:val="single" w:sz="6" w:space="0" w:color="000000"/>
              <w:right w:val="none" w:sz="0" w:space="0" w:color="FFFFFF"/>
            </w:tcBorders>
            <w:tcMar>
              <w:top w:w="80" w:type="dxa"/>
              <w:left w:w="120" w:type="dxa"/>
              <w:bottom w:w="80" w:type="dxa"/>
              <w:right w:w="120" w:type="dxa"/>
            </w:tcMar>
          </w:tcPr>
          <w:p w:rsidR="0012555C" w:rsidRDefault="00EE3472">
            <w:pPr>
              <w:jc w:val="center"/>
            </w:pPr>
            <w:r>
              <w:rPr>
                <w:sz w:val="20"/>
                <w:szCs w:val="20"/>
              </w:rPr>
              <w:t>0.10</w:t>
            </w:r>
          </w:p>
        </w:tc>
      </w:tr>
      <w:tr w:rsidR="0012555C">
        <w:tblPrEx>
          <w:tblCellMar>
            <w:top w:w="0" w:type="dxa"/>
            <w:bottom w:w="0" w:type="dxa"/>
          </w:tblCellMar>
        </w:tblPrEx>
        <w:tc>
          <w:tcPr>
            <w:tcW w:w="4026" w:type="dxa"/>
            <w:tcBorders>
              <w:top w:val="single" w:sz="6" w:space="0" w:color="000000"/>
              <w:left w:val="none" w:sz="0" w:space="0" w:color="FFFFFF"/>
              <w:bottom w:val="single" w:sz="6" w:space="0" w:color="000000"/>
              <w:right w:val="none" w:sz="0" w:space="0" w:color="FFFFFF"/>
            </w:tcBorders>
            <w:tcMar>
              <w:top w:w="80" w:type="dxa"/>
              <w:left w:w="120" w:type="dxa"/>
              <w:bottom w:w="80" w:type="dxa"/>
              <w:right w:w="120" w:type="dxa"/>
            </w:tcMar>
          </w:tcPr>
          <w:p w:rsidR="0012555C" w:rsidRDefault="00EE3472">
            <w:r>
              <w:rPr>
                <w:sz w:val="20"/>
                <w:szCs w:val="20"/>
              </w:rPr>
              <w:t>Q5 – Market reactions</w:t>
            </w:r>
          </w:p>
        </w:tc>
        <w:tc>
          <w:tcPr>
            <w:tcW w:w="1667" w:type="dxa"/>
            <w:tcBorders>
              <w:top w:val="single" w:sz="6" w:space="0" w:color="000000"/>
              <w:left w:val="none" w:sz="0" w:space="0" w:color="FFFFFF"/>
              <w:bottom w:val="single" w:sz="6" w:space="0" w:color="000000"/>
              <w:right w:val="none" w:sz="0" w:space="0" w:color="FFFFFF"/>
            </w:tcBorders>
            <w:tcMar>
              <w:top w:w="80" w:type="dxa"/>
              <w:left w:w="120" w:type="dxa"/>
              <w:bottom w:w="80" w:type="dxa"/>
              <w:right w:w="120" w:type="dxa"/>
            </w:tcMar>
          </w:tcPr>
          <w:p w:rsidR="0012555C" w:rsidRDefault="00EE3472">
            <w:pPr>
              <w:jc w:val="center"/>
            </w:pPr>
            <w:r>
              <w:rPr>
                <w:sz w:val="20"/>
                <w:szCs w:val="20"/>
              </w:rPr>
              <w:t>−0.03</w:t>
            </w:r>
          </w:p>
        </w:tc>
        <w:tc>
          <w:tcPr>
            <w:tcW w:w="1667" w:type="dxa"/>
            <w:tcBorders>
              <w:top w:val="single" w:sz="6" w:space="0" w:color="000000"/>
              <w:left w:val="none" w:sz="0" w:space="0" w:color="FFFFFF"/>
              <w:bottom w:val="single" w:sz="6" w:space="0" w:color="000000"/>
              <w:right w:val="none" w:sz="0" w:space="0" w:color="FFFFFF"/>
            </w:tcBorders>
            <w:tcMar>
              <w:top w:w="80" w:type="dxa"/>
              <w:left w:w="120" w:type="dxa"/>
              <w:bottom w:w="80" w:type="dxa"/>
              <w:right w:w="120" w:type="dxa"/>
            </w:tcMar>
          </w:tcPr>
          <w:p w:rsidR="0012555C" w:rsidRDefault="00EE3472">
            <w:pPr>
              <w:jc w:val="center"/>
            </w:pPr>
            <w:r>
              <w:rPr>
                <w:sz w:val="20"/>
                <w:szCs w:val="20"/>
              </w:rPr>
              <w:t>0.06</w:t>
            </w:r>
          </w:p>
        </w:tc>
        <w:tc>
          <w:tcPr>
            <w:tcW w:w="1666" w:type="dxa"/>
            <w:tcBorders>
              <w:top w:val="single" w:sz="6" w:space="0" w:color="000000"/>
              <w:left w:val="none" w:sz="0" w:space="0" w:color="FFFFFF"/>
              <w:bottom w:val="single" w:sz="6" w:space="0" w:color="000000"/>
              <w:right w:val="none" w:sz="0" w:space="0" w:color="FFFFFF"/>
            </w:tcBorders>
            <w:tcMar>
              <w:top w:w="80" w:type="dxa"/>
              <w:left w:w="120" w:type="dxa"/>
              <w:bottom w:w="80" w:type="dxa"/>
              <w:right w:w="120" w:type="dxa"/>
            </w:tcMar>
          </w:tcPr>
          <w:p w:rsidR="0012555C" w:rsidRDefault="00EE3472">
            <w:pPr>
              <w:jc w:val="center"/>
            </w:pPr>
            <w:r>
              <w:rPr>
                <w:sz w:val="20"/>
                <w:szCs w:val="20"/>
              </w:rPr>
              <w:t>0.12</w:t>
            </w:r>
          </w:p>
        </w:tc>
      </w:tr>
      <w:tr w:rsidR="0012555C">
        <w:tblPrEx>
          <w:tblCellMar>
            <w:top w:w="0" w:type="dxa"/>
            <w:bottom w:w="0" w:type="dxa"/>
          </w:tblCellMar>
        </w:tblPrEx>
        <w:tc>
          <w:tcPr>
            <w:tcW w:w="4026" w:type="dxa"/>
            <w:tcBorders>
              <w:top w:val="single" w:sz="6" w:space="0" w:color="000000"/>
              <w:left w:val="none" w:sz="0" w:space="0" w:color="FFFFFF"/>
              <w:bottom w:val="single" w:sz="6" w:space="0" w:color="000000"/>
              <w:right w:val="none" w:sz="0" w:space="0" w:color="FFFFFF"/>
            </w:tcBorders>
            <w:tcMar>
              <w:top w:w="80" w:type="dxa"/>
              <w:left w:w="120" w:type="dxa"/>
              <w:bottom w:w="80" w:type="dxa"/>
              <w:right w:w="120" w:type="dxa"/>
            </w:tcMar>
          </w:tcPr>
          <w:p w:rsidR="0012555C" w:rsidRDefault="00EE3472">
            <w:r>
              <w:rPr>
                <w:sz w:val="20"/>
                <w:szCs w:val="20"/>
              </w:rPr>
              <w:t>Q6 – Volatility comfort</w:t>
            </w:r>
          </w:p>
        </w:tc>
        <w:tc>
          <w:tcPr>
            <w:tcW w:w="1667" w:type="dxa"/>
            <w:tcBorders>
              <w:top w:val="single" w:sz="6" w:space="0" w:color="000000"/>
              <w:left w:val="none" w:sz="0" w:space="0" w:color="FFFFFF"/>
              <w:bottom w:val="single" w:sz="6" w:space="0" w:color="000000"/>
              <w:right w:val="none" w:sz="0" w:space="0" w:color="FFFFFF"/>
            </w:tcBorders>
            <w:tcMar>
              <w:top w:w="80" w:type="dxa"/>
              <w:left w:w="120" w:type="dxa"/>
              <w:bottom w:w="80" w:type="dxa"/>
              <w:right w:w="120" w:type="dxa"/>
            </w:tcMar>
          </w:tcPr>
          <w:p w:rsidR="0012555C" w:rsidRDefault="00EE3472">
            <w:pPr>
              <w:jc w:val="center"/>
            </w:pPr>
            <w:r>
              <w:rPr>
                <w:sz w:val="20"/>
                <w:szCs w:val="20"/>
              </w:rPr>
              <w:t>0.02</w:t>
            </w:r>
          </w:p>
        </w:tc>
        <w:tc>
          <w:tcPr>
            <w:tcW w:w="1667" w:type="dxa"/>
            <w:tcBorders>
              <w:top w:val="single" w:sz="6" w:space="0" w:color="000000"/>
              <w:left w:val="none" w:sz="0" w:space="0" w:color="FFFFFF"/>
              <w:bottom w:val="single" w:sz="6" w:space="0" w:color="000000"/>
              <w:right w:val="none" w:sz="0" w:space="0" w:color="FFFFFF"/>
            </w:tcBorders>
            <w:tcMar>
              <w:top w:w="80" w:type="dxa"/>
              <w:left w:w="120" w:type="dxa"/>
              <w:bottom w:w="80" w:type="dxa"/>
              <w:right w:w="120" w:type="dxa"/>
            </w:tcMar>
          </w:tcPr>
          <w:p w:rsidR="0012555C" w:rsidRDefault="00EE3472">
            <w:pPr>
              <w:jc w:val="center"/>
            </w:pPr>
            <w:r>
              <w:rPr>
                <w:sz w:val="20"/>
                <w:szCs w:val="20"/>
              </w:rPr>
              <w:t>0.05</w:t>
            </w:r>
          </w:p>
        </w:tc>
        <w:tc>
          <w:tcPr>
            <w:tcW w:w="1666" w:type="dxa"/>
            <w:tcBorders>
              <w:top w:val="single" w:sz="6" w:space="0" w:color="000000"/>
              <w:left w:val="none" w:sz="0" w:space="0" w:color="FFFFFF"/>
              <w:bottom w:val="single" w:sz="6" w:space="0" w:color="000000"/>
              <w:right w:val="none" w:sz="0" w:space="0" w:color="FFFFFF"/>
            </w:tcBorders>
            <w:tcMar>
              <w:top w:w="80" w:type="dxa"/>
              <w:left w:w="120" w:type="dxa"/>
              <w:bottom w:w="80" w:type="dxa"/>
              <w:right w:w="120" w:type="dxa"/>
            </w:tcMar>
          </w:tcPr>
          <w:p w:rsidR="0012555C" w:rsidRDefault="00EE3472">
            <w:pPr>
              <w:jc w:val="center"/>
            </w:pPr>
            <w:r>
              <w:rPr>
                <w:sz w:val="20"/>
                <w:szCs w:val="20"/>
              </w:rPr>
              <w:t>0.10</w:t>
            </w:r>
          </w:p>
        </w:tc>
      </w:tr>
      <w:tr w:rsidR="0012555C">
        <w:tblPrEx>
          <w:tblCellMar>
            <w:top w:w="0" w:type="dxa"/>
            <w:bottom w:w="0" w:type="dxa"/>
          </w:tblCellMar>
        </w:tblPrEx>
        <w:tc>
          <w:tcPr>
            <w:tcW w:w="4026" w:type="dxa"/>
            <w:tcBorders>
              <w:top w:val="single" w:sz="6" w:space="0" w:color="000000"/>
              <w:left w:val="none" w:sz="0" w:space="0" w:color="FFFFFF"/>
              <w:bottom w:val="single" w:sz="6" w:space="0" w:color="000000"/>
              <w:right w:val="none" w:sz="0" w:space="0" w:color="FFFFFF"/>
            </w:tcBorders>
            <w:tcMar>
              <w:top w:w="80" w:type="dxa"/>
              <w:left w:w="120" w:type="dxa"/>
              <w:bottom w:w="80" w:type="dxa"/>
              <w:right w:w="120" w:type="dxa"/>
            </w:tcMar>
          </w:tcPr>
          <w:p w:rsidR="0012555C" w:rsidRDefault="00EE3472">
            <w:r>
              <w:rPr>
                <w:sz w:val="20"/>
                <w:szCs w:val="20"/>
              </w:rPr>
              <w:t>Q7 – Asset preference</w:t>
            </w:r>
          </w:p>
        </w:tc>
        <w:tc>
          <w:tcPr>
            <w:tcW w:w="1667" w:type="dxa"/>
            <w:tcBorders>
              <w:top w:val="single" w:sz="6" w:space="0" w:color="000000"/>
              <w:left w:val="none" w:sz="0" w:space="0" w:color="FFFFFF"/>
              <w:bottom w:val="single" w:sz="6" w:space="0" w:color="000000"/>
              <w:right w:val="none" w:sz="0" w:space="0" w:color="FFFFFF"/>
            </w:tcBorders>
            <w:tcMar>
              <w:top w:w="80" w:type="dxa"/>
              <w:left w:w="120" w:type="dxa"/>
              <w:bottom w:w="80" w:type="dxa"/>
              <w:right w:w="120" w:type="dxa"/>
            </w:tcMar>
          </w:tcPr>
          <w:p w:rsidR="0012555C" w:rsidRDefault="00EE3472">
            <w:pPr>
              <w:jc w:val="center"/>
            </w:pPr>
            <w:r>
              <w:rPr>
                <w:sz w:val="20"/>
                <w:szCs w:val="20"/>
              </w:rPr>
              <w:t>0.01</w:t>
            </w:r>
          </w:p>
        </w:tc>
        <w:tc>
          <w:tcPr>
            <w:tcW w:w="1667" w:type="dxa"/>
            <w:tcBorders>
              <w:top w:val="single" w:sz="6" w:space="0" w:color="000000"/>
              <w:left w:val="none" w:sz="0" w:space="0" w:color="FFFFFF"/>
              <w:bottom w:val="single" w:sz="6" w:space="0" w:color="000000"/>
              <w:right w:val="none" w:sz="0" w:space="0" w:color="FFFFFF"/>
            </w:tcBorders>
            <w:tcMar>
              <w:top w:w="80" w:type="dxa"/>
              <w:left w:w="120" w:type="dxa"/>
              <w:bottom w:w="80" w:type="dxa"/>
              <w:right w:w="120" w:type="dxa"/>
            </w:tcMar>
          </w:tcPr>
          <w:p w:rsidR="0012555C" w:rsidRDefault="00EE3472">
            <w:pPr>
              <w:jc w:val="center"/>
            </w:pPr>
            <w:r>
              <w:rPr>
                <w:sz w:val="20"/>
                <w:szCs w:val="20"/>
              </w:rPr>
              <w:t>0.04</w:t>
            </w:r>
          </w:p>
        </w:tc>
        <w:tc>
          <w:tcPr>
            <w:tcW w:w="1666" w:type="dxa"/>
            <w:tcBorders>
              <w:top w:val="single" w:sz="6" w:space="0" w:color="000000"/>
              <w:left w:val="none" w:sz="0" w:space="0" w:color="FFFFFF"/>
              <w:bottom w:val="single" w:sz="6" w:space="0" w:color="000000"/>
              <w:right w:val="none" w:sz="0" w:space="0" w:color="FFFFFF"/>
            </w:tcBorders>
            <w:tcMar>
              <w:top w:w="80" w:type="dxa"/>
              <w:left w:w="120" w:type="dxa"/>
              <w:bottom w:w="80" w:type="dxa"/>
              <w:right w:w="120" w:type="dxa"/>
            </w:tcMar>
          </w:tcPr>
          <w:p w:rsidR="0012555C" w:rsidRDefault="00EE3472">
            <w:pPr>
              <w:jc w:val="center"/>
            </w:pPr>
            <w:r>
              <w:rPr>
                <w:sz w:val="20"/>
                <w:szCs w:val="20"/>
              </w:rPr>
              <w:t>0.08</w:t>
            </w:r>
          </w:p>
        </w:tc>
      </w:tr>
      <w:tr w:rsidR="0012555C">
        <w:tblPrEx>
          <w:tblCellMar>
            <w:top w:w="0" w:type="dxa"/>
            <w:bottom w:w="0" w:type="dxa"/>
          </w:tblCellMar>
        </w:tblPrEx>
        <w:tc>
          <w:tcPr>
            <w:tcW w:w="4026" w:type="dxa"/>
            <w:tcBorders>
              <w:top w:val="single" w:sz="6" w:space="0" w:color="000000"/>
              <w:left w:val="none" w:sz="0" w:space="0" w:color="FFFFFF"/>
              <w:bottom w:val="single" w:sz="6" w:space="0" w:color="000000"/>
              <w:right w:val="none" w:sz="0" w:space="0" w:color="FFFFFF"/>
            </w:tcBorders>
            <w:tcMar>
              <w:top w:w="80" w:type="dxa"/>
              <w:left w:w="120" w:type="dxa"/>
              <w:bottom w:w="80" w:type="dxa"/>
              <w:right w:w="120" w:type="dxa"/>
            </w:tcMar>
          </w:tcPr>
          <w:p w:rsidR="0012555C" w:rsidRDefault="00EE3472">
            <w:r>
              <w:rPr>
                <w:sz w:val="20"/>
                <w:szCs w:val="20"/>
              </w:rPr>
              <w:t>Q8 – Equity willingness</w:t>
            </w:r>
          </w:p>
        </w:tc>
        <w:tc>
          <w:tcPr>
            <w:tcW w:w="1667" w:type="dxa"/>
            <w:tcBorders>
              <w:top w:val="single" w:sz="6" w:space="0" w:color="000000"/>
              <w:left w:val="none" w:sz="0" w:space="0" w:color="FFFFFF"/>
              <w:bottom w:val="single" w:sz="6" w:space="0" w:color="000000"/>
              <w:right w:val="none" w:sz="0" w:space="0" w:color="FFFFFF"/>
            </w:tcBorders>
            <w:tcMar>
              <w:top w:w="80" w:type="dxa"/>
              <w:left w:w="120" w:type="dxa"/>
              <w:bottom w:w="80" w:type="dxa"/>
              <w:right w:w="120" w:type="dxa"/>
            </w:tcMar>
          </w:tcPr>
          <w:p w:rsidR="0012555C" w:rsidRDefault="00EE3472">
            <w:pPr>
              <w:jc w:val="center"/>
            </w:pPr>
            <w:r>
              <w:rPr>
                <w:sz w:val="20"/>
                <w:szCs w:val="20"/>
              </w:rPr>
              <w:t>0.02</w:t>
            </w:r>
          </w:p>
        </w:tc>
        <w:tc>
          <w:tcPr>
            <w:tcW w:w="1667" w:type="dxa"/>
            <w:tcBorders>
              <w:top w:val="single" w:sz="6" w:space="0" w:color="000000"/>
              <w:left w:val="none" w:sz="0" w:space="0" w:color="FFFFFF"/>
              <w:bottom w:val="single" w:sz="6" w:space="0" w:color="000000"/>
              <w:right w:val="none" w:sz="0" w:space="0" w:color="FFFFFF"/>
            </w:tcBorders>
            <w:tcMar>
              <w:top w:w="80" w:type="dxa"/>
              <w:left w:w="120" w:type="dxa"/>
              <w:bottom w:w="80" w:type="dxa"/>
              <w:right w:w="120" w:type="dxa"/>
            </w:tcMar>
          </w:tcPr>
          <w:p w:rsidR="0012555C" w:rsidRDefault="00EE3472">
            <w:pPr>
              <w:jc w:val="center"/>
            </w:pPr>
            <w:r>
              <w:rPr>
                <w:sz w:val="20"/>
                <w:szCs w:val="20"/>
              </w:rPr>
              <w:t>0.06</w:t>
            </w:r>
          </w:p>
        </w:tc>
        <w:tc>
          <w:tcPr>
            <w:tcW w:w="1666" w:type="dxa"/>
            <w:tcBorders>
              <w:top w:val="single" w:sz="6" w:space="0" w:color="000000"/>
              <w:left w:val="none" w:sz="0" w:space="0" w:color="FFFFFF"/>
              <w:bottom w:val="single" w:sz="6" w:space="0" w:color="000000"/>
              <w:right w:val="none" w:sz="0" w:space="0" w:color="FFFFFF"/>
            </w:tcBorders>
            <w:tcMar>
              <w:top w:w="80" w:type="dxa"/>
              <w:left w:w="120" w:type="dxa"/>
              <w:bottom w:w="80" w:type="dxa"/>
              <w:right w:w="120" w:type="dxa"/>
            </w:tcMar>
          </w:tcPr>
          <w:p w:rsidR="0012555C" w:rsidRDefault="00EE3472">
            <w:pPr>
              <w:jc w:val="center"/>
            </w:pPr>
            <w:r>
              <w:rPr>
                <w:sz w:val="20"/>
                <w:szCs w:val="20"/>
              </w:rPr>
              <w:t>0.10</w:t>
            </w:r>
          </w:p>
        </w:tc>
      </w:tr>
    </w:tbl>
    <w:p w:rsidR="0012555C" w:rsidRDefault="00EE3472">
      <w:pPr>
        <w:pStyle w:val="Heading3"/>
      </w:pPr>
      <w:r>
        <w:t>2) Composite Risk Score and Classification</w:t>
      </w:r>
    </w:p>
    <w:p w:rsidR="0012555C" w:rsidRDefault="00EE3472">
      <w:pPr>
        <w:spacing w:before="60" w:after="60" w:line="276" w:lineRule="auto"/>
        <w:jc w:val="both"/>
      </w:pPr>
      <w:r>
        <w:t>A composite risk score is calculated as a weighted aggregate of responses from each investor:</w:t>
      </w:r>
    </w:p>
    <w:p w:rsidR="0012555C" w:rsidRDefault="00EE3472">
      <w:pPr>
        <w:spacing w:before="100" w:after="100"/>
        <w:jc w:val="center"/>
      </w:pPr>
      <w:r>
        <w:t>R = Σ αq · w_{q,rq}  for q = 1 to 8   (16)</w:t>
      </w:r>
    </w:p>
    <w:p w:rsidR="0012555C" w:rsidRDefault="00EE3472">
      <w:pPr>
        <w:spacing w:before="60" w:after="60" w:line="276" w:lineRule="auto"/>
        <w:jc w:val="both"/>
      </w:pPr>
      <w:r>
        <w:t>What is obtained is a scalar mapped to one of three risk profiles: Low Risk (R ≤ 0.21), Medium Risk (0.21 &lt; R ≤ 0.54), and High Risk (R &gt; 0.54).</w:t>
      </w:r>
    </w:p>
    <w:p w:rsidR="0012555C" w:rsidRDefault="00EE3472">
      <w:pPr>
        <w:pStyle w:val="Heading3"/>
      </w:pPr>
      <w:r>
        <w:t>3) Synthetic Validation</w:t>
      </w:r>
    </w:p>
    <w:p w:rsidR="0012555C" w:rsidRDefault="00EE3472">
      <w:pPr>
        <w:spacing w:before="60" w:after="60" w:line="276" w:lineRule="auto"/>
        <w:jc w:val="both"/>
      </w:pPr>
      <w:r>
        <w:t>The artificial simulation was done on 10,000 varied profiles of Indian investors. The model was right to address the major non-linear interactions: people with a high debt-income ratio (over 40%) were always graded from the Aggressive to the Moderate categ</w:t>
      </w:r>
      <w:r>
        <w:t>ory. The Savings and Emergency Fund feature had the highest positive weight (+0.1531), and Debt had the lowest negative weight (−0.2041).</w:t>
      </w:r>
    </w:p>
    <w:p w:rsidR="0012555C" w:rsidRDefault="00EE3472">
      <w:pPr>
        <w:pStyle w:val="Heading2"/>
      </w:pPr>
      <w:r>
        <w:t>D. Mathematical Portfolio Optimisation</w:t>
      </w:r>
    </w:p>
    <w:p w:rsidR="0012555C" w:rsidRDefault="00EE3472">
      <w:pPr>
        <w:spacing w:before="60" w:after="60" w:line="276" w:lineRule="auto"/>
        <w:jc w:val="both"/>
      </w:pPr>
      <w:r>
        <w:t>The qualified asset universe comprises assets that receive a buy signal with an</w:t>
      </w:r>
      <w:r>
        <w:t xml:space="preserve"> identical risk profile. The allocation of final capital is the optimisation of the Modern Portfolio Theory.</w:t>
      </w:r>
    </w:p>
    <w:p w:rsidR="0012555C" w:rsidRDefault="00EE3472">
      <w:pPr>
        <w:pStyle w:val="Heading3"/>
      </w:pPr>
      <w:r>
        <w:t>1) Return and Risk Estimation</w:t>
      </w:r>
    </w:p>
    <w:p w:rsidR="0012555C" w:rsidRDefault="00EE3472">
      <w:pPr>
        <w:spacing w:before="60" w:after="60" w:line="276" w:lineRule="auto"/>
        <w:jc w:val="both"/>
      </w:pPr>
      <w:r>
        <w:t>Adjusted closing prices are obtained from Yahoo Finance for each asset. The expected return are calculated by using d</w:t>
      </w:r>
      <w:r>
        <w:t>aily returns and annualising them to obtain the expected return vector μ ∈ ℝᴺ and annual covariance matrix Σ ∈ ℝᴺˣᴺ:</w:t>
      </w:r>
    </w:p>
    <w:p w:rsidR="0012555C" w:rsidRDefault="00EE3472">
      <w:pPr>
        <w:spacing w:before="100" w:after="100"/>
        <w:jc w:val="center"/>
      </w:pPr>
      <w:r>
        <w:t>R_p = w^T · μ   (17)</w:t>
      </w:r>
    </w:p>
    <w:p w:rsidR="0012555C" w:rsidRDefault="00EE3472">
      <w:pPr>
        <w:spacing w:before="100" w:after="100"/>
        <w:jc w:val="center"/>
      </w:pPr>
      <w:r>
        <w:t>σ_p = √(w^T · Σ · w)   (18)</w:t>
      </w:r>
    </w:p>
    <w:p w:rsidR="0012555C" w:rsidRDefault="00EE3472">
      <w:pPr>
        <w:pStyle w:val="Heading3"/>
      </w:pPr>
      <w:r>
        <w:t>2) Sharpe Ratio Maximisation</w:t>
      </w:r>
    </w:p>
    <w:p w:rsidR="0012555C" w:rsidRDefault="00EE3472">
      <w:pPr>
        <w:spacing w:before="60" w:after="60" w:line="276" w:lineRule="auto"/>
        <w:jc w:val="both"/>
      </w:pPr>
      <w:r>
        <w:t>The main optimisation will be to find the weighting that will</w:t>
      </w:r>
      <w:r>
        <w:t xml:space="preserve"> give the highest Sharpe Ratio:</w:t>
      </w:r>
    </w:p>
    <w:p w:rsidR="0012555C" w:rsidRDefault="00EE3472">
      <w:pPr>
        <w:spacing w:before="100" w:after="100"/>
        <w:jc w:val="center"/>
      </w:pPr>
      <w:r>
        <w:t>maximize  S(w) = (w^T·μ − r_f) / √(w^T·Σ·w)   (19)</w:t>
      </w:r>
    </w:p>
    <w:p w:rsidR="0012555C" w:rsidRDefault="00EE3472">
      <w:pPr>
        <w:spacing w:before="60" w:after="60" w:line="276" w:lineRule="auto"/>
        <w:jc w:val="both"/>
      </w:pPr>
      <w:r>
        <w:t>subject to the constraints:</w:t>
      </w:r>
    </w:p>
    <w:p w:rsidR="0012555C" w:rsidRDefault="00EE3472">
      <w:pPr>
        <w:spacing w:before="100" w:after="100"/>
        <w:jc w:val="center"/>
      </w:pPr>
      <w:r>
        <w:t>Σwᵢ = 1,   0.05 ≤ wᵢ ≤ 0.25  for all i   (20)</w:t>
      </w:r>
    </w:p>
    <w:p w:rsidR="0012555C" w:rsidRDefault="00EE3472">
      <w:pPr>
        <w:spacing w:before="60" w:after="60" w:line="276" w:lineRule="auto"/>
        <w:jc w:val="both"/>
      </w:pPr>
      <w:r>
        <w:lastRenderedPageBreak/>
        <w:t>The full-investment constraint ensures that all capital is deployed, whereas the per-asset bounds p</w:t>
      </w:r>
      <w:r>
        <w:t>revent over-concentration. Optimisation is performed using Sequential Least Squares Programming (SLSQP).</w:t>
      </w:r>
    </w:p>
    <w:p w:rsidR="0012555C" w:rsidRDefault="00EE3472">
      <w:pPr>
        <w:pStyle w:val="Heading3"/>
      </w:pPr>
      <w:r>
        <w:t>3) Efficient Frontier and Baseline Comparison</w:t>
      </w:r>
    </w:p>
    <w:p w:rsidR="0012555C" w:rsidRDefault="00EE3472">
      <w:pPr>
        <w:spacing w:before="60" w:after="60" w:line="276" w:lineRule="auto"/>
        <w:jc w:val="both"/>
      </w:pPr>
      <w:r>
        <w:t>To authenticate global optimality, a Monte Carlo simulation of 50,000 randomly selected long-only portfol</w:t>
      </w:r>
      <w:r>
        <w:t>io weight vectors is performed. The Risk Parity baseline is made through inverse-volatility weighting:</w:t>
      </w:r>
    </w:p>
    <w:p w:rsidR="0012555C" w:rsidRDefault="00EE3472">
      <w:pPr>
        <w:spacing w:before="100" w:after="100"/>
        <w:jc w:val="center"/>
      </w:pPr>
      <w:r>
        <w:t>w_i^RP = (1/σᵢ) / Σ(1/σⱼ)   (21)</w:t>
      </w:r>
    </w:p>
    <w:p w:rsidR="0012555C" w:rsidRDefault="00EE3472">
      <w:pPr>
        <w:spacing w:before="60" w:after="60" w:line="276" w:lineRule="auto"/>
        <w:jc w:val="both"/>
      </w:pPr>
      <w:r>
        <w:t>In Cholesky-factorised correlated returns, a success probability measure is calculated using a Monte Carlo sample size o</w:t>
      </w:r>
      <w:r>
        <w:t>f 20,000 independent price-path simulations:</w:t>
      </w:r>
    </w:p>
    <w:p w:rsidR="0012555C" w:rsidRDefault="00EE3472">
      <w:pPr>
        <w:spacing w:before="100" w:after="100"/>
        <w:jc w:val="center"/>
      </w:pPr>
      <w:r>
        <w:t>r_t = μ + L·z_t,   L = chol(Σ),   z_t ~ N(0, I)   (22)</w:t>
      </w:r>
    </w:p>
    <w:p w:rsidR="0012555C" w:rsidRDefault="00EE3472">
      <w:pPr>
        <w:pStyle w:val="Heading1"/>
      </w:pPr>
      <w:r>
        <w:t>IV. EXPERIMENTAL RESULTS</w:t>
      </w:r>
    </w:p>
    <w:p w:rsidR="0012555C" w:rsidRDefault="00EE3472">
      <w:pPr>
        <w:pStyle w:val="Heading2"/>
      </w:pPr>
      <w:r>
        <w:t>A. Experimental Setup</w:t>
      </w:r>
    </w:p>
    <w:p w:rsidR="0012555C" w:rsidRDefault="00EE3472">
      <w:pPr>
        <w:spacing w:before="60" w:after="60" w:line="276" w:lineRule="auto"/>
        <w:jc w:val="both"/>
      </w:pPr>
      <w:r>
        <w:t xml:space="preserve">The Nifty 50 constituent universe backtest was conducted between 2022 and 2025, from January to January. The </w:t>
      </w:r>
      <w:r>
        <w:t>daily OHLCV market data was obtained using yfinance. The per-asset weight limits were chosen to [0.05, 0.25] to obtain long-only positions. The risk-free interest rate was set at 6.8% per annum. Three strategies were tested: (1) SmartNest neuro-symbolic st</w:t>
      </w:r>
      <w:r>
        <w:t>rategy, (2) Classical Markowitz optimisation, and (3) Risk Parity baseline.</w:t>
      </w:r>
    </w:p>
    <w:p w:rsidR="0012555C" w:rsidRDefault="00EE3472">
      <w:pPr>
        <w:pStyle w:val="Heading2"/>
      </w:pPr>
      <w:r>
        <w:t>B. Portfolio Performance Analysis</w:t>
      </w:r>
    </w:p>
    <w:p w:rsidR="0012555C" w:rsidRDefault="00EE3472">
      <w:pPr>
        <w:spacing w:before="60" w:after="60" w:line="276" w:lineRule="auto"/>
        <w:jc w:val="both"/>
      </w:pPr>
      <w:r>
        <w:t>Table II summarises the comparative performance metrics across the three-year evaluation horizon.</w:t>
      </w:r>
    </w:p>
    <w:p w:rsidR="0012555C" w:rsidRDefault="00EE3472">
      <w:pPr>
        <w:spacing w:before="100" w:after="60"/>
        <w:jc w:val="center"/>
      </w:pPr>
      <w:r>
        <w:rPr>
          <w:b/>
          <w:bCs/>
        </w:rPr>
        <w:t>TABLE II.  Comparative Portfolio Performance (Jan 2022–Jan 2025)</w:t>
      </w:r>
    </w:p>
    <w:tbl>
      <w:tblPr>
        <w:tblW w:w="902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6"/>
        <w:gridCol w:w="1500"/>
        <w:gridCol w:w="1500"/>
        <w:gridCol w:w="1500"/>
        <w:gridCol w:w="1500"/>
      </w:tblGrid>
      <w:tr w:rsidR="0012555C">
        <w:tblPrEx>
          <w:tblCellMar>
            <w:top w:w="0" w:type="dxa"/>
            <w:bottom w:w="0" w:type="dxa"/>
          </w:tblCellMar>
        </w:tblPrEx>
        <w:trPr>
          <w:tblHeader/>
        </w:trPr>
        <w:tc>
          <w:tcPr>
            <w:tcW w:w="3026" w:type="dxa"/>
            <w:tcBorders>
              <w:top w:val="single" w:sz="6" w:space="0" w:color="000000"/>
              <w:left w:val="none" w:sz="0" w:space="0" w:color="FFFFFF"/>
              <w:bottom w:val="single" w:sz="6" w:space="0" w:color="000000"/>
              <w:right w:val="none" w:sz="0" w:space="0" w:color="FFFFFF"/>
            </w:tcBorders>
            <w:shd w:val="clear" w:color="auto" w:fill="DDDDDD"/>
            <w:tcMar>
              <w:top w:w="80" w:type="dxa"/>
              <w:left w:w="120" w:type="dxa"/>
              <w:bottom w:w="80" w:type="dxa"/>
              <w:right w:w="120" w:type="dxa"/>
            </w:tcMar>
          </w:tcPr>
          <w:p w:rsidR="0012555C" w:rsidRDefault="00EE3472">
            <w:pPr>
              <w:jc w:val="center"/>
            </w:pPr>
            <w:r>
              <w:rPr>
                <w:b/>
                <w:bCs/>
                <w:sz w:val="20"/>
                <w:szCs w:val="20"/>
              </w:rPr>
              <w:t>Strategy</w:t>
            </w:r>
          </w:p>
        </w:tc>
        <w:tc>
          <w:tcPr>
            <w:tcW w:w="1500" w:type="dxa"/>
            <w:tcBorders>
              <w:top w:val="single" w:sz="6" w:space="0" w:color="000000"/>
              <w:left w:val="none" w:sz="0" w:space="0" w:color="FFFFFF"/>
              <w:bottom w:val="single" w:sz="6" w:space="0" w:color="000000"/>
              <w:right w:val="none" w:sz="0" w:space="0" w:color="FFFFFF"/>
            </w:tcBorders>
            <w:shd w:val="clear" w:color="auto" w:fill="DDDDDD"/>
            <w:tcMar>
              <w:top w:w="80" w:type="dxa"/>
              <w:left w:w="120" w:type="dxa"/>
              <w:bottom w:w="80" w:type="dxa"/>
              <w:right w:w="120" w:type="dxa"/>
            </w:tcMar>
          </w:tcPr>
          <w:p w:rsidR="0012555C" w:rsidRDefault="00EE3472">
            <w:pPr>
              <w:jc w:val="center"/>
            </w:pPr>
            <w:r>
              <w:rPr>
                <w:b/>
                <w:bCs/>
                <w:sz w:val="20"/>
                <w:szCs w:val="20"/>
              </w:rPr>
              <w:t>Sharpe</w:t>
            </w:r>
          </w:p>
        </w:tc>
        <w:tc>
          <w:tcPr>
            <w:tcW w:w="1500" w:type="dxa"/>
            <w:tcBorders>
              <w:top w:val="single" w:sz="6" w:space="0" w:color="000000"/>
              <w:left w:val="none" w:sz="0" w:space="0" w:color="FFFFFF"/>
              <w:bottom w:val="single" w:sz="6" w:space="0" w:color="000000"/>
              <w:right w:val="none" w:sz="0" w:space="0" w:color="FFFFFF"/>
            </w:tcBorders>
            <w:shd w:val="clear" w:color="auto" w:fill="DDDDDD"/>
            <w:tcMar>
              <w:top w:w="80" w:type="dxa"/>
              <w:left w:w="120" w:type="dxa"/>
              <w:bottom w:w="80" w:type="dxa"/>
              <w:right w:w="120" w:type="dxa"/>
            </w:tcMar>
          </w:tcPr>
          <w:p w:rsidR="0012555C" w:rsidRDefault="00EE3472">
            <w:pPr>
              <w:jc w:val="center"/>
            </w:pPr>
            <w:r>
              <w:rPr>
                <w:b/>
                <w:bCs/>
                <w:sz w:val="20"/>
                <w:szCs w:val="20"/>
              </w:rPr>
              <w:t>CAGR</w:t>
            </w:r>
          </w:p>
        </w:tc>
        <w:tc>
          <w:tcPr>
            <w:tcW w:w="1500" w:type="dxa"/>
            <w:tcBorders>
              <w:top w:val="single" w:sz="6" w:space="0" w:color="000000"/>
              <w:left w:val="none" w:sz="0" w:space="0" w:color="FFFFFF"/>
              <w:bottom w:val="single" w:sz="6" w:space="0" w:color="000000"/>
              <w:right w:val="none" w:sz="0" w:space="0" w:color="FFFFFF"/>
            </w:tcBorders>
            <w:shd w:val="clear" w:color="auto" w:fill="DDDDDD"/>
            <w:tcMar>
              <w:top w:w="80" w:type="dxa"/>
              <w:left w:w="120" w:type="dxa"/>
              <w:bottom w:w="80" w:type="dxa"/>
              <w:right w:w="120" w:type="dxa"/>
            </w:tcMar>
          </w:tcPr>
          <w:p w:rsidR="0012555C" w:rsidRDefault="00EE3472">
            <w:pPr>
              <w:jc w:val="center"/>
            </w:pPr>
            <w:r>
              <w:rPr>
                <w:b/>
                <w:bCs/>
                <w:sz w:val="20"/>
                <w:szCs w:val="20"/>
              </w:rPr>
              <w:t>Max DD</w:t>
            </w:r>
          </w:p>
        </w:tc>
        <w:tc>
          <w:tcPr>
            <w:tcW w:w="1500" w:type="dxa"/>
            <w:tcBorders>
              <w:top w:val="single" w:sz="6" w:space="0" w:color="000000"/>
              <w:left w:val="none" w:sz="0" w:space="0" w:color="FFFFFF"/>
              <w:bottom w:val="single" w:sz="6" w:space="0" w:color="000000"/>
              <w:right w:val="none" w:sz="0" w:space="0" w:color="FFFFFF"/>
            </w:tcBorders>
            <w:shd w:val="clear" w:color="auto" w:fill="DDDDDD"/>
            <w:tcMar>
              <w:top w:w="80" w:type="dxa"/>
              <w:left w:w="120" w:type="dxa"/>
              <w:bottom w:w="80" w:type="dxa"/>
              <w:right w:w="120" w:type="dxa"/>
            </w:tcMar>
          </w:tcPr>
          <w:p w:rsidR="0012555C" w:rsidRDefault="00EE3472">
            <w:pPr>
              <w:jc w:val="center"/>
            </w:pPr>
            <w:r>
              <w:rPr>
                <w:b/>
                <w:bCs/>
                <w:sz w:val="20"/>
                <w:szCs w:val="20"/>
              </w:rPr>
              <w:t>Vol.</w:t>
            </w:r>
          </w:p>
        </w:tc>
      </w:tr>
      <w:tr w:rsidR="0012555C">
        <w:tblPrEx>
          <w:tblCellMar>
            <w:top w:w="0" w:type="dxa"/>
            <w:bottom w:w="0" w:type="dxa"/>
          </w:tblCellMar>
        </w:tblPrEx>
        <w:tc>
          <w:tcPr>
            <w:tcW w:w="3026" w:type="dxa"/>
            <w:tcBorders>
              <w:top w:val="single" w:sz="6" w:space="0" w:color="000000"/>
              <w:left w:val="none" w:sz="0" w:space="0" w:color="FFFFFF"/>
              <w:bottom w:val="single" w:sz="6" w:space="0" w:color="000000"/>
              <w:right w:val="none" w:sz="0" w:space="0" w:color="FFFFFF"/>
            </w:tcBorders>
            <w:tcMar>
              <w:top w:w="80" w:type="dxa"/>
              <w:left w:w="120" w:type="dxa"/>
              <w:bottom w:w="80" w:type="dxa"/>
              <w:right w:w="120" w:type="dxa"/>
            </w:tcMar>
          </w:tcPr>
          <w:p w:rsidR="0012555C" w:rsidRDefault="00EE3472">
            <w:r>
              <w:rPr>
                <w:b/>
                <w:bCs/>
                <w:sz w:val="20"/>
                <w:szCs w:val="20"/>
              </w:rPr>
              <w:t>SmartNest (Neuro-Symbolic)</w:t>
            </w:r>
          </w:p>
        </w:tc>
        <w:tc>
          <w:tcPr>
            <w:tcW w:w="1500" w:type="dxa"/>
            <w:tcBorders>
              <w:top w:val="single" w:sz="6" w:space="0" w:color="000000"/>
              <w:left w:val="none" w:sz="0" w:space="0" w:color="FFFFFF"/>
              <w:bottom w:val="single" w:sz="6" w:space="0" w:color="000000"/>
              <w:right w:val="none" w:sz="0" w:space="0" w:color="FFFFFF"/>
            </w:tcBorders>
            <w:tcMar>
              <w:top w:w="80" w:type="dxa"/>
              <w:left w:w="120" w:type="dxa"/>
              <w:bottom w:w="80" w:type="dxa"/>
              <w:right w:w="120" w:type="dxa"/>
            </w:tcMar>
          </w:tcPr>
          <w:p w:rsidR="0012555C" w:rsidRDefault="00EE3472">
            <w:pPr>
              <w:jc w:val="center"/>
            </w:pPr>
            <w:r>
              <w:rPr>
                <w:b/>
                <w:bCs/>
                <w:sz w:val="20"/>
                <w:szCs w:val="20"/>
              </w:rPr>
              <w:t>0.920</w:t>
            </w:r>
          </w:p>
        </w:tc>
        <w:tc>
          <w:tcPr>
            <w:tcW w:w="1500" w:type="dxa"/>
            <w:tcBorders>
              <w:top w:val="single" w:sz="6" w:space="0" w:color="000000"/>
              <w:left w:val="none" w:sz="0" w:space="0" w:color="FFFFFF"/>
              <w:bottom w:val="single" w:sz="6" w:space="0" w:color="000000"/>
              <w:right w:val="none" w:sz="0" w:space="0" w:color="FFFFFF"/>
            </w:tcBorders>
            <w:tcMar>
              <w:top w:w="80" w:type="dxa"/>
              <w:left w:w="120" w:type="dxa"/>
              <w:bottom w:w="80" w:type="dxa"/>
              <w:right w:w="120" w:type="dxa"/>
            </w:tcMar>
          </w:tcPr>
          <w:p w:rsidR="0012555C" w:rsidRDefault="00EE3472">
            <w:pPr>
              <w:jc w:val="center"/>
            </w:pPr>
            <w:r>
              <w:rPr>
                <w:b/>
                <w:bCs/>
                <w:sz w:val="20"/>
                <w:szCs w:val="20"/>
              </w:rPr>
              <w:t>24.5%</w:t>
            </w:r>
          </w:p>
        </w:tc>
        <w:tc>
          <w:tcPr>
            <w:tcW w:w="1500" w:type="dxa"/>
            <w:tcBorders>
              <w:top w:val="single" w:sz="6" w:space="0" w:color="000000"/>
              <w:left w:val="none" w:sz="0" w:space="0" w:color="FFFFFF"/>
              <w:bottom w:val="single" w:sz="6" w:space="0" w:color="000000"/>
              <w:right w:val="none" w:sz="0" w:space="0" w:color="FFFFFF"/>
            </w:tcBorders>
            <w:tcMar>
              <w:top w:w="80" w:type="dxa"/>
              <w:left w:w="120" w:type="dxa"/>
              <w:bottom w:w="80" w:type="dxa"/>
              <w:right w:w="120" w:type="dxa"/>
            </w:tcMar>
          </w:tcPr>
          <w:p w:rsidR="0012555C" w:rsidRDefault="00EE3472">
            <w:pPr>
              <w:jc w:val="center"/>
            </w:pPr>
            <w:r>
              <w:rPr>
                <w:b/>
                <w:bCs/>
                <w:sz w:val="20"/>
                <w:szCs w:val="20"/>
              </w:rPr>
              <w:t>−14.2%</w:t>
            </w:r>
          </w:p>
        </w:tc>
        <w:tc>
          <w:tcPr>
            <w:tcW w:w="1500" w:type="dxa"/>
            <w:tcBorders>
              <w:top w:val="single" w:sz="6" w:space="0" w:color="000000"/>
              <w:left w:val="none" w:sz="0" w:space="0" w:color="FFFFFF"/>
              <w:bottom w:val="single" w:sz="6" w:space="0" w:color="000000"/>
              <w:right w:val="none" w:sz="0" w:space="0" w:color="FFFFFF"/>
            </w:tcBorders>
            <w:tcMar>
              <w:top w:w="80" w:type="dxa"/>
              <w:left w:w="120" w:type="dxa"/>
              <w:bottom w:w="80" w:type="dxa"/>
              <w:right w:w="120" w:type="dxa"/>
            </w:tcMar>
          </w:tcPr>
          <w:p w:rsidR="0012555C" w:rsidRDefault="00EE3472">
            <w:pPr>
              <w:jc w:val="center"/>
            </w:pPr>
            <w:r>
              <w:rPr>
                <w:b/>
                <w:bCs/>
                <w:sz w:val="20"/>
                <w:szCs w:val="20"/>
              </w:rPr>
              <w:t>18.2%</w:t>
            </w:r>
          </w:p>
        </w:tc>
      </w:tr>
      <w:tr w:rsidR="0012555C">
        <w:tblPrEx>
          <w:tblCellMar>
            <w:top w:w="0" w:type="dxa"/>
            <w:bottom w:w="0" w:type="dxa"/>
          </w:tblCellMar>
        </w:tblPrEx>
        <w:tc>
          <w:tcPr>
            <w:tcW w:w="3026" w:type="dxa"/>
            <w:tcBorders>
              <w:top w:val="single" w:sz="6" w:space="0" w:color="000000"/>
              <w:left w:val="none" w:sz="0" w:space="0" w:color="FFFFFF"/>
              <w:bottom w:val="single" w:sz="6" w:space="0" w:color="000000"/>
              <w:right w:val="none" w:sz="0" w:space="0" w:color="FFFFFF"/>
            </w:tcBorders>
            <w:tcMar>
              <w:top w:w="80" w:type="dxa"/>
              <w:left w:w="120" w:type="dxa"/>
              <w:bottom w:w="80" w:type="dxa"/>
              <w:right w:w="120" w:type="dxa"/>
            </w:tcMar>
          </w:tcPr>
          <w:p w:rsidR="0012555C" w:rsidRDefault="00EE3472">
            <w:r>
              <w:rPr>
                <w:sz w:val="20"/>
                <w:szCs w:val="20"/>
              </w:rPr>
              <w:t>Classical Markowitz (Unfiltered)</w:t>
            </w:r>
          </w:p>
        </w:tc>
        <w:tc>
          <w:tcPr>
            <w:tcW w:w="1500" w:type="dxa"/>
            <w:tcBorders>
              <w:top w:val="single" w:sz="6" w:space="0" w:color="000000"/>
              <w:left w:val="none" w:sz="0" w:space="0" w:color="FFFFFF"/>
              <w:bottom w:val="single" w:sz="6" w:space="0" w:color="000000"/>
              <w:right w:val="none" w:sz="0" w:space="0" w:color="FFFFFF"/>
            </w:tcBorders>
            <w:tcMar>
              <w:top w:w="80" w:type="dxa"/>
              <w:left w:w="120" w:type="dxa"/>
              <w:bottom w:w="80" w:type="dxa"/>
              <w:right w:w="120" w:type="dxa"/>
            </w:tcMar>
          </w:tcPr>
          <w:p w:rsidR="0012555C" w:rsidRDefault="00EE3472">
            <w:pPr>
              <w:jc w:val="center"/>
            </w:pPr>
            <w:r>
              <w:rPr>
                <w:sz w:val="20"/>
                <w:szCs w:val="20"/>
              </w:rPr>
              <w:t>0.897</w:t>
            </w:r>
          </w:p>
        </w:tc>
        <w:tc>
          <w:tcPr>
            <w:tcW w:w="1500" w:type="dxa"/>
            <w:tcBorders>
              <w:top w:val="single" w:sz="6" w:space="0" w:color="000000"/>
              <w:left w:val="none" w:sz="0" w:space="0" w:color="FFFFFF"/>
              <w:bottom w:val="single" w:sz="6" w:space="0" w:color="000000"/>
              <w:right w:val="none" w:sz="0" w:space="0" w:color="FFFFFF"/>
            </w:tcBorders>
            <w:tcMar>
              <w:top w:w="80" w:type="dxa"/>
              <w:left w:w="120" w:type="dxa"/>
              <w:bottom w:w="80" w:type="dxa"/>
              <w:right w:w="120" w:type="dxa"/>
            </w:tcMar>
          </w:tcPr>
          <w:p w:rsidR="0012555C" w:rsidRDefault="00EE3472">
            <w:pPr>
              <w:jc w:val="center"/>
            </w:pPr>
            <w:r>
              <w:rPr>
                <w:sz w:val="20"/>
                <w:szCs w:val="20"/>
              </w:rPr>
              <w:t>21.3%</w:t>
            </w:r>
          </w:p>
        </w:tc>
        <w:tc>
          <w:tcPr>
            <w:tcW w:w="1500" w:type="dxa"/>
            <w:tcBorders>
              <w:top w:val="single" w:sz="6" w:space="0" w:color="000000"/>
              <w:left w:val="none" w:sz="0" w:space="0" w:color="FFFFFF"/>
              <w:bottom w:val="single" w:sz="6" w:space="0" w:color="000000"/>
              <w:right w:val="none" w:sz="0" w:space="0" w:color="FFFFFF"/>
            </w:tcBorders>
            <w:tcMar>
              <w:top w:w="80" w:type="dxa"/>
              <w:left w:w="120" w:type="dxa"/>
              <w:bottom w:w="80" w:type="dxa"/>
              <w:right w:w="120" w:type="dxa"/>
            </w:tcMar>
          </w:tcPr>
          <w:p w:rsidR="0012555C" w:rsidRDefault="00EE3472">
            <w:pPr>
              <w:jc w:val="center"/>
            </w:pPr>
            <w:r>
              <w:rPr>
                <w:sz w:val="20"/>
                <w:szCs w:val="20"/>
              </w:rPr>
              <w:t>−19.1%</w:t>
            </w:r>
          </w:p>
        </w:tc>
        <w:tc>
          <w:tcPr>
            <w:tcW w:w="1500" w:type="dxa"/>
            <w:tcBorders>
              <w:top w:val="single" w:sz="6" w:space="0" w:color="000000"/>
              <w:left w:val="none" w:sz="0" w:space="0" w:color="FFFFFF"/>
              <w:bottom w:val="single" w:sz="6" w:space="0" w:color="000000"/>
              <w:right w:val="none" w:sz="0" w:space="0" w:color="FFFFFF"/>
            </w:tcBorders>
            <w:tcMar>
              <w:top w:w="80" w:type="dxa"/>
              <w:left w:w="120" w:type="dxa"/>
              <w:bottom w:w="80" w:type="dxa"/>
              <w:right w:w="120" w:type="dxa"/>
            </w:tcMar>
          </w:tcPr>
          <w:p w:rsidR="0012555C" w:rsidRDefault="00EE3472">
            <w:pPr>
              <w:jc w:val="center"/>
            </w:pPr>
            <w:r>
              <w:rPr>
                <w:sz w:val="20"/>
                <w:szCs w:val="20"/>
              </w:rPr>
              <w:t>19.5%</w:t>
            </w:r>
          </w:p>
        </w:tc>
      </w:tr>
      <w:tr w:rsidR="0012555C">
        <w:tblPrEx>
          <w:tblCellMar>
            <w:top w:w="0" w:type="dxa"/>
            <w:bottom w:w="0" w:type="dxa"/>
          </w:tblCellMar>
        </w:tblPrEx>
        <w:tc>
          <w:tcPr>
            <w:tcW w:w="3026" w:type="dxa"/>
            <w:tcBorders>
              <w:top w:val="single" w:sz="6" w:space="0" w:color="000000"/>
              <w:left w:val="none" w:sz="0" w:space="0" w:color="FFFFFF"/>
              <w:bottom w:val="single" w:sz="6" w:space="0" w:color="000000"/>
              <w:right w:val="none" w:sz="0" w:space="0" w:color="FFFFFF"/>
            </w:tcBorders>
            <w:tcMar>
              <w:top w:w="80" w:type="dxa"/>
              <w:left w:w="120" w:type="dxa"/>
              <w:bottom w:w="80" w:type="dxa"/>
              <w:right w:w="120" w:type="dxa"/>
            </w:tcMar>
          </w:tcPr>
          <w:p w:rsidR="0012555C" w:rsidRDefault="00EE3472">
            <w:r>
              <w:rPr>
                <w:sz w:val="20"/>
                <w:szCs w:val="20"/>
              </w:rPr>
              <w:t>Risk Parity (Baseline)</w:t>
            </w:r>
          </w:p>
        </w:tc>
        <w:tc>
          <w:tcPr>
            <w:tcW w:w="1500" w:type="dxa"/>
            <w:tcBorders>
              <w:top w:val="single" w:sz="6" w:space="0" w:color="000000"/>
              <w:left w:val="none" w:sz="0" w:space="0" w:color="FFFFFF"/>
              <w:bottom w:val="single" w:sz="6" w:space="0" w:color="000000"/>
              <w:right w:val="none" w:sz="0" w:space="0" w:color="FFFFFF"/>
            </w:tcBorders>
            <w:tcMar>
              <w:top w:w="80" w:type="dxa"/>
              <w:left w:w="120" w:type="dxa"/>
              <w:bottom w:w="80" w:type="dxa"/>
              <w:right w:w="120" w:type="dxa"/>
            </w:tcMar>
          </w:tcPr>
          <w:p w:rsidR="0012555C" w:rsidRDefault="00EE3472">
            <w:pPr>
              <w:jc w:val="center"/>
            </w:pPr>
            <w:r>
              <w:rPr>
                <w:sz w:val="20"/>
                <w:szCs w:val="20"/>
              </w:rPr>
              <w:t>0.807</w:t>
            </w:r>
          </w:p>
        </w:tc>
        <w:tc>
          <w:tcPr>
            <w:tcW w:w="1500" w:type="dxa"/>
            <w:tcBorders>
              <w:top w:val="single" w:sz="6" w:space="0" w:color="000000"/>
              <w:left w:val="none" w:sz="0" w:space="0" w:color="FFFFFF"/>
              <w:bottom w:val="single" w:sz="6" w:space="0" w:color="000000"/>
              <w:right w:val="none" w:sz="0" w:space="0" w:color="FFFFFF"/>
            </w:tcBorders>
            <w:tcMar>
              <w:top w:w="80" w:type="dxa"/>
              <w:left w:w="120" w:type="dxa"/>
              <w:bottom w:w="80" w:type="dxa"/>
              <w:right w:w="120" w:type="dxa"/>
            </w:tcMar>
          </w:tcPr>
          <w:p w:rsidR="0012555C" w:rsidRDefault="00EE3472">
            <w:pPr>
              <w:jc w:val="center"/>
            </w:pPr>
            <w:r>
              <w:rPr>
                <w:sz w:val="20"/>
                <w:szCs w:val="20"/>
              </w:rPr>
              <w:t>14.2%</w:t>
            </w:r>
          </w:p>
        </w:tc>
        <w:tc>
          <w:tcPr>
            <w:tcW w:w="1500" w:type="dxa"/>
            <w:tcBorders>
              <w:top w:val="single" w:sz="6" w:space="0" w:color="000000"/>
              <w:left w:val="none" w:sz="0" w:space="0" w:color="FFFFFF"/>
              <w:bottom w:val="single" w:sz="6" w:space="0" w:color="000000"/>
              <w:right w:val="none" w:sz="0" w:space="0" w:color="FFFFFF"/>
            </w:tcBorders>
            <w:tcMar>
              <w:top w:w="80" w:type="dxa"/>
              <w:left w:w="120" w:type="dxa"/>
              <w:bottom w:w="80" w:type="dxa"/>
              <w:right w:w="120" w:type="dxa"/>
            </w:tcMar>
          </w:tcPr>
          <w:p w:rsidR="0012555C" w:rsidRDefault="00EE3472">
            <w:pPr>
              <w:jc w:val="center"/>
            </w:pPr>
            <w:r>
              <w:rPr>
                <w:sz w:val="20"/>
                <w:szCs w:val="20"/>
              </w:rPr>
              <w:t>−11.5%</w:t>
            </w:r>
          </w:p>
        </w:tc>
        <w:tc>
          <w:tcPr>
            <w:tcW w:w="1500" w:type="dxa"/>
            <w:tcBorders>
              <w:top w:val="single" w:sz="6" w:space="0" w:color="000000"/>
              <w:left w:val="none" w:sz="0" w:space="0" w:color="FFFFFF"/>
              <w:bottom w:val="single" w:sz="6" w:space="0" w:color="000000"/>
              <w:right w:val="none" w:sz="0" w:space="0" w:color="FFFFFF"/>
            </w:tcBorders>
            <w:tcMar>
              <w:top w:w="80" w:type="dxa"/>
              <w:left w:w="120" w:type="dxa"/>
              <w:bottom w:w="80" w:type="dxa"/>
              <w:right w:w="120" w:type="dxa"/>
            </w:tcMar>
          </w:tcPr>
          <w:p w:rsidR="0012555C" w:rsidRDefault="00EE3472">
            <w:pPr>
              <w:jc w:val="center"/>
            </w:pPr>
            <w:r>
              <w:rPr>
                <w:sz w:val="20"/>
                <w:szCs w:val="20"/>
              </w:rPr>
              <w:t>12.8%</w:t>
            </w:r>
          </w:p>
        </w:tc>
      </w:tr>
    </w:tbl>
    <w:p w:rsidR="0012555C" w:rsidRDefault="00EE3472">
      <w:pPr>
        <w:spacing w:before="60" w:after="60" w:line="276" w:lineRule="auto"/>
        <w:jc w:val="both"/>
      </w:pPr>
      <w:r>
        <w:t>The SmartNest plan had the best Sharpe Ratio (0.920) and Compound Annual Growth rate (CAGR) of 24.5%. This is better than the Classical Markowitz method, mainly because of the AI Filtration Layer, which rules out value traps: assets that look good m</w:t>
      </w:r>
      <w:r>
        <w:t>athematically but have weakening fundamentals, negative sentiment, or an unpromising macroeconomic position.</w:t>
      </w:r>
    </w:p>
    <w:p w:rsidR="0012555C" w:rsidRDefault="00EE3472">
      <w:pPr>
        <w:spacing w:before="60" w:after="60" w:line="276" w:lineRule="auto"/>
        <w:jc w:val="both"/>
      </w:pPr>
      <w:r>
        <w:t>Risk Parity baseline had the lowest maximum drawdown (−11.5%) but generated very low returns (CAGR 14.2%) and a poor Sharpe Ratio (0.807). SmartNes</w:t>
      </w:r>
      <w:r>
        <w:t>t achieved a better balance, with a maximum drawdown 4.9 percentage points lower than the unfiltered Markowitz strategy and almost 10 percentage points of extra annual returns over Risk Parity.</w:t>
      </w:r>
    </w:p>
    <w:p w:rsidR="0012555C" w:rsidRDefault="00EE3472">
      <w:pPr>
        <w:pStyle w:val="Heading2"/>
      </w:pPr>
      <w:r>
        <w:t>C. Risk Model Validation</w:t>
      </w:r>
    </w:p>
    <w:p w:rsidR="0012555C" w:rsidRDefault="00EE3472">
      <w:pPr>
        <w:spacing w:before="60" w:after="60" w:line="276" w:lineRule="auto"/>
        <w:jc w:val="both"/>
      </w:pPr>
      <w:r>
        <w:t>The weighted feature risk model was t</w:t>
      </w:r>
      <w:r>
        <w:t>ested in 10,000 simulated investor profiles. Edge-case testing ensured that the model appropriately penalised high-income profiles with high debt-to-income ratios. The most correlated feature was Savings and Emergency Fund, followed by the lowest predictor</w:t>
      </w:r>
      <w:r>
        <w:t xml:space="preserve"> of Risk Capacity Score, and the strongest negative predictor was Debt, which confirmed the hypothesis that liquidity buffer and debt burden are the key factors determining investment resilience [18].</w:t>
      </w:r>
    </w:p>
    <w:p w:rsidR="0012555C" w:rsidRDefault="00EE3472">
      <w:pPr>
        <w:pStyle w:val="Heading2"/>
      </w:pPr>
      <w:r>
        <w:t>D. Ablation Study</w:t>
      </w:r>
    </w:p>
    <w:p w:rsidR="0012555C" w:rsidRDefault="00EE3472">
      <w:pPr>
        <w:spacing w:before="60" w:after="60" w:line="276" w:lineRule="auto"/>
        <w:jc w:val="both"/>
      </w:pPr>
      <w:r>
        <w:t>To quantify the independent contribut</w:t>
      </w:r>
      <w:r>
        <w:t>ion of the two principal AI components, two targeted ablations were performed:</w:t>
      </w:r>
    </w:p>
    <w:p w:rsidR="0012555C" w:rsidRDefault="00EE3472">
      <w:pPr>
        <w:spacing w:before="60" w:after="60" w:line="276" w:lineRule="auto"/>
        <w:jc w:val="both"/>
      </w:pPr>
      <w:r>
        <w:rPr>
          <w:b/>
          <w:bCs/>
        </w:rPr>
        <w:lastRenderedPageBreak/>
        <w:t xml:space="preserve">Without TRS (News) Module: </w:t>
      </w:r>
      <w:r>
        <w:t>When Temporal Recursive Summarisation was switched off, Sharpe Ratio reduced to 0.92 to 0.88. In the absence of a stable narrative memory, the optimis</w:t>
      </w:r>
      <w:r>
        <w:t>er over-allocated to volatile assets that had just stabilised, losing the memory of unresolved negative circumstances.</w:t>
      </w:r>
    </w:p>
    <w:p w:rsidR="0012555C" w:rsidRDefault="00EE3472">
      <w:pPr>
        <w:spacing w:before="60" w:after="60" w:line="276" w:lineRule="auto"/>
        <w:jc w:val="both"/>
      </w:pPr>
      <w:r>
        <w:rPr>
          <w:b/>
          <w:bCs/>
        </w:rPr>
        <w:t xml:space="preserve">Without Macro-Filter: </w:t>
      </w:r>
      <w:r>
        <w:t>Elimination of sector macroeconomic conditioning led to even greater volatility in portfolios around changes in mac</w:t>
      </w:r>
      <w:r>
        <w:t>roeconomic regimes. The model did not underscore the interest-rate-sensitive sectors during monetary tightening, leading to the high drawdowns.</w:t>
      </w:r>
    </w:p>
    <w:p w:rsidR="0012555C" w:rsidRDefault="00EE3472">
      <w:pPr>
        <w:spacing w:before="60" w:after="60" w:line="276" w:lineRule="auto"/>
        <w:jc w:val="both"/>
      </w:pPr>
      <w:r>
        <w:t>Both of these ablation findings confirm that every perception module has non-redundant signal content.</w:t>
      </w:r>
    </w:p>
    <w:p w:rsidR="0012555C" w:rsidRDefault="00EE3472">
      <w:pPr>
        <w:pStyle w:val="Heading2"/>
      </w:pPr>
      <w:r>
        <w:t>E. Qualit</w:t>
      </w:r>
      <w:r>
        <w:t>ative Analysis of Portfolio Construction</w:t>
      </w:r>
    </w:p>
    <w:p w:rsidR="0012555C" w:rsidRDefault="00EE3472">
      <w:pPr>
        <w:spacing w:before="60" w:after="60" w:line="276" w:lineRule="auto"/>
        <w:jc w:val="both"/>
      </w:pPr>
      <w:r>
        <w:t>Within a 9-stock qualified universe (HCLTECH, ICICIBank, SUNPHarma, TITAN, Reliance, Infy, LT, Axisbank, TCS), the optimiser had apportioned about 26.5% of HCLTECH and 23.7% of TITAN. Two assets (AXISBANK, TCS) were</w:t>
      </w:r>
      <w:r>
        <w:t xml:space="preserve"> allocated zero, as the Hold signals indicate, and this serves as evidence that the gating model is functioning properly and that the assets that are not mathematically appealing but qualitatively signal it do not make it to the final portfolio.</w:t>
      </w:r>
    </w:p>
    <w:p w:rsidR="0012555C" w:rsidRDefault="00EE3472">
      <w:pPr>
        <w:pStyle w:val="Heading1"/>
      </w:pPr>
      <w:r>
        <w:t>V. CONCLUS</w:t>
      </w:r>
      <w:r>
        <w:t>ION</w:t>
      </w:r>
    </w:p>
    <w:p w:rsidR="0012555C" w:rsidRDefault="00EE3472">
      <w:pPr>
        <w:spacing w:before="60" w:after="60" w:line="276" w:lineRule="auto"/>
        <w:jc w:val="both"/>
      </w:pPr>
      <w:r>
        <w:t>This paper introduces SmartNest, a neuro-symbolic architecture for personalised equity portfolio optimisation that addresses key challenges faced by Indian retail investors, including financial illiteracy, cognitive biases, and limited access to personalis</w:t>
      </w:r>
      <w:r>
        <w:t xml:space="preserve">ed advisory services, as well as the limitations of purely quantitative or LLM-based strategies. The principal innovation lies in the strict separation of deterministic symbolic computation from qualitative reasoning, with large language models restricted </w:t>
      </w:r>
      <w:r>
        <w:t>to validated symbolic representations.</w:t>
      </w:r>
    </w:p>
    <w:p w:rsidR="0012555C" w:rsidRDefault="00EE3472">
      <w:pPr>
        <w:spacing w:before="60" w:after="60" w:line="276" w:lineRule="auto"/>
        <w:jc w:val="both"/>
      </w:pPr>
      <w:r>
        <w:t>Backtesting results indicate a Sharpe Ratio of 0.920 and a compound annual growth rate (CAGR) of 24.5%, representing a substantial improvement over classical optimisers and risk parity baselines. Ablation studies conf</w:t>
      </w:r>
      <w:r>
        <w:t>irm the statistically significant contributions of Temporal Recursive Summarisation and sector macroeconomic conditioning. The dynamic weighted-feature risk model provides personalised profiling, validated on 10,000 synthetic investor profiles. Future rese</w:t>
      </w:r>
      <w:r>
        <w:t>arch will explore the application of reinforcement learning to dynamic portfolio rebalancing, the inclusion of debt instruments, Real Estate Investment Trusts (REITs), and international equities, as well as the development of continuously updated macroecon</w:t>
      </w:r>
      <w:r>
        <w:t>omic knowledge bases to reduce reliance on single-point LLM inference.</w:t>
      </w:r>
    </w:p>
    <w:p w:rsidR="0012555C" w:rsidRDefault="00EE3472">
      <w:pPr>
        <w:pStyle w:val="Heading1"/>
      </w:pPr>
      <w:r>
        <w:t>REFERENCES</w:t>
      </w:r>
    </w:p>
    <w:p w:rsidR="0012555C" w:rsidRDefault="00EE3472">
      <w:pPr>
        <w:spacing w:before="40" w:after="40"/>
        <w:ind w:left="360" w:hanging="360"/>
      </w:pPr>
      <w:r>
        <w:rPr>
          <w:sz w:val="20"/>
          <w:szCs w:val="20"/>
        </w:rPr>
        <w:t>[1] H. Markowitz, "Portfolio selection," The Journal of Finance, vol. 7, no. 1, pp. 77–91, Mar. 1952.</w:t>
      </w:r>
    </w:p>
    <w:p w:rsidR="0012555C" w:rsidRDefault="00EE3472">
      <w:pPr>
        <w:spacing w:before="40" w:after="40"/>
        <w:ind w:left="360" w:hanging="360"/>
      </w:pPr>
      <w:r>
        <w:rPr>
          <w:sz w:val="20"/>
          <w:szCs w:val="20"/>
        </w:rPr>
        <w:t>[2] W. F. Sharpe, "Mutual fund performance," The Journal of Business, vo</w:t>
      </w:r>
      <w:r>
        <w:rPr>
          <w:sz w:val="20"/>
          <w:szCs w:val="20"/>
        </w:rPr>
        <w:t>l. 39, no. 1, pp. 119–138, Jan. 1966.</w:t>
      </w:r>
    </w:p>
    <w:p w:rsidR="0012555C" w:rsidRDefault="00EE3472">
      <w:pPr>
        <w:spacing w:before="40" w:after="40"/>
        <w:ind w:left="360" w:hanging="360"/>
      </w:pPr>
      <w:r>
        <w:rPr>
          <w:sz w:val="20"/>
          <w:szCs w:val="20"/>
        </w:rPr>
        <w:t>[3] F. Black and R. Litterman, "Global portfolio optimization," Financial Analysts Journal, vol. 48, no. 5, pp. 28–43, Sep. 1992.</w:t>
      </w:r>
    </w:p>
    <w:p w:rsidR="0012555C" w:rsidRDefault="00EE3472">
      <w:pPr>
        <w:spacing w:before="40" w:after="40"/>
        <w:ind w:left="360" w:hanging="360"/>
      </w:pPr>
      <w:r>
        <w:rPr>
          <w:sz w:val="20"/>
          <w:szCs w:val="20"/>
        </w:rPr>
        <w:t>[4] E. Qian, "Risk parity portfolios: Efficient portfolios through true diversification,</w:t>
      </w:r>
      <w:r>
        <w:rPr>
          <w:sz w:val="20"/>
          <w:szCs w:val="20"/>
        </w:rPr>
        <w:t>" Panagora Asset Management, Tech. Rep., 2005.</w:t>
      </w:r>
    </w:p>
    <w:p w:rsidR="0012555C" w:rsidRDefault="00EE3472">
      <w:pPr>
        <w:spacing w:before="40" w:after="40"/>
        <w:ind w:left="360" w:hanging="360"/>
      </w:pPr>
      <w:r>
        <w:rPr>
          <w:sz w:val="20"/>
          <w:szCs w:val="20"/>
        </w:rPr>
        <w:t>[5] National Institute of Securities Markets, "NISM financial literacy survey," SEBI, New Delhi, India, Tech. Rep., 2019.</w:t>
      </w:r>
    </w:p>
    <w:p w:rsidR="0012555C" w:rsidRDefault="00EE3472">
      <w:pPr>
        <w:spacing w:before="40" w:after="40"/>
        <w:ind w:left="360" w:hanging="360"/>
      </w:pPr>
      <w:r>
        <w:rPr>
          <w:sz w:val="20"/>
          <w:szCs w:val="20"/>
        </w:rPr>
        <w:t>[6] R. J. Shiller, Irrational Exuberance, 3rd ed. Princeton, NJ, USA: Princeton Univers</w:t>
      </w:r>
      <w:r>
        <w:rPr>
          <w:sz w:val="20"/>
          <w:szCs w:val="20"/>
        </w:rPr>
        <w:t>ity Press, 2015.</w:t>
      </w:r>
    </w:p>
    <w:p w:rsidR="0012555C" w:rsidRDefault="00EE3472">
      <w:pPr>
        <w:spacing w:before="40" w:after="40"/>
        <w:ind w:left="360" w:hanging="360"/>
      </w:pPr>
      <w:r>
        <w:rPr>
          <w:sz w:val="20"/>
          <w:szCs w:val="20"/>
        </w:rPr>
        <w:t>[7] D. Kahneman, Thinking, Fast and Slow. New York, NY, USA: Farrar, Straus and Giroux, 2011.</w:t>
      </w:r>
    </w:p>
    <w:p w:rsidR="0012555C" w:rsidRDefault="00EE3472">
      <w:pPr>
        <w:spacing w:before="40" w:after="40"/>
        <w:ind w:left="360" w:hanging="360"/>
      </w:pPr>
      <w:r>
        <w:rPr>
          <w:sz w:val="20"/>
          <w:szCs w:val="20"/>
        </w:rPr>
        <w:t>[8] J. Devlin, M.-W. Chang, K. Lee, and K. Toutanova, "BERT: Pre-training of deep bidirectional transformers for language understanding," in Proc</w:t>
      </w:r>
      <w:r>
        <w:rPr>
          <w:sz w:val="20"/>
          <w:szCs w:val="20"/>
        </w:rPr>
        <w:t>. NAACL-HLT, Minneapolis, MN, USA, 2019, pp. 4171–4186.</w:t>
      </w:r>
    </w:p>
    <w:p w:rsidR="0012555C" w:rsidRDefault="00EE3472">
      <w:pPr>
        <w:spacing w:before="40" w:after="40"/>
        <w:ind w:left="360" w:hanging="360"/>
      </w:pPr>
      <w:r>
        <w:rPr>
          <w:sz w:val="20"/>
          <w:szCs w:val="20"/>
        </w:rPr>
        <w:t>[9] D. Araci, "FinBERT: Financial sentiment analysis with pre-trained language models," arXiv:1908.10063, Aug. 2019.</w:t>
      </w:r>
    </w:p>
    <w:p w:rsidR="0012555C" w:rsidRDefault="00EE3472">
      <w:pPr>
        <w:spacing w:before="40" w:after="40"/>
        <w:ind w:left="360" w:hanging="360"/>
      </w:pPr>
      <w:r>
        <w:rPr>
          <w:sz w:val="20"/>
          <w:szCs w:val="20"/>
        </w:rPr>
        <w:t>[10] S. Wu et al., "BloombergGPT: A large language model for finance,"</w:t>
      </w:r>
      <w:r>
        <w:rPr>
          <w:sz w:val="20"/>
          <w:szCs w:val="20"/>
        </w:rPr>
        <w:t xml:space="preserve"> arXiv:2303.17564, Mar. 2023.</w:t>
      </w:r>
    </w:p>
    <w:p w:rsidR="0012555C" w:rsidRDefault="00EE3472">
      <w:pPr>
        <w:spacing w:before="40" w:after="40"/>
        <w:ind w:left="360" w:hanging="360"/>
      </w:pPr>
      <w:r>
        <w:rPr>
          <w:sz w:val="20"/>
          <w:szCs w:val="20"/>
        </w:rPr>
        <w:t>[11] G. Fatouros, K. Metaxas, J. Soldatos, and D. Kyriazis, "Can large language models beat Wall Street?" Neural Computing and Applications, Apr. 2024.</w:t>
      </w:r>
    </w:p>
    <w:p w:rsidR="0012555C" w:rsidRDefault="00EE3472">
      <w:pPr>
        <w:spacing w:before="40" w:after="40"/>
        <w:ind w:left="360" w:hanging="360"/>
      </w:pPr>
      <w:r>
        <w:rPr>
          <w:sz w:val="20"/>
          <w:szCs w:val="20"/>
        </w:rPr>
        <w:t>[12] A. Lopez-Lira and Y. Tang, "Can ChatGPT forecast stock price movement</w:t>
      </w:r>
      <w:r>
        <w:rPr>
          <w:sz w:val="20"/>
          <w:szCs w:val="20"/>
        </w:rPr>
        <w:t>s?" arXiv:2304.07619, Apr. 2023.</w:t>
      </w:r>
    </w:p>
    <w:p w:rsidR="0012555C" w:rsidRDefault="00EE3472">
      <w:pPr>
        <w:spacing w:before="40" w:after="40"/>
        <w:ind w:left="360" w:hanging="360"/>
      </w:pPr>
      <w:r>
        <w:rPr>
          <w:sz w:val="20"/>
          <w:szCs w:val="20"/>
        </w:rPr>
        <w:t>[13] K. Kirtac and G. Germano, "Sentiment trading with large language models," SSRN Electronic Journal, 2024.</w:t>
      </w:r>
    </w:p>
    <w:p w:rsidR="0012555C" w:rsidRDefault="00EE3472">
      <w:pPr>
        <w:spacing w:before="40" w:after="40"/>
        <w:ind w:left="360" w:hanging="360"/>
      </w:pPr>
      <w:r>
        <w:rPr>
          <w:sz w:val="20"/>
          <w:szCs w:val="20"/>
        </w:rPr>
        <w:lastRenderedPageBreak/>
        <w:t>[14] Z. Chen et al., "ChatGPT-informed graph neural network for stock movement prediction," arXiv:2306.03763, Jun</w:t>
      </w:r>
      <w:r>
        <w:rPr>
          <w:sz w:val="20"/>
          <w:szCs w:val="20"/>
        </w:rPr>
        <w:t>. 2023.</w:t>
      </w:r>
    </w:p>
    <w:p w:rsidR="0012555C" w:rsidRDefault="00EE3472">
      <w:pPr>
        <w:spacing w:before="40" w:after="40"/>
        <w:ind w:left="360" w:hanging="360"/>
      </w:pPr>
      <w:r>
        <w:rPr>
          <w:sz w:val="20"/>
          <w:szCs w:val="20"/>
        </w:rPr>
        <w:t>[15] A. S. d'Avila Garcez and L. C. Lamb, "Neurosymbolic AI: The 3rd wave," Artificial Intelligence Review, vol. 56, pp. 12387–12406, 2023.</w:t>
      </w:r>
    </w:p>
    <w:p w:rsidR="0012555C" w:rsidRDefault="00EE3472">
      <w:pPr>
        <w:spacing w:before="40" w:after="40"/>
        <w:ind w:left="360" w:hanging="360"/>
      </w:pPr>
      <w:r>
        <w:rPr>
          <w:sz w:val="20"/>
          <w:szCs w:val="20"/>
        </w:rPr>
        <w:t>[16] J. Mao et al., "The neuro-symbolic concept learner," in Proc. ICLR, New Orleans, LA, USA, 2019.</w:t>
      </w:r>
    </w:p>
    <w:p w:rsidR="0012555C" w:rsidRDefault="00EE3472">
      <w:pPr>
        <w:spacing w:before="40" w:after="40"/>
        <w:ind w:left="360" w:hanging="360"/>
      </w:pPr>
      <w:r>
        <w:rPr>
          <w:sz w:val="20"/>
          <w:szCs w:val="20"/>
        </w:rPr>
        <w:t>[17] Y.</w:t>
      </w:r>
      <w:r>
        <w:rPr>
          <w:sz w:val="20"/>
          <w:szCs w:val="20"/>
        </w:rPr>
        <w:t xml:space="preserve"> Yu et al., "MarketSense AI: Multi-modality financial analysis with LLMs," arXiv preprint, 2023.</w:t>
      </w:r>
    </w:p>
    <w:p w:rsidR="0012555C" w:rsidRDefault="00EE3472">
      <w:pPr>
        <w:spacing w:before="40" w:after="40"/>
        <w:ind w:left="360" w:hanging="360"/>
      </w:pPr>
      <w:r>
        <w:rPr>
          <w:sz w:val="20"/>
          <w:szCs w:val="20"/>
        </w:rPr>
        <w:t>[18] J. E. Grable and R. H. Lytton, "The development of a risk assessment instrument," Financial Services Review, vol. 12, no. 3, pp. 257–274, 2003.</w:t>
      </w:r>
    </w:p>
    <w:p w:rsidR="0012555C" w:rsidRDefault="00EE3472">
      <w:pPr>
        <w:spacing w:before="40" w:after="40"/>
        <w:ind w:left="360" w:hanging="360"/>
      </w:pPr>
      <w:r>
        <w:rPr>
          <w:sz w:val="20"/>
          <w:szCs w:val="20"/>
        </w:rPr>
        <w:t>[19] G. An</w:t>
      </w:r>
      <w:r>
        <w:rPr>
          <w:sz w:val="20"/>
          <w:szCs w:val="20"/>
        </w:rPr>
        <w:t>g and E.-P. Lim, "Investment and risk management with online news," ACM Transactions on the Web, vol. 17, no. 3, pp. 1–34, 2023.</w:t>
      </w:r>
    </w:p>
    <w:p w:rsidR="0012555C" w:rsidRDefault="00EE3472">
      <w:pPr>
        <w:spacing w:before="40" w:after="40"/>
        <w:ind w:left="360" w:hanging="360"/>
      </w:pPr>
      <w:r>
        <w:rPr>
          <w:sz w:val="20"/>
          <w:szCs w:val="20"/>
        </w:rPr>
        <w:t xml:space="preserve">[20] J. Kalyani, H. N. Bharathi, and R. Jyothi, "Stock trend prediction using news sentiment analysis," arXiv:1607.01958, Jul. </w:t>
      </w:r>
      <w:r>
        <w:rPr>
          <w:sz w:val="20"/>
          <w:szCs w:val="20"/>
        </w:rPr>
        <w:t>2016.</w:t>
      </w:r>
    </w:p>
    <w:p w:rsidR="0012555C" w:rsidRDefault="00EE3472">
      <w:pPr>
        <w:spacing w:before="40" w:after="40"/>
        <w:ind w:left="360" w:hanging="360"/>
      </w:pPr>
      <w:r>
        <w:rPr>
          <w:sz w:val="20"/>
          <w:szCs w:val="20"/>
        </w:rPr>
        <w:t>[21] N. Li, X. Lin, and W. Wen, "Network environment and financial risk assessment," Human and Ecological Risk Assessment, vol. 15, no. 2, pp. 227–252, 2009.</w:t>
      </w:r>
    </w:p>
    <w:p w:rsidR="0012555C" w:rsidRDefault="00EE3472">
      <w:pPr>
        <w:spacing w:before="40" w:after="40"/>
        <w:ind w:left="360" w:hanging="360"/>
      </w:pPr>
      <w:r>
        <w:rPr>
          <w:sz w:val="20"/>
          <w:szCs w:val="20"/>
        </w:rPr>
        <w:t>[22] B. G. Malkiel, "The efficient market hypothesis and its critics," Journal of Economic P</w:t>
      </w:r>
      <w:r>
        <w:rPr>
          <w:sz w:val="20"/>
          <w:szCs w:val="20"/>
        </w:rPr>
        <w:t>erspectives, vol. 17, no. 1, pp. 59–82, 2003.</w:t>
      </w:r>
    </w:p>
    <w:p w:rsidR="0012555C" w:rsidRDefault="00EE3472">
      <w:pPr>
        <w:spacing w:before="40" w:after="40"/>
        <w:ind w:left="360" w:hanging="360"/>
      </w:pPr>
      <w:r>
        <w:rPr>
          <w:sz w:val="20"/>
          <w:szCs w:val="20"/>
        </w:rPr>
        <w:t>[23] O. Korn, P. Möller, and C. Schwehm, "Drawdown measures in portfolio management," The Journal of Portfolio Management, vol. 48, no. 5, pp. 104–120, 2022.</w:t>
      </w:r>
    </w:p>
    <w:sectPr w:rsidR="0012555C">
      <w:pgSz w:w="12240" w:h="158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A5C91"/>
    <w:multiLevelType w:val="hybridMultilevel"/>
    <w:tmpl w:val="C004CB3A"/>
    <w:lvl w:ilvl="0" w:tplc="2ADE0796">
      <w:start w:val="1"/>
      <w:numFmt w:val="bullet"/>
      <w:lvlText w:val="•"/>
      <w:lvlJc w:val="left"/>
      <w:pPr>
        <w:ind w:left="720" w:hanging="360"/>
      </w:pPr>
    </w:lvl>
    <w:lvl w:ilvl="1" w:tplc="8A24F986">
      <w:numFmt w:val="decimal"/>
      <w:lvlText w:val=""/>
      <w:lvlJc w:val="left"/>
    </w:lvl>
    <w:lvl w:ilvl="2" w:tplc="572C989A">
      <w:numFmt w:val="decimal"/>
      <w:lvlText w:val=""/>
      <w:lvlJc w:val="left"/>
    </w:lvl>
    <w:lvl w:ilvl="3" w:tplc="C1E4D7EC">
      <w:numFmt w:val="decimal"/>
      <w:lvlText w:val=""/>
      <w:lvlJc w:val="left"/>
    </w:lvl>
    <w:lvl w:ilvl="4" w:tplc="F2509846">
      <w:numFmt w:val="decimal"/>
      <w:lvlText w:val=""/>
      <w:lvlJc w:val="left"/>
    </w:lvl>
    <w:lvl w:ilvl="5" w:tplc="4F04DA14">
      <w:numFmt w:val="decimal"/>
      <w:lvlText w:val=""/>
      <w:lvlJc w:val="left"/>
    </w:lvl>
    <w:lvl w:ilvl="6" w:tplc="CC987066">
      <w:numFmt w:val="decimal"/>
      <w:lvlText w:val=""/>
      <w:lvlJc w:val="left"/>
    </w:lvl>
    <w:lvl w:ilvl="7" w:tplc="89E6DC58">
      <w:numFmt w:val="decimal"/>
      <w:lvlText w:val=""/>
      <w:lvlJc w:val="left"/>
    </w:lvl>
    <w:lvl w:ilvl="8" w:tplc="AC302284">
      <w:numFmt w:val="decimal"/>
      <w:lvlText w:val=""/>
      <w:lvlJc w:val="left"/>
    </w:lvl>
  </w:abstractNum>
  <w:abstractNum w:abstractNumId="1">
    <w:nsid w:val="19D53540"/>
    <w:multiLevelType w:val="hybridMultilevel"/>
    <w:tmpl w:val="16EE272E"/>
    <w:lvl w:ilvl="0" w:tplc="86CE1184">
      <w:start w:val="1"/>
      <w:numFmt w:val="bullet"/>
      <w:lvlText w:val="●"/>
      <w:lvlJc w:val="left"/>
      <w:pPr>
        <w:ind w:left="720" w:hanging="360"/>
      </w:pPr>
    </w:lvl>
    <w:lvl w:ilvl="1" w:tplc="71425E84">
      <w:start w:val="1"/>
      <w:numFmt w:val="bullet"/>
      <w:lvlText w:val="○"/>
      <w:lvlJc w:val="left"/>
      <w:pPr>
        <w:ind w:left="1440" w:hanging="360"/>
      </w:pPr>
    </w:lvl>
    <w:lvl w:ilvl="2" w:tplc="6CB010A6">
      <w:start w:val="1"/>
      <w:numFmt w:val="bullet"/>
      <w:lvlText w:val="■"/>
      <w:lvlJc w:val="left"/>
      <w:pPr>
        <w:ind w:left="2160" w:hanging="360"/>
      </w:pPr>
    </w:lvl>
    <w:lvl w:ilvl="3" w:tplc="20049156">
      <w:start w:val="1"/>
      <w:numFmt w:val="bullet"/>
      <w:lvlText w:val="●"/>
      <w:lvlJc w:val="left"/>
      <w:pPr>
        <w:ind w:left="2880" w:hanging="360"/>
      </w:pPr>
    </w:lvl>
    <w:lvl w:ilvl="4" w:tplc="255A38A6">
      <w:start w:val="1"/>
      <w:numFmt w:val="bullet"/>
      <w:lvlText w:val="○"/>
      <w:lvlJc w:val="left"/>
      <w:pPr>
        <w:ind w:left="3600" w:hanging="360"/>
      </w:pPr>
    </w:lvl>
    <w:lvl w:ilvl="5" w:tplc="B67E872A">
      <w:start w:val="1"/>
      <w:numFmt w:val="bullet"/>
      <w:lvlText w:val="■"/>
      <w:lvlJc w:val="left"/>
      <w:pPr>
        <w:ind w:left="4320" w:hanging="360"/>
      </w:pPr>
    </w:lvl>
    <w:lvl w:ilvl="6" w:tplc="F7C86D52">
      <w:start w:val="1"/>
      <w:numFmt w:val="bullet"/>
      <w:lvlText w:val="●"/>
      <w:lvlJc w:val="left"/>
      <w:pPr>
        <w:ind w:left="5040" w:hanging="360"/>
      </w:pPr>
    </w:lvl>
    <w:lvl w:ilvl="7" w:tplc="7FE4C024">
      <w:start w:val="1"/>
      <w:numFmt w:val="bullet"/>
      <w:lvlText w:val="●"/>
      <w:lvlJc w:val="left"/>
      <w:pPr>
        <w:ind w:left="5760" w:hanging="360"/>
      </w:pPr>
    </w:lvl>
    <w:lvl w:ilvl="8" w:tplc="CD2EEE22">
      <w:start w:val="1"/>
      <w:numFmt w:val="bullet"/>
      <w:lvlText w:val="●"/>
      <w:lvlJc w:val="left"/>
      <w:pPr>
        <w:ind w:left="6480" w:hanging="360"/>
      </w:pPr>
    </w:lvl>
  </w:abstractNum>
  <w:num w:numId="1">
    <w:abstractNumId w:val="1"/>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compat>
    <w:compatSetting w:name="compatibilityMode" w:uri="http://schemas.microsoft.com/office/word" w:val="14"/>
  </w:compat>
  <w:rsids>
    <w:rsidRoot w:val="0012555C"/>
    <w:rsid w:val="0012555C"/>
    <w:rsid w:val="00EE347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pPr>
      <w:spacing w:before="200" w:after="100"/>
      <w:outlineLvl w:val="0"/>
    </w:pPr>
    <w:rPr>
      <w:b/>
      <w:bCs/>
    </w:rPr>
  </w:style>
  <w:style w:type="paragraph" w:styleId="Heading2">
    <w:name w:val="heading 2"/>
    <w:qFormat/>
    <w:pPr>
      <w:spacing w:before="160" w:after="80"/>
      <w:outlineLvl w:val="1"/>
    </w:pPr>
    <w:rPr>
      <w:b/>
      <w:bCs/>
    </w:rPr>
  </w:style>
  <w:style w:type="paragraph" w:styleId="Heading3">
    <w:name w:val="heading 3"/>
    <w:qFormat/>
    <w:pPr>
      <w:spacing w:before="120" w:after="60"/>
      <w:outlineLvl w:val="2"/>
    </w:p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pPr>
      <w:spacing w:before="200" w:after="100"/>
      <w:outlineLvl w:val="0"/>
    </w:pPr>
    <w:rPr>
      <w:b/>
      <w:bCs/>
    </w:rPr>
  </w:style>
  <w:style w:type="paragraph" w:styleId="Heading2">
    <w:name w:val="heading 2"/>
    <w:qFormat/>
    <w:pPr>
      <w:spacing w:before="160" w:after="80"/>
      <w:outlineLvl w:val="1"/>
    </w:pPr>
    <w:rPr>
      <w:b/>
      <w:bCs/>
    </w:rPr>
  </w:style>
  <w:style w:type="paragraph" w:styleId="Heading3">
    <w:name w:val="heading 3"/>
    <w:qFormat/>
    <w:pPr>
      <w:spacing w:before="120" w:after="60"/>
      <w:outlineLvl w:val="2"/>
    </w:p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4960</Words>
  <Characters>28272</Characters>
  <Application>Microsoft Office Word</Application>
  <DocSecurity>0</DocSecurity>
  <Lines>235</Lines>
  <Paragraphs>66</Paragraphs>
  <ScaleCrop>false</ScaleCrop>
  <Company/>
  <LinksUpToDate>false</LinksUpToDate>
  <CharactersWithSpaces>33166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qwert</cp:lastModifiedBy>
  <cp:revision>2</cp:revision>
  <dcterms:created xsi:type="dcterms:W3CDTF">2026-03-12T15:45:00Z</dcterms:created>
  <dcterms:modified xsi:type="dcterms:W3CDTF">2026-03-26T14:42:00Z</dcterms:modified>
</cp:coreProperties>
</file>