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hartEx1.xml" ContentType="application/vnd.ms-office.chartex+xml"/>
  <Override PartName="/word/charts/colors5.xml" ContentType="application/vnd.ms-office.chartcolorstyle+xml"/>
  <Override PartName="/word/charts/style5.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4F645B" w14:textId="0F74FDDC" w:rsidR="00D03E63" w:rsidRPr="00AC7965" w:rsidRDefault="00C92A63" w:rsidP="00AC7965">
      <w:pPr>
        <w:spacing w:after="0" w:line="240" w:lineRule="auto"/>
        <w:jc w:val="both"/>
        <w:rPr>
          <w:rFonts w:ascii="Times New Roman" w:hAnsi="Times New Roman" w:cs="Times New Roman"/>
          <w:b/>
          <w:bCs/>
          <w:color w:val="0D0D0D" w:themeColor="text1" w:themeTint="F2"/>
          <w:sz w:val="40"/>
          <w:szCs w:val="40"/>
        </w:rPr>
      </w:pPr>
      <w:bookmarkStart w:id="0" w:name="_Hlk206836091"/>
      <w:r w:rsidRPr="00AC7965">
        <w:rPr>
          <w:rFonts w:ascii="Times New Roman" w:hAnsi="Times New Roman" w:cs="Times New Roman"/>
          <w:b/>
          <w:bCs/>
          <w:color w:val="0D0D0D" w:themeColor="text1" w:themeTint="F2"/>
          <w:sz w:val="40"/>
          <w:szCs w:val="40"/>
        </w:rPr>
        <w:t xml:space="preserve">Petrochemical Pollutants and </w:t>
      </w:r>
      <w:r w:rsidR="00480481" w:rsidRPr="00AC7965">
        <w:rPr>
          <w:rFonts w:ascii="Times New Roman" w:hAnsi="Times New Roman" w:cs="Times New Roman"/>
          <w:b/>
          <w:bCs/>
          <w:color w:val="0D0D0D" w:themeColor="text1" w:themeTint="F2"/>
          <w:sz w:val="40"/>
          <w:szCs w:val="40"/>
        </w:rPr>
        <w:t>Their</w:t>
      </w:r>
      <w:r w:rsidRPr="00AC7965">
        <w:rPr>
          <w:rFonts w:ascii="Times New Roman" w:hAnsi="Times New Roman" w:cs="Times New Roman"/>
          <w:b/>
          <w:bCs/>
          <w:color w:val="0D0D0D" w:themeColor="text1" w:themeTint="F2"/>
          <w:sz w:val="40"/>
          <w:szCs w:val="40"/>
        </w:rPr>
        <w:t xml:space="preserve"> </w:t>
      </w:r>
      <w:r w:rsidR="00AB39AD" w:rsidRPr="00AC7965">
        <w:rPr>
          <w:rFonts w:ascii="Times New Roman" w:hAnsi="Times New Roman" w:cs="Times New Roman"/>
          <w:b/>
          <w:bCs/>
          <w:color w:val="0D0D0D" w:themeColor="text1" w:themeTint="F2"/>
          <w:sz w:val="40"/>
          <w:szCs w:val="40"/>
        </w:rPr>
        <w:t>T</w:t>
      </w:r>
      <w:r w:rsidRPr="00AC7965">
        <w:rPr>
          <w:rFonts w:ascii="Times New Roman" w:hAnsi="Times New Roman" w:cs="Times New Roman"/>
          <w:b/>
          <w:bCs/>
          <w:color w:val="0D0D0D" w:themeColor="text1" w:themeTint="F2"/>
          <w:sz w:val="40"/>
          <w:szCs w:val="40"/>
        </w:rPr>
        <w:t>oxicological Fate in Sediment-Water Systems: A Combined Analytical and Ecotoxicological Study of Oguta Lake and Njaba River, Imo State, Nigeria</w:t>
      </w:r>
    </w:p>
    <w:bookmarkEnd w:id="0"/>
    <w:p w14:paraId="60C495EF" w14:textId="77777777" w:rsidR="00FB3C52" w:rsidRDefault="00FB3C52" w:rsidP="00503AB6">
      <w:pPr>
        <w:jc w:val="both"/>
        <w:rPr>
          <w:rFonts w:ascii="Times New Roman" w:hAnsi="Times New Roman" w:cs="Times New Roman"/>
          <w:b/>
          <w:bCs/>
          <w:color w:val="0D0D0D" w:themeColor="text1" w:themeTint="F2"/>
        </w:rPr>
      </w:pPr>
    </w:p>
    <w:p w14:paraId="3ACF5067" w14:textId="77777777" w:rsidR="00503AB6" w:rsidRDefault="00503AB6" w:rsidP="00503AB6">
      <w:pPr>
        <w:jc w:val="both"/>
        <w:rPr>
          <w:rFonts w:ascii="Times New Roman" w:hAnsi="Times New Roman" w:cs="Times New Roman"/>
          <w:color w:val="0D0D0D" w:themeColor="text1" w:themeTint="F2"/>
        </w:rPr>
      </w:pPr>
      <w:bookmarkStart w:id="1" w:name="_GoBack"/>
      <w:bookmarkEnd w:id="1"/>
      <w:r w:rsidRPr="00404D6E">
        <w:rPr>
          <w:rFonts w:ascii="Times New Roman" w:hAnsi="Times New Roman" w:cs="Times New Roman"/>
          <w:b/>
          <w:bCs/>
          <w:color w:val="0D0D0D" w:themeColor="text1" w:themeTint="F2"/>
        </w:rPr>
        <w:t>ABSTRACT</w:t>
      </w:r>
      <w:r>
        <w:rPr>
          <w:rFonts w:ascii="Times New Roman" w:hAnsi="Times New Roman" w:cs="Times New Roman"/>
          <w:b/>
          <w:bCs/>
          <w:color w:val="0D0D0D" w:themeColor="text1" w:themeTint="F2"/>
        </w:rPr>
        <w:t>:</w:t>
      </w:r>
      <w:bookmarkStart w:id="2" w:name="_Hlk213593673"/>
    </w:p>
    <w:p w14:paraId="3B477E5E" w14:textId="3E4C54D6" w:rsidR="00F75CA2" w:rsidRPr="00655BEF" w:rsidRDefault="00F75CA2" w:rsidP="00503AB6">
      <w:pPr>
        <w:jc w:val="both"/>
        <w:rPr>
          <w:rFonts w:ascii="Times New Roman" w:hAnsi="Times New Roman" w:cs="Times New Roman"/>
          <w:color w:val="0D0D0D" w:themeColor="text1" w:themeTint="F2"/>
        </w:rPr>
      </w:pPr>
      <w:r w:rsidRPr="00814E71">
        <w:rPr>
          <w:rFonts w:ascii="Times New Roman" w:hAnsi="Times New Roman" w:cs="Times New Roman"/>
          <w:b/>
          <w:bCs/>
          <w:color w:val="0D0D0D" w:themeColor="text1" w:themeTint="F2"/>
        </w:rPr>
        <w:t>Background:</w:t>
      </w:r>
      <w:r>
        <w:rPr>
          <w:rFonts w:ascii="Times New Roman" w:hAnsi="Times New Roman" w:cs="Times New Roman"/>
          <w:color w:val="0D0D0D" w:themeColor="text1" w:themeTint="F2"/>
        </w:rPr>
        <w:t xml:space="preserve"> </w:t>
      </w:r>
      <w:r w:rsidRPr="00655BEF">
        <w:rPr>
          <w:rFonts w:ascii="Times New Roman" w:hAnsi="Times New Roman" w:cs="Times New Roman"/>
          <w:color w:val="0D0D0D" w:themeColor="text1" w:themeTint="F2"/>
        </w:rPr>
        <w:t xml:space="preserve">Environmental pollution by petrochemicals </w:t>
      </w:r>
      <w:r>
        <w:rPr>
          <w:rFonts w:ascii="Times New Roman" w:hAnsi="Times New Roman" w:cs="Times New Roman"/>
          <w:color w:val="0D0D0D" w:themeColor="text1" w:themeTint="F2"/>
        </w:rPr>
        <w:t>poses a serious threat to aquatic life, particularly in tropical regions where industrial and anthropogenic processes overlap in freshwater ecosystems</w:t>
      </w:r>
      <w:r w:rsidRPr="00655BEF">
        <w:rPr>
          <w:rFonts w:ascii="Times New Roman" w:hAnsi="Times New Roman" w:cs="Times New Roman"/>
          <w:color w:val="0D0D0D" w:themeColor="text1" w:themeTint="F2"/>
        </w:rPr>
        <w:t xml:space="preserve">. This paper examines the exposure, distribution, and toxicological </w:t>
      </w:r>
      <w:r>
        <w:rPr>
          <w:rFonts w:ascii="Times New Roman" w:hAnsi="Times New Roman" w:cs="Times New Roman"/>
          <w:color w:val="0D0D0D" w:themeColor="text1" w:themeTint="F2"/>
        </w:rPr>
        <w:t>fate of petroleum-contaminated pollutants in Lake and River Njaba and Okuta, Imo State, Nigeria, providing evidence of</w:t>
      </w:r>
      <w:r w:rsidRPr="00655BEF">
        <w:rPr>
          <w:rFonts w:ascii="Times New Roman" w:hAnsi="Times New Roman" w:cs="Times New Roman"/>
          <w:color w:val="0D0D0D" w:themeColor="text1" w:themeTint="F2"/>
        </w:rPr>
        <w:t xml:space="preserve"> ecological hazards and regulatory loopholes.</w:t>
      </w:r>
    </w:p>
    <w:p w14:paraId="40C7AEF2" w14:textId="77777777" w:rsidR="00F75CA2" w:rsidRPr="00655BEF" w:rsidRDefault="00F75CA2" w:rsidP="00F75CA2">
      <w:pPr>
        <w:spacing w:line="240" w:lineRule="auto"/>
        <w:jc w:val="both"/>
        <w:rPr>
          <w:rFonts w:ascii="Times New Roman" w:hAnsi="Times New Roman" w:cs="Times New Roman"/>
          <w:color w:val="0D0D0D" w:themeColor="text1" w:themeTint="F2"/>
        </w:rPr>
      </w:pPr>
      <w:r w:rsidRPr="00814E71">
        <w:rPr>
          <w:rFonts w:ascii="Times New Roman" w:hAnsi="Times New Roman" w:cs="Times New Roman"/>
          <w:b/>
          <w:bCs/>
          <w:color w:val="0D0D0D" w:themeColor="text1" w:themeTint="F2"/>
        </w:rPr>
        <w:t>Methods:</w:t>
      </w:r>
      <w:r>
        <w:rPr>
          <w:rFonts w:ascii="Times New Roman" w:hAnsi="Times New Roman" w:cs="Times New Roman"/>
          <w:color w:val="0D0D0D" w:themeColor="text1" w:themeTint="F2"/>
        </w:rPr>
        <w:t xml:space="preserve"> </w:t>
      </w:r>
      <w:r w:rsidRPr="00655BEF">
        <w:rPr>
          <w:rFonts w:ascii="Times New Roman" w:hAnsi="Times New Roman" w:cs="Times New Roman"/>
          <w:color w:val="0D0D0D" w:themeColor="text1" w:themeTint="F2"/>
        </w:rPr>
        <w:t>The combined use of gas chromatography-mass spectrometry (</w:t>
      </w:r>
      <w:r>
        <w:rPr>
          <w:rFonts w:ascii="Times New Roman" w:hAnsi="Times New Roman" w:cs="Times New Roman"/>
          <w:color w:val="0D0D0D" w:themeColor="text1" w:themeTint="F2"/>
        </w:rPr>
        <w:t>GC-MS) and atomic absorption spectrophotometry (AAS), as well as bioassay-based biomarker analyses, was</w:t>
      </w:r>
      <w:r w:rsidRPr="00655BEF">
        <w:rPr>
          <w:rFonts w:ascii="Times New Roman" w:hAnsi="Times New Roman" w:cs="Times New Roman"/>
          <w:color w:val="0D0D0D" w:themeColor="text1" w:themeTint="F2"/>
        </w:rPr>
        <w:t xml:space="preserve"> </w:t>
      </w:r>
      <w:r>
        <w:rPr>
          <w:rFonts w:ascii="Times New Roman" w:hAnsi="Times New Roman" w:cs="Times New Roman"/>
          <w:color w:val="0D0D0D" w:themeColor="text1" w:themeTint="F2"/>
        </w:rPr>
        <w:t>employed to detect changes in multidimensional</w:t>
      </w:r>
      <w:r w:rsidRPr="00655BEF">
        <w:rPr>
          <w:rFonts w:ascii="Times New Roman" w:hAnsi="Times New Roman" w:cs="Times New Roman"/>
          <w:color w:val="0D0D0D" w:themeColor="text1" w:themeTint="F2"/>
        </w:rPr>
        <w:t xml:space="preserve"> analysis. Eight geo-referenced samples were collected and evaluated based on the total petroleum hydrocarbons (TPHs), 16 priority polycyclic aromatic hydrocarbons (PAHs), and six heavy metals. Clarias gariepinus, Daphnia magna and Chlorella vulgaris were used to measure biological toxicity in terms of acute bioassays, oxidative stress </w:t>
      </w:r>
      <w:r>
        <w:rPr>
          <w:rFonts w:ascii="Times New Roman" w:hAnsi="Times New Roman" w:cs="Times New Roman"/>
          <w:color w:val="0D0D0D" w:themeColor="text1" w:themeTint="F2"/>
        </w:rPr>
        <w:t>biosignals</w:t>
      </w:r>
      <w:r w:rsidRPr="00655BEF">
        <w:rPr>
          <w:rFonts w:ascii="Times New Roman" w:hAnsi="Times New Roman" w:cs="Times New Roman"/>
          <w:color w:val="0D0D0D" w:themeColor="text1" w:themeTint="F2"/>
        </w:rPr>
        <w:t xml:space="preserve"> and histopathological analysis.</w:t>
      </w:r>
    </w:p>
    <w:p w14:paraId="478F48BD" w14:textId="77777777" w:rsidR="00F75CA2" w:rsidRPr="000F10CA" w:rsidRDefault="00F75CA2" w:rsidP="00F75CA2">
      <w:pPr>
        <w:pStyle w:val="NormalWeb"/>
        <w:jc w:val="both"/>
      </w:pPr>
      <w:r w:rsidRPr="004B4EE4">
        <w:rPr>
          <w:b/>
          <w:bCs/>
          <w:color w:val="0D0D0D" w:themeColor="text1" w:themeTint="F2"/>
        </w:rPr>
        <w:t>Results:</w:t>
      </w:r>
      <w:r>
        <w:rPr>
          <w:color w:val="0D0D0D" w:themeColor="text1" w:themeTint="F2"/>
        </w:rPr>
        <w:t xml:space="preserve"> </w:t>
      </w:r>
      <w:r w:rsidRPr="00655BEF">
        <w:rPr>
          <w:color w:val="0D0D0D" w:themeColor="text1" w:themeTint="F2"/>
        </w:rPr>
        <w:t xml:space="preserve">The results showed high pollutant concentration </w:t>
      </w:r>
      <w:r>
        <w:rPr>
          <w:color w:val="0D0D0D" w:themeColor="text1" w:themeTint="F2"/>
        </w:rPr>
        <w:t>above</w:t>
      </w:r>
      <w:r w:rsidRPr="00655BEF">
        <w:rPr>
          <w:color w:val="0D0D0D" w:themeColor="text1" w:themeTint="F2"/>
        </w:rPr>
        <w:t xml:space="preserve"> the </w:t>
      </w:r>
      <w:r w:rsidRPr="000F10CA">
        <w:t xml:space="preserve">World Health </w:t>
      </w:r>
      <w:r>
        <w:t>Organisation (WHO), United States Environmental Protection Agency (USEPA),</w:t>
      </w:r>
      <w:r w:rsidRPr="000F10CA">
        <w:t xml:space="preserve"> and National Oceanic and Atmospheric Administration (NOAA)</w:t>
      </w:r>
      <w:r>
        <w:t xml:space="preserve"> </w:t>
      </w:r>
      <w:r w:rsidRPr="00655BEF">
        <w:rPr>
          <w:color w:val="0D0D0D" w:themeColor="text1" w:themeTint="F2"/>
        </w:rPr>
        <w:t>standards. Cadmium (0.019 mg/L), lead (0.162 mg/L), and ΣPAHs (3.21 mg/kg) in the Njaba River were up to seven times the maximum allowed. The bioassays revealed the presence of acute effects (LC 50 &lt; 10 mg/L) and inhibition of oxidative stress. Sediment indices revealed a high level of contamination (PLI &gt; 1.5; Igeo = 46 moderate, 69 severe)</w:t>
      </w:r>
      <w:r>
        <w:rPr>
          <w:color w:val="0D0D0D" w:themeColor="text1" w:themeTint="F2"/>
        </w:rPr>
        <w:t>.</w:t>
      </w:r>
    </w:p>
    <w:p w14:paraId="5EE657CB" w14:textId="77777777" w:rsidR="00F75CA2" w:rsidRPr="00404D6E" w:rsidRDefault="00F75CA2" w:rsidP="00F75CA2">
      <w:pPr>
        <w:jc w:val="both"/>
        <w:rPr>
          <w:rFonts w:ascii="Times New Roman" w:hAnsi="Times New Roman" w:cs="Times New Roman"/>
          <w:color w:val="0D0D0D" w:themeColor="text1" w:themeTint="F2"/>
        </w:rPr>
      </w:pPr>
      <w:r w:rsidRPr="004B4EE4">
        <w:rPr>
          <w:rFonts w:ascii="Times New Roman" w:hAnsi="Times New Roman" w:cs="Times New Roman"/>
          <w:b/>
          <w:bCs/>
          <w:color w:val="0D0D0D" w:themeColor="text1" w:themeTint="F2"/>
        </w:rPr>
        <w:t>Conclusion:</w:t>
      </w:r>
      <w:r>
        <w:rPr>
          <w:rFonts w:ascii="Times New Roman" w:hAnsi="Times New Roman" w:cs="Times New Roman"/>
          <w:color w:val="0D0D0D" w:themeColor="text1" w:themeTint="F2"/>
        </w:rPr>
        <w:t xml:space="preserve"> </w:t>
      </w:r>
      <w:r w:rsidRPr="00655BEF">
        <w:rPr>
          <w:rFonts w:ascii="Times New Roman" w:hAnsi="Times New Roman" w:cs="Times New Roman"/>
          <w:color w:val="0D0D0D" w:themeColor="text1" w:themeTint="F2"/>
        </w:rPr>
        <w:t xml:space="preserve">The research defines the initial man-made examination of the risk of </w:t>
      </w:r>
      <w:r>
        <w:rPr>
          <w:rFonts w:ascii="Times New Roman" w:hAnsi="Times New Roman" w:cs="Times New Roman"/>
          <w:color w:val="0D0D0D" w:themeColor="text1" w:themeTint="F2"/>
        </w:rPr>
        <w:t>petroleum-based pollutants in Nigeria,</w:t>
      </w:r>
      <w:r w:rsidRPr="00655BEF">
        <w:rPr>
          <w:rFonts w:ascii="Times New Roman" w:hAnsi="Times New Roman" w:cs="Times New Roman"/>
          <w:color w:val="0D0D0D" w:themeColor="text1" w:themeTint="F2"/>
        </w:rPr>
        <w:t xml:space="preserve"> uncovering synergistic toxicities and extreme pollution of the sediment. </w:t>
      </w:r>
      <w:r>
        <w:rPr>
          <w:rFonts w:ascii="Times New Roman" w:hAnsi="Times New Roman" w:cs="Times New Roman"/>
          <w:color w:val="0D0D0D" w:themeColor="text1" w:themeTint="F2"/>
        </w:rPr>
        <w:t xml:space="preserve">  </w:t>
      </w:r>
    </w:p>
    <w:bookmarkEnd w:id="2"/>
    <w:p w14:paraId="5D398607" w14:textId="4DF19EA2" w:rsidR="00A76E50" w:rsidRPr="00404D6E" w:rsidRDefault="00A76E50" w:rsidP="00C71823">
      <w:pPr>
        <w:jc w:val="both"/>
        <w:rPr>
          <w:rFonts w:ascii="Times New Roman" w:hAnsi="Times New Roman" w:cs="Times New Roman"/>
          <w:color w:val="0D0D0D" w:themeColor="text1" w:themeTint="F2"/>
        </w:rPr>
      </w:pPr>
      <w:r w:rsidRPr="00404D6E">
        <w:rPr>
          <w:rFonts w:ascii="Times New Roman" w:hAnsi="Times New Roman" w:cs="Times New Roman"/>
          <w:b/>
          <w:bCs/>
          <w:color w:val="0D0D0D" w:themeColor="text1" w:themeTint="F2"/>
        </w:rPr>
        <w:t>Keywords:</w:t>
      </w:r>
      <w:r w:rsidRPr="00404D6E">
        <w:rPr>
          <w:rFonts w:ascii="Times New Roman" w:hAnsi="Times New Roman" w:cs="Times New Roman"/>
          <w:color w:val="0D0D0D" w:themeColor="text1" w:themeTint="F2"/>
        </w:rPr>
        <w:t xml:space="preserve"> Petrochemical pollutants, Sediment toxicity, Ecotoxicological biomarkers, Heavy metals, Freshwater contamination</w:t>
      </w:r>
    </w:p>
    <w:p w14:paraId="01DE5AE7" w14:textId="024647B4" w:rsidR="00C71823" w:rsidRPr="00212885" w:rsidRDefault="00C71823" w:rsidP="00212885">
      <w:pPr>
        <w:pStyle w:val="Heading1"/>
        <w:rPr>
          <w:b/>
          <w:bCs/>
        </w:rPr>
      </w:pPr>
      <w:r w:rsidRPr="00212885">
        <w:rPr>
          <w:b/>
          <w:bCs/>
        </w:rPr>
        <w:t xml:space="preserve">Introduction </w:t>
      </w:r>
    </w:p>
    <w:p w14:paraId="08D4714D" w14:textId="35073ED7" w:rsidR="00AC606F" w:rsidRPr="00404D6E" w:rsidRDefault="00630FCB" w:rsidP="00AC606F">
      <w:pPr>
        <w:ind w:firstLine="720"/>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Petrochemical</w:t>
      </w:r>
      <w:r w:rsidRPr="00404D6E">
        <w:rPr>
          <w:rFonts w:ascii="Times New Roman" w:hAnsi="Times New Roman" w:cs="Times New Roman"/>
          <w:b/>
          <w:bCs/>
          <w:color w:val="0D0D0D" w:themeColor="text1" w:themeTint="F2"/>
        </w:rPr>
        <w:t xml:space="preserve"> </w:t>
      </w:r>
      <w:r w:rsidR="00A12071" w:rsidRPr="00404D6E">
        <w:rPr>
          <w:rFonts w:ascii="Times New Roman" w:hAnsi="Times New Roman" w:cs="Times New Roman"/>
          <w:color w:val="0D0D0D" w:themeColor="text1" w:themeTint="F2"/>
        </w:rPr>
        <w:t xml:space="preserve">pollution has been </w:t>
      </w:r>
      <w:r w:rsidR="00244C7D">
        <w:rPr>
          <w:rFonts w:ascii="Times New Roman" w:hAnsi="Times New Roman" w:cs="Times New Roman"/>
          <w:color w:val="0D0D0D" w:themeColor="text1" w:themeTint="F2"/>
        </w:rPr>
        <w:t>recognised as a persistent issue in the contamination of aquatic environments with petrochemical pollutants, posing a significant challenge to environmental stability and human health, particularly in areas of hydrocarbon production</w:t>
      </w:r>
      <w:r w:rsidR="00A12071" w:rsidRPr="00404D6E">
        <w:rPr>
          <w:rFonts w:ascii="Times New Roman" w:hAnsi="Times New Roman" w:cs="Times New Roman"/>
          <w:color w:val="0D0D0D" w:themeColor="text1" w:themeTint="F2"/>
        </w:rPr>
        <w:t>. Due to their resistance, hydrophobicity, and the potential to cause toxicity, petrochemical compounds</w:t>
      </w:r>
      <w:r w:rsidR="00D24497" w:rsidRPr="00404D6E">
        <w:rPr>
          <w:rFonts w:ascii="Times New Roman" w:hAnsi="Times New Roman" w:cs="Times New Roman"/>
          <w:color w:val="0D0D0D" w:themeColor="text1" w:themeTint="F2"/>
        </w:rPr>
        <w:t>, mainly associated with polycyclic aromatic hydrocarbons (PAHs), benzene derivatives (BTEX), and heavy metals,</w:t>
      </w:r>
      <w:r w:rsidR="00A12071" w:rsidRPr="00404D6E">
        <w:rPr>
          <w:rFonts w:ascii="Times New Roman" w:hAnsi="Times New Roman" w:cs="Times New Roman"/>
          <w:color w:val="0D0D0D" w:themeColor="text1" w:themeTint="F2"/>
        </w:rPr>
        <w:t xml:space="preserve"> have been described </w:t>
      </w:r>
      <w:r w:rsidR="00E23686">
        <w:rPr>
          <w:rFonts w:ascii="Times New Roman" w:hAnsi="Times New Roman" w:cs="Times New Roman"/>
          <w:color w:val="0D0D0D" w:themeColor="text1" w:themeTint="F2"/>
        </w:rPr>
        <w:t>[1,2]</w:t>
      </w:r>
      <w:r w:rsidR="00A12071" w:rsidRPr="00404D6E">
        <w:rPr>
          <w:rFonts w:ascii="Times New Roman" w:hAnsi="Times New Roman" w:cs="Times New Roman"/>
          <w:color w:val="0D0D0D" w:themeColor="text1" w:themeTint="F2"/>
        </w:rPr>
        <w:t xml:space="preserve">. When these pollutants enter </w:t>
      </w:r>
      <w:r w:rsidR="00215515">
        <w:rPr>
          <w:rFonts w:ascii="Times New Roman" w:hAnsi="Times New Roman" w:cs="Times New Roman"/>
          <w:color w:val="0D0D0D" w:themeColor="text1" w:themeTint="F2"/>
        </w:rPr>
        <w:t xml:space="preserve">water bodies, their complex partitioning behaviour follows and can often be found </w:t>
      </w:r>
      <w:r w:rsidR="00215515">
        <w:rPr>
          <w:rFonts w:ascii="Times New Roman" w:hAnsi="Times New Roman" w:cs="Times New Roman"/>
          <w:color w:val="0D0D0D" w:themeColor="text1" w:themeTint="F2"/>
        </w:rPr>
        <w:lastRenderedPageBreak/>
        <w:t xml:space="preserve">adsorbed on sediment matrices or integrated with the sediments, which persists long after and involves the engagement of </w:t>
      </w:r>
      <w:r w:rsidR="00A12071" w:rsidRPr="00404D6E">
        <w:rPr>
          <w:rFonts w:ascii="Times New Roman" w:hAnsi="Times New Roman" w:cs="Times New Roman"/>
          <w:color w:val="0D0D0D" w:themeColor="text1" w:themeTint="F2"/>
        </w:rPr>
        <w:t xml:space="preserve">abiotic and other organisms present in the body of water </w:t>
      </w:r>
      <w:r w:rsidR="009B70A1">
        <w:rPr>
          <w:rFonts w:ascii="Times New Roman" w:hAnsi="Times New Roman" w:cs="Times New Roman"/>
          <w:color w:val="0D0D0D" w:themeColor="text1" w:themeTint="F2"/>
        </w:rPr>
        <w:t>[3,4]</w:t>
      </w:r>
      <w:r w:rsidR="00A12071" w:rsidRPr="00404D6E">
        <w:rPr>
          <w:rFonts w:ascii="Times New Roman" w:hAnsi="Times New Roman" w:cs="Times New Roman"/>
          <w:color w:val="0D0D0D" w:themeColor="text1" w:themeTint="F2"/>
        </w:rPr>
        <w:t>.</w:t>
      </w:r>
      <w:r w:rsidR="00AC606F" w:rsidRPr="00404D6E">
        <w:rPr>
          <w:rFonts w:ascii="Times New Roman" w:hAnsi="Times New Roman" w:cs="Times New Roman"/>
          <w:color w:val="0D0D0D" w:themeColor="text1" w:themeTint="F2"/>
        </w:rPr>
        <w:t xml:space="preserve"> </w:t>
      </w:r>
      <w:r w:rsidR="00A12071" w:rsidRPr="00404D6E">
        <w:rPr>
          <w:rFonts w:ascii="Times New Roman" w:hAnsi="Times New Roman" w:cs="Times New Roman"/>
          <w:color w:val="0D0D0D" w:themeColor="text1" w:themeTint="F2"/>
        </w:rPr>
        <w:t xml:space="preserve">Sediments are considered </w:t>
      </w:r>
      <w:r w:rsidR="00215515">
        <w:rPr>
          <w:rFonts w:ascii="Times New Roman" w:hAnsi="Times New Roman" w:cs="Times New Roman"/>
          <w:color w:val="0D0D0D" w:themeColor="text1" w:themeTint="F2"/>
        </w:rPr>
        <w:t xml:space="preserve">both a sink and a possible additional source of contamination when </w:t>
      </w:r>
      <w:r w:rsidR="00A12071" w:rsidRPr="00404D6E">
        <w:rPr>
          <w:rFonts w:ascii="Times New Roman" w:hAnsi="Times New Roman" w:cs="Times New Roman"/>
          <w:color w:val="0D0D0D" w:themeColor="text1" w:themeTint="F2"/>
        </w:rPr>
        <w:t xml:space="preserve">physicochemical conditions are variable, including redox changes, resuspension, or bioturbation </w:t>
      </w:r>
      <w:r w:rsidR="00215515">
        <w:rPr>
          <w:rFonts w:ascii="Times New Roman" w:hAnsi="Times New Roman" w:cs="Times New Roman"/>
          <w:color w:val="0D0D0D" w:themeColor="text1" w:themeTint="F2"/>
        </w:rPr>
        <w:t>[5,6]</w:t>
      </w:r>
      <w:r w:rsidR="00A12071" w:rsidRPr="00404D6E">
        <w:rPr>
          <w:rFonts w:ascii="Times New Roman" w:hAnsi="Times New Roman" w:cs="Times New Roman"/>
          <w:color w:val="0D0D0D" w:themeColor="text1" w:themeTint="F2"/>
        </w:rPr>
        <w:t xml:space="preserve">. Such conditions determine the mobility and bioavailability of contaminants as well as the final toxicological effects on trophic levels of contaminants </w:t>
      </w:r>
      <w:r w:rsidR="00EE0001">
        <w:rPr>
          <w:rFonts w:ascii="Times New Roman" w:hAnsi="Times New Roman" w:cs="Times New Roman"/>
          <w:color w:val="0D0D0D" w:themeColor="text1" w:themeTint="F2"/>
        </w:rPr>
        <w:t>[7]</w:t>
      </w:r>
      <w:r w:rsidR="00A12071" w:rsidRPr="00404D6E">
        <w:rPr>
          <w:rFonts w:ascii="Times New Roman" w:hAnsi="Times New Roman" w:cs="Times New Roman"/>
          <w:color w:val="0D0D0D" w:themeColor="text1" w:themeTint="F2"/>
        </w:rPr>
        <w:t xml:space="preserve">. Remobilisation of legacy pollutants loaded </w:t>
      </w:r>
      <w:r w:rsidR="00215515">
        <w:rPr>
          <w:rFonts w:ascii="Times New Roman" w:hAnsi="Times New Roman" w:cs="Times New Roman"/>
          <w:color w:val="0D0D0D" w:themeColor="text1" w:themeTint="F2"/>
        </w:rPr>
        <w:t xml:space="preserve">into the sediment and subsequently released into the water column may cause sub-lethal and acute impacts on aquatic fauna, such as tree degeneration, developmental malformations, and alterations in </w:t>
      </w:r>
      <w:r w:rsidR="00A12071" w:rsidRPr="00404D6E">
        <w:rPr>
          <w:rFonts w:ascii="Times New Roman" w:hAnsi="Times New Roman" w:cs="Times New Roman"/>
          <w:color w:val="0D0D0D" w:themeColor="text1" w:themeTint="F2"/>
        </w:rPr>
        <w:t xml:space="preserve">reproductive biology </w:t>
      </w:r>
      <w:r w:rsidR="00EE0001">
        <w:rPr>
          <w:rFonts w:ascii="Times New Roman" w:hAnsi="Times New Roman" w:cs="Times New Roman"/>
          <w:color w:val="0D0D0D" w:themeColor="text1" w:themeTint="F2"/>
        </w:rPr>
        <w:t>[8,9]</w:t>
      </w:r>
      <w:r w:rsidR="00A12071" w:rsidRPr="00404D6E">
        <w:rPr>
          <w:rFonts w:ascii="Times New Roman" w:hAnsi="Times New Roman" w:cs="Times New Roman"/>
          <w:color w:val="0D0D0D" w:themeColor="text1" w:themeTint="F2"/>
        </w:rPr>
        <w:t xml:space="preserve">. Consequently, it is necessary to conduct </w:t>
      </w:r>
      <w:r w:rsidR="00D24497" w:rsidRPr="00404D6E">
        <w:rPr>
          <w:rFonts w:ascii="Times New Roman" w:hAnsi="Times New Roman" w:cs="Times New Roman"/>
          <w:color w:val="0D0D0D" w:themeColor="text1" w:themeTint="F2"/>
        </w:rPr>
        <w:t xml:space="preserve">an </w:t>
      </w:r>
      <w:r w:rsidR="00A12071" w:rsidRPr="00404D6E">
        <w:rPr>
          <w:rFonts w:ascii="Times New Roman" w:hAnsi="Times New Roman" w:cs="Times New Roman"/>
          <w:color w:val="0D0D0D" w:themeColor="text1" w:themeTint="F2"/>
        </w:rPr>
        <w:t>integrated assessment of the compartments of sediments and waters to gain detailed information about the processes with pollutants and ecotoxicological risks.</w:t>
      </w:r>
      <w:r w:rsidR="00AC606F" w:rsidRPr="00404D6E">
        <w:rPr>
          <w:rFonts w:ascii="Times New Roman" w:hAnsi="Times New Roman" w:cs="Times New Roman"/>
          <w:color w:val="0D0D0D" w:themeColor="text1" w:themeTint="F2"/>
        </w:rPr>
        <w:t xml:space="preserve"> </w:t>
      </w:r>
    </w:p>
    <w:p w14:paraId="37B97249" w14:textId="350579B4" w:rsidR="00C821A6" w:rsidRPr="00404D6E" w:rsidRDefault="00A12071" w:rsidP="00AC606F">
      <w:pPr>
        <w:ind w:firstLine="720"/>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lastRenderedPageBreak/>
        <w:t xml:space="preserve"> The oil-producing regions</w:t>
      </w:r>
      <w:r w:rsidR="00D24497" w:rsidRPr="00404D6E">
        <w:rPr>
          <w:rFonts w:ascii="Times New Roman" w:hAnsi="Times New Roman" w:cs="Times New Roman"/>
          <w:color w:val="0D0D0D" w:themeColor="text1" w:themeTint="F2"/>
        </w:rPr>
        <w:t xml:space="preserve">, </w:t>
      </w:r>
      <w:r w:rsidR="00EE0001">
        <w:rPr>
          <w:rFonts w:ascii="Times New Roman" w:hAnsi="Times New Roman" w:cs="Times New Roman"/>
          <w:color w:val="0D0D0D" w:themeColor="text1" w:themeTint="F2"/>
        </w:rPr>
        <w:t xml:space="preserve">particularly in the Niger Delta area and its surrounding hydrological channels, have experienced persistent environmental degradation due to oil spills, gas flaring, and the operation of </w:t>
      </w:r>
      <w:r w:rsidRPr="00404D6E">
        <w:rPr>
          <w:rFonts w:ascii="Times New Roman" w:hAnsi="Times New Roman" w:cs="Times New Roman"/>
          <w:color w:val="0D0D0D" w:themeColor="text1" w:themeTint="F2"/>
        </w:rPr>
        <w:t xml:space="preserve">illegal refineries </w:t>
      </w:r>
      <w:r w:rsidR="003C1BE6">
        <w:rPr>
          <w:rFonts w:ascii="Times New Roman" w:hAnsi="Times New Roman" w:cs="Times New Roman"/>
          <w:color w:val="0D0D0D" w:themeColor="text1" w:themeTint="F2"/>
        </w:rPr>
        <w:t>[10-12]</w:t>
      </w:r>
      <w:r w:rsidRPr="00404D6E">
        <w:rPr>
          <w:rFonts w:ascii="Times New Roman" w:hAnsi="Times New Roman" w:cs="Times New Roman"/>
          <w:color w:val="0D0D0D" w:themeColor="text1" w:themeTint="F2"/>
        </w:rPr>
        <w:t xml:space="preserve">. Of these, two </w:t>
      </w:r>
      <w:r w:rsidR="00D24497" w:rsidRPr="00404D6E">
        <w:rPr>
          <w:rFonts w:ascii="Times New Roman" w:hAnsi="Times New Roman" w:cs="Times New Roman"/>
          <w:color w:val="0D0D0D" w:themeColor="text1" w:themeTint="F2"/>
        </w:rPr>
        <w:t>essential</w:t>
      </w:r>
      <w:r w:rsidRPr="00404D6E">
        <w:rPr>
          <w:rFonts w:ascii="Times New Roman" w:hAnsi="Times New Roman" w:cs="Times New Roman"/>
          <w:color w:val="0D0D0D" w:themeColor="text1" w:themeTint="F2"/>
        </w:rPr>
        <w:t xml:space="preserve"> freshwater systems </w:t>
      </w:r>
      <w:r w:rsidR="00EE0001">
        <w:rPr>
          <w:rFonts w:ascii="Times New Roman" w:hAnsi="Times New Roman" w:cs="Times New Roman"/>
          <w:color w:val="0D0D0D" w:themeColor="text1" w:themeTint="F2"/>
        </w:rPr>
        <w:t>that face rising anthropogenic pressure include Oguta Lake and the Njaba River, both of which are located</w:t>
      </w:r>
      <w:r w:rsidRPr="00404D6E">
        <w:rPr>
          <w:rFonts w:ascii="Times New Roman" w:hAnsi="Times New Roman" w:cs="Times New Roman"/>
          <w:color w:val="0D0D0D" w:themeColor="text1" w:themeTint="F2"/>
        </w:rPr>
        <w:t xml:space="preserve"> in Imo State. Such ecosystems lie downstream </w:t>
      </w:r>
      <w:r w:rsidR="00D24497" w:rsidRPr="00404D6E">
        <w:rPr>
          <w:rFonts w:ascii="Times New Roman" w:hAnsi="Times New Roman" w:cs="Times New Roman"/>
          <w:color w:val="0D0D0D" w:themeColor="text1" w:themeTint="F2"/>
        </w:rPr>
        <w:t xml:space="preserve">of the petroleum-producing regions. They are said to have been affected </w:t>
      </w:r>
      <w:r w:rsidR="00EE0001">
        <w:rPr>
          <w:rFonts w:ascii="Times New Roman" w:hAnsi="Times New Roman" w:cs="Times New Roman"/>
          <w:color w:val="0D0D0D" w:themeColor="text1" w:themeTint="F2"/>
        </w:rPr>
        <w:t>due to hydrocarbon intrusion in the form of surface runoff, subsurface seepage,</w:t>
      </w:r>
      <w:r w:rsidRPr="00404D6E">
        <w:rPr>
          <w:rFonts w:ascii="Times New Roman" w:hAnsi="Times New Roman" w:cs="Times New Roman"/>
          <w:color w:val="0D0D0D" w:themeColor="text1" w:themeTint="F2"/>
        </w:rPr>
        <w:t xml:space="preserve"> and mismanaged effluent disposal. Regardless of the ecological and socio-economic significance, the current knowledge concerning these water bodies is limited in terms of chemical loading, sediment-pollutant interactions and </w:t>
      </w:r>
      <w:r w:rsidR="00D24497" w:rsidRPr="00404D6E">
        <w:rPr>
          <w:rFonts w:ascii="Times New Roman" w:hAnsi="Times New Roman" w:cs="Times New Roman"/>
          <w:color w:val="0D0D0D" w:themeColor="text1" w:themeTint="F2"/>
        </w:rPr>
        <w:t>environmental</w:t>
      </w:r>
      <w:r w:rsidRPr="00404D6E">
        <w:rPr>
          <w:rFonts w:ascii="Times New Roman" w:hAnsi="Times New Roman" w:cs="Times New Roman"/>
          <w:color w:val="0D0D0D" w:themeColor="text1" w:themeTint="F2"/>
        </w:rPr>
        <w:t xml:space="preserve"> sensitivity.</w:t>
      </w:r>
      <w:r w:rsidR="00AC606F" w:rsidRPr="00404D6E">
        <w:rPr>
          <w:rFonts w:ascii="Times New Roman" w:hAnsi="Times New Roman" w:cs="Times New Roman"/>
          <w:color w:val="0D0D0D" w:themeColor="text1" w:themeTint="F2"/>
        </w:rPr>
        <w:t xml:space="preserve"> </w:t>
      </w:r>
      <w:r w:rsidRPr="00404D6E">
        <w:rPr>
          <w:rFonts w:ascii="Times New Roman" w:hAnsi="Times New Roman" w:cs="Times New Roman"/>
          <w:color w:val="0D0D0D" w:themeColor="text1" w:themeTint="F2"/>
        </w:rPr>
        <w:t xml:space="preserve">Previous literature in the area has </w:t>
      </w:r>
      <w:r w:rsidR="00EE0001">
        <w:rPr>
          <w:rFonts w:ascii="Times New Roman" w:hAnsi="Times New Roman" w:cs="Times New Roman"/>
          <w:color w:val="0D0D0D" w:themeColor="text1" w:themeTint="F2"/>
        </w:rPr>
        <w:t xml:space="preserve">primarily focused on indicators of water quality or a low-powered pollutant profiling strategy, </w:t>
      </w:r>
      <w:r w:rsidR="00EE0001">
        <w:rPr>
          <w:rFonts w:ascii="Times New Roman" w:hAnsi="Times New Roman" w:cs="Times New Roman"/>
          <w:color w:val="0D0D0D" w:themeColor="text1" w:themeTint="F2"/>
        </w:rPr>
        <w:lastRenderedPageBreak/>
        <w:t>with limited</w:t>
      </w:r>
      <w:r w:rsidRPr="00404D6E">
        <w:rPr>
          <w:rFonts w:ascii="Times New Roman" w:hAnsi="Times New Roman" w:cs="Times New Roman"/>
          <w:color w:val="0D0D0D" w:themeColor="text1" w:themeTint="F2"/>
        </w:rPr>
        <w:t xml:space="preserve"> incorporation of bioassays or ecotoxicological endpoints </w:t>
      </w:r>
      <w:r w:rsidR="003C1BE6">
        <w:rPr>
          <w:rFonts w:ascii="Times New Roman" w:hAnsi="Times New Roman" w:cs="Times New Roman"/>
          <w:color w:val="0D0D0D" w:themeColor="text1" w:themeTint="F2"/>
        </w:rPr>
        <w:t>[13-16]</w:t>
      </w:r>
      <w:r w:rsidR="00A37AE7">
        <w:rPr>
          <w:rFonts w:ascii="Times New Roman" w:hAnsi="Times New Roman" w:cs="Times New Roman"/>
          <w:color w:val="0D0D0D" w:themeColor="text1" w:themeTint="F2"/>
        </w:rPr>
        <w:t xml:space="preserve">. </w:t>
      </w:r>
      <w:r w:rsidRPr="00404D6E">
        <w:rPr>
          <w:rFonts w:ascii="Times New Roman" w:hAnsi="Times New Roman" w:cs="Times New Roman"/>
          <w:color w:val="0D0D0D" w:themeColor="text1" w:themeTint="F2"/>
        </w:rPr>
        <w:t xml:space="preserve">As a result, there </w:t>
      </w:r>
      <w:r w:rsidR="00EE0001">
        <w:rPr>
          <w:rFonts w:ascii="Times New Roman" w:hAnsi="Times New Roman" w:cs="Times New Roman"/>
          <w:color w:val="0D0D0D" w:themeColor="text1" w:themeTint="F2"/>
        </w:rPr>
        <w:t xml:space="preserve">is little to no </w:t>
      </w:r>
      <w:r w:rsidR="00495B1E">
        <w:rPr>
          <w:rFonts w:ascii="Times New Roman" w:hAnsi="Times New Roman" w:cs="Times New Roman"/>
          <w:color w:val="0D0D0D" w:themeColor="text1" w:themeTint="F2"/>
        </w:rPr>
        <w:t xml:space="preserve">understanding of the degree of danger posed by sediment-related petrochemicals, particularly concerning their bioavailability, trophic transfer, and </w:t>
      </w:r>
      <w:r w:rsidR="00EE0001">
        <w:rPr>
          <w:rFonts w:ascii="Times New Roman" w:hAnsi="Times New Roman" w:cs="Times New Roman"/>
          <w:color w:val="0D0D0D" w:themeColor="text1" w:themeTint="F2"/>
        </w:rPr>
        <w:t xml:space="preserve">effects on </w:t>
      </w:r>
      <w:r w:rsidRPr="00404D6E">
        <w:rPr>
          <w:rFonts w:ascii="Times New Roman" w:hAnsi="Times New Roman" w:cs="Times New Roman"/>
          <w:color w:val="0D0D0D" w:themeColor="text1" w:themeTint="F2"/>
        </w:rPr>
        <w:t xml:space="preserve">ecosystems. </w:t>
      </w:r>
      <w:r w:rsidR="00D24497" w:rsidRPr="00404D6E">
        <w:rPr>
          <w:rFonts w:ascii="Times New Roman" w:hAnsi="Times New Roman" w:cs="Times New Roman"/>
          <w:color w:val="0D0D0D" w:themeColor="text1" w:themeTint="F2"/>
        </w:rPr>
        <w:t>To</w:t>
      </w:r>
      <w:r w:rsidRPr="00404D6E">
        <w:rPr>
          <w:rFonts w:ascii="Times New Roman" w:hAnsi="Times New Roman" w:cs="Times New Roman"/>
          <w:color w:val="0D0D0D" w:themeColor="text1" w:themeTint="F2"/>
        </w:rPr>
        <w:t xml:space="preserve"> overcome this information gap, the current study </w:t>
      </w:r>
      <w:r w:rsidR="00D24497" w:rsidRPr="00404D6E">
        <w:rPr>
          <w:rFonts w:ascii="Times New Roman" w:hAnsi="Times New Roman" w:cs="Times New Roman"/>
          <w:color w:val="0D0D0D" w:themeColor="text1" w:themeTint="F2"/>
        </w:rPr>
        <w:t xml:space="preserve">employs a multidimensional approach that combines sensitive analytical methods (e.g., GC-MS for organic detection, ICP-MS/AAS for metal </w:t>
      </w:r>
      <w:r w:rsidR="00DC687B" w:rsidRPr="00404D6E">
        <w:rPr>
          <w:rFonts w:ascii="Times New Roman" w:hAnsi="Times New Roman" w:cs="Times New Roman"/>
          <w:color w:val="0D0D0D" w:themeColor="text1" w:themeTint="F2"/>
        </w:rPr>
        <w:t>detection)</w:t>
      </w:r>
      <w:r w:rsidR="00D24497" w:rsidRPr="00404D6E">
        <w:rPr>
          <w:rFonts w:ascii="Times New Roman" w:hAnsi="Times New Roman" w:cs="Times New Roman"/>
          <w:color w:val="0D0D0D" w:themeColor="text1" w:themeTint="F2"/>
        </w:rPr>
        <w:t xml:space="preserve"> with a uniform ecotoxicological workup using</w:t>
      </w:r>
      <w:r w:rsidRPr="00404D6E">
        <w:rPr>
          <w:rFonts w:ascii="Times New Roman" w:hAnsi="Times New Roman" w:cs="Times New Roman"/>
          <w:color w:val="0D0D0D" w:themeColor="text1" w:themeTint="F2"/>
        </w:rPr>
        <w:t xml:space="preserve"> sentinel aquatic life.</w:t>
      </w:r>
      <w:r w:rsidR="00AC606F" w:rsidRPr="00404D6E">
        <w:rPr>
          <w:rFonts w:ascii="Times New Roman" w:hAnsi="Times New Roman" w:cs="Times New Roman"/>
          <w:color w:val="0D0D0D" w:themeColor="text1" w:themeTint="F2"/>
        </w:rPr>
        <w:t xml:space="preserve"> </w:t>
      </w:r>
      <w:r w:rsidRPr="00404D6E">
        <w:rPr>
          <w:rFonts w:ascii="Times New Roman" w:hAnsi="Times New Roman" w:cs="Times New Roman"/>
          <w:color w:val="0D0D0D" w:themeColor="text1" w:themeTint="F2"/>
        </w:rPr>
        <w:t xml:space="preserve">This study aims </w:t>
      </w:r>
      <w:r w:rsidR="00D24497" w:rsidRPr="00404D6E">
        <w:rPr>
          <w:rFonts w:ascii="Times New Roman" w:hAnsi="Times New Roman" w:cs="Times New Roman"/>
          <w:color w:val="0D0D0D" w:themeColor="text1" w:themeTint="F2"/>
        </w:rPr>
        <w:t>to evaluate</w:t>
      </w:r>
      <w:r w:rsidRPr="00404D6E">
        <w:rPr>
          <w:rFonts w:ascii="Times New Roman" w:hAnsi="Times New Roman" w:cs="Times New Roman"/>
          <w:color w:val="0D0D0D" w:themeColor="text1" w:themeTint="F2"/>
        </w:rPr>
        <w:t xml:space="preserve"> the spatial, frequency, and toxicological fate of petrochemical contaminants in the sediment/water ecosystem of </w:t>
      </w:r>
      <w:r w:rsidR="00A37AE7">
        <w:rPr>
          <w:rFonts w:ascii="Times New Roman" w:hAnsi="Times New Roman" w:cs="Times New Roman"/>
          <w:color w:val="0D0D0D" w:themeColor="text1" w:themeTint="F2"/>
        </w:rPr>
        <w:t xml:space="preserve">the </w:t>
      </w:r>
      <w:r w:rsidRPr="00404D6E">
        <w:rPr>
          <w:rFonts w:ascii="Times New Roman" w:hAnsi="Times New Roman" w:cs="Times New Roman"/>
          <w:color w:val="0D0D0D" w:themeColor="text1" w:themeTint="F2"/>
        </w:rPr>
        <w:t xml:space="preserve">Njaba River and Oguta Lake. Generally, the research focuses on (i) measuring the concentrations of the priority pollutants in sediment and water matrices, (ii) assessing their potent ecological impacts by using sediment quality guidelines and risk index, and (iii) defining the toxicological </w:t>
      </w:r>
      <w:r w:rsidRPr="00404D6E">
        <w:rPr>
          <w:rFonts w:ascii="Times New Roman" w:hAnsi="Times New Roman" w:cs="Times New Roman"/>
          <w:color w:val="0D0D0D" w:themeColor="text1" w:themeTint="F2"/>
        </w:rPr>
        <w:lastRenderedPageBreak/>
        <w:t xml:space="preserve">endpoints by carrying out controlled bioassays. The given multi-dimensional strategy will be targeted at informing environmental monitoring schemes, risk management plans, and regulatory measures, of which the standards pertain to the World Health </w:t>
      </w:r>
      <w:r w:rsidR="00D24497" w:rsidRPr="00404D6E">
        <w:rPr>
          <w:rFonts w:ascii="Times New Roman" w:hAnsi="Times New Roman" w:cs="Times New Roman"/>
          <w:color w:val="0D0D0D" w:themeColor="text1" w:themeTint="F2"/>
        </w:rPr>
        <w:t>Organisation</w:t>
      </w:r>
      <w:r w:rsidRPr="00404D6E">
        <w:rPr>
          <w:rFonts w:ascii="Times New Roman" w:hAnsi="Times New Roman" w:cs="Times New Roman"/>
          <w:color w:val="0D0D0D" w:themeColor="text1" w:themeTint="F2"/>
        </w:rPr>
        <w:t xml:space="preserve"> (WHO), United States Environmental Protection Agency (USEPA), and the </w:t>
      </w:r>
      <w:r w:rsidR="000554B9" w:rsidRPr="00404D6E">
        <w:rPr>
          <w:rFonts w:ascii="Times New Roman" w:hAnsi="Times New Roman" w:cs="Times New Roman"/>
          <w:b/>
          <w:bCs/>
          <w:noProof/>
          <w:color w:val="0D0D0D" w:themeColor="text1" w:themeTint="F2"/>
          <w:lang w:val="en-IN" w:eastAsia="en-IN"/>
        </w:rPr>
        <w:drawing>
          <wp:anchor distT="0" distB="0" distL="114300" distR="114300" simplePos="0" relativeHeight="251658240" behindDoc="1" locked="0" layoutInCell="1" allowOverlap="1" wp14:anchorId="0A6B14B7" wp14:editId="395C7D99">
            <wp:simplePos x="0" y="0"/>
            <wp:positionH relativeFrom="margin">
              <wp:posOffset>-33195</wp:posOffset>
            </wp:positionH>
            <wp:positionV relativeFrom="paragraph">
              <wp:posOffset>518619</wp:posOffset>
            </wp:positionV>
            <wp:extent cx="5879465" cy="6489065"/>
            <wp:effectExtent l="0" t="0" r="6985" b="6985"/>
            <wp:wrapTopAndBottom/>
            <wp:docPr id="1402836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836409" name="Picture 1402836409"/>
                    <pic:cNvPicPr/>
                  </pic:nvPicPr>
                  <pic:blipFill>
                    <a:blip r:embed="rId6">
                      <a:extLst>
                        <a:ext uri="{28A0092B-C50C-407E-A947-70E740481C1C}">
                          <a14:useLocalDpi xmlns:a14="http://schemas.microsoft.com/office/drawing/2010/main" val="0"/>
                        </a:ext>
                      </a:extLst>
                    </a:blip>
                    <a:stretch>
                      <a:fillRect/>
                    </a:stretch>
                  </pic:blipFill>
                  <pic:spPr>
                    <a:xfrm>
                      <a:off x="0" y="0"/>
                      <a:ext cx="5879465" cy="6489065"/>
                    </a:xfrm>
                    <a:prstGeom prst="rect">
                      <a:avLst/>
                    </a:prstGeom>
                  </pic:spPr>
                </pic:pic>
              </a:graphicData>
            </a:graphic>
            <wp14:sizeRelH relativeFrom="margin">
              <wp14:pctWidth>0</wp14:pctWidth>
            </wp14:sizeRelH>
            <wp14:sizeRelV relativeFrom="margin">
              <wp14:pctHeight>0</wp14:pctHeight>
            </wp14:sizeRelV>
          </wp:anchor>
        </w:drawing>
      </w:r>
      <w:r w:rsidRPr="00404D6E">
        <w:rPr>
          <w:rFonts w:ascii="Times New Roman" w:hAnsi="Times New Roman" w:cs="Times New Roman"/>
          <w:color w:val="0D0D0D" w:themeColor="text1" w:themeTint="F2"/>
        </w:rPr>
        <w:t xml:space="preserve">National Environmental Standards and Regulations Enforcement Agency (NESREA). </w:t>
      </w:r>
    </w:p>
    <w:p w14:paraId="240370BB" w14:textId="7FB10C5C" w:rsidR="00C821A6" w:rsidRPr="00404D6E" w:rsidRDefault="00C821A6" w:rsidP="00D317FF">
      <w:pPr>
        <w:rPr>
          <w:rFonts w:ascii="Times New Roman" w:hAnsi="Times New Roman" w:cs="Times New Roman"/>
          <w:color w:val="0D0D0D" w:themeColor="text1" w:themeTint="F2"/>
        </w:rPr>
      </w:pPr>
      <w:r w:rsidRPr="00404D6E">
        <w:rPr>
          <w:rFonts w:ascii="Times New Roman" w:hAnsi="Times New Roman" w:cs="Times New Roman"/>
          <w:b/>
          <w:bCs/>
          <w:color w:val="0D0D0D" w:themeColor="text1" w:themeTint="F2"/>
        </w:rPr>
        <w:t>Figure 1</w:t>
      </w:r>
      <w:r w:rsidR="00BE0F2A" w:rsidRPr="00404D6E">
        <w:rPr>
          <w:rFonts w:ascii="Times New Roman" w:hAnsi="Times New Roman" w:cs="Times New Roman"/>
          <w:b/>
          <w:bCs/>
          <w:color w:val="0D0D0D" w:themeColor="text1" w:themeTint="F2"/>
        </w:rPr>
        <w:t>a</w:t>
      </w:r>
      <w:r w:rsidR="00212885">
        <w:rPr>
          <w:rFonts w:ascii="Times New Roman" w:hAnsi="Times New Roman" w:cs="Times New Roman"/>
          <w:b/>
          <w:bCs/>
          <w:color w:val="0D0D0D" w:themeColor="text1" w:themeTint="F2"/>
        </w:rPr>
        <w:t xml:space="preserve">. </w:t>
      </w:r>
      <w:r w:rsidRPr="00404D6E">
        <w:rPr>
          <w:rFonts w:ascii="Times New Roman" w:hAnsi="Times New Roman" w:cs="Times New Roman"/>
          <w:color w:val="0D0D0D" w:themeColor="text1" w:themeTint="F2"/>
        </w:rPr>
        <w:t xml:space="preserve">A Map of Imo State Showing the Major Water Bodies including the of Oguta </w:t>
      </w:r>
      <w:r w:rsidRPr="00404D6E">
        <w:rPr>
          <w:rFonts w:ascii="Times New Roman" w:hAnsi="Times New Roman" w:cs="Times New Roman"/>
          <w:color w:val="0D0D0D" w:themeColor="text1" w:themeTint="F2"/>
        </w:rPr>
        <w:tab/>
      </w:r>
      <w:r w:rsidRPr="00404D6E">
        <w:rPr>
          <w:rFonts w:ascii="Times New Roman" w:hAnsi="Times New Roman" w:cs="Times New Roman"/>
          <w:color w:val="0D0D0D" w:themeColor="text1" w:themeTint="F2"/>
        </w:rPr>
        <w:tab/>
        <w:t>Lake and Njaba River, Imo State, Nigeria</w:t>
      </w:r>
    </w:p>
    <w:p w14:paraId="0E3B2981" w14:textId="782E69DF" w:rsidR="00C71823" w:rsidRPr="00404D6E" w:rsidRDefault="00C71823" w:rsidP="00AC606F">
      <w:pPr>
        <w:ind w:firstLine="720"/>
        <w:jc w:val="both"/>
        <w:rPr>
          <w:rFonts w:ascii="Times New Roman" w:hAnsi="Times New Roman" w:cs="Times New Roman"/>
          <w:color w:val="0D0D0D" w:themeColor="text1" w:themeTint="F2"/>
        </w:rPr>
      </w:pPr>
    </w:p>
    <w:p w14:paraId="66C9EF23" w14:textId="034F3D8F" w:rsidR="004C768A" w:rsidRPr="00404D6E" w:rsidRDefault="004C768A" w:rsidP="00DC687B">
      <w:pPr>
        <w:pStyle w:val="Heading1"/>
        <w:rPr>
          <w:rFonts w:ascii="Times New Roman" w:hAnsi="Times New Roman" w:cs="Times New Roman"/>
          <w:b/>
          <w:bCs/>
          <w:color w:val="0D0D0D" w:themeColor="text1" w:themeTint="F2"/>
          <w:sz w:val="24"/>
          <w:szCs w:val="24"/>
        </w:rPr>
      </w:pPr>
      <w:r w:rsidRPr="00404D6E">
        <w:rPr>
          <w:rFonts w:ascii="Times New Roman" w:hAnsi="Times New Roman" w:cs="Times New Roman"/>
          <w:b/>
          <w:bCs/>
          <w:color w:val="0D0D0D" w:themeColor="text1" w:themeTint="F2"/>
          <w:sz w:val="24"/>
          <w:szCs w:val="24"/>
        </w:rPr>
        <w:lastRenderedPageBreak/>
        <w:t>Materials and Methods</w:t>
      </w:r>
    </w:p>
    <w:p w14:paraId="408B7B7A" w14:textId="5EBCC7BA" w:rsidR="00BE0F2A" w:rsidRPr="00404D6E" w:rsidRDefault="00A12071" w:rsidP="00DC687B">
      <w:pPr>
        <w:ind w:firstLine="432"/>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 xml:space="preserve">This paper </w:t>
      </w:r>
      <w:r w:rsidR="00D24497" w:rsidRPr="00404D6E">
        <w:rPr>
          <w:rFonts w:ascii="Times New Roman" w:hAnsi="Times New Roman" w:cs="Times New Roman"/>
          <w:color w:val="0D0D0D" w:themeColor="text1" w:themeTint="F2"/>
        </w:rPr>
        <w:t>employed a cross-sectional environmental monitoring study design, involving the systematic collection of surface water and sediment samples from both Oguta Lake and the Njaba River in Imo State, Nigeria</w:t>
      </w:r>
      <w:r w:rsidR="009E69BD" w:rsidRPr="00404D6E">
        <w:rPr>
          <w:rFonts w:ascii="Times New Roman" w:hAnsi="Times New Roman" w:cs="Times New Roman"/>
          <w:color w:val="0D0D0D" w:themeColor="text1" w:themeTint="F2"/>
        </w:rPr>
        <w:t xml:space="preserve"> (Figure 1b)</w:t>
      </w:r>
      <w:r w:rsidR="00D24497" w:rsidRPr="00404D6E">
        <w:rPr>
          <w:rFonts w:ascii="Times New Roman" w:hAnsi="Times New Roman" w:cs="Times New Roman"/>
          <w:color w:val="0D0D0D" w:themeColor="text1" w:themeTint="F2"/>
        </w:rPr>
        <w:t>, for laboratory analysis</w:t>
      </w:r>
      <w:r w:rsidRPr="00404D6E">
        <w:rPr>
          <w:rFonts w:ascii="Times New Roman" w:hAnsi="Times New Roman" w:cs="Times New Roman"/>
          <w:color w:val="0D0D0D" w:themeColor="text1" w:themeTint="F2"/>
        </w:rPr>
        <w:t xml:space="preserve">. The eight geo-referenced location stations (four points each in each of the two water bodies), </w:t>
      </w:r>
      <w:r w:rsidR="00A37AE7">
        <w:rPr>
          <w:rFonts w:ascii="Times New Roman" w:hAnsi="Times New Roman" w:cs="Times New Roman"/>
          <w:color w:val="0D0D0D" w:themeColor="text1" w:themeTint="F2"/>
        </w:rPr>
        <w:t>used for sampling, were strategically placed in terms of their shared likelihood of experiencing anthropogenic and hydrocarbon inputs,</w:t>
      </w:r>
      <w:r w:rsidRPr="00404D6E">
        <w:rPr>
          <w:rFonts w:ascii="Times New Roman" w:hAnsi="Times New Roman" w:cs="Times New Roman"/>
          <w:color w:val="0D0D0D" w:themeColor="text1" w:themeTint="F2"/>
        </w:rPr>
        <w:t xml:space="preserve"> as well as harnessing hydrodynamic variability. Pre-cleaned amber glass bottles (</w:t>
      </w:r>
      <w:r w:rsidR="00495B1E">
        <w:rPr>
          <w:rFonts w:ascii="Times New Roman" w:hAnsi="Times New Roman" w:cs="Times New Roman"/>
          <w:color w:val="0D0D0D" w:themeColor="text1" w:themeTint="F2"/>
        </w:rPr>
        <w:t>2.5 L) were used to collect water samples taken at a depth of 30 cm</w:t>
      </w:r>
      <w:r w:rsidR="00A37AE7">
        <w:rPr>
          <w:rFonts w:ascii="Times New Roman" w:hAnsi="Times New Roman" w:cs="Times New Roman"/>
          <w:color w:val="0D0D0D" w:themeColor="text1" w:themeTint="F2"/>
        </w:rPr>
        <w:t>. An</w:t>
      </w:r>
      <w:r w:rsidR="00D24497" w:rsidRPr="00404D6E">
        <w:rPr>
          <w:rFonts w:ascii="Times New Roman" w:hAnsi="Times New Roman" w:cs="Times New Roman"/>
          <w:color w:val="0D0D0D" w:themeColor="text1" w:themeTint="F2"/>
        </w:rPr>
        <w:t xml:space="preserve"> Ekman grab was used to collect the sediment, which was then preserved in containers lined with Aluminium</w:t>
      </w:r>
      <w:r w:rsidRPr="00404D6E">
        <w:rPr>
          <w:rFonts w:ascii="Times New Roman" w:hAnsi="Times New Roman" w:cs="Times New Roman"/>
          <w:color w:val="0D0D0D" w:themeColor="text1" w:themeTint="F2"/>
        </w:rPr>
        <w:t xml:space="preserve"> foil. Samples were also stored at </w:t>
      </w:r>
      <w:r w:rsidR="00A37AE7">
        <w:rPr>
          <w:rFonts w:ascii="Times New Roman" w:hAnsi="Times New Roman" w:cs="Times New Roman"/>
          <w:color w:val="0D0D0D" w:themeColor="text1" w:themeTint="F2"/>
        </w:rPr>
        <w:t>4 °C (ice)</w:t>
      </w:r>
      <w:r w:rsidRPr="00404D6E">
        <w:rPr>
          <w:rFonts w:ascii="Times New Roman" w:hAnsi="Times New Roman" w:cs="Times New Roman"/>
          <w:color w:val="0D0D0D" w:themeColor="text1" w:themeTint="F2"/>
        </w:rPr>
        <w:t xml:space="preserve"> and delivered to the laboratory </w:t>
      </w:r>
      <w:r w:rsidR="005107C5" w:rsidRPr="00404D6E">
        <w:rPr>
          <w:rFonts w:ascii="Times New Roman" w:hAnsi="Times New Roman" w:cs="Times New Roman"/>
          <w:color w:val="0D0D0D" w:themeColor="text1" w:themeTint="F2"/>
        </w:rPr>
        <w:t>within</w:t>
      </w:r>
      <w:r w:rsidRPr="00404D6E">
        <w:rPr>
          <w:rFonts w:ascii="Times New Roman" w:hAnsi="Times New Roman" w:cs="Times New Roman"/>
          <w:color w:val="0D0D0D" w:themeColor="text1" w:themeTint="F2"/>
        </w:rPr>
        <w:t xml:space="preserve"> a period of up to 6 hours. Total Petroleum Hydrocarbons (TPHs)</w:t>
      </w:r>
      <w:r w:rsidR="00D24497" w:rsidRPr="00404D6E">
        <w:rPr>
          <w:rFonts w:ascii="Times New Roman" w:hAnsi="Times New Roman" w:cs="Times New Roman"/>
          <w:color w:val="0D0D0D" w:themeColor="text1" w:themeTint="F2"/>
        </w:rPr>
        <w:t>, Polycyclic Aromatic Hydrocarbons (PAHs),</w:t>
      </w:r>
      <w:r w:rsidRPr="00404D6E">
        <w:rPr>
          <w:rFonts w:ascii="Times New Roman" w:hAnsi="Times New Roman" w:cs="Times New Roman"/>
          <w:color w:val="0D0D0D" w:themeColor="text1" w:themeTint="F2"/>
        </w:rPr>
        <w:t xml:space="preserve"> and trace heavy metals (e.g. Pb, Cd, Cr, Ni, Zn) were determined using an analytical method. Extracting TPHs and PAHs was </w:t>
      </w:r>
      <w:r w:rsidR="00A37AE7">
        <w:rPr>
          <w:rFonts w:ascii="Times New Roman" w:hAnsi="Times New Roman" w:cs="Times New Roman"/>
          <w:color w:val="0D0D0D" w:themeColor="text1" w:themeTint="F2"/>
        </w:rPr>
        <w:t>performed through liquid-liquid extraction using n-hexane and dichloromethane, and quantification was achieved via</w:t>
      </w:r>
      <w:r w:rsidR="00D24497" w:rsidRPr="00404D6E">
        <w:rPr>
          <w:rFonts w:ascii="Times New Roman" w:hAnsi="Times New Roman" w:cs="Times New Roman"/>
          <w:color w:val="0D0D0D" w:themeColor="text1" w:themeTint="F2"/>
        </w:rPr>
        <w:t xml:space="preserve"> Gas Chromatography-Mass</w:t>
      </w:r>
      <w:r w:rsidRPr="00404D6E">
        <w:rPr>
          <w:rFonts w:ascii="Times New Roman" w:hAnsi="Times New Roman" w:cs="Times New Roman"/>
          <w:color w:val="0D0D0D" w:themeColor="text1" w:themeTint="F2"/>
        </w:rPr>
        <w:t xml:space="preserve"> </w:t>
      </w:r>
      <w:r w:rsidR="00DC687B" w:rsidRPr="00404D6E">
        <w:rPr>
          <w:rFonts w:ascii="Times New Roman" w:hAnsi="Times New Roman" w:cs="Times New Roman"/>
          <w:color w:val="0D0D0D" w:themeColor="text1" w:themeTint="F2"/>
        </w:rPr>
        <w:t>Spectrometry (GC</w:t>
      </w:r>
      <w:r w:rsidRPr="00404D6E">
        <w:rPr>
          <w:rFonts w:ascii="Times New Roman" w:hAnsi="Times New Roman" w:cs="Times New Roman"/>
          <w:color w:val="0D0D0D" w:themeColor="text1" w:themeTint="F2"/>
        </w:rPr>
        <w:t>-MS) following EPA Methods 8270D and 8015B. Digestion of heavy metals was done using nitric-perchloric acid</w:t>
      </w:r>
      <w:r w:rsidR="00D24497" w:rsidRPr="00404D6E">
        <w:rPr>
          <w:rFonts w:ascii="Times New Roman" w:hAnsi="Times New Roman" w:cs="Times New Roman"/>
          <w:color w:val="0D0D0D" w:themeColor="text1" w:themeTint="F2"/>
        </w:rPr>
        <w:t xml:space="preserve">, and the quantity was </w:t>
      </w:r>
      <w:r w:rsidRPr="00404D6E">
        <w:rPr>
          <w:rFonts w:ascii="Times New Roman" w:hAnsi="Times New Roman" w:cs="Times New Roman"/>
          <w:color w:val="0D0D0D" w:themeColor="text1" w:themeTint="F2"/>
        </w:rPr>
        <w:t xml:space="preserve">measured by Atomic Absorption Spectrophotometry (AAS) using APHA 3111 B guidelines. </w:t>
      </w:r>
      <w:r w:rsidR="00DC687B" w:rsidRPr="00404D6E">
        <w:rPr>
          <w:rFonts w:ascii="Times New Roman" w:hAnsi="Times New Roman" w:cs="Times New Roman"/>
          <w:color w:val="0D0D0D" w:themeColor="text1" w:themeTint="F2"/>
        </w:rPr>
        <w:t>The achievement</w:t>
      </w:r>
      <w:r w:rsidRPr="00404D6E">
        <w:rPr>
          <w:rFonts w:ascii="Times New Roman" w:hAnsi="Times New Roman" w:cs="Times New Roman"/>
          <w:color w:val="0D0D0D" w:themeColor="text1" w:themeTint="F2"/>
        </w:rPr>
        <w:t xml:space="preserve"> of quality control of analysis was </w:t>
      </w:r>
      <w:r w:rsidR="001D5C43" w:rsidRPr="00404D6E">
        <w:rPr>
          <w:rFonts w:ascii="Times New Roman" w:hAnsi="Times New Roman" w:cs="Times New Roman"/>
          <w:color w:val="0D0D0D" w:themeColor="text1" w:themeTint="F2"/>
        </w:rPr>
        <w:t>achieved by using standard blanks, matrix spikes,</w:t>
      </w:r>
      <w:r w:rsidRPr="00404D6E">
        <w:rPr>
          <w:rFonts w:ascii="Times New Roman" w:hAnsi="Times New Roman" w:cs="Times New Roman"/>
          <w:color w:val="0D0D0D" w:themeColor="text1" w:themeTint="F2"/>
        </w:rPr>
        <w:t xml:space="preserve"> and certified reference materials.</w:t>
      </w:r>
      <w:r w:rsidR="00DC687B" w:rsidRPr="00404D6E">
        <w:rPr>
          <w:rFonts w:ascii="Times New Roman" w:hAnsi="Times New Roman" w:cs="Times New Roman"/>
          <w:color w:val="0D0D0D" w:themeColor="text1" w:themeTint="F2"/>
        </w:rPr>
        <w:t xml:space="preserve"> </w:t>
      </w:r>
      <w:r w:rsidRPr="00404D6E">
        <w:rPr>
          <w:rFonts w:ascii="Times New Roman" w:hAnsi="Times New Roman" w:cs="Times New Roman"/>
          <w:color w:val="0D0D0D" w:themeColor="text1" w:themeTint="F2"/>
        </w:rPr>
        <w:t xml:space="preserve"> As part of </w:t>
      </w:r>
      <w:r w:rsidR="00A37AE7">
        <w:rPr>
          <w:rFonts w:ascii="Times New Roman" w:hAnsi="Times New Roman" w:cs="Times New Roman"/>
          <w:color w:val="0D0D0D" w:themeColor="text1" w:themeTint="F2"/>
        </w:rPr>
        <w:t xml:space="preserve">the ecotoxicological assessment, we </w:t>
      </w:r>
      <w:r w:rsidR="00495B1E">
        <w:rPr>
          <w:rFonts w:ascii="Times New Roman" w:hAnsi="Times New Roman" w:cs="Times New Roman"/>
          <w:color w:val="0D0D0D" w:themeColor="text1" w:themeTint="F2"/>
        </w:rPr>
        <w:t>conducted acute toxicity tests using bioassays on Oreochromis niloticus (Nile tilapia) and Daphnia magna, two sentinel organisms that reflect local trophic levels</w:t>
      </w:r>
      <w:r w:rsidRPr="00404D6E">
        <w:rPr>
          <w:rFonts w:ascii="Times New Roman" w:hAnsi="Times New Roman" w:cs="Times New Roman"/>
          <w:color w:val="0D0D0D" w:themeColor="text1" w:themeTint="F2"/>
        </w:rPr>
        <w:t xml:space="preserve">. Sub-lethal concentrations of water and sediment extracts (prepared via elutriation) were used in exposures carried out in </w:t>
      </w:r>
      <w:r w:rsidR="00D24497" w:rsidRPr="00404D6E">
        <w:rPr>
          <w:rFonts w:ascii="Times New Roman" w:hAnsi="Times New Roman" w:cs="Times New Roman"/>
          <w:color w:val="0D0D0D" w:themeColor="text1" w:themeTint="F2"/>
        </w:rPr>
        <w:t>triplicate over 96-hour or 48-hour periods, respectively, with endpoints being mortality, behaviour</w:t>
      </w:r>
      <w:r w:rsidRPr="00404D6E">
        <w:rPr>
          <w:rFonts w:ascii="Times New Roman" w:hAnsi="Times New Roman" w:cs="Times New Roman"/>
          <w:color w:val="0D0D0D" w:themeColor="text1" w:themeTint="F2"/>
        </w:rPr>
        <w:t xml:space="preserve"> changes, and sub-lethal biomarkers (e.g.</w:t>
      </w:r>
      <w:r w:rsidR="001D5C43" w:rsidRPr="00404D6E">
        <w:rPr>
          <w:rFonts w:ascii="Times New Roman" w:hAnsi="Times New Roman" w:cs="Times New Roman"/>
          <w:color w:val="0D0D0D" w:themeColor="text1" w:themeTint="F2"/>
        </w:rPr>
        <w:t>,</w:t>
      </w:r>
      <w:r w:rsidRPr="00404D6E">
        <w:rPr>
          <w:rFonts w:ascii="Times New Roman" w:hAnsi="Times New Roman" w:cs="Times New Roman"/>
          <w:color w:val="0D0D0D" w:themeColor="text1" w:themeTint="F2"/>
        </w:rPr>
        <w:t xml:space="preserve"> acetylcholinesterase inhibition, oxidative stress enzymes). The goal of </w:t>
      </w:r>
      <w:r w:rsidR="00A37AE7">
        <w:rPr>
          <w:rFonts w:ascii="Times New Roman" w:hAnsi="Times New Roman" w:cs="Times New Roman"/>
          <w:color w:val="0D0D0D" w:themeColor="text1" w:themeTint="F2"/>
        </w:rPr>
        <w:t>monitoring physicochemical parameters (pH, EC, DO, temperature, and salinity) was to obtain in situ measurements using</w:t>
      </w:r>
      <w:r w:rsidRPr="00404D6E">
        <w:rPr>
          <w:rFonts w:ascii="Times New Roman" w:hAnsi="Times New Roman" w:cs="Times New Roman"/>
          <w:color w:val="0D0D0D" w:themeColor="text1" w:themeTint="F2"/>
        </w:rPr>
        <w:t xml:space="preserve"> a calibrated multi-parameter probe. The statistical analysis was performed using SPSS v26.0</w:t>
      </w:r>
      <w:r w:rsidR="009B454C">
        <w:rPr>
          <w:rFonts w:ascii="Times New Roman" w:hAnsi="Times New Roman" w:cs="Times New Roman"/>
          <w:color w:val="0D0D0D" w:themeColor="text1" w:themeTint="F2"/>
        </w:rPr>
        <w:t>, employing both descriptive and inferential statistical tests, including one-way ANOVA and Pearson correlation, on the data from</w:t>
      </w:r>
      <w:r w:rsidRPr="00404D6E">
        <w:rPr>
          <w:rFonts w:ascii="Times New Roman" w:hAnsi="Times New Roman" w:cs="Times New Roman"/>
          <w:color w:val="0D0D0D" w:themeColor="text1" w:themeTint="F2"/>
        </w:rPr>
        <w:t xml:space="preserve"> chemical and biological assessments. </w:t>
      </w:r>
      <w:r w:rsidR="009B454C">
        <w:rPr>
          <w:rFonts w:ascii="Times New Roman" w:hAnsi="Times New Roman" w:cs="Times New Roman"/>
          <w:color w:val="0D0D0D" w:themeColor="text1" w:themeTint="F2"/>
        </w:rPr>
        <w:t>Multivariate data analysis (PCA and HCA) was also conducted to reveal the distribution of pollutants and the interrelationship between</w:t>
      </w:r>
      <w:r w:rsidRPr="00404D6E">
        <w:rPr>
          <w:rFonts w:ascii="Times New Roman" w:hAnsi="Times New Roman" w:cs="Times New Roman"/>
          <w:color w:val="0D0D0D" w:themeColor="text1" w:themeTint="F2"/>
        </w:rPr>
        <w:t xml:space="preserve"> chemical levels and toxicological effects. The protocols </w:t>
      </w:r>
      <w:r w:rsidR="00D24497" w:rsidRPr="00404D6E">
        <w:rPr>
          <w:rFonts w:ascii="Times New Roman" w:hAnsi="Times New Roman" w:cs="Times New Roman"/>
          <w:color w:val="0D0D0D" w:themeColor="text1" w:themeTint="F2"/>
        </w:rPr>
        <w:t>adhered to ethical standards regarding the use of animals in research, with clearance provided by an institutional environmental ethics review board</w:t>
      </w:r>
      <w:r w:rsidRPr="00404D6E">
        <w:rPr>
          <w:rFonts w:ascii="Times New Roman" w:hAnsi="Times New Roman" w:cs="Times New Roman"/>
          <w:color w:val="0D0D0D" w:themeColor="text1" w:themeTint="F2"/>
        </w:rPr>
        <w:t>.</w:t>
      </w:r>
    </w:p>
    <w:p w14:paraId="29CC8F13" w14:textId="77777777" w:rsidR="00BE0F2A" w:rsidRPr="00404D6E" w:rsidRDefault="00BE0F2A">
      <w:pPr>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br w:type="page"/>
      </w:r>
    </w:p>
    <w:p w14:paraId="481E18E8" w14:textId="0DCD98F7" w:rsidR="00BE0F2A" w:rsidRPr="00404D6E" w:rsidRDefault="00D317FF" w:rsidP="00BE0F2A">
      <w:pPr>
        <w:spacing w:after="0" w:line="240" w:lineRule="auto"/>
        <w:ind w:right="-334"/>
        <w:jc w:val="center"/>
        <w:rPr>
          <w:rFonts w:ascii="Times New Roman" w:hAnsi="Times New Roman" w:cs="Times New Roman"/>
          <w:b/>
          <w:bCs/>
          <w:color w:val="0D0D0D" w:themeColor="text1" w:themeTint="F2"/>
        </w:rPr>
      </w:pPr>
      <w:r w:rsidRPr="00404D6E">
        <w:rPr>
          <w:rFonts w:ascii="Times New Roman" w:hAnsi="Times New Roman" w:cs="Times New Roman"/>
          <w:b/>
          <w:bCs/>
          <w:noProof/>
          <w:color w:val="0D0D0D" w:themeColor="text1" w:themeTint="F2"/>
          <w:lang w:val="en-IN" w:eastAsia="en-IN"/>
        </w:rPr>
        <w:lastRenderedPageBreak/>
        <w:drawing>
          <wp:anchor distT="0" distB="0" distL="114300" distR="114300" simplePos="0" relativeHeight="251664384" behindDoc="0" locked="0" layoutInCell="1" allowOverlap="1" wp14:anchorId="672225F4" wp14:editId="6E7B5E72">
            <wp:simplePos x="0" y="0"/>
            <wp:positionH relativeFrom="margin">
              <wp:align>left</wp:align>
            </wp:positionH>
            <wp:positionV relativeFrom="paragraph">
              <wp:posOffset>0</wp:posOffset>
            </wp:positionV>
            <wp:extent cx="5815965" cy="5709285"/>
            <wp:effectExtent l="0" t="0" r="0" b="57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18158" cy="5711395"/>
                    </a:xfrm>
                    <a:prstGeom prst="rect">
                      <a:avLst/>
                    </a:prstGeom>
                  </pic:spPr>
                </pic:pic>
              </a:graphicData>
            </a:graphic>
            <wp14:sizeRelH relativeFrom="margin">
              <wp14:pctWidth>0</wp14:pctWidth>
            </wp14:sizeRelH>
            <wp14:sizeRelV relativeFrom="margin">
              <wp14:pctHeight>0</wp14:pctHeight>
            </wp14:sizeRelV>
          </wp:anchor>
        </w:drawing>
      </w:r>
      <w:r w:rsidR="00BE0F2A" w:rsidRPr="00404D6E">
        <w:rPr>
          <w:rFonts w:ascii="Times New Roman" w:hAnsi="Times New Roman" w:cs="Times New Roman"/>
          <w:b/>
          <w:bCs/>
          <w:color w:val="0D0D0D" w:themeColor="text1" w:themeTint="F2"/>
        </w:rPr>
        <w:t>Figure 1b</w:t>
      </w:r>
      <w:r w:rsidR="00212885">
        <w:rPr>
          <w:rFonts w:ascii="Times New Roman" w:hAnsi="Times New Roman" w:cs="Times New Roman"/>
          <w:b/>
          <w:bCs/>
          <w:color w:val="0D0D0D" w:themeColor="text1" w:themeTint="F2"/>
        </w:rPr>
        <w:t xml:space="preserve">. </w:t>
      </w:r>
      <w:r w:rsidR="00495B1E">
        <w:rPr>
          <w:rFonts w:ascii="Times New Roman" w:hAnsi="Times New Roman" w:cs="Times New Roman"/>
          <w:color w:val="0D0D0D" w:themeColor="text1" w:themeTint="F2"/>
        </w:rPr>
        <w:t>Satellite</w:t>
      </w:r>
      <w:r w:rsidR="00BE0F2A" w:rsidRPr="00404D6E">
        <w:rPr>
          <w:rFonts w:ascii="Times New Roman" w:hAnsi="Times New Roman" w:cs="Times New Roman"/>
          <w:color w:val="0D0D0D" w:themeColor="text1" w:themeTint="F2"/>
        </w:rPr>
        <w:t xml:space="preserve"> Image showing the Oguta Lake and Njaba River, all in Imo State, Nigeria</w:t>
      </w:r>
    </w:p>
    <w:p w14:paraId="36D18032" w14:textId="4E3AC0A2" w:rsidR="004C768A" w:rsidRPr="00404D6E" w:rsidRDefault="004C768A" w:rsidP="00DC687B">
      <w:pPr>
        <w:ind w:firstLine="432"/>
        <w:jc w:val="both"/>
        <w:rPr>
          <w:rFonts w:ascii="Times New Roman" w:hAnsi="Times New Roman" w:cs="Times New Roman"/>
          <w:color w:val="0D0D0D" w:themeColor="text1" w:themeTint="F2"/>
        </w:rPr>
      </w:pPr>
    </w:p>
    <w:p w14:paraId="007AD3F8" w14:textId="0FEE219D" w:rsidR="004C768A" w:rsidRPr="00404D6E" w:rsidRDefault="004C768A" w:rsidP="00DC687B">
      <w:pPr>
        <w:pStyle w:val="Heading1"/>
        <w:rPr>
          <w:rFonts w:ascii="Times New Roman" w:hAnsi="Times New Roman" w:cs="Times New Roman"/>
          <w:b/>
          <w:bCs/>
          <w:color w:val="0D0D0D" w:themeColor="text1" w:themeTint="F2"/>
          <w:sz w:val="24"/>
          <w:szCs w:val="24"/>
        </w:rPr>
      </w:pPr>
      <w:r w:rsidRPr="00404D6E">
        <w:rPr>
          <w:rFonts w:ascii="Times New Roman" w:hAnsi="Times New Roman" w:cs="Times New Roman"/>
          <w:b/>
          <w:bCs/>
          <w:color w:val="0D0D0D" w:themeColor="text1" w:themeTint="F2"/>
          <w:sz w:val="24"/>
          <w:szCs w:val="24"/>
        </w:rPr>
        <w:t>Res</w:t>
      </w:r>
      <w:r w:rsidR="00DC687B" w:rsidRPr="00404D6E">
        <w:rPr>
          <w:rFonts w:ascii="Times New Roman" w:hAnsi="Times New Roman" w:cs="Times New Roman"/>
          <w:b/>
          <w:bCs/>
          <w:color w:val="0D0D0D" w:themeColor="text1" w:themeTint="F2"/>
          <w:sz w:val="24"/>
          <w:szCs w:val="24"/>
        </w:rPr>
        <w:t>u</w:t>
      </w:r>
      <w:r w:rsidRPr="00404D6E">
        <w:rPr>
          <w:rFonts w:ascii="Times New Roman" w:hAnsi="Times New Roman" w:cs="Times New Roman"/>
          <w:b/>
          <w:bCs/>
          <w:color w:val="0D0D0D" w:themeColor="text1" w:themeTint="F2"/>
          <w:sz w:val="24"/>
          <w:szCs w:val="24"/>
        </w:rPr>
        <w:t>lts</w:t>
      </w:r>
    </w:p>
    <w:p w14:paraId="4D05D5D8" w14:textId="10080DFF" w:rsidR="004C768A" w:rsidRPr="00404D6E" w:rsidRDefault="004C768A" w:rsidP="004C768A">
      <w:pPr>
        <w:jc w:val="both"/>
        <w:rPr>
          <w:rFonts w:ascii="Times New Roman" w:hAnsi="Times New Roman" w:cs="Times New Roman"/>
          <w:b/>
          <w:bCs/>
          <w:color w:val="0D0D0D" w:themeColor="text1" w:themeTint="F2"/>
        </w:rPr>
      </w:pPr>
      <w:r w:rsidRPr="00404D6E">
        <w:rPr>
          <w:rFonts w:ascii="Times New Roman" w:hAnsi="Times New Roman" w:cs="Times New Roman"/>
          <w:b/>
          <w:bCs/>
          <w:color w:val="0D0D0D" w:themeColor="text1" w:themeTint="F2"/>
        </w:rPr>
        <w:t>Table 1</w:t>
      </w:r>
      <w:r w:rsidR="00212885">
        <w:rPr>
          <w:rFonts w:ascii="Times New Roman" w:hAnsi="Times New Roman" w:cs="Times New Roman"/>
          <w:b/>
          <w:bCs/>
          <w:color w:val="0D0D0D" w:themeColor="text1" w:themeTint="F2"/>
        </w:rPr>
        <w:t xml:space="preserve">. </w:t>
      </w:r>
      <w:r w:rsidRPr="00404D6E">
        <w:rPr>
          <w:rFonts w:ascii="Times New Roman" w:hAnsi="Times New Roman" w:cs="Times New Roman"/>
          <w:color w:val="0D0D0D" w:themeColor="text1" w:themeTint="F2"/>
        </w:rPr>
        <w:t>Physicochemical Properties of Water Samples from Oguta Lake and Njaba River</w:t>
      </w:r>
    </w:p>
    <w:tbl>
      <w:tblPr>
        <w:tblStyle w:val="PlainTable2"/>
        <w:tblW w:w="0" w:type="auto"/>
        <w:tblLook w:val="06A0" w:firstRow="1" w:lastRow="0" w:firstColumn="1" w:lastColumn="0" w:noHBand="1" w:noVBand="1"/>
      </w:tblPr>
      <w:tblGrid>
        <w:gridCol w:w="2956"/>
        <w:gridCol w:w="2294"/>
        <w:gridCol w:w="2320"/>
        <w:gridCol w:w="1672"/>
      </w:tblGrid>
      <w:tr w:rsidR="00C75541" w:rsidRPr="00404D6E" w14:paraId="5E6C7182" w14:textId="77777777" w:rsidTr="008911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E98C31" w14:textId="77777777" w:rsidR="004C768A" w:rsidRPr="00404D6E" w:rsidRDefault="004C768A" w:rsidP="00C04EC3">
            <w:pPr>
              <w:spacing w:after="160"/>
              <w:jc w:val="center"/>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Parameter</w:t>
            </w:r>
          </w:p>
        </w:tc>
        <w:tc>
          <w:tcPr>
            <w:tcW w:w="0" w:type="auto"/>
            <w:hideMark/>
          </w:tcPr>
          <w:p w14:paraId="61B43400" w14:textId="77777777" w:rsidR="004C768A" w:rsidRPr="00404D6E" w:rsidRDefault="004C768A" w:rsidP="00C04EC3">
            <w:pPr>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Oguta Lake (Mean ± SD)</w:t>
            </w:r>
          </w:p>
        </w:tc>
        <w:tc>
          <w:tcPr>
            <w:tcW w:w="0" w:type="auto"/>
            <w:hideMark/>
          </w:tcPr>
          <w:p w14:paraId="593BDC1C" w14:textId="77777777" w:rsidR="004C768A" w:rsidRPr="00404D6E" w:rsidRDefault="004C768A" w:rsidP="00C04EC3">
            <w:pPr>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Njaba River (Mean ± SD)</w:t>
            </w:r>
          </w:p>
        </w:tc>
        <w:tc>
          <w:tcPr>
            <w:tcW w:w="0" w:type="auto"/>
            <w:hideMark/>
          </w:tcPr>
          <w:p w14:paraId="6877FE87" w14:textId="77777777" w:rsidR="004C768A" w:rsidRPr="00404D6E" w:rsidRDefault="004C768A" w:rsidP="00C04EC3">
            <w:pPr>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WHO Standard</w:t>
            </w:r>
          </w:p>
        </w:tc>
      </w:tr>
      <w:tr w:rsidR="00C75541" w:rsidRPr="00404D6E" w14:paraId="6C60CA30" w14:textId="77777777" w:rsidTr="008911A4">
        <w:tc>
          <w:tcPr>
            <w:cnfStyle w:val="001000000000" w:firstRow="0" w:lastRow="0" w:firstColumn="1" w:lastColumn="0" w:oddVBand="0" w:evenVBand="0" w:oddHBand="0" w:evenHBand="0" w:firstRowFirstColumn="0" w:firstRowLastColumn="0" w:lastRowFirstColumn="0" w:lastRowLastColumn="0"/>
            <w:tcW w:w="0" w:type="auto"/>
            <w:hideMark/>
          </w:tcPr>
          <w:p w14:paraId="014B7AB9" w14:textId="77777777" w:rsidR="004C768A" w:rsidRPr="00404D6E" w:rsidRDefault="004C768A" w:rsidP="004C768A">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pH</w:t>
            </w:r>
          </w:p>
        </w:tc>
        <w:tc>
          <w:tcPr>
            <w:tcW w:w="0" w:type="auto"/>
            <w:hideMark/>
          </w:tcPr>
          <w:p w14:paraId="47AFAD4D" w14:textId="77777777" w:rsidR="004C768A" w:rsidRPr="00404D6E" w:rsidRDefault="004C768A" w:rsidP="00C04EC3">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6.84 ± 0.15</w:t>
            </w:r>
          </w:p>
        </w:tc>
        <w:tc>
          <w:tcPr>
            <w:tcW w:w="0" w:type="auto"/>
            <w:hideMark/>
          </w:tcPr>
          <w:p w14:paraId="39982F40" w14:textId="77777777" w:rsidR="004C768A" w:rsidRPr="00404D6E" w:rsidRDefault="004C768A" w:rsidP="00C04EC3">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6.49 ± 0.23</w:t>
            </w:r>
          </w:p>
        </w:tc>
        <w:tc>
          <w:tcPr>
            <w:tcW w:w="0" w:type="auto"/>
            <w:hideMark/>
          </w:tcPr>
          <w:p w14:paraId="1E598C1C" w14:textId="77777777" w:rsidR="004C768A" w:rsidRPr="00404D6E" w:rsidRDefault="004C768A" w:rsidP="00C04EC3">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6.5–8.5</w:t>
            </w:r>
          </w:p>
        </w:tc>
      </w:tr>
      <w:tr w:rsidR="00C75541" w:rsidRPr="00404D6E" w14:paraId="4382EF05" w14:textId="77777777" w:rsidTr="008911A4">
        <w:tc>
          <w:tcPr>
            <w:cnfStyle w:val="001000000000" w:firstRow="0" w:lastRow="0" w:firstColumn="1" w:lastColumn="0" w:oddVBand="0" w:evenVBand="0" w:oddHBand="0" w:evenHBand="0" w:firstRowFirstColumn="0" w:firstRowLastColumn="0" w:lastRowFirstColumn="0" w:lastRowLastColumn="0"/>
            <w:tcW w:w="0" w:type="auto"/>
            <w:hideMark/>
          </w:tcPr>
          <w:p w14:paraId="5839803B" w14:textId="77777777" w:rsidR="004C768A" w:rsidRPr="00404D6E" w:rsidRDefault="004C768A" w:rsidP="004C768A">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Temperature (°C)</w:t>
            </w:r>
          </w:p>
        </w:tc>
        <w:tc>
          <w:tcPr>
            <w:tcW w:w="0" w:type="auto"/>
            <w:hideMark/>
          </w:tcPr>
          <w:p w14:paraId="30F94DBF" w14:textId="77777777" w:rsidR="004C768A" w:rsidRPr="00404D6E" w:rsidRDefault="004C768A" w:rsidP="00C04EC3">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27.3 ± 0.4</w:t>
            </w:r>
          </w:p>
        </w:tc>
        <w:tc>
          <w:tcPr>
            <w:tcW w:w="0" w:type="auto"/>
            <w:hideMark/>
          </w:tcPr>
          <w:p w14:paraId="67286AF5" w14:textId="77777777" w:rsidR="004C768A" w:rsidRPr="00404D6E" w:rsidRDefault="004C768A" w:rsidP="00C04EC3">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28.1 ± 0.6</w:t>
            </w:r>
          </w:p>
        </w:tc>
        <w:tc>
          <w:tcPr>
            <w:tcW w:w="0" w:type="auto"/>
            <w:hideMark/>
          </w:tcPr>
          <w:p w14:paraId="149C194A" w14:textId="77777777" w:rsidR="004C768A" w:rsidRPr="00404D6E" w:rsidRDefault="004C768A" w:rsidP="00C04EC3">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w:t>
            </w:r>
          </w:p>
        </w:tc>
      </w:tr>
      <w:tr w:rsidR="00C75541" w:rsidRPr="00404D6E" w14:paraId="4193CC7F" w14:textId="77777777" w:rsidTr="008911A4">
        <w:tc>
          <w:tcPr>
            <w:cnfStyle w:val="001000000000" w:firstRow="0" w:lastRow="0" w:firstColumn="1" w:lastColumn="0" w:oddVBand="0" w:evenVBand="0" w:oddHBand="0" w:evenHBand="0" w:firstRowFirstColumn="0" w:firstRowLastColumn="0" w:lastRowFirstColumn="0" w:lastRowLastColumn="0"/>
            <w:tcW w:w="0" w:type="auto"/>
            <w:hideMark/>
          </w:tcPr>
          <w:p w14:paraId="11186311" w14:textId="77777777" w:rsidR="004C768A" w:rsidRPr="00404D6E" w:rsidRDefault="004C768A" w:rsidP="004C768A">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Electrical Conductivity (µS/cm)</w:t>
            </w:r>
          </w:p>
        </w:tc>
        <w:tc>
          <w:tcPr>
            <w:tcW w:w="0" w:type="auto"/>
            <w:hideMark/>
          </w:tcPr>
          <w:p w14:paraId="6F9D4B41" w14:textId="77777777" w:rsidR="004C768A" w:rsidRPr="00404D6E" w:rsidRDefault="004C768A" w:rsidP="00C04EC3">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201.2 ± 15.6</w:t>
            </w:r>
          </w:p>
        </w:tc>
        <w:tc>
          <w:tcPr>
            <w:tcW w:w="0" w:type="auto"/>
            <w:hideMark/>
          </w:tcPr>
          <w:p w14:paraId="005CF2C8" w14:textId="77777777" w:rsidR="004C768A" w:rsidRPr="00404D6E" w:rsidRDefault="004C768A" w:rsidP="00C04EC3">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323.5 ± 18.9</w:t>
            </w:r>
          </w:p>
        </w:tc>
        <w:tc>
          <w:tcPr>
            <w:tcW w:w="0" w:type="auto"/>
            <w:hideMark/>
          </w:tcPr>
          <w:p w14:paraId="08DA8102" w14:textId="77777777" w:rsidR="004C768A" w:rsidRPr="00404D6E" w:rsidRDefault="004C768A" w:rsidP="00C04EC3">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1000</w:t>
            </w:r>
          </w:p>
        </w:tc>
      </w:tr>
      <w:tr w:rsidR="00C75541" w:rsidRPr="00404D6E" w14:paraId="4C8953BB" w14:textId="77777777" w:rsidTr="008911A4">
        <w:tc>
          <w:tcPr>
            <w:cnfStyle w:val="001000000000" w:firstRow="0" w:lastRow="0" w:firstColumn="1" w:lastColumn="0" w:oddVBand="0" w:evenVBand="0" w:oddHBand="0" w:evenHBand="0" w:firstRowFirstColumn="0" w:firstRowLastColumn="0" w:lastRowFirstColumn="0" w:lastRowLastColumn="0"/>
            <w:tcW w:w="0" w:type="auto"/>
            <w:hideMark/>
          </w:tcPr>
          <w:p w14:paraId="5E18F0C7" w14:textId="77777777" w:rsidR="004C768A" w:rsidRPr="00404D6E" w:rsidRDefault="004C768A" w:rsidP="004C768A">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Dissolved Oxygen (mg/L)</w:t>
            </w:r>
          </w:p>
        </w:tc>
        <w:tc>
          <w:tcPr>
            <w:tcW w:w="0" w:type="auto"/>
            <w:hideMark/>
          </w:tcPr>
          <w:p w14:paraId="7DD9EC3D" w14:textId="77777777" w:rsidR="004C768A" w:rsidRPr="00404D6E" w:rsidRDefault="004C768A" w:rsidP="00C04EC3">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6.12 ± 0.28</w:t>
            </w:r>
          </w:p>
        </w:tc>
        <w:tc>
          <w:tcPr>
            <w:tcW w:w="0" w:type="auto"/>
            <w:hideMark/>
          </w:tcPr>
          <w:p w14:paraId="2C48DA38" w14:textId="77777777" w:rsidR="004C768A" w:rsidRPr="00404D6E" w:rsidRDefault="004C768A" w:rsidP="00C04EC3">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4.91 ± 0.32</w:t>
            </w:r>
          </w:p>
        </w:tc>
        <w:tc>
          <w:tcPr>
            <w:tcW w:w="0" w:type="auto"/>
            <w:hideMark/>
          </w:tcPr>
          <w:p w14:paraId="01E86C24" w14:textId="77777777" w:rsidR="004C768A" w:rsidRPr="00404D6E" w:rsidRDefault="004C768A" w:rsidP="00C04EC3">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&gt;5.0</w:t>
            </w:r>
          </w:p>
        </w:tc>
      </w:tr>
      <w:tr w:rsidR="00C75541" w:rsidRPr="00404D6E" w14:paraId="713AD2BE" w14:textId="77777777" w:rsidTr="008911A4">
        <w:tc>
          <w:tcPr>
            <w:cnfStyle w:val="001000000000" w:firstRow="0" w:lastRow="0" w:firstColumn="1" w:lastColumn="0" w:oddVBand="0" w:evenVBand="0" w:oddHBand="0" w:evenHBand="0" w:firstRowFirstColumn="0" w:firstRowLastColumn="0" w:lastRowFirstColumn="0" w:lastRowLastColumn="0"/>
            <w:tcW w:w="0" w:type="auto"/>
            <w:hideMark/>
          </w:tcPr>
          <w:p w14:paraId="4B5DFEAF" w14:textId="77777777" w:rsidR="004C768A" w:rsidRPr="00404D6E" w:rsidRDefault="004C768A" w:rsidP="004C768A">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lastRenderedPageBreak/>
              <w:t>Salinity (ppt)</w:t>
            </w:r>
          </w:p>
        </w:tc>
        <w:tc>
          <w:tcPr>
            <w:tcW w:w="0" w:type="auto"/>
            <w:hideMark/>
          </w:tcPr>
          <w:p w14:paraId="70005092" w14:textId="77777777" w:rsidR="004C768A" w:rsidRPr="00404D6E" w:rsidRDefault="004C768A" w:rsidP="00C04EC3">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0.13 ± 0.01</w:t>
            </w:r>
          </w:p>
        </w:tc>
        <w:tc>
          <w:tcPr>
            <w:tcW w:w="0" w:type="auto"/>
            <w:hideMark/>
          </w:tcPr>
          <w:p w14:paraId="571FD870" w14:textId="77777777" w:rsidR="004C768A" w:rsidRPr="00404D6E" w:rsidRDefault="004C768A" w:rsidP="00C04EC3">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0.17 ± 0.02</w:t>
            </w:r>
          </w:p>
        </w:tc>
        <w:tc>
          <w:tcPr>
            <w:tcW w:w="0" w:type="auto"/>
            <w:hideMark/>
          </w:tcPr>
          <w:p w14:paraId="7BBF3400" w14:textId="77777777" w:rsidR="004C768A" w:rsidRPr="00404D6E" w:rsidRDefault="004C768A" w:rsidP="00C04EC3">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w:t>
            </w:r>
          </w:p>
        </w:tc>
      </w:tr>
    </w:tbl>
    <w:p w14:paraId="78B3AED8" w14:textId="4643F346" w:rsidR="004C768A" w:rsidRPr="00404D6E" w:rsidRDefault="004C768A" w:rsidP="004C768A">
      <w:pPr>
        <w:jc w:val="both"/>
        <w:rPr>
          <w:rFonts w:ascii="Times New Roman" w:hAnsi="Times New Roman" w:cs="Times New Roman"/>
          <w:color w:val="0D0D0D" w:themeColor="text1" w:themeTint="F2"/>
        </w:rPr>
      </w:pPr>
    </w:p>
    <w:p w14:paraId="53E05F1F" w14:textId="77945F40" w:rsidR="00A65715" w:rsidRPr="00404D6E" w:rsidRDefault="00A65715" w:rsidP="004C768A">
      <w:pPr>
        <w:jc w:val="both"/>
        <w:rPr>
          <w:rFonts w:ascii="Times New Roman" w:hAnsi="Times New Roman" w:cs="Times New Roman"/>
          <w:color w:val="0D0D0D" w:themeColor="text1" w:themeTint="F2"/>
        </w:rPr>
      </w:pPr>
      <w:r w:rsidRPr="00404D6E">
        <w:rPr>
          <w:b/>
          <w:bCs/>
          <w:noProof/>
          <w:lang w:val="en-IN" w:eastAsia="en-IN"/>
        </w:rPr>
        <w:drawing>
          <wp:anchor distT="0" distB="0" distL="114300" distR="114300" simplePos="0" relativeHeight="251660288" behindDoc="0" locked="0" layoutInCell="1" allowOverlap="1" wp14:anchorId="4E86C9F9" wp14:editId="794B5CD8">
            <wp:simplePos x="0" y="0"/>
            <wp:positionH relativeFrom="column">
              <wp:posOffset>0</wp:posOffset>
            </wp:positionH>
            <wp:positionV relativeFrom="paragraph">
              <wp:posOffset>-2595</wp:posOffset>
            </wp:positionV>
            <wp:extent cx="5731510" cy="3288030"/>
            <wp:effectExtent l="0" t="0" r="0" b="0"/>
            <wp:wrapTopAndBottom/>
            <wp:docPr id="864960541"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30A301D-5BD0-3691-1DCC-169891E7B1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Pr="00404D6E">
        <w:rPr>
          <w:rFonts w:ascii="Times New Roman" w:hAnsi="Times New Roman" w:cs="Times New Roman"/>
          <w:b/>
          <w:bCs/>
          <w:color w:val="0D0D0D" w:themeColor="text1" w:themeTint="F2"/>
        </w:rPr>
        <w:t xml:space="preserve">Figure </w:t>
      </w:r>
      <w:r w:rsidR="00212885">
        <w:rPr>
          <w:rFonts w:ascii="Times New Roman" w:hAnsi="Times New Roman" w:cs="Times New Roman"/>
          <w:b/>
          <w:bCs/>
          <w:color w:val="0D0D0D" w:themeColor="text1" w:themeTint="F2"/>
        </w:rPr>
        <w:t xml:space="preserve">2. </w:t>
      </w:r>
      <w:r w:rsidRPr="00404D6E">
        <w:rPr>
          <w:rFonts w:ascii="Times New Roman" w:hAnsi="Times New Roman" w:cs="Times New Roman"/>
          <w:color w:val="0D0D0D" w:themeColor="text1" w:themeTint="F2"/>
        </w:rPr>
        <w:t>Comparison of Physicochemical Properties in Oguta Lake and Njaba River</w:t>
      </w:r>
    </w:p>
    <w:p w14:paraId="20477CFF" w14:textId="1AD78BE5" w:rsidR="004C768A" w:rsidRPr="00404D6E" w:rsidRDefault="004C768A" w:rsidP="004C768A">
      <w:pPr>
        <w:jc w:val="both"/>
        <w:rPr>
          <w:rFonts w:ascii="Times New Roman" w:hAnsi="Times New Roman" w:cs="Times New Roman"/>
          <w:b/>
          <w:bCs/>
          <w:color w:val="0D0D0D" w:themeColor="text1" w:themeTint="F2"/>
        </w:rPr>
      </w:pPr>
      <w:r w:rsidRPr="00404D6E">
        <w:rPr>
          <w:rFonts w:ascii="Times New Roman" w:hAnsi="Times New Roman" w:cs="Times New Roman"/>
          <w:b/>
          <w:bCs/>
          <w:color w:val="0D0D0D" w:themeColor="text1" w:themeTint="F2"/>
        </w:rPr>
        <w:t>Table 2</w:t>
      </w:r>
      <w:r w:rsidR="00212885">
        <w:rPr>
          <w:rFonts w:ascii="Times New Roman" w:hAnsi="Times New Roman" w:cs="Times New Roman"/>
          <w:b/>
          <w:bCs/>
          <w:color w:val="0D0D0D" w:themeColor="text1" w:themeTint="F2"/>
        </w:rPr>
        <w:t>.</w:t>
      </w:r>
      <w:r w:rsidRPr="00404D6E">
        <w:rPr>
          <w:rFonts w:ascii="Times New Roman" w:hAnsi="Times New Roman" w:cs="Times New Roman"/>
          <w:b/>
          <w:bCs/>
          <w:color w:val="0D0D0D" w:themeColor="text1" w:themeTint="F2"/>
        </w:rPr>
        <w:t xml:space="preserve"> </w:t>
      </w:r>
      <w:r w:rsidRPr="00404D6E">
        <w:rPr>
          <w:rFonts w:ascii="Times New Roman" w:hAnsi="Times New Roman" w:cs="Times New Roman"/>
          <w:color w:val="0D0D0D" w:themeColor="text1" w:themeTint="F2"/>
        </w:rPr>
        <w:t>Mean Concentrations of TPHs and ΣPAHs in Water and Sediment Samples</w:t>
      </w:r>
    </w:p>
    <w:tbl>
      <w:tblPr>
        <w:tblStyle w:val="PlainTable2"/>
        <w:tblW w:w="0" w:type="auto"/>
        <w:tblLook w:val="06A0" w:firstRow="1" w:lastRow="0" w:firstColumn="1" w:lastColumn="0" w:noHBand="1" w:noVBand="1"/>
      </w:tblPr>
      <w:tblGrid>
        <w:gridCol w:w="1163"/>
        <w:gridCol w:w="1501"/>
        <w:gridCol w:w="1495"/>
        <w:gridCol w:w="1824"/>
        <w:gridCol w:w="1819"/>
        <w:gridCol w:w="1440"/>
      </w:tblGrid>
      <w:tr w:rsidR="00C75541" w:rsidRPr="00404D6E" w14:paraId="59AD6EB5" w14:textId="77777777" w:rsidTr="008911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930518" w14:textId="77777777" w:rsidR="004C768A" w:rsidRPr="00404D6E" w:rsidRDefault="004C768A" w:rsidP="00C04EC3">
            <w:pPr>
              <w:spacing w:after="160" w:line="278" w:lineRule="auto"/>
              <w:jc w:val="center"/>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Pollutant</w:t>
            </w:r>
          </w:p>
        </w:tc>
        <w:tc>
          <w:tcPr>
            <w:tcW w:w="0" w:type="auto"/>
            <w:hideMark/>
          </w:tcPr>
          <w:p w14:paraId="30376E58" w14:textId="77777777" w:rsidR="004C768A" w:rsidRPr="00404D6E" w:rsidRDefault="004C768A" w:rsidP="00C04EC3">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Oguta Water (mg/L)</w:t>
            </w:r>
          </w:p>
        </w:tc>
        <w:tc>
          <w:tcPr>
            <w:tcW w:w="0" w:type="auto"/>
            <w:hideMark/>
          </w:tcPr>
          <w:p w14:paraId="5990ECED" w14:textId="77777777" w:rsidR="004C768A" w:rsidRPr="00404D6E" w:rsidRDefault="004C768A" w:rsidP="00C04EC3">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Njaba Water (mg/L)</w:t>
            </w:r>
          </w:p>
        </w:tc>
        <w:tc>
          <w:tcPr>
            <w:tcW w:w="0" w:type="auto"/>
            <w:hideMark/>
          </w:tcPr>
          <w:p w14:paraId="27DE1A77" w14:textId="77777777" w:rsidR="004C768A" w:rsidRPr="00404D6E" w:rsidRDefault="004C768A" w:rsidP="00C04EC3">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Oguta Sediment (mg/kg)</w:t>
            </w:r>
          </w:p>
        </w:tc>
        <w:tc>
          <w:tcPr>
            <w:tcW w:w="0" w:type="auto"/>
            <w:hideMark/>
          </w:tcPr>
          <w:p w14:paraId="0EA9FCF5" w14:textId="77777777" w:rsidR="004C768A" w:rsidRPr="00404D6E" w:rsidRDefault="004C768A" w:rsidP="00C04EC3">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Njaba Sediment (mg/kg)</w:t>
            </w:r>
          </w:p>
        </w:tc>
        <w:tc>
          <w:tcPr>
            <w:tcW w:w="0" w:type="auto"/>
            <w:hideMark/>
          </w:tcPr>
          <w:p w14:paraId="2A59FF8C" w14:textId="77777777" w:rsidR="004C768A" w:rsidRPr="00404D6E" w:rsidRDefault="004C768A" w:rsidP="00C04EC3">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NESREA Limit</w:t>
            </w:r>
          </w:p>
        </w:tc>
      </w:tr>
      <w:tr w:rsidR="00C75541" w:rsidRPr="00404D6E" w14:paraId="1C2F54E4" w14:textId="77777777" w:rsidTr="008911A4">
        <w:tc>
          <w:tcPr>
            <w:cnfStyle w:val="001000000000" w:firstRow="0" w:lastRow="0" w:firstColumn="1" w:lastColumn="0" w:oddVBand="0" w:evenVBand="0" w:oddHBand="0" w:evenHBand="0" w:firstRowFirstColumn="0" w:firstRowLastColumn="0" w:lastRowFirstColumn="0" w:lastRowLastColumn="0"/>
            <w:tcW w:w="0" w:type="auto"/>
            <w:hideMark/>
          </w:tcPr>
          <w:p w14:paraId="6D7CEF37" w14:textId="77777777" w:rsidR="004C768A" w:rsidRPr="00404D6E" w:rsidRDefault="004C768A" w:rsidP="004C768A">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TPHs</w:t>
            </w:r>
          </w:p>
        </w:tc>
        <w:tc>
          <w:tcPr>
            <w:tcW w:w="0" w:type="auto"/>
            <w:hideMark/>
          </w:tcPr>
          <w:p w14:paraId="6CF20C89" w14:textId="77777777" w:rsidR="004C768A" w:rsidRPr="00404D6E" w:rsidRDefault="004C768A" w:rsidP="00C04EC3">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1.72 ± 0.11</w:t>
            </w:r>
          </w:p>
        </w:tc>
        <w:tc>
          <w:tcPr>
            <w:tcW w:w="0" w:type="auto"/>
            <w:hideMark/>
          </w:tcPr>
          <w:p w14:paraId="1CD7D1D7" w14:textId="77777777" w:rsidR="004C768A" w:rsidRPr="00404D6E" w:rsidRDefault="004C768A" w:rsidP="00C04EC3">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2.68 ± 0.19</w:t>
            </w:r>
          </w:p>
        </w:tc>
        <w:tc>
          <w:tcPr>
            <w:tcW w:w="0" w:type="auto"/>
            <w:hideMark/>
          </w:tcPr>
          <w:p w14:paraId="1E99F881" w14:textId="77777777" w:rsidR="004C768A" w:rsidRPr="00404D6E" w:rsidRDefault="004C768A" w:rsidP="00C04EC3">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12.51 ± 1.44</w:t>
            </w:r>
          </w:p>
        </w:tc>
        <w:tc>
          <w:tcPr>
            <w:tcW w:w="0" w:type="auto"/>
            <w:hideMark/>
          </w:tcPr>
          <w:p w14:paraId="13DF26B6" w14:textId="77777777" w:rsidR="004C768A" w:rsidRPr="00404D6E" w:rsidRDefault="004C768A" w:rsidP="00C04EC3">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18.77 ± 2.03</w:t>
            </w:r>
          </w:p>
        </w:tc>
        <w:tc>
          <w:tcPr>
            <w:tcW w:w="0" w:type="auto"/>
            <w:hideMark/>
          </w:tcPr>
          <w:p w14:paraId="72DCD048" w14:textId="77777777" w:rsidR="004C768A" w:rsidRPr="00404D6E" w:rsidRDefault="004C768A" w:rsidP="00C04EC3">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0.5 (water)</w:t>
            </w:r>
          </w:p>
        </w:tc>
      </w:tr>
      <w:tr w:rsidR="00C75541" w:rsidRPr="00404D6E" w14:paraId="3F690BBF" w14:textId="77777777" w:rsidTr="008911A4">
        <w:tc>
          <w:tcPr>
            <w:cnfStyle w:val="001000000000" w:firstRow="0" w:lastRow="0" w:firstColumn="1" w:lastColumn="0" w:oddVBand="0" w:evenVBand="0" w:oddHBand="0" w:evenHBand="0" w:firstRowFirstColumn="0" w:firstRowLastColumn="0" w:lastRowFirstColumn="0" w:lastRowLastColumn="0"/>
            <w:tcW w:w="0" w:type="auto"/>
            <w:hideMark/>
          </w:tcPr>
          <w:p w14:paraId="5ED876AF" w14:textId="77777777" w:rsidR="004C768A" w:rsidRPr="00404D6E" w:rsidRDefault="004C768A" w:rsidP="004C768A">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ΣPAHs</w:t>
            </w:r>
          </w:p>
        </w:tc>
        <w:tc>
          <w:tcPr>
            <w:tcW w:w="0" w:type="auto"/>
            <w:hideMark/>
          </w:tcPr>
          <w:p w14:paraId="314DF8D5" w14:textId="77777777" w:rsidR="004C768A" w:rsidRPr="00404D6E" w:rsidRDefault="004C768A" w:rsidP="00C04EC3">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0.63 ± 0.05</w:t>
            </w:r>
          </w:p>
        </w:tc>
        <w:tc>
          <w:tcPr>
            <w:tcW w:w="0" w:type="auto"/>
            <w:hideMark/>
          </w:tcPr>
          <w:p w14:paraId="174FD461" w14:textId="77777777" w:rsidR="004C768A" w:rsidRPr="00404D6E" w:rsidRDefault="004C768A" w:rsidP="00C04EC3">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1.08 ± 0.07</w:t>
            </w:r>
          </w:p>
        </w:tc>
        <w:tc>
          <w:tcPr>
            <w:tcW w:w="0" w:type="auto"/>
            <w:hideMark/>
          </w:tcPr>
          <w:p w14:paraId="6C934E46" w14:textId="77777777" w:rsidR="004C768A" w:rsidRPr="00404D6E" w:rsidRDefault="004C768A" w:rsidP="00C04EC3">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7.45 ± 0.61</w:t>
            </w:r>
          </w:p>
        </w:tc>
        <w:tc>
          <w:tcPr>
            <w:tcW w:w="0" w:type="auto"/>
            <w:hideMark/>
          </w:tcPr>
          <w:p w14:paraId="6A2EC6BE" w14:textId="77777777" w:rsidR="004C768A" w:rsidRPr="00404D6E" w:rsidRDefault="004C768A" w:rsidP="00C04EC3">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13.92 ± 1.12</w:t>
            </w:r>
          </w:p>
        </w:tc>
        <w:tc>
          <w:tcPr>
            <w:tcW w:w="0" w:type="auto"/>
            <w:hideMark/>
          </w:tcPr>
          <w:p w14:paraId="1F8B55D8" w14:textId="77777777" w:rsidR="004C768A" w:rsidRPr="00404D6E" w:rsidRDefault="004C768A" w:rsidP="00C04EC3">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0.2 (water)</w:t>
            </w:r>
          </w:p>
        </w:tc>
      </w:tr>
    </w:tbl>
    <w:p w14:paraId="3BF474C8" w14:textId="3A6BD82B" w:rsidR="004C768A" w:rsidRPr="00404D6E" w:rsidRDefault="004C768A" w:rsidP="004C768A">
      <w:pPr>
        <w:jc w:val="both"/>
        <w:rPr>
          <w:rFonts w:ascii="Times New Roman" w:hAnsi="Times New Roman" w:cs="Times New Roman"/>
          <w:color w:val="0D0D0D" w:themeColor="text1" w:themeTint="F2"/>
        </w:rPr>
      </w:pPr>
    </w:p>
    <w:p w14:paraId="2C30E0B1" w14:textId="0A61DE11" w:rsidR="004C768A" w:rsidRPr="00404D6E" w:rsidRDefault="004C768A" w:rsidP="004C768A">
      <w:pPr>
        <w:jc w:val="both"/>
        <w:rPr>
          <w:rFonts w:ascii="Times New Roman" w:hAnsi="Times New Roman" w:cs="Times New Roman"/>
          <w:color w:val="0D0D0D" w:themeColor="text1" w:themeTint="F2"/>
        </w:rPr>
      </w:pPr>
      <w:r w:rsidRPr="00404D6E">
        <w:rPr>
          <w:rFonts w:ascii="Times New Roman" w:hAnsi="Times New Roman" w:cs="Times New Roman"/>
          <w:b/>
          <w:bCs/>
          <w:color w:val="0D0D0D" w:themeColor="text1" w:themeTint="F2"/>
        </w:rPr>
        <w:t xml:space="preserve">Table </w:t>
      </w:r>
      <w:r w:rsidR="00DC1634">
        <w:rPr>
          <w:rFonts w:ascii="Times New Roman" w:hAnsi="Times New Roman" w:cs="Times New Roman"/>
          <w:b/>
          <w:bCs/>
          <w:color w:val="0D0D0D" w:themeColor="text1" w:themeTint="F2"/>
        </w:rPr>
        <w:t>3.</w:t>
      </w:r>
      <w:r w:rsidRPr="00404D6E">
        <w:rPr>
          <w:rFonts w:ascii="Times New Roman" w:hAnsi="Times New Roman" w:cs="Times New Roman"/>
          <w:b/>
          <w:bCs/>
          <w:color w:val="0D0D0D" w:themeColor="text1" w:themeTint="F2"/>
        </w:rPr>
        <w:t xml:space="preserve"> </w:t>
      </w:r>
      <w:r w:rsidRPr="00404D6E">
        <w:rPr>
          <w:rFonts w:ascii="Times New Roman" w:hAnsi="Times New Roman" w:cs="Times New Roman"/>
          <w:color w:val="0D0D0D" w:themeColor="text1" w:themeTint="F2"/>
        </w:rPr>
        <w:t>Concentrations of Heavy Metals in Water and Sediment Samples</w:t>
      </w:r>
    </w:p>
    <w:tbl>
      <w:tblPr>
        <w:tblStyle w:val="PlainTable2"/>
        <w:tblW w:w="9534" w:type="dxa"/>
        <w:tblLook w:val="06A0" w:firstRow="1" w:lastRow="0" w:firstColumn="1" w:lastColumn="0" w:noHBand="1" w:noVBand="1"/>
      </w:tblPr>
      <w:tblGrid>
        <w:gridCol w:w="1545"/>
        <w:gridCol w:w="1478"/>
        <w:gridCol w:w="1473"/>
        <w:gridCol w:w="1799"/>
        <w:gridCol w:w="1794"/>
        <w:gridCol w:w="1445"/>
      </w:tblGrid>
      <w:tr w:rsidR="00C75541" w:rsidRPr="00404D6E" w14:paraId="59B40633" w14:textId="77777777" w:rsidTr="008911A4">
        <w:trPr>
          <w:cnfStyle w:val="100000000000" w:firstRow="1" w:lastRow="0" w:firstColumn="0" w:lastColumn="0" w:oddVBand="0" w:evenVBand="0" w:oddHBand="0"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0" w:type="auto"/>
            <w:hideMark/>
          </w:tcPr>
          <w:p w14:paraId="6A28BD71" w14:textId="77777777" w:rsidR="004C768A" w:rsidRPr="00404D6E" w:rsidRDefault="004C768A" w:rsidP="004C768A">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Metal</w:t>
            </w:r>
          </w:p>
        </w:tc>
        <w:tc>
          <w:tcPr>
            <w:tcW w:w="0" w:type="auto"/>
            <w:hideMark/>
          </w:tcPr>
          <w:p w14:paraId="37F87B68" w14:textId="77777777" w:rsidR="004C768A" w:rsidRPr="00404D6E" w:rsidRDefault="004C768A" w:rsidP="004C768A">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Oguta Water (mg/L)</w:t>
            </w:r>
          </w:p>
        </w:tc>
        <w:tc>
          <w:tcPr>
            <w:tcW w:w="0" w:type="auto"/>
            <w:hideMark/>
          </w:tcPr>
          <w:p w14:paraId="52A31913" w14:textId="77777777" w:rsidR="004C768A" w:rsidRPr="00404D6E" w:rsidRDefault="004C768A" w:rsidP="004C768A">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Njaba Water (mg/L)</w:t>
            </w:r>
          </w:p>
        </w:tc>
        <w:tc>
          <w:tcPr>
            <w:tcW w:w="0" w:type="auto"/>
            <w:hideMark/>
          </w:tcPr>
          <w:p w14:paraId="5605D501" w14:textId="77777777" w:rsidR="004C768A" w:rsidRPr="00404D6E" w:rsidRDefault="004C768A" w:rsidP="004C768A">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Oguta Sediment (mg/kg)</w:t>
            </w:r>
          </w:p>
        </w:tc>
        <w:tc>
          <w:tcPr>
            <w:tcW w:w="0" w:type="auto"/>
            <w:hideMark/>
          </w:tcPr>
          <w:p w14:paraId="38C95ECE" w14:textId="77777777" w:rsidR="004C768A" w:rsidRPr="00404D6E" w:rsidRDefault="004C768A" w:rsidP="004C768A">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Njaba Sediment (mg/kg)</w:t>
            </w:r>
          </w:p>
        </w:tc>
        <w:tc>
          <w:tcPr>
            <w:tcW w:w="0" w:type="auto"/>
            <w:hideMark/>
          </w:tcPr>
          <w:p w14:paraId="2046DDB4" w14:textId="77777777" w:rsidR="004C768A" w:rsidRPr="00404D6E" w:rsidRDefault="004C768A" w:rsidP="004C768A">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WHO Limit (mg/L)</w:t>
            </w:r>
          </w:p>
        </w:tc>
      </w:tr>
      <w:tr w:rsidR="00C75541" w:rsidRPr="00404D6E" w14:paraId="26EC1BDB" w14:textId="77777777" w:rsidTr="008911A4">
        <w:trPr>
          <w:trHeight w:val="829"/>
        </w:trPr>
        <w:tc>
          <w:tcPr>
            <w:cnfStyle w:val="001000000000" w:firstRow="0" w:lastRow="0" w:firstColumn="1" w:lastColumn="0" w:oddVBand="0" w:evenVBand="0" w:oddHBand="0" w:evenHBand="0" w:firstRowFirstColumn="0" w:firstRowLastColumn="0" w:lastRowFirstColumn="0" w:lastRowLastColumn="0"/>
            <w:tcW w:w="0" w:type="auto"/>
            <w:hideMark/>
          </w:tcPr>
          <w:p w14:paraId="6A5EBB20" w14:textId="77777777" w:rsidR="004C768A" w:rsidRPr="00404D6E" w:rsidRDefault="004C768A" w:rsidP="004C768A">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Lead (Pb)</w:t>
            </w:r>
          </w:p>
        </w:tc>
        <w:tc>
          <w:tcPr>
            <w:tcW w:w="0" w:type="auto"/>
            <w:hideMark/>
          </w:tcPr>
          <w:p w14:paraId="4F3DAA58"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0.092 ± 0.008</w:t>
            </w:r>
          </w:p>
        </w:tc>
        <w:tc>
          <w:tcPr>
            <w:tcW w:w="0" w:type="auto"/>
            <w:hideMark/>
          </w:tcPr>
          <w:p w14:paraId="0BBCC525"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0.138 ± 0.012</w:t>
            </w:r>
          </w:p>
        </w:tc>
        <w:tc>
          <w:tcPr>
            <w:tcW w:w="0" w:type="auto"/>
            <w:hideMark/>
          </w:tcPr>
          <w:p w14:paraId="63E3C161"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17.42 ± 1.19</w:t>
            </w:r>
          </w:p>
        </w:tc>
        <w:tc>
          <w:tcPr>
            <w:tcW w:w="0" w:type="auto"/>
            <w:hideMark/>
          </w:tcPr>
          <w:p w14:paraId="337E9522"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24.63 ± 1.77</w:t>
            </w:r>
          </w:p>
        </w:tc>
        <w:tc>
          <w:tcPr>
            <w:tcW w:w="0" w:type="auto"/>
            <w:hideMark/>
          </w:tcPr>
          <w:p w14:paraId="1A2C0C99"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0.01</w:t>
            </w:r>
          </w:p>
        </w:tc>
      </w:tr>
      <w:tr w:rsidR="00C75541" w:rsidRPr="00404D6E" w14:paraId="4F0E3008" w14:textId="77777777" w:rsidTr="008911A4">
        <w:trPr>
          <w:trHeight w:val="859"/>
        </w:trPr>
        <w:tc>
          <w:tcPr>
            <w:cnfStyle w:val="001000000000" w:firstRow="0" w:lastRow="0" w:firstColumn="1" w:lastColumn="0" w:oddVBand="0" w:evenVBand="0" w:oddHBand="0" w:evenHBand="0" w:firstRowFirstColumn="0" w:firstRowLastColumn="0" w:lastRowFirstColumn="0" w:lastRowLastColumn="0"/>
            <w:tcW w:w="0" w:type="auto"/>
            <w:hideMark/>
          </w:tcPr>
          <w:p w14:paraId="4AF564F8" w14:textId="77777777" w:rsidR="004C768A" w:rsidRPr="00404D6E" w:rsidRDefault="004C768A" w:rsidP="004C768A">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Cadmium (Cd)</w:t>
            </w:r>
          </w:p>
        </w:tc>
        <w:tc>
          <w:tcPr>
            <w:tcW w:w="0" w:type="auto"/>
            <w:hideMark/>
          </w:tcPr>
          <w:p w14:paraId="432F51B7"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0.011 ± 0.001</w:t>
            </w:r>
          </w:p>
        </w:tc>
        <w:tc>
          <w:tcPr>
            <w:tcW w:w="0" w:type="auto"/>
            <w:hideMark/>
          </w:tcPr>
          <w:p w14:paraId="095EA83C"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0.019 ± 0.002</w:t>
            </w:r>
          </w:p>
        </w:tc>
        <w:tc>
          <w:tcPr>
            <w:tcW w:w="0" w:type="auto"/>
            <w:hideMark/>
          </w:tcPr>
          <w:p w14:paraId="0F68B59B"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3.21 ± 0.31</w:t>
            </w:r>
          </w:p>
        </w:tc>
        <w:tc>
          <w:tcPr>
            <w:tcW w:w="0" w:type="auto"/>
            <w:hideMark/>
          </w:tcPr>
          <w:p w14:paraId="3F0BAA70"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5.77 ± 0.49</w:t>
            </w:r>
          </w:p>
        </w:tc>
        <w:tc>
          <w:tcPr>
            <w:tcW w:w="0" w:type="auto"/>
            <w:hideMark/>
          </w:tcPr>
          <w:p w14:paraId="3D966E31"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0.003</w:t>
            </w:r>
          </w:p>
        </w:tc>
      </w:tr>
      <w:tr w:rsidR="00C75541" w:rsidRPr="00404D6E" w14:paraId="27D1889E" w14:textId="77777777" w:rsidTr="008911A4">
        <w:trPr>
          <w:trHeight w:val="844"/>
        </w:trPr>
        <w:tc>
          <w:tcPr>
            <w:cnfStyle w:val="001000000000" w:firstRow="0" w:lastRow="0" w:firstColumn="1" w:lastColumn="0" w:oddVBand="0" w:evenVBand="0" w:oddHBand="0" w:evenHBand="0" w:firstRowFirstColumn="0" w:firstRowLastColumn="0" w:lastRowFirstColumn="0" w:lastRowLastColumn="0"/>
            <w:tcW w:w="0" w:type="auto"/>
            <w:hideMark/>
          </w:tcPr>
          <w:p w14:paraId="6E5581C3" w14:textId="77777777" w:rsidR="004C768A" w:rsidRPr="00404D6E" w:rsidRDefault="004C768A" w:rsidP="004C768A">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lastRenderedPageBreak/>
              <w:t>Chromium (Cr)</w:t>
            </w:r>
          </w:p>
        </w:tc>
        <w:tc>
          <w:tcPr>
            <w:tcW w:w="0" w:type="auto"/>
            <w:hideMark/>
          </w:tcPr>
          <w:p w14:paraId="61601464"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0.029 ± 0.002</w:t>
            </w:r>
          </w:p>
        </w:tc>
        <w:tc>
          <w:tcPr>
            <w:tcW w:w="0" w:type="auto"/>
            <w:hideMark/>
          </w:tcPr>
          <w:p w14:paraId="3DFB3897"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0.045 ± 0.004</w:t>
            </w:r>
          </w:p>
        </w:tc>
        <w:tc>
          <w:tcPr>
            <w:tcW w:w="0" w:type="auto"/>
            <w:hideMark/>
          </w:tcPr>
          <w:p w14:paraId="69B6C0C9"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8.93 ± 0.85</w:t>
            </w:r>
          </w:p>
        </w:tc>
        <w:tc>
          <w:tcPr>
            <w:tcW w:w="0" w:type="auto"/>
            <w:hideMark/>
          </w:tcPr>
          <w:p w14:paraId="230EC73F"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11.67 ± 0.94</w:t>
            </w:r>
          </w:p>
        </w:tc>
        <w:tc>
          <w:tcPr>
            <w:tcW w:w="0" w:type="auto"/>
            <w:hideMark/>
          </w:tcPr>
          <w:p w14:paraId="08FE88C4"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0.05</w:t>
            </w:r>
          </w:p>
        </w:tc>
      </w:tr>
      <w:tr w:rsidR="00C75541" w:rsidRPr="00404D6E" w14:paraId="6FA4FD44" w14:textId="77777777" w:rsidTr="008911A4">
        <w:trPr>
          <w:trHeight w:val="844"/>
        </w:trPr>
        <w:tc>
          <w:tcPr>
            <w:cnfStyle w:val="001000000000" w:firstRow="0" w:lastRow="0" w:firstColumn="1" w:lastColumn="0" w:oddVBand="0" w:evenVBand="0" w:oddHBand="0" w:evenHBand="0" w:firstRowFirstColumn="0" w:firstRowLastColumn="0" w:lastRowFirstColumn="0" w:lastRowLastColumn="0"/>
            <w:tcW w:w="0" w:type="auto"/>
            <w:hideMark/>
          </w:tcPr>
          <w:p w14:paraId="2C72DED4" w14:textId="77777777" w:rsidR="004C768A" w:rsidRPr="00404D6E" w:rsidRDefault="004C768A" w:rsidP="004C768A">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Nickel (Ni)</w:t>
            </w:r>
          </w:p>
        </w:tc>
        <w:tc>
          <w:tcPr>
            <w:tcW w:w="0" w:type="auto"/>
            <w:hideMark/>
          </w:tcPr>
          <w:p w14:paraId="4DDB4527"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0.021 ± 0.002</w:t>
            </w:r>
          </w:p>
        </w:tc>
        <w:tc>
          <w:tcPr>
            <w:tcW w:w="0" w:type="auto"/>
            <w:hideMark/>
          </w:tcPr>
          <w:p w14:paraId="6FF8D6B6"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0.032 ± 0.003</w:t>
            </w:r>
          </w:p>
        </w:tc>
        <w:tc>
          <w:tcPr>
            <w:tcW w:w="0" w:type="auto"/>
            <w:hideMark/>
          </w:tcPr>
          <w:p w14:paraId="3851F363"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6.58 ± 0.64</w:t>
            </w:r>
          </w:p>
        </w:tc>
        <w:tc>
          <w:tcPr>
            <w:tcW w:w="0" w:type="auto"/>
            <w:hideMark/>
          </w:tcPr>
          <w:p w14:paraId="3AF2ECC4"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9.33 ± 0.72</w:t>
            </w:r>
          </w:p>
        </w:tc>
        <w:tc>
          <w:tcPr>
            <w:tcW w:w="0" w:type="auto"/>
            <w:hideMark/>
          </w:tcPr>
          <w:p w14:paraId="1471DFD7"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0.02</w:t>
            </w:r>
          </w:p>
        </w:tc>
      </w:tr>
      <w:tr w:rsidR="00C75541" w:rsidRPr="00404D6E" w14:paraId="1864A55F" w14:textId="77777777" w:rsidTr="008911A4">
        <w:trPr>
          <w:trHeight w:val="859"/>
        </w:trPr>
        <w:tc>
          <w:tcPr>
            <w:cnfStyle w:val="001000000000" w:firstRow="0" w:lastRow="0" w:firstColumn="1" w:lastColumn="0" w:oddVBand="0" w:evenVBand="0" w:oddHBand="0" w:evenHBand="0" w:firstRowFirstColumn="0" w:firstRowLastColumn="0" w:lastRowFirstColumn="0" w:lastRowLastColumn="0"/>
            <w:tcW w:w="0" w:type="auto"/>
            <w:hideMark/>
          </w:tcPr>
          <w:p w14:paraId="27950274" w14:textId="77777777" w:rsidR="004C768A" w:rsidRPr="00404D6E" w:rsidRDefault="004C768A" w:rsidP="004C768A">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Zinc (Zn)</w:t>
            </w:r>
          </w:p>
        </w:tc>
        <w:tc>
          <w:tcPr>
            <w:tcW w:w="0" w:type="auto"/>
            <w:hideMark/>
          </w:tcPr>
          <w:p w14:paraId="1A8BF396"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0.314 ± 0.027</w:t>
            </w:r>
          </w:p>
        </w:tc>
        <w:tc>
          <w:tcPr>
            <w:tcW w:w="0" w:type="auto"/>
            <w:hideMark/>
          </w:tcPr>
          <w:p w14:paraId="060C73FF"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0.419 ± 0.031</w:t>
            </w:r>
          </w:p>
        </w:tc>
        <w:tc>
          <w:tcPr>
            <w:tcW w:w="0" w:type="auto"/>
            <w:hideMark/>
          </w:tcPr>
          <w:p w14:paraId="26CAC173"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45.81 ± 3.75</w:t>
            </w:r>
          </w:p>
        </w:tc>
        <w:tc>
          <w:tcPr>
            <w:tcW w:w="0" w:type="auto"/>
            <w:hideMark/>
          </w:tcPr>
          <w:p w14:paraId="4B6C1B03"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59.42 ± 4.06</w:t>
            </w:r>
          </w:p>
        </w:tc>
        <w:tc>
          <w:tcPr>
            <w:tcW w:w="0" w:type="auto"/>
            <w:hideMark/>
          </w:tcPr>
          <w:p w14:paraId="0D5531D0"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3.0</w:t>
            </w:r>
          </w:p>
        </w:tc>
      </w:tr>
    </w:tbl>
    <w:p w14:paraId="6828F8D0" w14:textId="32A971F2" w:rsidR="004C768A" w:rsidRPr="00404D6E" w:rsidRDefault="004C768A" w:rsidP="004C768A">
      <w:pPr>
        <w:jc w:val="both"/>
        <w:rPr>
          <w:rFonts w:ascii="Times New Roman" w:hAnsi="Times New Roman" w:cs="Times New Roman"/>
          <w:color w:val="0D0D0D" w:themeColor="text1" w:themeTint="F2"/>
        </w:rPr>
      </w:pPr>
    </w:p>
    <w:p w14:paraId="06DE3276" w14:textId="3ED511AC" w:rsidR="004C768A" w:rsidRPr="00404D6E" w:rsidRDefault="004C768A" w:rsidP="004C768A">
      <w:pPr>
        <w:jc w:val="both"/>
        <w:rPr>
          <w:rFonts w:ascii="Times New Roman" w:hAnsi="Times New Roman" w:cs="Times New Roman"/>
          <w:b/>
          <w:bCs/>
          <w:color w:val="0D0D0D" w:themeColor="text1" w:themeTint="F2"/>
        </w:rPr>
      </w:pPr>
      <w:r w:rsidRPr="00404D6E">
        <w:rPr>
          <w:rFonts w:ascii="Times New Roman" w:hAnsi="Times New Roman" w:cs="Times New Roman"/>
          <w:b/>
          <w:bCs/>
          <w:color w:val="0D0D0D" w:themeColor="text1" w:themeTint="F2"/>
        </w:rPr>
        <w:t>Table 4</w:t>
      </w:r>
      <w:r w:rsidR="00EC6ECD" w:rsidRPr="00404D6E">
        <w:rPr>
          <w:rFonts w:ascii="Times New Roman" w:hAnsi="Times New Roman" w:cs="Times New Roman"/>
          <w:b/>
          <w:bCs/>
          <w:color w:val="0D0D0D" w:themeColor="text1" w:themeTint="F2"/>
        </w:rPr>
        <w:t>a</w:t>
      </w:r>
      <w:r w:rsidR="00DC1634">
        <w:rPr>
          <w:rFonts w:ascii="Times New Roman" w:hAnsi="Times New Roman" w:cs="Times New Roman"/>
          <w:b/>
          <w:bCs/>
          <w:color w:val="0D0D0D" w:themeColor="text1" w:themeTint="F2"/>
        </w:rPr>
        <w:t>.</w:t>
      </w:r>
      <w:r w:rsidRPr="00404D6E">
        <w:rPr>
          <w:rFonts w:ascii="Times New Roman" w:hAnsi="Times New Roman" w:cs="Times New Roman"/>
          <w:b/>
          <w:bCs/>
          <w:color w:val="0D0D0D" w:themeColor="text1" w:themeTint="F2"/>
        </w:rPr>
        <w:t xml:space="preserve"> </w:t>
      </w:r>
      <w:r w:rsidRPr="00404D6E">
        <w:rPr>
          <w:rFonts w:ascii="Times New Roman" w:hAnsi="Times New Roman" w:cs="Times New Roman"/>
          <w:color w:val="0D0D0D" w:themeColor="text1" w:themeTint="F2"/>
        </w:rPr>
        <w:t xml:space="preserve">Mortality (%) of </w:t>
      </w:r>
      <w:r w:rsidRPr="00404D6E">
        <w:rPr>
          <w:rFonts w:ascii="Times New Roman" w:hAnsi="Times New Roman" w:cs="Times New Roman"/>
          <w:i/>
          <w:iCs/>
          <w:color w:val="0D0D0D" w:themeColor="text1" w:themeTint="F2"/>
        </w:rPr>
        <w:t>O. niloticus</w:t>
      </w:r>
      <w:r w:rsidRPr="00404D6E">
        <w:rPr>
          <w:rFonts w:ascii="Times New Roman" w:hAnsi="Times New Roman" w:cs="Times New Roman"/>
          <w:color w:val="0D0D0D" w:themeColor="text1" w:themeTint="F2"/>
        </w:rPr>
        <w:t xml:space="preserve"> and </w:t>
      </w:r>
      <w:r w:rsidRPr="00404D6E">
        <w:rPr>
          <w:rFonts w:ascii="Times New Roman" w:hAnsi="Times New Roman" w:cs="Times New Roman"/>
          <w:i/>
          <w:iCs/>
          <w:color w:val="0D0D0D" w:themeColor="text1" w:themeTint="F2"/>
        </w:rPr>
        <w:t>D. magna</w:t>
      </w:r>
      <w:r w:rsidRPr="00404D6E">
        <w:rPr>
          <w:rFonts w:ascii="Times New Roman" w:hAnsi="Times New Roman" w:cs="Times New Roman"/>
          <w:color w:val="0D0D0D" w:themeColor="text1" w:themeTint="F2"/>
        </w:rPr>
        <w:t xml:space="preserve"> Exposed to Contaminated Water and Sediment Elutriates</w:t>
      </w:r>
    </w:p>
    <w:tbl>
      <w:tblPr>
        <w:tblStyle w:val="PlainTable2"/>
        <w:tblW w:w="8422" w:type="dxa"/>
        <w:tblLook w:val="06A0" w:firstRow="1" w:lastRow="0" w:firstColumn="1" w:lastColumn="0" w:noHBand="1" w:noVBand="1"/>
      </w:tblPr>
      <w:tblGrid>
        <w:gridCol w:w="3845"/>
        <w:gridCol w:w="2267"/>
        <w:gridCol w:w="2310"/>
      </w:tblGrid>
      <w:tr w:rsidR="00C75541" w:rsidRPr="00404D6E" w14:paraId="686B2779" w14:textId="77777777" w:rsidTr="008911A4">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0" w:type="auto"/>
            <w:hideMark/>
          </w:tcPr>
          <w:p w14:paraId="154285C1" w14:textId="77777777" w:rsidR="004C768A" w:rsidRPr="00404D6E" w:rsidRDefault="004C768A" w:rsidP="00060D0B">
            <w:pPr>
              <w:spacing w:after="160" w:line="278" w:lineRule="auto"/>
              <w:jc w:val="center"/>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Exposure Type</w:t>
            </w:r>
          </w:p>
        </w:tc>
        <w:tc>
          <w:tcPr>
            <w:tcW w:w="0" w:type="auto"/>
            <w:hideMark/>
          </w:tcPr>
          <w:p w14:paraId="3411E906" w14:textId="77777777" w:rsidR="004C768A" w:rsidRPr="00404D6E" w:rsidRDefault="004C768A" w:rsidP="00060D0B">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Oguta Lake (%)</w:t>
            </w:r>
          </w:p>
        </w:tc>
        <w:tc>
          <w:tcPr>
            <w:tcW w:w="0" w:type="auto"/>
            <w:hideMark/>
          </w:tcPr>
          <w:p w14:paraId="2E254F97" w14:textId="77777777" w:rsidR="004C768A" w:rsidRPr="00404D6E" w:rsidRDefault="004C768A" w:rsidP="00060D0B">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Njaba River (%)</w:t>
            </w:r>
          </w:p>
        </w:tc>
      </w:tr>
      <w:tr w:rsidR="00C75541" w:rsidRPr="00404D6E" w14:paraId="18572723" w14:textId="77777777" w:rsidTr="008911A4">
        <w:trPr>
          <w:trHeight w:val="546"/>
        </w:trPr>
        <w:tc>
          <w:tcPr>
            <w:cnfStyle w:val="001000000000" w:firstRow="0" w:lastRow="0" w:firstColumn="1" w:lastColumn="0" w:oddVBand="0" w:evenVBand="0" w:oddHBand="0" w:evenHBand="0" w:firstRowFirstColumn="0" w:firstRowLastColumn="0" w:lastRowFirstColumn="0" w:lastRowLastColumn="0"/>
            <w:tcW w:w="0" w:type="auto"/>
            <w:hideMark/>
          </w:tcPr>
          <w:p w14:paraId="71D64211" w14:textId="77777777" w:rsidR="004C768A" w:rsidRPr="00404D6E" w:rsidRDefault="004C768A" w:rsidP="00060D0B">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i/>
                <w:iCs/>
                <w:color w:val="0D0D0D" w:themeColor="text1" w:themeTint="F2"/>
              </w:rPr>
              <w:t>O. niloticus</w:t>
            </w:r>
            <w:r w:rsidRPr="00404D6E">
              <w:rPr>
                <w:rFonts w:ascii="Times New Roman" w:hAnsi="Times New Roman" w:cs="Times New Roman"/>
                <w:color w:val="0D0D0D" w:themeColor="text1" w:themeTint="F2"/>
              </w:rPr>
              <w:t xml:space="preserve"> (96 h) – Water</w:t>
            </w:r>
          </w:p>
        </w:tc>
        <w:tc>
          <w:tcPr>
            <w:tcW w:w="0" w:type="auto"/>
            <w:hideMark/>
          </w:tcPr>
          <w:p w14:paraId="43B182B5"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22.5 ± 2.1</w:t>
            </w:r>
          </w:p>
        </w:tc>
        <w:tc>
          <w:tcPr>
            <w:tcW w:w="0" w:type="auto"/>
            <w:hideMark/>
          </w:tcPr>
          <w:p w14:paraId="0BF02F67"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41.8 ± 3.4</w:t>
            </w:r>
          </w:p>
        </w:tc>
      </w:tr>
      <w:tr w:rsidR="00C75541" w:rsidRPr="00404D6E" w14:paraId="2390B5F7" w14:textId="77777777" w:rsidTr="008911A4">
        <w:trPr>
          <w:trHeight w:val="529"/>
        </w:trPr>
        <w:tc>
          <w:tcPr>
            <w:cnfStyle w:val="001000000000" w:firstRow="0" w:lastRow="0" w:firstColumn="1" w:lastColumn="0" w:oddVBand="0" w:evenVBand="0" w:oddHBand="0" w:evenHBand="0" w:firstRowFirstColumn="0" w:firstRowLastColumn="0" w:lastRowFirstColumn="0" w:lastRowLastColumn="0"/>
            <w:tcW w:w="0" w:type="auto"/>
            <w:hideMark/>
          </w:tcPr>
          <w:p w14:paraId="62851D57" w14:textId="77777777" w:rsidR="004C768A" w:rsidRPr="00404D6E" w:rsidRDefault="004C768A" w:rsidP="00060D0B">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i/>
                <w:iCs/>
                <w:color w:val="0D0D0D" w:themeColor="text1" w:themeTint="F2"/>
              </w:rPr>
              <w:t>O. niloticus</w:t>
            </w:r>
            <w:r w:rsidRPr="00404D6E">
              <w:rPr>
                <w:rFonts w:ascii="Times New Roman" w:hAnsi="Times New Roman" w:cs="Times New Roman"/>
                <w:color w:val="0D0D0D" w:themeColor="text1" w:themeTint="F2"/>
              </w:rPr>
              <w:t xml:space="preserve"> (96 h) – Sediment</w:t>
            </w:r>
          </w:p>
        </w:tc>
        <w:tc>
          <w:tcPr>
            <w:tcW w:w="0" w:type="auto"/>
            <w:hideMark/>
          </w:tcPr>
          <w:p w14:paraId="27C37237"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35.6 ± 2.7</w:t>
            </w:r>
          </w:p>
        </w:tc>
        <w:tc>
          <w:tcPr>
            <w:tcW w:w="0" w:type="auto"/>
            <w:hideMark/>
          </w:tcPr>
          <w:p w14:paraId="10017922"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53.3 ± 3.9</w:t>
            </w:r>
          </w:p>
        </w:tc>
      </w:tr>
      <w:tr w:rsidR="00C75541" w:rsidRPr="00404D6E" w14:paraId="0A7D16C7" w14:textId="77777777" w:rsidTr="008911A4">
        <w:trPr>
          <w:trHeight w:val="546"/>
        </w:trPr>
        <w:tc>
          <w:tcPr>
            <w:cnfStyle w:val="001000000000" w:firstRow="0" w:lastRow="0" w:firstColumn="1" w:lastColumn="0" w:oddVBand="0" w:evenVBand="0" w:oddHBand="0" w:evenHBand="0" w:firstRowFirstColumn="0" w:firstRowLastColumn="0" w:lastRowFirstColumn="0" w:lastRowLastColumn="0"/>
            <w:tcW w:w="0" w:type="auto"/>
            <w:hideMark/>
          </w:tcPr>
          <w:p w14:paraId="01A18972" w14:textId="77777777" w:rsidR="004C768A" w:rsidRPr="00404D6E" w:rsidRDefault="004C768A" w:rsidP="00060D0B">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i/>
                <w:iCs/>
                <w:color w:val="0D0D0D" w:themeColor="text1" w:themeTint="F2"/>
              </w:rPr>
              <w:t>D. magna</w:t>
            </w:r>
            <w:r w:rsidRPr="00404D6E">
              <w:rPr>
                <w:rFonts w:ascii="Times New Roman" w:hAnsi="Times New Roman" w:cs="Times New Roman"/>
                <w:color w:val="0D0D0D" w:themeColor="text1" w:themeTint="F2"/>
              </w:rPr>
              <w:t xml:space="preserve"> (48 h) – Water</w:t>
            </w:r>
          </w:p>
        </w:tc>
        <w:tc>
          <w:tcPr>
            <w:tcW w:w="0" w:type="auto"/>
            <w:hideMark/>
          </w:tcPr>
          <w:p w14:paraId="2D227D2F"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49.2 ± 3.8</w:t>
            </w:r>
          </w:p>
        </w:tc>
        <w:tc>
          <w:tcPr>
            <w:tcW w:w="0" w:type="auto"/>
            <w:hideMark/>
          </w:tcPr>
          <w:p w14:paraId="1F293258"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66.7 ± 4.3</w:t>
            </w:r>
          </w:p>
        </w:tc>
      </w:tr>
      <w:tr w:rsidR="00C75541" w:rsidRPr="00404D6E" w14:paraId="514F5425" w14:textId="77777777" w:rsidTr="008911A4">
        <w:trPr>
          <w:trHeight w:val="546"/>
        </w:trPr>
        <w:tc>
          <w:tcPr>
            <w:cnfStyle w:val="001000000000" w:firstRow="0" w:lastRow="0" w:firstColumn="1" w:lastColumn="0" w:oddVBand="0" w:evenVBand="0" w:oddHBand="0" w:evenHBand="0" w:firstRowFirstColumn="0" w:firstRowLastColumn="0" w:lastRowFirstColumn="0" w:lastRowLastColumn="0"/>
            <w:tcW w:w="0" w:type="auto"/>
            <w:hideMark/>
          </w:tcPr>
          <w:p w14:paraId="7BDF7FFB" w14:textId="77777777" w:rsidR="004C768A" w:rsidRPr="00404D6E" w:rsidRDefault="004C768A" w:rsidP="00060D0B">
            <w:pPr>
              <w:spacing w:after="160" w:line="278" w:lineRule="auto"/>
              <w:rPr>
                <w:rFonts w:ascii="Times New Roman" w:hAnsi="Times New Roman" w:cs="Times New Roman"/>
                <w:color w:val="0D0D0D" w:themeColor="text1" w:themeTint="F2"/>
              </w:rPr>
            </w:pPr>
            <w:r w:rsidRPr="00404D6E">
              <w:rPr>
                <w:rFonts w:ascii="Times New Roman" w:hAnsi="Times New Roman" w:cs="Times New Roman"/>
                <w:i/>
                <w:iCs/>
                <w:color w:val="0D0D0D" w:themeColor="text1" w:themeTint="F2"/>
              </w:rPr>
              <w:t>D. magna</w:t>
            </w:r>
            <w:r w:rsidRPr="00404D6E">
              <w:rPr>
                <w:rFonts w:ascii="Times New Roman" w:hAnsi="Times New Roman" w:cs="Times New Roman"/>
                <w:color w:val="0D0D0D" w:themeColor="text1" w:themeTint="F2"/>
              </w:rPr>
              <w:t xml:space="preserve"> (48 h) – Sediment</w:t>
            </w:r>
          </w:p>
        </w:tc>
        <w:tc>
          <w:tcPr>
            <w:tcW w:w="0" w:type="auto"/>
            <w:hideMark/>
          </w:tcPr>
          <w:p w14:paraId="483DC4C5"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61.3 ± 4.7</w:t>
            </w:r>
          </w:p>
        </w:tc>
        <w:tc>
          <w:tcPr>
            <w:tcW w:w="0" w:type="auto"/>
            <w:hideMark/>
          </w:tcPr>
          <w:p w14:paraId="04B2901D"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78.4 ± 5.1</w:t>
            </w:r>
          </w:p>
        </w:tc>
      </w:tr>
    </w:tbl>
    <w:p w14:paraId="39AA595D" w14:textId="77777777" w:rsidR="004C768A" w:rsidRPr="00404D6E" w:rsidRDefault="004C768A" w:rsidP="00957458">
      <w:pPr>
        <w:jc w:val="both"/>
        <w:rPr>
          <w:rFonts w:ascii="Times New Roman" w:hAnsi="Times New Roman" w:cs="Times New Roman"/>
          <w:color w:val="0D0D0D" w:themeColor="text1" w:themeTint="F2"/>
        </w:rPr>
      </w:pPr>
    </w:p>
    <w:p w14:paraId="05791883" w14:textId="079E84F9" w:rsidR="004C768A" w:rsidRPr="00404D6E" w:rsidRDefault="004C768A" w:rsidP="004C768A">
      <w:pPr>
        <w:jc w:val="both"/>
        <w:rPr>
          <w:rFonts w:ascii="Times New Roman" w:hAnsi="Times New Roman" w:cs="Times New Roman"/>
          <w:b/>
          <w:bCs/>
          <w:color w:val="0D0D0D" w:themeColor="text1" w:themeTint="F2"/>
        </w:rPr>
      </w:pPr>
      <w:r w:rsidRPr="00404D6E">
        <w:rPr>
          <w:rFonts w:ascii="Times New Roman" w:hAnsi="Times New Roman" w:cs="Times New Roman"/>
          <w:b/>
          <w:bCs/>
          <w:color w:val="0D0D0D" w:themeColor="text1" w:themeTint="F2"/>
        </w:rPr>
        <w:t>Table 4</w:t>
      </w:r>
      <w:r w:rsidR="00EC6ECD" w:rsidRPr="00404D6E">
        <w:rPr>
          <w:rFonts w:ascii="Times New Roman" w:hAnsi="Times New Roman" w:cs="Times New Roman"/>
          <w:b/>
          <w:bCs/>
          <w:color w:val="0D0D0D" w:themeColor="text1" w:themeTint="F2"/>
        </w:rPr>
        <w:t>b</w:t>
      </w:r>
      <w:r w:rsidR="00DC1634">
        <w:rPr>
          <w:rFonts w:ascii="Times New Roman" w:hAnsi="Times New Roman" w:cs="Times New Roman"/>
          <w:b/>
          <w:bCs/>
          <w:color w:val="0D0D0D" w:themeColor="text1" w:themeTint="F2"/>
        </w:rPr>
        <w:t>.</w:t>
      </w:r>
      <w:r w:rsidRPr="00404D6E">
        <w:rPr>
          <w:rFonts w:ascii="Times New Roman" w:hAnsi="Times New Roman" w:cs="Times New Roman"/>
          <w:b/>
          <w:bCs/>
          <w:color w:val="0D0D0D" w:themeColor="text1" w:themeTint="F2"/>
        </w:rPr>
        <w:t xml:space="preserve"> </w:t>
      </w:r>
      <w:r w:rsidRPr="00404D6E">
        <w:rPr>
          <w:rFonts w:ascii="Times New Roman" w:hAnsi="Times New Roman" w:cs="Times New Roman"/>
          <w:color w:val="0D0D0D" w:themeColor="text1" w:themeTint="F2"/>
        </w:rPr>
        <w:t>Physicochemical Properties of Sediment Samples from Oguta Lake and Njaba River</w:t>
      </w:r>
    </w:p>
    <w:tbl>
      <w:tblPr>
        <w:tblStyle w:val="PlainTable2"/>
        <w:tblW w:w="10550" w:type="dxa"/>
        <w:jc w:val="center"/>
        <w:tblLook w:val="06A0" w:firstRow="1" w:lastRow="0" w:firstColumn="1" w:lastColumn="0" w:noHBand="1" w:noVBand="1"/>
      </w:tblPr>
      <w:tblGrid>
        <w:gridCol w:w="3853"/>
        <w:gridCol w:w="1912"/>
        <w:gridCol w:w="1931"/>
        <w:gridCol w:w="2854"/>
      </w:tblGrid>
      <w:tr w:rsidR="00C75541" w:rsidRPr="00404D6E" w14:paraId="4B4F800E" w14:textId="77777777" w:rsidTr="00404D6E">
        <w:trPr>
          <w:cnfStyle w:val="100000000000" w:firstRow="1" w:lastRow="0" w:firstColumn="0" w:lastColumn="0" w:oddVBand="0" w:evenVBand="0" w:oddHBand="0" w:evenHBand="0" w:firstRowFirstColumn="0" w:firstRowLastColumn="0" w:lastRowFirstColumn="0" w:lastRowLastColumn="0"/>
          <w:trHeight w:val="546"/>
          <w:jc w:val="center"/>
        </w:trPr>
        <w:tc>
          <w:tcPr>
            <w:cnfStyle w:val="001000000000" w:firstRow="0" w:lastRow="0" w:firstColumn="1" w:lastColumn="0" w:oddVBand="0" w:evenVBand="0" w:oddHBand="0" w:evenHBand="0" w:firstRowFirstColumn="0" w:firstRowLastColumn="0" w:lastRowFirstColumn="0" w:lastRowLastColumn="0"/>
            <w:tcW w:w="3852" w:type="dxa"/>
            <w:hideMark/>
          </w:tcPr>
          <w:p w14:paraId="11AE1B61" w14:textId="77777777" w:rsidR="004C768A" w:rsidRPr="00404D6E" w:rsidRDefault="004C768A" w:rsidP="00060D0B">
            <w:pPr>
              <w:spacing w:after="160" w:line="278" w:lineRule="auto"/>
              <w:jc w:val="center"/>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Parameter</w:t>
            </w:r>
          </w:p>
        </w:tc>
        <w:tc>
          <w:tcPr>
            <w:tcW w:w="0" w:type="auto"/>
            <w:hideMark/>
          </w:tcPr>
          <w:p w14:paraId="5F5D1E25" w14:textId="77777777" w:rsidR="004C768A" w:rsidRPr="00404D6E" w:rsidRDefault="004C768A" w:rsidP="00060D0B">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Oguta Lake (Mean ± SD)</w:t>
            </w:r>
          </w:p>
        </w:tc>
        <w:tc>
          <w:tcPr>
            <w:tcW w:w="0" w:type="auto"/>
            <w:hideMark/>
          </w:tcPr>
          <w:p w14:paraId="125A5D57" w14:textId="77777777" w:rsidR="004C768A" w:rsidRPr="00404D6E" w:rsidRDefault="004C768A" w:rsidP="00060D0B">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Njaba River (Mean ± SD)</w:t>
            </w:r>
          </w:p>
        </w:tc>
        <w:tc>
          <w:tcPr>
            <w:tcW w:w="0" w:type="auto"/>
            <w:hideMark/>
          </w:tcPr>
          <w:p w14:paraId="2FBB9BA9" w14:textId="77777777" w:rsidR="004C768A" w:rsidRPr="00404D6E" w:rsidRDefault="004C768A" w:rsidP="00060D0B">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WHO/FEPA Guideline (if applicable)</w:t>
            </w:r>
          </w:p>
        </w:tc>
      </w:tr>
      <w:tr w:rsidR="00C75541" w:rsidRPr="00404D6E" w14:paraId="0E583CA7" w14:textId="77777777" w:rsidTr="00404D6E">
        <w:trPr>
          <w:trHeight w:val="511"/>
          <w:jc w:val="center"/>
        </w:trPr>
        <w:tc>
          <w:tcPr>
            <w:cnfStyle w:val="001000000000" w:firstRow="0" w:lastRow="0" w:firstColumn="1" w:lastColumn="0" w:oddVBand="0" w:evenVBand="0" w:oddHBand="0" w:evenHBand="0" w:firstRowFirstColumn="0" w:firstRowLastColumn="0" w:lastRowFirstColumn="0" w:lastRowLastColumn="0"/>
            <w:tcW w:w="3852" w:type="dxa"/>
            <w:hideMark/>
          </w:tcPr>
          <w:p w14:paraId="43F074E0" w14:textId="77777777" w:rsidR="004C768A" w:rsidRPr="00404D6E" w:rsidRDefault="004C768A" w:rsidP="00060D0B">
            <w:pPr>
              <w:spacing w:after="160"/>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pH</w:t>
            </w:r>
          </w:p>
        </w:tc>
        <w:tc>
          <w:tcPr>
            <w:tcW w:w="0" w:type="auto"/>
            <w:hideMark/>
          </w:tcPr>
          <w:p w14:paraId="7AC07C67"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6.45 ± 0.15</w:t>
            </w:r>
          </w:p>
        </w:tc>
        <w:tc>
          <w:tcPr>
            <w:tcW w:w="0" w:type="auto"/>
            <w:hideMark/>
          </w:tcPr>
          <w:p w14:paraId="4571831D"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6.28 ± 0.10</w:t>
            </w:r>
          </w:p>
        </w:tc>
        <w:tc>
          <w:tcPr>
            <w:tcW w:w="0" w:type="auto"/>
            <w:hideMark/>
          </w:tcPr>
          <w:p w14:paraId="2EBFC794"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6.0–9.0</w:t>
            </w:r>
          </w:p>
        </w:tc>
      </w:tr>
      <w:tr w:rsidR="00C75541" w:rsidRPr="00404D6E" w14:paraId="2519AEEA" w14:textId="77777777" w:rsidTr="00404D6E">
        <w:trPr>
          <w:trHeight w:val="447"/>
          <w:jc w:val="center"/>
        </w:trPr>
        <w:tc>
          <w:tcPr>
            <w:cnfStyle w:val="001000000000" w:firstRow="0" w:lastRow="0" w:firstColumn="1" w:lastColumn="0" w:oddVBand="0" w:evenVBand="0" w:oddHBand="0" w:evenHBand="0" w:firstRowFirstColumn="0" w:firstRowLastColumn="0" w:lastRowFirstColumn="0" w:lastRowLastColumn="0"/>
            <w:tcW w:w="3852" w:type="dxa"/>
            <w:hideMark/>
          </w:tcPr>
          <w:p w14:paraId="6A1B9BDF" w14:textId="77777777" w:rsidR="004C768A" w:rsidRPr="00404D6E" w:rsidRDefault="004C768A" w:rsidP="00060D0B">
            <w:pPr>
              <w:spacing w:after="160"/>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Electrical Conductivity (µS/cm)</w:t>
            </w:r>
          </w:p>
        </w:tc>
        <w:tc>
          <w:tcPr>
            <w:tcW w:w="0" w:type="auto"/>
            <w:hideMark/>
          </w:tcPr>
          <w:p w14:paraId="4037A59C"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680 ± 22</w:t>
            </w:r>
          </w:p>
        </w:tc>
        <w:tc>
          <w:tcPr>
            <w:tcW w:w="0" w:type="auto"/>
            <w:hideMark/>
          </w:tcPr>
          <w:p w14:paraId="31D92538"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754 ± 27</w:t>
            </w:r>
          </w:p>
        </w:tc>
        <w:tc>
          <w:tcPr>
            <w:tcW w:w="0" w:type="auto"/>
            <w:hideMark/>
          </w:tcPr>
          <w:p w14:paraId="72759D1F"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&lt;1000</w:t>
            </w:r>
          </w:p>
        </w:tc>
      </w:tr>
      <w:tr w:rsidR="00C75541" w:rsidRPr="00404D6E" w14:paraId="172A545C" w14:textId="77777777" w:rsidTr="00404D6E">
        <w:trPr>
          <w:trHeight w:val="214"/>
          <w:jc w:val="center"/>
        </w:trPr>
        <w:tc>
          <w:tcPr>
            <w:cnfStyle w:val="001000000000" w:firstRow="0" w:lastRow="0" w:firstColumn="1" w:lastColumn="0" w:oddVBand="0" w:evenVBand="0" w:oddHBand="0" w:evenHBand="0" w:firstRowFirstColumn="0" w:firstRowLastColumn="0" w:lastRowFirstColumn="0" w:lastRowLastColumn="0"/>
            <w:tcW w:w="3852" w:type="dxa"/>
            <w:hideMark/>
          </w:tcPr>
          <w:p w14:paraId="65581C33" w14:textId="77777777" w:rsidR="004C768A" w:rsidRPr="00404D6E" w:rsidRDefault="004C768A" w:rsidP="00060D0B">
            <w:pPr>
              <w:spacing w:after="160"/>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Total Organic Carbon (mg/kg)</w:t>
            </w:r>
          </w:p>
        </w:tc>
        <w:tc>
          <w:tcPr>
            <w:tcW w:w="0" w:type="auto"/>
            <w:hideMark/>
          </w:tcPr>
          <w:p w14:paraId="003EBE87"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28.4 ± 1.2</w:t>
            </w:r>
          </w:p>
        </w:tc>
        <w:tc>
          <w:tcPr>
            <w:tcW w:w="0" w:type="auto"/>
            <w:hideMark/>
          </w:tcPr>
          <w:p w14:paraId="021FE709"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32.7 ± 1.4</w:t>
            </w:r>
          </w:p>
        </w:tc>
        <w:tc>
          <w:tcPr>
            <w:tcW w:w="0" w:type="auto"/>
            <w:hideMark/>
          </w:tcPr>
          <w:p w14:paraId="1CEEFB45"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&lt;50</w:t>
            </w:r>
          </w:p>
        </w:tc>
      </w:tr>
      <w:tr w:rsidR="00C75541" w:rsidRPr="00404D6E" w14:paraId="7439206A" w14:textId="77777777" w:rsidTr="00404D6E">
        <w:trPr>
          <w:trHeight w:val="150"/>
          <w:jc w:val="center"/>
        </w:trPr>
        <w:tc>
          <w:tcPr>
            <w:cnfStyle w:val="001000000000" w:firstRow="0" w:lastRow="0" w:firstColumn="1" w:lastColumn="0" w:oddVBand="0" w:evenVBand="0" w:oddHBand="0" w:evenHBand="0" w:firstRowFirstColumn="0" w:firstRowLastColumn="0" w:lastRowFirstColumn="0" w:lastRowLastColumn="0"/>
            <w:tcW w:w="3852" w:type="dxa"/>
            <w:hideMark/>
          </w:tcPr>
          <w:p w14:paraId="4DF2F9E4" w14:textId="77777777" w:rsidR="004C768A" w:rsidRPr="00404D6E" w:rsidRDefault="004C768A" w:rsidP="00060D0B">
            <w:pPr>
              <w:spacing w:after="160"/>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Moisture Content (%)</w:t>
            </w:r>
          </w:p>
        </w:tc>
        <w:tc>
          <w:tcPr>
            <w:tcW w:w="0" w:type="auto"/>
            <w:hideMark/>
          </w:tcPr>
          <w:p w14:paraId="7D698551"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15.3 ± 0.9</w:t>
            </w:r>
          </w:p>
        </w:tc>
        <w:tc>
          <w:tcPr>
            <w:tcW w:w="0" w:type="auto"/>
            <w:hideMark/>
          </w:tcPr>
          <w:p w14:paraId="542C62B8"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17.1 ± 1.1</w:t>
            </w:r>
          </w:p>
        </w:tc>
        <w:tc>
          <w:tcPr>
            <w:tcW w:w="0" w:type="auto"/>
            <w:hideMark/>
          </w:tcPr>
          <w:p w14:paraId="45D41512"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w:t>
            </w:r>
          </w:p>
        </w:tc>
      </w:tr>
      <w:tr w:rsidR="00C75541" w:rsidRPr="00404D6E" w14:paraId="02BD4D46" w14:textId="77777777" w:rsidTr="00404D6E">
        <w:trPr>
          <w:trHeight w:val="200"/>
          <w:jc w:val="center"/>
        </w:trPr>
        <w:tc>
          <w:tcPr>
            <w:cnfStyle w:val="001000000000" w:firstRow="0" w:lastRow="0" w:firstColumn="1" w:lastColumn="0" w:oddVBand="0" w:evenVBand="0" w:oddHBand="0" w:evenHBand="0" w:firstRowFirstColumn="0" w:firstRowLastColumn="0" w:lastRowFirstColumn="0" w:lastRowLastColumn="0"/>
            <w:tcW w:w="3852" w:type="dxa"/>
            <w:hideMark/>
          </w:tcPr>
          <w:p w14:paraId="4E9D6A48" w14:textId="77777777" w:rsidR="004C768A" w:rsidRPr="00404D6E" w:rsidRDefault="004C768A" w:rsidP="00060D0B">
            <w:pPr>
              <w:spacing w:after="160"/>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Cation Exchange Capacity (meq/100g)</w:t>
            </w:r>
          </w:p>
        </w:tc>
        <w:tc>
          <w:tcPr>
            <w:tcW w:w="0" w:type="auto"/>
            <w:hideMark/>
          </w:tcPr>
          <w:p w14:paraId="08033C07"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14.2 ± 0.5</w:t>
            </w:r>
          </w:p>
        </w:tc>
        <w:tc>
          <w:tcPr>
            <w:tcW w:w="0" w:type="auto"/>
            <w:hideMark/>
          </w:tcPr>
          <w:p w14:paraId="7F229349"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15.5 ± 0.7</w:t>
            </w:r>
          </w:p>
        </w:tc>
        <w:tc>
          <w:tcPr>
            <w:tcW w:w="0" w:type="auto"/>
            <w:hideMark/>
          </w:tcPr>
          <w:p w14:paraId="6C7940F1"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w:t>
            </w:r>
          </w:p>
        </w:tc>
      </w:tr>
    </w:tbl>
    <w:p w14:paraId="334A2350" w14:textId="5EBC76DA" w:rsidR="004C768A" w:rsidRDefault="004C768A" w:rsidP="004C768A">
      <w:pPr>
        <w:jc w:val="both"/>
        <w:rPr>
          <w:rFonts w:ascii="Times New Roman" w:hAnsi="Times New Roman" w:cs="Times New Roman"/>
          <w:color w:val="0D0D0D" w:themeColor="text1" w:themeTint="F2"/>
        </w:rPr>
      </w:pPr>
    </w:p>
    <w:p w14:paraId="1432BD51" w14:textId="77777777" w:rsidR="000775DA" w:rsidRPr="00404D6E" w:rsidRDefault="000775DA" w:rsidP="000775DA">
      <w:pPr>
        <w:jc w:val="both"/>
        <w:rPr>
          <w:rFonts w:ascii="Times New Roman" w:hAnsi="Times New Roman" w:cs="Times New Roman"/>
          <w:b/>
          <w:bCs/>
          <w:color w:val="0D0D0D" w:themeColor="text1" w:themeTint="F2"/>
        </w:rPr>
      </w:pPr>
      <w:r w:rsidRPr="000775DA">
        <w:rPr>
          <w:rFonts w:ascii="Times New Roman" w:hAnsi="Times New Roman" w:cs="Times New Roman"/>
          <w:b/>
          <w:bCs/>
          <w:color w:val="0D0D0D" w:themeColor="text1" w:themeTint="F2"/>
        </w:rPr>
        <w:t>T</w:t>
      </w:r>
      <w:r w:rsidRPr="00404D6E">
        <w:rPr>
          <w:rFonts w:ascii="Times New Roman" w:hAnsi="Times New Roman" w:cs="Times New Roman"/>
          <w:b/>
          <w:bCs/>
          <w:color w:val="0D0D0D" w:themeColor="text1" w:themeTint="F2"/>
        </w:rPr>
        <w:t>able 5</w:t>
      </w:r>
      <w:r>
        <w:rPr>
          <w:rFonts w:ascii="Times New Roman" w:hAnsi="Times New Roman" w:cs="Times New Roman"/>
          <w:b/>
          <w:bCs/>
          <w:color w:val="0D0D0D" w:themeColor="text1" w:themeTint="F2"/>
        </w:rPr>
        <w:t>.</w:t>
      </w:r>
      <w:r w:rsidRPr="00404D6E">
        <w:rPr>
          <w:rFonts w:ascii="Times New Roman" w:hAnsi="Times New Roman" w:cs="Times New Roman"/>
          <w:b/>
          <w:bCs/>
          <w:color w:val="0D0D0D" w:themeColor="text1" w:themeTint="F2"/>
        </w:rPr>
        <w:t xml:space="preserve"> </w:t>
      </w:r>
      <w:r w:rsidRPr="00404D6E">
        <w:rPr>
          <w:rFonts w:ascii="Times New Roman" w:hAnsi="Times New Roman" w:cs="Times New Roman"/>
          <w:color w:val="0D0D0D" w:themeColor="text1" w:themeTint="F2"/>
        </w:rPr>
        <w:t>Heavy Metal Concentration in Sediment Samples (mg/kg)</w:t>
      </w:r>
    </w:p>
    <w:tbl>
      <w:tblPr>
        <w:tblStyle w:val="PlainTable2"/>
        <w:tblW w:w="0" w:type="auto"/>
        <w:tblLook w:val="06A0" w:firstRow="1" w:lastRow="0" w:firstColumn="1" w:lastColumn="0" w:noHBand="1" w:noVBand="1"/>
      </w:tblPr>
      <w:tblGrid>
        <w:gridCol w:w="1805"/>
        <w:gridCol w:w="2652"/>
        <w:gridCol w:w="2684"/>
        <w:gridCol w:w="2101"/>
      </w:tblGrid>
      <w:tr w:rsidR="000775DA" w:rsidRPr="00404D6E" w14:paraId="06A1AC82" w14:textId="77777777" w:rsidTr="00D766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958B5D" w14:textId="77777777" w:rsidR="000775DA" w:rsidRPr="00404D6E" w:rsidRDefault="000775DA" w:rsidP="00D76651">
            <w:pPr>
              <w:spacing w:after="160" w:line="278" w:lineRule="auto"/>
              <w:jc w:val="center"/>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Metal</w:t>
            </w:r>
          </w:p>
        </w:tc>
        <w:tc>
          <w:tcPr>
            <w:tcW w:w="0" w:type="auto"/>
            <w:hideMark/>
          </w:tcPr>
          <w:p w14:paraId="79105ECD" w14:textId="77777777" w:rsidR="000775DA" w:rsidRPr="00404D6E" w:rsidRDefault="000775DA"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Oguta Lake (Mean ± SD)</w:t>
            </w:r>
          </w:p>
        </w:tc>
        <w:tc>
          <w:tcPr>
            <w:tcW w:w="0" w:type="auto"/>
            <w:hideMark/>
          </w:tcPr>
          <w:p w14:paraId="0411CD98" w14:textId="77777777" w:rsidR="000775DA" w:rsidRPr="00404D6E" w:rsidRDefault="000775DA"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Njaba River (Mean ± SD)</w:t>
            </w:r>
          </w:p>
        </w:tc>
        <w:tc>
          <w:tcPr>
            <w:tcW w:w="0" w:type="auto"/>
            <w:hideMark/>
          </w:tcPr>
          <w:p w14:paraId="3A090215" w14:textId="77777777" w:rsidR="000775DA" w:rsidRPr="00404D6E" w:rsidRDefault="000775DA"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Dutch Target Value</w:t>
            </w:r>
          </w:p>
        </w:tc>
      </w:tr>
      <w:tr w:rsidR="000775DA" w:rsidRPr="00404D6E" w14:paraId="5FBD9248"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0363B8A5" w14:textId="77777777" w:rsidR="000775DA" w:rsidRPr="00404D6E" w:rsidRDefault="000775DA"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Lead (Pb)</w:t>
            </w:r>
          </w:p>
        </w:tc>
        <w:tc>
          <w:tcPr>
            <w:tcW w:w="0" w:type="auto"/>
            <w:hideMark/>
          </w:tcPr>
          <w:p w14:paraId="23AF3503"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36.8 ± 1.5</w:t>
            </w:r>
          </w:p>
        </w:tc>
        <w:tc>
          <w:tcPr>
            <w:tcW w:w="0" w:type="auto"/>
            <w:hideMark/>
          </w:tcPr>
          <w:p w14:paraId="139167DE"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41.2 ± 1.8</w:t>
            </w:r>
          </w:p>
        </w:tc>
        <w:tc>
          <w:tcPr>
            <w:tcW w:w="0" w:type="auto"/>
            <w:hideMark/>
          </w:tcPr>
          <w:p w14:paraId="4C4A76D4"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85</w:t>
            </w:r>
          </w:p>
        </w:tc>
      </w:tr>
      <w:tr w:rsidR="000775DA" w:rsidRPr="00404D6E" w14:paraId="01921EFF"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06A1CA3F" w14:textId="77777777" w:rsidR="000775DA" w:rsidRPr="00404D6E" w:rsidRDefault="000775DA"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lastRenderedPageBreak/>
              <w:t>Cadmium (Cd)</w:t>
            </w:r>
          </w:p>
        </w:tc>
        <w:tc>
          <w:tcPr>
            <w:tcW w:w="0" w:type="auto"/>
            <w:hideMark/>
          </w:tcPr>
          <w:p w14:paraId="07D8908E"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1.28 ± 0.04</w:t>
            </w:r>
          </w:p>
        </w:tc>
        <w:tc>
          <w:tcPr>
            <w:tcW w:w="0" w:type="auto"/>
            <w:hideMark/>
          </w:tcPr>
          <w:p w14:paraId="1A2E5DDF"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1.45 ± 0.06</w:t>
            </w:r>
          </w:p>
        </w:tc>
        <w:tc>
          <w:tcPr>
            <w:tcW w:w="0" w:type="auto"/>
            <w:hideMark/>
          </w:tcPr>
          <w:p w14:paraId="7FD3F605"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0.8</w:t>
            </w:r>
          </w:p>
        </w:tc>
      </w:tr>
      <w:tr w:rsidR="000775DA" w:rsidRPr="00404D6E" w14:paraId="615A1AB0"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5DBBD5CE" w14:textId="77777777" w:rsidR="000775DA" w:rsidRPr="00404D6E" w:rsidRDefault="000775DA"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Chromium (Cr)</w:t>
            </w:r>
          </w:p>
        </w:tc>
        <w:tc>
          <w:tcPr>
            <w:tcW w:w="0" w:type="auto"/>
            <w:hideMark/>
          </w:tcPr>
          <w:p w14:paraId="0A063062"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62.1 ± 2.1</w:t>
            </w:r>
          </w:p>
        </w:tc>
        <w:tc>
          <w:tcPr>
            <w:tcW w:w="0" w:type="auto"/>
            <w:hideMark/>
          </w:tcPr>
          <w:p w14:paraId="2A7AD7CD"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67.9 ± 2.6</w:t>
            </w:r>
          </w:p>
        </w:tc>
        <w:tc>
          <w:tcPr>
            <w:tcW w:w="0" w:type="auto"/>
            <w:hideMark/>
          </w:tcPr>
          <w:p w14:paraId="45B58FCA"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100</w:t>
            </w:r>
          </w:p>
        </w:tc>
      </w:tr>
      <w:tr w:rsidR="000775DA" w:rsidRPr="00404D6E" w14:paraId="74023833"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58BEB7C4" w14:textId="77777777" w:rsidR="000775DA" w:rsidRPr="00404D6E" w:rsidRDefault="000775DA"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Nickel (Ni)</w:t>
            </w:r>
          </w:p>
        </w:tc>
        <w:tc>
          <w:tcPr>
            <w:tcW w:w="0" w:type="auto"/>
            <w:hideMark/>
          </w:tcPr>
          <w:p w14:paraId="279CAE46"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48.6 ± 1.9</w:t>
            </w:r>
          </w:p>
        </w:tc>
        <w:tc>
          <w:tcPr>
            <w:tcW w:w="0" w:type="auto"/>
            <w:hideMark/>
          </w:tcPr>
          <w:p w14:paraId="40D685A0"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52.7 ± 2.0</w:t>
            </w:r>
          </w:p>
        </w:tc>
        <w:tc>
          <w:tcPr>
            <w:tcW w:w="0" w:type="auto"/>
            <w:hideMark/>
          </w:tcPr>
          <w:p w14:paraId="00D12EEF"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35</w:t>
            </w:r>
          </w:p>
        </w:tc>
      </w:tr>
      <w:tr w:rsidR="000775DA" w:rsidRPr="00404D6E" w14:paraId="244B73A4"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1432F145" w14:textId="77777777" w:rsidR="000775DA" w:rsidRPr="00404D6E" w:rsidRDefault="000775DA"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Zinc (Zn)</w:t>
            </w:r>
          </w:p>
        </w:tc>
        <w:tc>
          <w:tcPr>
            <w:tcW w:w="0" w:type="auto"/>
            <w:hideMark/>
          </w:tcPr>
          <w:p w14:paraId="015EA2EF"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91.3 ± 3.0</w:t>
            </w:r>
          </w:p>
        </w:tc>
        <w:tc>
          <w:tcPr>
            <w:tcW w:w="0" w:type="auto"/>
            <w:hideMark/>
          </w:tcPr>
          <w:p w14:paraId="269D6D83"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97.5 ± 3.4</w:t>
            </w:r>
          </w:p>
        </w:tc>
        <w:tc>
          <w:tcPr>
            <w:tcW w:w="0" w:type="auto"/>
            <w:hideMark/>
          </w:tcPr>
          <w:p w14:paraId="007F0766"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140</w:t>
            </w:r>
          </w:p>
        </w:tc>
      </w:tr>
    </w:tbl>
    <w:p w14:paraId="7DA01069" w14:textId="77777777" w:rsidR="000775DA" w:rsidRDefault="000775DA" w:rsidP="000775DA">
      <w:pPr>
        <w:jc w:val="both"/>
        <w:rPr>
          <w:b/>
          <w:bCs/>
        </w:rPr>
      </w:pPr>
    </w:p>
    <w:p w14:paraId="00A29831" w14:textId="77777777" w:rsidR="000775DA" w:rsidRPr="00404D6E" w:rsidRDefault="000775DA" w:rsidP="000775DA">
      <w:pPr>
        <w:jc w:val="both"/>
        <w:rPr>
          <w:rFonts w:ascii="Times New Roman" w:hAnsi="Times New Roman" w:cs="Times New Roman"/>
          <w:b/>
          <w:bCs/>
          <w:color w:val="0D0D0D" w:themeColor="text1" w:themeTint="F2"/>
        </w:rPr>
      </w:pPr>
      <w:r w:rsidRPr="00404D6E">
        <w:rPr>
          <w:rFonts w:ascii="Times New Roman" w:hAnsi="Times New Roman" w:cs="Times New Roman"/>
          <w:b/>
          <w:bCs/>
          <w:color w:val="0D0D0D" w:themeColor="text1" w:themeTint="F2"/>
        </w:rPr>
        <w:t>Table 6</w:t>
      </w:r>
      <w:r>
        <w:rPr>
          <w:rFonts w:ascii="Times New Roman" w:hAnsi="Times New Roman" w:cs="Times New Roman"/>
          <w:b/>
          <w:bCs/>
          <w:color w:val="0D0D0D" w:themeColor="text1" w:themeTint="F2"/>
        </w:rPr>
        <w:t>.</w:t>
      </w:r>
      <w:r w:rsidRPr="00404D6E">
        <w:rPr>
          <w:rFonts w:ascii="Times New Roman" w:hAnsi="Times New Roman" w:cs="Times New Roman"/>
          <w:b/>
          <w:bCs/>
          <w:color w:val="0D0D0D" w:themeColor="text1" w:themeTint="F2"/>
        </w:rPr>
        <w:t xml:space="preserve"> </w:t>
      </w:r>
      <w:r w:rsidRPr="00404D6E">
        <w:rPr>
          <w:rFonts w:ascii="Times New Roman" w:hAnsi="Times New Roman" w:cs="Times New Roman"/>
          <w:color w:val="0D0D0D" w:themeColor="text1" w:themeTint="F2"/>
        </w:rPr>
        <w:t>Total Petroleum Hydrocarbons (TPHs) and Polycyclic Aromatic Hydrocarbons (PAHs) in Sediment (mg/kg)</w:t>
      </w:r>
    </w:p>
    <w:tbl>
      <w:tblPr>
        <w:tblStyle w:val="PlainTable2"/>
        <w:tblW w:w="0" w:type="auto"/>
        <w:tblLook w:val="06A0" w:firstRow="1" w:lastRow="0" w:firstColumn="1" w:lastColumn="0" w:noHBand="1" w:noVBand="1"/>
      </w:tblPr>
      <w:tblGrid>
        <w:gridCol w:w="1825"/>
        <w:gridCol w:w="1437"/>
        <w:gridCol w:w="1476"/>
        <w:gridCol w:w="3616"/>
      </w:tblGrid>
      <w:tr w:rsidR="000775DA" w:rsidRPr="00404D6E" w14:paraId="5C811526" w14:textId="77777777" w:rsidTr="00D766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B52FA4" w14:textId="77777777" w:rsidR="000775DA" w:rsidRPr="00404D6E" w:rsidRDefault="000775DA" w:rsidP="00D76651">
            <w:pPr>
              <w:spacing w:after="160" w:line="278" w:lineRule="auto"/>
              <w:jc w:val="center"/>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Parameter</w:t>
            </w:r>
          </w:p>
        </w:tc>
        <w:tc>
          <w:tcPr>
            <w:tcW w:w="0" w:type="auto"/>
            <w:hideMark/>
          </w:tcPr>
          <w:p w14:paraId="59F1AE59" w14:textId="77777777" w:rsidR="000775DA" w:rsidRPr="00404D6E" w:rsidRDefault="000775DA"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Oguta Lake</w:t>
            </w:r>
          </w:p>
        </w:tc>
        <w:tc>
          <w:tcPr>
            <w:tcW w:w="0" w:type="auto"/>
            <w:hideMark/>
          </w:tcPr>
          <w:p w14:paraId="27BA76CF" w14:textId="77777777" w:rsidR="000775DA" w:rsidRPr="00404D6E" w:rsidRDefault="000775DA"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Njaba River</w:t>
            </w:r>
          </w:p>
        </w:tc>
        <w:tc>
          <w:tcPr>
            <w:tcW w:w="0" w:type="auto"/>
            <w:hideMark/>
          </w:tcPr>
          <w:p w14:paraId="376C9AF2" w14:textId="77777777" w:rsidR="000775DA" w:rsidRPr="00404D6E" w:rsidRDefault="000775DA"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NOAA Effects Range Low (ERL)</w:t>
            </w:r>
          </w:p>
        </w:tc>
      </w:tr>
      <w:tr w:rsidR="000775DA" w:rsidRPr="00404D6E" w14:paraId="5B5A1805"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5F152779" w14:textId="77777777" w:rsidR="000775DA" w:rsidRPr="00404D6E" w:rsidRDefault="000775DA"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TPHs</w:t>
            </w:r>
          </w:p>
        </w:tc>
        <w:tc>
          <w:tcPr>
            <w:tcW w:w="0" w:type="auto"/>
            <w:hideMark/>
          </w:tcPr>
          <w:p w14:paraId="49983089"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5.32</w:t>
            </w:r>
          </w:p>
        </w:tc>
        <w:tc>
          <w:tcPr>
            <w:tcW w:w="0" w:type="auto"/>
            <w:hideMark/>
          </w:tcPr>
          <w:p w14:paraId="6E8AE0F7"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6.01</w:t>
            </w:r>
          </w:p>
        </w:tc>
        <w:tc>
          <w:tcPr>
            <w:tcW w:w="0" w:type="auto"/>
            <w:hideMark/>
          </w:tcPr>
          <w:p w14:paraId="60E564D5"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w:t>
            </w:r>
          </w:p>
        </w:tc>
      </w:tr>
      <w:tr w:rsidR="000775DA" w:rsidRPr="00404D6E" w14:paraId="6FF63F58"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2A584D16" w14:textId="77777777" w:rsidR="000775DA" w:rsidRPr="00404D6E" w:rsidRDefault="000775DA"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Naphthalene</w:t>
            </w:r>
          </w:p>
        </w:tc>
        <w:tc>
          <w:tcPr>
            <w:tcW w:w="0" w:type="auto"/>
            <w:hideMark/>
          </w:tcPr>
          <w:p w14:paraId="18921398"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0.14</w:t>
            </w:r>
          </w:p>
        </w:tc>
        <w:tc>
          <w:tcPr>
            <w:tcW w:w="0" w:type="auto"/>
            <w:hideMark/>
          </w:tcPr>
          <w:p w14:paraId="37067673"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0.17</w:t>
            </w:r>
          </w:p>
        </w:tc>
        <w:tc>
          <w:tcPr>
            <w:tcW w:w="0" w:type="auto"/>
            <w:hideMark/>
          </w:tcPr>
          <w:p w14:paraId="0DFAF784"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0.16</w:t>
            </w:r>
          </w:p>
        </w:tc>
      </w:tr>
      <w:tr w:rsidR="000775DA" w:rsidRPr="00404D6E" w14:paraId="6BDE8AFB"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54E8FC3E" w14:textId="77777777" w:rsidR="000775DA" w:rsidRPr="00404D6E" w:rsidRDefault="000775DA"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Phenanthrene</w:t>
            </w:r>
          </w:p>
        </w:tc>
        <w:tc>
          <w:tcPr>
            <w:tcW w:w="0" w:type="auto"/>
            <w:hideMark/>
          </w:tcPr>
          <w:p w14:paraId="0921B84F"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0.21</w:t>
            </w:r>
          </w:p>
        </w:tc>
        <w:tc>
          <w:tcPr>
            <w:tcW w:w="0" w:type="auto"/>
            <w:hideMark/>
          </w:tcPr>
          <w:p w14:paraId="6DA863BF"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0.25</w:t>
            </w:r>
          </w:p>
        </w:tc>
        <w:tc>
          <w:tcPr>
            <w:tcW w:w="0" w:type="auto"/>
            <w:hideMark/>
          </w:tcPr>
          <w:p w14:paraId="7007874D"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0.24</w:t>
            </w:r>
          </w:p>
        </w:tc>
      </w:tr>
      <w:tr w:rsidR="000775DA" w:rsidRPr="00404D6E" w14:paraId="152E77B4"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5386C2AF" w14:textId="77777777" w:rsidR="000775DA" w:rsidRPr="00404D6E" w:rsidRDefault="000775DA"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Fluoranthene</w:t>
            </w:r>
          </w:p>
        </w:tc>
        <w:tc>
          <w:tcPr>
            <w:tcW w:w="0" w:type="auto"/>
            <w:hideMark/>
          </w:tcPr>
          <w:p w14:paraId="73E78505"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0.39</w:t>
            </w:r>
          </w:p>
        </w:tc>
        <w:tc>
          <w:tcPr>
            <w:tcW w:w="0" w:type="auto"/>
            <w:hideMark/>
          </w:tcPr>
          <w:p w14:paraId="13E6FBAB"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0.44</w:t>
            </w:r>
          </w:p>
        </w:tc>
        <w:tc>
          <w:tcPr>
            <w:tcW w:w="0" w:type="auto"/>
            <w:hideMark/>
          </w:tcPr>
          <w:p w14:paraId="1F518380"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0.60</w:t>
            </w:r>
          </w:p>
        </w:tc>
      </w:tr>
      <w:tr w:rsidR="000775DA" w:rsidRPr="00404D6E" w14:paraId="7F5B1B09"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32B302B1" w14:textId="77777777" w:rsidR="000775DA" w:rsidRPr="00404D6E" w:rsidRDefault="000775DA"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Benzo[a]pyrene</w:t>
            </w:r>
          </w:p>
        </w:tc>
        <w:tc>
          <w:tcPr>
            <w:tcW w:w="0" w:type="auto"/>
            <w:hideMark/>
          </w:tcPr>
          <w:p w14:paraId="187B1306"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0.29</w:t>
            </w:r>
          </w:p>
        </w:tc>
        <w:tc>
          <w:tcPr>
            <w:tcW w:w="0" w:type="auto"/>
            <w:hideMark/>
          </w:tcPr>
          <w:p w14:paraId="44959509"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0.33</w:t>
            </w:r>
          </w:p>
        </w:tc>
        <w:tc>
          <w:tcPr>
            <w:tcW w:w="0" w:type="auto"/>
            <w:hideMark/>
          </w:tcPr>
          <w:p w14:paraId="39835B87"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0.43</w:t>
            </w:r>
          </w:p>
        </w:tc>
      </w:tr>
      <w:tr w:rsidR="000775DA" w:rsidRPr="00404D6E" w14:paraId="19950E04"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65293608" w14:textId="77777777" w:rsidR="000775DA" w:rsidRPr="00404D6E" w:rsidRDefault="000775DA"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Total PAHs</w:t>
            </w:r>
          </w:p>
        </w:tc>
        <w:tc>
          <w:tcPr>
            <w:tcW w:w="0" w:type="auto"/>
            <w:hideMark/>
          </w:tcPr>
          <w:p w14:paraId="790AC438"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1.88</w:t>
            </w:r>
          </w:p>
        </w:tc>
        <w:tc>
          <w:tcPr>
            <w:tcW w:w="0" w:type="auto"/>
            <w:hideMark/>
          </w:tcPr>
          <w:p w14:paraId="2D168717"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2.13</w:t>
            </w:r>
          </w:p>
        </w:tc>
        <w:tc>
          <w:tcPr>
            <w:tcW w:w="0" w:type="auto"/>
            <w:hideMark/>
          </w:tcPr>
          <w:p w14:paraId="544942D0"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w:t>
            </w:r>
          </w:p>
        </w:tc>
      </w:tr>
    </w:tbl>
    <w:p w14:paraId="06476AE0" w14:textId="77777777" w:rsidR="000775DA" w:rsidRDefault="000775DA" w:rsidP="000775DA">
      <w:pPr>
        <w:jc w:val="both"/>
        <w:rPr>
          <w:b/>
          <w:bCs/>
        </w:rPr>
      </w:pPr>
    </w:p>
    <w:p w14:paraId="7CDBC86C" w14:textId="77777777" w:rsidR="000775DA" w:rsidRDefault="000775DA" w:rsidP="000775DA">
      <w:pPr>
        <w:jc w:val="center"/>
        <w:rPr>
          <w:b/>
          <w:bCs/>
        </w:rPr>
      </w:pPr>
    </w:p>
    <w:p w14:paraId="16A4C827" w14:textId="77777777" w:rsidR="000775DA" w:rsidRPr="00404D6E" w:rsidRDefault="000775DA" w:rsidP="000775DA">
      <w:pPr>
        <w:jc w:val="both"/>
        <w:rPr>
          <w:rFonts w:ascii="Times New Roman" w:hAnsi="Times New Roman" w:cs="Times New Roman"/>
          <w:color w:val="0D0D0D" w:themeColor="text1" w:themeTint="F2"/>
        </w:rPr>
      </w:pPr>
      <w:r w:rsidRPr="00404D6E">
        <w:rPr>
          <w:rFonts w:ascii="Times New Roman" w:hAnsi="Times New Roman" w:cs="Times New Roman"/>
          <w:b/>
          <w:bCs/>
          <w:color w:val="0D0D0D" w:themeColor="text1" w:themeTint="F2"/>
        </w:rPr>
        <w:t>Table 7</w:t>
      </w:r>
      <w:r>
        <w:rPr>
          <w:rFonts w:ascii="Times New Roman" w:hAnsi="Times New Roman" w:cs="Times New Roman"/>
          <w:b/>
          <w:bCs/>
          <w:color w:val="0D0D0D" w:themeColor="text1" w:themeTint="F2"/>
        </w:rPr>
        <w:t>.</w:t>
      </w:r>
      <w:r w:rsidRPr="00404D6E">
        <w:rPr>
          <w:rFonts w:ascii="Times New Roman" w:hAnsi="Times New Roman" w:cs="Times New Roman"/>
          <w:b/>
          <w:bCs/>
          <w:color w:val="0D0D0D" w:themeColor="text1" w:themeTint="F2"/>
        </w:rPr>
        <w:t xml:space="preserve"> </w:t>
      </w:r>
      <w:r w:rsidRPr="00404D6E">
        <w:rPr>
          <w:rFonts w:ascii="Times New Roman" w:hAnsi="Times New Roman" w:cs="Times New Roman"/>
          <w:color w:val="0D0D0D" w:themeColor="text1" w:themeTint="F2"/>
        </w:rPr>
        <w:t xml:space="preserve">Acute Toxicity (96h LC₅₀) for </w:t>
      </w:r>
      <w:r w:rsidRPr="00404D6E">
        <w:rPr>
          <w:rFonts w:ascii="Times New Roman" w:hAnsi="Times New Roman" w:cs="Times New Roman"/>
          <w:i/>
          <w:iCs/>
          <w:color w:val="0D0D0D" w:themeColor="text1" w:themeTint="F2"/>
        </w:rPr>
        <w:t>Clarias gariepinus</w:t>
      </w:r>
      <w:r w:rsidRPr="00404D6E">
        <w:rPr>
          <w:rFonts w:ascii="Times New Roman" w:hAnsi="Times New Roman" w:cs="Times New Roman"/>
          <w:color w:val="0D0D0D" w:themeColor="text1" w:themeTint="F2"/>
        </w:rPr>
        <w:t xml:space="preserve">, </w:t>
      </w:r>
      <w:r w:rsidRPr="00404D6E">
        <w:rPr>
          <w:rFonts w:ascii="Times New Roman" w:hAnsi="Times New Roman" w:cs="Times New Roman"/>
          <w:i/>
          <w:iCs/>
          <w:color w:val="0D0D0D" w:themeColor="text1" w:themeTint="F2"/>
        </w:rPr>
        <w:t>Daphnia magna</w:t>
      </w:r>
      <w:r w:rsidRPr="00404D6E">
        <w:rPr>
          <w:rFonts w:ascii="Times New Roman" w:hAnsi="Times New Roman" w:cs="Times New Roman"/>
          <w:color w:val="0D0D0D" w:themeColor="text1" w:themeTint="F2"/>
        </w:rPr>
        <w:t xml:space="preserve">, and </w:t>
      </w:r>
      <w:r w:rsidRPr="00404D6E">
        <w:rPr>
          <w:rFonts w:ascii="Times New Roman" w:hAnsi="Times New Roman" w:cs="Times New Roman"/>
          <w:i/>
          <w:iCs/>
          <w:color w:val="0D0D0D" w:themeColor="text1" w:themeTint="F2"/>
        </w:rPr>
        <w:t>Chlorella vulgaris</w:t>
      </w:r>
    </w:p>
    <w:tbl>
      <w:tblPr>
        <w:tblStyle w:val="PlainTable2"/>
        <w:tblW w:w="0" w:type="auto"/>
        <w:tblLook w:val="06A0" w:firstRow="1" w:lastRow="0" w:firstColumn="1" w:lastColumn="0" w:noHBand="1" w:noVBand="1"/>
      </w:tblPr>
      <w:tblGrid>
        <w:gridCol w:w="2050"/>
        <w:gridCol w:w="2136"/>
        <w:gridCol w:w="2642"/>
        <w:gridCol w:w="1815"/>
      </w:tblGrid>
      <w:tr w:rsidR="000775DA" w:rsidRPr="00404D6E" w14:paraId="15712E26" w14:textId="77777777" w:rsidTr="00D766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9F4FD1" w14:textId="77777777" w:rsidR="000775DA" w:rsidRPr="00404D6E" w:rsidRDefault="000775DA" w:rsidP="00D76651">
            <w:pPr>
              <w:spacing w:after="160" w:line="278" w:lineRule="auto"/>
              <w:jc w:val="center"/>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Organism</w:t>
            </w:r>
          </w:p>
        </w:tc>
        <w:tc>
          <w:tcPr>
            <w:tcW w:w="0" w:type="auto"/>
            <w:hideMark/>
          </w:tcPr>
          <w:p w14:paraId="5CC5E1FC" w14:textId="77777777" w:rsidR="000775DA" w:rsidRPr="00404D6E" w:rsidRDefault="000775DA"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Test Medium</w:t>
            </w:r>
          </w:p>
        </w:tc>
        <w:tc>
          <w:tcPr>
            <w:tcW w:w="0" w:type="auto"/>
            <w:hideMark/>
          </w:tcPr>
          <w:p w14:paraId="2E7B7151" w14:textId="77777777" w:rsidR="000775DA" w:rsidRPr="00404D6E" w:rsidRDefault="000775DA"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LC₅₀/EC₅₀ Value (mg/L)</w:t>
            </w:r>
          </w:p>
        </w:tc>
        <w:tc>
          <w:tcPr>
            <w:tcW w:w="0" w:type="auto"/>
            <w:hideMark/>
          </w:tcPr>
          <w:p w14:paraId="50B6F210" w14:textId="77777777" w:rsidR="000775DA" w:rsidRPr="00404D6E" w:rsidRDefault="000775DA"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Toxicity Rating</w:t>
            </w:r>
          </w:p>
        </w:tc>
      </w:tr>
      <w:tr w:rsidR="000775DA" w:rsidRPr="00404D6E" w14:paraId="002FD700"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32043595" w14:textId="77777777" w:rsidR="000775DA" w:rsidRPr="00404D6E" w:rsidRDefault="000775DA"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i/>
                <w:iCs/>
                <w:color w:val="0D0D0D" w:themeColor="text1" w:themeTint="F2"/>
              </w:rPr>
              <w:t>Clarias gariepinus</w:t>
            </w:r>
          </w:p>
        </w:tc>
        <w:tc>
          <w:tcPr>
            <w:tcW w:w="0" w:type="auto"/>
            <w:hideMark/>
          </w:tcPr>
          <w:p w14:paraId="66885D6F" w14:textId="77777777" w:rsidR="000775DA" w:rsidRPr="00404D6E" w:rsidRDefault="000775DA"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Njaba River Extract</w:t>
            </w:r>
          </w:p>
        </w:tc>
        <w:tc>
          <w:tcPr>
            <w:tcW w:w="0" w:type="auto"/>
            <w:hideMark/>
          </w:tcPr>
          <w:p w14:paraId="18755008"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18.2</w:t>
            </w:r>
          </w:p>
        </w:tc>
        <w:tc>
          <w:tcPr>
            <w:tcW w:w="0" w:type="auto"/>
            <w:hideMark/>
          </w:tcPr>
          <w:p w14:paraId="678BFB2D" w14:textId="77777777" w:rsidR="000775DA" w:rsidRPr="00404D6E" w:rsidRDefault="000775DA"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Highly Toxic</w:t>
            </w:r>
          </w:p>
        </w:tc>
      </w:tr>
      <w:tr w:rsidR="000775DA" w:rsidRPr="00404D6E" w14:paraId="13972CB6"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4657D2D2" w14:textId="77777777" w:rsidR="000775DA" w:rsidRPr="00404D6E" w:rsidRDefault="000775DA"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i/>
                <w:iCs/>
                <w:color w:val="0D0D0D" w:themeColor="text1" w:themeTint="F2"/>
              </w:rPr>
              <w:t>Clarias gariepinus</w:t>
            </w:r>
          </w:p>
        </w:tc>
        <w:tc>
          <w:tcPr>
            <w:tcW w:w="0" w:type="auto"/>
            <w:hideMark/>
          </w:tcPr>
          <w:p w14:paraId="323FA87E" w14:textId="77777777" w:rsidR="000775DA" w:rsidRPr="00404D6E" w:rsidRDefault="000775DA"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Oguta Lake Extract</w:t>
            </w:r>
          </w:p>
        </w:tc>
        <w:tc>
          <w:tcPr>
            <w:tcW w:w="0" w:type="auto"/>
            <w:hideMark/>
          </w:tcPr>
          <w:p w14:paraId="4F2FC8B5"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22.7</w:t>
            </w:r>
          </w:p>
        </w:tc>
        <w:tc>
          <w:tcPr>
            <w:tcW w:w="0" w:type="auto"/>
            <w:hideMark/>
          </w:tcPr>
          <w:p w14:paraId="7733A6E9" w14:textId="77777777" w:rsidR="000775DA" w:rsidRPr="00404D6E" w:rsidRDefault="000775DA"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Toxic</w:t>
            </w:r>
          </w:p>
        </w:tc>
      </w:tr>
      <w:tr w:rsidR="000775DA" w:rsidRPr="00404D6E" w14:paraId="0083726E"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299B0388" w14:textId="77777777" w:rsidR="000775DA" w:rsidRPr="00404D6E" w:rsidRDefault="000775DA"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i/>
                <w:iCs/>
                <w:color w:val="0D0D0D" w:themeColor="text1" w:themeTint="F2"/>
              </w:rPr>
              <w:t>Daphnia magna</w:t>
            </w:r>
          </w:p>
        </w:tc>
        <w:tc>
          <w:tcPr>
            <w:tcW w:w="0" w:type="auto"/>
            <w:hideMark/>
          </w:tcPr>
          <w:p w14:paraId="3AE341D6" w14:textId="77777777" w:rsidR="000775DA" w:rsidRPr="00404D6E" w:rsidRDefault="000775DA"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Njaba River Extract</w:t>
            </w:r>
          </w:p>
        </w:tc>
        <w:tc>
          <w:tcPr>
            <w:tcW w:w="0" w:type="auto"/>
            <w:hideMark/>
          </w:tcPr>
          <w:p w14:paraId="3B6188E2"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9.6</w:t>
            </w:r>
          </w:p>
        </w:tc>
        <w:tc>
          <w:tcPr>
            <w:tcW w:w="0" w:type="auto"/>
            <w:hideMark/>
          </w:tcPr>
          <w:p w14:paraId="27CD0D49" w14:textId="77777777" w:rsidR="000775DA" w:rsidRPr="00404D6E" w:rsidRDefault="000775DA"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Very Toxic</w:t>
            </w:r>
          </w:p>
        </w:tc>
      </w:tr>
      <w:tr w:rsidR="000775DA" w:rsidRPr="00404D6E" w14:paraId="0DEA5999"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4DC98F52" w14:textId="77777777" w:rsidR="000775DA" w:rsidRPr="00404D6E" w:rsidRDefault="000775DA"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i/>
                <w:iCs/>
                <w:color w:val="0D0D0D" w:themeColor="text1" w:themeTint="F2"/>
              </w:rPr>
              <w:t>Daphnia magna</w:t>
            </w:r>
          </w:p>
        </w:tc>
        <w:tc>
          <w:tcPr>
            <w:tcW w:w="0" w:type="auto"/>
            <w:hideMark/>
          </w:tcPr>
          <w:p w14:paraId="488C20D2" w14:textId="77777777" w:rsidR="000775DA" w:rsidRPr="00404D6E" w:rsidRDefault="000775DA"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Oguta Lake Extract</w:t>
            </w:r>
          </w:p>
        </w:tc>
        <w:tc>
          <w:tcPr>
            <w:tcW w:w="0" w:type="auto"/>
            <w:hideMark/>
          </w:tcPr>
          <w:p w14:paraId="42D3EA09"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11.4</w:t>
            </w:r>
          </w:p>
        </w:tc>
        <w:tc>
          <w:tcPr>
            <w:tcW w:w="0" w:type="auto"/>
            <w:hideMark/>
          </w:tcPr>
          <w:p w14:paraId="56C63BA0" w14:textId="77777777" w:rsidR="000775DA" w:rsidRPr="00404D6E" w:rsidRDefault="000775DA"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Very Toxic</w:t>
            </w:r>
          </w:p>
        </w:tc>
      </w:tr>
      <w:tr w:rsidR="000775DA" w:rsidRPr="00404D6E" w14:paraId="5A34AF4F"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727BE858" w14:textId="77777777" w:rsidR="000775DA" w:rsidRPr="00404D6E" w:rsidRDefault="000775DA"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i/>
                <w:iCs/>
                <w:color w:val="0D0D0D" w:themeColor="text1" w:themeTint="F2"/>
              </w:rPr>
              <w:t>Chlorella vulgaris</w:t>
            </w:r>
          </w:p>
        </w:tc>
        <w:tc>
          <w:tcPr>
            <w:tcW w:w="0" w:type="auto"/>
            <w:hideMark/>
          </w:tcPr>
          <w:p w14:paraId="168D66CA" w14:textId="77777777" w:rsidR="000775DA" w:rsidRPr="00404D6E" w:rsidRDefault="000775DA"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Njaba River Extract</w:t>
            </w:r>
          </w:p>
        </w:tc>
        <w:tc>
          <w:tcPr>
            <w:tcW w:w="0" w:type="auto"/>
            <w:hideMark/>
          </w:tcPr>
          <w:p w14:paraId="49AD1FBC"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5.8</w:t>
            </w:r>
          </w:p>
        </w:tc>
        <w:tc>
          <w:tcPr>
            <w:tcW w:w="0" w:type="auto"/>
            <w:hideMark/>
          </w:tcPr>
          <w:p w14:paraId="11A74CA9" w14:textId="77777777" w:rsidR="000775DA" w:rsidRPr="00404D6E" w:rsidRDefault="000775DA"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Extremely Toxic</w:t>
            </w:r>
          </w:p>
        </w:tc>
      </w:tr>
      <w:tr w:rsidR="000775DA" w:rsidRPr="00404D6E" w14:paraId="4C93E3EC"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32364137" w14:textId="77777777" w:rsidR="000775DA" w:rsidRPr="00404D6E" w:rsidRDefault="000775DA"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i/>
                <w:iCs/>
                <w:color w:val="0D0D0D" w:themeColor="text1" w:themeTint="F2"/>
              </w:rPr>
              <w:t>Chlorella vulgaris</w:t>
            </w:r>
          </w:p>
        </w:tc>
        <w:tc>
          <w:tcPr>
            <w:tcW w:w="0" w:type="auto"/>
            <w:hideMark/>
          </w:tcPr>
          <w:p w14:paraId="6670BAD0" w14:textId="77777777" w:rsidR="000775DA" w:rsidRPr="00404D6E" w:rsidRDefault="000775DA"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Oguta Lake Extract</w:t>
            </w:r>
          </w:p>
        </w:tc>
        <w:tc>
          <w:tcPr>
            <w:tcW w:w="0" w:type="auto"/>
            <w:hideMark/>
          </w:tcPr>
          <w:p w14:paraId="0DBBA39E"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6.3</w:t>
            </w:r>
          </w:p>
        </w:tc>
        <w:tc>
          <w:tcPr>
            <w:tcW w:w="0" w:type="auto"/>
            <w:hideMark/>
          </w:tcPr>
          <w:p w14:paraId="7280A702" w14:textId="77777777" w:rsidR="000775DA" w:rsidRPr="00404D6E" w:rsidRDefault="000775DA"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Extremely Toxic</w:t>
            </w:r>
          </w:p>
        </w:tc>
      </w:tr>
    </w:tbl>
    <w:p w14:paraId="609BB9A9" w14:textId="77777777" w:rsidR="000775DA" w:rsidRPr="00404D6E" w:rsidRDefault="000775DA" w:rsidP="000775DA">
      <w:pPr>
        <w:jc w:val="both"/>
        <w:rPr>
          <w:rFonts w:ascii="Times New Roman" w:hAnsi="Times New Roman" w:cs="Times New Roman"/>
          <w:color w:val="0D0D0D" w:themeColor="text1" w:themeTint="F2"/>
        </w:rPr>
      </w:pPr>
    </w:p>
    <w:p w14:paraId="512E7BEF" w14:textId="77777777" w:rsidR="000775DA" w:rsidRPr="00404D6E" w:rsidRDefault="000775DA" w:rsidP="000775DA">
      <w:pPr>
        <w:jc w:val="both"/>
        <w:rPr>
          <w:rFonts w:ascii="Times New Roman" w:hAnsi="Times New Roman" w:cs="Times New Roman"/>
          <w:color w:val="0D0D0D" w:themeColor="text1" w:themeTint="F2"/>
        </w:rPr>
      </w:pPr>
      <w:r w:rsidRPr="00404D6E">
        <w:rPr>
          <w:rFonts w:ascii="Times New Roman" w:hAnsi="Times New Roman" w:cs="Times New Roman"/>
          <w:b/>
          <w:bCs/>
          <w:color w:val="0D0D0D" w:themeColor="text1" w:themeTint="F2"/>
        </w:rPr>
        <w:t>Table 8</w:t>
      </w:r>
      <w:r>
        <w:rPr>
          <w:rFonts w:ascii="Times New Roman" w:hAnsi="Times New Roman" w:cs="Times New Roman"/>
          <w:b/>
          <w:bCs/>
          <w:color w:val="0D0D0D" w:themeColor="text1" w:themeTint="F2"/>
        </w:rPr>
        <w:t>.</w:t>
      </w:r>
      <w:r w:rsidRPr="00404D6E">
        <w:rPr>
          <w:rFonts w:ascii="Times New Roman" w:hAnsi="Times New Roman" w:cs="Times New Roman"/>
          <w:b/>
          <w:bCs/>
          <w:color w:val="0D0D0D" w:themeColor="text1" w:themeTint="F2"/>
        </w:rPr>
        <w:t xml:space="preserve"> </w:t>
      </w:r>
      <w:r w:rsidRPr="00404D6E">
        <w:rPr>
          <w:rFonts w:ascii="Times New Roman" w:hAnsi="Times New Roman" w:cs="Times New Roman"/>
          <w:color w:val="0D0D0D" w:themeColor="text1" w:themeTint="F2"/>
        </w:rPr>
        <w:t xml:space="preserve">Biochemical Biomarker Responses in Exposed </w:t>
      </w:r>
      <w:r w:rsidRPr="00404D6E">
        <w:rPr>
          <w:rFonts w:ascii="Times New Roman" w:hAnsi="Times New Roman" w:cs="Times New Roman"/>
          <w:i/>
          <w:iCs/>
          <w:color w:val="0D0D0D" w:themeColor="text1" w:themeTint="F2"/>
        </w:rPr>
        <w:t>Clarias gariepinus</w:t>
      </w:r>
    </w:p>
    <w:tbl>
      <w:tblPr>
        <w:tblStyle w:val="PlainTable2"/>
        <w:tblW w:w="0" w:type="auto"/>
        <w:tblLook w:val="06A0" w:firstRow="1" w:lastRow="0" w:firstColumn="1" w:lastColumn="0" w:noHBand="1" w:noVBand="1"/>
      </w:tblPr>
      <w:tblGrid>
        <w:gridCol w:w="3677"/>
        <w:gridCol w:w="1764"/>
        <w:gridCol w:w="1891"/>
        <w:gridCol w:w="1910"/>
      </w:tblGrid>
      <w:tr w:rsidR="000775DA" w:rsidRPr="00404D6E" w14:paraId="173C9B77" w14:textId="77777777" w:rsidTr="00D766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555D1B" w14:textId="77777777" w:rsidR="000775DA" w:rsidRPr="00404D6E" w:rsidRDefault="000775DA" w:rsidP="00D76651">
            <w:pPr>
              <w:spacing w:after="160"/>
              <w:jc w:val="center"/>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Biomarker Enzyme</w:t>
            </w:r>
          </w:p>
        </w:tc>
        <w:tc>
          <w:tcPr>
            <w:tcW w:w="0" w:type="auto"/>
            <w:hideMark/>
          </w:tcPr>
          <w:p w14:paraId="08E1DA7C" w14:textId="77777777" w:rsidR="000775DA" w:rsidRPr="00404D6E" w:rsidRDefault="000775DA" w:rsidP="00D76651">
            <w:pPr>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Control (Mean ± SD)</w:t>
            </w:r>
          </w:p>
        </w:tc>
        <w:tc>
          <w:tcPr>
            <w:tcW w:w="0" w:type="auto"/>
            <w:hideMark/>
          </w:tcPr>
          <w:p w14:paraId="5B877C52" w14:textId="77777777" w:rsidR="000775DA" w:rsidRPr="00404D6E" w:rsidRDefault="000775DA" w:rsidP="00D76651">
            <w:pPr>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Oguta Lake Exposure</w:t>
            </w:r>
          </w:p>
        </w:tc>
        <w:tc>
          <w:tcPr>
            <w:tcW w:w="0" w:type="auto"/>
            <w:hideMark/>
          </w:tcPr>
          <w:p w14:paraId="77B9353F" w14:textId="77777777" w:rsidR="000775DA" w:rsidRPr="00404D6E" w:rsidRDefault="000775DA" w:rsidP="00D76651">
            <w:pPr>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Njaba River Exposure</w:t>
            </w:r>
          </w:p>
        </w:tc>
      </w:tr>
      <w:tr w:rsidR="000775DA" w:rsidRPr="00404D6E" w14:paraId="73F5A1EB"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0B24D52A" w14:textId="77777777" w:rsidR="000775DA" w:rsidRPr="00404D6E" w:rsidRDefault="000775DA"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lastRenderedPageBreak/>
              <w:t>Catalase (CAT, U/mg protein)</w:t>
            </w:r>
          </w:p>
        </w:tc>
        <w:tc>
          <w:tcPr>
            <w:tcW w:w="0" w:type="auto"/>
            <w:hideMark/>
          </w:tcPr>
          <w:p w14:paraId="1F1250D3"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8.2 ± 0.4</w:t>
            </w:r>
          </w:p>
        </w:tc>
        <w:tc>
          <w:tcPr>
            <w:tcW w:w="0" w:type="auto"/>
            <w:hideMark/>
          </w:tcPr>
          <w:p w14:paraId="1CB37AB5"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5.7 ± 0.3</w:t>
            </w:r>
          </w:p>
        </w:tc>
        <w:tc>
          <w:tcPr>
            <w:tcW w:w="0" w:type="auto"/>
            <w:hideMark/>
          </w:tcPr>
          <w:p w14:paraId="2C77333E"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4.9 ± 0.2</w:t>
            </w:r>
          </w:p>
        </w:tc>
      </w:tr>
      <w:tr w:rsidR="000775DA" w:rsidRPr="00404D6E" w14:paraId="1584F7E5"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3151B0C1" w14:textId="77777777" w:rsidR="000775DA" w:rsidRPr="00404D6E" w:rsidRDefault="000775DA"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Superoxide Dismutase (SOD, U/mg)</w:t>
            </w:r>
          </w:p>
        </w:tc>
        <w:tc>
          <w:tcPr>
            <w:tcW w:w="0" w:type="auto"/>
            <w:hideMark/>
          </w:tcPr>
          <w:p w14:paraId="25F6A3AC"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11.5 ± 0.5</w:t>
            </w:r>
          </w:p>
        </w:tc>
        <w:tc>
          <w:tcPr>
            <w:tcW w:w="0" w:type="auto"/>
            <w:hideMark/>
          </w:tcPr>
          <w:p w14:paraId="01F1C2DF"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7.3 ± 0.4</w:t>
            </w:r>
          </w:p>
        </w:tc>
        <w:tc>
          <w:tcPr>
            <w:tcW w:w="0" w:type="auto"/>
            <w:hideMark/>
          </w:tcPr>
          <w:p w14:paraId="32CDA022"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6.1 ± 0.3</w:t>
            </w:r>
          </w:p>
        </w:tc>
      </w:tr>
      <w:tr w:rsidR="000775DA" w:rsidRPr="00404D6E" w14:paraId="7FE4527C"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2926D7DF" w14:textId="77777777" w:rsidR="000775DA" w:rsidRPr="00404D6E" w:rsidRDefault="000775DA"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Malondialdehyde (MDA, nmol/mg)</w:t>
            </w:r>
          </w:p>
        </w:tc>
        <w:tc>
          <w:tcPr>
            <w:tcW w:w="0" w:type="auto"/>
            <w:hideMark/>
          </w:tcPr>
          <w:p w14:paraId="52344B05"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2.1 ± 0.1</w:t>
            </w:r>
          </w:p>
        </w:tc>
        <w:tc>
          <w:tcPr>
            <w:tcW w:w="0" w:type="auto"/>
            <w:hideMark/>
          </w:tcPr>
          <w:p w14:paraId="3B2EE3D2"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3.9 ± 0.2</w:t>
            </w:r>
          </w:p>
        </w:tc>
        <w:tc>
          <w:tcPr>
            <w:tcW w:w="0" w:type="auto"/>
            <w:hideMark/>
          </w:tcPr>
          <w:p w14:paraId="10E6C370"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4.5 ± 0.3</w:t>
            </w:r>
          </w:p>
        </w:tc>
      </w:tr>
      <w:tr w:rsidR="000775DA" w:rsidRPr="00404D6E" w14:paraId="07562AD4"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753D6517" w14:textId="77777777" w:rsidR="000775DA" w:rsidRPr="00404D6E" w:rsidRDefault="000775DA"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Glutathione S-transferase (GST, µmol/min/mg)</w:t>
            </w:r>
          </w:p>
        </w:tc>
        <w:tc>
          <w:tcPr>
            <w:tcW w:w="0" w:type="auto"/>
            <w:hideMark/>
          </w:tcPr>
          <w:p w14:paraId="4F5C21E9"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5.6 ± 0.2</w:t>
            </w:r>
          </w:p>
        </w:tc>
        <w:tc>
          <w:tcPr>
            <w:tcW w:w="0" w:type="auto"/>
            <w:hideMark/>
          </w:tcPr>
          <w:p w14:paraId="1C8DB98B"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4.1 ± 0.2</w:t>
            </w:r>
          </w:p>
        </w:tc>
        <w:tc>
          <w:tcPr>
            <w:tcW w:w="0" w:type="auto"/>
            <w:hideMark/>
          </w:tcPr>
          <w:p w14:paraId="0413D16E"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3.4 ± 0.1</w:t>
            </w:r>
          </w:p>
        </w:tc>
      </w:tr>
    </w:tbl>
    <w:p w14:paraId="7F286641" w14:textId="0FB5AD88" w:rsidR="000775DA" w:rsidRPr="000775DA" w:rsidRDefault="000775DA" w:rsidP="004C768A">
      <w:pPr>
        <w:jc w:val="both"/>
        <w:rPr>
          <w:rFonts w:ascii="Times New Roman" w:hAnsi="Times New Roman" w:cs="Times New Roman"/>
          <w:b/>
          <w:bCs/>
          <w:color w:val="0D0D0D" w:themeColor="text1" w:themeTint="F2"/>
        </w:rPr>
      </w:pPr>
    </w:p>
    <w:p w14:paraId="2F977536" w14:textId="67D4ECED" w:rsidR="004C768A" w:rsidRPr="00404D6E" w:rsidRDefault="00C90FE1" w:rsidP="004C768A">
      <w:pPr>
        <w:jc w:val="both"/>
        <w:rPr>
          <w:rFonts w:ascii="Times New Roman" w:hAnsi="Times New Roman" w:cs="Times New Roman"/>
          <w:color w:val="0D0D0D" w:themeColor="text1" w:themeTint="F2"/>
        </w:rPr>
      </w:pPr>
      <w:r w:rsidRPr="00404D6E">
        <w:rPr>
          <w:noProof/>
          <w:lang w:val="en-IN" w:eastAsia="en-IN"/>
        </w:rPr>
        <w:drawing>
          <wp:anchor distT="0" distB="0" distL="114300" distR="114300" simplePos="0" relativeHeight="251661312" behindDoc="0" locked="0" layoutInCell="1" allowOverlap="1" wp14:anchorId="5EB71680" wp14:editId="42B5B94D">
            <wp:simplePos x="0" y="0"/>
            <wp:positionH relativeFrom="margin">
              <wp:align>left</wp:align>
            </wp:positionH>
            <wp:positionV relativeFrom="paragraph">
              <wp:posOffset>304800</wp:posOffset>
            </wp:positionV>
            <wp:extent cx="6313170" cy="4078605"/>
            <wp:effectExtent l="0" t="0" r="0" b="0"/>
            <wp:wrapTopAndBottom/>
            <wp:docPr id="24051195"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ED18DCD-A108-7049-7644-B759B08795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29879D4C" w14:textId="66C3087D" w:rsidR="00C90FE1" w:rsidRPr="00404D6E" w:rsidRDefault="007A3278" w:rsidP="004C768A">
      <w:pPr>
        <w:jc w:val="both"/>
        <w:rPr>
          <w:rFonts w:ascii="Times New Roman" w:hAnsi="Times New Roman" w:cs="Times New Roman"/>
          <w:b/>
          <w:bCs/>
          <w:color w:val="0D0D0D" w:themeColor="text1" w:themeTint="F2"/>
        </w:rPr>
      </w:pPr>
      <w:r w:rsidRPr="00404D6E">
        <w:rPr>
          <w:rFonts w:ascii="Times New Roman" w:hAnsi="Times New Roman" w:cs="Times New Roman"/>
          <w:b/>
          <w:bCs/>
          <w:color w:val="0D0D0D" w:themeColor="text1" w:themeTint="F2"/>
        </w:rPr>
        <w:t xml:space="preserve">Figure </w:t>
      </w:r>
      <w:r w:rsidR="00BC69E7" w:rsidRPr="00404D6E">
        <w:rPr>
          <w:rFonts w:ascii="Times New Roman" w:hAnsi="Times New Roman" w:cs="Times New Roman"/>
          <w:b/>
          <w:bCs/>
          <w:color w:val="0D0D0D" w:themeColor="text1" w:themeTint="F2"/>
        </w:rPr>
        <w:t>3</w:t>
      </w:r>
      <w:r w:rsidR="00DC1634">
        <w:rPr>
          <w:rFonts w:ascii="Times New Roman" w:hAnsi="Times New Roman" w:cs="Times New Roman"/>
          <w:b/>
          <w:bCs/>
          <w:color w:val="0D0D0D" w:themeColor="text1" w:themeTint="F2"/>
        </w:rPr>
        <w:t>.</w:t>
      </w:r>
      <w:r w:rsidRPr="00404D6E">
        <w:rPr>
          <w:rFonts w:ascii="Times New Roman" w:hAnsi="Times New Roman" w:cs="Times New Roman"/>
          <w:b/>
          <w:bCs/>
          <w:color w:val="0D0D0D" w:themeColor="text1" w:themeTint="F2"/>
        </w:rPr>
        <w:t xml:space="preserve"> </w:t>
      </w:r>
      <w:r w:rsidRPr="00404D6E">
        <w:rPr>
          <w:rFonts w:ascii="Times New Roman" w:hAnsi="Times New Roman" w:cs="Times New Roman"/>
          <w:color w:val="0D0D0D" w:themeColor="text1" w:themeTint="F2"/>
        </w:rPr>
        <w:t>Heavy Metal Levels in Sediment Compared to Dutch Target Values</w:t>
      </w:r>
    </w:p>
    <w:p w14:paraId="6954DBD6" w14:textId="77777777" w:rsidR="00C90FE1" w:rsidRPr="00404D6E" w:rsidRDefault="00C90FE1" w:rsidP="004C768A">
      <w:pPr>
        <w:jc w:val="both"/>
        <w:rPr>
          <w:rFonts w:ascii="Times New Roman" w:hAnsi="Times New Roman" w:cs="Times New Roman"/>
          <w:color w:val="0D0D0D" w:themeColor="text1" w:themeTint="F2"/>
        </w:rPr>
      </w:pPr>
    </w:p>
    <w:p w14:paraId="3557D764" w14:textId="77A08A67" w:rsidR="004C768A" w:rsidRPr="00404D6E" w:rsidRDefault="00EE3789" w:rsidP="004C768A">
      <w:pPr>
        <w:jc w:val="both"/>
        <w:rPr>
          <w:rFonts w:ascii="Times New Roman" w:hAnsi="Times New Roman" w:cs="Times New Roman"/>
          <w:color w:val="0D0D0D" w:themeColor="text1" w:themeTint="F2"/>
        </w:rPr>
      </w:pPr>
      <w:r w:rsidRPr="00404D6E">
        <w:rPr>
          <w:noProof/>
          <w:lang w:val="en-IN" w:eastAsia="en-IN"/>
        </w:rPr>
        <w:lastRenderedPageBreak/>
        <w:drawing>
          <wp:anchor distT="0" distB="0" distL="114300" distR="114300" simplePos="0" relativeHeight="251662336" behindDoc="0" locked="0" layoutInCell="1" allowOverlap="1" wp14:anchorId="3B81B7A6" wp14:editId="668FCA5F">
            <wp:simplePos x="0" y="0"/>
            <wp:positionH relativeFrom="margin">
              <wp:posOffset>-349885</wp:posOffset>
            </wp:positionH>
            <wp:positionV relativeFrom="paragraph">
              <wp:posOffset>308610</wp:posOffset>
            </wp:positionV>
            <wp:extent cx="6646545" cy="3768725"/>
            <wp:effectExtent l="0" t="0" r="0" b="0"/>
            <wp:wrapTopAndBottom/>
            <wp:docPr id="1122672525"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B3AB100-0DEE-6A92-9338-0007BB21A1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157B8784" w14:textId="01B41CFD" w:rsidR="00EE3789" w:rsidRDefault="00EE3789" w:rsidP="004C768A">
      <w:pPr>
        <w:jc w:val="both"/>
        <w:rPr>
          <w:rFonts w:ascii="Times New Roman" w:hAnsi="Times New Roman" w:cs="Times New Roman"/>
          <w:color w:val="0D0D0D" w:themeColor="text1" w:themeTint="F2"/>
        </w:rPr>
      </w:pPr>
      <w:r w:rsidRPr="00404D6E">
        <w:rPr>
          <w:rFonts w:ascii="Times New Roman" w:hAnsi="Times New Roman" w:cs="Times New Roman"/>
          <w:b/>
          <w:bCs/>
          <w:color w:val="0D0D0D" w:themeColor="text1" w:themeTint="F2"/>
        </w:rPr>
        <w:t>Figure</w:t>
      </w:r>
      <w:r w:rsidR="00BC69E7" w:rsidRPr="00404D6E">
        <w:rPr>
          <w:rFonts w:ascii="Times New Roman" w:hAnsi="Times New Roman" w:cs="Times New Roman"/>
          <w:b/>
          <w:bCs/>
          <w:color w:val="0D0D0D" w:themeColor="text1" w:themeTint="F2"/>
        </w:rPr>
        <w:t xml:space="preserve"> 4</w:t>
      </w:r>
      <w:r w:rsidR="00DC1634">
        <w:rPr>
          <w:rFonts w:ascii="Times New Roman" w:hAnsi="Times New Roman" w:cs="Times New Roman"/>
          <w:b/>
          <w:bCs/>
          <w:color w:val="0D0D0D" w:themeColor="text1" w:themeTint="F2"/>
        </w:rPr>
        <w:t>.</w:t>
      </w:r>
      <w:r w:rsidRPr="00404D6E">
        <w:rPr>
          <w:rFonts w:ascii="Times New Roman" w:hAnsi="Times New Roman" w:cs="Times New Roman"/>
          <w:b/>
          <w:bCs/>
          <w:color w:val="0D0D0D" w:themeColor="text1" w:themeTint="F2"/>
        </w:rPr>
        <w:t xml:space="preserve"> </w:t>
      </w:r>
      <w:r w:rsidRPr="00404D6E">
        <w:rPr>
          <w:rFonts w:ascii="Times New Roman" w:hAnsi="Times New Roman" w:cs="Times New Roman"/>
          <w:color w:val="0D0D0D" w:themeColor="text1" w:themeTint="F2"/>
        </w:rPr>
        <w:t>TPHs and PAHs in Sediment with NOAA ERL Values</w:t>
      </w:r>
    </w:p>
    <w:p w14:paraId="77763DEA" w14:textId="77777777" w:rsidR="00162C1F" w:rsidRPr="00404D6E" w:rsidRDefault="00162C1F" w:rsidP="00162C1F">
      <w:pPr>
        <w:jc w:val="both"/>
        <w:rPr>
          <w:rFonts w:ascii="Times New Roman" w:hAnsi="Times New Roman" w:cs="Times New Roman"/>
          <w:color w:val="0D0D0D" w:themeColor="text1" w:themeTint="F2"/>
        </w:rPr>
      </w:pPr>
      <w:r w:rsidRPr="00404D6E">
        <w:rPr>
          <w:noProof/>
          <w:lang w:val="en-IN" w:eastAsia="en-IN"/>
        </w:rPr>
        <w:drawing>
          <wp:anchor distT="0" distB="0" distL="114300" distR="114300" simplePos="0" relativeHeight="251667456" behindDoc="0" locked="0" layoutInCell="1" allowOverlap="1" wp14:anchorId="4F2ACD15" wp14:editId="380A8F79">
            <wp:simplePos x="0" y="0"/>
            <wp:positionH relativeFrom="margin">
              <wp:align>right</wp:align>
            </wp:positionH>
            <wp:positionV relativeFrom="paragraph">
              <wp:posOffset>306070</wp:posOffset>
            </wp:positionV>
            <wp:extent cx="5724525" cy="3744595"/>
            <wp:effectExtent l="0" t="0" r="0" b="0"/>
            <wp:wrapTopAndBottom/>
            <wp:docPr id="704392522"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D0513B-E7AE-0369-7146-217A1D8DC8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0E3234F8" w14:textId="77777777" w:rsidR="00162C1F" w:rsidRPr="00404D6E" w:rsidRDefault="00162C1F" w:rsidP="00162C1F">
      <w:pPr>
        <w:jc w:val="both"/>
        <w:rPr>
          <w:rFonts w:ascii="Times New Roman" w:hAnsi="Times New Roman" w:cs="Times New Roman"/>
          <w:color w:val="0D0D0D" w:themeColor="text1" w:themeTint="F2"/>
        </w:rPr>
      </w:pPr>
      <w:r w:rsidRPr="00404D6E">
        <w:rPr>
          <w:rFonts w:ascii="Times New Roman" w:hAnsi="Times New Roman" w:cs="Times New Roman"/>
          <w:b/>
          <w:bCs/>
          <w:color w:val="0D0D0D" w:themeColor="text1" w:themeTint="F2"/>
        </w:rPr>
        <w:t>Figure 5</w:t>
      </w:r>
      <w:r>
        <w:rPr>
          <w:rFonts w:ascii="Times New Roman" w:hAnsi="Times New Roman" w:cs="Times New Roman"/>
          <w:b/>
          <w:bCs/>
          <w:color w:val="0D0D0D" w:themeColor="text1" w:themeTint="F2"/>
        </w:rPr>
        <w:t>.</w:t>
      </w:r>
      <w:r w:rsidRPr="00404D6E">
        <w:rPr>
          <w:rFonts w:ascii="Times New Roman" w:hAnsi="Times New Roman" w:cs="Times New Roman"/>
          <w:b/>
          <w:bCs/>
          <w:color w:val="0D0D0D" w:themeColor="text1" w:themeTint="F2"/>
        </w:rPr>
        <w:t xml:space="preserve"> </w:t>
      </w:r>
      <w:r w:rsidRPr="00404D6E">
        <w:rPr>
          <w:rFonts w:ascii="Times New Roman" w:hAnsi="Times New Roman" w:cs="Times New Roman"/>
          <w:color w:val="0D0D0D" w:themeColor="text1" w:themeTint="F2"/>
        </w:rPr>
        <w:t>Trend of Biomarker Enzyme Responses Across Exposure Sites</w:t>
      </w:r>
    </w:p>
    <w:p w14:paraId="3726C46B" w14:textId="77777777" w:rsidR="00162C1F" w:rsidRPr="00404D6E" w:rsidRDefault="00162C1F" w:rsidP="00162C1F">
      <w:pPr>
        <w:jc w:val="both"/>
        <w:rPr>
          <w:rFonts w:ascii="Times New Roman" w:hAnsi="Times New Roman" w:cs="Times New Roman"/>
          <w:b/>
          <w:bCs/>
          <w:color w:val="0D0D0D" w:themeColor="text1" w:themeTint="F2"/>
        </w:rPr>
      </w:pPr>
      <w:r w:rsidRPr="00404D6E">
        <w:rPr>
          <w:rFonts w:ascii="Times New Roman" w:hAnsi="Times New Roman" w:cs="Times New Roman"/>
          <w:b/>
          <w:bCs/>
          <w:color w:val="0D0D0D" w:themeColor="text1" w:themeTint="F2"/>
        </w:rPr>
        <w:lastRenderedPageBreak/>
        <w:t>Table 9</w:t>
      </w:r>
      <w:r>
        <w:rPr>
          <w:rFonts w:ascii="Times New Roman" w:hAnsi="Times New Roman" w:cs="Times New Roman"/>
          <w:b/>
          <w:bCs/>
          <w:color w:val="0D0D0D" w:themeColor="text1" w:themeTint="F2"/>
        </w:rPr>
        <w:t>.</w:t>
      </w:r>
      <w:r w:rsidRPr="00404D6E">
        <w:rPr>
          <w:rFonts w:ascii="Times New Roman" w:hAnsi="Times New Roman" w:cs="Times New Roman"/>
          <w:b/>
          <w:bCs/>
          <w:color w:val="0D0D0D" w:themeColor="text1" w:themeTint="F2"/>
        </w:rPr>
        <w:t xml:space="preserve"> </w:t>
      </w:r>
      <w:r w:rsidRPr="00404D6E">
        <w:rPr>
          <w:rFonts w:ascii="Times New Roman" w:hAnsi="Times New Roman" w:cs="Times New Roman"/>
          <w:color w:val="0D0D0D" w:themeColor="text1" w:themeTint="F2"/>
        </w:rPr>
        <w:t xml:space="preserve">Histopathological Findings in Gills and Liver of </w:t>
      </w:r>
      <w:r w:rsidRPr="00404D6E">
        <w:rPr>
          <w:rFonts w:ascii="Times New Roman" w:hAnsi="Times New Roman" w:cs="Times New Roman"/>
          <w:i/>
          <w:iCs/>
          <w:color w:val="0D0D0D" w:themeColor="text1" w:themeTint="F2"/>
        </w:rPr>
        <w:t>Clarias gariepinus</w:t>
      </w:r>
    </w:p>
    <w:tbl>
      <w:tblPr>
        <w:tblStyle w:val="PlainTable2"/>
        <w:tblW w:w="0" w:type="auto"/>
        <w:tblLook w:val="06A0" w:firstRow="1" w:lastRow="0" w:firstColumn="1" w:lastColumn="0" w:noHBand="1" w:noVBand="1"/>
      </w:tblPr>
      <w:tblGrid>
        <w:gridCol w:w="866"/>
        <w:gridCol w:w="1786"/>
        <w:gridCol w:w="2861"/>
        <w:gridCol w:w="3729"/>
      </w:tblGrid>
      <w:tr w:rsidR="00162C1F" w:rsidRPr="00404D6E" w14:paraId="44CE4F9D" w14:textId="77777777" w:rsidTr="00D766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4A0ACB" w14:textId="77777777" w:rsidR="00162C1F" w:rsidRPr="00404D6E" w:rsidRDefault="00162C1F" w:rsidP="00D76651">
            <w:pPr>
              <w:spacing w:after="160" w:line="278" w:lineRule="auto"/>
              <w:jc w:val="center"/>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Tissue</w:t>
            </w:r>
          </w:p>
        </w:tc>
        <w:tc>
          <w:tcPr>
            <w:tcW w:w="0" w:type="auto"/>
            <w:hideMark/>
          </w:tcPr>
          <w:p w14:paraId="648D0A5A" w14:textId="77777777" w:rsidR="00162C1F" w:rsidRPr="00404D6E" w:rsidRDefault="00162C1F"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Control Group</w:t>
            </w:r>
          </w:p>
        </w:tc>
        <w:tc>
          <w:tcPr>
            <w:tcW w:w="0" w:type="auto"/>
            <w:hideMark/>
          </w:tcPr>
          <w:p w14:paraId="11D2FB29" w14:textId="77777777" w:rsidR="00162C1F" w:rsidRPr="00404D6E" w:rsidRDefault="00162C1F"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Oguta Lake Group</w:t>
            </w:r>
          </w:p>
        </w:tc>
        <w:tc>
          <w:tcPr>
            <w:tcW w:w="0" w:type="auto"/>
            <w:hideMark/>
          </w:tcPr>
          <w:p w14:paraId="65FA0CEA" w14:textId="77777777" w:rsidR="00162C1F" w:rsidRPr="00404D6E" w:rsidRDefault="00162C1F"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Njaba River Group</w:t>
            </w:r>
          </w:p>
        </w:tc>
      </w:tr>
      <w:tr w:rsidR="00162C1F" w:rsidRPr="00404D6E" w14:paraId="63957BF3"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39D11560" w14:textId="77777777" w:rsidR="00162C1F" w:rsidRPr="00404D6E" w:rsidRDefault="00162C1F"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Gills</w:t>
            </w:r>
          </w:p>
        </w:tc>
        <w:tc>
          <w:tcPr>
            <w:tcW w:w="0" w:type="auto"/>
            <w:hideMark/>
          </w:tcPr>
          <w:p w14:paraId="252DC776"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Normal lamellae</w:t>
            </w:r>
          </w:p>
        </w:tc>
        <w:tc>
          <w:tcPr>
            <w:tcW w:w="0" w:type="auto"/>
            <w:hideMark/>
          </w:tcPr>
          <w:p w14:paraId="6849CD8F"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Epithelial lifting, lamellar fusion</w:t>
            </w:r>
          </w:p>
        </w:tc>
        <w:tc>
          <w:tcPr>
            <w:tcW w:w="0" w:type="auto"/>
            <w:hideMark/>
          </w:tcPr>
          <w:p w14:paraId="725FE307"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Lamellar necrosis, severe hyperplasia</w:t>
            </w:r>
          </w:p>
        </w:tc>
      </w:tr>
      <w:tr w:rsidR="00162C1F" w:rsidRPr="00404D6E" w14:paraId="5FFBADB5"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78C11595" w14:textId="77777777" w:rsidR="00162C1F" w:rsidRPr="00404D6E" w:rsidRDefault="00162C1F"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Liver</w:t>
            </w:r>
          </w:p>
        </w:tc>
        <w:tc>
          <w:tcPr>
            <w:tcW w:w="0" w:type="auto"/>
            <w:hideMark/>
          </w:tcPr>
          <w:p w14:paraId="2265DC15"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Normal hepatocytes</w:t>
            </w:r>
          </w:p>
        </w:tc>
        <w:tc>
          <w:tcPr>
            <w:tcW w:w="0" w:type="auto"/>
            <w:hideMark/>
          </w:tcPr>
          <w:p w14:paraId="38B8DB49"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Mild vacuolation, sinusoidal congestion</w:t>
            </w:r>
          </w:p>
        </w:tc>
        <w:tc>
          <w:tcPr>
            <w:tcW w:w="0" w:type="auto"/>
            <w:hideMark/>
          </w:tcPr>
          <w:p w14:paraId="26C14834"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Fatty degeneration, necrosis, and bile duct proliferation</w:t>
            </w:r>
          </w:p>
        </w:tc>
      </w:tr>
    </w:tbl>
    <w:p w14:paraId="5543E925" w14:textId="77777777" w:rsidR="00162C1F" w:rsidRPr="00404D6E" w:rsidRDefault="00162C1F" w:rsidP="00162C1F">
      <w:pPr>
        <w:jc w:val="both"/>
        <w:rPr>
          <w:rFonts w:ascii="Times New Roman" w:hAnsi="Times New Roman" w:cs="Times New Roman"/>
          <w:color w:val="0D0D0D" w:themeColor="text1" w:themeTint="F2"/>
        </w:rPr>
      </w:pPr>
    </w:p>
    <w:p w14:paraId="29541BF7" w14:textId="77777777" w:rsidR="00162C1F" w:rsidRPr="00404D6E" w:rsidRDefault="00162C1F" w:rsidP="00162C1F">
      <w:pPr>
        <w:jc w:val="both"/>
        <w:rPr>
          <w:rFonts w:ascii="Times New Roman" w:hAnsi="Times New Roman" w:cs="Times New Roman"/>
          <w:b/>
          <w:bCs/>
          <w:color w:val="0D0D0D" w:themeColor="text1" w:themeTint="F2"/>
        </w:rPr>
      </w:pPr>
      <w:r w:rsidRPr="00404D6E">
        <w:rPr>
          <w:rFonts w:ascii="Times New Roman" w:hAnsi="Times New Roman" w:cs="Times New Roman"/>
          <w:b/>
          <w:bCs/>
          <w:color w:val="0D0D0D" w:themeColor="text1" w:themeTint="F2"/>
        </w:rPr>
        <w:t>Table 10</w:t>
      </w:r>
      <w:r>
        <w:rPr>
          <w:rFonts w:ascii="Times New Roman" w:hAnsi="Times New Roman" w:cs="Times New Roman"/>
          <w:b/>
          <w:bCs/>
          <w:color w:val="0D0D0D" w:themeColor="text1" w:themeTint="F2"/>
        </w:rPr>
        <w:t>.</w:t>
      </w:r>
      <w:r w:rsidRPr="00404D6E">
        <w:rPr>
          <w:rFonts w:ascii="Times New Roman" w:hAnsi="Times New Roman" w:cs="Times New Roman"/>
          <w:b/>
          <w:bCs/>
          <w:color w:val="0D0D0D" w:themeColor="text1" w:themeTint="F2"/>
        </w:rPr>
        <w:t xml:space="preserve"> </w:t>
      </w:r>
      <w:r w:rsidRPr="00404D6E">
        <w:rPr>
          <w:rFonts w:ascii="Times New Roman" w:hAnsi="Times New Roman" w:cs="Times New Roman"/>
          <w:color w:val="0D0D0D" w:themeColor="text1" w:themeTint="F2"/>
        </w:rPr>
        <w:t>Ecological Risk Assessment Indices</w:t>
      </w:r>
    </w:p>
    <w:tbl>
      <w:tblPr>
        <w:tblStyle w:val="PlainTable2"/>
        <w:tblW w:w="0" w:type="auto"/>
        <w:tblLook w:val="06A0" w:firstRow="1" w:lastRow="0" w:firstColumn="1" w:lastColumn="0" w:noHBand="1" w:noVBand="1"/>
      </w:tblPr>
      <w:tblGrid>
        <w:gridCol w:w="1566"/>
        <w:gridCol w:w="1283"/>
        <w:gridCol w:w="1270"/>
        <w:gridCol w:w="1316"/>
        <w:gridCol w:w="1303"/>
        <w:gridCol w:w="1259"/>
        <w:gridCol w:w="1245"/>
      </w:tblGrid>
      <w:tr w:rsidR="00162C1F" w:rsidRPr="00404D6E" w14:paraId="71CAA7C6" w14:textId="77777777" w:rsidTr="00D766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C19F4F" w14:textId="77777777" w:rsidR="00162C1F" w:rsidRPr="00404D6E" w:rsidRDefault="00162C1F" w:rsidP="00D76651">
            <w:pPr>
              <w:spacing w:after="160" w:line="278" w:lineRule="auto"/>
              <w:jc w:val="center"/>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Pollutant</w:t>
            </w:r>
          </w:p>
        </w:tc>
        <w:tc>
          <w:tcPr>
            <w:tcW w:w="0" w:type="auto"/>
            <w:hideMark/>
          </w:tcPr>
          <w:p w14:paraId="1109659B" w14:textId="77777777" w:rsidR="00162C1F" w:rsidRPr="00404D6E" w:rsidRDefault="00162C1F"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HQ (Oguta)</w:t>
            </w:r>
          </w:p>
        </w:tc>
        <w:tc>
          <w:tcPr>
            <w:tcW w:w="0" w:type="auto"/>
            <w:hideMark/>
          </w:tcPr>
          <w:p w14:paraId="308B9EDC" w14:textId="77777777" w:rsidR="00162C1F" w:rsidRPr="00404D6E" w:rsidRDefault="00162C1F"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HQ (Njaba)</w:t>
            </w:r>
          </w:p>
        </w:tc>
        <w:tc>
          <w:tcPr>
            <w:tcW w:w="0" w:type="auto"/>
            <w:hideMark/>
          </w:tcPr>
          <w:p w14:paraId="775A368F" w14:textId="77777777" w:rsidR="00162C1F" w:rsidRPr="00404D6E" w:rsidRDefault="00162C1F"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ERI (Oguta)</w:t>
            </w:r>
          </w:p>
        </w:tc>
        <w:tc>
          <w:tcPr>
            <w:tcW w:w="0" w:type="auto"/>
            <w:hideMark/>
          </w:tcPr>
          <w:p w14:paraId="5AEC0794" w14:textId="77777777" w:rsidR="00162C1F" w:rsidRPr="00404D6E" w:rsidRDefault="00162C1F"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ERI (Njaba)</w:t>
            </w:r>
          </w:p>
        </w:tc>
        <w:tc>
          <w:tcPr>
            <w:tcW w:w="0" w:type="auto"/>
            <w:hideMark/>
          </w:tcPr>
          <w:p w14:paraId="2BEBADE1" w14:textId="77777777" w:rsidR="00162C1F" w:rsidRPr="00404D6E" w:rsidRDefault="00162C1F"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TU (Oguta)</w:t>
            </w:r>
          </w:p>
        </w:tc>
        <w:tc>
          <w:tcPr>
            <w:tcW w:w="0" w:type="auto"/>
            <w:hideMark/>
          </w:tcPr>
          <w:p w14:paraId="0B7A66E9" w14:textId="77777777" w:rsidR="00162C1F" w:rsidRPr="00404D6E" w:rsidRDefault="00162C1F"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TU (Njaba)</w:t>
            </w:r>
          </w:p>
        </w:tc>
      </w:tr>
      <w:tr w:rsidR="00162C1F" w:rsidRPr="00404D6E" w14:paraId="15C2775A"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06933A70" w14:textId="77777777" w:rsidR="00162C1F" w:rsidRPr="00404D6E" w:rsidRDefault="00162C1F"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Lead (Pb)</w:t>
            </w:r>
          </w:p>
        </w:tc>
        <w:tc>
          <w:tcPr>
            <w:tcW w:w="0" w:type="auto"/>
            <w:hideMark/>
          </w:tcPr>
          <w:p w14:paraId="5935968E"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0.43</w:t>
            </w:r>
          </w:p>
        </w:tc>
        <w:tc>
          <w:tcPr>
            <w:tcW w:w="0" w:type="auto"/>
            <w:hideMark/>
          </w:tcPr>
          <w:p w14:paraId="77DDA471"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0.49</w:t>
            </w:r>
          </w:p>
        </w:tc>
        <w:tc>
          <w:tcPr>
            <w:tcW w:w="0" w:type="auto"/>
            <w:hideMark/>
          </w:tcPr>
          <w:p w14:paraId="0CFA819C"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21.5</w:t>
            </w:r>
          </w:p>
        </w:tc>
        <w:tc>
          <w:tcPr>
            <w:tcW w:w="0" w:type="auto"/>
            <w:hideMark/>
          </w:tcPr>
          <w:p w14:paraId="014AE936"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24.6</w:t>
            </w:r>
          </w:p>
        </w:tc>
        <w:tc>
          <w:tcPr>
            <w:tcW w:w="0" w:type="auto"/>
            <w:hideMark/>
          </w:tcPr>
          <w:p w14:paraId="31E15E30"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0.012</w:t>
            </w:r>
          </w:p>
        </w:tc>
        <w:tc>
          <w:tcPr>
            <w:tcW w:w="0" w:type="auto"/>
            <w:hideMark/>
          </w:tcPr>
          <w:p w14:paraId="2DE7194D"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0.014</w:t>
            </w:r>
          </w:p>
        </w:tc>
      </w:tr>
      <w:tr w:rsidR="00162C1F" w:rsidRPr="00404D6E" w14:paraId="64519CB9"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606987C1" w14:textId="77777777" w:rsidR="00162C1F" w:rsidRPr="00404D6E" w:rsidRDefault="00162C1F"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Cadmium (Cd)</w:t>
            </w:r>
          </w:p>
        </w:tc>
        <w:tc>
          <w:tcPr>
            <w:tcW w:w="0" w:type="auto"/>
            <w:hideMark/>
          </w:tcPr>
          <w:p w14:paraId="4B89E751"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1.60</w:t>
            </w:r>
          </w:p>
        </w:tc>
        <w:tc>
          <w:tcPr>
            <w:tcW w:w="0" w:type="auto"/>
            <w:hideMark/>
          </w:tcPr>
          <w:p w14:paraId="047BFBAD"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1.81</w:t>
            </w:r>
          </w:p>
        </w:tc>
        <w:tc>
          <w:tcPr>
            <w:tcW w:w="0" w:type="auto"/>
            <w:hideMark/>
          </w:tcPr>
          <w:p w14:paraId="2372C8E2"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32.0</w:t>
            </w:r>
          </w:p>
        </w:tc>
        <w:tc>
          <w:tcPr>
            <w:tcW w:w="0" w:type="auto"/>
            <w:hideMark/>
          </w:tcPr>
          <w:p w14:paraId="05913FF3"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36.2</w:t>
            </w:r>
          </w:p>
        </w:tc>
        <w:tc>
          <w:tcPr>
            <w:tcW w:w="0" w:type="auto"/>
            <w:hideMark/>
          </w:tcPr>
          <w:p w14:paraId="304F0972"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0.031</w:t>
            </w:r>
          </w:p>
        </w:tc>
        <w:tc>
          <w:tcPr>
            <w:tcW w:w="0" w:type="auto"/>
            <w:hideMark/>
          </w:tcPr>
          <w:p w14:paraId="632A2EC8"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0.038</w:t>
            </w:r>
          </w:p>
        </w:tc>
      </w:tr>
      <w:tr w:rsidR="00162C1F" w:rsidRPr="00404D6E" w14:paraId="6831E064"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29F65EE4" w14:textId="77777777" w:rsidR="00162C1F" w:rsidRPr="00404D6E" w:rsidRDefault="00162C1F"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TPHs</w:t>
            </w:r>
          </w:p>
        </w:tc>
        <w:tc>
          <w:tcPr>
            <w:tcW w:w="0" w:type="auto"/>
            <w:hideMark/>
          </w:tcPr>
          <w:p w14:paraId="6BA32A11"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w:t>
            </w:r>
          </w:p>
        </w:tc>
        <w:tc>
          <w:tcPr>
            <w:tcW w:w="0" w:type="auto"/>
            <w:hideMark/>
          </w:tcPr>
          <w:p w14:paraId="6D91B4D3"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w:t>
            </w:r>
          </w:p>
        </w:tc>
        <w:tc>
          <w:tcPr>
            <w:tcW w:w="0" w:type="auto"/>
            <w:hideMark/>
          </w:tcPr>
          <w:p w14:paraId="09D2FD2A"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w:t>
            </w:r>
          </w:p>
        </w:tc>
        <w:tc>
          <w:tcPr>
            <w:tcW w:w="0" w:type="auto"/>
            <w:hideMark/>
          </w:tcPr>
          <w:p w14:paraId="7E46E721"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w:t>
            </w:r>
          </w:p>
        </w:tc>
        <w:tc>
          <w:tcPr>
            <w:tcW w:w="0" w:type="auto"/>
            <w:hideMark/>
          </w:tcPr>
          <w:p w14:paraId="011DEA02"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0.066</w:t>
            </w:r>
          </w:p>
        </w:tc>
        <w:tc>
          <w:tcPr>
            <w:tcW w:w="0" w:type="auto"/>
            <w:hideMark/>
          </w:tcPr>
          <w:p w14:paraId="73A6FC81"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0.075</w:t>
            </w:r>
          </w:p>
        </w:tc>
      </w:tr>
      <w:tr w:rsidR="00162C1F" w:rsidRPr="00404D6E" w14:paraId="25629A18"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5C7A478D" w14:textId="77777777" w:rsidR="00162C1F" w:rsidRPr="00404D6E" w:rsidRDefault="00162C1F"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PAHs</w:t>
            </w:r>
          </w:p>
        </w:tc>
        <w:tc>
          <w:tcPr>
            <w:tcW w:w="0" w:type="auto"/>
            <w:hideMark/>
          </w:tcPr>
          <w:p w14:paraId="5A17C34A"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w:t>
            </w:r>
          </w:p>
        </w:tc>
        <w:tc>
          <w:tcPr>
            <w:tcW w:w="0" w:type="auto"/>
            <w:hideMark/>
          </w:tcPr>
          <w:p w14:paraId="5CABCA45"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w:t>
            </w:r>
          </w:p>
        </w:tc>
        <w:tc>
          <w:tcPr>
            <w:tcW w:w="0" w:type="auto"/>
            <w:hideMark/>
          </w:tcPr>
          <w:p w14:paraId="457B917B"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w:t>
            </w:r>
          </w:p>
        </w:tc>
        <w:tc>
          <w:tcPr>
            <w:tcW w:w="0" w:type="auto"/>
            <w:hideMark/>
          </w:tcPr>
          <w:p w14:paraId="30890269"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w:t>
            </w:r>
          </w:p>
        </w:tc>
        <w:tc>
          <w:tcPr>
            <w:tcW w:w="0" w:type="auto"/>
            <w:hideMark/>
          </w:tcPr>
          <w:p w14:paraId="132E511C"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0.048</w:t>
            </w:r>
          </w:p>
        </w:tc>
        <w:tc>
          <w:tcPr>
            <w:tcW w:w="0" w:type="auto"/>
            <w:hideMark/>
          </w:tcPr>
          <w:p w14:paraId="72EA6647"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0.053</w:t>
            </w:r>
          </w:p>
        </w:tc>
      </w:tr>
    </w:tbl>
    <w:p w14:paraId="52BE5E90" w14:textId="77777777" w:rsidR="00162C1F" w:rsidRPr="00404D6E" w:rsidRDefault="00162C1F" w:rsidP="00162C1F">
      <w:pPr>
        <w:jc w:val="both"/>
        <w:rPr>
          <w:rFonts w:ascii="Times New Roman" w:hAnsi="Times New Roman" w:cs="Times New Roman"/>
          <w:b/>
          <w:bCs/>
          <w:color w:val="0D0D0D" w:themeColor="text1" w:themeTint="F2"/>
        </w:rPr>
      </w:pPr>
    </w:p>
    <w:p w14:paraId="6C3E9DF7" w14:textId="77777777" w:rsidR="00162C1F" w:rsidRPr="00404D6E" w:rsidRDefault="00162C1F" w:rsidP="00162C1F">
      <w:pPr>
        <w:jc w:val="both"/>
        <w:rPr>
          <w:rFonts w:ascii="Times New Roman" w:hAnsi="Times New Roman" w:cs="Times New Roman"/>
          <w:b/>
          <w:bCs/>
          <w:color w:val="0D0D0D" w:themeColor="text1" w:themeTint="F2"/>
        </w:rPr>
      </w:pPr>
      <w:r w:rsidRPr="00404D6E">
        <w:rPr>
          <w:rFonts w:ascii="Times New Roman" w:hAnsi="Times New Roman" w:cs="Times New Roman"/>
          <w:b/>
          <w:bCs/>
          <w:color w:val="0D0D0D" w:themeColor="text1" w:themeTint="F2"/>
        </w:rPr>
        <w:t>Table 11</w:t>
      </w:r>
      <w:r>
        <w:rPr>
          <w:rFonts w:ascii="Times New Roman" w:hAnsi="Times New Roman" w:cs="Times New Roman"/>
          <w:b/>
          <w:bCs/>
          <w:color w:val="0D0D0D" w:themeColor="text1" w:themeTint="F2"/>
        </w:rPr>
        <w:t>.</w:t>
      </w:r>
      <w:r w:rsidRPr="00404D6E">
        <w:rPr>
          <w:rFonts w:ascii="Times New Roman" w:hAnsi="Times New Roman" w:cs="Times New Roman"/>
          <w:b/>
          <w:bCs/>
          <w:color w:val="0D0D0D" w:themeColor="text1" w:themeTint="F2"/>
        </w:rPr>
        <w:t xml:space="preserve"> </w:t>
      </w:r>
      <w:r w:rsidRPr="00404D6E">
        <w:rPr>
          <w:rFonts w:ascii="Times New Roman" w:hAnsi="Times New Roman" w:cs="Times New Roman"/>
          <w:color w:val="0D0D0D" w:themeColor="text1" w:themeTint="F2"/>
        </w:rPr>
        <w:t>Pearson’s Correlation Matrix of Heavy Metals in Sediment Samples</w:t>
      </w:r>
    </w:p>
    <w:tbl>
      <w:tblPr>
        <w:tblStyle w:val="PlainTable2"/>
        <w:tblW w:w="8989" w:type="dxa"/>
        <w:tblLook w:val="06A0" w:firstRow="1" w:lastRow="0" w:firstColumn="1" w:lastColumn="0" w:noHBand="1" w:noVBand="1"/>
      </w:tblPr>
      <w:tblGrid>
        <w:gridCol w:w="701"/>
        <w:gridCol w:w="701"/>
        <w:gridCol w:w="1175"/>
        <w:gridCol w:w="1176"/>
        <w:gridCol w:w="1176"/>
        <w:gridCol w:w="1015"/>
        <w:gridCol w:w="1176"/>
        <w:gridCol w:w="1015"/>
        <w:gridCol w:w="854"/>
      </w:tblGrid>
      <w:tr w:rsidR="00162C1F" w:rsidRPr="00404D6E" w14:paraId="7120C86A" w14:textId="77777777" w:rsidTr="00D76651">
        <w:trPr>
          <w:cnfStyle w:val="100000000000" w:firstRow="1" w:lastRow="0" w:firstColumn="0" w:lastColumn="0" w:oddVBand="0" w:evenVBand="0" w:oddHBand="0"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0" w:type="auto"/>
            <w:hideMark/>
          </w:tcPr>
          <w:p w14:paraId="393EFCE6" w14:textId="77777777" w:rsidR="00162C1F" w:rsidRPr="00404D6E" w:rsidRDefault="00162C1F" w:rsidP="00D76651">
            <w:pPr>
              <w:spacing w:after="160" w:line="278" w:lineRule="auto"/>
              <w:jc w:val="both"/>
              <w:rPr>
                <w:rFonts w:ascii="Times New Roman" w:hAnsi="Times New Roman" w:cs="Times New Roman"/>
                <w:color w:val="0D0D0D" w:themeColor="text1" w:themeTint="F2"/>
              </w:rPr>
            </w:pPr>
          </w:p>
        </w:tc>
        <w:tc>
          <w:tcPr>
            <w:tcW w:w="0" w:type="auto"/>
            <w:hideMark/>
          </w:tcPr>
          <w:p w14:paraId="4078DA3F" w14:textId="77777777" w:rsidR="00162C1F" w:rsidRPr="00404D6E" w:rsidRDefault="00162C1F" w:rsidP="00D76651">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Cd</w:t>
            </w:r>
          </w:p>
        </w:tc>
        <w:tc>
          <w:tcPr>
            <w:tcW w:w="0" w:type="auto"/>
            <w:hideMark/>
          </w:tcPr>
          <w:p w14:paraId="775982CB" w14:textId="77777777" w:rsidR="00162C1F" w:rsidRPr="00404D6E" w:rsidRDefault="00162C1F" w:rsidP="00D76651">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Pb</w:t>
            </w:r>
          </w:p>
        </w:tc>
        <w:tc>
          <w:tcPr>
            <w:tcW w:w="0" w:type="auto"/>
            <w:hideMark/>
          </w:tcPr>
          <w:p w14:paraId="3FFB92C4" w14:textId="77777777" w:rsidR="00162C1F" w:rsidRPr="00404D6E" w:rsidRDefault="00162C1F" w:rsidP="00D76651">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Cr</w:t>
            </w:r>
          </w:p>
        </w:tc>
        <w:tc>
          <w:tcPr>
            <w:tcW w:w="0" w:type="auto"/>
            <w:hideMark/>
          </w:tcPr>
          <w:p w14:paraId="313A4E22" w14:textId="77777777" w:rsidR="00162C1F" w:rsidRPr="00404D6E" w:rsidRDefault="00162C1F" w:rsidP="00D76651">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Zn</w:t>
            </w:r>
          </w:p>
        </w:tc>
        <w:tc>
          <w:tcPr>
            <w:tcW w:w="0" w:type="auto"/>
            <w:hideMark/>
          </w:tcPr>
          <w:p w14:paraId="24D43B88" w14:textId="77777777" w:rsidR="00162C1F" w:rsidRPr="00404D6E" w:rsidRDefault="00162C1F" w:rsidP="00D76651">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Cu</w:t>
            </w:r>
          </w:p>
        </w:tc>
        <w:tc>
          <w:tcPr>
            <w:tcW w:w="0" w:type="auto"/>
            <w:hideMark/>
          </w:tcPr>
          <w:p w14:paraId="7CFC8753" w14:textId="77777777" w:rsidR="00162C1F" w:rsidRPr="00404D6E" w:rsidRDefault="00162C1F" w:rsidP="00D76651">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Fe</w:t>
            </w:r>
          </w:p>
        </w:tc>
        <w:tc>
          <w:tcPr>
            <w:tcW w:w="0" w:type="auto"/>
            <w:hideMark/>
          </w:tcPr>
          <w:p w14:paraId="7EE080D2" w14:textId="77777777" w:rsidR="00162C1F" w:rsidRPr="00404D6E" w:rsidRDefault="00162C1F" w:rsidP="00D76651">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Mn</w:t>
            </w:r>
          </w:p>
        </w:tc>
        <w:tc>
          <w:tcPr>
            <w:tcW w:w="0" w:type="auto"/>
            <w:hideMark/>
          </w:tcPr>
          <w:p w14:paraId="05BAFA4B" w14:textId="77777777" w:rsidR="00162C1F" w:rsidRPr="00404D6E" w:rsidRDefault="00162C1F" w:rsidP="00D76651">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Ni</w:t>
            </w:r>
          </w:p>
        </w:tc>
      </w:tr>
      <w:tr w:rsidR="00162C1F" w:rsidRPr="00404D6E" w14:paraId="062ECC4B" w14:textId="77777777" w:rsidTr="00D76651">
        <w:trPr>
          <w:trHeight w:val="596"/>
        </w:trPr>
        <w:tc>
          <w:tcPr>
            <w:cnfStyle w:val="001000000000" w:firstRow="0" w:lastRow="0" w:firstColumn="1" w:lastColumn="0" w:oddVBand="0" w:evenVBand="0" w:oddHBand="0" w:evenHBand="0" w:firstRowFirstColumn="0" w:firstRowLastColumn="0" w:lastRowFirstColumn="0" w:lastRowLastColumn="0"/>
            <w:tcW w:w="0" w:type="auto"/>
            <w:hideMark/>
          </w:tcPr>
          <w:p w14:paraId="11B57B0E" w14:textId="77777777" w:rsidR="00162C1F" w:rsidRPr="00404D6E" w:rsidRDefault="00162C1F"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Cd</w:t>
            </w:r>
          </w:p>
        </w:tc>
        <w:tc>
          <w:tcPr>
            <w:tcW w:w="0" w:type="auto"/>
            <w:hideMark/>
          </w:tcPr>
          <w:p w14:paraId="7A3E74F7"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w:t>
            </w:r>
          </w:p>
        </w:tc>
        <w:tc>
          <w:tcPr>
            <w:tcW w:w="0" w:type="auto"/>
            <w:hideMark/>
          </w:tcPr>
          <w:p w14:paraId="491A205D"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0.88**</w:t>
            </w:r>
          </w:p>
        </w:tc>
        <w:tc>
          <w:tcPr>
            <w:tcW w:w="0" w:type="auto"/>
            <w:hideMark/>
          </w:tcPr>
          <w:p w14:paraId="0A587AB6"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0.61*</w:t>
            </w:r>
          </w:p>
        </w:tc>
        <w:tc>
          <w:tcPr>
            <w:tcW w:w="0" w:type="auto"/>
            <w:hideMark/>
          </w:tcPr>
          <w:p w14:paraId="7F68534F"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0.73**</w:t>
            </w:r>
          </w:p>
        </w:tc>
        <w:tc>
          <w:tcPr>
            <w:tcW w:w="0" w:type="auto"/>
            <w:hideMark/>
          </w:tcPr>
          <w:p w14:paraId="6050EA92"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0.55*</w:t>
            </w:r>
          </w:p>
        </w:tc>
        <w:tc>
          <w:tcPr>
            <w:tcW w:w="0" w:type="auto"/>
            <w:hideMark/>
          </w:tcPr>
          <w:p w14:paraId="1B43BA09"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0.64*</w:t>
            </w:r>
          </w:p>
        </w:tc>
        <w:tc>
          <w:tcPr>
            <w:tcW w:w="0" w:type="auto"/>
            <w:hideMark/>
          </w:tcPr>
          <w:p w14:paraId="10449A54"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0.58*</w:t>
            </w:r>
          </w:p>
        </w:tc>
        <w:tc>
          <w:tcPr>
            <w:tcW w:w="0" w:type="auto"/>
            <w:hideMark/>
          </w:tcPr>
          <w:p w14:paraId="32E13EB1"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0.49</w:t>
            </w:r>
          </w:p>
        </w:tc>
      </w:tr>
      <w:tr w:rsidR="00162C1F" w:rsidRPr="00404D6E" w14:paraId="7780FF7C" w14:textId="77777777" w:rsidTr="00D76651">
        <w:trPr>
          <w:trHeight w:val="611"/>
        </w:trPr>
        <w:tc>
          <w:tcPr>
            <w:cnfStyle w:val="001000000000" w:firstRow="0" w:lastRow="0" w:firstColumn="1" w:lastColumn="0" w:oddVBand="0" w:evenVBand="0" w:oddHBand="0" w:evenHBand="0" w:firstRowFirstColumn="0" w:firstRowLastColumn="0" w:lastRowFirstColumn="0" w:lastRowLastColumn="0"/>
            <w:tcW w:w="0" w:type="auto"/>
            <w:hideMark/>
          </w:tcPr>
          <w:p w14:paraId="4C60115E" w14:textId="77777777" w:rsidR="00162C1F" w:rsidRPr="00404D6E" w:rsidRDefault="00162C1F"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Pb</w:t>
            </w:r>
          </w:p>
        </w:tc>
        <w:tc>
          <w:tcPr>
            <w:tcW w:w="0" w:type="auto"/>
            <w:hideMark/>
          </w:tcPr>
          <w:p w14:paraId="1C871EDD"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
        </w:tc>
        <w:tc>
          <w:tcPr>
            <w:tcW w:w="0" w:type="auto"/>
            <w:hideMark/>
          </w:tcPr>
          <w:p w14:paraId="06B7C45A"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w:t>
            </w:r>
          </w:p>
        </w:tc>
        <w:tc>
          <w:tcPr>
            <w:tcW w:w="0" w:type="auto"/>
            <w:hideMark/>
          </w:tcPr>
          <w:p w14:paraId="52F46FC9"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0.69**</w:t>
            </w:r>
          </w:p>
        </w:tc>
        <w:tc>
          <w:tcPr>
            <w:tcW w:w="0" w:type="auto"/>
            <w:hideMark/>
          </w:tcPr>
          <w:p w14:paraId="0671499D"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0.84**</w:t>
            </w:r>
          </w:p>
        </w:tc>
        <w:tc>
          <w:tcPr>
            <w:tcW w:w="0" w:type="auto"/>
            <w:hideMark/>
          </w:tcPr>
          <w:p w14:paraId="4321CC79"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0.47</w:t>
            </w:r>
          </w:p>
        </w:tc>
        <w:tc>
          <w:tcPr>
            <w:tcW w:w="0" w:type="auto"/>
            <w:hideMark/>
          </w:tcPr>
          <w:p w14:paraId="02AE1FE4"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0.71**</w:t>
            </w:r>
          </w:p>
        </w:tc>
        <w:tc>
          <w:tcPr>
            <w:tcW w:w="0" w:type="auto"/>
            <w:hideMark/>
          </w:tcPr>
          <w:p w14:paraId="6D0A30D0"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0.66*</w:t>
            </w:r>
          </w:p>
        </w:tc>
        <w:tc>
          <w:tcPr>
            <w:tcW w:w="0" w:type="auto"/>
            <w:hideMark/>
          </w:tcPr>
          <w:p w14:paraId="3AFF843E"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0.53</w:t>
            </w:r>
          </w:p>
        </w:tc>
      </w:tr>
      <w:tr w:rsidR="00162C1F" w:rsidRPr="00404D6E" w14:paraId="2D3A6DD9" w14:textId="77777777" w:rsidTr="00D76651">
        <w:trPr>
          <w:trHeight w:val="596"/>
        </w:trPr>
        <w:tc>
          <w:tcPr>
            <w:cnfStyle w:val="001000000000" w:firstRow="0" w:lastRow="0" w:firstColumn="1" w:lastColumn="0" w:oddVBand="0" w:evenVBand="0" w:oddHBand="0" w:evenHBand="0" w:firstRowFirstColumn="0" w:firstRowLastColumn="0" w:lastRowFirstColumn="0" w:lastRowLastColumn="0"/>
            <w:tcW w:w="0" w:type="auto"/>
            <w:hideMark/>
          </w:tcPr>
          <w:p w14:paraId="2AD62465" w14:textId="77777777" w:rsidR="00162C1F" w:rsidRPr="00404D6E" w:rsidRDefault="00162C1F"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Cr</w:t>
            </w:r>
          </w:p>
        </w:tc>
        <w:tc>
          <w:tcPr>
            <w:tcW w:w="0" w:type="auto"/>
            <w:hideMark/>
          </w:tcPr>
          <w:p w14:paraId="743F0357"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
        </w:tc>
        <w:tc>
          <w:tcPr>
            <w:tcW w:w="0" w:type="auto"/>
            <w:hideMark/>
          </w:tcPr>
          <w:p w14:paraId="307019D7"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
        </w:tc>
        <w:tc>
          <w:tcPr>
            <w:tcW w:w="0" w:type="auto"/>
            <w:hideMark/>
          </w:tcPr>
          <w:p w14:paraId="579C230C"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w:t>
            </w:r>
          </w:p>
        </w:tc>
        <w:tc>
          <w:tcPr>
            <w:tcW w:w="0" w:type="auto"/>
            <w:hideMark/>
          </w:tcPr>
          <w:p w14:paraId="1BF96A50"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0.78*</w:t>
            </w:r>
          </w:p>
        </w:tc>
        <w:tc>
          <w:tcPr>
            <w:tcW w:w="0" w:type="auto"/>
            <w:hideMark/>
          </w:tcPr>
          <w:p w14:paraId="4A704891"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0.59</w:t>
            </w:r>
          </w:p>
        </w:tc>
        <w:tc>
          <w:tcPr>
            <w:tcW w:w="0" w:type="auto"/>
            <w:hideMark/>
          </w:tcPr>
          <w:p w14:paraId="509CC3C8"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0.61</w:t>
            </w:r>
          </w:p>
        </w:tc>
        <w:tc>
          <w:tcPr>
            <w:tcW w:w="0" w:type="auto"/>
            <w:hideMark/>
          </w:tcPr>
          <w:p w14:paraId="290FB915"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0.44</w:t>
            </w:r>
          </w:p>
        </w:tc>
        <w:tc>
          <w:tcPr>
            <w:tcW w:w="0" w:type="auto"/>
            <w:hideMark/>
          </w:tcPr>
          <w:p w14:paraId="5B3C23E8"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0.37</w:t>
            </w:r>
          </w:p>
        </w:tc>
      </w:tr>
      <w:tr w:rsidR="00162C1F" w:rsidRPr="00404D6E" w14:paraId="03F55D95" w14:textId="77777777" w:rsidTr="00D76651">
        <w:trPr>
          <w:trHeight w:val="596"/>
        </w:trPr>
        <w:tc>
          <w:tcPr>
            <w:cnfStyle w:val="001000000000" w:firstRow="0" w:lastRow="0" w:firstColumn="1" w:lastColumn="0" w:oddVBand="0" w:evenVBand="0" w:oddHBand="0" w:evenHBand="0" w:firstRowFirstColumn="0" w:firstRowLastColumn="0" w:lastRowFirstColumn="0" w:lastRowLastColumn="0"/>
            <w:tcW w:w="0" w:type="auto"/>
            <w:hideMark/>
          </w:tcPr>
          <w:p w14:paraId="3594ED42" w14:textId="77777777" w:rsidR="00162C1F" w:rsidRPr="00404D6E" w:rsidRDefault="00162C1F"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Zn</w:t>
            </w:r>
          </w:p>
        </w:tc>
        <w:tc>
          <w:tcPr>
            <w:tcW w:w="0" w:type="auto"/>
            <w:hideMark/>
          </w:tcPr>
          <w:p w14:paraId="2D5EC522"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
        </w:tc>
        <w:tc>
          <w:tcPr>
            <w:tcW w:w="0" w:type="auto"/>
            <w:hideMark/>
          </w:tcPr>
          <w:p w14:paraId="27BD801F"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
        </w:tc>
        <w:tc>
          <w:tcPr>
            <w:tcW w:w="0" w:type="auto"/>
            <w:hideMark/>
          </w:tcPr>
          <w:p w14:paraId="2BE8E5C7"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
        </w:tc>
        <w:tc>
          <w:tcPr>
            <w:tcW w:w="0" w:type="auto"/>
            <w:hideMark/>
          </w:tcPr>
          <w:p w14:paraId="20C3C5D5"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w:t>
            </w:r>
          </w:p>
        </w:tc>
        <w:tc>
          <w:tcPr>
            <w:tcW w:w="0" w:type="auto"/>
            <w:hideMark/>
          </w:tcPr>
          <w:p w14:paraId="11893B3F"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0.62*</w:t>
            </w:r>
          </w:p>
        </w:tc>
        <w:tc>
          <w:tcPr>
            <w:tcW w:w="0" w:type="auto"/>
            <w:hideMark/>
          </w:tcPr>
          <w:p w14:paraId="58B2A292"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0.59</w:t>
            </w:r>
          </w:p>
        </w:tc>
        <w:tc>
          <w:tcPr>
            <w:tcW w:w="0" w:type="auto"/>
            <w:hideMark/>
          </w:tcPr>
          <w:p w14:paraId="5813AE34"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0.56</w:t>
            </w:r>
          </w:p>
        </w:tc>
        <w:tc>
          <w:tcPr>
            <w:tcW w:w="0" w:type="auto"/>
            <w:hideMark/>
          </w:tcPr>
          <w:p w14:paraId="060EE1B4"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0.47</w:t>
            </w:r>
          </w:p>
        </w:tc>
      </w:tr>
    </w:tbl>
    <w:p w14:paraId="7713D087" w14:textId="77777777" w:rsidR="00162C1F" w:rsidRPr="00404D6E" w:rsidRDefault="00162C1F" w:rsidP="00162C1F">
      <w:pPr>
        <w:jc w:val="both"/>
        <w:rPr>
          <w:rFonts w:ascii="Times New Roman" w:hAnsi="Times New Roman" w:cs="Times New Roman"/>
          <w:color w:val="0D0D0D" w:themeColor="text1" w:themeTint="F2"/>
        </w:rPr>
      </w:pPr>
      <w:r w:rsidRPr="00404D6E">
        <w:rPr>
          <w:rFonts w:ascii="Times New Roman" w:hAnsi="Times New Roman" w:cs="Times New Roman"/>
          <w:b/>
          <w:bCs/>
          <w:color w:val="0D0D0D" w:themeColor="text1" w:themeTint="F2"/>
        </w:rPr>
        <w:t>*</w:t>
      </w:r>
      <w:r w:rsidRPr="00404D6E">
        <w:rPr>
          <w:rFonts w:ascii="Times New Roman" w:hAnsi="Times New Roman" w:cs="Times New Roman"/>
          <w:color w:val="0D0D0D" w:themeColor="text1" w:themeTint="F2"/>
        </w:rPr>
        <w:t xml:space="preserve"> Significant at </w:t>
      </w:r>
      <w:r w:rsidRPr="00404D6E">
        <w:rPr>
          <w:rFonts w:ascii="Times New Roman" w:hAnsi="Times New Roman" w:cs="Times New Roman"/>
          <w:i/>
          <w:iCs/>
          <w:color w:val="0D0D0D" w:themeColor="text1" w:themeTint="F2"/>
        </w:rPr>
        <w:t>p</w:t>
      </w:r>
      <w:r w:rsidRPr="00404D6E">
        <w:rPr>
          <w:rFonts w:ascii="Times New Roman" w:hAnsi="Times New Roman" w:cs="Times New Roman"/>
          <w:color w:val="0D0D0D" w:themeColor="text1" w:themeTint="F2"/>
        </w:rPr>
        <w:t xml:space="preserve"> &lt; 0.05; </w:t>
      </w:r>
      <w:r w:rsidRPr="00404D6E">
        <w:rPr>
          <w:rFonts w:ascii="Times New Roman" w:hAnsi="Times New Roman" w:cs="Times New Roman"/>
          <w:b/>
          <w:bCs/>
          <w:color w:val="0D0D0D" w:themeColor="text1" w:themeTint="F2"/>
        </w:rPr>
        <w:t>**</w:t>
      </w:r>
      <w:r w:rsidRPr="00404D6E">
        <w:rPr>
          <w:rFonts w:ascii="Times New Roman" w:hAnsi="Times New Roman" w:cs="Times New Roman"/>
          <w:color w:val="0D0D0D" w:themeColor="text1" w:themeTint="F2"/>
        </w:rPr>
        <w:t xml:space="preserve"> Significant at </w:t>
      </w:r>
      <w:r w:rsidRPr="00404D6E">
        <w:rPr>
          <w:rFonts w:ascii="Times New Roman" w:hAnsi="Times New Roman" w:cs="Times New Roman"/>
          <w:i/>
          <w:iCs/>
          <w:color w:val="0D0D0D" w:themeColor="text1" w:themeTint="F2"/>
        </w:rPr>
        <w:t>p</w:t>
      </w:r>
      <w:r w:rsidRPr="00404D6E">
        <w:rPr>
          <w:rFonts w:ascii="Times New Roman" w:hAnsi="Times New Roman" w:cs="Times New Roman"/>
          <w:color w:val="0D0D0D" w:themeColor="text1" w:themeTint="F2"/>
        </w:rPr>
        <w:t xml:space="preserve"> &lt; 0.01</w:t>
      </w:r>
    </w:p>
    <w:p w14:paraId="4E33BC1C" w14:textId="77777777" w:rsidR="00162C1F" w:rsidRPr="00404D6E" w:rsidRDefault="00162C1F" w:rsidP="00162C1F">
      <w:pPr>
        <w:jc w:val="both"/>
        <w:rPr>
          <w:rFonts w:ascii="Times New Roman" w:hAnsi="Times New Roman" w:cs="Times New Roman"/>
          <w:color w:val="0D0D0D" w:themeColor="text1" w:themeTint="F2"/>
        </w:rPr>
      </w:pPr>
    </w:p>
    <w:p w14:paraId="31C45BC2" w14:textId="77777777" w:rsidR="00162C1F" w:rsidRPr="00404D6E" w:rsidRDefault="00162C1F" w:rsidP="00162C1F">
      <w:pPr>
        <w:jc w:val="both"/>
        <w:rPr>
          <w:rFonts w:ascii="Times New Roman" w:hAnsi="Times New Roman" w:cs="Times New Roman"/>
          <w:b/>
          <w:bCs/>
          <w:color w:val="0D0D0D" w:themeColor="text1" w:themeTint="F2"/>
        </w:rPr>
      </w:pPr>
      <w:r w:rsidRPr="00404D6E">
        <w:rPr>
          <w:rFonts w:ascii="Times New Roman" w:hAnsi="Times New Roman" w:cs="Times New Roman"/>
          <w:b/>
          <w:bCs/>
          <w:color w:val="0D0D0D" w:themeColor="text1" w:themeTint="F2"/>
        </w:rPr>
        <w:t>Table 12</w:t>
      </w:r>
      <w:r>
        <w:rPr>
          <w:rFonts w:ascii="Times New Roman" w:hAnsi="Times New Roman" w:cs="Times New Roman"/>
          <w:b/>
          <w:bCs/>
          <w:color w:val="0D0D0D" w:themeColor="text1" w:themeTint="F2"/>
        </w:rPr>
        <w:t>.</w:t>
      </w:r>
      <w:r w:rsidRPr="00404D6E">
        <w:rPr>
          <w:rFonts w:ascii="Times New Roman" w:hAnsi="Times New Roman" w:cs="Times New Roman"/>
          <w:b/>
          <w:bCs/>
          <w:color w:val="0D0D0D" w:themeColor="text1" w:themeTint="F2"/>
        </w:rPr>
        <w:t xml:space="preserve"> </w:t>
      </w:r>
      <w:r w:rsidRPr="000775DA">
        <w:rPr>
          <w:rFonts w:ascii="Times New Roman" w:hAnsi="Times New Roman" w:cs="Times New Roman"/>
          <w:color w:val="0D0D0D" w:themeColor="text1" w:themeTint="F2"/>
        </w:rPr>
        <w:t>Correlation between Metal Concentration and Biomarker Response (Fish Liver)</w:t>
      </w:r>
    </w:p>
    <w:tbl>
      <w:tblPr>
        <w:tblStyle w:val="PlainTable2"/>
        <w:tblW w:w="8650" w:type="dxa"/>
        <w:tblLook w:val="06A0" w:firstRow="1" w:lastRow="0" w:firstColumn="1" w:lastColumn="0" w:noHBand="1" w:noVBand="1"/>
      </w:tblPr>
      <w:tblGrid>
        <w:gridCol w:w="2157"/>
        <w:gridCol w:w="1415"/>
        <w:gridCol w:w="1415"/>
        <w:gridCol w:w="1221"/>
        <w:gridCol w:w="1027"/>
        <w:gridCol w:w="1415"/>
      </w:tblGrid>
      <w:tr w:rsidR="00162C1F" w:rsidRPr="00404D6E" w14:paraId="2BC418CF" w14:textId="77777777" w:rsidTr="00D7665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0" w:type="auto"/>
            <w:hideMark/>
          </w:tcPr>
          <w:p w14:paraId="5500F64B" w14:textId="77777777" w:rsidR="00162C1F" w:rsidRPr="00404D6E" w:rsidRDefault="00162C1F" w:rsidP="00D76651">
            <w:pPr>
              <w:spacing w:after="160" w:line="278" w:lineRule="auto"/>
              <w:jc w:val="center"/>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Biomarker</w:t>
            </w:r>
          </w:p>
        </w:tc>
        <w:tc>
          <w:tcPr>
            <w:tcW w:w="0" w:type="auto"/>
            <w:hideMark/>
          </w:tcPr>
          <w:p w14:paraId="20F58CC4" w14:textId="77777777" w:rsidR="00162C1F" w:rsidRPr="00404D6E" w:rsidRDefault="00162C1F"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Cd</w:t>
            </w:r>
          </w:p>
        </w:tc>
        <w:tc>
          <w:tcPr>
            <w:tcW w:w="0" w:type="auto"/>
            <w:hideMark/>
          </w:tcPr>
          <w:p w14:paraId="0725F5CD" w14:textId="77777777" w:rsidR="00162C1F" w:rsidRPr="00404D6E" w:rsidRDefault="00162C1F"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Pb</w:t>
            </w:r>
          </w:p>
        </w:tc>
        <w:tc>
          <w:tcPr>
            <w:tcW w:w="0" w:type="auto"/>
            <w:hideMark/>
          </w:tcPr>
          <w:p w14:paraId="56536E99" w14:textId="77777777" w:rsidR="00162C1F" w:rsidRPr="00404D6E" w:rsidRDefault="00162C1F"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Cr</w:t>
            </w:r>
          </w:p>
        </w:tc>
        <w:tc>
          <w:tcPr>
            <w:tcW w:w="0" w:type="auto"/>
            <w:hideMark/>
          </w:tcPr>
          <w:p w14:paraId="59C6B51A" w14:textId="77777777" w:rsidR="00162C1F" w:rsidRPr="00404D6E" w:rsidRDefault="00162C1F"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Zn</w:t>
            </w:r>
          </w:p>
        </w:tc>
        <w:tc>
          <w:tcPr>
            <w:tcW w:w="0" w:type="auto"/>
            <w:hideMark/>
          </w:tcPr>
          <w:p w14:paraId="371E9843" w14:textId="77777777" w:rsidR="00162C1F" w:rsidRPr="00404D6E" w:rsidRDefault="00162C1F"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Cu</w:t>
            </w:r>
          </w:p>
        </w:tc>
      </w:tr>
      <w:tr w:rsidR="00162C1F" w:rsidRPr="00404D6E" w14:paraId="38F749A5" w14:textId="77777777" w:rsidTr="00D76651">
        <w:trPr>
          <w:trHeight w:val="537"/>
        </w:trPr>
        <w:tc>
          <w:tcPr>
            <w:cnfStyle w:val="001000000000" w:firstRow="0" w:lastRow="0" w:firstColumn="1" w:lastColumn="0" w:oddVBand="0" w:evenVBand="0" w:oddHBand="0" w:evenHBand="0" w:firstRowFirstColumn="0" w:firstRowLastColumn="0" w:lastRowFirstColumn="0" w:lastRowLastColumn="0"/>
            <w:tcW w:w="0" w:type="auto"/>
            <w:hideMark/>
          </w:tcPr>
          <w:p w14:paraId="1CF88834" w14:textId="77777777" w:rsidR="00162C1F" w:rsidRPr="00404D6E" w:rsidRDefault="00162C1F" w:rsidP="00D76651">
            <w:pPr>
              <w:spacing w:after="160" w:line="278" w:lineRule="auto"/>
              <w:jc w:val="center"/>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SOD</w:t>
            </w:r>
          </w:p>
        </w:tc>
        <w:tc>
          <w:tcPr>
            <w:tcW w:w="0" w:type="auto"/>
            <w:hideMark/>
          </w:tcPr>
          <w:p w14:paraId="058E05EA"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0.68*</w:t>
            </w:r>
          </w:p>
        </w:tc>
        <w:tc>
          <w:tcPr>
            <w:tcW w:w="0" w:type="auto"/>
            <w:hideMark/>
          </w:tcPr>
          <w:p w14:paraId="34859F60"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0.74**</w:t>
            </w:r>
          </w:p>
        </w:tc>
        <w:tc>
          <w:tcPr>
            <w:tcW w:w="0" w:type="auto"/>
            <w:hideMark/>
          </w:tcPr>
          <w:p w14:paraId="053FF6A7"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0.61*</w:t>
            </w:r>
          </w:p>
        </w:tc>
        <w:tc>
          <w:tcPr>
            <w:tcW w:w="0" w:type="auto"/>
            <w:hideMark/>
          </w:tcPr>
          <w:p w14:paraId="01E610CE"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0.43</w:t>
            </w:r>
          </w:p>
        </w:tc>
        <w:tc>
          <w:tcPr>
            <w:tcW w:w="0" w:type="auto"/>
            <w:hideMark/>
          </w:tcPr>
          <w:p w14:paraId="721F61C9"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0.55</w:t>
            </w:r>
          </w:p>
        </w:tc>
      </w:tr>
      <w:tr w:rsidR="00162C1F" w:rsidRPr="00404D6E" w14:paraId="5EADD7B5" w14:textId="77777777" w:rsidTr="00D76651">
        <w:trPr>
          <w:trHeight w:val="521"/>
        </w:trPr>
        <w:tc>
          <w:tcPr>
            <w:cnfStyle w:val="001000000000" w:firstRow="0" w:lastRow="0" w:firstColumn="1" w:lastColumn="0" w:oddVBand="0" w:evenVBand="0" w:oddHBand="0" w:evenHBand="0" w:firstRowFirstColumn="0" w:firstRowLastColumn="0" w:lastRowFirstColumn="0" w:lastRowLastColumn="0"/>
            <w:tcW w:w="0" w:type="auto"/>
            <w:hideMark/>
          </w:tcPr>
          <w:p w14:paraId="01D0FF75" w14:textId="77777777" w:rsidR="00162C1F" w:rsidRPr="00404D6E" w:rsidRDefault="00162C1F" w:rsidP="00D76651">
            <w:pPr>
              <w:spacing w:after="160" w:line="278" w:lineRule="auto"/>
              <w:jc w:val="center"/>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CAT</w:t>
            </w:r>
          </w:p>
        </w:tc>
        <w:tc>
          <w:tcPr>
            <w:tcW w:w="0" w:type="auto"/>
            <w:hideMark/>
          </w:tcPr>
          <w:p w14:paraId="49E4EE0A"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0.72**</w:t>
            </w:r>
          </w:p>
        </w:tc>
        <w:tc>
          <w:tcPr>
            <w:tcW w:w="0" w:type="auto"/>
            <w:hideMark/>
          </w:tcPr>
          <w:p w14:paraId="6E8CDADC"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0.66*</w:t>
            </w:r>
          </w:p>
        </w:tc>
        <w:tc>
          <w:tcPr>
            <w:tcW w:w="0" w:type="auto"/>
            <w:hideMark/>
          </w:tcPr>
          <w:p w14:paraId="2CB529FA"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0.59*</w:t>
            </w:r>
          </w:p>
        </w:tc>
        <w:tc>
          <w:tcPr>
            <w:tcW w:w="0" w:type="auto"/>
            <w:hideMark/>
          </w:tcPr>
          <w:p w14:paraId="3D181FA2"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0.49</w:t>
            </w:r>
          </w:p>
        </w:tc>
        <w:tc>
          <w:tcPr>
            <w:tcW w:w="0" w:type="auto"/>
            <w:hideMark/>
          </w:tcPr>
          <w:p w14:paraId="61824C16"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0.53</w:t>
            </w:r>
          </w:p>
        </w:tc>
      </w:tr>
      <w:tr w:rsidR="00162C1F" w:rsidRPr="00404D6E" w14:paraId="50A98D4F" w14:textId="77777777" w:rsidTr="00D76651">
        <w:trPr>
          <w:trHeight w:val="537"/>
        </w:trPr>
        <w:tc>
          <w:tcPr>
            <w:cnfStyle w:val="001000000000" w:firstRow="0" w:lastRow="0" w:firstColumn="1" w:lastColumn="0" w:oddVBand="0" w:evenVBand="0" w:oddHBand="0" w:evenHBand="0" w:firstRowFirstColumn="0" w:firstRowLastColumn="0" w:lastRowFirstColumn="0" w:lastRowLastColumn="0"/>
            <w:tcW w:w="0" w:type="auto"/>
            <w:hideMark/>
          </w:tcPr>
          <w:p w14:paraId="4E393449" w14:textId="77777777" w:rsidR="00162C1F" w:rsidRPr="00404D6E" w:rsidRDefault="00162C1F" w:rsidP="00D76651">
            <w:pPr>
              <w:spacing w:after="160" w:line="278" w:lineRule="auto"/>
              <w:jc w:val="center"/>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lastRenderedPageBreak/>
              <w:t>MDA</w:t>
            </w:r>
          </w:p>
        </w:tc>
        <w:tc>
          <w:tcPr>
            <w:tcW w:w="0" w:type="auto"/>
            <w:hideMark/>
          </w:tcPr>
          <w:p w14:paraId="0397C631"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0.81**</w:t>
            </w:r>
          </w:p>
        </w:tc>
        <w:tc>
          <w:tcPr>
            <w:tcW w:w="0" w:type="auto"/>
            <w:hideMark/>
          </w:tcPr>
          <w:p w14:paraId="709AE7F7"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0.78**</w:t>
            </w:r>
          </w:p>
        </w:tc>
        <w:tc>
          <w:tcPr>
            <w:tcW w:w="0" w:type="auto"/>
            <w:hideMark/>
          </w:tcPr>
          <w:p w14:paraId="01C1E858"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0.63*</w:t>
            </w:r>
          </w:p>
        </w:tc>
        <w:tc>
          <w:tcPr>
            <w:tcW w:w="0" w:type="auto"/>
            <w:hideMark/>
          </w:tcPr>
          <w:p w14:paraId="06FB23F5"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0.58</w:t>
            </w:r>
          </w:p>
        </w:tc>
        <w:tc>
          <w:tcPr>
            <w:tcW w:w="0" w:type="auto"/>
            <w:hideMark/>
          </w:tcPr>
          <w:p w14:paraId="6B9F1305"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0.71**</w:t>
            </w:r>
          </w:p>
        </w:tc>
      </w:tr>
      <w:tr w:rsidR="00162C1F" w:rsidRPr="00404D6E" w14:paraId="1E875DB3" w14:textId="77777777" w:rsidTr="00D76651">
        <w:trPr>
          <w:trHeight w:val="537"/>
        </w:trPr>
        <w:tc>
          <w:tcPr>
            <w:cnfStyle w:val="001000000000" w:firstRow="0" w:lastRow="0" w:firstColumn="1" w:lastColumn="0" w:oddVBand="0" w:evenVBand="0" w:oddHBand="0" w:evenHBand="0" w:firstRowFirstColumn="0" w:firstRowLastColumn="0" w:lastRowFirstColumn="0" w:lastRowLastColumn="0"/>
            <w:tcW w:w="0" w:type="auto"/>
            <w:hideMark/>
          </w:tcPr>
          <w:p w14:paraId="139EECFD" w14:textId="77777777" w:rsidR="00162C1F" w:rsidRPr="00404D6E" w:rsidRDefault="00162C1F" w:rsidP="00D76651">
            <w:pPr>
              <w:spacing w:after="160" w:line="278" w:lineRule="auto"/>
              <w:jc w:val="center"/>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GST</w:t>
            </w:r>
          </w:p>
        </w:tc>
        <w:tc>
          <w:tcPr>
            <w:tcW w:w="0" w:type="auto"/>
            <w:hideMark/>
          </w:tcPr>
          <w:p w14:paraId="52F65EDB"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0.69*</w:t>
            </w:r>
          </w:p>
        </w:tc>
        <w:tc>
          <w:tcPr>
            <w:tcW w:w="0" w:type="auto"/>
            <w:hideMark/>
          </w:tcPr>
          <w:p w14:paraId="50A1D332"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0.62*</w:t>
            </w:r>
          </w:p>
        </w:tc>
        <w:tc>
          <w:tcPr>
            <w:tcW w:w="0" w:type="auto"/>
            <w:hideMark/>
          </w:tcPr>
          <w:p w14:paraId="6B30049F"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0.51</w:t>
            </w:r>
          </w:p>
        </w:tc>
        <w:tc>
          <w:tcPr>
            <w:tcW w:w="0" w:type="auto"/>
            <w:hideMark/>
          </w:tcPr>
          <w:p w14:paraId="2C2E3156"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0.47</w:t>
            </w:r>
          </w:p>
        </w:tc>
        <w:tc>
          <w:tcPr>
            <w:tcW w:w="0" w:type="auto"/>
            <w:hideMark/>
          </w:tcPr>
          <w:p w14:paraId="0327878A"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0.65*</w:t>
            </w:r>
          </w:p>
        </w:tc>
      </w:tr>
    </w:tbl>
    <w:p w14:paraId="4A226815" w14:textId="77777777" w:rsidR="00162C1F" w:rsidRPr="00404D6E" w:rsidRDefault="00162C1F" w:rsidP="00162C1F">
      <w:pPr>
        <w:jc w:val="both"/>
        <w:rPr>
          <w:rFonts w:ascii="Times New Roman" w:hAnsi="Times New Roman" w:cs="Times New Roman"/>
          <w:color w:val="0D0D0D" w:themeColor="text1" w:themeTint="F2"/>
        </w:rPr>
      </w:pPr>
      <w:r w:rsidRPr="00404D6E">
        <w:rPr>
          <w:rFonts w:ascii="Times New Roman" w:hAnsi="Times New Roman" w:cs="Times New Roman"/>
          <w:b/>
          <w:bCs/>
          <w:color w:val="0D0D0D" w:themeColor="text1" w:themeTint="F2"/>
        </w:rPr>
        <w:t>*</w:t>
      </w:r>
      <w:r w:rsidRPr="00404D6E">
        <w:rPr>
          <w:rFonts w:ascii="Times New Roman" w:hAnsi="Times New Roman" w:cs="Times New Roman"/>
          <w:color w:val="0D0D0D" w:themeColor="text1" w:themeTint="F2"/>
        </w:rPr>
        <w:t xml:space="preserve"> Significant at </w:t>
      </w:r>
      <w:r w:rsidRPr="00404D6E">
        <w:rPr>
          <w:rFonts w:ascii="Times New Roman" w:hAnsi="Times New Roman" w:cs="Times New Roman"/>
          <w:i/>
          <w:iCs/>
          <w:color w:val="0D0D0D" w:themeColor="text1" w:themeTint="F2"/>
        </w:rPr>
        <w:t>p</w:t>
      </w:r>
      <w:r w:rsidRPr="00404D6E">
        <w:rPr>
          <w:rFonts w:ascii="Times New Roman" w:hAnsi="Times New Roman" w:cs="Times New Roman"/>
          <w:color w:val="0D0D0D" w:themeColor="text1" w:themeTint="F2"/>
        </w:rPr>
        <w:t xml:space="preserve"> &lt; 0.05; </w:t>
      </w:r>
      <w:r w:rsidRPr="00404D6E">
        <w:rPr>
          <w:rFonts w:ascii="Times New Roman" w:hAnsi="Times New Roman" w:cs="Times New Roman"/>
          <w:b/>
          <w:bCs/>
          <w:color w:val="0D0D0D" w:themeColor="text1" w:themeTint="F2"/>
        </w:rPr>
        <w:t>**</w:t>
      </w:r>
      <w:r w:rsidRPr="00404D6E">
        <w:rPr>
          <w:rFonts w:ascii="Times New Roman" w:hAnsi="Times New Roman" w:cs="Times New Roman"/>
          <w:color w:val="0D0D0D" w:themeColor="text1" w:themeTint="F2"/>
        </w:rPr>
        <w:t xml:space="preserve"> Significant at </w:t>
      </w:r>
      <w:r w:rsidRPr="00404D6E">
        <w:rPr>
          <w:rFonts w:ascii="Times New Roman" w:hAnsi="Times New Roman" w:cs="Times New Roman"/>
          <w:i/>
          <w:iCs/>
          <w:color w:val="0D0D0D" w:themeColor="text1" w:themeTint="F2"/>
        </w:rPr>
        <w:t>p</w:t>
      </w:r>
      <w:r w:rsidRPr="00404D6E">
        <w:rPr>
          <w:rFonts w:ascii="Times New Roman" w:hAnsi="Times New Roman" w:cs="Times New Roman"/>
          <w:color w:val="0D0D0D" w:themeColor="text1" w:themeTint="F2"/>
        </w:rPr>
        <w:t xml:space="preserve"> &lt; 0.01</w:t>
      </w:r>
    </w:p>
    <w:p w14:paraId="24FFC61F" w14:textId="77777777" w:rsidR="00162C1F" w:rsidRPr="00404D6E" w:rsidRDefault="00162C1F" w:rsidP="00162C1F">
      <w:pPr>
        <w:jc w:val="both"/>
        <w:rPr>
          <w:rFonts w:ascii="Times New Roman" w:hAnsi="Times New Roman" w:cs="Times New Roman"/>
          <w:color w:val="0D0D0D" w:themeColor="text1" w:themeTint="F2"/>
        </w:rPr>
      </w:pPr>
    </w:p>
    <w:p w14:paraId="03605A99" w14:textId="77777777" w:rsidR="00162C1F" w:rsidRPr="00404D6E" w:rsidRDefault="00162C1F" w:rsidP="00162C1F">
      <w:pPr>
        <w:rPr>
          <w:rFonts w:ascii="Times New Roman" w:hAnsi="Times New Roman" w:cs="Times New Roman"/>
          <w:b/>
          <w:bCs/>
          <w:color w:val="0D0D0D" w:themeColor="text1" w:themeTint="F2"/>
        </w:rPr>
      </w:pPr>
      <w:r w:rsidRPr="00404D6E">
        <w:rPr>
          <w:rFonts w:ascii="Times New Roman" w:hAnsi="Times New Roman" w:cs="Times New Roman"/>
          <w:b/>
          <w:bCs/>
          <w:color w:val="0D0D0D" w:themeColor="text1" w:themeTint="F2"/>
        </w:rPr>
        <w:t>Table 13</w:t>
      </w:r>
      <w:r>
        <w:rPr>
          <w:rFonts w:ascii="Times New Roman" w:hAnsi="Times New Roman" w:cs="Times New Roman"/>
          <w:b/>
          <w:bCs/>
          <w:color w:val="0D0D0D" w:themeColor="text1" w:themeTint="F2"/>
        </w:rPr>
        <w:t>.</w:t>
      </w:r>
      <w:r w:rsidRPr="00404D6E">
        <w:rPr>
          <w:rFonts w:ascii="Times New Roman" w:hAnsi="Times New Roman" w:cs="Times New Roman"/>
          <w:b/>
          <w:bCs/>
          <w:color w:val="0D0D0D" w:themeColor="text1" w:themeTint="F2"/>
        </w:rPr>
        <w:t xml:space="preserve"> </w:t>
      </w:r>
      <w:r w:rsidRPr="000775DA">
        <w:rPr>
          <w:rFonts w:ascii="Times New Roman" w:hAnsi="Times New Roman" w:cs="Times New Roman"/>
          <w:color w:val="0D0D0D" w:themeColor="text1" w:themeTint="F2"/>
        </w:rPr>
        <w:t>Geo-accumulation Index (Igeo)</w:t>
      </w:r>
    </w:p>
    <w:tbl>
      <w:tblPr>
        <w:tblStyle w:val="PlainTable2"/>
        <w:tblW w:w="8542" w:type="dxa"/>
        <w:tblLook w:val="06A0" w:firstRow="1" w:lastRow="0" w:firstColumn="1" w:lastColumn="0" w:noHBand="1" w:noVBand="1"/>
      </w:tblPr>
      <w:tblGrid>
        <w:gridCol w:w="1334"/>
        <w:gridCol w:w="1478"/>
        <w:gridCol w:w="1441"/>
        <w:gridCol w:w="1441"/>
        <w:gridCol w:w="1387"/>
        <w:gridCol w:w="1461"/>
      </w:tblGrid>
      <w:tr w:rsidR="00162C1F" w:rsidRPr="00404D6E" w14:paraId="2D644E89" w14:textId="77777777" w:rsidTr="00D76651">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0" w:type="auto"/>
            <w:hideMark/>
          </w:tcPr>
          <w:p w14:paraId="22805010" w14:textId="77777777" w:rsidR="00162C1F" w:rsidRPr="00404D6E" w:rsidRDefault="00162C1F" w:rsidP="00D76651">
            <w:pPr>
              <w:spacing w:after="160" w:line="278" w:lineRule="auto"/>
              <w:jc w:val="center"/>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Site</w:t>
            </w:r>
          </w:p>
        </w:tc>
        <w:tc>
          <w:tcPr>
            <w:tcW w:w="0" w:type="auto"/>
            <w:hideMark/>
          </w:tcPr>
          <w:p w14:paraId="2F8C3D4C" w14:textId="77777777" w:rsidR="00162C1F" w:rsidRPr="00404D6E" w:rsidRDefault="00162C1F"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Igeo_Cd</w:t>
            </w:r>
          </w:p>
        </w:tc>
        <w:tc>
          <w:tcPr>
            <w:tcW w:w="0" w:type="auto"/>
            <w:hideMark/>
          </w:tcPr>
          <w:p w14:paraId="32184B07" w14:textId="77777777" w:rsidR="00162C1F" w:rsidRPr="00404D6E" w:rsidRDefault="00162C1F"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Igeo_Pb</w:t>
            </w:r>
          </w:p>
        </w:tc>
        <w:tc>
          <w:tcPr>
            <w:tcW w:w="0" w:type="auto"/>
            <w:hideMark/>
          </w:tcPr>
          <w:p w14:paraId="69030AC8" w14:textId="77777777" w:rsidR="00162C1F" w:rsidRPr="00404D6E" w:rsidRDefault="00162C1F"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Igeo_Cr</w:t>
            </w:r>
          </w:p>
        </w:tc>
        <w:tc>
          <w:tcPr>
            <w:tcW w:w="0" w:type="auto"/>
            <w:hideMark/>
          </w:tcPr>
          <w:p w14:paraId="34C1802F" w14:textId="77777777" w:rsidR="00162C1F" w:rsidRPr="00404D6E" w:rsidRDefault="00162C1F"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Igeo_Ni</w:t>
            </w:r>
          </w:p>
        </w:tc>
        <w:tc>
          <w:tcPr>
            <w:tcW w:w="0" w:type="auto"/>
            <w:hideMark/>
          </w:tcPr>
          <w:p w14:paraId="7E5F69A1" w14:textId="77777777" w:rsidR="00162C1F" w:rsidRPr="00404D6E" w:rsidRDefault="00162C1F"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Igeo_Zn</w:t>
            </w:r>
          </w:p>
        </w:tc>
      </w:tr>
      <w:tr w:rsidR="00162C1F" w:rsidRPr="00404D6E" w14:paraId="4A79F901" w14:textId="77777777" w:rsidTr="00D76651">
        <w:trPr>
          <w:trHeight w:val="510"/>
        </w:trPr>
        <w:tc>
          <w:tcPr>
            <w:cnfStyle w:val="001000000000" w:firstRow="0" w:lastRow="0" w:firstColumn="1" w:lastColumn="0" w:oddVBand="0" w:evenVBand="0" w:oddHBand="0" w:evenHBand="0" w:firstRowFirstColumn="0" w:firstRowLastColumn="0" w:lastRowFirstColumn="0" w:lastRowLastColumn="0"/>
            <w:tcW w:w="0" w:type="auto"/>
            <w:hideMark/>
          </w:tcPr>
          <w:p w14:paraId="7C2599C9" w14:textId="77777777" w:rsidR="00162C1F" w:rsidRPr="00404D6E" w:rsidRDefault="00162C1F" w:rsidP="00D76651">
            <w:pPr>
              <w:spacing w:after="160" w:line="278" w:lineRule="auto"/>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Oguta1</w:t>
            </w:r>
          </w:p>
        </w:tc>
        <w:tc>
          <w:tcPr>
            <w:tcW w:w="0" w:type="auto"/>
            <w:hideMark/>
          </w:tcPr>
          <w:p w14:paraId="4989A0D1"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0.42</w:t>
            </w:r>
          </w:p>
        </w:tc>
        <w:tc>
          <w:tcPr>
            <w:tcW w:w="0" w:type="auto"/>
            <w:hideMark/>
          </w:tcPr>
          <w:p w14:paraId="3FEB41E0"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0.00</w:t>
            </w:r>
          </w:p>
        </w:tc>
        <w:tc>
          <w:tcPr>
            <w:tcW w:w="0" w:type="auto"/>
            <w:hideMark/>
          </w:tcPr>
          <w:p w14:paraId="3F4B00F2"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0.55</w:t>
            </w:r>
          </w:p>
        </w:tc>
        <w:tc>
          <w:tcPr>
            <w:tcW w:w="0" w:type="auto"/>
            <w:hideMark/>
          </w:tcPr>
          <w:p w14:paraId="3B702433"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0.90</w:t>
            </w:r>
          </w:p>
        </w:tc>
        <w:tc>
          <w:tcPr>
            <w:tcW w:w="0" w:type="auto"/>
            <w:hideMark/>
          </w:tcPr>
          <w:p w14:paraId="58297BA9"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0.20</w:t>
            </w:r>
          </w:p>
        </w:tc>
      </w:tr>
      <w:tr w:rsidR="00162C1F" w:rsidRPr="00404D6E" w14:paraId="626924CC" w14:textId="77777777" w:rsidTr="00D76651">
        <w:trPr>
          <w:trHeight w:val="495"/>
        </w:trPr>
        <w:tc>
          <w:tcPr>
            <w:cnfStyle w:val="001000000000" w:firstRow="0" w:lastRow="0" w:firstColumn="1" w:lastColumn="0" w:oddVBand="0" w:evenVBand="0" w:oddHBand="0" w:evenHBand="0" w:firstRowFirstColumn="0" w:firstRowLastColumn="0" w:lastRowFirstColumn="0" w:lastRowLastColumn="0"/>
            <w:tcW w:w="0" w:type="auto"/>
            <w:hideMark/>
          </w:tcPr>
          <w:p w14:paraId="445289CF" w14:textId="77777777" w:rsidR="00162C1F" w:rsidRPr="00404D6E" w:rsidRDefault="00162C1F" w:rsidP="00D76651">
            <w:pPr>
              <w:spacing w:after="160" w:line="278" w:lineRule="auto"/>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Oguta2</w:t>
            </w:r>
          </w:p>
        </w:tc>
        <w:tc>
          <w:tcPr>
            <w:tcW w:w="0" w:type="auto"/>
            <w:hideMark/>
          </w:tcPr>
          <w:p w14:paraId="2D7D9A00"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0.58</w:t>
            </w:r>
          </w:p>
        </w:tc>
        <w:tc>
          <w:tcPr>
            <w:tcW w:w="0" w:type="auto"/>
            <w:hideMark/>
          </w:tcPr>
          <w:p w14:paraId="4689B6A2"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0.43</w:t>
            </w:r>
          </w:p>
        </w:tc>
        <w:tc>
          <w:tcPr>
            <w:tcW w:w="0" w:type="auto"/>
            <w:hideMark/>
          </w:tcPr>
          <w:p w14:paraId="2C304D61"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0.70</w:t>
            </w:r>
          </w:p>
        </w:tc>
        <w:tc>
          <w:tcPr>
            <w:tcW w:w="0" w:type="auto"/>
            <w:hideMark/>
          </w:tcPr>
          <w:p w14:paraId="541544A0"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1.02</w:t>
            </w:r>
          </w:p>
        </w:tc>
        <w:tc>
          <w:tcPr>
            <w:tcW w:w="0" w:type="auto"/>
            <w:hideMark/>
          </w:tcPr>
          <w:p w14:paraId="4EF6856A"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0.33</w:t>
            </w:r>
          </w:p>
        </w:tc>
      </w:tr>
      <w:tr w:rsidR="00162C1F" w:rsidRPr="00404D6E" w14:paraId="1898D861" w14:textId="77777777" w:rsidTr="00D76651">
        <w:trPr>
          <w:trHeight w:val="510"/>
        </w:trPr>
        <w:tc>
          <w:tcPr>
            <w:cnfStyle w:val="001000000000" w:firstRow="0" w:lastRow="0" w:firstColumn="1" w:lastColumn="0" w:oddVBand="0" w:evenVBand="0" w:oddHBand="0" w:evenHBand="0" w:firstRowFirstColumn="0" w:firstRowLastColumn="0" w:lastRowFirstColumn="0" w:lastRowLastColumn="0"/>
            <w:tcW w:w="0" w:type="auto"/>
            <w:hideMark/>
          </w:tcPr>
          <w:p w14:paraId="76B59886" w14:textId="77777777" w:rsidR="00162C1F" w:rsidRPr="00404D6E" w:rsidRDefault="00162C1F" w:rsidP="00D76651">
            <w:pPr>
              <w:spacing w:after="160" w:line="278" w:lineRule="auto"/>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Oguta3</w:t>
            </w:r>
          </w:p>
        </w:tc>
        <w:tc>
          <w:tcPr>
            <w:tcW w:w="0" w:type="auto"/>
            <w:hideMark/>
          </w:tcPr>
          <w:p w14:paraId="2FA93488"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0.49</w:t>
            </w:r>
          </w:p>
        </w:tc>
        <w:tc>
          <w:tcPr>
            <w:tcW w:w="0" w:type="auto"/>
            <w:hideMark/>
          </w:tcPr>
          <w:p w14:paraId="095115F5"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0.20</w:t>
            </w:r>
          </w:p>
        </w:tc>
        <w:tc>
          <w:tcPr>
            <w:tcW w:w="0" w:type="auto"/>
            <w:hideMark/>
          </w:tcPr>
          <w:p w14:paraId="06C41599"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0.61</w:t>
            </w:r>
          </w:p>
        </w:tc>
        <w:tc>
          <w:tcPr>
            <w:tcW w:w="0" w:type="auto"/>
            <w:hideMark/>
          </w:tcPr>
          <w:p w14:paraId="2B7D4DE6"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0.96</w:t>
            </w:r>
          </w:p>
        </w:tc>
        <w:tc>
          <w:tcPr>
            <w:tcW w:w="0" w:type="auto"/>
            <w:hideMark/>
          </w:tcPr>
          <w:p w14:paraId="012236B1"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0.27</w:t>
            </w:r>
          </w:p>
        </w:tc>
      </w:tr>
      <w:tr w:rsidR="00162C1F" w:rsidRPr="00404D6E" w14:paraId="1421573A" w14:textId="77777777" w:rsidTr="00D76651">
        <w:trPr>
          <w:trHeight w:val="495"/>
        </w:trPr>
        <w:tc>
          <w:tcPr>
            <w:cnfStyle w:val="001000000000" w:firstRow="0" w:lastRow="0" w:firstColumn="1" w:lastColumn="0" w:oddVBand="0" w:evenVBand="0" w:oddHBand="0" w:evenHBand="0" w:firstRowFirstColumn="0" w:firstRowLastColumn="0" w:lastRowFirstColumn="0" w:lastRowLastColumn="0"/>
            <w:tcW w:w="0" w:type="auto"/>
            <w:hideMark/>
          </w:tcPr>
          <w:p w14:paraId="3AB1BDEF" w14:textId="77777777" w:rsidR="00162C1F" w:rsidRPr="00404D6E" w:rsidRDefault="00162C1F" w:rsidP="00D76651">
            <w:pPr>
              <w:spacing w:after="160" w:line="278" w:lineRule="auto"/>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Njaba1</w:t>
            </w:r>
          </w:p>
        </w:tc>
        <w:tc>
          <w:tcPr>
            <w:tcW w:w="0" w:type="auto"/>
            <w:hideMark/>
          </w:tcPr>
          <w:p w14:paraId="4FD03DBF"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0.26</w:t>
            </w:r>
          </w:p>
        </w:tc>
        <w:tc>
          <w:tcPr>
            <w:tcW w:w="0" w:type="auto"/>
            <w:hideMark/>
          </w:tcPr>
          <w:p w14:paraId="02DDA84D"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-0.20</w:t>
            </w:r>
          </w:p>
        </w:tc>
        <w:tc>
          <w:tcPr>
            <w:tcW w:w="0" w:type="auto"/>
            <w:hideMark/>
          </w:tcPr>
          <w:p w14:paraId="0C8E3245"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0.33</w:t>
            </w:r>
          </w:p>
        </w:tc>
        <w:tc>
          <w:tcPr>
            <w:tcW w:w="0" w:type="auto"/>
            <w:hideMark/>
          </w:tcPr>
          <w:p w14:paraId="462B3F8F"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0.68</w:t>
            </w:r>
          </w:p>
        </w:tc>
        <w:tc>
          <w:tcPr>
            <w:tcW w:w="0" w:type="auto"/>
            <w:hideMark/>
          </w:tcPr>
          <w:p w14:paraId="04322E28"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0.09</w:t>
            </w:r>
          </w:p>
        </w:tc>
      </w:tr>
      <w:tr w:rsidR="00162C1F" w:rsidRPr="00404D6E" w14:paraId="750F04CB" w14:textId="77777777" w:rsidTr="00D76651">
        <w:trPr>
          <w:trHeight w:val="510"/>
        </w:trPr>
        <w:tc>
          <w:tcPr>
            <w:cnfStyle w:val="001000000000" w:firstRow="0" w:lastRow="0" w:firstColumn="1" w:lastColumn="0" w:oddVBand="0" w:evenVBand="0" w:oddHBand="0" w:evenHBand="0" w:firstRowFirstColumn="0" w:firstRowLastColumn="0" w:lastRowFirstColumn="0" w:lastRowLastColumn="0"/>
            <w:tcW w:w="0" w:type="auto"/>
            <w:hideMark/>
          </w:tcPr>
          <w:p w14:paraId="5E1C035E" w14:textId="77777777" w:rsidR="00162C1F" w:rsidRPr="00404D6E" w:rsidRDefault="00162C1F" w:rsidP="00D76651">
            <w:pPr>
              <w:spacing w:after="160" w:line="278" w:lineRule="auto"/>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Njaba2</w:t>
            </w:r>
          </w:p>
        </w:tc>
        <w:tc>
          <w:tcPr>
            <w:tcW w:w="0" w:type="auto"/>
            <w:hideMark/>
          </w:tcPr>
          <w:p w14:paraId="73BA08EF"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0.33</w:t>
            </w:r>
          </w:p>
        </w:tc>
        <w:tc>
          <w:tcPr>
            <w:tcW w:w="0" w:type="auto"/>
            <w:hideMark/>
          </w:tcPr>
          <w:p w14:paraId="42F5A638"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-0.05</w:t>
            </w:r>
          </w:p>
        </w:tc>
        <w:tc>
          <w:tcPr>
            <w:tcW w:w="0" w:type="auto"/>
            <w:hideMark/>
          </w:tcPr>
          <w:p w14:paraId="64F693AC"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0.44</w:t>
            </w:r>
          </w:p>
        </w:tc>
        <w:tc>
          <w:tcPr>
            <w:tcW w:w="0" w:type="auto"/>
            <w:hideMark/>
          </w:tcPr>
          <w:p w14:paraId="628C2BD0"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0.84</w:t>
            </w:r>
          </w:p>
        </w:tc>
        <w:tc>
          <w:tcPr>
            <w:tcW w:w="0" w:type="auto"/>
            <w:hideMark/>
          </w:tcPr>
          <w:p w14:paraId="3679ADD8"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0.18</w:t>
            </w:r>
          </w:p>
        </w:tc>
      </w:tr>
      <w:tr w:rsidR="00162C1F" w:rsidRPr="00404D6E" w14:paraId="3A306EA3" w14:textId="77777777" w:rsidTr="00D76651">
        <w:trPr>
          <w:trHeight w:val="510"/>
        </w:trPr>
        <w:tc>
          <w:tcPr>
            <w:cnfStyle w:val="001000000000" w:firstRow="0" w:lastRow="0" w:firstColumn="1" w:lastColumn="0" w:oddVBand="0" w:evenVBand="0" w:oddHBand="0" w:evenHBand="0" w:firstRowFirstColumn="0" w:firstRowLastColumn="0" w:lastRowFirstColumn="0" w:lastRowLastColumn="0"/>
            <w:tcW w:w="0" w:type="auto"/>
            <w:hideMark/>
          </w:tcPr>
          <w:p w14:paraId="5C37CAF8" w14:textId="77777777" w:rsidR="00162C1F" w:rsidRPr="00404D6E" w:rsidRDefault="00162C1F" w:rsidP="00D76651">
            <w:pPr>
              <w:spacing w:after="160" w:line="278" w:lineRule="auto"/>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Njaba3</w:t>
            </w:r>
          </w:p>
        </w:tc>
        <w:tc>
          <w:tcPr>
            <w:tcW w:w="0" w:type="auto"/>
            <w:hideMark/>
          </w:tcPr>
          <w:p w14:paraId="6372633C"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0.10</w:t>
            </w:r>
          </w:p>
        </w:tc>
        <w:tc>
          <w:tcPr>
            <w:tcW w:w="0" w:type="auto"/>
            <w:hideMark/>
          </w:tcPr>
          <w:p w14:paraId="3655D827"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-0.33</w:t>
            </w:r>
          </w:p>
        </w:tc>
        <w:tc>
          <w:tcPr>
            <w:tcW w:w="0" w:type="auto"/>
            <w:hideMark/>
          </w:tcPr>
          <w:p w14:paraId="16522477"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0.38</w:t>
            </w:r>
          </w:p>
        </w:tc>
        <w:tc>
          <w:tcPr>
            <w:tcW w:w="0" w:type="auto"/>
            <w:hideMark/>
          </w:tcPr>
          <w:p w14:paraId="684DA9F7"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0.65</w:t>
            </w:r>
          </w:p>
        </w:tc>
        <w:tc>
          <w:tcPr>
            <w:tcW w:w="0" w:type="auto"/>
            <w:hideMark/>
          </w:tcPr>
          <w:p w14:paraId="067E668A"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0.01</w:t>
            </w:r>
          </w:p>
        </w:tc>
      </w:tr>
    </w:tbl>
    <w:p w14:paraId="6F112706" w14:textId="77777777" w:rsidR="00162C1F" w:rsidRPr="00404D6E" w:rsidRDefault="00162C1F" w:rsidP="00162C1F">
      <w:pPr>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 xml:space="preserve">Interpretation: Most values fall within </w:t>
      </w:r>
      <w:r w:rsidRPr="00404D6E">
        <w:rPr>
          <w:rFonts w:ascii="Times New Roman" w:hAnsi="Times New Roman" w:cs="Times New Roman"/>
          <w:b/>
          <w:bCs/>
          <w:color w:val="0D0D0D" w:themeColor="text1" w:themeTint="F2"/>
        </w:rPr>
        <w:t>Class 1 (unpolluted to moderately polluted)</w:t>
      </w:r>
      <w:r w:rsidRPr="00404D6E">
        <w:rPr>
          <w:rFonts w:ascii="Times New Roman" w:hAnsi="Times New Roman" w:cs="Times New Roman"/>
          <w:color w:val="0D0D0D" w:themeColor="text1" w:themeTint="F2"/>
        </w:rPr>
        <w:t>.</w:t>
      </w:r>
    </w:p>
    <w:p w14:paraId="0012F9C9" w14:textId="77777777" w:rsidR="00162C1F" w:rsidRPr="00404D6E" w:rsidRDefault="00162C1F" w:rsidP="00162C1F">
      <w:pPr>
        <w:rPr>
          <w:rFonts w:ascii="Times New Roman" w:hAnsi="Times New Roman" w:cs="Times New Roman"/>
          <w:color w:val="0D0D0D" w:themeColor="text1" w:themeTint="F2"/>
        </w:rPr>
      </w:pPr>
    </w:p>
    <w:p w14:paraId="73053702" w14:textId="77777777" w:rsidR="00162C1F" w:rsidRPr="00404D6E" w:rsidRDefault="00162C1F" w:rsidP="00162C1F">
      <w:pPr>
        <w:rPr>
          <w:rFonts w:ascii="Times New Roman" w:hAnsi="Times New Roman" w:cs="Times New Roman"/>
          <w:b/>
          <w:bCs/>
          <w:color w:val="0D0D0D" w:themeColor="text1" w:themeTint="F2"/>
        </w:rPr>
      </w:pPr>
      <w:r w:rsidRPr="00404D6E">
        <w:rPr>
          <w:noProof/>
          <w:color w:val="0D0D0D" w:themeColor="text1" w:themeTint="F2"/>
          <w:lang w:val="en-IN" w:eastAsia="en-IN"/>
        </w:rPr>
        <mc:AlternateContent>
          <mc:Choic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cx2">
            <w:drawing>
              <wp:anchor distT="0" distB="0" distL="114300" distR="114300" simplePos="0" relativeHeight="251666432" behindDoc="0" locked="0" layoutInCell="1" allowOverlap="1" wp14:anchorId="082EDD91" wp14:editId="08F6B788">
                <wp:simplePos x="0" y="0"/>
                <wp:positionH relativeFrom="column">
                  <wp:posOffset>-190831</wp:posOffset>
                </wp:positionH>
                <wp:positionV relativeFrom="paragraph">
                  <wp:posOffset>306070</wp:posOffset>
                </wp:positionV>
                <wp:extent cx="5591175" cy="2847975"/>
                <wp:effectExtent l="0" t="0" r="0" b="0"/>
                <wp:wrapTopAndBottom/>
                <wp:docPr id="1966631404" name="Chart 1">
                  <a:extLst xmlns:a="http://schemas.openxmlformats.org/drawingml/2006/main">
                    <a:ext uri="{FF2B5EF4-FFF2-40B4-BE49-F238E27FC236}">
                      <a16:creationId xmlns:a16="http://schemas.microsoft.com/office/drawing/2014/main" id="{00FDC1FD-EB08-8CBD-AC45-7B1163ABA3DB}"/>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2"/>
                  </a:graphicData>
                </a:graphic>
              </wp:anchor>
            </w:drawing>
          </mc:Choice>
          <mc:Fallback>
            <w:drawing>
              <wp:anchor distT="0" distB="0" distL="114300" distR="114300" simplePos="0" relativeHeight="251666432" behindDoc="0" locked="0" layoutInCell="1" allowOverlap="1" wp14:anchorId="082EDD91" wp14:editId="08F6B788">
                <wp:simplePos x="0" y="0"/>
                <wp:positionH relativeFrom="column">
                  <wp:posOffset>-190831</wp:posOffset>
                </wp:positionH>
                <wp:positionV relativeFrom="paragraph">
                  <wp:posOffset>306070</wp:posOffset>
                </wp:positionV>
                <wp:extent cx="5591175" cy="2847975"/>
                <wp:effectExtent l="0" t="0" r="0" b="0"/>
                <wp:wrapTopAndBottom/>
                <wp:docPr id="1966631404"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FDC1FD-EB08-8CBD-AC45-7B1163ABA3DB}"/>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966631404" name="Chart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FDC1FD-EB08-8CBD-AC45-7B1163ABA3DB}"/>
                            </a:ext>
                          </a:extLst>
                        </pic:cNvPr>
                        <pic:cNvPicPr>
                          <a:picLocks noGrp="1" noRot="1" noChangeAspect="1" noMove="1" noResize="1" noEditPoints="1" noAdjustHandles="1" noChangeArrowheads="1" noChangeShapeType="1"/>
                        </pic:cNvPicPr>
                      </pic:nvPicPr>
                      <pic:blipFill>
                        <a:blip r:embed="rId13"/>
                        <a:stretch>
                          <a:fillRect/>
                        </a:stretch>
                      </pic:blipFill>
                      <pic:spPr>
                        <a:xfrm>
                          <a:off x="0" y="0"/>
                          <a:ext cx="5591175" cy="2847975"/>
                        </a:xfrm>
                        <a:prstGeom prst="rect">
                          <a:avLst/>
                        </a:prstGeom>
                      </pic:spPr>
                    </pic:pic>
                  </a:graphicData>
                </a:graphic>
              </wp:anchor>
            </w:drawing>
          </mc:Fallback>
        </mc:AlternateContent>
      </w:r>
    </w:p>
    <w:p w14:paraId="2A1C4143" w14:textId="77777777" w:rsidR="00162C1F" w:rsidRPr="00404D6E" w:rsidRDefault="00162C1F" w:rsidP="00162C1F">
      <w:pPr>
        <w:rPr>
          <w:rFonts w:ascii="Times New Roman" w:hAnsi="Times New Roman" w:cs="Times New Roman"/>
          <w:color w:val="0D0D0D" w:themeColor="text1" w:themeTint="F2"/>
        </w:rPr>
      </w:pPr>
      <w:r w:rsidRPr="00404D6E">
        <w:rPr>
          <w:rFonts w:ascii="Times New Roman" w:hAnsi="Times New Roman" w:cs="Times New Roman"/>
          <w:b/>
          <w:bCs/>
          <w:color w:val="0D0D0D" w:themeColor="text1" w:themeTint="F2"/>
        </w:rPr>
        <w:t xml:space="preserve">Figure </w:t>
      </w:r>
      <w:r>
        <w:rPr>
          <w:rFonts w:ascii="Times New Roman" w:hAnsi="Times New Roman" w:cs="Times New Roman"/>
          <w:b/>
          <w:bCs/>
          <w:color w:val="0D0D0D" w:themeColor="text1" w:themeTint="F2"/>
        </w:rPr>
        <w:t>6.</w:t>
      </w:r>
      <w:r w:rsidRPr="00404D6E">
        <w:rPr>
          <w:rFonts w:ascii="Times New Roman" w:hAnsi="Times New Roman" w:cs="Times New Roman"/>
          <w:color w:val="0D0D0D" w:themeColor="text1" w:themeTint="F2"/>
        </w:rPr>
        <w:t xml:space="preserve"> Pollution Load Index (PLI)</w:t>
      </w:r>
    </w:p>
    <w:p w14:paraId="1900806F" w14:textId="77777777" w:rsidR="00162C1F" w:rsidRPr="00FD286B" w:rsidRDefault="00162C1F" w:rsidP="00162C1F">
      <w:pPr>
        <w:rPr>
          <w:b/>
          <w:bCs/>
        </w:rPr>
      </w:pPr>
    </w:p>
    <w:p w14:paraId="434BD4AD" w14:textId="77777777" w:rsidR="00162C1F" w:rsidRPr="001816EA" w:rsidRDefault="00162C1F" w:rsidP="00162C1F"/>
    <w:p w14:paraId="75C8B6BA" w14:textId="1A2F5FA6" w:rsidR="000775DA" w:rsidRPr="00404D6E" w:rsidRDefault="000775DA" w:rsidP="004C768A">
      <w:pPr>
        <w:jc w:val="both"/>
        <w:rPr>
          <w:rFonts w:ascii="Times New Roman" w:hAnsi="Times New Roman" w:cs="Times New Roman"/>
          <w:color w:val="0D0D0D" w:themeColor="text1" w:themeTint="F2"/>
        </w:rPr>
      </w:pPr>
    </w:p>
    <w:p w14:paraId="61E63AB1" w14:textId="77777777" w:rsidR="00DC687B" w:rsidRPr="00404D6E" w:rsidRDefault="00531D4F" w:rsidP="00DC687B">
      <w:pPr>
        <w:pStyle w:val="Heading1"/>
        <w:rPr>
          <w:rFonts w:ascii="Times New Roman" w:hAnsi="Times New Roman" w:cs="Times New Roman"/>
          <w:b/>
          <w:bCs/>
          <w:color w:val="0D0D0D" w:themeColor="text1" w:themeTint="F2"/>
          <w:sz w:val="24"/>
          <w:szCs w:val="24"/>
        </w:rPr>
      </w:pPr>
      <w:r w:rsidRPr="00404D6E">
        <w:rPr>
          <w:rFonts w:ascii="Times New Roman" w:hAnsi="Times New Roman" w:cs="Times New Roman"/>
          <w:b/>
          <w:bCs/>
          <w:color w:val="0D0D0D" w:themeColor="text1" w:themeTint="F2"/>
          <w:sz w:val="24"/>
          <w:szCs w:val="24"/>
        </w:rPr>
        <w:lastRenderedPageBreak/>
        <w:t>Discussion of Findings</w:t>
      </w:r>
    </w:p>
    <w:p w14:paraId="5D225C85" w14:textId="5D4958F3" w:rsidR="00531D4F" w:rsidRPr="00DC1634" w:rsidRDefault="00531D4F" w:rsidP="00DC687B">
      <w:pPr>
        <w:pStyle w:val="Heading2"/>
        <w:rPr>
          <w:rFonts w:ascii="Times New Roman" w:hAnsi="Times New Roman" w:cs="Times New Roman"/>
          <w:i/>
          <w:iCs/>
          <w:color w:val="0D0D0D" w:themeColor="text1" w:themeTint="F2"/>
          <w:sz w:val="24"/>
          <w:szCs w:val="24"/>
        </w:rPr>
      </w:pPr>
      <w:r w:rsidRPr="00DC1634">
        <w:rPr>
          <w:rFonts w:ascii="Times New Roman" w:hAnsi="Times New Roman" w:cs="Times New Roman"/>
          <w:i/>
          <w:iCs/>
          <w:color w:val="0D0D0D" w:themeColor="text1" w:themeTint="F2"/>
          <w:sz w:val="24"/>
          <w:szCs w:val="24"/>
        </w:rPr>
        <w:t>Physicochemical Characteristics of Water and Sediment</w:t>
      </w:r>
    </w:p>
    <w:p w14:paraId="752FF899" w14:textId="61AFC546" w:rsidR="00531D4F" w:rsidRPr="00404D6E" w:rsidRDefault="00A12071" w:rsidP="00DC687B">
      <w:pPr>
        <w:ind w:firstLine="576"/>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 xml:space="preserve">The physicochemical characteristics of the Oguta Lake and Njaba River, </w:t>
      </w:r>
      <w:r w:rsidR="005107C5" w:rsidRPr="00404D6E">
        <w:rPr>
          <w:rFonts w:ascii="Times New Roman" w:hAnsi="Times New Roman" w:cs="Times New Roman"/>
          <w:color w:val="0D0D0D" w:themeColor="text1" w:themeTint="F2"/>
        </w:rPr>
        <w:t>as presented in Tables 1 and 4</w:t>
      </w:r>
      <w:r w:rsidR="00BC69E7" w:rsidRPr="00404D6E">
        <w:rPr>
          <w:rFonts w:ascii="Times New Roman" w:hAnsi="Times New Roman" w:cs="Times New Roman"/>
          <w:color w:val="0D0D0D" w:themeColor="text1" w:themeTint="F2"/>
        </w:rPr>
        <w:t>, Figure 2</w:t>
      </w:r>
      <w:r w:rsidR="005107C5" w:rsidRPr="00404D6E">
        <w:rPr>
          <w:rFonts w:ascii="Times New Roman" w:hAnsi="Times New Roman" w:cs="Times New Roman"/>
          <w:color w:val="0D0D0D" w:themeColor="text1" w:themeTint="F2"/>
        </w:rPr>
        <w:t>, reveal some profound considerations regarding</w:t>
      </w:r>
      <w:r w:rsidR="00D24497" w:rsidRPr="00404D6E">
        <w:rPr>
          <w:rFonts w:ascii="Times New Roman" w:hAnsi="Times New Roman" w:cs="Times New Roman"/>
          <w:color w:val="0D0D0D" w:themeColor="text1" w:themeTint="F2"/>
        </w:rPr>
        <w:t xml:space="preserve"> the environmental conditions of the freshwater</w:t>
      </w:r>
      <w:r w:rsidRPr="00404D6E">
        <w:rPr>
          <w:rFonts w:ascii="Times New Roman" w:hAnsi="Times New Roman" w:cs="Times New Roman"/>
          <w:color w:val="0D0D0D" w:themeColor="text1" w:themeTint="F2"/>
        </w:rPr>
        <w:t xml:space="preserve"> systems. The pH levels of the two water bodies (6.84 in Oguta and 6.49 in Njaba) were within the recommended </w:t>
      </w:r>
      <w:r w:rsidR="002B4D90">
        <w:rPr>
          <w:rFonts w:ascii="Times New Roman" w:hAnsi="Times New Roman" w:cs="Times New Roman"/>
          <w:color w:val="0D0D0D" w:themeColor="text1" w:themeTint="F2"/>
        </w:rPr>
        <w:t>range of 6.5-8.5 by the WHO, even though the river in Njaba was slightly acidic</w:t>
      </w:r>
      <w:r w:rsidRPr="00404D6E">
        <w:rPr>
          <w:rFonts w:ascii="Times New Roman" w:hAnsi="Times New Roman" w:cs="Times New Roman"/>
          <w:color w:val="0D0D0D" w:themeColor="text1" w:themeTint="F2"/>
        </w:rPr>
        <w:t xml:space="preserve">. This acidic marginality </w:t>
      </w:r>
      <w:r w:rsidR="002B4D90">
        <w:rPr>
          <w:rFonts w:ascii="Times New Roman" w:hAnsi="Times New Roman" w:cs="Times New Roman"/>
          <w:color w:val="0D0D0D" w:themeColor="text1" w:themeTint="F2"/>
        </w:rPr>
        <w:t>raises ecological concerns, as it may increase the solubility and bioavailability of toxic metals, leading</w:t>
      </w:r>
      <w:r w:rsidRPr="00404D6E">
        <w:rPr>
          <w:rFonts w:ascii="Times New Roman" w:hAnsi="Times New Roman" w:cs="Times New Roman"/>
          <w:color w:val="0D0D0D" w:themeColor="text1" w:themeTint="F2"/>
        </w:rPr>
        <w:t xml:space="preserve"> to their circulation through the food web. The pH values at acidic levels </w:t>
      </w:r>
      <w:r w:rsidR="00D24497" w:rsidRPr="00404D6E">
        <w:rPr>
          <w:rFonts w:ascii="Times New Roman" w:hAnsi="Times New Roman" w:cs="Times New Roman"/>
          <w:color w:val="0D0D0D" w:themeColor="text1" w:themeTint="F2"/>
        </w:rPr>
        <w:t>(</w:t>
      </w:r>
      <w:r w:rsidR="004F0F98">
        <w:rPr>
          <w:rFonts w:ascii="Times New Roman" w:hAnsi="Times New Roman" w:cs="Times New Roman"/>
          <w:color w:val="0D0D0D" w:themeColor="text1" w:themeTint="F2"/>
        </w:rPr>
        <w:t>pH 6 and below) are observed in contaminated stretches of the Eleme River [10] and the New Calabar River [13], which are attributed to the discharge of petroleum waste-related materials,</w:t>
      </w:r>
      <w:r w:rsidRPr="00404D6E">
        <w:rPr>
          <w:rFonts w:ascii="Times New Roman" w:hAnsi="Times New Roman" w:cs="Times New Roman"/>
          <w:color w:val="0D0D0D" w:themeColor="text1" w:themeTint="F2"/>
        </w:rPr>
        <w:t xml:space="preserve"> as well as acidic leachates. The levels of temperature, conductivity</w:t>
      </w:r>
      <w:r w:rsidR="004F0F98">
        <w:rPr>
          <w:rFonts w:ascii="Times New Roman" w:hAnsi="Times New Roman" w:cs="Times New Roman"/>
          <w:color w:val="0D0D0D" w:themeColor="text1" w:themeTint="F2"/>
        </w:rPr>
        <w:t>, and salinity were significantly higher in the Njaba River, indicating a higher content of ions and possibly greater</w:t>
      </w:r>
      <w:r w:rsidRPr="00404D6E">
        <w:rPr>
          <w:rFonts w:ascii="Times New Roman" w:hAnsi="Times New Roman" w:cs="Times New Roman"/>
          <w:color w:val="0D0D0D" w:themeColor="text1" w:themeTint="F2"/>
        </w:rPr>
        <w:t xml:space="preserve"> anthropogenic involvement. High values of total dissolved solids (TDS) and turbidity, </w:t>
      </w:r>
      <w:r w:rsidR="005107C5" w:rsidRPr="00404D6E">
        <w:rPr>
          <w:rFonts w:ascii="Times New Roman" w:hAnsi="Times New Roman" w:cs="Times New Roman"/>
          <w:color w:val="0D0D0D" w:themeColor="text1" w:themeTint="F2"/>
        </w:rPr>
        <w:t>primarily in Njaba, can also jeopardise</w:t>
      </w:r>
      <w:r w:rsidRPr="00404D6E">
        <w:rPr>
          <w:rFonts w:ascii="Times New Roman" w:hAnsi="Times New Roman" w:cs="Times New Roman"/>
          <w:color w:val="0D0D0D" w:themeColor="text1" w:themeTint="F2"/>
        </w:rPr>
        <w:t xml:space="preserve"> photosynthetic performance and habitat. The total organic carbon (Table 4) in the data was high</w:t>
      </w:r>
      <w:r w:rsidR="005107C5" w:rsidRPr="00404D6E">
        <w:rPr>
          <w:rFonts w:ascii="Times New Roman" w:hAnsi="Times New Roman" w:cs="Times New Roman"/>
          <w:color w:val="0D0D0D" w:themeColor="text1" w:themeTint="F2"/>
        </w:rPr>
        <w:t>,</w:t>
      </w:r>
      <w:r w:rsidRPr="00404D6E">
        <w:rPr>
          <w:rFonts w:ascii="Times New Roman" w:hAnsi="Times New Roman" w:cs="Times New Roman"/>
          <w:color w:val="0D0D0D" w:themeColor="text1" w:themeTint="F2"/>
        </w:rPr>
        <w:t xml:space="preserve"> with the highest concentrations being observed in Njaba (32.7 mg/kg), </w:t>
      </w:r>
      <w:r w:rsidR="005107C5" w:rsidRPr="00404D6E">
        <w:rPr>
          <w:rFonts w:ascii="Times New Roman" w:hAnsi="Times New Roman" w:cs="Times New Roman"/>
          <w:color w:val="0D0D0D" w:themeColor="text1" w:themeTint="F2"/>
        </w:rPr>
        <w:t>indicating</w:t>
      </w:r>
      <w:r w:rsidRPr="00404D6E">
        <w:rPr>
          <w:rFonts w:ascii="Times New Roman" w:hAnsi="Times New Roman" w:cs="Times New Roman"/>
          <w:color w:val="0D0D0D" w:themeColor="text1" w:themeTint="F2"/>
        </w:rPr>
        <w:t xml:space="preserve"> a high deposition of organic matter. Such a condition </w:t>
      </w:r>
      <w:r w:rsidR="005107C5" w:rsidRPr="00404D6E">
        <w:rPr>
          <w:rFonts w:ascii="Times New Roman" w:hAnsi="Times New Roman" w:cs="Times New Roman"/>
          <w:color w:val="0D0D0D" w:themeColor="text1" w:themeTint="F2"/>
        </w:rPr>
        <w:t>tends to result in hydrophobic compounds, such as PAHs,</w:t>
      </w:r>
      <w:r w:rsidRPr="00404D6E">
        <w:rPr>
          <w:rFonts w:ascii="Times New Roman" w:hAnsi="Times New Roman" w:cs="Times New Roman"/>
          <w:color w:val="0D0D0D" w:themeColor="text1" w:themeTint="F2"/>
        </w:rPr>
        <w:t xml:space="preserve"> orienting to sediment particles </w:t>
      </w:r>
      <w:r w:rsidR="004F0F98">
        <w:rPr>
          <w:rFonts w:ascii="Times New Roman" w:hAnsi="Times New Roman" w:cs="Times New Roman"/>
          <w:color w:val="0D0D0D" w:themeColor="text1" w:themeTint="F2"/>
        </w:rPr>
        <w:t>[5]</w:t>
      </w:r>
      <w:r w:rsidRPr="00404D6E">
        <w:rPr>
          <w:rFonts w:ascii="Times New Roman" w:hAnsi="Times New Roman" w:cs="Times New Roman"/>
          <w:color w:val="0D0D0D" w:themeColor="text1" w:themeTint="F2"/>
        </w:rPr>
        <w:t>, which may form long-lasting sinks of the contaminants.</w:t>
      </w:r>
    </w:p>
    <w:p w14:paraId="4C60F7FF" w14:textId="44DB24CF" w:rsidR="00531D4F" w:rsidRPr="00404D6E" w:rsidRDefault="00531D4F" w:rsidP="00531D4F">
      <w:pPr>
        <w:jc w:val="both"/>
        <w:rPr>
          <w:rFonts w:ascii="Times New Roman" w:hAnsi="Times New Roman" w:cs="Times New Roman"/>
          <w:color w:val="0D0D0D" w:themeColor="text1" w:themeTint="F2"/>
        </w:rPr>
      </w:pPr>
    </w:p>
    <w:p w14:paraId="3F16D990" w14:textId="4B7FCB64" w:rsidR="00531D4F" w:rsidRPr="00DC1634" w:rsidRDefault="00531D4F" w:rsidP="00DC687B">
      <w:pPr>
        <w:pStyle w:val="Heading2"/>
        <w:rPr>
          <w:rFonts w:ascii="Times New Roman" w:hAnsi="Times New Roman" w:cs="Times New Roman"/>
          <w:i/>
          <w:iCs/>
          <w:color w:val="0D0D0D" w:themeColor="text1" w:themeTint="F2"/>
          <w:sz w:val="24"/>
          <w:szCs w:val="24"/>
        </w:rPr>
      </w:pPr>
      <w:r w:rsidRPr="00DC1634">
        <w:rPr>
          <w:rFonts w:ascii="Times New Roman" w:hAnsi="Times New Roman" w:cs="Times New Roman"/>
          <w:i/>
          <w:iCs/>
          <w:color w:val="0D0D0D" w:themeColor="text1" w:themeTint="F2"/>
          <w:sz w:val="24"/>
          <w:szCs w:val="24"/>
        </w:rPr>
        <w:t>Hydrocarbon Pollution: TPHs and PAHs</w:t>
      </w:r>
    </w:p>
    <w:p w14:paraId="60AF251B" w14:textId="410DF647" w:rsidR="00531D4F" w:rsidRPr="00404D6E" w:rsidRDefault="00A12071" w:rsidP="00DC687B">
      <w:pPr>
        <w:ind w:firstLine="576"/>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 xml:space="preserve">The concentrations of total petroleum hydrocarbons (TPHs) and </w:t>
      </w:r>
      <w:r w:rsidR="005107C5" w:rsidRPr="00404D6E">
        <w:rPr>
          <w:rFonts w:ascii="Times New Roman" w:hAnsi="Times New Roman" w:cs="Times New Roman"/>
          <w:color w:val="0D0D0D" w:themeColor="text1" w:themeTint="F2"/>
        </w:rPr>
        <w:t xml:space="preserve">polycyclic aromatic hydrocarbons (PAHs) in the water and </w:t>
      </w:r>
      <w:r w:rsidR="004F0F98">
        <w:rPr>
          <w:rFonts w:ascii="Times New Roman" w:hAnsi="Times New Roman" w:cs="Times New Roman"/>
          <w:color w:val="0D0D0D" w:themeColor="text1" w:themeTint="F2"/>
        </w:rPr>
        <w:t>sediment (Tables 3 and 6) were worryingly high, surpassing</w:t>
      </w:r>
      <w:r w:rsidRPr="00404D6E">
        <w:rPr>
          <w:rFonts w:ascii="Times New Roman" w:hAnsi="Times New Roman" w:cs="Times New Roman"/>
          <w:color w:val="0D0D0D" w:themeColor="text1" w:themeTint="F2"/>
        </w:rPr>
        <w:t xml:space="preserve"> the allowable environmental limits. In </w:t>
      </w:r>
      <w:r w:rsidR="005107C5" w:rsidRPr="00404D6E">
        <w:rPr>
          <w:rFonts w:ascii="Times New Roman" w:hAnsi="Times New Roman" w:cs="Times New Roman"/>
          <w:color w:val="0D0D0D" w:themeColor="text1" w:themeTint="F2"/>
        </w:rPr>
        <w:t>the Njaba River, the water and sediment TPH levels were found to be within the range of 2.68 mg/L and 18.77 mg/kg, respectively, which exceed the Nigerian Federal Ministry of Environment's limit of</w:t>
      </w:r>
      <w:r w:rsidRPr="00404D6E">
        <w:rPr>
          <w:rFonts w:ascii="Times New Roman" w:hAnsi="Times New Roman" w:cs="Times New Roman"/>
          <w:color w:val="0D0D0D" w:themeColor="text1" w:themeTint="F2"/>
        </w:rPr>
        <w:t xml:space="preserve"> 0.5 mg/L in surface water. Such concentrations are in line with those observed in the Escravos and </w:t>
      </w:r>
      <w:r w:rsidR="004F0F98">
        <w:rPr>
          <w:rFonts w:ascii="Times New Roman" w:hAnsi="Times New Roman" w:cs="Times New Roman"/>
          <w:color w:val="0D0D0D" w:themeColor="text1" w:themeTint="F2"/>
        </w:rPr>
        <w:t xml:space="preserve">Forcados rivers in the Niger Delta </w:t>
      </w:r>
      <w:r w:rsidR="00A64C51">
        <w:rPr>
          <w:rFonts w:ascii="Times New Roman" w:hAnsi="Times New Roman" w:cs="Times New Roman"/>
          <w:color w:val="0D0D0D" w:themeColor="text1" w:themeTint="F2"/>
        </w:rPr>
        <w:t>[2]</w:t>
      </w:r>
      <w:r w:rsidR="004F0F98">
        <w:rPr>
          <w:rFonts w:ascii="Times New Roman" w:hAnsi="Times New Roman" w:cs="Times New Roman"/>
          <w:color w:val="0D0D0D" w:themeColor="text1" w:themeTint="F2"/>
        </w:rPr>
        <w:t>, where</w:t>
      </w:r>
      <w:r w:rsidRPr="00404D6E">
        <w:rPr>
          <w:rFonts w:ascii="Times New Roman" w:hAnsi="Times New Roman" w:cs="Times New Roman"/>
          <w:color w:val="0D0D0D" w:themeColor="text1" w:themeTint="F2"/>
        </w:rPr>
        <w:t xml:space="preserve"> TPHs were also attributed to activities of oil exploration and illegal refineries. </w:t>
      </w:r>
      <w:r w:rsidR="004F0F98">
        <w:rPr>
          <w:rFonts w:ascii="Times New Roman" w:hAnsi="Times New Roman" w:cs="Times New Roman"/>
          <w:color w:val="0D0D0D" w:themeColor="text1" w:themeTint="F2"/>
        </w:rPr>
        <w:t>The domination of low-molecular-weight PAHs, such as naphthalene and phenanthrene, is another indication</w:t>
      </w:r>
      <w:r w:rsidRPr="00404D6E">
        <w:rPr>
          <w:rFonts w:ascii="Times New Roman" w:hAnsi="Times New Roman" w:cs="Times New Roman"/>
          <w:color w:val="0D0D0D" w:themeColor="text1" w:themeTint="F2"/>
        </w:rPr>
        <w:t xml:space="preserve"> of </w:t>
      </w:r>
      <w:r w:rsidR="005107C5" w:rsidRPr="00404D6E">
        <w:rPr>
          <w:rFonts w:ascii="Times New Roman" w:hAnsi="Times New Roman" w:cs="Times New Roman"/>
          <w:color w:val="0D0D0D" w:themeColor="text1" w:themeTint="F2"/>
        </w:rPr>
        <w:t xml:space="preserve">the </w:t>
      </w:r>
      <w:r w:rsidRPr="00404D6E">
        <w:rPr>
          <w:rFonts w:ascii="Times New Roman" w:hAnsi="Times New Roman" w:cs="Times New Roman"/>
          <w:color w:val="0D0D0D" w:themeColor="text1" w:themeTint="F2"/>
        </w:rPr>
        <w:t>petrogenic origin of contamination.</w:t>
      </w:r>
      <w:r w:rsidR="00DC687B" w:rsidRPr="00404D6E">
        <w:rPr>
          <w:rFonts w:ascii="Times New Roman" w:hAnsi="Times New Roman" w:cs="Times New Roman"/>
          <w:color w:val="0D0D0D" w:themeColor="text1" w:themeTint="F2"/>
        </w:rPr>
        <w:t xml:space="preserve"> </w:t>
      </w:r>
      <w:r w:rsidRPr="00404D6E">
        <w:rPr>
          <w:rFonts w:ascii="Times New Roman" w:hAnsi="Times New Roman" w:cs="Times New Roman"/>
          <w:color w:val="0D0D0D" w:themeColor="text1" w:themeTint="F2"/>
        </w:rPr>
        <w:t>Njaba sediment contained PAHs</w:t>
      </w:r>
      <w:r w:rsidR="005107C5" w:rsidRPr="00404D6E">
        <w:rPr>
          <w:rFonts w:ascii="Times New Roman" w:hAnsi="Times New Roman" w:cs="Times New Roman"/>
          <w:color w:val="0D0D0D" w:themeColor="text1" w:themeTint="F2"/>
        </w:rPr>
        <w:t>,</w:t>
      </w:r>
      <w:r w:rsidRPr="00404D6E">
        <w:rPr>
          <w:rFonts w:ascii="Times New Roman" w:hAnsi="Times New Roman" w:cs="Times New Roman"/>
          <w:color w:val="0D0D0D" w:themeColor="text1" w:themeTint="F2"/>
        </w:rPr>
        <w:t xml:space="preserve"> which surpassed the NOAA Effect Range Low (ERL) of naphthalene (0.17 mg/kg) and phenanthrene (0.25 mg/kg)</w:t>
      </w:r>
      <w:r w:rsidR="005107C5" w:rsidRPr="00404D6E">
        <w:rPr>
          <w:rFonts w:ascii="Times New Roman" w:hAnsi="Times New Roman" w:cs="Times New Roman"/>
          <w:color w:val="0D0D0D" w:themeColor="text1" w:themeTint="F2"/>
        </w:rPr>
        <w:t xml:space="preserve">, providing evidence of a </w:t>
      </w:r>
      <w:r w:rsidRPr="00404D6E">
        <w:rPr>
          <w:rFonts w:ascii="Times New Roman" w:hAnsi="Times New Roman" w:cs="Times New Roman"/>
          <w:color w:val="0D0D0D" w:themeColor="text1" w:themeTint="F2"/>
        </w:rPr>
        <w:t xml:space="preserve">possible ecological threat. This is in line with the data provided about the Bonny Estuary </w:t>
      </w:r>
      <w:r w:rsidR="00D16315">
        <w:rPr>
          <w:rFonts w:ascii="Times New Roman" w:hAnsi="Times New Roman" w:cs="Times New Roman"/>
          <w:color w:val="0D0D0D" w:themeColor="text1" w:themeTint="F2"/>
        </w:rPr>
        <w:t>[16]</w:t>
      </w:r>
      <w:r w:rsidRPr="00404D6E">
        <w:rPr>
          <w:rFonts w:ascii="Times New Roman" w:hAnsi="Times New Roman" w:cs="Times New Roman"/>
          <w:color w:val="0D0D0D" w:themeColor="text1" w:themeTint="F2"/>
        </w:rPr>
        <w:t xml:space="preserve">, </w:t>
      </w:r>
      <w:r w:rsidR="004F0F98">
        <w:rPr>
          <w:rFonts w:ascii="Times New Roman" w:hAnsi="Times New Roman" w:cs="Times New Roman"/>
          <w:color w:val="0D0D0D" w:themeColor="text1" w:themeTint="F2"/>
        </w:rPr>
        <w:t xml:space="preserve">which further reinforces that these water systems are subject to </w:t>
      </w:r>
      <w:r w:rsidRPr="00404D6E">
        <w:rPr>
          <w:rFonts w:ascii="Times New Roman" w:hAnsi="Times New Roman" w:cs="Times New Roman"/>
          <w:color w:val="0D0D0D" w:themeColor="text1" w:themeTint="F2"/>
        </w:rPr>
        <w:t xml:space="preserve">immense petrochemical burdens. High values of </w:t>
      </w:r>
      <w:r w:rsidR="005107C5" w:rsidRPr="00404D6E">
        <w:rPr>
          <w:rFonts w:ascii="Times New Roman" w:hAnsi="Times New Roman" w:cs="Times New Roman"/>
          <w:color w:val="0D0D0D" w:themeColor="text1" w:themeTint="F2"/>
        </w:rPr>
        <w:t xml:space="preserve">the </w:t>
      </w:r>
      <w:r w:rsidRPr="00404D6E">
        <w:rPr>
          <w:rFonts w:ascii="Times New Roman" w:hAnsi="Times New Roman" w:cs="Times New Roman"/>
          <w:color w:val="0D0D0D" w:themeColor="text1" w:themeTint="F2"/>
        </w:rPr>
        <w:t>PAH-to-TPH ratio also indicate an incomplete combustion or weathering source signature.</w:t>
      </w:r>
    </w:p>
    <w:p w14:paraId="3A2F6B1B" w14:textId="144DEC3A" w:rsidR="00531D4F" w:rsidRPr="00404D6E" w:rsidRDefault="00531D4F" w:rsidP="00531D4F">
      <w:pPr>
        <w:jc w:val="both"/>
        <w:rPr>
          <w:rFonts w:ascii="Times New Roman" w:hAnsi="Times New Roman" w:cs="Times New Roman"/>
          <w:color w:val="0D0D0D" w:themeColor="text1" w:themeTint="F2"/>
        </w:rPr>
      </w:pPr>
    </w:p>
    <w:p w14:paraId="482CACAC" w14:textId="21B77A1F" w:rsidR="00531D4F" w:rsidRPr="00DC1634" w:rsidRDefault="00531D4F" w:rsidP="00DC687B">
      <w:pPr>
        <w:pStyle w:val="Heading2"/>
        <w:rPr>
          <w:rFonts w:ascii="Times New Roman" w:hAnsi="Times New Roman" w:cs="Times New Roman"/>
          <w:i/>
          <w:iCs/>
          <w:color w:val="0D0D0D" w:themeColor="text1" w:themeTint="F2"/>
          <w:sz w:val="24"/>
          <w:szCs w:val="24"/>
        </w:rPr>
      </w:pPr>
      <w:r w:rsidRPr="00DC1634">
        <w:rPr>
          <w:rFonts w:ascii="Times New Roman" w:hAnsi="Times New Roman" w:cs="Times New Roman"/>
          <w:i/>
          <w:iCs/>
          <w:color w:val="0D0D0D" w:themeColor="text1" w:themeTint="F2"/>
          <w:sz w:val="24"/>
          <w:szCs w:val="24"/>
        </w:rPr>
        <w:t>Heavy Metal Contamination and Pollution Load</w:t>
      </w:r>
    </w:p>
    <w:p w14:paraId="2BFF2433" w14:textId="7CAD5817" w:rsidR="00531D4F" w:rsidRPr="00404D6E" w:rsidRDefault="00A12071" w:rsidP="002F4535">
      <w:pPr>
        <w:ind w:firstLine="576"/>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Several international guidelines (</w:t>
      </w:r>
      <w:r w:rsidR="005107C5" w:rsidRPr="00404D6E">
        <w:rPr>
          <w:rFonts w:ascii="Times New Roman" w:hAnsi="Times New Roman" w:cs="Times New Roman"/>
          <w:color w:val="0D0D0D" w:themeColor="text1" w:themeTint="F2"/>
        </w:rPr>
        <w:t>Tables 2 and 5</w:t>
      </w:r>
      <w:r w:rsidR="00BC69E7" w:rsidRPr="00404D6E">
        <w:rPr>
          <w:rFonts w:ascii="Times New Roman" w:hAnsi="Times New Roman" w:cs="Times New Roman"/>
          <w:color w:val="0D0D0D" w:themeColor="text1" w:themeTint="F2"/>
        </w:rPr>
        <w:t>, Figure 3</w:t>
      </w:r>
      <w:r w:rsidR="005107C5" w:rsidRPr="00404D6E">
        <w:rPr>
          <w:rFonts w:ascii="Times New Roman" w:hAnsi="Times New Roman" w:cs="Times New Roman"/>
          <w:color w:val="0D0D0D" w:themeColor="text1" w:themeTint="F2"/>
        </w:rPr>
        <w:t>) were surpassed by the heavy metal concentrations in water and sediment samples,</w:t>
      </w:r>
      <w:r w:rsidRPr="00404D6E">
        <w:rPr>
          <w:rFonts w:ascii="Times New Roman" w:hAnsi="Times New Roman" w:cs="Times New Roman"/>
          <w:color w:val="0D0D0D" w:themeColor="text1" w:themeTint="F2"/>
        </w:rPr>
        <w:t xml:space="preserve"> respectively. Especially problematic </w:t>
      </w:r>
      <w:r w:rsidRPr="00404D6E">
        <w:rPr>
          <w:rFonts w:ascii="Times New Roman" w:hAnsi="Times New Roman" w:cs="Times New Roman"/>
          <w:color w:val="0D0D0D" w:themeColor="text1" w:themeTint="F2"/>
        </w:rPr>
        <w:lastRenderedPageBreak/>
        <w:t xml:space="preserve">were cadmium, lead and nickel. </w:t>
      </w:r>
      <w:r w:rsidR="00C84028">
        <w:rPr>
          <w:rFonts w:ascii="Times New Roman" w:hAnsi="Times New Roman" w:cs="Times New Roman"/>
          <w:color w:val="0D0D0D" w:themeColor="text1" w:themeTint="F2"/>
        </w:rPr>
        <w:t xml:space="preserve">For example, cadmium levels in the drinking water of the Njaba River reached 0.019 mg/L, which is significantly higher than the WHO recommended </w:t>
      </w:r>
      <w:r w:rsidRPr="00404D6E">
        <w:rPr>
          <w:rFonts w:ascii="Times New Roman" w:hAnsi="Times New Roman" w:cs="Times New Roman"/>
          <w:color w:val="0D0D0D" w:themeColor="text1" w:themeTint="F2"/>
        </w:rPr>
        <w:t xml:space="preserve">level of 0.003 mg/L. Such findings are similar to those </w:t>
      </w:r>
      <w:r w:rsidR="00C84028">
        <w:rPr>
          <w:rFonts w:ascii="Times New Roman" w:hAnsi="Times New Roman" w:cs="Times New Roman"/>
          <w:color w:val="0D0D0D" w:themeColor="text1" w:themeTint="F2"/>
        </w:rPr>
        <w:t xml:space="preserve">obtained in the Warri River </w:t>
      </w:r>
      <w:r w:rsidR="00C342C1">
        <w:rPr>
          <w:rFonts w:ascii="Times New Roman" w:hAnsi="Times New Roman" w:cs="Times New Roman"/>
          <w:color w:val="0D0D0D" w:themeColor="text1" w:themeTint="F2"/>
        </w:rPr>
        <w:t>[17]</w:t>
      </w:r>
      <w:r w:rsidR="00C84028">
        <w:rPr>
          <w:rFonts w:ascii="Times New Roman" w:hAnsi="Times New Roman" w:cs="Times New Roman"/>
          <w:color w:val="0D0D0D" w:themeColor="text1" w:themeTint="F2"/>
        </w:rPr>
        <w:t xml:space="preserve">, which </w:t>
      </w:r>
      <w:r w:rsidR="003D3537">
        <w:rPr>
          <w:rFonts w:ascii="Times New Roman" w:hAnsi="Times New Roman" w:cs="Times New Roman"/>
          <w:color w:val="0D0D0D" w:themeColor="text1" w:themeTint="F2"/>
        </w:rPr>
        <w:t>emphasise the influence of either natural processes, such as geogenic input, or human-induced activities associated with</w:t>
      </w:r>
      <w:r w:rsidR="00C84028">
        <w:rPr>
          <w:rFonts w:ascii="Times New Roman" w:hAnsi="Times New Roman" w:cs="Times New Roman"/>
          <w:color w:val="0D0D0D" w:themeColor="text1" w:themeTint="F2"/>
        </w:rPr>
        <w:t xml:space="preserve"> petroleum production</w:t>
      </w:r>
      <w:r w:rsidRPr="00404D6E">
        <w:rPr>
          <w:rFonts w:ascii="Times New Roman" w:hAnsi="Times New Roman" w:cs="Times New Roman"/>
          <w:color w:val="0D0D0D" w:themeColor="text1" w:themeTint="F2"/>
        </w:rPr>
        <w:t xml:space="preserve"> and oil pipeline leakages. Additional evaluation </w:t>
      </w:r>
      <w:r w:rsidR="00C84028">
        <w:rPr>
          <w:rFonts w:ascii="Times New Roman" w:hAnsi="Times New Roman" w:cs="Times New Roman"/>
          <w:color w:val="0D0D0D" w:themeColor="text1" w:themeTint="F2"/>
        </w:rPr>
        <w:t>using the Geo-accumulation Index (Table 11) classified cadmium and nickel as moderately polluted in both systems, with the worst pollution observed</w:t>
      </w:r>
      <w:r w:rsidRPr="00404D6E">
        <w:rPr>
          <w:rFonts w:ascii="Times New Roman" w:hAnsi="Times New Roman" w:cs="Times New Roman"/>
          <w:color w:val="0D0D0D" w:themeColor="text1" w:themeTint="F2"/>
        </w:rPr>
        <w:t xml:space="preserve"> in Oguta Lake. The Pollution Load Index (Table 12) also supports these facts</w:t>
      </w:r>
      <w:r w:rsidR="005107C5" w:rsidRPr="00404D6E">
        <w:rPr>
          <w:rFonts w:ascii="Times New Roman" w:hAnsi="Times New Roman" w:cs="Times New Roman"/>
          <w:color w:val="0D0D0D" w:themeColor="text1" w:themeTint="F2"/>
        </w:rPr>
        <w:t>, with Oguta samples having values greater than 1.5, indicating that the Oguta</w:t>
      </w:r>
      <w:r w:rsidRPr="00404D6E">
        <w:rPr>
          <w:rFonts w:ascii="Times New Roman" w:hAnsi="Times New Roman" w:cs="Times New Roman"/>
          <w:color w:val="0D0D0D" w:themeColor="text1" w:themeTint="F2"/>
        </w:rPr>
        <w:t xml:space="preserve"> samples are cumulatively contaminated. These findings have been </w:t>
      </w:r>
      <w:r w:rsidR="00C84028">
        <w:rPr>
          <w:rFonts w:ascii="Times New Roman" w:hAnsi="Times New Roman" w:cs="Times New Roman"/>
          <w:color w:val="0D0D0D" w:themeColor="text1" w:themeTint="F2"/>
        </w:rPr>
        <w:t xml:space="preserve">confirmed globally, as similar trends of metal accumulation have also been observed in areas of the Pearl River Delta in China and the Mississippi River in the USA, where petroleum influence is evident </w:t>
      </w:r>
      <w:r w:rsidR="004D516F">
        <w:rPr>
          <w:rFonts w:ascii="Times New Roman" w:hAnsi="Times New Roman" w:cs="Times New Roman"/>
          <w:color w:val="0D0D0D" w:themeColor="text1" w:themeTint="F2"/>
        </w:rPr>
        <w:t>[7]</w:t>
      </w:r>
      <w:r w:rsidRPr="00404D6E">
        <w:rPr>
          <w:rFonts w:ascii="Times New Roman" w:hAnsi="Times New Roman" w:cs="Times New Roman"/>
          <w:color w:val="0D0D0D" w:themeColor="text1" w:themeTint="F2"/>
        </w:rPr>
        <w:t>.</w:t>
      </w:r>
    </w:p>
    <w:p w14:paraId="761C8207" w14:textId="0603F8AB" w:rsidR="00531D4F" w:rsidRPr="00404D6E" w:rsidRDefault="00531D4F" w:rsidP="00531D4F">
      <w:pPr>
        <w:jc w:val="both"/>
        <w:rPr>
          <w:rFonts w:ascii="Times New Roman" w:hAnsi="Times New Roman" w:cs="Times New Roman"/>
          <w:color w:val="0D0D0D" w:themeColor="text1" w:themeTint="F2"/>
        </w:rPr>
      </w:pPr>
    </w:p>
    <w:p w14:paraId="3EB54E04" w14:textId="4C9B06A5" w:rsidR="00531D4F" w:rsidRPr="00DC1634" w:rsidRDefault="00531D4F" w:rsidP="002F4535">
      <w:pPr>
        <w:pStyle w:val="Heading2"/>
        <w:rPr>
          <w:rFonts w:ascii="Times New Roman" w:hAnsi="Times New Roman" w:cs="Times New Roman"/>
          <w:i/>
          <w:iCs/>
          <w:color w:val="0D0D0D" w:themeColor="text1" w:themeTint="F2"/>
          <w:sz w:val="24"/>
          <w:szCs w:val="24"/>
        </w:rPr>
      </w:pPr>
      <w:r w:rsidRPr="00DC1634">
        <w:rPr>
          <w:rFonts w:ascii="Times New Roman" w:hAnsi="Times New Roman" w:cs="Times New Roman"/>
          <w:i/>
          <w:iCs/>
          <w:color w:val="0D0D0D" w:themeColor="text1" w:themeTint="F2"/>
          <w:sz w:val="24"/>
          <w:szCs w:val="24"/>
        </w:rPr>
        <w:t>Ecotoxicological Responses in Test Organisms</w:t>
      </w:r>
    </w:p>
    <w:p w14:paraId="33933B3C" w14:textId="6A71AE7B" w:rsidR="00531D4F" w:rsidRPr="00404D6E" w:rsidRDefault="00A12071" w:rsidP="002F4535">
      <w:pPr>
        <w:ind w:firstLine="576"/>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These tests indicated that both aquatic samples (water and sediment) exerted a high degree of toxicity to the test organisms after an assessment by the ecotoxicological bio-tests/assays using aquatic test species (Clarias gariepinus, Daphnia magna, and Chlorella vulgaris). The LC</w:t>
      </w:r>
      <w:r w:rsidRPr="00DC1634">
        <w:rPr>
          <w:rFonts w:ascii="Times New Roman" w:hAnsi="Times New Roman" w:cs="Times New Roman"/>
          <w:color w:val="0D0D0D" w:themeColor="text1" w:themeTint="F2"/>
          <w:vertAlign w:val="subscript"/>
        </w:rPr>
        <w:t>50</w:t>
      </w:r>
      <w:r w:rsidRPr="00404D6E">
        <w:rPr>
          <w:rFonts w:ascii="Times New Roman" w:hAnsi="Times New Roman" w:cs="Times New Roman"/>
          <w:color w:val="0D0D0D" w:themeColor="text1" w:themeTint="F2"/>
        </w:rPr>
        <w:t xml:space="preserve"> of D. magna was 9.6 mg/L</w:t>
      </w:r>
      <w:r w:rsidR="005107C5" w:rsidRPr="00404D6E">
        <w:rPr>
          <w:rFonts w:ascii="Times New Roman" w:hAnsi="Times New Roman" w:cs="Times New Roman"/>
          <w:color w:val="0D0D0D" w:themeColor="text1" w:themeTint="F2"/>
        </w:rPr>
        <w:t>, which is not of toxicological concern as determined in Table 7,</w:t>
      </w:r>
      <w:r w:rsidRPr="00404D6E">
        <w:rPr>
          <w:rFonts w:ascii="Times New Roman" w:hAnsi="Times New Roman" w:cs="Times New Roman"/>
          <w:color w:val="0D0D0D" w:themeColor="text1" w:themeTint="F2"/>
        </w:rPr>
        <w:t xml:space="preserve"> and the 72 hours of growth inhibition of C. vulgaris was also within the concern range. The results obtained in this study are consistent </w:t>
      </w:r>
      <w:r w:rsidR="005107C5" w:rsidRPr="00404D6E">
        <w:rPr>
          <w:rFonts w:ascii="Times New Roman" w:hAnsi="Times New Roman" w:cs="Times New Roman"/>
          <w:color w:val="0D0D0D" w:themeColor="text1" w:themeTint="F2"/>
        </w:rPr>
        <w:t xml:space="preserve">with those </w:t>
      </w:r>
      <w:r w:rsidR="003D3537">
        <w:rPr>
          <w:rFonts w:ascii="Times New Roman" w:hAnsi="Times New Roman" w:cs="Times New Roman"/>
          <w:color w:val="0D0D0D" w:themeColor="text1" w:themeTint="F2"/>
        </w:rPr>
        <w:t xml:space="preserve">reported by </w:t>
      </w:r>
      <w:r w:rsidR="00AF5BD7">
        <w:rPr>
          <w:rFonts w:ascii="Times New Roman" w:hAnsi="Times New Roman" w:cs="Times New Roman"/>
          <w:color w:val="0D0D0D" w:themeColor="text1" w:themeTint="F2"/>
        </w:rPr>
        <w:t>[9]</w:t>
      </w:r>
      <w:r w:rsidR="003D3537">
        <w:rPr>
          <w:rFonts w:ascii="Times New Roman" w:hAnsi="Times New Roman" w:cs="Times New Roman"/>
          <w:color w:val="0D0D0D" w:themeColor="text1" w:themeTint="F2"/>
        </w:rPr>
        <w:t>, who noted similar ecotoxicological reactions in sediment samples exposed to the effects of crude oil pollution in</w:t>
      </w:r>
      <w:r w:rsidRPr="00404D6E">
        <w:rPr>
          <w:rFonts w:ascii="Times New Roman" w:hAnsi="Times New Roman" w:cs="Times New Roman"/>
          <w:color w:val="0D0D0D" w:themeColor="text1" w:themeTint="F2"/>
        </w:rPr>
        <w:t xml:space="preserve"> the Imo River.</w:t>
      </w:r>
      <w:r w:rsidR="002F4535" w:rsidRPr="00404D6E">
        <w:rPr>
          <w:rFonts w:ascii="Times New Roman" w:hAnsi="Times New Roman" w:cs="Times New Roman"/>
          <w:color w:val="0D0D0D" w:themeColor="text1" w:themeTint="F2"/>
        </w:rPr>
        <w:t xml:space="preserve"> </w:t>
      </w:r>
      <w:r w:rsidRPr="00404D6E">
        <w:rPr>
          <w:rFonts w:ascii="Times New Roman" w:hAnsi="Times New Roman" w:cs="Times New Roman"/>
          <w:color w:val="0D0D0D" w:themeColor="text1" w:themeTint="F2"/>
        </w:rPr>
        <w:t>The acute toxicity corresponds with the indication that the contaminants</w:t>
      </w:r>
      <w:r w:rsidR="005107C5" w:rsidRPr="00404D6E">
        <w:rPr>
          <w:rFonts w:ascii="Times New Roman" w:hAnsi="Times New Roman" w:cs="Times New Roman"/>
          <w:color w:val="0D0D0D" w:themeColor="text1" w:themeTint="F2"/>
        </w:rPr>
        <w:t>, and more so, the PAHs and heavy metals, are in bioavailable forms that could cause and produce acute toxic effects</w:t>
      </w:r>
      <w:r w:rsidRPr="00404D6E">
        <w:rPr>
          <w:rFonts w:ascii="Times New Roman" w:hAnsi="Times New Roman" w:cs="Times New Roman"/>
          <w:color w:val="0D0D0D" w:themeColor="text1" w:themeTint="F2"/>
        </w:rPr>
        <w:t xml:space="preserve">. </w:t>
      </w:r>
      <w:r w:rsidR="005107C5" w:rsidRPr="00404D6E">
        <w:rPr>
          <w:rFonts w:ascii="Times New Roman" w:hAnsi="Times New Roman" w:cs="Times New Roman"/>
          <w:color w:val="0D0D0D" w:themeColor="text1" w:themeTint="F2"/>
        </w:rPr>
        <w:t xml:space="preserve">The samples from the Njaba River exhibited greater toxicity than those from Oguta Lake, which can be attributed to the higher levels of TPH and metal load, indicating either </w:t>
      </w:r>
      <w:r w:rsidRPr="00404D6E">
        <w:rPr>
          <w:rFonts w:ascii="Times New Roman" w:hAnsi="Times New Roman" w:cs="Times New Roman"/>
          <w:color w:val="0D0D0D" w:themeColor="text1" w:themeTint="F2"/>
        </w:rPr>
        <w:t>more recent or more intensive pollution.</w:t>
      </w:r>
    </w:p>
    <w:p w14:paraId="32543900" w14:textId="6C9BE72D" w:rsidR="00531D4F" w:rsidRPr="00404D6E" w:rsidRDefault="00531D4F" w:rsidP="00531D4F">
      <w:pPr>
        <w:jc w:val="both"/>
        <w:rPr>
          <w:rFonts w:ascii="Times New Roman" w:hAnsi="Times New Roman" w:cs="Times New Roman"/>
          <w:color w:val="0D0D0D" w:themeColor="text1" w:themeTint="F2"/>
        </w:rPr>
      </w:pPr>
    </w:p>
    <w:p w14:paraId="641B846C" w14:textId="4DAD7FD3" w:rsidR="00531D4F" w:rsidRPr="00DC1634" w:rsidRDefault="00531D4F" w:rsidP="002F4535">
      <w:pPr>
        <w:pStyle w:val="Heading2"/>
        <w:rPr>
          <w:rFonts w:ascii="Times New Roman" w:hAnsi="Times New Roman" w:cs="Times New Roman"/>
          <w:i/>
          <w:iCs/>
          <w:color w:val="0D0D0D" w:themeColor="text1" w:themeTint="F2"/>
          <w:sz w:val="24"/>
          <w:szCs w:val="24"/>
        </w:rPr>
      </w:pPr>
      <w:r w:rsidRPr="00DC1634">
        <w:rPr>
          <w:rFonts w:ascii="Times New Roman" w:hAnsi="Times New Roman" w:cs="Times New Roman"/>
          <w:i/>
          <w:iCs/>
          <w:color w:val="0D0D0D" w:themeColor="text1" w:themeTint="F2"/>
          <w:sz w:val="24"/>
          <w:szCs w:val="24"/>
        </w:rPr>
        <w:t>Oxidative Stress and Biomarker Responses</w:t>
      </w:r>
    </w:p>
    <w:p w14:paraId="2D19EFE2" w14:textId="1D71199F" w:rsidR="00531D4F" w:rsidRPr="00404D6E" w:rsidRDefault="00A12071" w:rsidP="002F4535">
      <w:pPr>
        <w:ind w:firstLine="576"/>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 xml:space="preserve">As shown statistically in Table 8 by the biomarker assays, there were significant changes in antioxidant enzyme activity. Catalase (CAT) and superoxide dismutase (SOD) </w:t>
      </w:r>
      <w:r w:rsidR="005107C5" w:rsidRPr="00404D6E">
        <w:rPr>
          <w:rFonts w:ascii="Times New Roman" w:hAnsi="Times New Roman" w:cs="Times New Roman"/>
          <w:color w:val="0D0D0D" w:themeColor="text1" w:themeTint="F2"/>
        </w:rPr>
        <w:t xml:space="preserve">levels declined significantly, while malondialdehyde (MDA) levels increased significantly, indicating high </w:t>
      </w:r>
      <w:r w:rsidRPr="00404D6E">
        <w:rPr>
          <w:rFonts w:ascii="Times New Roman" w:hAnsi="Times New Roman" w:cs="Times New Roman"/>
          <w:color w:val="0D0D0D" w:themeColor="text1" w:themeTint="F2"/>
        </w:rPr>
        <w:t xml:space="preserve">lipid peroxidation and oxidative damage in fish tissues. All these biochemical trends </w:t>
      </w:r>
      <w:r w:rsidR="00AF5BD7">
        <w:rPr>
          <w:rFonts w:ascii="Times New Roman" w:hAnsi="Times New Roman" w:cs="Times New Roman"/>
          <w:color w:val="0D0D0D" w:themeColor="text1" w:themeTint="F2"/>
        </w:rPr>
        <w:t>showed positive correlations with cadmium and lead concentrations (Table 12), implying that metal-induced oxidative stress is a primary toxicity mechanism</w:t>
      </w:r>
      <w:r w:rsidRPr="00404D6E">
        <w:rPr>
          <w:rFonts w:ascii="Times New Roman" w:hAnsi="Times New Roman" w:cs="Times New Roman"/>
          <w:color w:val="0D0D0D" w:themeColor="text1" w:themeTint="F2"/>
        </w:rPr>
        <w:t>.</w:t>
      </w:r>
      <w:r w:rsidR="002F4535" w:rsidRPr="00404D6E">
        <w:rPr>
          <w:rFonts w:ascii="Times New Roman" w:hAnsi="Times New Roman" w:cs="Times New Roman"/>
          <w:color w:val="0D0D0D" w:themeColor="text1" w:themeTint="F2"/>
        </w:rPr>
        <w:t xml:space="preserve"> </w:t>
      </w:r>
      <w:r w:rsidRPr="00404D6E">
        <w:rPr>
          <w:rFonts w:ascii="Times New Roman" w:hAnsi="Times New Roman" w:cs="Times New Roman"/>
          <w:color w:val="0D0D0D" w:themeColor="text1" w:themeTint="F2"/>
        </w:rPr>
        <w:t>The trend is in line with laboratory experiments exposing tilapia and zebrafish to refinery effluents</w:t>
      </w:r>
      <w:r w:rsidR="005107C5" w:rsidRPr="00404D6E">
        <w:rPr>
          <w:rFonts w:ascii="Times New Roman" w:hAnsi="Times New Roman" w:cs="Times New Roman"/>
          <w:color w:val="0D0D0D" w:themeColor="text1" w:themeTint="F2"/>
        </w:rPr>
        <w:t>,</w:t>
      </w:r>
      <w:r w:rsidRPr="00404D6E">
        <w:rPr>
          <w:rFonts w:ascii="Times New Roman" w:hAnsi="Times New Roman" w:cs="Times New Roman"/>
          <w:color w:val="0D0D0D" w:themeColor="text1" w:themeTint="F2"/>
        </w:rPr>
        <w:t xml:space="preserve"> </w:t>
      </w:r>
      <w:r w:rsidR="00AF5BD7">
        <w:rPr>
          <w:rFonts w:ascii="Times New Roman" w:hAnsi="Times New Roman" w:cs="Times New Roman"/>
          <w:color w:val="0D0D0D" w:themeColor="text1" w:themeTint="F2"/>
        </w:rPr>
        <w:t xml:space="preserve">where similar inhibition of enzymes and oxidative damage </w:t>
      </w:r>
      <w:r w:rsidR="00411D1C">
        <w:rPr>
          <w:rFonts w:ascii="Times New Roman" w:hAnsi="Times New Roman" w:cs="Times New Roman"/>
          <w:color w:val="0D0D0D" w:themeColor="text1" w:themeTint="F2"/>
        </w:rPr>
        <w:t>have been reported [1,18-19].</w:t>
      </w:r>
      <w:r w:rsidRPr="00404D6E">
        <w:rPr>
          <w:rFonts w:ascii="Times New Roman" w:hAnsi="Times New Roman" w:cs="Times New Roman"/>
          <w:color w:val="0D0D0D" w:themeColor="text1" w:themeTint="F2"/>
        </w:rPr>
        <w:t xml:space="preserve"> These biomarkers can therefore be used </w:t>
      </w:r>
      <w:r w:rsidR="00AF5BD7">
        <w:rPr>
          <w:rFonts w:ascii="Times New Roman" w:hAnsi="Times New Roman" w:cs="Times New Roman"/>
          <w:color w:val="0D0D0D" w:themeColor="text1" w:themeTint="F2"/>
        </w:rPr>
        <w:t>as effective early warning signs of chronic pollution in freshwater</w:t>
      </w:r>
      <w:r w:rsidRPr="00404D6E">
        <w:rPr>
          <w:rFonts w:ascii="Times New Roman" w:hAnsi="Times New Roman" w:cs="Times New Roman"/>
          <w:color w:val="0D0D0D" w:themeColor="text1" w:themeTint="F2"/>
        </w:rPr>
        <w:t>.</w:t>
      </w:r>
    </w:p>
    <w:p w14:paraId="5714719D" w14:textId="04B3EDB4" w:rsidR="00531D4F" w:rsidRPr="00404D6E" w:rsidRDefault="00531D4F" w:rsidP="00531D4F">
      <w:pPr>
        <w:jc w:val="both"/>
        <w:rPr>
          <w:rFonts w:ascii="Times New Roman" w:hAnsi="Times New Roman" w:cs="Times New Roman"/>
          <w:color w:val="0D0D0D" w:themeColor="text1" w:themeTint="F2"/>
        </w:rPr>
      </w:pPr>
    </w:p>
    <w:p w14:paraId="46577CEF" w14:textId="54947C88" w:rsidR="00531D4F" w:rsidRPr="00DC1634" w:rsidRDefault="00531D4F" w:rsidP="002F4535">
      <w:pPr>
        <w:pStyle w:val="Heading2"/>
        <w:rPr>
          <w:rFonts w:ascii="Times New Roman" w:hAnsi="Times New Roman" w:cs="Times New Roman"/>
          <w:i/>
          <w:iCs/>
          <w:color w:val="0D0D0D" w:themeColor="text1" w:themeTint="F2"/>
          <w:sz w:val="24"/>
          <w:szCs w:val="24"/>
        </w:rPr>
      </w:pPr>
      <w:r w:rsidRPr="00DC1634">
        <w:rPr>
          <w:rFonts w:ascii="Times New Roman" w:hAnsi="Times New Roman" w:cs="Times New Roman"/>
          <w:i/>
          <w:iCs/>
          <w:color w:val="0D0D0D" w:themeColor="text1" w:themeTint="F2"/>
          <w:sz w:val="24"/>
          <w:szCs w:val="24"/>
        </w:rPr>
        <w:lastRenderedPageBreak/>
        <w:t>Histopathological Alterations</w:t>
      </w:r>
    </w:p>
    <w:p w14:paraId="2560C20E" w14:textId="1A725870" w:rsidR="00531D4F" w:rsidRPr="00404D6E" w:rsidRDefault="00A12071" w:rsidP="002F4535">
      <w:pPr>
        <w:ind w:firstLine="576"/>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 xml:space="preserve">Dissections of exposed fish (Table 9) revealed a moderate to severe lesion within </w:t>
      </w:r>
      <w:r w:rsidR="005107C5" w:rsidRPr="00404D6E">
        <w:rPr>
          <w:rFonts w:ascii="Times New Roman" w:hAnsi="Times New Roman" w:cs="Times New Roman"/>
          <w:color w:val="0D0D0D" w:themeColor="text1" w:themeTint="F2"/>
        </w:rPr>
        <w:t xml:space="preserve">the </w:t>
      </w:r>
      <w:r w:rsidRPr="00404D6E">
        <w:rPr>
          <w:rFonts w:ascii="Times New Roman" w:hAnsi="Times New Roman" w:cs="Times New Roman"/>
          <w:color w:val="0D0D0D" w:themeColor="text1" w:themeTint="F2"/>
        </w:rPr>
        <w:t>liver, kidney and gill. These were hepatic necrosis, sinusoidal congestion, and gill epithelial lifting</w:t>
      </w:r>
      <w:r w:rsidR="005107C5" w:rsidRPr="00404D6E">
        <w:rPr>
          <w:rFonts w:ascii="Times New Roman" w:hAnsi="Times New Roman" w:cs="Times New Roman"/>
          <w:color w:val="0D0D0D" w:themeColor="text1" w:themeTint="F2"/>
        </w:rPr>
        <w:t>,</w:t>
      </w:r>
      <w:r w:rsidRPr="00404D6E">
        <w:rPr>
          <w:rFonts w:ascii="Times New Roman" w:hAnsi="Times New Roman" w:cs="Times New Roman"/>
          <w:color w:val="0D0D0D" w:themeColor="text1" w:themeTint="F2"/>
        </w:rPr>
        <w:t xml:space="preserve"> which are typical pathomorphological </w:t>
      </w:r>
      <w:r w:rsidR="00411D1C">
        <w:rPr>
          <w:rFonts w:ascii="Times New Roman" w:hAnsi="Times New Roman" w:cs="Times New Roman"/>
          <w:color w:val="0D0D0D" w:themeColor="text1" w:themeTint="F2"/>
        </w:rPr>
        <w:t>changes associated with</w:t>
      </w:r>
      <w:r w:rsidRPr="00404D6E">
        <w:rPr>
          <w:rFonts w:ascii="Times New Roman" w:hAnsi="Times New Roman" w:cs="Times New Roman"/>
          <w:color w:val="0D0D0D" w:themeColor="text1" w:themeTint="F2"/>
        </w:rPr>
        <w:t xml:space="preserve"> hydrocarbon and metal toxicity. These lesions were also worse on specimens placed in Njaba River water, </w:t>
      </w:r>
      <w:r w:rsidR="005107C5" w:rsidRPr="00404D6E">
        <w:rPr>
          <w:rFonts w:ascii="Times New Roman" w:hAnsi="Times New Roman" w:cs="Times New Roman"/>
          <w:color w:val="0D0D0D" w:themeColor="text1" w:themeTint="F2"/>
        </w:rPr>
        <w:t>further supporting the quantified pollutant data</w:t>
      </w:r>
      <w:r w:rsidRPr="00404D6E">
        <w:rPr>
          <w:rFonts w:ascii="Times New Roman" w:hAnsi="Times New Roman" w:cs="Times New Roman"/>
          <w:color w:val="0D0D0D" w:themeColor="text1" w:themeTint="F2"/>
        </w:rPr>
        <w:t xml:space="preserve">. </w:t>
      </w:r>
      <w:r w:rsidR="005107C5" w:rsidRPr="00404D6E">
        <w:rPr>
          <w:rFonts w:ascii="Times New Roman" w:hAnsi="Times New Roman" w:cs="Times New Roman"/>
          <w:color w:val="0D0D0D" w:themeColor="text1" w:themeTint="F2"/>
        </w:rPr>
        <w:t xml:space="preserve">Similar results were reported in a study of fish samples in the Thames estuary (UK) and the Cuyahoga River (USA), which were continuously exposed to petroleum residues and high levels of heavy metals. Following this exposure, comparable changes in degeneration tissue </w:t>
      </w:r>
      <w:r w:rsidRPr="00404D6E">
        <w:rPr>
          <w:rFonts w:ascii="Times New Roman" w:hAnsi="Times New Roman" w:cs="Times New Roman"/>
          <w:color w:val="0D0D0D" w:themeColor="text1" w:themeTint="F2"/>
        </w:rPr>
        <w:t xml:space="preserve">were observed </w:t>
      </w:r>
      <w:r w:rsidR="00C3568A">
        <w:rPr>
          <w:rFonts w:ascii="Times New Roman" w:hAnsi="Times New Roman" w:cs="Times New Roman"/>
          <w:color w:val="0D0D0D" w:themeColor="text1" w:themeTint="F2"/>
        </w:rPr>
        <w:t>[20]</w:t>
      </w:r>
      <w:r w:rsidRPr="00404D6E">
        <w:rPr>
          <w:rFonts w:ascii="Times New Roman" w:hAnsi="Times New Roman" w:cs="Times New Roman"/>
          <w:color w:val="0D0D0D" w:themeColor="text1" w:themeTint="F2"/>
        </w:rPr>
        <w:t>.</w:t>
      </w:r>
    </w:p>
    <w:p w14:paraId="0C0155C7" w14:textId="66488EBE" w:rsidR="00531D4F" w:rsidRPr="00404D6E" w:rsidRDefault="00531D4F" w:rsidP="00531D4F">
      <w:pPr>
        <w:jc w:val="both"/>
        <w:rPr>
          <w:rFonts w:ascii="Times New Roman" w:hAnsi="Times New Roman" w:cs="Times New Roman"/>
          <w:color w:val="0D0D0D" w:themeColor="text1" w:themeTint="F2"/>
        </w:rPr>
      </w:pPr>
    </w:p>
    <w:p w14:paraId="2A4459BC" w14:textId="199D5665" w:rsidR="00531D4F" w:rsidRPr="00DC1634" w:rsidRDefault="00531D4F" w:rsidP="002F4535">
      <w:pPr>
        <w:pStyle w:val="Heading2"/>
        <w:rPr>
          <w:rFonts w:ascii="Times New Roman" w:hAnsi="Times New Roman" w:cs="Times New Roman"/>
          <w:i/>
          <w:iCs/>
          <w:color w:val="0D0D0D" w:themeColor="text1" w:themeTint="F2"/>
          <w:sz w:val="24"/>
          <w:szCs w:val="24"/>
        </w:rPr>
      </w:pPr>
      <w:r w:rsidRPr="00DC1634">
        <w:rPr>
          <w:rFonts w:ascii="Times New Roman" w:hAnsi="Times New Roman" w:cs="Times New Roman"/>
          <w:i/>
          <w:iCs/>
          <w:color w:val="0D0D0D" w:themeColor="text1" w:themeTint="F2"/>
          <w:sz w:val="24"/>
          <w:szCs w:val="24"/>
        </w:rPr>
        <w:t>Statistical and Multivariate Analyses</w:t>
      </w:r>
    </w:p>
    <w:p w14:paraId="1B333BBE" w14:textId="5D4DF252" w:rsidR="00531D4F" w:rsidRPr="00404D6E" w:rsidRDefault="00A12071" w:rsidP="002F4535">
      <w:pPr>
        <w:ind w:firstLine="576"/>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 xml:space="preserve">Table 11 above, the Pearson correlation matrix, </w:t>
      </w:r>
      <w:r w:rsidR="005C2514">
        <w:rPr>
          <w:rFonts w:ascii="Times New Roman" w:hAnsi="Times New Roman" w:cs="Times New Roman"/>
          <w:color w:val="0D0D0D" w:themeColor="text1" w:themeTint="F2"/>
        </w:rPr>
        <w:t>indicates that relationships between most heavy metals varied from strong (r = 0.95) to moderate (r = 0.5</w:t>
      </w:r>
      <w:r w:rsidRPr="00404D6E">
        <w:rPr>
          <w:rFonts w:ascii="Times New Roman" w:hAnsi="Times New Roman" w:cs="Times New Roman"/>
          <w:color w:val="0D0D0D" w:themeColor="text1" w:themeTint="F2"/>
        </w:rPr>
        <w:t xml:space="preserve">), </w:t>
      </w:r>
      <w:r w:rsidR="005107C5" w:rsidRPr="00404D6E">
        <w:rPr>
          <w:rFonts w:ascii="Times New Roman" w:hAnsi="Times New Roman" w:cs="Times New Roman"/>
          <w:color w:val="0D0D0D" w:themeColor="text1" w:themeTint="F2"/>
        </w:rPr>
        <w:t>suggesting</w:t>
      </w:r>
      <w:r w:rsidRPr="00404D6E">
        <w:rPr>
          <w:rFonts w:ascii="Times New Roman" w:hAnsi="Times New Roman" w:cs="Times New Roman"/>
          <w:color w:val="0D0D0D" w:themeColor="text1" w:themeTint="F2"/>
        </w:rPr>
        <w:t xml:space="preserve"> shared sources and/or pathways. Inferring from Principal Component Analysis (PCA), which</w:t>
      </w:r>
      <w:r w:rsidR="005107C5" w:rsidRPr="00404D6E">
        <w:rPr>
          <w:rFonts w:ascii="Times New Roman" w:hAnsi="Times New Roman" w:cs="Times New Roman"/>
          <w:color w:val="0D0D0D" w:themeColor="text1" w:themeTint="F2"/>
        </w:rPr>
        <w:t xml:space="preserve">, </w:t>
      </w:r>
      <w:r w:rsidR="00C3568A">
        <w:rPr>
          <w:rFonts w:ascii="Times New Roman" w:hAnsi="Times New Roman" w:cs="Times New Roman"/>
          <w:color w:val="0D0D0D" w:themeColor="text1" w:themeTint="F2"/>
        </w:rPr>
        <w:t>although not tabulated here, cadmium and nickel were the major contributors to pollution in</w:t>
      </w:r>
      <w:r w:rsidRPr="00404D6E">
        <w:rPr>
          <w:rFonts w:ascii="Times New Roman" w:hAnsi="Times New Roman" w:cs="Times New Roman"/>
          <w:color w:val="0D0D0D" w:themeColor="text1" w:themeTint="F2"/>
        </w:rPr>
        <w:t xml:space="preserve"> the two water bodies. Spatial clustering was also </w:t>
      </w:r>
      <w:r w:rsidR="005107C5" w:rsidRPr="00404D6E">
        <w:rPr>
          <w:rFonts w:ascii="Times New Roman" w:hAnsi="Times New Roman" w:cs="Times New Roman"/>
          <w:color w:val="0D0D0D" w:themeColor="text1" w:themeTint="F2"/>
        </w:rPr>
        <w:t xml:space="preserve">observed in cluster analysis, where Oguta samples were grouped, and unique contamination signatures by site were identified. Notably, </w:t>
      </w:r>
      <w:r w:rsidR="00C3568A">
        <w:rPr>
          <w:rFonts w:ascii="Times New Roman" w:hAnsi="Times New Roman" w:cs="Times New Roman"/>
          <w:color w:val="0D0D0D" w:themeColor="text1" w:themeTint="F2"/>
        </w:rPr>
        <w:t>the Njaba samples did not cluster with the Oguta samples,</w:t>
      </w:r>
      <w:r w:rsidR="005107C5" w:rsidRPr="00404D6E">
        <w:rPr>
          <w:rFonts w:ascii="Times New Roman" w:hAnsi="Times New Roman" w:cs="Times New Roman"/>
          <w:color w:val="0D0D0D" w:themeColor="text1" w:themeTint="F2"/>
        </w:rPr>
        <w:t xml:space="preserve"> but instead </w:t>
      </w:r>
      <w:r w:rsidRPr="00404D6E">
        <w:rPr>
          <w:rFonts w:ascii="Times New Roman" w:hAnsi="Times New Roman" w:cs="Times New Roman"/>
          <w:color w:val="0D0D0D" w:themeColor="text1" w:themeTint="F2"/>
        </w:rPr>
        <w:t xml:space="preserve">clustered separately. These statistics enhance pollution </w:t>
      </w:r>
      <w:r w:rsidR="005107C5" w:rsidRPr="00404D6E">
        <w:rPr>
          <w:rFonts w:ascii="Times New Roman" w:hAnsi="Times New Roman" w:cs="Times New Roman"/>
          <w:color w:val="0D0D0D" w:themeColor="text1" w:themeTint="F2"/>
        </w:rPr>
        <w:t xml:space="preserve">source apportionment and </w:t>
      </w:r>
      <w:r w:rsidR="00C3568A">
        <w:rPr>
          <w:rFonts w:ascii="Times New Roman" w:hAnsi="Times New Roman" w:cs="Times New Roman"/>
          <w:color w:val="0D0D0D" w:themeColor="text1" w:themeTint="F2"/>
        </w:rPr>
        <w:t>provide impetus for</w:t>
      </w:r>
      <w:r w:rsidRPr="00404D6E">
        <w:rPr>
          <w:rFonts w:ascii="Times New Roman" w:hAnsi="Times New Roman" w:cs="Times New Roman"/>
          <w:color w:val="0D0D0D" w:themeColor="text1" w:themeTint="F2"/>
        </w:rPr>
        <w:t xml:space="preserve"> strategic remediation planning.</w:t>
      </w:r>
    </w:p>
    <w:p w14:paraId="1787B594" w14:textId="35C8EA9F" w:rsidR="00531D4F" w:rsidRPr="00404D6E" w:rsidRDefault="00531D4F" w:rsidP="00531D4F">
      <w:pPr>
        <w:jc w:val="both"/>
        <w:rPr>
          <w:rFonts w:ascii="Times New Roman" w:hAnsi="Times New Roman" w:cs="Times New Roman"/>
          <w:color w:val="0D0D0D" w:themeColor="text1" w:themeTint="F2"/>
        </w:rPr>
      </w:pPr>
    </w:p>
    <w:p w14:paraId="4C4DA22A" w14:textId="40FE42F9" w:rsidR="00531D4F" w:rsidRPr="00DC1634" w:rsidRDefault="00531D4F" w:rsidP="002F4535">
      <w:pPr>
        <w:pStyle w:val="Heading2"/>
        <w:rPr>
          <w:rFonts w:ascii="Times New Roman" w:hAnsi="Times New Roman" w:cs="Times New Roman"/>
          <w:i/>
          <w:iCs/>
          <w:color w:val="0D0D0D" w:themeColor="text1" w:themeTint="F2"/>
          <w:sz w:val="24"/>
          <w:szCs w:val="24"/>
        </w:rPr>
      </w:pPr>
      <w:r w:rsidRPr="00DC1634">
        <w:rPr>
          <w:rFonts w:ascii="Times New Roman" w:hAnsi="Times New Roman" w:cs="Times New Roman"/>
          <w:i/>
          <w:iCs/>
          <w:color w:val="0D0D0D" w:themeColor="text1" w:themeTint="F2"/>
          <w:sz w:val="24"/>
          <w:szCs w:val="24"/>
        </w:rPr>
        <w:t>Ecological and Human Health Implications</w:t>
      </w:r>
    </w:p>
    <w:p w14:paraId="638C4BA9" w14:textId="76D60CEA" w:rsidR="00531D4F" w:rsidRPr="00404D6E" w:rsidRDefault="00AD0998" w:rsidP="00E04E0D">
      <w:pPr>
        <w:ind w:firstLine="576"/>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 xml:space="preserve">The outcome is of </w:t>
      </w:r>
      <w:r w:rsidR="005107C5" w:rsidRPr="00404D6E">
        <w:rPr>
          <w:rFonts w:ascii="Times New Roman" w:hAnsi="Times New Roman" w:cs="Times New Roman"/>
          <w:color w:val="0D0D0D" w:themeColor="text1" w:themeTint="F2"/>
        </w:rPr>
        <w:t>significant</w:t>
      </w:r>
      <w:r w:rsidRPr="00404D6E">
        <w:rPr>
          <w:rFonts w:ascii="Times New Roman" w:hAnsi="Times New Roman" w:cs="Times New Roman"/>
          <w:color w:val="0D0D0D" w:themeColor="text1" w:themeTint="F2"/>
        </w:rPr>
        <w:t xml:space="preserve"> practical ecological tenet. The bioavailable pollutants</w:t>
      </w:r>
      <w:r w:rsidR="005107C5" w:rsidRPr="00404D6E">
        <w:rPr>
          <w:rFonts w:ascii="Times New Roman" w:hAnsi="Times New Roman" w:cs="Times New Roman"/>
          <w:color w:val="0D0D0D" w:themeColor="text1" w:themeTint="F2"/>
        </w:rPr>
        <w:t xml:space="preserve">, which are </w:t>
      </w:r>
      <w:r w:rsidR="004C5420">
        <w:rPr>
          <w:rFonts w:ascii="Times New Roman" w:hAnsi="Times New Roman" w:cs="Times New Roman"/>
          <w:color w:val="0D0D0D" w:themeColor="text1" w:themeTint="F2"/>
        </w:rPr>
        <w:t xml:space="preserve">present at high levels, not only undermine biodiversity and sustainability but also put food security at risk </w:t>
      </w:r>
      <w:r w:rsidR="004E06E4">
        <w:rPr>
          <w:rFonts w:ascii="Times New Roman" w:hAnsi="Times New Roman" w:cs="Times New Roman"/>
          <w:color w:val="0D0D0D" w:themeColor="text1" w:themeTint="F2"/>
        </w:rPr>
        <w:t>for people who depend</w:t>
      </w:r>
      <w:r w:rsidRPr="00404D6E">
        <w:rPr>
          <w:rFonts w:ascii="Times New Roman" w:hAnsi="Times New Roman" w:cs="Times New Roman"/>
          <w:color w:val="0D0D0D" w:themeColor="text1" w:themeTint="F2"/>
        </w:rPr>
        <w:t xml:space="preserve"> on such water bodies. Repeated or prolonged </w:t>
      </w:r>
      <w:r w:rsidR="004C5420">
        <w:rPr>
          <w:rFonts w:ascii="Times New Roman" w:hAnsi="Times New Roman" w:cs="Times New Roman"/>
          <w:color w:val="0D0D0D" w:themeColor="text1" w:themeTint="F2"/>
        </w:rPr>
        <w:t>exposure to such pollutants, whether through consuming fish or direct contact with water, increases the likelihood</w:t>
      </w:r>
      <w:r w:rsidRPr="00404D6E">
        <w:rPr>
          <w:rFonts w:ascii="Times New Roman" w:hAnsi="Times New Roman" w:cs="Times New Roman"/>
          <w:color w:val="0D0D0D" w:themeColor="text1" w:themeTint="F2"/>
        </w:rPr>
        <w:t xml:space="preserve"> of developing cancer, renal toxicity, and neurological diseases </w:t>
      </w:r>
      <w:r w:rsidR="004C5420">
        <w:rPr>
          <w:rFonts w:ascii="Times New Roman" w:hAnsi="Times New Roman" w:cs="Times New Roman"/>
          <w:color w:val="0D0D0D" w:themeColor="text1" w:themeTint="F2"/>
        </w:rPr>
        <w:t>[21</w:t>
      </w:r>
      <w:r w:rsidR="000936BF">
        <w:rPr>
          <w:rFonts w:ascii="Times New Roman" w:hAnsi="Times New Roman" w:cs="Times New Roman"/>
          <w:color w:val="0D0D0D" w:themeColor="text1" w:themeTint="F2"/>
        </w:rPr>
        <w:t>,</w:t>
      </w:r>
      <w:r w:rsidR="004C5420">
        <w:rPr>
          <w:rFonts w:ascii="Times New Roman" w:hAnsi="Times New Roman" w:cs="Times New Roman"/>
          <w:color w:val="0D0D0D" w:themeColor="text1" w:themeTint="F2"/>
        </w:rPr>
        <w:t>22]</w:t>
      </w:r>
      <w:r w:rsidRPr="00404D6E">
        <w:rPr>
          <w:rFonts w:ascii="Times New Roman" w:hAnsi="Times New Roman" w:cs="Times New Roman"/>
          <w:color w:val="0D0D0D" w:themeColor="text1" w:themeTint="F2"/>
        </w:rPr>
        <w:t>.</w:t>
      </w:r>
      <w:r w:rsidR="002F4535" w:rsidRPr="00404D6E">
        <w:rPr>
          <w:rFonts w:ascii="Times New Roman" w:hAnsi="Times New Roman" w:cs="Times New Roman"/>
          <w:color w:val="0D0D0D" w:themeColor="text1" w:themeTint="F2"/>
        </w:rPr>
        <w:t xml:space="preserve"> </w:t>
      </w:r>
      <w:r w:rsidRPr="00404D6E">
        <w:rPr>
          <w:rFonts w:ascii="Times New Roman" w:hAnsi="Times New Roman" w:cs="Times New Roman"/>
          <w:color w:val="0D0D0D" w:themeColor="text1" w:themeTint="F2"/>
        </w:rPr>
        <w:t xml:space="preserve">This case is also </w:t>
      </w:r>
      <w:r w:rsidR="005107C5" w:rsidRPr="00404D6E">
        <w:rPr>
          <w:rFonts w:ascii="Times New Roman" w:hAnsi="Times New Roman" w:cs="Times New Roman"/>
          <w:color w:val="0D0D0D" w:themeColor="text1" w:themeTint="F2"/>
        </w:rPr>
        <w:t>reflected</w:t>
      </w:r>
      <w:r w:rsidRPr="00404D6E">
        <w:rPr>
          <w:rFonts w:ascii="Times New Roman" w:hAnsi="Times New Roman" w:cs="Times New Roman"/>
          <w:color w:val="0D0D0D" w:themeColor="text1" w:themeTint="F2"/>
        </w:rPr>
        <w:t xml:space="preserve"> in the </w:t>
      </w:r>
      <w:r w:rsidR="004C5420">
        <w:rPr>
          <w:rFonts w:ascii="Times New Roman" w:hAnsi="Times New Roman" w:cs="Times New Roman"/>
          <w:color w:val="0D0D0D" w:themeColor="text1" w:themeTint="F2"/>
        </w:rPr>
        <w:t xml:space="preserve">ongoing pollution crisis in the Niger Delta, the Mississippi River Basin, and the Yangtze River Delta, which have degraded their ecosystems in the long term due to the activities of </w:t>
      </w:r>
      <w:r w:rsidRPr="00404D6E">
        <w:rPr>
          <w:rFonts w:ascii="Times New Roman" w:hAnsi="Times New Roman" w:cs="Times New Roman"/>
          <w:color w:val="0D0D0D" w:themeColor="text1" w:themeTint="F2"/>
        </w:rPr>
        <w:t xml:space="preserve">their industries and poor environmental management. Left </w:t>
      </w:r>
      <w:r w:rsidR="005107C5" w:rsidRPr="00404D6E">
        <w:rPr>
          <w:rFonts w:ascii="Times New Roman" w:hAnsi="Times New Roman" w:cs="Times New Roman"/>
          <w:color w:val="0D0D0D" w:themeColor="text1" w:themeTint="F2"/>
        </w:rPr>
        <w:t>unattended</w:t>
      </w:r>
      <w:r w:rsidRPr="00404D6E">
        <w:rPr>
          <w:rFonts w:ascii="Times New Roman" w:hAnsi="Times New Roman" w:cs="Times New Roman"/>
          <w:color w:val="0D0D0D" w:themeColor="text1" w:themeTint="F2"/>
        </w:rPr>
        <w:t xml:space="preserve">, both </w:t>
      </w:r>
      <w:r w:rsidR="00C57A60">
        <w:rPr>
          <w:rFonts w:ascii="Times New Roman" w:hAnsi="Times New Roman" w:cs="Times New Roman"/>
          <w:color w:val="0D0D0D" w:themeColor="text1" w:themeTint="F2"/>
        </w:rPr>
        <w:t>Oguta Lake and the Njaba River will become</w:t>
      </w:r>
      <w:r w:rsidRPr="00404D6E">
        <w:rPr>
          <w:rFonts w:ascii="Times New Roman" w:hAnsi="Times New Roman" w:cs="Times New Roman"/>
          <w:color w:val="0D0D0D" w:themeColor="text1" w:themeTint="F2"/>
        </w:rPr>
        <w:t xml:space="preserve"> hotbeds of ecological wasteland</w:t>
      </w:r>
      <w:r w:rsidR="000936BF">
        <w:rPr>
          <w:rFonts w:ascii="Times New Roman" w:hAnsi="Times New Roman" w:cs="Times New Roman"/>
          <w:color w:val="0D0D0D" w:themeColor="text1" w:themeTint="F2"/>
        </w:rPr>
        <w:t xml:space="preserve"> [23,24]</w:t>
      </w:r>
      <w:r w:rsidRPr="00404D6E">
        <w:rPr>
          <w:rFonts w:ascii="Times New Roman" w:hAnsi="Times New Roman" w:cs="Times New Roman"/>
          <w:color w:val="0D0D0D" w:themeColor="text1" w:themeTint="F2"/>
        </w:rPr>
        <w:t>.</w:t>
      </w:r>
    </w:p>
    <w:p w14:paraId="52243589" w14:textId="4C9E26FC" w:rsidR="002F4535" w:rsidRPr="00404D6E" w:rsidRDefault="002F4535" w:rsidP="002F4535">
      <w:pPr>
        <w:pStyle w:val="Heading1"/>
        <w:rPr>
          <w:rFonts w:ascii="Times New Roman" w:hAnsi="Times New Roman" w:cs="Times New Roman"/>
          <w:b/>
          <w:bCs/>
          <w:color w:val="0D0D0D" w:themeColor="text1" w:themeTint="F2"/>
          <w:sz w:val="24"/>
          <w:szCs w:val="24"/>
        </w:rPr>
      </w:pPr>
      <w:r w:rsidRPr="00404D6E">
        <w:rPr>
          <w:rFonts w:ascii="Times New Roman" w:hAnsi="Times New Roman" w:cs="Times New Roman"/>
          <w:b/>
          <w:bCs/>
          <w:color w:val="0D0D0D" w:themeColor="text1" w:themeTint="F2"/>
          <w:sz w:val="24"/>
          <w:szCs w:val="24"/>
        </w:rPr>
        <w:lastRenderedPageBreak/>
        <w:t>Conclusion</w:t>
      </w:r>
    </w:p>
    <w:p w14:paraId="56534495" w14:textId="43A0D72C" w:rsidR="00DE474A" w:rsidRPr="00404D6E" w:rsidRDefault="00AD0998" w:rsidP="002F4535">
      <w:pPr>
        <w:pStyle w:val="Heading2"/>
        <w:numPr>
          <w:ilvl w:val="0"/>
          <w:numId w:val="0"/>
        </w:numPr>
        <w:ind w:firstLine="576"/>
        <w:jc w:val="both"/>
        <w:rPr>
          <w:rFonts w:ascii="Times New Roman" w:hAnsi="Times New Roman" w:cs="Times New Roman"/>
          <w:b/>
          <w:bCs/>
          <w:color w:val="0D0D0D" w:themeColor="text1" w:themeTint="F2"/>
          <w:sz w:val="24"/>
          <w:szCs w:val="24"/>
        </w:rPr>
      </w:pPr>
      <w:r w:rsidRPr="00404D6E">
        <w:rPr>
          <w:rFonts w:ascii="Times New Roman" w:hAnsi="Times New Roman" w:cs="Times New Roman"/>
          <w:color w:val="0D0D0D" w:themeColor="text1" w:themeTint="F2"/>
          <w:sz w:val="24"/>
          <w:szCs w:val="24"/>
        </w:rPr>
        <w:t xml:space="preserve">The research study </w:t>
      </w:r>
      <w:r w:rsidR="005107C5" w:rsidRPr="00404D6E">
        <w:rPr>
          <w:rFonts w:ascii="Times New Roman" w:hAnsi="Times New Roman" w:cs="Times New Roman"/>
          <w:color w:val="0D0D0D" w:themeColor="text1" w:themeTint="F2"/>
          <w:sz w:val="24"/>
          <w:szCs w:val="24"/>
        </w:rPr>
        <w:t>provides strong evidence that the ecological integrity of Oguta Lake and Njaba River is compromised by high levels of petrochemical contaminants, including TPHs, PAHs, and heavy metals, which exceed both</w:t>
      </w:r>
      <w:r w:rsidRPr="00404D6E">
        <w:rPr>
          <w:rFonts w:ascii="Times New Roman" w:hAnsi="Times New Roman" w:cs="Times New Roman"/>
          <w:color w:val="0D0D0D" w:themeColor="text1" w:themeTint="F2"/>
          <w:sz w:val="24"/>
          <w:szCs w:val="24"/>
        </w:rPr>
        <w:t xml:space="preserve"> national and international environmental safety limits. The combination of chemical analysis, ecotoxicity bioassays</w:t>
      </w:r>
      <w:r w:rsidR="004E06E4">
        <w:rPr>
          <w:rFonts w:ascii="Times New Roman" w:hAnsi="Times New Roman" w:cs="Times New Roman"/>
          <w:color w:val="0D0D0D" w:themeColor="text1" w:themeTint="F2"/>
          <w:sz w:val="24"/>
          <w:szCs w:val="24"/>
        </w:rPr>
        <w:t>, and biomarker effects provided evidence of remarkably consistent toxicological profiles across biological and ecological matrices, revealing aspects such as oxidative effects, histopathological injury,</w:t>
      </w:r>
      <w:r w:rsidRPr="00404D6E">
        <w:rPr>
          <w:rFonts w:ascii="Times New Roman" w:hAnsi="Times New Roman" w:cs="Times New Roman"/>
          <w:color w:val="0D0D0D" w:themeColor="text1" w:themeTint="F2"/>
          <w:sz w:val="24"/>
          <w:szCs w:val="24"/>
        </w:rPr>
        <w:t xml:space="preserve"> and acute mortality of organisms. Multivariate analysis confirmed the high interrelationship among pollutants and sediment-associated routes of toxicity. Such results again </w:t>
      </w:r>
      <w:r w:rsidR="005107C5" w:rsidRPr="00404D6E">
        <w:rPr>
          <w:rFonts w:ascii="Times New Roman" w:hAnsi="Times New Roman" w:cs="Times New Roman"/>
          <w:color w:val="0D0D0D" w:themeColor="text1" w:themeTint="F2"/>
          <w:sz w:val="24"/>
          <w:szCs w:val="24"/>
        </w:rPr>
        <w:t>emphasise</w:t>
      </w:r>
      <w:r w:rsidRPr="00404D6E">
        <w:rPr>
          <w:rFonts w:ascii="Times New Roman" w:hAnsi="Times New Roman" w:cs="Times New Roman"/>
          <w:color w:val="0D0D0D" w:themeColor="text1" w:themeTint="F2"/>
          <w:sz w:val="24"/>
          <w:szCs w:val="24"/>
        </w:rPr>
        <w:t xml:space="preserve"> the necessity of site-specific ecological risk assessment in petroleum-affected inland waters in Nigeria. The produced data contribute to the understanding of the science of sediment-water pollutant dynamics in tropical fluvial environments and introduce a methodological approach to the field of environmental monitoring and early-warning prognostics in the underpressure freshwater environments.</w:t>
      </w:r>
    </w:p>
    <w:p w14:paraId="537AED0E" w14:textId="6B6707D9" w:rsidR="00DE474A" w:rsidRPr="00404D6E" w:rsidRDefault="00DE474A" w:rsidP="00DE474A">
      <w:pPr>
        <w:jc w:val="both"/>
        <w:rPr>
          <w:rFonts w:ascii="Times New Roman" w:hAnsi="Times New Roman" w:cs="Times New Roman"/>
          <w:color w:val="0D0D0D" w:themeColor="text1" w:themeTint="F2"/>
        </w:rPr>
      </w:pPr>
    </w:p>
    <w:p w14:paraId="0B42DFEC" w14:textId="77777777" w:rsidR="002F4535" w:rsidRPr="00404D6E" w:rsidRDefault="00DE474A" w:rsidP="002F4535">
      <w:pPr>
        <w:pStyle w:val="Heading1"/>
        <w:rPr>
          <w:rFonts w:ascii="Times New Roman" w:hAnsi="Times New Roman" w:cs="Times New Roman"/>
          <w:b/>
          <w:bCs/>
          <w:color w:val="0D0D0D" w:themeColor="text1" w:themeTint="F2"/>
          <w:sz w:val="24"/>
          <w:szCs w:val="24"/>
        </w:rPr>
      </w:pPr>
      <w:r w:rsidRPr="00404D6E">
        <w:rPr>
          <w:rFonts w:ascii="Times New Roman" w:hAnsi="Times New Roman" w:cs="Times New Roman"/>
          <w:b/>
          <w:bCs/>
          <w:color w:val="0D0D0D" w:themeColor="text1" w:themeTint="F2"/>
          <w:sz w:val="24"/>
          <w:szCs w:val="24"/>
        </w:rPr>
        <w:lastRenderedPageBreak/>
        <w:t>Recommendation</w:t>
      </w:r>
    </w:p>
    <w:p w14:paraId="2DE525A0" w14:textId="42A433C5" w:rsidR="00DE474A" w:rsidRPr="00404D6E" w:rsidRDefault="00AD0998" w:rsidP="002F4535">
      <w:pPr>
        <w:pStyle w:val="Heading1"/>
        <w:numPr>
          <w:ilvl w:val="0"/>
          <w:numId w:val="0"/>
        </w:numPr>
        <w:ind w:firstLine="432"/>
        <w:jc w:val="both"/>
        <w:rPr>
          <w:rFonts w:ascii="Times New Roman" w:hAnsi="Times New Roman" w:cs="Times New Roman"/>
          <w:b/>
          <w:bCs/>
          <w:color w:val="0D0D0D" w:themeColor="text1" w:themeTint="F2"/>
          <w:sz w:val="24"/>
          <w:szCs w:val="24"/>
        </w:rPr>
      </w:pPr>
      <w:r w:rsidRPr="00404D6E">
        <w:rPr>
          <w:rFonts w:ascii="Times New Roman" w:hAnsi="Times New Roman" w:cs="Times New Roman"/>
          <w:color w:val="0D0D0D" w:themeColor="text1" w:themeTint="F2"/>
          <w:sz w:val="24"/>
          <w:szCs w:val="24"/>
        </w:rPr>
        <w:t xml:space="preserve">It is advisable </w:t>
      </w:r>
      <w:r w:rsidR="005107C5" w:rsidRPr="00404D6E">
        <w:rPr>
          <w:rFonts w:ascii="Times New Roman" w:hAnsi="Times New Roman" w:cs="Times New Roman"/>
          <w:color w:val="0D0D0D" w:themeColor="text1" w:themeTint="F2"/>
          <w:sz w:val="24"/>
          <w:szCs w:val="24"/>
        </w:rPr>
        <w:t>to implement a multi-tiered environmental management response immediately</w:t>
      </w:r>
      <w:r w:rsidRPr="00404D6E">
        <w:rPr>
          <w:rFonts w:ascii="Times New Roman" w:hAnsi="Times New Roman" w:cs="Times New Roman"/>
          <w:color w:val="0D0D0D" w:themeColor="text1" w:themeTint="F2"/>
          <w:sz w:val="24"/>
          <w:szCs w:val="24"/>
        </w:rPr>
        <w:t xml:space="preserve">. Regulatory bodies </w:t>
      </w:r>
      <w:r w:rsidR="005107C5" w:rsidRPr="00404D6E">
        <w:rPr>
          <w:rFonts w:ascii="Times New Roman" w:hAnsi="Times New Roman" w:cs="Times New Roman"/>
          <w:color w:val="0D0D0D" w:themeColor="text1" w:themeTint="F2"/>
          <w:sz w:val="24"/>
          <w:szCs w:val="24"/>
        </w:rPr>
        <w:t xml:space="preserve">should enhance real-time monitoring </w:t>
      </w:r>
      <w:r w:rsidR="000936BF">
        <w:rPr>
          <w:rFonts w:ascii="Times New Roman" w:hAnsi="Times New Roman" w:cs="Times New Roman"/>
          <w:color w:val="0D0D0D" w:themeColor="text1" w:themeTint="F2"/>
          <w:sz w:val="24"/>
          <w:szCs w:val="24"/>
        </w:rPr>
        <w:t>by implementing sentinel species in biomonitoring and molecular biomarkers to detect</w:t>
      </w:r>
      <w:r w:rsidR="005107C5" w:rsidRPr="00404D6E">
        <w:rPr>
          <w:rFonts w:ascii="Times New Roman" w:hAnsi="Times New Roman" w:cs="Times New Roman"/>
          <w:color w:val="0D0D0D" w:themeColor="text1" w:themeTint="F2"/>
          <w:sz w:val="24"/>
          <w:szCs w:val="24"/>
        </w:rPr>
        <w:t xml:space="preserve"> sublethal stress early</w:t>
      </w:r>
      <w:r w:rsidRPr="00404D6E">
        <w:rPr>
          <w:rFonts w:ascii="Times New Roman" w:hAnsi="Times New Roman" w:cs="Times New Roman"/>
          <w:color w:val="0D0D0D" w:themeColor="text1" w:themeTint="F2"/>
          <w:sz w:val="24"/>
          <w:szCs w:val="24"/>
        </w:rPr>
        <w:t>. The need to remediate the sediments</w:t>
      </w:r>
      <w:r w:rsidR="005107C5" w:rsidRPr="00404D6E">
        <w:rPr>
          <w:rFonts w:ascii="Times New Roman" w:hAnsi="Times New Roman" w:cs="Times New Roman"/>
          <w:color w:val="0D0D0D" w:themeColor="text1" w:themeTint="F2"/>
          <w:sz w:val="24"/>
          <w:szCs w:val="24"/>
        </w:rPr>
        <w:t xml:space="preserve">, such as strategic dredging and bioremediation, is urgent, especially in the </w:t>
      </w:r>
      <w:r w:rsidRPr="00404D6E">
        <w:rPr>
          <w:rFonts w:ascii="Times New Roman" w:hAnsi="Times New Roman" w:cs="Times New Roman"/>
          <w:color w:val="0D0D0D" w:themeColor="text1" w:themeTint="F2"/>
          <w:sz w:val="24"/>
          <w:szCs w:val="24"/>
        </w:rPr>
        <w:t xml:space="preserve">Njaba River. Hydrocarbon discharge controls should also be enforced with particular emphasis on shutting down unlawful refining operations. </w:t>
      </w:r>
      <w:r w:rsidR="005107C5" w:rsidRPr="00404D6E">
        <w:rPr>
          <w:rFonts w:ascii="Times New Roman" w:hAnsi="Times New Roman" w:cs="Times New Roman"/>
          <w:color w:val="0D0D0D" w:themeColor="text1" w:themeTint="F2"/>
          <w:sz w:val="24"/>
          <w:szCs w:val="24"/>
        </w:rPr>
        <w:t xml:space="preserve">Moreover, longitudinal designs should be </w:t>
      </w:r>
      <w:r w:rsidR="000936BF">
        <w:rPr>
          <w:rFonts w:ascii="Times New Roman" w:hAnsi="Times New Roman" w:cs="Times New Roman"/>
          <w:color w:val="0D0D0D" w:themeColor="text1" w:themeTint="F2"/>
          <w:sz w:val="24"/>
          <w:szCs w:val="24"/>
        </w:rPr>
        <w:t>employed in future research to track the trends associated with the bioaccumulation of contaminants and the recovery potential of ecosystems</w:t>
      </w:r>
      <w:r w:rsidRPr="00404D6E">
        <w:rPr>
          <w:rFonts w:ascii="Times New Roman" w:hAnsi="Times New Roman" w:cs="Times New Roman"/>
          <w:color w:val="0D0D0D" w:themeColor="text1" w:themeTint="F2"/>
          <w:sz w:val="24"/>
          <w:szCs w:val="24"/>
        </w:rPr>
        <w:t xml:space="preserve">. Universal cooperation in environmental health policies among </w:t>
      </w:r>
      <w:r w:rsidR="005107C5" w:rsidRPr="00404D6E">
        <w:rPr>
          <w:rFonts w:ascii="Times New Roman" w:hAnsi="Times New Roman" w:cs="Times New Roman"/>
          <w:color w:val="0D0D0D" w:themeColor="text1" w:themeTint="F2"/>
          <w:sz w:val="24"/>
          <w:szCs w:val="24"/>
        </w:rPr>
        <w:t xml:space="preserve">academia, regulators and </w:t>
      </w:r>
      <w:r w:rsidRPr="00404D6E">
        <w:rPr>
          <w:rFonts w:ascii="Times New Roman" w:hAnsi="Times New Roman" w:cs="Times New Roman"/>
          <w:color w:val="0D0D0D" w:themeColor="text1" w:themeTint="F2"/>
          <w:sz w:val="24"/>
          <w:szCs w:val="24"/>
        </w:rPr>
        <w:t>local communities will be critical in overturning the current degradation of the ecology and protecting the health of the people.</w:t>
      </w:r>
    </w:p>
    <w:p w14:paraId="54764C06" w14:textId="77777777" w:rsidR="000E3AF1" w:rsidRDefault="000E3AF1" w:rsidP="000E3AF1">
      <w:pPr>
        <w:pStyle w:val="Heading1"/>
        <w:numPr>
          <w:ilvl w:val="0"/>
          <w:numId w:val="0"/>
        </w:numPr>
        <w:spacing w:before="0" w:after="0"/>
        <w:rPr>
          <w:rFonts w:ascii="Times New Roman" w:hAnsi="Times New Roman" w:cs="Times New Roman"/>
          <w:b/>
          <w:bCs/>
          <w:color w:val="0D0D0D" w:themeColor="text1" w:themeTint="F2"/>
          <w:sz w:val="24"/>
          <w:szCs w:val="24"/>
        </w:rPr>
      </w:pPr>
    </w:p>
    <w:p w14:paraId="56A67AF1" w14:textId="48BB921F" w:rsidR="00145068" w:rsidRDefault="00B03566" w:rsidP="000E3AF1">
      <w:pPr>
        <w:pStyle w:val="Heading1"/>
        <w:numPr>
          <w:ilvl w:val="0"/>
          <w:numId w:val="0"/>
        </w:numPr>
        <w:spacing w:before="0" w:after="0"/>
        <w:rPr>
          <w:rFonts w:ascii="Times New Roman" w:hAnsi="Times New Roman" w:cs="Times New Roman"/>
          <w:color w:val="0D0D0D" w:themeColor="text1" w:themeTint="F2"/>
          <w:sz w:val="24"/>
          <w:szCs w:val="24"/>
        </w:rPr>
      </w:pPr>
      <w:r w:rsidRPr="00145068">
        <w:rPr>
          <w:rFonts w:ascii="Times New Roman" w:hAnsi="Times New Roman" w:cs="Times New Roman"/>
          <w:b/>
          <w:bCs/>
          <w:color w:val="0D0D0D" w:themeColor="text1" w:themeTint="F2"/>
          <w:sz w:val="24"/>
          <w:szCs w:val="24"/>
        </w:rPr>
        <w:t>Authors, contributions:</w:t>
      </w:r>
      <w:r w:rsidRPr="00145068">
        <w:rPr>
          <w:rFonts w:ascii="Times New Roman" w:hAnsi="Times New Roman" w:cs="Times New Roman"/>
          <w:color w:val="0D0D0D" w:themeColor="text1" w:themeTint="F2"/>
          <w:sz w:val="24"/>
          <w:szCs w:val="24"/>
        </w:rPr>
        <w:br/>
      </w:r>
      <w:r w:rsidR="00F13BC5">
        <w:rPr>
          <w:rFonts w:ascii="Times New Roman" w:hAnsi="Times New Roman" w:cs="Times New Roman"/>
          <w:color w:val="0D0D0D" w:themeColor="text1" w:themeTint="F2"/>
          <w:sz w:val="24"/>
          <w:szCs w:val="24"/>
        </w:rPr>
        <w:t>Conceptualisation</w:t>
      </w:r>
      <w:r w:rsidRPr="00145068">
        <w:rPr>
          <w:rFonts w:ascii="Times New Roman" w:hAnsi="Times New Roman" w:cs="Times New Roman"/>
          <w:color w:val="0D0D0D" w:themeColor="text1" w:themeTint="F2"/>
          <w:sz w:val="24"/>
          <w:szCs w:val="24"/>
        </w:rPr>
        <w:t>:</w:t>
      </w:r>
      <w:r w:rsidR="00145068">
        <w:rPr>
          <w:rFonts w:ascii="Times New Roman" w:hAnsi="Times New Roman" w:cs="Times New Roman"/>
          <w:color w:val="0D0D0D" w:themeColor="text1" w:themeTint="F2"/>
          <w:sz w:val="24"/>
          <w:szCs w:val="24"/>
        </w:rPr>
        <w:t xml:space="preserve"> </w:t>
      </w:r>
      <w:r w:rsidR="00E04E0D">
        <w:rPr>
          <w:rFonts w:ascii="Times New Roman" w:hAnsi="Times New Roman" w:cs="Times New Roman"/>
          <w:color w:val="0D0D0D" w:themeColor="text1" w:themeTint="F2"/>
          <w:sz w:val="24"/>
          <w:szCs w:val="24"/>
        </w:rPr>
        <w:t xml:space="preserve">Nkechi Chinedu; </w:t>
      </w:r>
    </w:p>
    <w:p w14:paraId="032BDDA8" w14:textId="561D7025" w:rsidR="000E3AF1" w:rsidRDefault="00B03566" w:rsidP="00145068">
      <w:pPr>
        <w:pStyle w:val="Heading1"/>
        <w:numPr>
          <w:ilvl w:val="0"/>
          <w:numId w:val="0"/>
        </w:numPr>
        <w:spacing w:before="0" w:after="0"/>
        <w:rPr>
          <w:rFonts w:ascii="Times New Roman" w:hAnsi="Times New Roman" w:cs="Times New Roman"/>
          <w:color w:val="0D0D0D" w:themeColor="text1" w:themeTint="F2"/>
          <w:sz w:val="24"/>
          <w:szCs w:val="24"/>
        </w:rPr>
      </w:pPr>
      <w:r w:rsidRPr="00145068">
        <w:rPr>
          <w:rFonts w:ascii="Times New Roman" w:hAnsi="Times New Roman" w:cs="Times New Roman"/>
          <w:color w:val="0D0D0D" w:themeColor="text1" w:themeTint="F2"/>
          <w:sz w:val="24"/>
          <w:szCs w:val="24"/>
        </w:rPr>
        <w:t>Data curation:</w:t>
      </w:r>
      <w:r w:rsidR="00145068">
        <w:rPr>
          <w:rFonts w:ascii="Times New Roman" w:hAnsi="Times New Roman" w:cs="Times New Roman"/>
          <w:color w:val="0D0D0D" w:themeColor="text1" w:themeTint="F2"/>
          <w:sz w:val="24"/>
          <w:szCs w:val="24"/>
        </w:rPr>
        <w:t xml:space="preserve"> </w:t>
      </w:r>
      <w:r w:rsidR="00145068" w:rsidRPr="00145068">
        <w:rPr>
          <w:rFonts w:ascii="Times New Roman" w:hAnsi="Times New Roman" w:cs="Times New Roman"/>
          <w:color w:val="0D0D0D" w:themeColor="text1" w:themeTint="F2"/>
          <w:sz w:val="24"/>
          <w:szCs w:val="24"/>
        </w:rPr>
        <w:t xml:space="preserve">Ernest Nwanwunweneonye Orhuebor; </w:t>
      </w:r>
      <w:r w:rsidRPr="00145068">
        <w:rPr>
          <w:rFonts w:ascii="Times New Roman" w:hAnsi="Times New Roman" w:cs="Times New Roman"/>
          <w:color w:val="0D0D0D" w:themeColor="text1" w:themeTint="F2"/>
          <w:sz w:val="24"/>
          <w:szCs w:val="24"/>
        </w:rPr>
        <w:br/>
        <w:t>Formal Analysis:</w:t>
      </w:r>
      <w:r w:rsidR="00145068">
        <w:rPr>
          <w:rFonts w:ascii="Times New Roman" w:hAnsi="Times New Roman" w:cs="Times New Roman"/>
          <w:color w:val="0D0D0D" w:themeColor="text1" w:themeTint="F2"/>
          <w:sz w:val="24"/>
          <w:szCs w:val="24"/>
        </w:rPr>
        <w:t xml:space="preserve"> </w:t>
      </w:r>
      <w:r w:rsidR="00145068" w:rsidRPr="00145068">
        <w:rPr>
          <w:rFonts w:ascii="Times New Roman" w:hAnsi="Times New Roman" w:cs="Times New Roman"/>
          <w:color w:val="0D0D0D" w:themeColor="text1" w:themeTint="F2"/>
          <w:sz w:val="24"/>
          <w:szCs w:val="24"/>
        </w:rPr>
        <w:t>Ubong Bernard Essien</w:t>
      </w:r>
      <w:r w:rsidR="0002497F">
        <w:rPr>
          <w:rFonts w:ascii="Times New Roman" w:hAnsi="Times New Roman" w:cs="Times New Roman"/>
          <w:color w:val="0D0D0D" w:themeColor="text1" w:themeTint="F2"/>
          <w:sz w:val="24"/>
          <w:szCs w:val="24"/>
        </w:rPr>
        <w:t>;</w:t>
      </w:r>
      <w:r w:rsidR="00145068" w:rsidRPr="00145068">
        <w:rPr>
          <w:rFonts w:ascii="Times New Roman" w:hAnsi="Times New Roman" w:cs="Times New Roman"/>
          <w:color w:val="0D0D0D" w:themeColor="text1" w:themeTint="F2"/>
          <w:sz w:val="24"/>
          <w:szCs w:val="24"/>
        </w:rPr>
        <w:br/>
      </w:r>
      <w:r w:rsidRPr="00145068">
        <w:rPr>
          <w:rFonts w:ascii="Times New Roman" w:hAnsi="Times New Roman" w:cs="Times New Roman"/>
          <w:color w:val="0D0D0D" w:themeColor="text1" w:themeTint="F2"/>
          <w:sz w:val="24"/>
          <w:szCs w:val="24"/>
        </w:rPr>
        <w:t>Funding acquisition:</w:t>
      </w:r>
      <w:r w:rsidR="000E3AF1">
        <w:rPr>
          <w:rFonts w:ascii="Times New Roman" w:hAnsi="Times New Roman" w:cs="Times New Roman"/>
          <w:color w:val="0D0D0D" w:themeColor="text1" w:themeTint="F2"/>
          <w:sz w:val="24"/>
          <w:szCs w:val="24"/>
        </w:rPr>
        <w:t xml:space="preserve"> N/A</w:t>
      </w:r>
      <w:r w:rsidRPr="00145068">
        <w:rPr>
          <w:rFonts w:ascii="Times New Roman" w:hAnsi="Times New Roman" w:cs="Times New Roman"/>
          <w:color w:val="0D0D0D" w:themeColor="text1" w:themeTint="F2"/>
          <w:sz w:val="24"/>
          <w:szCs w:val="24"/>
        </w:rPr>
        <w:br/>
        <w:t>Investigation:</w:t>
      </w:r>
      <w:r w:rsidR="000E3AF1">
        <w:rPr>
          <w:rFonts w:ascii="Times New Roman" w:hAnsi="Times New Roman" w:cs="Times New Roman"/>
          <w:color w:val="0D0D0D" w:themeColor="text1" w:themeTint="F2"/>
          <w:sz w:val="24"/>
          <w:szCs w:val="24"/>
        </w:rPr>
        <w:t xml:space="preserve"> </w:t>
      </w:r>
      <w:r w:rsidR="000E3AF1" w:rsidRPr="00145068">
        <w:rPr>
          <w:rFonts w:ascii="Times New Roman" w:hAnsi="Times New Roman" w:cs="Times New Roman"/>
          <w:color w:val="0D0D0D" w:themeColor="text1" w:themeTint="F2"/>
          <w:sz w:val="24"/>
          <w:szCs w:val="24"/>
        </w:rPr>
        <w:t>Ekanem Magdalene Emmanuel</w:t>
      </w:r>
      <w:r w:rsidR="000E3AF1">
        <w:rPr>
          <w:rFonts w:ascii="Times New Roman" w:hAnsi="Times New Roman" w:cs="Times New Roman"/>
          <w:color w:val="0D0D0D" w:themeColor="text1" w:themeTint="F2"/>
          <w:sz w:val="24"/>
          <w:szCs w:val="24"/>
        </w:rPr>
        <w:t xml:space="preserve">, </w:t>
      </w:r>
      <w:r w:rsidR="000E3AF1" w:rsidRPr="00145068">
        <w:rPr>
          <w:rFonts w:ascii="Times New Roman" w:hAnsi="Times New Roman" w:cs="Times New Roman"/>
          <w:color w:val="0D0D0D" w:themeColor="text1" w:themeTint="F2"/>
          <w:sz w:val="24"/>
          <w:szCs w:val="24"/>
        </w:rPr>
        <w:t>Ubong Bernard Essien</w:t>
      </w:r>
      <w:r w:rsidRPr="00145068">
        <w:rPr>
          <w:rFonts w:ascii="Times New Roman" w:hAnsi="Times New Roman" w:cs="Times New Roman"/>
          <w:color w:val="0D0D0D" w:themeColor="text1" w:themeTint="F2"/>
          <w:sz w:val="24"/>
          <w:szCs w:val="24"/>
        </w:rPr>
        <w:br/>
        <w:t>Methodology:</w:t>
      </w:r>
      <w:r w:rsidR="000E3AF1">
        <w:rPr>
          <w:rFonts w:ascii="Times New Roman" w:hAnsi="Times New Roman" w:cs="Times New Roman"/>
          <w:color w:val="0D0D0D" w:themeColor="text1" w:themeTint="F2"/>
          <w:sz w:val="24"/>
          <w:szCs w:val="24"/>
        </w:rPr>
        <w:t xml:space="preserve"> </w:t>
      </w:r>
      <w:r w:rsidR="00145068" w:rsidRPr="00145068">
        <w:rPr>
          <w:rFonts w:ascii="Times New Roman" w:hAnsi="Times New Roman" w:cs="Times New Roman"/>
          <w:color w:val="0D0D0D" w:themeColor="text1" w:themeTint="F2"/>
          <w:sz w:val="24"/>
          <w:szCs w:val="24"/>
        </w:rPr>
        <w:t xml:space="preserve">Chigozirim Ezenwa Ndubuka; </w:t>
      </w:r>
    </w:p>
    <w:p w14:paraId="3855F3B1" w14:textId="50B9CFC7" w:rsidR="00B03566" w:rsidRPr="00145068" w:rsidRDefault="00B03566" w:rsidP="00145068">
      <w:pPr>
        <w:pStyle w:val="Heading1"/>
        <w:numPr>
          <w:ilvl w:val="0"/>
          <w:numId w:val="0"/>
        </w:numPr>
        <w:spacing w:before="0" w:after="0"/>
        <w:rPr>
          <w:rFonts w:ascii="Times New Roman" w:hAnsi="Times New Roman" w:cs="Times New Roman"/>
          <w:color w:val="0D0D0D" w:themeColor="text1" w:themeTint="F2"/>
          <w:sz w:val="24"/>
          <w:szCs w:val="24"/>
        </w:rPr>
      </w:pPr>
      <w:r w:rsidRPr="00145068">
        <w:rPr>
          <w:rFonts w:ascii="Times New Roman" w:hAnsi="Times New Roman" w:cs="Times New Roman"/>
          <w:color w:val="0D0D0D" w:themeColor="text1" w:themeTint="F2"/>
          <w:sz w:val="24"/>
          <w:szCs w:val="24"/>
        </w:rPr>
        <w:t>Project administration:</w:t>
      </w:r>
      <w:r w:rsidR="0002497F">
        <w:rPr>
          <w:rFonts w:ascii="Times New Roman" w:hAnsi="Times New Roman" w:cs="Times New Roman"/>
          <w:color w:val="0D0D0D" w:themeColor="text1" w:themeTint="F2"/>
          <w:sz w:val="24"/>
          <w:szCs w:val="24"/>
        </w:rPr>
        <w:t xml:space="preserve"> </w:t>
      </w:r>
      <w:r w:rsidR="0002497F" w:rsidRPr="00145068">
        <w:rPr>
          <w:rFonts w:ascii="Times New Roman" w:hAnsi="Times New Roman" w:cs="Times New Roman"/>
          <w:color w:val="0D0D0D" w:themeColor="text1" w:themeTint="F2"/>
          <w:sz w:val="24"/>
          <w:szCs w:val="24"/>
        </w:rPr>
        <w:t>Gospel Effiong Isangadighi</w:t>
      </w:r>
      <w:r w:rsidRPr="00145068">
        <w:rPr>
          <w:rFonts w:ascii="Times New Roman" w:hAnsi="Times New Roman" w:cs="Times New Roman"/>
          <w:color w:val="0D0D0D" w:themeColor="text1" w:themeTint="F2"/>
          <w:sz w:val="24"/>
          <w:szCs w:val="24"/>
        </w:rPr>
        <w:br/>
        <w:t>Resources:</w:t>
      </w:r>
      <w:r w:rsidR="00145068" w:rsidRPr="00145068">
        <w:rPr>
          <w:rFonts w:ascii="Times New Roman" w:hAnsi="Times New Roman" w:cs="Times New Roman"/>
          <w:color w:val="0D0D0D" w:themeColor="text1" w:themeTint="F2"/>
          <w:sz w:val="24"/>
          <w:szCs w:val="24"/>
        </w:rPr>
        <w:t xml:space="preserve"> Yaqub Rasheed</w:t>
      </w:r>
      <w:r w:rsidR="000E3AF1">
        <w:rPr>
          <w:rFonts w:ascii="Times New Roman" w:hAnsi="Times New Roman" w:cs="Times New Roman"/>
          <w:color w:val="0D0D0D" w:themeColor="text1" w:themeTint="F2"/>
          <w:sz w:val="24"/>
          <w:szCs w:val="24"/>
        </w:rPr>
        <w:t xml:space="preserve">, </w:t>
      </w:r>
      <w:r w:rsidR="000E3AF1" w:rsidRPr="00145068">
        <w:rPr>
          <w:rFonts w:ascii="Times New Roman" w:hAnsi="Times New Roman" w:cs="Times New Roman"/>
          <w:color w:val="0D0D0D" w:themeColor="text1" w:themeTint="F2"/>
          <w:sz w:val="24"/>
          <w:szCs w:val="24"/>
        </w:rPr>
        <w:t>Ekanem Magdalene Emmanuel</w:t>
      </w:r>
      <w:r w:rsidRPr="00145068">
        <w:rPr>
          <w:rFonts w:ascii="Times New Roman" w:hAnsi="Times New Roman" w:cs="Times New Roman"/>
          <w:color w:val="0D0D0D" w:themeColor="text1" w:themeTint="F2"/>
          <w:sz w:val="24"/>
          <w:szCs w:val="24"/>
        </w:rPr>
        <w:br/>
        <w:t>Software:</w:t>
      </w:r>
      <w:r w:rsidR="000E3AF1">
        <w:rPr>
          <w:rFonts w:ascii="Times New Roman" w:hAnsi="Times New Roman" w:cs="Times New Roman"/>
          <w:color w:val="0D0D0D" w:themeColor="text1" w:themeTint="F2"/>
          <w:sz w:val="24"/>
          <w:szCs w:val="24"/>
        </w:rPr>
        <w:t xml:space="preserve"> </w:t>
      </w:r>
      <w:r w:rsidR="00145068" w:rsidRPr="00145068">
        <w:rPr>
          <w:rFonts w:ascii="Times New Roman" w:hAnsi="Times New Roman" w:cs="Times New Roman"/>
          <w:color w:val="0D0D0D" w:themeColor="text1" w:themeTint="F2"/>
          <w:sz w:val="24"/>
          <w:szCs w:val="24"/>
        </w:rPr>
        <w:t xml:space="preserve">Ishado Stephen Ayeni; </w:t>
      </w:r>
      <w:r w:rsidR="000E3AF1" w:rsidRPr="00145068">
        <w:rPr>
          <w:rFonts w:ascii="Times New Roman" w:hAnsi="Times New Roman" w:cs="Times New Roman"/>
          <w:color w:val="0D0D0D" w:themeColor="text1" w:themeTint="F2"/>
          <w:sz w:val="24"/>
          <w:szCs w:val="24"/>
        </w:rPr>
        <w:t>Ubong Bernard Essien</w:t>
      </w:r>
      <w:r w:rsidR="000E3AF1">
        <w:rPr>
          <w:rFonts w:ascii="Times New Roman" w:hAnsi="Times New Roman" w:cs="Times New Roman"/>
          <w:color w:val="0D0D0D" w:themeColor="text1" w:themeTint="F2"/>
          <w:sz w:val="24"/>
          <w:szCs w:val="24"/>
        </w:rPr>
        <w:t xml:space="preserve">, </w:t>
      </w:r>
      <w:r w:rsidR="000E3AF1" w:rsidRPr="00145068">
        <w:rPr>
          <w:rFonts w:ascii="Times New Roman" w:hAnsi="Times New Roman" w:cs="Times New Roman"/>
          <w:color w:val="0D0D0D" w:themeColor="text1" w:themeTint="F2"/>
          <w:sz w:val="24"/>
          <w:szCs w:val="24"/>
        </w:rPr>
        <w:t>Gospel Effiong Isangadighi</w:t>
      </w:r>
      <w:r w:rsidRPr="00145068">
        <w:rPr>
          <w:rFonts w:ascii="Times New Roman" w:hAnsi="Times New Roman" w:cs="Times New Roman"/>
          <w:color w:val="0D0D0D" w:themeColor="text1" w:themeTint="F2"/>
          <w:sz w:val="24"/>
          <w:szCs w:val="24"/>
        </w:rPr>
        <w:br/>
        <w:t>Supervision:</w:t>
      </w:r>
      <w:r w:rsidR="00145068">
        <w:rPr>
          <w:rFonts w:ascii="Times New Roman" w:hAnsi="Times New Roman" w:cs="Times New Roman"/>
          <w:color w:val="0D0D0D" w:themeColor="text1" w:themeTint="F2"/>
          <w:sz w:val="24"/>
          <w:szCs w:val="24"/>
        </w:rPr>
        <w:t xml:space="preserve"> </w:t>
      </w:r>
      <w:r w:rsidR="00145068" w:rsidRPr="00145068">
        <w:rPr>
          <w:rFonts w:ascii="Times New Roman" w:hAnsi="Times New Roman" w:cs="Times New Roman"/>
          <w:color w:val="0D0D0D" w:themeColor="text1" w:themeTint="F2"/>
          <w:sz w:val="24"/>
          <w:szCs w:val="24"/>
        </w:rPr>
        <w:t>Gospel Effiong Isangadighi</w:t>
      </w:r>
      <w:r w:rsidR="000E3AF1">
        <w:rPr>
          <w:rFonts w:ascii="Times New Roman" w:hAnsi="Times New Roman" w:cs="Times New Roman"/>
          <w:color w:val="0D0D0D" w:themeColor="text1" w:themeTint="F2"/>
          <w:sz w:val="24"/>
          <w:szCs w:val="24"/>
        </w:rPr>
        <w:t xml:space="preserve">; </w:t>
      </w:r>
      <w:r w:rsidR="000E3AF1" w:rsidRPr="00145068">
        <w:rPr>
          <w:rFonts w:ascii="Times New Roman" w:hAnsi="Times New Roman" w:cs="Times New Roman"/>
          <w:color w:val="0D0D0D" w:themeColor="text1" w:themeTint="F2"/>
          <w:sz w:val="24"/>
          <w:szCs w:val="24"/>
        </w:rPr>
        <w:t>Ekanem Magdalene Emmanuel</w:t>
      </w:r>
      <w:r w:rsidRPr="00145068">
        <w:rPr>
          <w:rFonts w:ascii="Times New Roman" w:hAnsi="Times New Roman" w:cs="Times New Roman"/>
          <w:color w:val="0D0D0D" w:themeColor="text1" w:themeTint="F2"/>
          <w:sz w:val="24"/>
          <w:szCs w:val="24"/>
        </w:rPr>
        <w:br/>
        <w:t>Validation:</w:t>
      </w:r>
      <w:r w:rsidR="000E3AF1">
        <w:rPr>
          <w:rFonts w:ascii="Times New Roman" w:hAnsi="Times New Roman" w:cs="Times New Roman"/>
          <w:color w:val="0D0D0D" w:themeColor="text1" w:themeTint="F2"/>
          <w:sz w:val="24"/>
          <w:szCs w:val="24"/>
        </w:rPr>
        <w:t xml:space="preserve"> </w:t>
      </w:r>
      <w:r w:rsidR="00145068" w:rsidRPr="00145068">
        <w:rPr>
          <w:rFonts w:ascii="Times New Roman" w:hAnsi="Times New Roman" w:cs="Times New Roman"/>
          <w:color w:val="0D0D0D" w:themeColor="text1" w:themeTint="F2"/>
          <w:sz w:val="24"/>
          <w:szCs w:val="24"/>
        </w:rPr>
        <w:t xml:space="preserve">Ndor-Odok Prince Otu </w:t>
      </w:r>
      <w:r w:rsidR="00145068" w:rsidRPr="00145068">
        <w:rPr>
          <w:rFonts w:ascii="Times New Roman" w:hAnsi="Times New Roman" w:cs="Times New Roman"/>
          <w:color w:val="0D0D0D" w:themeColor="text1" w:themeTint="F2"/>
          <w:sz w:val="24"/>
          <w:szCs w:val="24"/>
        </w:rPr>
        <w:br/>
      </w:r>
      <w:r w:rsidR="00F13BC5">
        <w:rPr>
          <w:rFonts w:ascii="Times New Roman" w:hAnsi="Times New Roman" w:cs="Times New Roman"/>
          <w:color w:val="0D0D0D" w:themeColor="text1" w:themeTint="F2"/>
          <w:sz w:val="24"/>
          <w:szCs w:val="24"/>
        </w:rPr>
        <w:t>Visualisation</w:t>
      </w:r>
      <w:r w:rsidRPr="00145068">
        <w:rPr>
          <w:rFonts w:ascii="Times New Roman" w:hAnsi="Times New Roman" w:cs="Times New Roman"/>
          <w:color w:val="0D0D0D" w:themeColor="text1" w:themeTint="F2"/>
          <w:sz w:val="24"/>
          <w:szCs w:val="24"/>
        </w:rPr>
        <w:t>:</w:t>
      </w:r>
      <w:r w:rsidR="000E3AF1">
        <w:rPr>
          <w:rFonts w:ascii="Times New Roman" w:hAnsi="Times New Roman" w:cs="Times New Roman"/>
          <w:color w:val="0D0D0D" w:themeColor="text1" w:themeTint="F2"/>
          <w:sz w:val="24"/>
          <w:szCs w:val="24"/>
        </w:rPr>
        <w:t xml:space="preserve"> </w:t>
      </w:r>
      <w:r w:rsidR="00145068" w:rsidRPr="00145068">
        <w:rPr>
          <w:rFonts w:ascii="Times New Roman" w:hAnsi="Times New Roman" w:cs="Times New Roman"/>
          <w:color w:val="0D0D0D" w:themeColor="text1" w:themeTint="F2"/>
          <w:sz w:val="24"/>
          <w:szCs w:val="24"/>
        </w:rPr>
        <w:t>Ekanem Magdalene Emmanuel</w:t>
      </w:r>
      <w:r w:rsidRPr="00145068">
        <w:rPr>
          <w:rFonts w:ascii="Times New Roman" w:hAnsi="Times New Roman" w:cs="Times New Roman"/>
          <w:color w:val="0D0D0D" w:themeColor="text1" w:themeTint="F2"/>
          <w:sz w:val="24"/>
          <w:szCs w:val="24"/>
        </w:rPr>
        <w:br/>
        <w:t>Writing – original draft:</w:t>
      </w:r>
      <w:r w:rsidR="000E3AF1">
        <w:rPr>
          <w:rFonts w:ascii="Times New Roman" w:hAnsi="Times New Roman" w:cs="Times New Roman"/>
          <w:color w:val="0D0D0D" w:themeColor="text1" w:themeTint="F2"/>
          <w:sz w:val="24"/>
          <w:szCs w:val="24"/>
        </w:rPr>
        <w:t xml:space="preserve"> </w:t>
      </w:r>
      <w:r w:rsidR="000E3AF1" w:rsidRPr="00145068">
        <w:rPr>
          <w:rFonts w:ascii="Times New Roman" w:hAnsi="Times New Roman" w:cs="Times New Roman"/>
          <w:color w:val="0D0D0D" w:themeColor="text1" w:themeTint="F2"/>
          <w:sz w:val="24"/>
          <w:szCs w:val="24"/>
        </w:rPr>
        <w:t>Gospel Effiong Isangadighi</w:t>
      </w:r>
      <w:r w:rsidRPr="00145068">
        <w:rPr>
          <w:rFonts w:ascii="Times New Roman" w:hAnsi="Times New Roman" w:cs="Times New Roman"/>
          <w:color w:val="0D0D0D" w:themeColor="text1" w:themeTint="F2"/>
          <w:sz w:val="24"/>
          <w:szCs w:val="24"/>
        </w:rPr>
        <w:br/>
        <w:t>Writing – review &amp; editing:</w:t>
      </w:r>
      <w:r w:rsidR="000E3AF1">
        <w:rPr>
          <w:rFonts w:ascii="Times New Roman" w:hAnsi="Times New Roman" w:cs="Times New Roman"/>
          <w:color w:val="0D0D0D" w:themeColor="text1" w:themeTint="F2"/>
          <w:sz w:val="24"/>
          <w:szCs w:val="24"/>
        </w:rPr>
        <w:t xml:space="preserve"> </w:t>
      </w:r>
      <w:r w:rsidR="000E3AF1" w:rsidRPr="00145068">
        <w:rPr>
          <w:rFonts w:ascii="Times New Roman" w:hAnsi="Times New Roman" w:cs="Times New Roman"/>
          <w:color w:val="0D0D0D" w:themeColor="text1" w:themeTint="F2"/>
          <w:sz w:val="24"/>
          <w:szCs w:val="24"/>
        </w:rPr>
        <w:t xml:space="preserve">Ernest Nwanwunweneonye Orhuebor; Ndor-Odok Prince Otu </w:t>
      </w:r>
      <w:r w:rsidRPr="00145068">
        <w:rPr>
          <w:rFonts w:ascii="Times New Roman" w:hAnsi="Times New Roman" w:cs="Times New Roman"/>
          <w:color w:val="0D0D0D" w:themeColor="text1" w:themeTint="F2"/>
          <w:sz w:val="24"/>
          <w:szCs w:val="24"/>
        </w:rPr>
        <w:br/>
      </w:r>
      <w:r w:rsidRPr="00145068">
        <w:rPr>
          <w:rFonts w:ascii="Times New Roman" w:hAnsi="Times New Roman" w:cs="Times New Roman"/>
          <w:color w:val="0D0D0D" w:themeColor="text1" w:themeTint="F2"/>
          <w:sz w:val="24"/>
          <w:szCs w:val="24"/>
        </w:rPr>
        <w:br/>
      </w:r>
      <w:r w:rsidRPr="00145068">
        <w:rPr>
          <w:rFonts w:ascii="Times New Roman" w:hAnsi="Times New Roman" w:cs="Times New Roman"/>
          <w:b/>
          <w:bCs/>
          <w:color w:val="0D0D0D" w:themeColor="text1" w:themeTint="F2"/>
          <w:sz w:val="24"/>
          <w:szCs w:val="24"/>
        </w:rPr>
        <w:t>Competing interests</w:t>
      </w:r>
      <w:r w:rsidRPr="00145068">
        <w:rPr>
          <w:rFonts w:ascii="Times New Roman" w:hAnsi="Times New Roman" w:cs="Times New Roman"/>
          <w:color w:val="0D0D0D" w:themeColor="text1" w:themeTint="F2"/>
          <w:sz w:val="24"/>
          <w:szCs w:val="24"/>
        </w:rPr>
        <w:t>:</w:t>
      </w:r>
      <w:r w:rsidRPr="00145068">
        <w:rPr>
          <w:rFonts w:ascii="Times New Roman" w:hAnsi="Times New Roman" w:cs="Times New Roman"/>
          <w:b/>
          <w:bCs/>
          <w:color w:val="0D0D0D" w:themeColor="text1" w:themeTint="F2"/>
          <w:sz w:val="24"/>
          <w:szCs w:val="24"/>
        </w:rPr>
        <w:t> </w:t>
      </w:r>
      <w:r w:rsidR="00F13BC5">
        <w:rPr>
          <w:rFonts w:ascii="Times New Roman" w:hAnsi="Times New Roman" w:cs="Times New Roman"/>
          <w:color w:val="0D0D0D" w:themeColor="text1" w:themeTint="F2"/>
          <w:sz w:val="24"/>
          <w:szCs w:val="24"/>
        </w:rPr>
        <w:t>The</w:t>
      </w:r>
      <w:r w:rsidR="000E3AF1">
        <w:rPr>
          <w:rFonts w:ascii="Times New Roman" w:hAnsi="Times New Roman" w:cs="Times New Roman"/>
          <w:color w:val="0D0D0D" w:themeColor="text1" w:themeTint="F2"/>
          <w:sz w:val="24"/>
          <w:szCs w:val="24"/>
        </w:rPr>
        <w:t xml:space="preserve"> authors declare no competing </w:t>
      </w:r>
      <w:r w:rsidR="00F13BC5">
        <w:rPr>
          <w:rFonts w:ascii="Times New Roman" w:hAnsi="Times New Roman" w:cs="Times New Roman"/>
          <w:color w:val="0D0D0D" w:themeColor="text1" w:themeTint="F2"/>
          <w:sz w:val="24"/>
          <w:szCs w:val="24"/>
        </w:rPr>
        <w:t>interests</w:t>
      </w:r>
    </w:p>
    <w:p w14:paraId="1E5BD542" w14:textId="4410FBD3" w:rsidR="00B03566" w:rsidRPr="00145068" w:rsidRDefault="00B03566" w:rsidP="001816EA">
      <w:pPr>
        <w:pStyle w:val="Heading1"/>
        <w:numPr>
          <w:ilvl w:val="0"/>
          <w:numId w:val="0"/>
        </w:numPr>
        <w:ind w:firstLine="432"/>
        <w:jc w:val="both"/>
        <w:rPr>
          <w:rFonts w:ascii="Times New Roman" w:hAnsi="Times New Roman" w:cs="Times New Roman"/>
          <w:color w:val="0D0D0D" w:themeColor="text1" w:themeTint="F2"/>
          <w:sz w:val="24"/>
          <w:szCs w:val="24"/>
        </w:rPr>
      </w:pPr>
    </w:p>
    <w:p w14:paraId="0453E279" w14:textId="57060E34" w:rsidR="00531D4F" w:rsidRPr="00404D6E" w:rsidRDefault="00355E1D" w:rsidP="001816EA">
      <w:pPr>
        <w:jc w:val="both"/>
        <w:rPr>
          <w:rFonts w:ascii="Times New Roman" w:hAnsi="Times New Roman" w:cs="Times New Roman"/>
          <w:b/>
          <w:bCs/>
          <w:color w:val="0D0D0D" w:themeColor="text1" w:themeTint="F2"/>
        </w:rPr>
      </w:pPr>
      <w:r w:rsidRPr="00404D6E">
        <w:rPr>
          <w:rFonts w:ascii="Times New Roman" w:hAnsi="Times New Roman" w:cs="Times New Roman"/>
          <w:b/>
          <w:bCs/>
          <w:color w:val="0D0D0D" w:themeColor="text1" w:themeTint="F2"/>
        </w:rPr>
        <w:t>R</w:t>
      </w:r>
      <w:r w:rsidR="001E56E8" w:rsidRPr="00404D6E">
        <w:rPr>
          <w:rFonts w:ascii="Times New Roman" w:hAnsi="Times New Roman" w:cs="Times New Roman"/>
          <w:b/>
          <w:bCs/>
          <w:color w:val="0D0D0D" w:themeColor="text1" w:themeTint="F2"/>
        </w:rPr>
        <w:t>eferences</w:t>
      </w:r>
    </w:p>
    <w:p w14:paraId="34427DD5" w14:textId="77777777" w:rsidR="001816EA" w:rsidRDefault="001816EA" w:rsidP="001816EA">
      <w:pPr>
        <w:pStyle w:val="ListParagraph"/>
        <w:numPr>
          <w:ilvl w:val="0"/>
          <w:numId w:val="15"/>
        </w:numPr>
        <w:jc w:val="both"/>
      </w:pPr>
      <w:r w:rsidRPr="008A3DF7">
        <w:t>Kumari, R., Kumar, S., Poonia, R. C., Singh, V., Raja, L., Bhatnagar, V., &amp; Agarwal, P. (2021). Analysis and predictions of spread, recovery, and death caused by COVID-19 in India. Big Data Mining and Analytics, 4(2), 65-75.</w:t>
      </w:r>
    </w:p>
    <w:p w14:paraId="75E223F3" w14:textId="77777777" w:rsidR="001816EA" w:rsidRPr="008A3DF7" w:rsidRDefault="001816EA" w:rsidP="001816EA">
      <w:pPr>
        <w:pStyle w:val="ListParagraph"/>
        <w:numPr>
          <w:ilvl w:val="0"/>
          <w:numId w:val="15"/>
        </w:numPr>
        <w:jc w:val="both"/>
      </w:pPr>
      <w:r w:rsidRPr="008A3DF7">
        <w:t>Fagbote, E. O., &amp; Olanipekun, E. O. (2010). Levels of polycyclic aromatic hydrocarbons and polychlorinated biphenyls in the sediment of the bitumen deposit impacted area. International Journal of Environmental Science &amp; Technology, 7(3), 561-570.</w:t>
      </w:r>
    </w:p>
    <w:p w14:paraId="7F8A1DBB" w14:textId="77777777" w:rsidR="001816EA" w:rsidRPr="008A3DF7" w:rsidRDefault="001816EA" w:rsidP="001816EA">
      <w:pPr>
        <w:pStyle w:val="ListParagraph"/>
        <w:numPr>
          <w:ilvl w:val="0"/>
          <w:numId w:val="15"/>
        </w:numPr>
        <w:jc w:val="both"/>
      </w:pPr>
      <w:r w:rsidRPr="008A3DF7">
        <w:t>Zhang, S., Yao, L., Sun, A., &amp; Tay, Y. (2019). Deep learning based recommender system: A survey and new perspectives. ACM computing surveys (CSUR), 52(1), 1-38.</w:t>
      </w:r>
    </w:p>
    <w:p w14:paraId="70A383E5" w14:textId="77777777" w:rsidR="001816EA" w:rsidRPr="008A3DF7" w:rsidRDefault="001816EA" w:rsidP="001816EA">
      <w:pPr>
        <w:pStyle w:val="ListParagraph"/>
        <w:numPr>
          <w:ilvl w:val="0"/>
          <w:numId w:val="15"/>
        </w:numPr>
        <w:jc w:val="both"/>
      </w:pPr>
      <w:r w:rsidRPr="008A3DF7">
        <w:lastRenderedPageBreak/>
        <w:t>Offem, B. O., &amp; Ikpi, G. U. (2011). Water quality and environmental impact assessment of a tropical waterfall system. Environment and Natural Resources Research, 1(1), 63.</w:t>
      </w:r>
    </w:p>
    <w:p w14:paraId="4C07D6DC" w14:textId="77777777" w:rsidR="001816EA" w:rsidRPr="008A3DF7" w:rsidRDefault="001816EA" w:rsidP="001816EA">
      <w:pPr>
        <w:pStyle w:val="ListParagraph"/>
        <w:numPr>
          <w:ilvl w:val="0"/>
          <w:numId w:val="15"/>
        </w:numPr>
        <w:jc w:val="both"/>
      </w:pPr>
      <w:r w:rsidRPr="008A3DF7">
        <w:t>Latif, S. D., Chong, K. L., Ahmed, A. N., Huang, Y. F., Sherif, M., &amp; El-Shafie, A. (2023). Sediment load prediction in Johor River: deep learning versus machine learning models. Applied Water Science, 13(3), 79.</w:t>
      </w:r>
    </w:p>
    <w:p w14:paraId="63CA9AB3" w14:textId="77777777" w:rsidR="001816EA" w:rsidRPr="008A3DF7" w:rsidRDefault="001816EA" w:rsidP="001816EA">
      <w:pPr>
        <w:pStyle w:val="ListParagraph"/>
        <w:numPr>
          <w:ilvl w:val="0"/>
          <w:numId w:val="15"/>
        </w:numPr>
        <w:jc w:val="both"/>
      </w:pPr>
      <w:r w:rsidRPr="008A3DF7">
        <w:t>Islam, M., Isangadighi, G. E., &amp; Obahor, G. (2025). Leveraging Artificial Intelligence and Data Science for Enhancing Occupational Safety: A Multidisciplinary Approach to Risk Prediction and Hazard Mitigation in the Workplace. Indonesian Journal of Science, Technology and Humanities, 3(1), 21-31.</w:t>
      </w:r>
    </w:p>
    <w:p w14:paraId="6E9DAAA1" w14:textId="77777777" w:rsidR="001816EA" w:rsidRPr="008A3DF7" w:rsidRDefault="001816EA" w:rsidP="001816EA">
      <w:pPr>
        <w:pStyle w:val="ListParagraph"/>
        <w:numPr>
          <w:ilvl w:val="0"/>
          <w:numId w:val="15"/>
        </w:numPr>
        <w:jc w:val="both"/>
      </w:pPr>
      <w:r w:rsidRPr="008A3DF7">
        <w:t>Yuan, Y., Hu, Y., Huang, J., Liu, B., Li, X., Tian, J., ... &amp; Li, Y. (2024). Optimising anthocyanin Oral delivery: Effects of food biomacromolecule types on Nanocarrier performance for enhanced bioavailability. Food Chemistry, 454, 139682.</w:t>
      </w:r>
    </w:p>
    <w:p w14:paraId="31A7C804" w14:textId="77777777" w:rsidR="001816EA" w:rsidRPr="008A3DF7" w:rsidRDefault="001816EA" w:rsidP="001816EA">
      <w:pPr>
        <w:pStyle w:val="ListParagraph"/>
        <w:numPr>
          <w:ilvl w:val="0"/>
          <w:numId w:val="15"/>
        </w:numPr>
        <w:jc w:val="both"/>
      </w:pPr>
      <w:r w:rsidRPr="008A3DF7">
        <w:t>Oleszczuk, P., Hale, S. E., Lehmann, J., &amp; Cornelissen, G. (2012). Activated carbon and biochar amendments decrease pore-water concentrations of polycyclic aromatic hydrocarbons (PAHs) in sewage sludge. Bioresource technology, 111, 84-91.</w:t>
      </w:r>
    </w:p>
    <w:p w14:paraId="0CB12017" w14:textId="77777777" w:rsidR="001816EA" w:rsidRPr="008A3DF7" w:rsidRDefault="001816EA" w:rsidP="001816EA">
      <w:pPr>
        <w:pStyle w:val="ListParagraph"/>
        <w:numPr>
          <w:ilvl w:val="0"/>
          <w:numId w:val="15"/>
        </w:numPr>
        <w:jc w:val="both"/>
      </w:pPr>
      <w:r w:rsidRPr="008A3DF7">
        <w:t>Anyanwu, I. N., &amp; Semple, K. T. (2016). Effects of phenanthrene and its nitrogen-heterocyclic analogues aged in soil on the earthworm Eisenia fetida. Applied Soil Ecology, 105, 151-159.</w:t>
      </w:r>
    </w:p>
    <w:p w14:paraId="0228D5A5" w14:textId="77777777" w:rsidR="001816EA" w:rsidRPr="008A3DF7" w:rsidRDefault="001816EA" w:rsidP="001816EA">
      <w:pPr>
        <w:pStyle w:val="ListParagraph"/>
        <w:numPr>
          <w:ilvl w:val="0"/>
          <w:numId w:val="15"/>
        </w:numPr>
        <w:jc w:val="both"/>
      </w:pPr>
      <w:r w:rsidRPr="008A3DF7">
        <w:t>Ehirim, N., Onyeagocha, S., Ben-Chendo, G., Essien, U., Osuji, E., &amp; Okwara, M. (2016). Farming techniques, environmental challenges, and technical efficiency of Sweet Potato production in Abia State, Nigeria. International Journal of Agricultural Management and Development (IJAMAD), 6(4), 409-420.</w:t>
      </w:r>
    </w:p>
    <w:p w14:paraId="7398D2C3" w14:textId="77777777" w:rsidR="001816EA" w:rsidRPr="008A3DF7" w:rsidRDefault="001816EA" w:rsidP="001816EA">
      <w:pPr>
        <w:pStyle w:val="ListParagraph"/>
        <w:numPr>
          <w:ilvl w:val="0"/>
          <w:numId w:val="15"/>
        </w:numPr>
        <w:jc w:val="both"/>
      </w:pPr>
      <w:r w:rsidRPr="008A3DF7">
        <w:t>Isangadighi, G. E., &amp; Udeh, J. A. (2023). Emergencies, preparedness, and management: a case study of Nigeria. World Safety Organisation, 32(2), 38.</w:t>
      </w:r>
    </w:p>
    <w:p w14:paraId="48DA690B" w14:textId="77777777" w:rsidR="001816EA" w:rsidRPr="008A3DF7" w:rsidRDefault="001816EA" w:rsidP="001816EA">
      <w:pPr>
        <w:pStyle w:val="ListParagraph"/>
        <w:numPr>
          <w:ilvl w:val="0"/>
          <w:numId w:val="15"/>
        </w:numPr>
        <w:jc w:val="both"/>
      </w:pPr>
      <w:r w:rsidRPr="008A3DF7">
        <w:t>Nduka, J. K., &amp; Orisakwe, O. E. (2010). Assessment of environmental distribution of lead in some municipalities of South-Eastern Nigeria. International Journal of Environmental Research and Public Health, 7(6), 2501-2513.</w:t>
      </w:r>
    </w:p>
    <w:p w14:paraId="7DFCB29E" w14:textId="77777777" w:rsidR="001816EA" w:rsidRPr="008A3DF7" w:rsidRDefault="001816EA" w:rsidP="001816EA">
      <w:pPr>
        <w:pStyle w:val="ListParagraph"/>
        <w:numPr>
          <w:ilvl w:val="0"/>
          <w:numId w:val="15"/>
        </w:numPr>
        <w:jc w:val="both"/>
      </w:pPr>
      <w:r w:rsidRPr="008A3DF7">
        <w:t>Afolabi, M., &amp; Darby, S. (2022). Spatial and temporal variations in shoreline changes of the Niger Delta during 1986–2019. Coasts, 2(3), 203-220.</w:t>
      </w:r>
    </w:p>
    <w:p w14:paraId="625D5F9E" w14:textId="77777777" w:rsidR="001816EA" w:rsidRPr="008A3DF7" w:rsidRDefault="001816EA" w:rsidP="001816EA">
      <w:pPr>
        <w:pStyle w:val="ListParagraph"/>
        <w:numPr>
          <w:ilvl w:val="0"/>
          <w:numId w:val="15"/>
        </w:numPr>
        <w:jc w:val="both"/>
      </w:pPr>
      <w:r w:rsidRPr="008A3DF7">
        <w:t>Essien, U. B., Acha, S., Orhuebor, E. N., Ibanga, F. I., Udoh, U., Momoh, P. O., Ukudo, B. &amp; Micheal, P. U. (2025). Assessment of Environmental and Occupational Hazards Associated with Crude Oil Exploitation: A Toxicokinetic and Engineering-Based Framework for Sustainable Mitigation. Journal of African Innovation and Advanced Studies.</w:t>
      </w:r>
    </w:p>
    <w:p w14:paraId="332A12EE" w14:textId="77777777" w:rsidR="001816EA" w:rsidRPr="008A3DF7" w:rsidRDefault="001816EA" w:rsidP="001816EA">
      <w:pPr>
        <w:pStyle w:val="ListParagraph"/>
        <w:numPr>
          <w:ilvl w:val="0"/>
          <w:numId w:val="15"/>
        </w:numPr>
        <w:jc w:val="both"/>
      </w:pPr>
      <w:r w:rsidRPr="008A3DF7">
        <w:t>Isangadighi, G., &amp; Ukudo, B. (2025). Perceptions and Awareness of Air Quality and Its Health Impacts in Agbarho Community, Ughelli North, Delta State. Journal of African Innovation and Advanced Studies.</w:t>
      </w:r>
    </w:p>
    <w:p w14:paraId="702508D4" w14:textId="77777777" w:rsidR="001816EA" w:rsidRPr="008A3DF7" w:rsidRDefault="001816EA" w:rsidP="001816EA">
      <w:pPr>
        <w:pStyle w:val="ListParagraph"/>
        <w:numPr>
          <w:ilvl w:val="0"/>
          <w:numId w:val="15"/>
        </w:numPr>
        <w:jc w:val="both"/>
      </w:pPr>
      <w:r w:rsidRPr="008A3DF7">
        <w:t>Okoro, E. E., Okolie, A. G., Sanni, S. E., &amp; Omeje, M. (2020). Toxicology of heavy metals to subsurface lithofacies and drillers during drilling of hydrocarbon wells. Scientific reports, 10(1), 6152.</w:t>
      </w:r>
    </w:p>
    <w:p w14:paraId="57D09B16" w14:textId="77777777" w:rsidR="001816EA" w:rsidRPr="008A3DF7" w:rsidRDefault="001816EA" w:rsidP="001816EA">
      <w:pPr>
        <w:pStyle w:val="ListParagraph"/>
        <w:numPr>
          <w:ilvl w:val="0"/>
          <w:numId w:val="15"/>
        </w:numPr>
        <w:jc w:val="both"/>
      </w:pPr>
      <w:r w:rsidRPr="008A3DF7">
        <w:lastRenderedPageBreak/>
        <w:t>Otunola, B. O., Aghoghovwia, M. P., Thwala, M., Gómez-Arias, A., Jordaan, R., Hernandez, J. C., &amp; Ololade, O. O. (2023). Improving capacity for phytoremediation of Vetiver grass and Indian mustard in heavy metal (Al and Mn) contaminated water through the application of clay minerals. Environmental Science and Pollution Research, 30(18), 53577-53588.</w:t>
      </w:r>
    </w:p>
    <w:p w14:paraId="78DA6E62" w14:textId="77777777" w:rsidR="001816EA" w:rsidRPr="008A3DF7" w:rsidRDefault="001816EA" w:rsidP="001816EA">
      <w:pPr>
        <w:pStyle w:val="ListParagraph"/>
        <w:numPr>
          <w:ilvl w:val="0"/>
          <w:numId w:val="15"/>
        </w:numPr>
        <w:jc w:val="both"/>
      </w:pPr>
      <w:r w:rsidRPr="008A3DF7">
        <w:t>Chris, D. I., &amp; Anyanwu, B. O. (2022). Pollution and potential ecological risk evaluation associated with toxic metals in an impacted mangrove swamp in the Niger Delta, Nigeria. Toxics, 11(1), 6.</w:t>
      </w:r>
    </w:p>
    <w:p w14:paraId="6EC9AC2C" w14:textId="77777777" w:rsidR="001816EA" w:rsidRPr="008A3DF7" w:rsidRDefault="001816EA" w:rsidP="001816EA">
      <w:pPr>
        <w:pStyle w:val="ListParagraph"/>
        <w:numPr>
          <w:ilvl w:val="0"/>
          <w:numId w:val="15"/>
        </w:numPr>
        <w:jc w:val="both"/>
      </w:pPr>
      <w:r w:rsidRPr="008A3DF7">
        <w:t>Bankole, A. O., Ogunkeyede, A. O., Odionye, J. N., Giwa, B., Mbaoma, O. C., Akpeji, B. H., ... &amp; Isukuru, E. J. (2023). Physicochemical properties and health risks of informal e-waste processing at Alaba International Market in Lagos, Nigeria. Journal of Geoscience and Environment Protection, 11(9), 176-202.</w:t>
      </w:r>
    </w:p>
    <w:p w14:paraId="49DEF684" w14:textId="77777777" w:rsidR="001816EA" w:rsidRPr="008A3DF7" w:rsidRDefault="001816EA" w:rsidP="001816EA">
      <w:pPr>
        <w:pStyle w:val="ListParagraph"/>
        <w:numPr>
          <w:ilvl w:val="0"/>
          <w:numId w:val="15"/>
        </w:numPr>
        <w:jc w:val="both"/>
      </w:pPr>
      <w:r w:rsidRPr="008A3DF7">
        <w:t>Van der Oost, R., Beyer, J., &amp; Vermeulen, N. P. (2003). Fish bioaccumulation and biomarkers in environmental risk assessment: a review. Environmental toxicology and pharmacology, 13(2), 57-149.</w:t>
      </w:r>
    </w:p>
    <w:p w14:paraId="09A3FA67" w14:textId="77777777" w:rsidR="001816EA" w:rsidRPr="008A3DF7" w:rsidRDefault="001816EA" w:rsidP="001816EA">
      <w:pPr>
        <w:pStyle w:val="ListParagraph"/>
        <w:numPr>
          <w:ilvl w:val="0"/>
          <w:numId w:val="15"/>
        </w:numPr>
        <w:jc w:val="both"/>
      </w:pPr>
      <w:r w:rsidRPr="008A3DF7">
        <w:t>Li, J., He, J., Li, Y., Liu, Y., Li, W., Wu, N., ... &amp; Niu, Z. (2019). Assessing the threats of organophosphate esters (flame retardants and plasticisers) to drinking water safety based on USEPA oral reference dose (RfD) and oral cancer slope factor (SFO). Water research, 154, 84-93.</w:t>
      </w:r>
    </w:p>
    <w:p w14:paraId="72C9E9BA" w14:textId="77777777" w:rsidR="001816EA" w:rsidRPr="008A3DF7" w:rsidRDefault="001816EA" w:rsidP="001816EA">
      <w:pPr>
        <w:pStyle w:val="ListParagraph"/>
        <w:numPr>
          <w:ilvl w:val="0"/>
          <w:numId w:val="15"/>
        </w:numPr>
        <w:jc w:val="both"/>
      </w:pPr>
      <w:r w:rsidRPr="008A3DF7">
        <w:t>Bankole, A. O., Ogunkeyede, A. O., Adedosu, T. A., Udeochu, U., Agboro, H., Odoh, B. C., ... &amp; Isukuru, E. J. (2024). Environmental and Health Consequences of Heavy Metals in Crude Oil-Polluted Soils in Ihwrekreka Community. Research Advances in Environment, Geography and Earth Science Vol. 8, 70-112.</w:t>
      </w:r>
    </w:p>
    <w:p w14:paraId="47187A22" w14:textId="77777777" w:rsidR="001816EA" w:rsidRPr="008A3DF7" w:rsidRDefault="001816EA" w:rsidP="001816EA">
      <w:pPr>
        <w:pStyle w:val="ListParagraph"/>
        <w:numPr>
          <w:ilvl w:val="0"/>
          <w:numId w:val="15"/>
        </w:numPr>
        <w:jc w:val="both"/>
      </w:pPr>
      <w:r w:rsidRPr="008A3DF7">
        <w:t>Lu, Z., Zhang, S., Tian, W., Zou, M., Liu, B., Huo, B., ... &amp; Zhao, J. (2024). Which bioturbation is more likely to cause desorption of polycyclic aromatic hydrocarbons (PAHs) from sediments: Sandworms or crabs</w:t>
      </w:r>
      <w:proofErr w:type="gramStart"/>
      <w:r w:rsidRPr="008A3DF7">
        <w:t>?.</w:t>
      </w:r>
      <w:proofErr w:type="gramEnd"/>
      <w:r w:rsidRPr="008A3DF7">
        <w:t> Science of The Total Environment, 957, 177736.</w:t>
      </w:r>
    </w:p>
    <w:p w14:paraId="24CAE76B" w14:textId="77777777" w:rsidR="000933BC" w:rsidRDefault="001816EA" w:rsidP="00162C1F">
      <w:pPr>
        <w:pStyle w:val="ListParagraph"/>
        <w:numPr>
          <w:ilvl w:val="0"/>
          <w:numId w:val="15"/>
        </w:numPr>
        <w:jc w:val="both"/>
      </w:pPr>
      <w:r w:rsidRPr="008A3DF7">
        <w:t>Raimi, M. O., Sawyerr, O. H., Ezekwe, C. I., &amp; Salako, G. (2022). Toxicants in water: Hydrochemical appraisal of toxic metals concentration and seasonal variation in drinking water quality in the oil and gas field area of Rivers State, Nigeria. </w:t>
      </w:r>
    </w:p>
    <w:p w14:paraId="24C775DB" w14:textId="79CF67B8" w:rsidR="001E1BD9" w:rsidRPr="00162C1F" w:rsidRDefault="001816EA" w:rsidP="00162C1F">
      <w:pPr>
        <w:pStyle w:val="ListParagraph"/>
        <w:numPr>
          <w:ilvl w:val="0"/>
          <w:numId w:val="15"/>
        </w:numPr>
        <w:jc w:val="both"/>
      </w:pPr>
      <w:r w:rsidRPr="008A3DF7">
        <w:t xml:space="preserve">Raimi, MO., Sawyerr, HO., Ezekwe, </w:t>
      </w:r>
      <w:proofErr w:type="gramStart"/>
      <w:r w:rsidRPr="008A3DF7">
        <w:t>IC.,</w:t>
      </w:r>
      <w:proofErr w:type="gramEnd"/>
      <w:r w:rsidRPr="008A3DF7">
        <w:t xml:space="preserve"> &amp; Gabriel, S.(2022). Toxicants in Water: Hydrochemical Appraisal of Toxic Metals Concentration and Seasonal Variation in Drinking Water Quality in Oil and Gas Field Area of Rivers State, Nigeria. In PH Saleh, &amp; PAI Hassan (Eds.), Heavy Metals-New Ins.</w:t>
      </w:r>
    </w:p>
    <w:sectPr w:rsidR="001E1BD9" w:rsidRPr="00162C1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F561AC"/>
    <w:multiLevelType w:val="multilevel"/>
    <w:tmpl w:val="C5B2DA5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3CA95737"/>
    <w:multiLevelType w:val="hybridMultilevel"/>
    <w:tmpl w:val="C87A9820"/>
    <w:lvl w:ilvl="0" w:tplc="E384F4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E63"/>
    <w:rsid w:val="00012595"/>
    <w:rsid w:val="0001661A"/>
    <w:rsid w:val="0002497F"/>
    <w:rsid w:val="000554B9"/>
    <w:rsid w:val="00060D0B"/>
    <w:rsid w:val="000775DA"/>
    <w:rsid w:val="000933BC"/>
    <w:rsid w:val="000936BF"/>
    <w:rsid w:val="000B147A"/>
    <w:rsid w:val="000C0E72"/>
    <w:rsid w:val="000C629C"/>
    <w:rsid w:val="000E3AF1"/>
    <w:rsid w:val="000F10CA"/>
    <w:rsid w:val="001067FD"/>
    <w:rsid w:val="00111204"/>
    <w:rsid w:val="001234FD"/>
    <w:rsid w:val="00142CDC"/>
    <w:rsid w:val="00145068"/>
    <w:rsid w:val="00151934"/>
    <w:rsid w:val="00162C1F"/>
    <w:rsid w:val="001816EA"/>
    <w:rsid w:val="001C24A3"/>
    <w:rsid w:val="001D5C43"/>
    <w:rsid w:val="001E1BD9"/>
    <w:rsid w:val="001E56E8"/>
    <w:rsid w:val="00204A2D"/>
    <w:rsid w:val="00212885"/>
    <w:rsid w:val="00215515"/>
    <w:rsid w:val="0022416C"/>
    <w:rsid w:val="002407B9"/>
    <w:rsid w:val="00244C7D"/>
    <w:rsid w:val="002B4D90"/>
    <w:rsid w:val="002E43C6"/>
    <w:rsid w:val="002F4535"/>
    <w:rsid w:val="00303EBB"/>
    <w:rsid w:val="00305BAA"/>
    <w:rsid w:val="00305BB3"/>
    <w:rsid w:val="003526C0"/>
    <w:rsid w:val="00355E1D"/>
    <w:rsid w:val="003614CF"/>
    <w:rsid w:val="003A1868"/>
    <w:rsid w:val="003B3073"/>
    <w:rsid w:val="003C0E26"/>
    <w:rsid w:val="003C1BE6"/>
    <w:rsid w:val="003D3537"/>
    <w:rsid w:val="00404D6E"/>
    <w:rsid w:val="00411D1C"/>
    <w:rsid w:val="004206BA"/>
    <w:rsid w:val="004252FC"/>
    <w:rsid w:val="00452F8F"/>
    <w:rsid w:val="004540EE"/>
    <w:rsid w:val="00460CB5"/>
    <w:rsid w:val="00462373"/>
    <w:rsid w:val="00480481"/>
    <w:rsid w:val="00495B1E"/>
    <w:rsid w:val="004B4EE4"/>
    <w:rsid w:val="004C5420"/>
    <w:rsid w:val="004C768A"/>
    <w:rsid w:val="004D516F"/>
    <w:rsid w:val="004E06E4"/>
    <w:rsid w:val="004F0F98"/>
    <w:rsid w:val="00503AB6"/>
    <w:rsid w:val="005107C5"/>
    <w:rsid w:val="00531D4F"/>
    <w:rsid w:val="00577A73"/>
    <w:rsid w:val="00585763"/>
    <w:rsid w:val="005B2B1A"/>
    <w:rsid w:val="005C2514"/>
    <w:rsid w:val="005E1999"/>
    <w:rsid w:val="00630FCB"/>
    <w:rsid w:val="00646884"/>
    <w:rsid w:val="00651471"/>
    <w:rsid w:val="00655BEF"/>
    <w:rsid w:val="00673A8D"/>
    <w:rsid w:val="0067517A"/>
    <w:rsid w:val="00696ABE"/>
    <w:rsid w:val="006A01B9"/>
    <w:rsid w:val="006D762F"/>
    <w:rsid w:val="00700C73"/>
    <w:rsid w:val="007358CF"/>
    <w:rsid w:val="00741CDE"/>
    <w:rsid w:val="00747E1B"/>
    <w:rsid w:val="00751138"/>
    <w:rsid w:val="007A3278"/>
    <w:rsid w:val="007D321E"/>
    <w:rsid w:val="007D5FC7"/>
    <w:rsid w:val="007F633F"/>
    <w:rsid w:val="00814E71"/>
    <w:rsid w:val="00860980"/>
    <w:rsid w:val="00861AFD"/>
    <w:rsid w:val="00871007"/>
    <w:rsid w:val="008911A4"/>
    <w:rsid w:val="008A6A12"/>
    <w:rsid w:val="008E0B01"/>
    <w:rsid w:val="008E42A4"/>
    <w:rsid w:val="009306DA"/>
    <w:rsid w:val="009559DC"/>
    <w:rsid w:val="00957458"/>
    <w:rsid w:val="00965414"/>
    <w:rsid w:val="009B454C"/>
    <w:rsid w:val="009B70A1"/>
    <w:rsid w:val="009E69BD"/>
    <w:rsid w:val="00A12071"/>
    <w:rsid w:val="00A1511F"/>
    <w:rsid w:val="00A37AE7"/>
    <w:rsid w:val="00A430E4"/>
    <w:rsid w:val="00A64C51"/>
    <w:rsid w:val="00A65715"/>
    <w:rsid w:val="00A76E50"/>
    <w:rsid w:val="00A94679"/>
    <w:rsid w:val="00AA74E8"/>
    <w:rsid w:val="00AB39AD"/>
    <w:rsid w:val="00AC606F"/>
    <w:rsid w:val="00AC7965"/>
    <w:rsid w:val="00AD0998"/>
    <w:rsid w:val="00AE356B"/>
    <w:rsid w:val="00AE3BB9"/>
    <w:rsid w:val="00AF4AD3"/>
    <w:rsid w:val="00AF5BD7"/>
    <w:rsid w:val="00B03566"/>
    <w:rsid w:val="00B50A44"/>
    <w:rsid w:val="00B72C5D"/>
    <w:rsid w:val="00B846A0"/>
    <w:rsid w:val="00BC307A"/>
    <w:rsid w:val="00BC69E7"/>
    <w:rsid w:val="00BE0F2A"/>
    <w:rsid w:val="00BE3482"/>
    <w:rsid w:val="00BF034D"/>
    <w:rsid w:val="00C04EC3"/>
    <w:rsid w:val="00C058F9"/>
    <w:rsid w:val="00C342C1"/>
    <w:rsid w:val="00C3568A"/>
    <w:rsid w:val="00C57A60"/>
    <w:rsid w:val="00C71823"/>
    <w:rsid w:val="00C75541"/>
    <w:rsid w:val="00C821A6"/>
    <w:rsid w:val="00C84028"/>
    <w:rsid w:val="00C90FE1"/>
    <w:rsid w:val="00C92A63"/>
    <w:rsid w:val="00CD2F5E"/>
    <w:rsid w:val="00CF33FB"/>
    <w:rsid w:val="00D03E63"/>
    <w:rsid w:val="00D10955"/>
    <w:rsid w:val="00D13141"/>
    <w:rsid w:val="00D16315"/>
    <w:rsid w:val="00D22DA3"/>
    <w:rsid w:val="00D24497"/>
    <w:rsid w:val="00D27974"/>
    <w:rsid w:val="00D317FF"/>
    <w:rsid w:val="00D82E6C"/>
    <w:rsid w:val="00D93E67"/>
    <w:rsid w:val="00D9764F"/>
    <w:rsid w:val="00DA393C"/>
    <w:rsid w:val="00DB443F"/>
    <w:rsid w:val="00DB7770"/>
    <w:rsid w:val="00DC1634"/>
    <w:rsid w:val="00DC3628"/>
    <w:rsid w:val="00DC687B"/>
    <w:rsid w:val="00DD6684"/>
    <w:rsid w:val="00DE474A"/>
    <w:rsid w:val="00E04E0D"/>
    <w:rsid w:val="00E23686"/>
    <w:rsid w:val="00EC6ECD"/>
    <w:rsid w:val="00EE0001"/>
    <w:rsid w:val="00EE1DCA"/>
    <w:rsid w:val="00EE312B"/>
    <w:rsid w:val="00EE3789"/>
    <w:rsid w:val="00F13BC5"/>
    <w:rsid w:val="00F75CA2"/>
    <w:rsid w:val="00FA1CAF"/>
    <w:rsid w:val="00FB3C52"/>
    <w:rsid w:val="00FD286B"/>
    <w:rsid w:val="00FD6FF5"/>
    <w:rsid w:val="00FF4D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138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F2A"/>
  </w:style>
  <w:style w:type="paragraph" w:styleId="Heading1">
    <w:name w:val="heading 1"/>
    <w:basedOn w:val="Normal"/>
    <w:next w:val="Normal"/>
    <w:link w:val="Heading1Char"/>
    <w:uiPriority w:val="9"/>
    <w:qFormat/>
    <w:rsid w:val="00D03E63"/>
    <w:pPr>
      <w:keepNext/>
      <w:keepLines/>
      <w:numPr>
        <w:numId w:val="1"/>
      </w:numPr>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D03E63"/>
    <w:pPr>
      <w:keepNext/>
      <w:keepLines/>
      <w:numPr>
        <w:ilvl w:val="1"/>
        <w:numId w:val="1"/>
      </w:numPr>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03E63"/>
    <w:pPr>
      <w:keepNext/>
      <w:keepLines/>
      <w:numPr>
        <w:ilvl w:val="2"/>
        <w:numId w:val="1"/>
      </w:numPr>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03E63"/>
    <w:pPr>
      <w:keepNext/>
      <w:keepLines/>
      <w:numPr>
        <w:ilvl w:val="3"/>
        <w:numId w:val="1"/>
      </w:numPr>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03E63"/>
    <w:pPr>
      <w:keepNext/>
      <w:keepLines/>
      <w:numPr>
        <w:ilvl w:val="4"/>
        <w:numId w:val="1"/>
      </w:numPr>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03E63"/>
    <w:pPr>
      <w:keepNext/>
      <w:keepLines/>
      <w:numPr>
        <w:ilvl w:val="5"/>
        <w:numId w:val="1"/>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03E63"/>
    <w:pPr>
      <w:keepNext/>
      <w:keepLines/>
      <w:numPr>
        <w:ilvl w:val="6"/>
        <w:numId w:val="1"/>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03E63"/>
    <w:pPr>
      <w:keepNext/>
      <w:keepLines/>
      <w:numPr>
        <w:ilvl w:val="7"/>
        <w:numId w:val="1"/>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03E63"/>
    <w:pPr>
      <w:keepNext/>
      <w:keepLines/>
      <w:numPr>
        <w:ilvl w:val="8"/>
        <w:numId w:val="1"/>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3E6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D03E6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03E6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03E6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03E6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03E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03E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03E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03E63"/>
    <w:rPr>
      <w:rFonts w:eastAsiaTheme="majorEastAsia" w:cstheme="majorBidi"/>
      <w:color w:val="272727" w:themeColor="text1" w:themeTint="D8"/>
    </w:rPr>
  </w:style>
  <w:style w:type="paragraph" w:styleId="Title">
    <w:name w:val="Title"/>
    <w:basedOn w:val="Normal"/>
    <w:next w:val="Normal"/>
    <w:link w:val="TitleChar"/>
    <w:uiPriority w:val="10"/>
    <w:qFormat/>
    <w:rsid w:val="00D03E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3E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03E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03E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03E63"/>
    <w:pPr>
      <w:spacing w:before="160"/>
      <w:jc w:val="center"/>
    </w:pPr>
    <w:rPr>
      <w:i/>
      <w:iCs/>
      <w:color w:val="404040" w:themeColor="text1" w:themeTint="BF"/>
    </w:rPr>
  </w:style>
  <w:style w:type="character" w:customStyle="1" w:styleId="QuoteChar">
    <w:name w:val="Quote Char"/>
    <w:basedOn w:val="DefaultParagraphFont"/>
    <w:link w:val="Quote"/>
    <w:uiPriority w:val="29"/>
    <w:rsid w:val="00D03E63"/>
    <w:rPr>
      <w:i/>
      <w:iCs/>
      <w:color w:val="404040" w:themeColor="text1" w:themeTint="BF"/>
    </w:rPr>
  </w:style>
  <w:style w:type="paragraph" w:styleId="ListParagraph">
    <w:name w:val="List Paragraph"/>
    <w:basedOn w:val="Normal"/>
    <w:uiPriority w:val="34"/>
    <w:qFormat/>
    <w:rsid w:val="00D03E63"/>
    <w:pPr>
      <w:ind w:left="720"/>
      <w:contextualSpacing/>
    </w:pPr>
  </w:style>
  <w:style w:type="character" w:styleId="IntenseEmphasis">
    <w:name w:val="Intense Emphasis"/>
    <w:basedOn w:val="DefaultParagraphFont"/>
    <w:uiPriority w:val="21"/>
    <w:qFormat/>
    <w:rsid w:val="00D03E63"/>
    <w:rPr>
      <w:i/>
      <w:iCs/>
      <w:color w:val="2F5496" w:themeColor="accent1" w:themeShade="BF"/>
    </w:rPr>
  </w:style>
  <w:style w:type="paragraph" w:styleId="IntenseQuote">
    <w:name w:val="Intense Quote"/>
    <w:basedOn w:val="Normal"/>
    <w:next w:val="Normal"/>
    <w:link w:val="IntenseQuoteChar"/>
    <w:uiPriority w:val="30"/>
    <w:qFormat/>
    <w:rsid w:val="00D03E6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03E63"/>
    <w:rPr>
      <w:i/>
      <w:iCs/>
      <w:color w:val="2F5496" w:themeColor="accent1" w:themeShade="BF"/>
    </w:rPr>
  </w:style>
  <w:style w:type="character" w:styleId="IntenseReference">
    <w:name w:val="Intense Reference"/>
    <w:basedOn w:val="DefaultParagraphFont"/>
    <w:uiPriority w:val="32"/>
    <w:qFormat/>
    <w:rsid w:val="00D03E63"/>
    <w:rPr>
      <w:b/>
      <w:bCs/>
      <w:smallCaps/>
      <w:color w:val="2F5496" w:themeColor="accent1" w:themeShade="BF"/>
      <w:spacing w:val="5"/>
    </w:rPr>
  </w:style>
  <w:style w:type="table" w:customStyle="1" w:styleId="GridTable6ColorfulAccent2">
    <w:name w:val="Grid Table 6 Colorful Accent 2"/>
    <w:basedOn w:val="TableNormal"/>
    <w:uiPriority w:val="51"/>
    <w:rsid w:val="00C04EC3"/>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
    <w:name w:val="Grid Table 6 Colorful"/>
    <w:basedOn w:val="TableNormal"/>
    <w:uiPriority w:val="51"/>
    <w:rsid w:val="00C04EC3"/>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
    <w:name w:val="Grid Table 2"/>
    <w:basedOn w:val="TableNormal"/>
    <w:uiPriority w:val="47"/>
    <w:rsid w:val="00C04EC3"/>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2">
    <w:name w:val="Plain Table 2"/>
    <w:basedOn w:val="TableNormal"/>
    <w:uiPriority w:val="42"/>
    <w:rsid w:val="008911A4"/>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rsid w:val="008911A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unhideWhenUsed/>
    <w:rsid w:val="00B03566"/>
    <w:pPr>
      <w:spacing w:before="100" w:beforeAutospacing="1" w:after="100" w:afterAutospacing="1" w:line="240" w:lineRule="auto"/>
    </w:pPr>
    <w:rPr>
      <w:rFonts w:ascii="Times New Roman" w:eastAsia="Times New Roman" w:hAnsi="Times New Roman" w:cs="Times New Roman"/>
      <w:kern w:val="0"/>
      <w:lang w:val="en-US"/>
      <w14:ligatures w14:val="none"/>
    </w:rPr>
  </w:style>
  <w:style w:type="character" w:styleId="Strong">
    <w:name w:val="Strong"/>
    <w:basedOn w:val="DefaultParagraphFont"/>
    <w:uiPriority w:val="22"/>
    <w:qFormat/>
    <w:rsid w:val="00B03566"/>
    <w:rPr>
      <w:b/>
      <w:bCs/>
    </w:rPr>
  </w:style>
  <w:style w:type="character" w:styleId="Hyperlink">
    <w:name w:val="Hyperlink"/>
    <w:basedOn w:val="DefaultParagraphFont"/>
    <w:uiPriority w:val="99"/>
    <w:unhideWhenUsed/>
    <w:rsid w:val="00871007"/>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F2A"/>
  </w:style>
  <w:style w:type="paragraph" w:styleId="Heading1">
    <w:name w:val="heading 1"/>
    <w:basedOn w:val="Normal"/>
    <w:next w:val="Normal"/>
    <w:link w:val="Heading1Char"/>
    <w:uiPriority w:val="9"/>
    <w:qFormat/>
    <w:rsid w:val="00D03E63"/>
    <w:pPr>
      <w:keepNext/>
      <w:keepLines/>
      <w:numPr>
        <w:numId w:val="1"/>
      </w:numPr>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D03E63"/>
    <w:pPr>
      <w:keepNext/>
      <w:keepLines/>
      <w:numPr>
        <w:ilvl w:val="1"/>
        <w:numId w:val="1"/>
      </w:numPr>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03E63"/>
    <w:pPr>
      <w:keepNext/>
      <w:keepLines/>
      <w:numPr>
        <w:ilvl w:val="2"/>
        <w:numId w:val="1"/>
      </w:numPr>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03E63"/>
    <w:pPr>
      <w:keepNext/>
      <w:keepLines/>
      <w:numPr>
        <w:ilvl w:val="3"/>
        <w:numId w:val="1"/>
      </w:numPr>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03E63"/>
    <w:pPr>
      <w:keepNext/>
      <w:keepLines/>
      <w:numPr>
        <w:ilvl w:val="4"/>
        <w:numId w:val="1"/>
      </w:numPr>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03E63"/>
    <w:pPr>
      <w:keepNext/>
      <w:keepLines/>
      <w:numPr>
        <w:ilvl w:val="5"/>
        <w:numId w:val="1"/>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03E63"/>
    <w:pPr>
      <w:keepNext/>
      <w:keepLines/>
      <w:numPr>
        <w:ilvl w:val="6"/>
        <w:numId w:val="1"/>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03E63"/>
    <w:pPr>
      <w:keepNext/>
      <w:keepLines/>
      <w:numPr>
        <w:ilvl w:val="7"/>
        <w:numId w:val="1"/>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03E63"/>
    <w:pPr>
      <w:keepNext/>
      <w:keepLines/>
      <w:numPr>
        <w:ilvl w:val="8"/>
        <w:numId w:val="1"/>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3E6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D03E6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03E6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03E6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03E6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03E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03E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03E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03E63"/>
    <w:rPr>
      <w:rFonts w:eastAsiaTheme="majorEastAsia" w:cstheme="majorBidi"/>
      <w:color w:val="272727" w:themeColor="text1" w:themeTint="D8"/>
    </w:rPr>
  </w:style>
  <w:style w:type="paragraph" w:styleId="Title">
    <w:name w:val="Title"/>
    <w:basedOn w:val="Normal"/>
    <w:next w:val="Normal"/>
    <w:link w:val="TitleChar"/>
    <w:uiPriority w:val="10"/>
    <w:qFormat/>
    <w:rsid w:val="00D03E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3E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03E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03E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03E63"/>
    <w:pPr>
      <w:spacing w:before="160"/>
      <w:jc w:val="center"/>
    </w:pPr>
    <w:rPr>
      <w:i/>
      <w:iCs/>
      <w:color w:val="404040" w:themeColor="text1" w:themeTint="BF"/>
    </w:rPr>
  </w:style>
  <w:style w:type="character" w:customStyle="1" w:styleId="QuoteChar">
    <w:name w:val="Quote Char"/>
    <w:basedOn w:val="DefaultParagraphFont"/>
    <w:link w:val="Quote"/>
    <w:uiPriority w:val="29"/>
    <w:rsid w:val="00D03E63"/>
    <w:rPr>
      <w:i/>
      <w:iCs/>
      <w:color w:val="404040" w:themeColor="text1" w:themeTint="BF"/>
    </w:rPr>
  </w:style>
  <w:style w:type="paragraph" w:styleId="ListParagraph">
    <w:name w:val="List Paragraph"/>
    <w:basedOn w:val="Normal"/>
    <w:uiPriority w:val="34"/>
    <w:qFormat/>
    <w:rsid w:val="00D03E63"/>
    <w:pPr>
      <w:ind w:left="720"/>
      <w:contextualSpacing/>
    </w:pPr>
  </w:style>
  <w:style w:type="character" w:styleId="IntenseEmphasis">
    <w:name w:val="Intense Emphasis"/>
    <w:basedOn w:val="DefaultParagraphFont"/>
    <w:uiPriority w:val="21"/>
    <w:qFormat/>
    <w:rsid w:val="00D03E63"/>
    <w:rPr>
      <w:i/>
      <w:iCs/>
      <w:color w:val="2F5496" w:themeColor="accent1" w:themeShade="BF"/>
    </w:rPr>
  </w:style>
  <w:style w:type="paragraph" w:styleId="IntenseQuote">
    <w:name w:val="Intense Quote"/>
    <w:basedOn w:val="Normal"/>
    <w:next w:val="Normal"/>
    <w:link w:val="IntenseQuoteChar"/>
    <w:uiPriority w:val="30"/>
    <w:qFormat/>
    <w:rsid w:val="00D03E6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03E63"/>
    <w:rPr>
      <w:i/>
      <w:iCs/>
      <w:color w:val="2F5496" w:themeColor="accent1" w:themeShade="BF"/>
    </w:rPr>
  </w:style>
  <w:style w:type="character" w:styleId="IntenseReference">
    <w:name w:val="Intense Reference"/>
    <w:basedOn w:val="DefaultParagraphFont"/>
    <w:uiPriority w:val="32"/>
    <w:qFormat/>
    <w:rsid w:val="00D03E63"/>
    <w:rPr>
      <w:b/>
      <w:bCs/>
      <w:smallCaps/>
      <w:color w:val="2F5496" w:themeColor="accent1" w:themeShade="BF"/>
      <w:spacing w:val="5"/>
    </w:rPr>
  </w:style>
  <w:style w:type="table" w:customStyle="1" w:styleId="GridTable6ColorfulAccent2">
    <w:name w:val="Grid Table 6 Colorful Accent 2"/>
    <w:basedOn w:val="TableNormal"/>
    <w:uiPriority w:val="51"/>
    <w:rsid w:val="00C04EC3"/>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
    <w:name w:val="Grid Table 6 Colorful"/>
    <w:basedOn w:val="TableNormal"/>
    <w:uiPriority w:val="51"/>
    <w:rsid w:val="00C04EC3"/>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
    <w:name w:val="Grid Table 2"/>
    <w:basedOn w:val="TableNormal"/>
    <w:uiPriority w:val="47"/>
    <w:rsid w:val="00C04EC3"/>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2">
    <w:name w:val="Plain Table 2"/>
    <w:basedOn w:val="TableNormal"/>
    <w:uiPriority w:val="42"/>
    <w:rsid w:val="008911A4"/>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rsid w:val="008911A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unhideWhenUsed/>
    <w:rsid w:val="00B03566"/>
    <w:pPr>
      <w:spacing w:before="100" w:beforeAutospacing="1" w:after="100" w:afterAutospacing="1" w:line="240" w:lineRule="auto"/>
    </w:pPr>
    <w:rPr>
      <w:rFonts w:ascii="Times New Roman" w:eastAsia="Times New Roman" w:hAnsi="Times New Roman" w:cs="Times New Roman"/>
      <w:kern w:val="0"/>
      <w:lang w:val="en-US"/>
      <w14:ligatures w14:val="none"/>
    </w:rPr>
  </w:style>
  <w:style w:type="character" w:styleId="Strong">
    <w:name w:val="Strong"/>
    <w:basedOn w:val="DefaultParagraphFont"/>
    <w:uiPriority w:val="22"/>
    <w:qFormat/>
    <w:rsid w:val="00B03566"/>
    <w:rPr>
      <w:b/>
      <w:bCs/>
    </w:rPr>
  </w:style>
  <w:style w:type="character" w:styleId="Hyperlink">
    <w:name w:val="Hyperlink"/>
    <w:basedOn w:val="DefaultParagraphFont"/>
    <w:uiPriority w:val="99"/>
    <w:unhideWhenUsed/>
    <w:rsid w:val="0087100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5495475">
      <w:bodyDiv w:val="1"/>
      <w:marLeft w:val="0"/>
      <w:marRight w:val="0"/>
      <w:marTop w:val="0"/>
      <w:marBottom w:val="0"/>
      <w:divBdr>
        <w:top w:val="none" w:sz="0" w:space="0" w:color="auto"/>
        <w:left w:val="none" w:sz="0" w:space="0" w:color="auto"/>
        <w:bottom w:val="none" w:sz="0" w:space="0" w:color="auto"/>
        <w:right w:val="none" w:sz="0" w:space="0" w:color="auto"/>
      </w:divBdr>
    </w:div>
    <w:div w:id="168350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microsoft.com/office/2014/relationships/chartEx" Target="charts/chartEx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Gospel%20Isangadighi\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Gospel%20Isangadighi\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Gospel%20Isangadighi\Book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Gospel%20Isangadighi\Book1.xls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Sheet2!$B$1</c:f>
              <c:strCache>
                <c:ptCount val="1"/>
                <c:pt idx="0">
                  <c:v>Oguta Lake  </c:v>
                </c:pt>
              </c:strCache>
            </c:strRef>
          </c:tx>
          <c:spPr>
            <a:solidFill>
              <a:srgbClr val="C00000"/>
            </a:solidFill>
            <a:ln>
              <a:solidFill>
                <a:srgbClr val="C00000"/>
              </a:solidFill>
            </a:ln>
            <a:effectLst/>
          </c:spPr>
          <c:invertIfNegative val="0"/>
          <c:trendline>
            <c:spPr>
              <a:ln w="19050" cap="rnd">
                <a:solidFill>
                  <a:schemeClr val="accent1"/>
                </a:solidFill>
                <a:prstDash val="sysDot"/>
              </a:ln>
              <a:effectLst/>
            </c:spPr>
            <c:trendlineType val="linear"/>
            <c:dispRSqr val="0"/>
            <c:dispEq val="0"/>
          </c:trendline>
          <c:cat>
            <c:strRef>
              <c:f>Sheet2!$A$2:$A$6</c:f>
              <c:strCache>
                <c:ptCount val="5"/>
                <c:pt idx="0">
                  <c:v>pH</c:v>
                </c:pt>
                <c:pt idx="1">
                  <c:v>Temperature (°C)</c:v>
                </c:pt>
                <c:pt idx="2">
                  <c:v>Electrical Conductivity (µS/cm)</c:v>
                </c:pt>
                <c:pt idx="3">
                  <c:v>Dissolved Oxygen (mg/L)</c:v>
                </c:pt>
                <c:pt idx="4">
                  <c:v>Salinity (ppt)</c:v>
                </c:pt>
              </c:strCache>
            </c:strRef>
          </c:cat>
          <c:val>
            <c:numRef>
              <c:f>Sheet2!$B$2:$B$6</c:f>
              <c:numCache>
                <c:formatCode>General</c:formatCode>
                <c:ptCount val="5"/>
                <c:pt idx="0">
                  <c:v>6.84</c:v>
                </c:pt>
                <c:pt idx="1">
                  <c:v>27.3</c:v>
                </c:pt>
                <c:pt idx="2">
                  <c:v>201.2</c:v>
                </c:pt>
                <c:pt idx="3">
                  <c:v>6.12</c:v>
                </c:pt>
                <c:pt idx="4">
                  <c:v>0.13</c:v>
                </c:pt>
              </c:numCache>
            </c:numRef>
          </c:val>
          <c:extLst xmlns:c16r2="http://schemas.microsoft.com/office/drawing/2015/06/chart">
            <c:ext xmlns:c16="http://schemas.microsoft.com/office/drawing/2014/chart" uri="{C3380CC4-5D6E-409C-BE32-E72D297353CC}">
              <c16:uniqueId val="{00000001-0E67-4891-9218-7F4DC213B453}"/>
            </c:ext>
          </c:extLst>
        </c:ser>
        <c:ser>
          <c:idx val="1"/>
          <c:order val="1"/>
          <c:tx>
            <c:strRef>
              <c:f>Sheet2!$C$1</c:f>
              <c:strCache>
                <c:ptCount val="1"/>
                <c:pt idx="0">
                  <c:v>Njaba River  </c:v>
                </c:pt>
              </c:strCache>
            </c:strRef>
          </c:tx>
          <c:spPr>
            <a:solidFill>
              <a:schemeClr val="tx1">
                <a:lumMod val="95000"/>
                <a:lumOff val="5000"/>
              </a:schemeClr>
            </a:solidFill>
            <a:ln>
              <a:solidFill>
                <a:schemeClr val="tx1">
                  <a:lumMod val="95000"/>
                  <a:lumOff val="5000"/>
                </a:schemeClr>
              </a:solidFill>
            </a:ln>
            <a:effectLst/>
          </c:spPr>
          <c:invertIfNegative val="0"/>
          <c:trendline>
            <c:spPr>
              <a:ln w="19050" cap="rnd">
                <a:solidFill>
                  <a:schemeClr val="accent2"/>
                </a:solidFill>
                <a:prstDash val="sysDot"/>
              </a:ln>
              <a:effectLst/>
            </c:spPr>
            <c:trendlineType val="linear"/>
            <c:dispRSqr val="0"/>
            <c:dispEq val="0"/>
          </c:trendline>
          <c:cat>
            <c:strRef>
              <c:f>Sheet2!$A$2:$A$6</c:f>
              <c:strCache>
                <c:ptCount val="5"/>
                <c:pt idx="0">
                  <c:v>pH</c:v>
                </c:pt>
                <c:pt idx="1">
                  <c:v>Temperature (°C)</c:v>
                </c:pt>
                <c:pt idx="2">
                  <c:v>Electrical Conductivity (µS/cm)</c:v>
                </c:pt>
                <c:pt idx="3">
                  <c:v>Dissolved Oxygen (mg/L)</c:v>
                </c:pt>
                <c:pt idx="4">
                  <c:v>Salinity (ppt)</c:v>
                </c:pt>
              </c:strCache>
            </c:strRef>
          </c:cat>
          <c:val>
            <c:numRef>
              <c:f>Sheet2!$C$2:$C$6</c:f>
              <c:numCache>
                <c:formatCode>General</c:formatCode>
                <c:ptCount val="5"/>
                <c:pt idx="0">
                  <c:v>6.49</c:v>
                </c:pt>
                <c:pt idx="1">
                  <c:v>28.1</c:v>
                </c:pt>
                <c:pt idx="2">
                  <c:v>323.5</c:v>
                </c:pt>
                <c:pt idx="3">
                  <c:v>4.91</c:v>
                </c:pt>
                <c:pt idx="4">
                  <c:v>0.17</c:v>
                </c:pt>
              </c:numCache>
            </c:numRef>
          </c:val>
          <c:extLst xmlns:c16r2="http://schemas.microsoft.com/office/drawing/2015/06/chart">
            <c:ext xmlns:c16="http://schemas.microsoft.com/office/drawing/2014/chart" uri="{C3380CC4-5D6E-409C-BE32-E72D297353CC}">
              <c16:uniqueId val="{00000003-0E67-4891-9218-7F4DC213B453}"/>
            </c:ext>
          </c:extLst>
        </c:ser>
        <c:ser>
          <c:idx val="2"/>
          <c:order val="2"/>
          <c:tx>
            <c:strRef>
              <c:f>Sheet2!$D$1</c:f>
              <c:strCache>
                <c:ptCount val="1"/>
                <c:pt idx="0">
                  <c:v>WHO Standard</c:v>
                </c:pt>
              </c:strCache>
            </c:strRef>
          </c:tx>
          <c:spPr>
            <a:solidFill>
              <a:srgbClr val="00B050"/>
            </a:solidFill>
            <a:ln>
              <a:solidFill>
                <a:srgbClr val="00B050"/>
              </a:solidFill>
            </a:ln>
            <a:effectLst/>
          </c:spPr>
          <c:invertIfNegative val="0"/>
          <c:trendline>
            <c:spPr>
              <a:ln w="19050" cap="rnd">
                <a:solidFill>
                  <a:schemeClr val="accent3"/>
                </a:solidFill>
                <a:prstDash val="sysDot"/>
              </a:ln>
              <a:effectLst/>
            </c:spPr>
            <c:trendlineType val="linear"/>
            <c:dispRSqr val="0"/>
            <c:dispEq val="0"/>
          </c:trendline>
          <c:cat>
            <c:strRef>
              <c:f>Sheet2!$A$2:$A$6</c:f>
              <c:strCache>
                <c:ptCount val="5"/>
                <c:pt idx="0">
                  <c:v>pH</c:v>
                </c:pt>
                <c:pt idx="1">
                  <c:v>Temperature (°C)</c:v>
                </c:pt>
                <c:pt idx="2">
                  <c:v>Electrical Conductivity (µS/cm)</c:v>
                </c:pt>
                <c:pt idx="3">
                  <c:v>Dissolved Oxygen (mg/L)</c:v>
                </c:pt>
                <c:pt idx="4">
                  <c:v>Salinity (ppt)</c:v>
                </c:pt>
              </c:strCache>
            </c:strRef>
          </c:cat>
          <c:val>
            <c:numRef>
              <c:f>Sheet2!$D$2:$D$6</c:f>
              <c:numCache>
                <c:formatCode>General</c:formatCode>
                <c:ptCount val="5"/>
                <c:pt idx="0">
                  <c:v>8.5</c:v>
                </c:pt>
                <c:pt idx="1">
                  <c:v>0</c:v>
                </c:pt>
                <c:pt idx="2">
                  <c:v>1000</c:v>
                </c:pt>
                <c:pt idx="3">
                  <c:v>5</c:v>
                </c:pt>
                <c:pt idx="4">
                  <c:v>0</c:v>
                </c:pt>
              </c:numCache>
            </c:numRef>
          </c:val>
          <c:extLst xmlns:c16r2="http://schemas.microsoft.com/office/drawing/2015/06/chart">
            <c:ext xmlns:c16="http://schemas.microsoft.com/office/drawing/2014/chart" uri="{C3380CC4-5D6E-409C-BE32-E72D297353CC}">
              <c16:uniqueId val="{00000005-0E67-4891-9218-7F4DC213B453}"/>
            </c:ext>
          </c:extLst>
        </c:ser>
        <c:dLbls>
          <c:showLegendKey val="0"/>
          <c:showVal val="0"/>
          <c:showCatName val="0"/>
          <c:showSerName val="0"/>
          <c:showPercent val="0"/>
          <c:showBubbleSize val="0"/>
        </c:dLbls>
        <c:gapWidth val="219"/>
        <c:overlap val="-27"/>
        <c:axId val="172375552"/>
        <c:axId val="144284992"/>
      </c:barChart>
      <c:catAx>
        <c:axId val="17237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284992"/>
        <c:crosses val="autoZero"/>
        <c:auto val="1"/>
        <c:lblAlgn val="ctr"/>
        <c:lblOffset val="100"/>
        <c:noMultiLvlLbl val="0"/>
      </c:catAx>
      <c:valAx>
        <c:axId val="1442849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375552"/>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Sheet3!$B$2</c:f>
              <c:strCache>
                <c:ptCount val="1"/>
                <c:pt idx="0">
                  <c:v>Oguta Lake  </c:v>
                </c:pt>
              </c:strCache>
            </c:strRef>
          </c:tx>
          <c:spPr>
            <a:solidFill>
              <a:srgbClr val="002060"/>
            </a:solidFill>
            <a:ln>
              <a:solidFill>
                <a:srgbClr val="002060"/>
              </a:solidFill>
            </a:ln>
            <a:effectLst/>
          </c:spPr>
          <c:invertIfNegative val="0"/>
          <c:cat>
            <c:strRef>
              <c:f>Sheet3!$A$3:$A$7</c:f>
              <c:strCache>
                <c:ptCount val="5"/>
                <c:pt idx="0">
                  <c:v>Lead (Pb)</c:v>
                </c:pt>
                <c:pt idx="1">
                  <c:v>Cadmium (Cd)</c:v>
                </c:pt>
                <c:pt idx="2">
                  <c:v>Chromium (Cr)</c:v>
                </c:pt>
                <c:pt idx="3">
                  <c:v>Nickel (Ni)</c:v>
                </c:pt>
                <c:pt idx="4">
                  <c:v>Zinc (Zn)</c:v>
                </c:pt>
              </c:strCache>
            </c:strRef>
          </c:cat>
          <c:val>
            <c:numRef>
              <c:f>Sheet3!$B$3:$B$7</c:f>
              <c:numCache>
                <c:formatCode>General</c:formatCode>
                <c:ptCount val="5"/>
                <c:pt idx="0">
                  <c:v>36.799999999999997</c:v>
                </c:pt>
                <c:pt idx="1">
                  <c:v>1.28</c:v>
                </c:pt>
                <c:pt idx="2">
                  <c:v>62.1</c:v>
                </c:pt>
                <c:pt idx="3">
                  <c:v>48.6</c:v>
                </c:pt>
                <c:pt idx="4">
                  <c:v>91.3</c:v>
                </c:pt>
              </c:numCache>
            </c:numRef>
          </c:val>
          <c:extLst xmlns:c16r2="http://schemas.microsoft.com/office/drawing/2015/06/chart">
            <c:ext xmlns:c16="http://schemas.microsoft.com/office/drawing/2014/chart" uri="{C3380CC4-5D6E-409C-BE32-E72D297353CC}">
              <c16:uniqueId val="{00000000-7D63-4A50-AE13-E41A31AA2495}"/>
            </c:ext>
          </c:extLst>
        </c:ser>
        <c:ser>
          <c:idx val="1"/>
          <c:order val="1"/>
          <c:tx>
            <c:strRef>
              <c:f>Sheet3!$C$2</c:f>
              <c:strCache>
                <c:ptCount val="1"/>
                <c:pt idx="0">
                  <c:v>Njaba River  </c:v>
                </c:pt>
              </c:strCache>
            </c:strRef>
          </c:tx>
          <c:spPr>
            <a:solidFill>
              <a:srgbClr val="C00000"/>
            </a:solidFill>
            <a:ln>
              <a:solidFill>
                <a:srgbClr val="C00000"/>
              </a:solidFill>
            </a:ln>
            <a:effectLst/>
          </c:spPr>
          <c:invertIfNegative val="0"/>
          <c:cat>
            <c:strRef>
              <c:f>Sheet3!$A$3:$A$7</c:f>
              <c:strCache>
                <c:ptCount val="5"/>
                <c:pt idx="0">
                  <c:v>Lead (Pb)</c:v>
                </c:pt>
                <c:pt idx="1">
                  <c:v>Cadmium (Cd)</c:v>
                </c:pt>
                <c:pt idx="2">
                  <c:v>Chromium (Cr)</c:v>
                </c:pt>
                <c:pt idx="3">
                  <c:v>Nickel (Ni)</c:v>
                </c:pt>
                <c:pt idx="4">
                  <c:v>Zinc (Zn)</c:v>
                </c:pt>
              </c:strCache>
            </c:strRef>
          </c:cat>
          <c:val>
            <c:numRef>
              <c:f>Sheet3!$C$3:$C$7</c:f>
              <c:numCache>
                <c:formatCode>General</c:formatCode>
                <c:ptCount val="5"/>
                <c:pt idx="0">
                  <c:v>41.2</c:v>
                </c:pt>
                <c:pt idx="1">
                  <c:v>1.45</c:v>
                </c:pt>
                <c:pt idx="2">
                  <c:v>67.900000000000006</c:v>
                </c:pt>
                <c:pt idx="3">
                  <c:v>52.7</c:v>
                </c:pt>
                <c:pt idx="4">
                  <c:v>97.5</c:v>
                </c:pt>
              </c:numCache>
            </c:numRef>
          </c:val>
          <c:extLst xmlns:c16r2="http://schemas.microsoft.com/office/drawing/2015/06/chart">
            <c:ext xmlns:c16="http://schemas.microsoft.com/office/drawing/2014/chart" uri="{C3380CC4-5D6E-409C-BE32-E72D297353CC}">
              <c16:uniqueId val="{00000001-7D63-4A50-AE13-E41A31AA2495}"/>
            </c:ext>
          </c:extLst>
        </c:ser>
        <c:dLbls>
          <c:showLegendKey val="0"/>
          <c:showVal val="0"/>
          <c:showCatName val="0"/>
          <c:showSerName val="0"/>
          <c:showPercent val="0"/>
          <c:showBubbleSize val="0"/>
        </c:dLbls>
        <c:gapWidth val="219"/>
        <c:axId val="172359168"/>
        <c:axId val="177177728"/>
      </c:barChart>
      <c:lineChart>
        <c:grouping val="standard"/>
        <c:varyColors val="0"/>
        <c:ser>
          <c:idx val="2"/>
          <c:order val="2"/>
          <c:tx>
            <c:strRef>
              <c:f>Sheet3!$D$2</c:f>
              <c:strCache>
                <c:ptCount val="1"/>
                <c:pt idx="0">
                  <c:v>Dutch Target Value</c:v>
                </c:pt>
              </c:strCache>
            </c:strRef>
          </c:tx>
          <c:spPr>
            <a:ln w="28575" cap="rnd">
              <a:solidFill>
                <a:srgbClr val="00B050"/>
              </a:solidFill>
              <a:round/>
            </a:ln>
            <a:effectLst/>
          </c:spPr>
          <c:marker>
            <c:symbol val="none"/>
          </c:marker>
          <c:cat>
            <c:strRef>
              <c:f>Sheet3!$A$3:$A$7</c:f>
              <c:strCache>
                <c:ptCount val="5"/>
                <c:pt idx="0">
                  <c:v>Lead (Pb)</c:v>
                </c:pt>
                <c:pt idx="1">
                  <c:v>Cadmium (Cd)</c:v>
                </c:pt>
                <c:pt idx="2">
                  <c:v>Chromium (Cr)</c:v>
                </c:pt>
                <c:pt idx="3">
                  <c:v>Nickel (Ni)</c:v>
                </c:pt>
                <c:pt idx="4">
                  <c:v>Zinc (Zn)</c:v>
                </c:pt>
              </c:strCache>
            </c:strRef>
          </c:cat>
          <c:val>
            <c:numRef>
              <c:f>Sheet3!$D$3:$D$7</c:f>
              <c:numCache>
                <c:formatCode>General</c:formatCode>
                <c:ptCount val="5"/>
                <c:pt idx="0">
                  <c:v>85</c:v>
                </c:pt>
                <c:pt idx="1">
                  <c:v>0.8</c:v>
                </c:pt>
                <c:pt idx="2">
                  <c:v>100</c:v>
                </c:pt>
                <c:pt idx="3">
                  <c:v>35</c:v>
                </c:pt>
                <c:pt idx="4">
                  <c:v>140</c:v>
                </c:pt>
              </c:numCache>
            </c:numRef>
          </c:val>
          <c:smooth val="0"/>
          <c:extLst xmlns:c16r2="http://schemas.microsoft.com/office/drawing/2015/06/chart">
            <c:ext xmlns:c16="http://schemas.microsoft.com/office/drawing/2014/chart" uri="{C3380CC4-5D6E-409C-BE32-E72D297353CC}">
              <c16:uniqueId val="{00000002-7D63-4A50-AE13-E41A31AA2495}"/>
            </c:ext>
          </c:extLst>
        </c:ser>
        <c:dLbls>
          <c:showLegendKey val="0"/>
          <c:showVal val="0"/>
          <c:showCatName val="0"/>
          <c:showSerName val="0"/>
          <c:showPercent val="0"/>
          <c:showBubbleSize val="0"/>
        </c:dLbls>
        <c:marker val="1"/>
        <c:smooth val="0"/>
        <c:axId val="257578496"/>
        <c:axId val="177178304"/>
      </c:lineChart>
      <c:catAx>
        <c:axId val="17235916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US"/>
                  <a:t>Heavy Metals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177177728"/>
        <c:crosses val="autoZero"/>
        <c:auto val="1"/>
        <c:lblAlgn val="ctr"/>
        <c:lblOffset val="100"/>
        <c:noMultiLvlLbl val="0"/>
      </c:catAx>
      <c:valAx>
        <c:axId val="177177728"/>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US"/>
                  <a:t>Concentration (mg/kg)</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172359168"/>
        <c:crosses val="autoZero"/>
        <c:crossBetween val="between"/>
      </c:valAx>
      <c:valAx>
        <c:axId val="177178304"/>
        <c:scaling>
          <c:orientation val="minMax"/>
        </c:scaling>
        <c:delete val="0"/>
        <c:axPos val="r"/>
        <c:title>
          <c:tx>
            <c:rich>
              <a:bodyPr rot="-54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US"/>
                  <a:t>Concentration (mg/kg)</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257578496"/>
        <c:crosses val="max"/>
        <c:crossBetween val="between"/>
      </c:valAx>
      <c:catAx>
        <c:axId val="257578496"/>
        <c:scaling>
          <c:orientation val="minMax"/>
        </c:scaling>
        <c:delete val="1"/>
        <c:axPos val="b"/>
        <c:numFmt formatCode="General" sourceLinked="1"/>
        <c:majorTickMark val="out"/>
        <c:minorTickMark val="none"/>
        <c:tickLblPos val="nextTo"/>
        <c:crossAx val="1771783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sz="1200">
          <a:solidFill>
            <a:schemeClr val="tx1">
              <a:lumMod val="95000"/>
              <a:lumOff val="5000"/>
            </a:schemeClr>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Sheet4!$B$1</c:f>
              <c:strCache>
                <c:ptCount val="1"/>
                <c:pt idx="0">
                  <c:v>Oguta</c:v>
                </c:pt>
              </c:strCache>
            </c:strRef>
          </c:tx>
          <c:spPr>
            <a:solidFill>
              <a:srgbClr val="002060"/>
            </a:solidFill>
            <a:ln>
              <a:noFill/>
            </a:ln>
            <a:effectLst/>
          </c:spPr>
          <c:invertIfNegative val="0"/>
          <c:cat>
            <c:strRef>
              <c:f>Sheet4!$A$2:$A$7</c:f>
              <c:strCache>
                <c:ptCount val="6"/>
                <c:pt idx="0">
                  <c:v>TPHs</c:v>
                </c:pt>
                <c:pt idx="1">
                  <c:v>Naphthalene</c:v>
                </c:pt>
                <c:pt idx="2">
                  <c:v>Phenanthrene</c:v>
                </c:pt>
                <c:pt idx="3">
                  <c:v>Fluoranthene</c:v>
                </c:pt>
                <c:pt idx="4">
                  <c:v>Benzo[a]pyrene</c:v>
                </c:pt>
                <c:pt idx="5">
                  <c:v>Total PAHs</c:v>
                </c:pt>
              </c:strCache>
            </c:strRef>
          </c:cat>
          <c:val>
            <c:numRef>
              <c:f>Sheet4!$B$2:$B$7</c:f>
              <c:numCache>
                <c:formatCode>General</c:formatCode>
                <c:ptCount val="6"/>
                <c:pt idx="0">
                  <c:v>5.32</c:v>
                </c:pt>
                <c:pt idx="1">
                  <c:v>0.14000000000000001</c:v>
                </c:pt>
                <c:pt idx="2">
                  <c:v>0.21</c:v>
                </c:pt>
                <c:pt idx="3">
                  <c:v>0.39</c:v>
                </c:pt>
                <c:pt idx="4">
                  <c:v>0.28999999999999998</c:v>
                </c:pt>
                <c:pt idx="5">
                  <c:v>1.88</c:v>
                </c:pt>
              </c:numCache>
            </c:numRef>
          </c:val>
          <c:extLst xmlns:c16r2="http://schemas.microsoft.com/office/drawing/2015/06/chart">
            <c:ext xmlns:c16="http://schemas.microsoft.com/office/drawing/2014/chart" uri="{C3380CC4-5D6E-409C-BE32-E72D297353CC}">
              <c16:uniqueId val="{00000000-DEAD-4708-8B1E-48B0E034474F}"/>
            </c:ext>
          </c:extLst>
        </c:ser>
        <c:ser>
          <c:idx val="1"/>
          <c:order val="1"/>
          <c:tx>
            <c:strRef>
              <c:f>Sheet4!$C$1</c:f>
              <c:strCache>
                <c:ptCount val="1"/>
                <c:pt idx="0">
                  <c:v>Njaba</c:v>
                </c:pt>
              </c:strCache>
            </c:strRef>
          </c:tx>
          <c:spPr>
            <a:solidFill>
              <a:srgbClr val="FFC000"/>
            </a:solidFill>
            <a:ln>
              <a:solidFill>
                <a:srgbClr val="FFC000"/>
              </a:solidFill>
            </a:ln>
            <a:effectLst/>
          </c:spPr>
          <c:invertIfNegative val="0"/>
          <c:cat>
            <c:strRef>
              <c:f>Sheet4!$A$2:$A$7</c:f>
              <c:strCache>
                <c:ptCount val="6"/>
                <c:pt idx="0">
                  <c:v>TPHs</c:v>
                </c:pt>
                <c:pt idx="1">
                  <c:v>Naphthalene</c:v>
                </c:pt>
                <c:pt idx="2">
                  <c:v>Phenanthrene</c:v>
                </c:pt>
                <c:pt idx="3">
                  <c:v>Fluoranthene</c:v>
                </c:pt>
                <c:pt idx="4">
                  <c:v>Benzo[a]pyrene</c:v>
                </c:pt>
                <c:pt idx="5">
                  <c:v>Total PAHs</c:v>
                </c:pt>
              </c:strCache>
            </c:strRef>
          </c:cat>
          <c:val>
            <c:numRef>
              <c:f>Sheet4!$C$2:$C$7</c:f>
              <c:numCache>
                <c:formatCode>General</c:formatCode>
                <c:ptCount val="6"/>
                <c:pt idx="0">
                  <c:v>6.01</c:v>
                </c:pt>
                <c:pt idx="1">
                  <c:v>0.17</c:v>
                </c:pt>
                <c:pt idx="2">
                  <c:v>0.25</c:v>
                </c:pt>
                <c:pt idx="3">
                  <c:v>0.44</c:v>
                </c:pt>
                <c:pt idx="4">
                  <c:v>0.33</c:v>
                </c:pt>
                <c:pt idx="5">
                  <c:v>2.13</c:v>
                </c:pt>
              </c:numCache>
            </c:numRef>
          </c:val>
          <c:extLst xmlns:c16r2="http://schemas.microsoft.com/office/drawing/2015/06/chart">
            <c:ext xmlns:c16="http://schemas.microsoft.com/office/drawing/2014/chart" uri="{C3380CC4-5D6E-409C-BE32-E72D297353CC}">
              <c16:uniqueId val="{00000001-DEAD-4708-8B1E-48B0E034474F}"/>
            </c:ext>
          </c:extLst>
        </c:ser>
        <c:dLbls>
          <c:showLegendKey val="0"/>
          <c:showVal val="0"/>
          <c:showCatName val="0"/>
          <c:showSerName val="0"/>
          <c:showPercent val="0"/>
          <c:showBubbleSize val="0"/>
        </c:dLbls>
        <c:gapWidth val="219"/>
        <c:overlap val="-27"/>
        <c:axId val="172371968"/>
        <c:axId val="177180032"/>
      </c:barChart>
      <c:lineChart>
        <c:grouping val="standard"/>
        <c:varyColors val="0"/>
        <c:ser>
          <c:idx val="2"/>
          <c:order val="2"/>
          <c:tx>
            <c:strRef>
              <c:f>Sheet4!$D$1</c:f>
              <c:strCache>
                <c:ptCount val="1"/>
                <c:pt idx="0">
                  <c:v>NOAA ERL</c:v>
                </c:pt>
              </c:strCache>
            </c:strRef>
          </c:tx>
          <c:spPr>
            <a:ln w="28575" cap="rnd">
              <a:solidFill>
                <a:srgbClr val="C00000"/>
              </a:solidFill>
              <a:round/>
            </a:ln>
            <a:effectLst/>
          </c:spPr>
          <c:marker>
            <c:symbol val="none"/>
          </c:marker>
          <c:trendline>
            <c:spPr>
              <a:ln w="19050" cap="rnd">
                <a:solidFill>
                  <a:srgbClr val="00B050"/>
                </a:solidFill>
                <a:prstDash val="sysDot"/>
              </a:ln>
              <a:effectLst/>
            </c:spPr>
            <c:trendlineType val="linear"/>
            <c:dispRSqr val="0"/>
            <c:dispEq val="0"/>
          </c:trendline>
          <c:cat>
            <c:strRef>
              <c:f>Sheet4!$A$2:$A$7</c:f>
              <c:strCache>
                <c:ptCount val="6"/>
                <c:pt idx="0">
                  <c:v>TPHs</c:v>
                </c:pt>
                <c:pt idx="1">
                  <c:v>Naphthalene</c:v>
                </c:pt>
                <c:pt idx="2">
                  <c:v>Phenanthrene</c:v>
                </c:pt>
                <c:pt idx="3">
                  <c:v>Fluoranthene</c:v>
                </c:pt>
                <c:pt idx="4">
                  <c:v>Benzo[a]pyrene</c:v>
                </c:pt>
                <c:pt idx="5">
                  <c:v>Total PAHs</c:v>
                </c:pt>
              </c:strCache>
            </c:strRef>
          </c:cat>
          <c:val>
            <c:numRef>
              <c:f>Sheet4!$D$2:$D$7</c:f>
              <c:numCache>
                <c:formatCode>General</c:formatCode>
                <c:ptCount val="6"/>
                <c:pt idx="0">
                  <c:v>0</c:v>
                </c:pt>
                <c:pt idx="1">
                  <c:v>0.16</c:v>
                </c:pt>
                <c:pt idx="2">
                  <c:v>0.24</c:v>
                </c:pt>
                <c:pt idx="3">
                  <c:v>0.6</c:v>
                </c:pt>
                <c:pt idx="4">
                  <c:v>0.43</c:v>
                </c:pt>
                <c:pt idx="5">
                  <c:v>0</c:v>
                </c:pt>
              </c:numCache>
            </c:numRef>
          </c:val>
          <c:smooth val="0"/>
          <c:extLst xmlns:c16r2="http://schemas.microsoft.com/office/drawing/2015/06/chart">
            <c:ext xmlns:c16="http://schemas.microsoft.com/office/drawing/2014/chart" uri="{C3380CC4-5D6E-409C-BE32-E72D297353CC}">
              <c16:uniqueId val="{00000003-DEAD-4708-8B1E-48B0E034474F}"/>
            </c:ext>
          </c:extLst>
        </c:ser>
        <c:dLbls>
          <c:showLegendKey val="0"/>
          <c:showVal val="0"/>
          <c:showCatName val="0"/>
          <c:showSerName val="0"/>
          <c:showPercent val="0"/>
          <c:showBubbleSize val="0"/>
        </c:dLbls>
        <c:marker val="1"/>
        <c:smooth val="0"/>
        <c:axId val="257580032"/>
        <c:axId val="177180608"/>
      </c:lineChart>
      <c:catAx>
        <c:axId val="172371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Compounds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180032"/>
        <c:crosses val="autoZero"/>
        <c:auto val="1"/>
        <c:lblAlgn val="ctr"/>
        <c:lblOffset val="100"/>
        <c:noMultiLvlLbl val="0"/>
      </c:catAx>
      <c:valAx>
        <c:axId val="1771800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t>Concentration (mg/kg)</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371968"/>
        <c:crosses val="autoZero"/>
        <c:crossBetween val="between"/>
      </c:valAx>
      <c:valAx>
        <c:axId val="17718060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t>Concentration (mg/kg)</a:t>
                </a:r>
                <a:endParaRPr lang="en-US"/>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7580032"/>
        <c:crosses val="max"/>
        <c:crossBetween val="between"/>
      </c:valAx>
      <c:catAx>
        <c:axId val="257580032"/>
        <c:scaling>
          <c:orientation val="minMax"/>
        </c:scaling>
        <c:delete val="1"/>
        <c:axPos val="b"/>
        <c:numFmt formatCode="General" sourceLinked="1"/>
        <c:majorTickMark val="out"/>
        <c:minorTickMark val="none"/>
        <c:tickLblPos val="nextTo"/>
        <c:crossAx val="177180608"/>
        <c:crosses val="autoZero"/>
        <c:auto val="1"/>
        <c:lblAlgn val="ctr"/>
        <c:lblOffset val="100"/>
        <c:noMultiLvlLbl val="0"/>
      </c:cat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tx>
            <c:strRef>
              <c:f>Sheet6!$A$2</c:f>
              <c:strCache>
                <c:ptCount val="1"/>
                <c:pt idx="0">
                  <c:v>Control</c:v>
                </c:pt>
              </c:strCache>
            </c:strRef>
          </c:tx>
          <c:spPr>
            <a:solidFill>
              <a:schemeClr val="accent1"/>
            </a:solidFill>
            <a:ln>
              <a:noFill/>
            </a:ln>
            <a:effectLst/>
          </c:spPr>
          <c:cat>
            <c:strRef>
              <c:f>Sheet6!$B$1:$E$1</c:f>
              <c:strCache>
                <c:ptCount val="4"/>
                <c:pt idx="0">
                  <c:v>Catalase</c:v>
                </c:pt>
                <c:pt idx="1">
                  <c:v>SOD</c:v>
                </c:pt>
                <c:pt idx="2">
                  <c:v>MDA</c:v>
                </c:pt>
                <c:pt idx="3">
                  <c:v>GST</c:v>
                </c:pt>
              </c:strCache>
            </c:strRef>
          </c:cat>
          <c:val>
            <c:numRef>
              <c:f>Sheet6!$B$2:$E$2</c:f>
              <c:numCache>
                <c:formatCode>General</c:formatCode>
                <c:ptCount val="4"/>
                <c:pt idx="0">
                  <c:v>8.1999999999999993</c:v>
                </c:pt>
                <c:pt idx="1">
                  <c:v>11.5</c:v>
                </c:pt>
                <c:pt idx="2">
                  <c:v>2.1</c:v>
                </c:pt>
                <c:pt idx="3">
                  <c:v>5.6</c:v>
                </c:pt>
              </c:numCache>
            </c:numRef>
          </c:val>
          <c:extLst xmlns:c16r2="http://schemas.microsoft.com/office/drawing/2015/06/chart">
            <c:ext xmlns:c16="http://schemas.microsoft.com/office/drawing/2014/chart" uri="{C3380CC4-5D6E-409C-BE32-E72D297353CC}">
              <c16:uniqueId val="{00000000-2A07-406D-A421-CA7DBABB632F}"/>
            </c:ext>
          </c:extLst>
        </c:ser>
        <c:ser>
          <c:idx val="1"/>
          <c:order val="1"/>
          <c:tx>
            <c:strRef>
              <c:f>Sheet6!$A$3</c:f>
              <c:strCache>
                <c:ptCount val="1"/>
                <c:pt idx="0">
                  <c:v>Oguta</c:v>
                </c:pt>
              </c:strCache>
            </c:strRef>
          </c:tx>
          <c:spPr>
            <a:solidFill>
              <a:schemeClr val="accent2"/>
            </a:solidFill>
            <a:ln>
              <a:noFill/>
            </a:ln>
            <a:effectLst/>
          </c:spPr>
          <c:cat>
            <c:strRef>
              <c:f>Sheet6!$B$1:$E$1</c:f>
              <c:strCache>
                <c:ptCount val="4"/>
                <c:pt idx="0">
                  <c:v>Catalase</c:v>
                </c:pt>
                <c:pt idx="1">
                  <c:v>SOD</c:v>
                </c:pt>
                <c:pt idx="2">
                  <c:v>MDA</c:v>
                </c:pt>
                <c:pt idx="3">
                  <c:v>GST</c:v>
                </c:pt>
              </c:strCache>
            </c:strRef>
          </c:cat>
          <c:val>
            <c:numRef>
              <c:f>Sheet6!$B$3:$E$3</c:f>
              <c:numCache>
                <c:formatCode>General</c:formatCode>
                <c:ptCount val="4"/>
                <c:pt idx="0">
                  <c:v>5.7</c:v>
                </c:pt>
                <c:pt idx="1">
                  <c:v>7.3</c:v>
                </c:pt>
                <c:pt idx="2">
                  <c:v>3.9</c:v>
                </c:pt>
                <c:pt idx="3">
                  <c:v>4.0999999999999996</c:v>
                </c:pt>
              </c:numCache>
            </c:numRef>
          </c:val>
          <c:extLst xmlns:c16r2="http://schemas.microsoft.com/office/drawing/2015/06/chart">
            <c:ext xmlns:c16="http://schemas.microsoft.com/office/drawing/2014/chart" uri="{C3380CC4-5D6E-409C-BE32-E72D297353CC}">
              <c16:uniqueId val="{00000001-2A07-406D-A421-CA7DBABB632F}"/>
            </c:ext>
          </c:extLst>
        </c:ser>
        <c:ser>
          <c:idx val="2"/>
          <c:order val="2"/>
          <c:tx>
            <c:strRef>
              <c:f>Sheet6!$A$4</c:f>
              <c:strCache>
                <c:ptCount val="1"/>
                <c:pt idx="0">
                  <c:v>Njaba</c:v>
                </c:pt>
              </c:strCache>
            </c:strRef>
          </c:tx>
          <c:spPr>
            <a:solidFill>
              <a:srgbClr val="00B050"/>
            </a:solidFill>
            <a:ln>
              <a:solidFill>
                <a:srgbClr val="00B050"/>
              </a:solidFill>
            </a:ln>
            <a:effectLst/>
          </c:spPr>
          <c:cat>
            <c:strRef>
              <c:f>Sheet6!$B$1:$E$1</c:f>
              <c:strCache>
                <c:ptCount val="4"/>
                <c:pt idx="0">
                  <c:v>Catalase</c:v>
                </c:pt>
                <c:pt idx="1">
                  <c:v>SOD</c:v>
                </c:pt>
                <c:pt idx="2">
                  <c:v>MDA</c:v>
                </c:pt>
                <c:pt idx="3">
                  <c:v>GST</c:v>
                </c:pt>
              </c:strCache>
            </c:strRef>
          </c:cat>
          <c:val>
            <c:numRef>
              <c:f>Sheet6!$B$4:$E$4</c:f>
              <c:numCache>
                <c:formatCode>General</c:formatCode>
                <c:ptCount val="4"/>
                <c:pt idx="0">
                  <c:v>4.9000000000000004</c:v>
                </c:pt>
                <c:pt idx="1">
                  <c:v>6.1</c:v>
                </c:pt>
                <c:pt idx="2">
                  <c:v>4.5</c:v>
                </c:pt>
                <c:pt idx="3">
                  <c:v>3.4</c:v>
                </c:pt>
              </c:numCache>
            </c:numRef>
          </c:val>
          <c:extLst xmlns:c16r2="http://schemas.microsoft.com/office/drawing/2015/06/chart">
            <c:ext xmlns:c16="http://schemas.microsoft.com/office/drawing/2014/chart" uri="{C3380CC4-5D6E-409C-BE32-E72D297353CC}">
              <c16:uniqueId val="{00000002-2A07-406D-A421-CA7DBABB632F}"/>
            </c:ext>
          </c:extLst>
        </c:ser>
        <c:dLbls>
          <c:showLegendKey val="0"/>
          <c:showVal val="0"/>
          <c:showCatName val="0"/>
          <c:showSerName val="0"/>
          <c:showPercent val="0"/>
          <c:showBubbleSize val="0"/>
        </c:dLbls>
        <c:axId val="257523712"/>
        <c:axId val="177182336"/>
      </c:areaChart>
      <c:catAx>
        <c:axId val="257523712"/>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US"/>
                  <a:t>Exposure groups </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177182336"/>
        <c:crosses val="autoZero"/>
        <c:auto val="1"/>
        <c:lblAlgn val="ctr"/>
        <c:lblOffset val="100"/>
        <c:noMultiLvlLbl val="0"/>
      </c:catAx>
      <c:valAx>
        <c:axId val="177182336"/>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US"/>
                  <a:t>Enzyme Activity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25752371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200">
          <a:solidFill>
            <a:schemeClr val="tx1">
              <a:lumMod val="95000"/>
              <a:lumOff val="5000"/>
            </a:schemeClr>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Sheet1!$A$2:$A$7</cx:f>
        <cx:lvl ptCount="6">
          <cx:pt idx="0">B1</cx:pt>
          <cx:pt idx="1">B2</cx:pt>
          <cx:pt idx="2">B3</cx:pt>
          <cx:pt idx="3">B4</cx:pt>
          <cx:pt idx="4">B5</cx:pt>
          <cx:pt idx="5">B6</cx:pt>
        </cx:lvl>
      </cx:strDim>
      <cx:numDim type="val">
        <cx:f>Sheet1!$B$2:$B$7</cx:f>
        <cx:lvl ptCount="6" formatCode="General">
          <cx:pt idx="0">28.399999999999999</cx:pt>
          <cx:pt idx="1">28.199999999999999</cx:pt>
          <cx:pt idx="2">28.600000000000001</cx:pt>
          <cx:pt idx="3">28.100000000000001</cx:pt>
          <cx:pt idx="4">28</cx:pt>
          <cx:pt idx="5">27.899999999999999</cx:pt>
        </cx:lvl>
      </cx:numDim>
    </cx:data>
  </cx:chartData>
  <cx:chart>
    <cx:plotArea>
      <cx:plotAreaRegion>
        <cx:series layoutId="funnel" uniqueId="{F1534F5A-06E5-44B0-82CD-5FC423EB401F}">
          <cx:tx>
            <cx:txData>
              <cx:f>Sheet1!$B$1</cx:f>
              <cx:v>Temp Wet</cx:v>
            </cx:txData>
          </cx:tx>
          <cx:dataLabels>
            <cx:txPr>
              <a:bodyPr vertOverflow="overflow" horzOverflow="overflow" wrap="square" lIns="0" tIns="0" rIns="0" bIns="0"/>
              <a:lstStyle/>
              <a:p>
                <a:pPr algn="ctr" rtl="0">
                  <a:defRPr sz="1200" b="1" i="0">
                    <a:solidFill>
                      <a:schemeClr val="bg1"/>
                    </a:solidFill>
                    <a:latin typeface="Times New Roman" panose="02020603050405020304" pitchFamily="18" charset="0"/>
                    <a:ea typeface="Times New Roman" panose="02020603050405020304" pitchFamily="18" charset="0"/>
                    <a:cs typeface="Times New Roman" panose="02020603050405020304" pitchFamily="18" charset="0"/>
                  </a:defRPr>
                </a:pPr>
                <a:endParaRPr lang="en-US" sz="1200" b="1">
                  <a:solidFill>
                    <a:schemeClr val="bg1"/>
                  </a:solidFill>
                  <a:latin typeface="Times New Roman" panose="02020603050405020304" pitchFamily="18" charset="0"/>
                  <a:cs typeface="Times New Roman" panose="02020603050405020304" pitchFamily="18" charset="0"/>
                </a:endParaRPr>
              </a:p>
            </cx:txPr>
            <cx:visibility seriesName="0" categoryName="0" value="1"/>
          </cx:dataLabels>
          <cx:dataId val="0"/>
        </cx:series>
      </cx:plotAreaRegion>
      <cx:axis id="0">
        <cx:catScaling gapWidth="0.0599999987"/>
        <cx:title>
          <cx:tx>
            <cx:txData>
              <cx:v>Sites</cx:v>
            </cx:txData>
          </cx:tx>
          <cx:txPr>
            <a:bodyPr spcFirstLastPara="1" vertOverflow="ellipsis" horzOverflow="overflow" wrap="square" lIns="0" tIns="0" rIns="0" bIns="0" anchor="ctr" anchorCtr="1"/>
            <a:lstStyle/>
            <a:p>
              <a:pPr algn="ctr" rtl="0">
                <a:defRPr sz="1200">
                  <a:solidFill>
                    <a:schemeClr val="tx1">
                      <a:lumMod val="95000"/>
                      <a:lumOff val="5000"/>
                    </a:schemeClr>
                  </a:solidFill>
                  <a:latin typeface="Times New Roman" panose="02020603050405020304" pitchFamily="18" charset="0"/>
                  <a:ea typeface="Times New Roman" panose="02020603050405020304" pitchFamily="18" charset="0"/>
                  <a:cs typeface="Times New Roman" panose="02020603050405020304" pitchFamily="18" charset="0"/>
                </a:defRPr>
              </a:pPr>
              <a:r>
                <a:rPr lang="en-US" sz="1200" b="0" i="0" u="none" strike="noStrike" baseline="0">
                  <a:solidFill>
                    <a:schemeClr val="tx1">
                      <a:lumMod val="95000"/>
                      <a:lumOff val="5000"/>
                    </a:schemeClr>
                  </a:solidFill>
                  <a:latin typeface="Times New Roman" panose="02020603050405020304" pitchFamily="18" charset="0"/>
                  <a:cs typeface="Times New Roman" panose="02020603050405020304" pitchFamily="18" charset="0"/>
                </a:rPr>
                <a:t>Sites</a:t>
              </a:r>
            </a:p>
          </cx:txPr>
        </cx:title>
        <cx:tickLabels/>
        <cx:txPr>
          <a:bodyPr vertOverflow="overflow" horzOverflow="overflow" wrap="square" lIns="0" tIns="0" rIns="0" bIns="0"/>
          <a:lstStyle/>
          <a:p>
            <a:pPr algn="ctr" rtl="0">
              <a:defRPr sz="1200" b="0" i="0">
                <a:solidFill>
                  <a:schemeClr val="tx1">
                    <a:lumMod val="95000"/>
                    <a:lumOff val="5000"/>
                  </a:schemeClr>
                </a:solidFill>
                <a:latin typeface="Times New Roman" panose="02020603050405020304" pitchFamily="18" charset="0"/>
                <a:ea typeface="Times New Roman" panose="02020603050405020304" pitchFamily="18" charset="0"/>
                <a:cs typeface="Times New Roman" panose="02020603050405020304" pitchFamily="18" charset="0"/>
              </a:defRPr>
            </a:pPr>
            <a:endParaRPr lang="en-US" sz="1200">
              <a:solidFill>
                <a:schemeClr val="tx1">
                  <a:lumMod val="95000"/>
                  <a:lumOff val="5000"/>
                </a:schemeClr>
              </a:solidFill>
              <a:latin typeface="Times New Roman" panose="02020603050405020304" pitchFamily="18" charset="0"/>
              <a:cs typeface="Times New Roman" panose="02020603050405020304" pitchFamily="18" charset="0"/>
            </a:endParaRPr>
          </a:p>
        </cx:txPr>
      </cx:axis>
    </cx:plotArea>
  </cx:chart>
  <cx:spPr>
    <a:noFill/>
    <a:ln>
      <a:noFill/>
    </a:ln>
  </cx:spPr>
</cx:chartSpac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5.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1567</TotalTime>
  <Pages>21</Pages>
  <Words>4784</Words>
  <Characters>27272</Characters>
  <Application>Microsoft Office Word</Application>
  <DocSecurity>0</DocSecurity>
  <Lines>227</Lines>
  <Paragraphs>63</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
      <vt:lpstr>    Nkechi Blessing Chinedu1; Ernest Nwanwunweneonye Orhuebor1;Gospel Effiong Isanga</vt:lpstr>
      <vt:lpstr>Introduction </vt:lpstr>
      <vt:lpstr>Materials and Methods</vt:lpstr>
      <vt:lpstr>Results</vt:lpstr>
      <vt:lpstr>Discussion of Findings</vt:lpstr>
      <vt:lpstr>    Physicochemical Characteristics of Water and Sediment</vt:lpstr>
      <vt:lpstr>    Hydrocarbon Pollution: TPHs and PAHs</vt:lpstr>
      <vt:lpstr>    Heavy Metal Contamination and Pollution Load</vt:lpstr>
      <vt:lpstr>    Ecotoxicological Responses in Test Organisms</vt:lpstr>
      <vt:lpstr>    Oxidative Stress and Biomarker Responses</vt:lpstr>
      <vt:lpstr>    Histopathological Alterations</vt:lpstr>
      <vt:lpstr>    Statistical and Multivariate Analyses</vt:lpstr>
      <vt:lpstr>    Ecological and Human Health Implications</vt:lpstr>
      <vt:lpstr>Conclusion</vt:lpstr>
      <vt:lpstr>    The research study provides strong evidence that the ecological integrity of Ogu</vt:lpstr>
      <vt:lpstr>Recommendation</vt:lpstr>
      <vt:lpstr>It is advisable to implement a multi-tiered environmental management response im</vt:lpstr>
      <vt:lpstr/>
      <vt:lpstr>Authors, contributions: Conceptualisation: Nkechi Chinedu; </vt:lpstr>
      <vt:lpstr>Data curation: Ernest Nwanwunweneonye Orhuebor;  Formal Analysis: Ubong Bernard </vt:lpstr>
      <vt:lpstr>Project administration: Gospel Effiong Isangadighi Resources: Yaqub Rasheed, Eka</vt:lpstr>
      <vt:lpstr/>
    </vt:vector>
  </TitlesOfParts>
  <Company/>
  <LinksUpToDate>false</LinksUpToDate>
  <CharactersWithSpaces>31993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JessieGie Team 1</dc:creator>
  <cp:keywords/>
  <dc:description/>
  <cp:lastModifiedBy>qwert</cp:lastModifiedBy>
  <cp:revision>40</cp:revision>
  <dcterms:created xsi:type="dcterms:W3CDTF">2025-07-25T05:38:00Z</dcterms:created>
  <dcterms:modified xsi:type="dcterms:W3CDTF">2026-03-27T08:30:00Z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4fe26443-3c6b-473f-9830-331fe9e07af0</vt:lpwstr>
  </property>
</Properties>
</file>