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13" w:rsidRDefault="002A1B8C">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Key Factors Shaping Digital Marketing Strategies for MSMEs: A Study</w:t>
      </w:r>
      <w:r>
        <w:rPr>
          <w:rFonts w:ascii="Times New Roman" w:eastAsia="Times New Roman" w:hAnsi="Times New Roman" w:cs="Times New Roman"/>
          <w:b/>
          <w:sz w:val="24"/>
        </w:rPr>
        <w:br/>
      </w:r>
    </w:p>
    <w:p w:rsidR="00D36013" w:rsidRDefault="002A1B8C">
      <w:pPr>
        <w:spacing w:after="160" w:line="259" w:lineRule="auto"/>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Abstract:</w:t>
      </w:r>
    </w:p>
    <w:p w:rsidR="00D36013" w:rsidRDefault="002A1B8C">
      <w:pPr>
        <w:spacing w:after="16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MSMEs have played a significant role in India’s economic growth, but there are many factors, both internal and external, which impact their ability to effectively utilize digital marketin</w:t>
      </w:r>
      <w:r>
        <w:rPr>
          <w:rFonts w:ascii="Times New Roman" w:eastAsia="Times New Roman" w:hAnsi="Times New Roman" w:cs="Times New Roman"/>
          <w:sz w:val="24"/>
        </w:rPr>
        <w:t>g. This study aims to explore the main factors affecting MSMEs, especially in Mysore district’s digital marketing strategy, taking into account the updated MSME classification framework of 2025, etc. Quantitative study methodology is used, where structured</w:t>
      </w:r>
      <w:r>
        <w:rPr>
          <w:rFonts w:ascii="Times New Roman" w:eastAsia="Times New Roman" w:hAnsi="Times New Roman" w:cs="Times New Roman"/>
          <w:sz w:val="24"/>
        </w:rPr>
        <w:t xml:space="preserve"> questionnaires were employed to collect primary data, while techniques such as Principal Component Analysis (PCA) and ANOVA were employed.</w:t>
      </w:r>
      <w:r>
        <w:rPr>
          <w:rFonts w:ascii="Times New Roman" w:eastAsia="Times New Roman" w:hAnsi="Times New Roman" w:cs="Times New Roman"/>
          <w:sz w:val="24"/>
        </w:rPr>
        <w:br/>
        <w:t>The results indicate that marketing resources and support, consumer-centric innovation, digital vs. traditional orie</w:t>
      </w:r>
      <w:r>
        <w:rPr>
          <w:rFonts w:ascii="Times New Roman" w:eastAsia="Times New Roman" w:hAnsi="Times New Roman" w:cs="Times New Roman"/>
          <w:sz w:val="24"/>
        </w:rPr>
        <w:t>ntation, and post-pandemic effects are the four major factors that influence digital marketing tactics. These variables, when combined, explain a substantial amount of variance in the strategic behavior of MSMEs. The findings of the study also indicate tha</w:t>
      </w:r>
      <w:r>
        <w:rPr>
          <w:rFonts w:ascii="Times New Roman" w:eastAsia="Times New Roman" w:hAnsi="Times New Roman" w:cs="Times New Roman"/>
          <w:sz w:val="24"/>
        </w:rPr>
        <w:t>t, unlike digital adoption, consumer behavior is of extremely low influence, but financial resources, government regulations, and post-pandemic effects are of great importance. No statistically significant differences in the characteristics of MSMEs across</w:t>
      </w:r>
      <w:r>
        <w:rPr>
          <w:rFonts w:ascii="Times New Roman" w:eastAsia="Times New Roman" w:hAnsi="Times New Roman" w:cs="Times New Roman"/>
          <w:sz w:val="24"/>
        </w:rPr>
        <w:t xml:space="preserve"> manufacturing, service, and trading sectors exist, as confirmed by the results of the ANOVA test.</w:t>
      </w:r>
      <w:r>
        <w:rPr>
          <w:rFonts w:ascii="Times New Roman" w:eastAsia="Times New Roman" w:hAnsi="Times New Roman" w:cs="Times New Roman"/>
          <w:sz w:val="24"/>
        </w:rPr>
        <w:br/>
        <w:t>The study concludes that the improvement of digital awareness, the expansion of the reach of government support programs, and the strengthening of organizati</w:t>
      </w:r>
      <w:r>
        <w:rPr>
          <w:rFonts w:ascii="Times New Roman" w:eastAsia="Times New Roman" w:hAnsi="Times New Roman" w:cs="Times New Roman"/>
          <w:sz w:val="24"/>
        </w:rPr>
        <w:t>onal capacities are vital for the enhancement of the competitiveness of MSMEs. It highlights the importance of the development of inclusive digital policies and capacity-building programs for the effective and sustainable development of MSMEs.</w:t>
      </w:r>
    </w:p>
    <w:p w:rsidR="00D36013" w:rsidRDefault="00D36013">
      <w:pPr>
        <w:spacing w:after="160" w:line="259" w:lineRule="auto"/>
        <w:rPr>
          <w:rFonts w:ascii="Times New Roman" w:eastAsia="Times New Roman" w:hAnsi="Times New Roman" w:cs="Times New Roman"/>
          <w:b/>
          <w:sz w:val="24"/>
        </w:rPr>
      </w:pPr>
    </w:p>
    <w:p w:rsidR="00D36013" w:rsidRDefault="002A1B8C">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Introductio</w:t>
      </w:r>
      <w:r>
        <w:rPr>
          <w:rFonts w:ascii="Times New Roman" w:eastAsia="Times New Roman" w:hAnsi="Times New Roman" w:cs="Times New Roman"/>
          <w:b/>
          <w:sz w:val="24"/>
        </w:rPr>
        <w:t>n</w:t>
      </w:r>
    </w:p>
    <w:p w:rsidR="00D36013" w:rsidRDefault="002A1B8C">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Micro, Small, and Medium Enterprises (MSMEs) play a vital role in India’s economic development by contributing significantly to GDP, employment generation, and exports. As of 2025, India hosts over 63 million MSMEs, covering sectors such as manufacturing</w:t>
      </w:r>
      <w:r>
        <w:rPr>
          <w:rFonts w:ascii="Times New Roman" w:eastAsia="Times New Roman" w:hAnsi="Times New Roman" w:cs="Times New Roman"/>
          <w:sz w:val="24"/>
        </w:rPr>
        <w:t>, services, and trade. With rapid technological evolution and digital transformation, digital marketing has emerged as a crucial tool for MSMEs to remain competitive, reach wider markets, and improve customer engagement. However, the adoption of digital ma</w:t>
      </w:r>
      <w:r>
        <w:rPr>
          <w:rFonts w:ascii="Times New Roman" w:eastAsia="Times New Roman" w:hAnsi="Times New Roman" w:cs="Times New Roman"/>
          <w:sz w:val="24"/>
        </w:rPr>
        <w:t xml:space="preserve">rketing </w:t>
      </w:r>
      <w:r>
        <w:rPr>
          <w:rFonts w:ascii="Times New Roman" w:eastAsia="Times New Roman" w:hAnsi="Times New Roman" w:cs="Times New Roman"/>
          <w:sz w:val="24"/>
        </w:rPr>
        <w:lastRenderedPageBreak/>
        <w:t>strategies among these enterprises is influenced by various factors including financial resources, digital infrastructure, government support, and organizational capabilities.</w:t>
      </w:r>
    </w:p>
    <w:p w:rsidR="00D36013" w:rsidRDefault="002A1B8C">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To better support their growth and competitiveness, the Government of In</w:t>
      </w:r>
      <w:r>
        <w:rPr>
          <w:rFonts w:ascii="Times New Roman" w:eastAsia="Times New Roman" w:hAnsi="Times New Roman" w:cs="Times New Roman"/>
          <w:sz w:val="24"/>
        </w:rPr>
        <w:t xml:space="preserve">dia revised the definition of MSMEs in April 2025. Under the new classification, </w:t>
      </w:r>
      <w:r>
        <w:rPr>
          <w:rFonts w:ascii="Times New Roman" w:eastAsia="Times New Roman" w:hAnsi="Times New Roman" w:cs="Times New Roman"/>
          <w:b/>
          <w:sz w:val="24"/>
        </w:rPr>
        <w:t>Micro Enterprises</w:t>
      </w:r>
      <w:r>
        <w:rPr>
          <w:rFonts w:ascii="Times New Roman" w:eastAsia="Times New Roman" w:hAnsi="Times New Roman" w:cs="Times New Roman"/>
          <w:sz w:val="24"/>
        </w:rPr>
        <w:t xml:space="preserve"> are those with investment up to ₹2.5 crore and turnover up to ₹10 crore; </w:t>
      </w:r>
      <w:r>
        <w:rPr>
          <w:rFonts w:ascii="Times New Roman" w:eastAsia="Times New Roman" w:hAnsi="Times New Roman" w:cs="Times New Roman"/>
          <w:b/>
          <w:sz w:val="24"/>
        </w:rPr>
        <w:t>Small Enterprises</w:t>
      </w:r>
      <w:r>
        <w:rPr>
          <w:rFonts w:ascii="Times New Roman" w:eastAsia="Times New Roman" w:hAnsi="Times New Roman" w:cs="Times New Roman"/>
          <w:sz w:val="24"/>
        </w:rPr>
        <w:t xml:space="preserve"> have investment up to ₹25 crore and turnover up to ₹100 crore; and</w:t>
      </w:r>
      <w:r>
        <w:rPr>
          <w:rFonts w:ascii="Times New Roman" w:eastAsia="Times New Roman" w:hAnsi="Times New Roman" w:cs="Times New Roman"/>
          <w:sz w:val="24"/>
        </w:rPr>
        <w:t xml:space="preserve"> </w:t>
      </w:r>
      <w:r>
        <w:rPr>
          <w:rFonts w:ascii="Times New Roman" w:eastAsia="Times New Roman" w:hAnsi="Times New Roman" w:cs="Times New Roman"/>
          <w:b/>
          <w:sz w:val="24"/>
        </w:rPr>
        <w:t>Medium Enterprises</w:t>
      </w:r>
      <w:r>
        <w:rPr>
          <w:rFonts w:ascii="Times New Roman" w:eastAsia="Times New Roman" w:hAnsi="Times New Roman" w:cs="Times New Roman"/>
          <w:sz w:val="24"/>
        </w:rPr>
        <w:t xml:space="preserve"> include those with investment up to ₹125 crore and turnover up to ₹500 crore. This change reflects inflationary adjustments and expands eligibility for MSME benefits, encouraging more enterprises to scale up without losing support.</w:t>
      </w:r>
    </w:p>
    <w:p w:rsidR="00D36013" w:rsidRDefault="002A1B8C">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Unde</w:t>
      </w:r>
      <w:r>
        <w:rPr>
          <w:rFonts w:ascii="Times New Roman" w:eastAsia="Times New Roman" w:hAnsi="Times New Roman" w:cs="Times New Roman"/>
          <w:sz w:val="24"/>
        </w:rPr>
        <w:t>rstanding the revised MSME framework is essential, as it influences eligibility for digital initiatives and government schemes. This research aims to identify and analyze the key factors affecting the adoption and effectiveness of digital marketing strateg</w:t>
      </w:r>
      <w:r>
        <w:rPr>
          <w:rFonts w:ascii="Times New Roman" w:eastAsia="Times New Roman" w:hAnsi="Times New Roman" w:cs="Times New Roman"/>
          <w:sz w:val="24"/>
        </w:rPr>
        <w:t>ies among MSMEs, particularly in light of their reclassification and evolving business environment.</w:t>
      </w:r>
    </w:p>
    <w:p w:rsidR="00D36013" w:rsidRDefault="00D36013">
      <w:pPr>
        <w:spacing w:after="160" w:line="259" w:lineRule="auto"/>
        <w:rPr>
          <w:rFonts w:ascii="Times New Roman" w:eastAsia="Times New Roman" w:hAnsi="Times New Roman" w:cs="Times New Roman"/>
          <w:sz w:val="24"/>
        </w:rPr>
      </w:pPr>
    </w:p>
    <w:p w:rsidR="00D36013" w:rsidRDefault="00D36013">
      <w:pPr>
        <w:spacing w:after="160" w:line="259" w:lineRule="auto"/>
        <w:jc w:val="both"/>
        <w:rPr>
          <w:rFonts w:ascii="Times New Roman" w:eastAsia="Times New Roman" w:hAnsi="Times New Roman" w:cs="Times New Roman"/>
          <w:b/>
          <w:sz w:val="24"/>
        </w:rPr>
      </w:pPr>
    </w:p>
    <w:p w:rsidR="00D36013" w:rsidRDefault="00D36013">
      <w:pPr>
        <w:spacing w:after="160" w:line="259" w:lineRule="auto"/>
        <w:jc w:val="both"/>
        <w:rPr>
          <w:rFonts w:ascii="Times New Roman" w:eastAsia="Times New Roman" w:hAnsi="Times New Roman" w:cs="Times New Roman"/>
          <w:b/>
          <w:sz w:val="24"/>
        </w:rPr>
      </w:pPr>
    </w:p>
    <w:p w:rsidR="00D36013" w:rsidRDefault="00D36013">
      <w:pPr>
        <w:spacing w:after="160" w:line="259" w:lineRule="auto"/>
        <w:jc w:val="both"/>
        <w:rPr>
          <w:rFonts w:ascii="Times New Roman" w:eastAsia="Times New Roman" w:hAnsi="Times New Roman" w:cs="Times New Roman"/>
          <w:b/>
          <w:sz w:val="24"/>
        </w:rPr>
      </w:pPr>
    </w:p>
    <w:p w:rsidR="00D36013" w:rsidRDefault="00D36013">
      <w:pPr>
        <w:spacing w:after="160" w:line="259" w:lineRule="auto"/>
        <w:jc w:val="both"/>
        <w:rPr>
          <w:rFonts w:ascii="Times New Roman" w:eastAsia="Times New Roman" w:hAnsi="Times New Roman" w:cs="Times New Roman"/>
          <w:b/>
          <w:sz w:val="24"/>
        </w:rPr>
      </w:pPr>
    </w:p>
    <w:p w:rsidR="00D36013" w:rsidRDefault="00D36013">
      <w:pPr>
        <w:spacing w:after="160" w:line="259" w:lineRule="auto"/>
        <w:jc w:val="both"/>
        <w:rPr>
          <w:rFonts w:ascii="Times New Roman" w:eastAsia="Times New Roman" w:hAnsi="Times New Roman" w:cs="Times New Roman"/>
          <w:b/>
          <w:sz w:val="24"/>
        </w:rPr>
      </w:pPr>
    </w:p>
    <w:p w:rsidR="00D36013" w:rsidRDefault="00D36013">
      <w:pPr>
        <w:spacing w:after="160" w:line="259" w:lineRule="auto"/>
        <w:jc w:val="both"/>
        <w:rPr>
          <w:rFonts w:ascii="Times New Roman" w:eastAsia="Times New Roman" w:hAnsi="Times New Roman" w:cs="Times New Roman"/>
          <w:b/>
          <w:sz w:val="24"/>
        </w:rPr>
      </w:pPr>
    </w:p>
    <w:p w:rsidR="00D36013" w:rsidRDefault="00D36013">
      <w:pPr>
        <w:spacing w:after="160" w:line="259" w:lineRule="auto"/>
        <w:jc w:val="both"/>
        <w:rPr>
          <w:rFonts w:ascii="Times New Roman" w:eastAsia="Times New Roman" w:hAnsi="Times New Roman" w:cs="Times New Roman"/>
          <w:b/>
          <w:sz w:val="24"/>
        </w:rPr>
      </w:pPr>
    </w:p>
    <w:p w:rsidR="00D36013" w:rsidRDefault="002A1B8C">
      <w:pPr>
        <w:spacing w:after="16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literature review:</w:t>
      </w:r>
    </w:p>
    <w:p w:rsidR="00D36013" w:rsidRDefault="002A1B8C">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b/>
          <w:sz w:val="24"/>
        </w:rPr>
        <w:t>Setiawan et al. (2024)</w:t>
      </w:r>
      <w:r>
        <w:rPr>
          <w:rFonts w:ascii="Times New Roman" w:eastAsia="Times New Roman" w:hAnsi="Times New Roman" w:cs="Times New Roman"/>
          <w:sz w:val="24"/>
        </w:rPr>
        <w:t xml:space="preserve"> conducted a systematic literature review of 2020–2024 studies on MSME digital marketing They identified th</w:t>
      </w:r>
      <w:r>
        <w:rPr>
          <w:rFonts w:ascii="Times New Roman" w:eastAsia="Times New Roman" w:hAnsi="Times New Roman" w:cs="Times New Roman"/>
          <w:sz w:val="24"/>
        </w:rPr>
        <w:t>emes like the role of social media and digital advertising in boosting MSMEs’ competitive performance. The review highlights persistent adoption challenges and calls for policy support, financial aid, and training to facilitate MSMEs’ digital marketing tra</w:t>
      </w:r>
      <w:r>
        <w:rPr>
          <w:rFonts w:ascii="Times New Roman" w:eastAsia="Times New Roman" w:hAnsi="Times New Roman" w:cs="Times New Roman"/>
          <w:sz w:val="24"/>
        </w:rPr>
        <w:t>nsformation</w:t>
      </w:r>
    </w:p>
    <w:p w:rsidR="00D36013" w:rsidRDefault="002A1B8C">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b/>
          <w:sz w:val="24"/>
        </w:rPr>
        <w:t>Bermeo-Giraldo et al. (2022)</w:t>
      </w:r>
      <w:r>
        <w:rPr>
          <w:rFonts w:ascii="Times New Roman" w:eastAsia="Times New Roman" w:hAnsi="Times New Roman" w:cs="Times New Roman"/>
          <w:sz w:val="24"/>
        </w:rPr>
        <w:t xml:space="preserve"> studied 120 SMEs in Medellín, Colombia, to uncover factors influencing digital marketing usage during the COVID-19 pandemic Using exploratory and confirmatory factor analyses, they identified five key factors (spann</w:t>
      </w:r>
      <w:r>
        <w:rPr>
          <w:rFonts w:ascii="Times New Roman" w:eastAsia="Times New Roman" w:hAnsi="Times New Roman" w:cs="Times New Roman"/>
          <w:sz w:val="24"/>
        </w:rPr>
        <w:t>ing technological and organizational domains) that drove SMEs’ adoption of digital tools. The findings show that social media and online channels helped SMEs sustain customer engagement during lockdowns, highlighting digital marketing’s value in crisis con</w:t>
      </w:r>
      <w:r>
        <w:rPr>
          <w:rFonts w:ascii="Times New Roman" w:eastAsia="Times New Roman" w:hAnsi="Times New Roman" w:cs="Times New Roman"/>
          <w:sz w:val="24"/>
        </w:rPr>
        <w:t>ditions</w:t>
      </w:r>
    </w:p>
    <w:p w:rsidR="00D36013" w:rsidRDefault="002A1B8C">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Sharabati et al. (2024)</w:t>
      </w:r>
      <w:r>
        <w:rPr>
          <w:rFonts w:ascii="Times New Roman" w:eastAsia="Times New Roman" w:hAnsi="Times New Roman" w:cs="Times New Roman"/>
          <w:sz w:val="24"/>
        </w:rPr>
        <w:t xml:space="preserve"> surveyed 190 SMEs to examine how digital marketing strategies (e.g. social media, SEO, online ads) affect firm performance Using the Technology Acceptance Model as a framework, they found that adopting digital marketing sign</w:t>
      </w:r>
      <w:r>
        <w:rPr>
          <w:rFonts w:ascii="Times New Roman" w:eastAsia="Times New Roman" w:hAnsi="Times New Roman" w:cs="Times New Roman"/>
          <w:sz w:val="24"/>
        </w:rPr>
        <w:t>ificantly enhances SMEs’ performance and accelerates digital transformation Engaging customers via digital channels was shown to expand market reach and strengthen competitiveness, underscoring digital marketing as critical for SME growth</w:t>
      </w:r>
    </w:p>
    <w:p w:rsidR="00D36013" w:rsidRDefault="002A1B8C">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b/>
          <w:sz w:val="24"/>
        </w:rPr>
        <w:t>Gutiérrez Navas e</w:t>
      </w:r>
      <w:r>
        <w:rPr>
          <w:rFonts w:ascii="Times New Roman" w:eastAsia="Times New Roman" w:hAnsi="Times New Roman" w:cs="Times New Roman"/>
          <w:b/>
          <w:sz w:val="24"/>
        </w:rPr>
        <w:t>t al. (2025)</w:t>
      </w:r>
      <w:r>
        <w:rPr>
          <w:rFonts w:ascii="Times New Roman" w:eastAsia="Times New Roman" w:hAnsi="Times New Roman" w:cs="Times New Roman"/>
          <w:sz w:val="24"/>
        </w:rPr>
        <w:t xml:space="preserve"> analysed a large-scale sample of nearly 15,000 MSMEs across Ibero-America Through a PLS-SEM approach, they determined that extensive digital skills training and strong digital leadership are vital drivers of higher-level digital marketing adop</w:t>
      </w:r>
      <w:r>
        <w:rPr>
          <w:rFonts w:ascii="Times New Roman" w:eastAsia="Times New Roman" w:hAnsi="Times New Roman" w:cs="Times New Roman"/>
          <w:sz w:val="24"/>
        </w:rPr>
        <w:t>tion and overall digitization in MSMEs. Notably, they found that technology, financial, human resource, and cultural barriers impede basic digital adoption, but these barriers diminish as firms achieve more advanced digital maturity</w:t>
      </w:r>
    </w:p>
    <w:p w:rsidR="00D36013" w:rsidRDefault="00D36013">
      <w:pPr>
        <w:spacing w:after="160" w:line="259" w:lineRule="auto"/>
        <w:jc w:val="both"/>
        <w:rPr>
          <w:rFonts w:ascii="Times New Roman" w:eastAsia="Times New Roman" w:hAnsi="Times New Roman" w:cs="Times New Roman"/>
          <w:b/>
          <w:sz w:val="24"/>
        </w:rPr>
      </w:pPr>
    </w:p>
    <w:p w:rsidR="00D36013" w:rsidRDefault="00D36013">
      <w:pPr>
        <w:spacing w:after="160" w:line="259" w:lineRule="auto"/>
        <w:jc w:val="both"/>
        <w:rPr>
          <w:rFonts w:ascii="Times New Roman" w:eastAsia="Times New Roman" w:hAnsi="Times New Roman" w:cs="Times New Roman"/>
          <w:b/>
          <w:sz w:val="24"/>
        </w:rPr>
      </w:pPr>
    </w:p>
    <w:p w:rsidR="00D36013" w:rsidRDefault="00D36013">
      <w:pPr>
        <w:spacing w:after="160" w:line="259" w:lineRule="auto"/>
        <w:jc w:val="both"/>
        <w:rPr>
          <w:rFonts w:ascii="Times New Roman" w:eastAsia="Times New Roman" w:hAnsi="Times New Roman" w:cs="Times New Roman"/>
          <w:b/>
          <w:sz w:val="24"/>
        </w:rPr>
      </w:pPr>
    </w:p>
    <w:p w:rsidR="00D36013" w:rsidRDefault="002A1B8C">
      <w:pPr>
        <w:spacing w:after="16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Meaning and Classifi</w:t>
      </w:r>
      <w:r>
        <w:rPr>
          <w:rFonts w:ascii="Times New Roman" w:eastAsia="Times New Roman" w:hAnsi="Times New Roman" w:cs="Times New Roman"/>
          <w:b/>
          <w:sz w:val="24"/>
        </w:rPr>
        <w:t>cation of MSMEs in India</w:t>
      </w:r>
    </w:p>
    <w:p w:rsidR="00D36013" w:rsidRDefault="002A1B8C">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MSMEs in India are classified based on their </w:t>
      </w:r>
      <w:r>
        <w:rPr>
          <w:rFonts w:ascii="Times New Roman" w:eastAsia="Times New Roman" w:hAnsi="Times New Roman" w:cs="Times New Roman"/>
          <w:b/>
          <w:sz w:val="24"/>
        </w:rPr>
        <w:t>investment in plant and machinery/equipment</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annual turnover</w:t>
      </w:r>
      <w:r>
        <w:rPr>
          <w:rFonts w:ascii="Times New Roman" w:eastAsia="Times New Roman" w:hAnsi="Times New Roman" w:cs="Times New Roman"/>
          <w:sz w:val="24"/>
        </w:rPr>
        <w:t xml:space="preserve">. The definition was revised in </w:t>
      </w:r>
      <w:r>
        <w:rPr>
          <w:rFonts w:ascii="Times New Roman" w:eastAsia="Times New Roman" w:hAnsi="Times New Roman" w:cs="Times New Roman"/>
          <w:b/>
          <w:sz w:val="24"/>
        </w:rPr>
        <w:t>June 2020</w:t>
      </w:r>
      <w:r>
        <w:rPr>
          <w:rFonts w:ascii="Times New Roman" w:eastAsia="Times New Roman" w:hAnsi="Times New Roman" w:cs="Times New Roman"/>
          <w:sz w:val="24"/>
        </w:rPr>
        <w:t xml:space="preserve"> under the Aatmanirbhar Bharat Abhiyan to expand coverage and promote growth.</w:t>
      </w:r>
    </w:p>
    <w:p w:rsidR="00D36013" w:rsidRDefault="00D36013">
      <w:pPr>
        <w:spacing w:after="160" w:line="259" w:lineRule="auto"/>
        <w:jc w:val="both"/>
        <w:rPr>
          <w:rFonts w:ascii="Times New Roman" w:eastAsia="Times New Roman" w:hAnsi="Times New Roman" w:cs="Times New Roman"/>
          <w:sz w:val="24"/>
        </w:rPr>
      </w:pPr>
    </w:p>
    <w:p w:rsidR="00D36013" w:rsidRDefault="002A1B8C">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Table: Comparison of Old and New Definitions of MSMEs in India</w:t>
      </w:r>
    </w:p>
    <w:tbl>
      <w:tblPr>
        <w:tblW w:w="0" w:type="auto"/>
        <w:tblInd w:w="98" w:type="dxa"/>
        <w:tblCellMar>
          <w:left w:w="10" w:type="dxa"/>
          <w:right w:w="10" w:type="dxa"/>
        </w:tblCellMar>
        <w:tblLook w:val="04A0" w:firstRow="1" w:lastRow="0" w:firstColumn="1" w:lastColumn="0" w:noHBand="0" w:noVBand="1"/>
      </w:tblPr>
      <w:tblGrid>
        <w:gridCol w:w="1163"/>
        <w:gridCol w:w="3449"/>
        <w:gridCol w:w="4404"/>
      </w:tblGrid>
      <w:tr w:rsidR="00D36013">
        <w:tblPrEx>
          <w:tblCellMar>
            <w:top w:w="0" w:type="dxa"/>
            <w:bottom w:w="0" w:type="dxa"/>
          </w:tblCellMar>
        </w:tblPrEx>
        <w:trPr>
          <w:trHeight w:val="1"/>
        </w:trPr>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Category</w:t>
            </w:r>
          </w:p>
        </w:tc>
        <w:tc>
          <w:tcPr>
            <w:tcW w:w="3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Old Definition (Before June 2020)</w:t>
            </w:r>
          </w:p>
        </w:tc>
        <w:tc>
          <w:tcPr>
            <w:tcW w:w="4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New Definition (After June 2020)</w:t>
            </w:r>
          </w:p>
        </w:tc>
      </w:tr>
      <w:tr w:rsidR="00D36013">
        <w:tblPrEx>
          <w:tblCellMar>
            <w:top w:w="0" w:type="dxa"/>
            <w:bottom w:w="0" w:type="dxa"/>
          </w:tblCellMar>
        </w:tblPrEx>
        <w:trPr>
          <w:trHeight w:val="1"/>
        </w:trPr>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D36013">
            <w:pPr>
              <w:spacing w:after="160" w:line="259" w:lineRule="auto"/>
              <w:rPr>
                <w:rFonts w:ascii="Calibri" w:eastAsia="Calibri" w:hAnsi="Calibri" w:cs="Calibri"/>
              </w:rPr>
            </w:pPr>
          </w:p>
        </w:tc>
        <w:tc>
          <w:tcPr>
            <w:tcW w:w="3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i/>
                <w:sz w:val="24"/>
              </w:rPr>
              <w:t>Manufacturing Sector</w:t>
            </w:r>
          </w:p>
        </w:tc>
        <w:tc>
          <w:tcPr>
            <w:tcW w:w="4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i/>
                <w:sz w:val="24"/>
              </w:rPr>
              <w:t>All Sectors (Manufacturing + Services)</w:t>
            </w:r>
          </w:p>
        </w:tc>
      </w:tr>
      <w:tr w:rsidR="00D36013">
        <w:tblPrEx>
          <w:tblCellMar>
            <w:top w:w="0" w:type="dxa"/>
            <w:bottom w:w="0" w:type="dxa"/>
          </w:tblCellMar>
        </w:tblPrEx>
        <w:trPr>
          <w:trHeight w:val="1"/>
        </w:trPr>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Micro</w:t>
            </w:r>
          </w:p>
        </w:tc>
        <w:tc>
          <w:tcPr>
            <w:tcW w:w="3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Gungsuh" w:eastAsia="Gungsuh" w:hAnsi="Gungsuh" w:cs="Gungsuh"/>
                <w:sz w:val="24"/>
              </w:rPr>
              <w:t xml:space="preserve">Investment </w:t>
            </w:r>
            <w:r>
              <w:rPr>
                <w:rFonts w:ascii="Cambria Math" w:eastAsia="Cambria Math" w:hAnsi="Cambria Math" w:cs="Cambria Math"/>
                <w:sz w:val="24"/>
              </w:rPr>
              <w:t>≤</w:t>
            </w:r>
            <w:r>
              <w:rPr>
                <w:rFonts w:ascii="Gungsuh" w:eastAsia="Gungsuh" w:hAnsi="Gungsuh" w:cs="Gungsuh"/>
                <w:sz w:val="24"/>
              </w:rPr>
              <w:t xml:space="preserve"> </w:t>
            </w:r>
            <w:r>
              <w:rPr>
                <w:rFonts w:ascii="Calibri" w:eastAsia="Calibri" w:hAnsi="Calibri" w:cs="Calibri"/>
                <w:sz w:val="24"/>
              </w:rPr>
              <w:t>₹</w:t>
            </w:r>
            <w:r>
              <w:rPr>
                <w:rFonts w:ascii="Calibri" w:eastAsia="Calibri" w:hAnsi="Calibri" w:cs="Calibri"/>
                <w:sz w:val="24"/>
              </w:rPr>
              <w:t>25 lakh</w:t>
            </w:r>
          </w:p>
        </w:tc>
        <w:tc>
          <w:tcPr>
            <w:tcW w:w="4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Gungsuh" w:eastAsia="Gungsuh" w:hAnsi="Gungsuh" w:cs="Gungsuh"/>
                <w:sz w:val="24"/>
              </w:rPr>
              <w:t xml:space="preserve">Investment </w:t>
            </w:r>
            <w:r>
              <w:rPr>
                <w:rFonts w:ascii="Cambria Math" w:eastAsia="Cambria Math" w:hAnsi="Cambria Math" w:cs="Cambria Math"/>
                <w:sz w:val="24"/>
              </w:rPr>
              <w:t>≤</w:t>
            </w:r>
            <w:r>
              <w:rPr>
                <w:rFonts w:ascii="Gungsuh" w:eastAsia="Gungsuh" w:hAnsi="Gungsuh" w:cs="Gungsuh"/>
                <w:sz w:val="24"/>
              </w:rPr>
              <w:t xml:space="preserve"> </w:t>
            </w:r>
            <w:r>
              <w:rPr>
                <w:rFonts w:ascii="Calibri" w:eastAsia="Calibri" w:hAnsi="Calibri" w:cs="Calibri"/>
                <w:sz w:val="24"/>
              </w:rPr>
              <w:t>₹</w:t>
            </w:r>
            <w:r>
              <w:rPr>
                <w:rFonts w:ascii="Calibri" w:eastAsia="Calibri" w:hAnsi="Calibri" w:cs="Calibri"/>
                <w:sz w:val="24"/>
              </w:rPr>
              <w:t xml:space="preserve">1 crore and Turnover </w:t>
            </w:r>
            <w:r>
              <w:rPr>
                <w:rFonts w:ascii="Cambria Math" w:eastAsia="Cambria Math" w:hAnsi="Cambria Math" w:cs="Cambria Math"/>
                <w:sz w:val="24"/>
              </w:rPr>
              <w:t>≤</w:t>
            </w:r>
            <w:r>
              <w:rPr>
                <w:rFonts w:ascii="Gungsuh" w:eastAsia="Gungsuh" w:hAnsi="Gungsuh" w:cs="Gungsuh"/>
                <w:sz w:val="24"/>
              </w:rPr>
              <w:t xml:space="preserve"> </w:t>
            </w:r>
            <w:r>
              <w:rPr>
                <w:rFonts w:ascii="Calibri" w:eastAsia="Calibri" w:hAnsi="Calibri" w:cs="Calibri"/>
                <w:sz w:val="24"/>
              </w:rPr>
              <w:t>₹</w:t>
            </w:r>
            <w:r>
              <w:rPr>
                <w:rFonts w:ascii="Calibri" w:eastAsia="Calibri" w:hAnsi="Calibri" w:cs="Calibri"/>
                <w:sz w:val="24"/>
              </w:rPr>
              <w:t>5 crore</w:t>
            </w:r>
          </w:p>
        </w:tc>
      </w:tr>
      <w:tr w:rsidR="00D36013">
        <w:tblPrEx>
          <w:tblCellMar>
            <w:top w:w="0" w:type="dxa"/>
            <w:bottom w:w="0" w:type="dxa"/>
          </w:tblCellMar>
        </w:tblPrEx>
        <w:trPr>
          <w:trHeight w:val="1"/>
        </w:trPr>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Small</w:t>
            </w:r>
          </w:p>
        </w:tc>
        <w:tc>
          <w:tcPr>
            <w:tcW w:w="3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Cardo" w:eastAsia="Cardo" w:hAnsi="Cardo" w:cs="Cardo"/>
                <w:sz w:val="24"/>
              </w:rPr>
              <w:t xml:space="preserve">Investment &gt; </w:t>
            </w:r>
            <w:r>
              <w:rPr>
                <w:rFonts w:ascii="Arial" w:eastAsia="Arial" w:hAnsi="Arial" w:cs="Arial"/>
                <w:sz w:val="24"/>
              </w:rPr>
              <w:t>₹</w:t>
            </w:r>
            <w:r>
              <w:rPr>
                <w:rFonts w:ascii="Cardo" w:eastAsia="Cardo" w:hAnsi="Cardo" w:cs="Cardo"/>
                <w:sz w:val="24"/>
              </w:rPr>
              <w:t xml:space="preserve">25 lakh and </w:t>
            </w:r>
            <w:r>
              <w:rPr>
                <w:rFonts w:ascii="Cambria Math" w:eastAsia="Cambria Math" w:hAnsi="Cambria Math" w:cs="Cambria Math"/>
                <w:sz w:val="24"/>
              </w:rPr>
              <w:t>≤</w:t>
            </w:r>
            <w:r>
              <w:rPr>
                <w:rFonts w:ascii="Cardo" w:eastAsia="Cardo" w:hAnsi="Cardo" w:cs="Cardo"/>
                <w:sz w:val="24"/>
              </w:rPr>
              <w:t xml:space="preserve"> </w:t>
            </w:r>
            <w:r>
              <w:rPr>
                <w:rFonts w:ascii="Calibri" w:eastAsia="Calibri" w:hAnsi="Calibri" w:cs="Calibri"/>
                <w:sz w:val="24"/>
              </w:rPr>
              <w:t>₹</w:t>
            </w:r>
            <w:r>
              <w:rPr>
                <w:rFonts w:ascii="Calibri" w:eastAsia="Calibri" w:hAnsi="Calibri" w:cs="Calibri"/>
                <w:sz w:val="24"/>
              </w:rPr>
              <w:t>5 crore</w:t>
            </w:r>
          </w:p>
        </w:tc>
        <w:tc>
          <w:tcPr>
            <w:tcW w:w="4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Gungsuh" w:eastAsia="Gungsuh" w:hAnsi="Gungsuh" w:cs="Gungsuh"/>
                <w:sz w:val="24"/>
              </w:rPr>
              <w:t xml:space="preserve">Investment </w:t>
            </w:r>
            <w:r>
              <w:rPr>
                <w:rFonts w:ascii="Cambria Math" w:eastAsia="Cambria Math" w:hAnsi="Cambria Math" w:cs="Cambria Math"/>
                <w:sz w:val="24"/>
              </w:rPr>
              <w:t>≤</w:t>
            </w:r>
            <w:r>
              <w:rPr>
                <w:rFonts w:ascii="Gungsuh" w:eastAsia="Gungsuh" w:hAnsi="Gungsuh" w:cs="Gungsuh"/>
                <w:sz w:val="24"/>
              </w:rPr>
              <w:t xml:space="preserve"> </w:t>
            </w:r>
            <w:r>
              <w:rPr>
                <w:rFonts w:ascii="Calibri" w:eastAsia="Calibri" w:hAnsi="Calibri" w:cs="Calibri"/>
                <w:sz w:val="24"/>
              </w:rPr>
              <w:t>₹</w:t>
            </w:r>
            <w:r>
              <w:rPr>
                <w:rFonts w:ascii="Calibri" w:eastAsia="Calibri" w:hAnsi="Calibri" w:cs="Calibri"/>
                <w:sz w:val="24"/>
              </w:rPr>
              <w:t xml:space="preserve">10 crore and Turnover </w:t>
            </w:r>
            <w:r>
              <w:rPr>
                <w:rFonts w:ascii="Cambria Math" w:eastAsia="Cambria Math" w:hAnsi="Cambria Math" w:cs="Cambria Math"/>
                <w:sz w:val="24"/>
              </w:rPr>
              <w:t>≤</w:t>
            </w:r>
            <w:r>
              <w:rPr>
                <w:rFonts w:ascii="Gungsuh" w:eastAsia="Gungsuh" w:hAnsi="Gungsuh" w:cs="Gungsuh"/>
                <w:sz w:val="24"/>
              </w:rPr>
              <w:t xml:space="preserve"> </w:t>
            </w:r>
            <w:r>
              <w:rPr>
                <w:rFonts w:ascii="Calibri" w:eastAsia="Calibri" w:hAnsi="Calibri" w:cs="Calibri"/>
                <w:sz w:val="24"/>
              </w:rPr>
              <w:t>₹</w:t>
            </w:r>
            <w:r>
              <w:rPr>
                <w:rFonts w:ascii="Calibri" w:eastAsia="Calibri" w:hAnsi="Calibri" w:cs="Calibri"/>
                <w:sz w:val="24"/>
              </w:rPr>
              <w:t>50 crore</w:t>
            </w:r>
          </w:p>
        </w:tc>
      </w:tr>
      <w:tr w:rsidR="00D36013">
        <w:tblPrEx>
          <w:tblCellMar>
            <w:top w:w="0" w:type="dxa"/>
            <w:bottom w:w="0" w:type="dxa"/>
          </w:tblCellMar>
        </w:tblPrEx>
        <w:trPr>
          <w:trHeight w:val="1"/>
        </w:trPr>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Medium</w:t>
            </w:r>
          </w:p>
        </w:tc>
        <w:tc>
          <w:tcPr>
            <w:tcW w:w="3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Cardo" w:eastAsia="Cardo" w:hAnsi="Cardo" w:cs="Cardo"/>
                <w:sz w:val="24"/>
              </w:rPr>
              <w:t xml:space="preserve">Investment &gt; </w:t>
            </w:r>
            <w:r>
              <w:rPr>
                <w:rFonts w:ascii="Arial" w:eastAsia="Arial" w:hAnsi="Arial" w:cs="Arial"/>
                <w:sz w:val="24"/>
              </w:rPr>
              <w:t>₹</w:t>
            </w:r>
            <w:r>
              <w:rPr>
                <w:rFonts w:ascii="Cardo" w:eastAsia="Cardo" w:hAnsi="Cardo" w:cs="Cardo"/>
                <w:sz w:val="24"/>
              </w:rPr>
              <w:t xml:space="preserve">5 crore and </w:t>
            </w:r>
            <w:r>
              <w:rPr>
                <w:rFonts w:ascii="Cambria Math" w:eastAsia="Cambria Math" w:hAnsi="Cambria Math" w:cs="Cambria Math"/>
                <w:sz w:val="24"/>
              </w:rPr>
              <w:t>≤</w:t>
            </w:r>
            <w:r>
              <w:rPr>
                <w:rFonts w:ascii="Cardo" w:eastAsia="Cardo" w:hAnsi="Cardo" w:cs="Cardo"/>
                <w:sz w:val="24"/>
              </w:rPr>
              <w:t xml:space="preserve"> </w:t>
            </w:r>
            <w:r>
              <w:rPr>
                <w:rFonts w:ascii="Calibri" w:eastAsia="Calibri" w:hAnsi="Calibri" w:cs="Calibri"/>
                <w:sz w:val="24"/>
              </w:rPr>
              <w:t>₹</w:t>
            </w:r>
            <w:r>
              <w:rPr>
                <w:rFonts w:ascii="Calibri" w:eastAsia="Calibri" w:hAnsi="Calibri" w:cs="Calibri"/>
                <w:sz w:val="24"/>
              </w:rPr>
              <w:t>10 crore</w:t>
            </w:r>
          </w:p>
        </w:tc>
        <w:tc>
          <w:tcPr>
            <w:tcW w:w="4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Gungsuh" w:eastAsia="Gungsuh" w:hAnsi="Gungsuh" w:cs="Gungsuh"/>
                <w:sz w:val="24"/>
              </w:rPr>
              <w:t xml:space="preserve">Investment </w:t>
            </w:r>
            <w:r>
              <w:rPr>
                <w:rFonts w:ascii="Cambria Math" w:eastAsia="Cambria Math" w:hAnsi="Cambria Math" w:cs="Cambria Math"/>
                <w:sz w:val="24"/>
              </w:rPr>
              <w:t>≤</w:t>
            </w:r>
            <w:r>
              <w:rPr>
                <w:rFonts w:ascii="Gungsuh" w:eastAsia="Gungsuh" w:hAnsi="Gungsuh" w:cs="Gungsuh"/>
                <w:sz w:val="24"/>
              </w:rPr>
              <w:t xml:space="preserve"> </w:t>
            </w:r>
            <w:r>
              <w:rPr>
                <w:rFonts w:ascii="Calibri" w:eastAsia="Calibri" w:hAnsi="Calibri" w:cs="Calibri"/>
                <w:sz w:val="24"/>
              </w:rPr>
              <w:t>₹</w:t>
            </w:r>
            <w:r>
              <w:rPr>
                <w:rFonts w:ascii="Calibri" w:eastAsia="Calibri" w:hAnsi="Calibri" w:cs="Calibri"/>
                <w:sz w:val="24"/>
              </w:rPr>
              <w:t xml:space="preserve">50 crore and Turnover </w:t>
            </w:r>
            <w:r>
              <w:rPr>
                <w:rFonts w:ascii="Cambria Math" w:eastAsia="Cambria Math" w:hAnsi="Cambria Math" w:cs="Cambria Math"/>
                <w:sz w:val="24"/>
              </w:rPr>
              <w:t>≤</w:t>
            </w:r>
            <w:r>
              <w:rPr>
                <w:rFonts w:ascii="Gungsuh" w:eastAsia="Gungsuh" w:hAnsi="Gungsuh" w:cs="Gungsuh"/>
                <w:sz w:val="24"/>
              </w:rPr>
              <w:t xml:space="preserve"> </w:t>
            </w:r>
            <w:r>
              <w:rPr>
                <w:rFonts w:ascii="Calibri" w:eastAsia="Calibri" w:hAnsi="Calibri" w:cs="Calibri"/>
                <w:sz w:val="24"/>
              </w:rPr>
              <w:t>₹</w:t>
            </w:r>
            <w:r>
              <w:rPr>
                <w:rFonts w:ascii="Calibri" w:eastAsia="Calibri" w:hAnsi="Calibri" w:cs="Calibri"/>
                <w:sz w:val="24"/>
              </w:rPr>
              <w:t>250 crore</w:t>
            </w:r>
          </w:p>
        </w:tc>
      </w:tr>
    </w:tbl>
    <w:p w:rsidR="00D36013" w:rsidRDefault="00D36013">
      <w:pPr>
        <w:spacing w:after="160" w:line="259" w:lineRule="auto"/>
        <w:rPr>
          <w:rFonts w:ascii="Times New Roman" w:eastAsia="Times New Roman" w:hAnsi="Times New Roman" w:cs="Times New Roman"/>
          <w:sz w:val="24"/>
        </w:rPr>
      </w:pPr>
    </w:p>
    <w:p w:rsidR="00D36013" w:rsidRDefault="00D36013">
      <w:pPr>
        <w:spacing w:after="160" w:line="259" w:lineRule="auto"/>
        <w:rPr>
          <w:rFonts w:ascii="Times New Roman" w:eastAsia="Times New Roman" w:hAnsi="Times New Roman" w:cs="Times New Roman"/>
          <w:sz w:val="24"/>
        </w:rPr>
      </w:pPr>
    </w:p>
    <w:p w:rsidR="00D36013" w:rsidRDefault="002A1B8C">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As of April 1, 2025, the Government of India has implemented a revised definition for Micro, Small, and Medium Enterprises (MSMEs) to better reflect current economic conditions and support business growth. This update increases the investment and turnover </w:t>
      </w:r>
      <w:r>
        <w:rPr>
          <w:rFonts w:ascii="Times New Roman" w:eastAsia="Times New Roman" w:hAnsi="Times New Roman" w:cs="Times New Roman"/>
          <w:sz w:val="24"/>
        </w:rPr>
        <w:t>thresholds, allowing more enterprises to qualify for MSME benefits.</w:t>
      </w:r>
    </w:p>
    <w:p w:rsidR="00D36013" w:rsidRDefault="002A1B8C">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Revised MSME Classification (Effective April 1, 2025)</w:t>
      </w:r>
    </w:p>
    <w:tbl>
      <w:tblPr>
        <w:tblW w:w="0" w:type="auto"/>
        <w:tblInd w:w="98" w:type="dxa"/>
        <w:tblCellMar>
          <w:left w:w="10" w:type="dxa"/>
          <w:right w:w="10" w:type="dxa"/>
        </w:tblCellMar>
        <w:tblLook w:val="04A0" w:firstRow="1" w:lastRow="0" w:firstColumn="1" w:lastColumn="0" w:noHBand="0" w:noVBand="1"/>
      </w:tblPr>
      <w:tblGrid>
        <w:gridCol w:w="3319"/>
        <w:gridCol w:w="2963"/>
        <w:gridCol w:w="2744"/>
      </w:tblGrid>
      <w:tr w:rsidR="00D36013">
        <w:tblPrEx>
          <w:tblCellMar>
            <w:top w:w="0" w:type="dxa"/>
            <w:bottom w:w="0" w:type="dxa"/>
          </w:tblCellMar>
        </w:tblPrEx>
        <w:tc>
          <w:tcPr>
            <w:tcW w:w="3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lastRenderedPageBreak/>
              <w:t>Category</w:t>
            </w:r>
          </w:p>
        </w:tc>
        <w:tc>
          <w:tcPr>
            <w:tcW w:w="2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Investment Limit</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Turnover Limit</w:t>
            </w:r>
          </w:p>
        </w:tc>
      </w:tr>
      <w:tr w:rsidR="00D36013">
        <w:tblPrEx>
          <w:tblCellMar>
            <w:top w:w="0" w:type="dxa"/>
            <w:bottom w:w="0" w:type="dxa"/>
          </w:tblCellMar>
        </w:tblPrEx>
        <w:tc>
          <w:tcPr>
            <w:tcW w:w="3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Micro Enterprise</w:t>
            </w:r>
          </w:p>
        </w:tc>
        <w:tc>
          <w:tcPr>
            <w:tcW w:w="2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sz w:val="24"/>
              </w:rPr>
              <w:t>Up to ₹2.5 crore</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sz w:val="24"/>
              </w:rPr>
              <w:t>Up to ₹10 crore</w:t>
            </w:r>
          </w:p>
        </w:tc>
      </w:tr>
      <w:tr w:rsidR="00D36013">
        <w:tblPrEx>
          <w:tblCellMar>
            <w:top w:w="0" w:type="dxa"/>
            <w:bottom w:w="0" w:type="dxa"/>
          </w:tblCellMar>
        </w:tblPrEx>
        <w:tc>
          <w:tcPr>
            <w:tcW w:w="3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Small Enterprise</w:t>
            </w:r>
          </w:p>
        </w:tc>
        <w:tc>
          <w:tcPr>
            <w:tcW w:w="2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sz w:val="24"/>
              </w:rPr>
              <w:t>Up to ₹25 crore</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sz w:val="24"/>
              </w:rPr>
              <w:t xml:space="preserve">Up to </w:t>
            </w:r>
            <w:r>
              <w:rPr>
                <w:rFonts w:ascii="Times New Roman" w:eastAsia="Times New Roman" w:hAnsi="Times New Roman" w:cs="Times New Roman"/>
                <w:sz w:val="24"/>
              </w:rPr>
              <w:t>₹100 crore</w:t>
            </w:r>
          </w:p>
        </w:tc>
      </w:tr>
      <w:tr w:rsidR="00D36013">
        <w:tblPrEx>
          <w:tblCellMar>
            <w:top w:w="0" w:type="dxa"/>
            <w:bottom w:w="0" w:type="dxa"/>
          </w:tblCellMar>
        </w:tblPrEx>
        <w:tc>
          <w:tcPr>
            <w:tcW w:w="3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b/>
                <w:sz w:val="24"/>
              </w:rPr>
              <w:t>Medium Enterprise</w:t>
            </w:r>
          </w:p>
        </w:tc>
        <w:tc>
          <w:tcPr>
            <w:tcW w:w="2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sz w:val="24"/>
              </w:rPr>
              <w:t>Up to ₹125 crore</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013" w:rsidRDefault="002A1B8C">
            <w:pPr>
              <w:spacing w:after="160" w:line="259" w:lineRule="auto"/>
            </w:pPr>
            <w:r>
              <w:rPr>
                <w:rFonts w:ascii="Times New Roman" w:eastAsia="Times New Roman" w:hAnsi="Times New Roman" w:cs="Times New Roman"/>
                <w:sz w:val="24"/>
              </w:rPr>
              <w:t>Up to ₹500 crore</w:t>
            </w:r>
          </w:p>
        </w:tc>
      </w:tr>
    </w:tbl>
    <w:p w:rsidR="00D36013" w:rsidRDefault="002A1B8C">
      <w:pPr>
        <w:spacing w:after="160" w:line="259" w:lineRule="auto"/>
        <w:rPr>
          <w:rFonts w:ascii="Calibri" w:eastAsia="Calibri" w:hAnsi="Calibri" w:cs="Calibri"/>
        </w:rPr>
      </w:pPr>
      <w:r>
        <w:rPr>
          <w:rFonts w:ascii="Times New Roman" w:eastAsia="Times New Roman" w:hAnsi="Times New Roman" w:cs="Times New Roman"/>
          <w:sz w:val="24"/>
        </w:rPr>
        <w:t xml:space="preserve">Source: </w:t>
      </w:r>
      <w:hyperlink r:id="rId6">
        <w:r>
          <w:rPr>
            <w:rFonts w:ascii="Times New Roman" w:eastAsia="Times New Roman" w:hAnsi="Times New Roman" w:cs="Times New Roman"/>
            <w:color w:val="000000"/>
            <w:sz w:val="24"/>
            <w:u w:val="single"/>
          </w:rPr>
          <w:t>India Filings</w:t>
        </w:r>
      </w:hyperlink>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2A1B8C">
      <w:pPr>
        <w:spacing w:after="160" w:line="259" w:lineRule="auto"/>
        <w:rPr>
          <w:rFonts w:ascii="Calibri" w:eastAsia="Calibri" w:hAnsi="Calibri" w:cs="Calibri"/>
        </w:rPr>
      </w:pPr>
      <w:r>
        <w:object w:dxaOrig="12997" w:dyaOrig="12997">
          <v:rect id="rectole0000000000" o:spid="_x0000_i1025" style="width:649.5pt;height:649.5pt" o:ole="" o:preferrelative="t" stroked="f">
            <v:imagedata r:id="rId7" o:title=""/>
          </v:rect>
          <o:OLEObject Type="Embed" ProgID="StaticMetafile" ShapeID="rectole0000000000" DrawAspect="Content" ObjectID="_1836211405" r:id="rId8"/>
        </w:object>
      </w: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D36013">
      <w:pPr>
        <w:spacing w:after="160" w:line="259" w:lineRule="auto"/>
        <w:rPr>
          <w:rFonts w:ascii="Calibri" w:eastAsia="Calibri" w:hAnsi="Calibri" w:cs="Calibri"/>
        </w:rPr>
      </w:pPr>
    </w:p>
    <w:p w:rsidR="00D36013" w:rsidRDefault="002A1B8C">
      <w:pPr>
        <w:spacing w:after="160" w:line="259" w:lineRule="auto"/>
        <w:rPr>
          <w:rFonts w:ascii="Calibri" w:eastAsia="Calibri" w:hAnsi="Calibri" w:cs="Calibri"/>
        </w:rPr>
      </w:pPr>
      <w:r>
        <w:object w:dxaOrig="12997" w:dyaOrig="8661">
          <v:rect id="rectole0000000001" o:spid="_x0000_i1026" style="width:649.5pt;height:432.75pt" o:ole="" o:preferrelative="t" stroked="f">
            <v:imagedata r:id="rId9" o:title=""/>
          </v:rect>
          <o:OLEObject Type="Embed" ProgID="StaticMetafile" ShapeID="rectole0000000001" DrawAspect="Content" ObjectID="_1836211406" r:id="rId10"/>
        </w:object>
      </w:r>
    </w:p>
    <w:p w:rsidR="00D36013" w:rsidRDefault="002A1B8C">
      <w:pPr>
        <w:spacing w:after="160" w:line="259" w:lineRule="auto"/>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Conceptual framework:</w:t>
      </w:r>
    </w:p>
    <w:p w:rsidR="00D36013" w:rsidRDefault="00D36013">
      <w:pPr>
        <w:spacing w:after="160" w:line="259" w:lineRule="auto"/>
        <w:rPr>
          <w:rFonts w:ascii="Calibri" w:eastAsia="Calibri" w:hAnsi="Calibri" w:cs="Calibri"/>
        </w:rPr>
      </w:pPr>
    </w:p>
    <w:p w:rsidR="00D36013" w:rsidRDefault="002A1B8C">
      <w:pPr>
        <w:spacing w:after="16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Theoretical Background</w:t>
      </w:r>
    </w:p>
    <w:p w:rsidR="00D36013" w:rsidRDefault="002A1B8C">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evolving digital landscape compels Micro, Small, and Medium Enterprises (MSMEs) to adopt dynamic marketing approaches tailored to their internal capabilities and external environment. The theoretical framework for this study inte</w:t>
      </w:r>
      <w:r>
        <w:rPr>
          <w:rFonts w:ascii="Times New Roman" w:eastAsia="Times New Roman" w:hAnsi="Times New Roman" w:cs="Times New Roman"/>
          <w:sz w:val="24"/>
        </w:rPr>
        <w:t>grates two comprehensive conceptual models, which collectively explain the multifactorial influences on digital marketing strategy choices among MSMEs.</w:t>
      </w:r>
    </w:p>
    <w:p w:rsidR="00D36013" w:rsidRDefault="002A1B8C">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first model identifies </w:t>
      </w:r>
      <w:r>
        <w:rPr>
          <w:rFonts w:ascii="Times New Roman" w:eastAsia="Times New Roman" w:hAnsi="Times New Roman" w:cs="Times New Roman"/>
          <w:b/>
          <w:sz w:val="24"/>
        </w:rPr>
        <w:t>nine core determinants</w:t>
      </w:r>
      <w:r>
        <w:rPr>
          <w:rFonts w:ascii="Times New Roman" w:eastAsia="Times New Roman" w:hAnsi="Times New Roman" w:cs="Times New Roman"/>
          <w:sz w:val="24"/>
        </w:rPr>
        <w:t xml:space="preserve"> influencing digital marketing strategies:</w:t>
      </w:r>
    </w:p>
    <w:p w:rsidR="00D36013" w:rsidRDefault="002A1B8C">
      <w:pPr>
        <w:numPr>
          <w:ilvl w:val="0"/>
          <w:numId w:val="1"/>
        </w:numPr>
        <w:spacing w:after="160" w:line="360" w:lineRule="auto"/>
        <w:ind w:left="720" w:hanging="360"/>
        <w:jc w:val="both"/>
        <w:rPr>
          <w:rFonts w:ascii="Calibri" w:eastAsia="Calibri" w:hAnsi="Calibri" w:cs="Calibri"/>
        </w:rPr>
      </w:pPr>
      <w:r>
        <w:rPr>
          <w:rFonts w:ascii="Times New Roman" w:eastAsia="Times New Roman" w:hAnsi="Times New Roman" w:cs="Times New Roman"/>
          <w:b/>
          <w:sz w:val="24"/>
        </w:rPr>
        <w:t>Organization</w:t>
      </w:r>
      <w:r>
        <w:rPr>
          <w:rFonts w:ascii="Times New Roman" w:eastAsia="Times New Roman" w:hAnsi="Times New Roman" w:cs="Times New Roman"/>
          <w:b/>
          <w:sz w:val="24"/>
        </w:rPr>
        <w:t>al Capability (Org_cap)</w:t>
      </w:r>
      <w:r>
        <w:rPr>
          <w:rFonts w:ascii="Times New Roman" w:eastAsia="Times New Roman" w:hAnsi="Times New Roman" w:cs="Times New Roman"/>
          <w:sz w:val="24"/>
        </w:rPr>
        <w:t xml:space="preserve"> – encompassing digital infrastructure and skilled human resources.</w:t>
      </w:r>
    </w:p>
    <w:p w:rsidR="00D36013" w:rsidRDefault="002A1B8C">
      <w:pPr>
        <w:numPr>
          <w:ilvl w:val="0"/>
          <w:numId w:val="1"/>
        </w:numPr>
        <w:spacing w:after="160" w:line="360" w:lineRule="auto"/>
        <w:ind w:left="720" w:hanging="360"/>
        <w:jc w:val="both"/>
        <w:rPr>
          <w:rFonts w:ascii="Calibri" w:eastAsia="Calibri" w:hAnsi="Calibri" w:cs="Calibri"/>
        </w:rPr>
      </w:pPr>
      <w:r>
        <w:rPr>
          <w:rFonts w:ascii="Times New Roman" w:eastAsia="Times New Roman" w:hAnsi="Times New Roman" w:cs="Times New Roman"/>
          <w:b/>
          <w:sz w:val="24"/>
        </w:rPr>
        <w:t>Market Competition (Market_comp)</w:t>
      </w:r>
      <w:r>
        <w:rPr>
          <w:rFonts w:ascii="Times New Roman" w:eastAsia="Times New Roman" w:hAnsi="Times New Roman" w:cs="Times New Roman"/>
          <w:sz w:val="24"/>
        </w:rPr>
        <w:t xml:space="preserve"> – intensity of competitors pushing MSMEs to innovate.</w:t>
      </w:r>
    </w:p>
    <w:p w:rsidR="00D36013" w:rsidRDefault="002A1B8C">
      <w:pPr>
        <w:numPr>
          <w:ilvl w:val="0"/>
          <w:numId w:val="1"/>
        </w:numPr>
        <w:spacing w:after="160" w:line="360" w:lineRule="auto"/>
        <w:ind w:left="720" w:hanging="360"/>
        <w:jc w:val="both"/>
        <w:rPr>
          <w:rFonts w:ascii="Calibri" w:eastAsia="Calibri" w:hAnsi="Calibri" w:cs="Calibri"/>
        </w:rPr>
      </w:pPr>
      <w:r>
        <w:rPr>
          <w:rFonts w:ascii="Times New Roman" w:eastAsia="Times New Roman" w:hAnsi="Times New Roman" w:cs="Times New Roman"/>
          <w:b/>
          <w:sz w:val="24"/>
        </w:rPr>
        <w:t>Consumer Behavior (Consumer_behav)</w:t>
      </w:r>
      <w:r>
        <w:rPr>
          <w:rFonts w:ascii="Times New Roman" w:eastAsia="Times New Roman" w:hAnsi="Times New Roman" w:cs="Times New Roman"/>
          <w:sz w:val="24"/>
        </w:rPr>
        <w:t xml:space="preserve"> – changing preferences and online engagemen</w:t>
      </w:r>
      <w:r>
        <w:rPr>
          <w:rFonts w:ascii="Times New Roman" w:eastAsia="Times New Roman" w:hAnsi="Times New Roman" w:cs="Times New Roman"/>
          <w:sz w:val="24"/>
        </w:rPr>
        <w:t>t patterns.</w:t>
      </w:r>
    </w:p>
    <w:p w:rsidR="00D36013" w:rsidRDefault="002A1B8C">
      <w:pPr>
        <w:numPr>
          <w:ilvl w:val="0"/>
          <w:numId w:val="1"/>
        </w:numPr>
        <w:spacing w:after="160" w:line="360" w:lineRule="auto"/>
        <w:ind w:left="720" w:hanging="360"/>
        <w:jc w:val="both"/>
        <w:rPr>
          <w:rFonts w:ascii="Calibri" w:eastAsia="Calibri" w:hAnsi="Calibri" w:cs="Calibri"/>
        </w:rPr>
      </w:pPr>
      <w:r>
        <w:rPr>
          <w:rFonts w:ascii="Times New Roman" w:eastAsia="Times New Roman" w:hAnsi="Times New Roman" w:cs="Times New Roman"/>
          <w:b/>
          <w:sz w:val="24"/>
        </w:rPr>
        <w:t>Financial Resources</w:t>
      </w:r>
      <w:r>
        <w:rPr>
          <w:rFonts w:ascii="Times New Roman" w:eastAsia="Times New Roman" w:hAnsi="Times New Roman" w:cs="Times New Roman"/>
          <w:sz w:val="24"/>
        </w:rPr>
        <w:t xml:space="preserve"> – access to capital for marketing investments.</w:t>
      </w:r>
    </w:p>
    <w:p w:rsidR="00D36013" w:rsidRDefault="002A1B8C">
      <w:pPr>
        <w:numPr>
          <w:ilvl w:val="0"/>
          <w:numId w:val="1"/>
        </w:numPr>
        <w:spacing w:after="160" w:line="360" w:lineRule="auto"/>
        <w:ind w:left="720" w:hanging="360"/>
        <w:jc w:val="both"/>
        <w:rPr>
          <w:rFonts w:ascii="Calibri" w:eastAsia="Calibri" w:hAnsi="Calibri" w:cs="Calibri"/>
        </w:rPr>
      </w:pPr>
      <w:r>
        <w:rPr>
          <w:rFonts w:ascii="Times New Roman" w:eastAsia="Times New Roman" w:hAnsi="Times New Roman" w:cs="Times New Roman"/>
          <w:b/>
          <w:sz w:val="24"/>
        </w:rPr>
        <w:t>Government Policies (Govt_policies)</w:t>
      </w:r>
      <w:r>
        <w:rPr>
          <w:rFonts w:ascii="Times New Roman" w:eastAsia="Times New Roman" w:hAnsi="Times New Roman" w:cs="Times New Roman"/>
          <w:sz w:val="24"/>
        </w:rPr>
        <w:t xml:space="preserve"> – regulatory support, incentives, or compliance needs.</w:t>
      </w:r>
    </w:p>
    <w:p w:rsidR="00D36013" w:rsidRDefault="002A1B8C">
      <w:pPr>
        <w:numPr>
          <w:ilvl w:val="0"/>
          <w:numId w:val="1"/>
        </w:numPr>
        <w:spacing w:after="160" w:line="360" w:lineRule="auto"/>
        <w:ind w:left="720" w:hanging="360"/>
        <w:jc w:val="both"/>
        <w:rPr>
          <w:rFonts w:ascii="Calibri" w:eastAsia="Calibri" w:hAnsi="Calibri" w:cs="Calibri"/>
        </w:rPr>
      </w:pPr>
      <w:r>
        <w:rPr>
          <w:rFonts w:ascii="Times New Roman" w:eastAsia="Times New Roman" w:hAnsi="Times New Roman" w:cs="Times New Roman"/>
          <w:b/>
          <w:sz w:val="24"/>
        </w:rPr>
        <w:t>Advertisement Capabilities</w:t>
      </w:r>
      <w:r>
        <w:rPr>
          <w:rFonts w:ascii="Times New Roman" w:eastAsia="Times New Roman" w:hAnsi="Times New Roman" w:cs="Times New Roman"/>
          <w:sz w:val="24"/>
        </w:rPr>
        <w:t xml:space="preserve"> – readiness to engage audiences via promotional content.</w:t>
      </w:r>
    </w:p>
    <w:p w:rsidR="00D36013" w:rsidRDefault="002A1B8C">
      <w:pPr>
        <w:numPr>
          <w:ilvl w:val="0"/>
          <w:numId w:val="1"/>
        </w:numPr>
        <w:spacing w:after="160" w:line="360" w:lineRule="auto"/>
        <w:ind w:left="720" w:hanging="360"/>
        <w:jc w:val="both"/>
        <w:rPr>
          <w:rFonts w:ascii="Calibri" w:eastAsia="Calibri" w:hAnsi="Calibri" w:cs="Calibri"/>
        </w:rPr>
      </w:pPr>
      <w:r>
        <w:rPr>
          <w:rFonts w:ascii="Times New Roman" w:eastAsia="Times New Roman" w:hAnsi="Times New Roman" w:cs="Times New Roman"/>
          <w:b/>
          <w:sz w:val="24"/>
        </w:rPr>
        <w:t>Re</w:t>
      </w:r>
      <w:r>
        <w:rPr>
          <w:rFonts w:ascii="Times New Roman" w:eastAsia="Times New Roman" w:hAnsi="Times New Roman" w:cs="Times New Roman"/>
          <w:b/>
          <w:sz w:val="24"/>
        </w:rPr>
        <w:t>search and Development (R_D)</w:t>
      </w:r>
      <w:r>
        <w:rPr>
          <w:rFonts w:ascii="Times New Roman" w:eastAsia="Times New Roman" w:hAnsi="Times New Roman" w:cs="Times New Roman"/>
          <w:sz w:val="24"/>
        </w:rPr>
        <w:t xml:space="preserve"> – innovation and data-driven experimentation.</w:t>
      </w:r>
    </w:p>
    <w:p w:rsidR="00D36013" w:rsidRDefault="002A1B8C">
      <w:pPr>
        <w:numPr>
          <w:ilvl w:val="0"/>
          <w:numId w:val="1"/>
        </w:numPr>
        <w:spacing w:after="160" w:line="360" w:lineRule="auto"/>
        <w:ind w:left="720" w:hanging="360"/>
        <w:jc w:val="both"/>
        <w:rPr>
          <w:rFonts w:ascii="Calibri" w:eastAsia="Calibri" w:hAnsi="Calibri" w:cs="Calibri"/>
        </w:rPr>
      </w:pPr>
      <w:r>
        <w:rPr>
          <w:rFonts w:ascii="Times New Roman" w:eastAsia="Times New Roman" w:hAnsi="Times New Roman" w:cs="Times New Roman"/>
          <w:b/>
          <w:sz w:val="24"/>
        </w:rPr>
        <w:t>Digital Marketing Era Awareness (Digital_Marketing_era)</w:t>
      </w:r>
      <w:r>
        <w:rPr>
          <w:rFonts w:ascii="Times New Roman" w:eastAsia="Times New Roman" w:hAnsi="Times New Roman" w:cs="Times New Roman"/>
          <w:sz w:val="24"/>
        </w:rPr>
        <w:t xml:space="preserve"> – adaptability to new tools, platforms, and trends.</w:t>
      </w:r>
    </w:p>
    <w:p w:rsidR="00D36013" w:rsidRDefault="002A1B8C">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These factors directly shape strategic decisions involving </w:t>
      </w:r>
      <w:r>
        <w:rPr>
          <w:rFonts w:ascii="Times New Roman" w:eastAsia="Times New Roman" w:hAnsi="Times New Roman" w:cs="Times New Roman"/>
          <w:b/>
          <w:sz w:val="24"/>
        </w:rPr>
        <w:t>Search Engine Optimization (SEO)</w:t>
      </w:r>
      <w:r>
        <w:rPr>
          <w:rFonts w:ascii="Times New Roman" w:eastAsia="Times New Roman" w:hAnsi="Times New Roman" w:cs="Times New Roman"/>
          <w:sz w:val="24"/>
        </w:rPr>
        <w:t xml:space="preserve">, </w:t>
      </w:r>
      <w:r>
        <w:rPr>
          <w:rFonts w:ascii="Times New Roman" w:eastAsia="Times New Roman" w:hAnsi="Times New Roman" w:cs="Times New Roman"/>
          <w:b/>
          <w:sz w:val="24"/>
        </w:rPr>
        <w:t>Content Marketing</w:t>
      </w:r>
      <w:r>
        <w:rPr>
          <w:rFonts w:ascii="Times New Roman" w:eastAsia="Times New Roman" w:hAnsi="Times New Roman" w:cs="Times New Roman"/>
          <w:sz w:val="24"/>
        </w:rPr>
        <w:t xml:space="preserve">, </w:t>
      </w:r>
      <w:r>
        <w:rPr>
          <w:rFonts w:ascii="Times New Roman" w:eastAsia="Times New Roman" w:hAnsi="Times New Roman" w:cs="Times New Roman"/>
          <w:b/>
          <w:sz w:val="24"/>
        </w:rPr>
        <w:t>Social Media Marketing</w:t>
      </w:r>
      <w:r>
        <w:rPr>
          <w:rFonts w:ascii="Times New Roman" w:eastAsia="Times New Roman" w:hAnsi="Times New Roman" w:cs="Times New Roman"/>
          <w:sz w:val="24"/>
        </w:rPr>
        <w:t xml:space="preserve">, </w:t>
      </w:r>
      <w:r>
        <w:rPr>
          <w:rFonts w:ascii="Times New Roman" w:eastAsia="Times New Roman" w:hAnsi="Times New Roman" w:cs="Times New Roman"/>
          <w:b/>
          <w:sz w:val="24"/>
        </w:rPr>
        <w:t>Email Campaigns</w:t>
      </w:r>
      <w:r>
        <w:rPr>
          <w:rFonts w:ascii="Times New Roman" w:eastAsia="Times New Roman" w:hAnsi="Times New Roman" w:cs="Times New Roman"/>
          <w:sz w:val="24"/>
        </w:rPr>
        <w:t xml:space="preserve">, </w:t>
      </w:r>
      <w:r>
        <w:rPr>
          <w:rFonts w:ascii="Times New Roman" w:eastAsia="Times New Roman" w:hAnsi="Times New Roman" w:cs="Times New Roman"/>
          <w:b/>
          <w:sz w:val="24"/>
        </w:rPr>
        <w:t>Pay-Per-Click Advertising (PPC)</w:t>
      </w:r>
      <w:r>
        <w:rPr>
          <w:rFonts w:ascii="Times New Roman" w:eastAsia="Times New Roman" w:hAnsi="Times New Roman" w:cs="Times New Roman"/>
          <w:sz w:val="24"/>
        </w:rPr>
        <w:t xml:space="preserve">, </w:t>
      </w:r>
      <w:r>
        <w:rPr>
          <w:rFonts w:ascii="Times New Roman" w:eastAsia="Times New Roman" w:hAnsi="Times New Roman" w:cs="Times New Roman"/>
          <w:b/>
          <w:sz w:val="24"/>
        </w:rPr>
        <w:t>Affiliate and Influencer Marketing</w:t>
      </w:r>
      <w:r>
        <w:rPr>
          <w:rFonts w:ascii="Times New Roman" w:eastAsia="Times New Roman" w:hAnsi="Times New Roman" w:cs="Times New Roman"/>
          <w:sz w:val="24"/>
        </w:rPr>
        <w:t xml:space="preserve">, </w:t>
      </w:r>
      <w:r>
        <w:rPr>
          <w:rFonts w:ascii="Times New Roman" w:eastAsia="Times New Roman" w:hAnsi="Times New Roman" w:cs="Times New Roman"/>
          <w:b/>
          <w:sz w:val="24"/>
        </w:rPr>
        <w:t>Mobile and Video Marketing</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Web Analytics &amp; Conversion Rate Optimization (CRO)</w:t>
      </w:r>
      <w:r>
        <w:rPr>
          <w:rFonts w:ascii="Times New Roman" w:eastAsia="Times New Roman" w:hAnsi="Times New Roman" w:cs="Times New Roman"/>
          <w:sz w:val="24"/>
        </w:rPr>
        <w:t>.</w:t>
      </w:r>
    </w:p>
    <w:p w:rsidR="00D36013" w:rsidRDefault="002A1B8C">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second model clusters these variables into five broader domains that underpin strategic decision-making:</w:t>
      </w:r>
    </w:p>
    <w:p w:rsidR="00D36013" w:rsidRDefault="002A1B8C">
      <w:pPr>
        <w:numPr>
          <w:ilvl w:val="0"/>
          <w:numId w:val="2"/>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Organizational Factors:</w:t>
      </w:r>
      <w:r>
        <w:rPr>
          <w:rFonts w:ascii="Times New Roman" w:eastAsia="Times New Roman" w:hAnsi="Times New Roman" w:cs="Times New Roman"/>
          <w:sz w:val="24"/>
        </w:rPr>
        <w:t xml:space="preserve"> These include internal elements like financial stability, skilled workforce, and digital readiness, which influence MSMEs' </w:t>
      </w:r>
      <w:r>
        <w:rPr>
          <w:rFonts w:ascii="Times New Roman" w:eastAsia="Times New Roman" w:hAnsi="Times New Roman" w:cs="Times New Roman"/>
          <w:sz w:val="24"/>
        </w:rPr>
        <w:t>capacity to plan and implement digital initiatives.</w:t>
      </w:r>
    </w:p>
    <w:p w:rsidR="00D36013" w:rsidRDefault="002A1B8C">
      <w:pPr>
        <w:numPr>
          <w:ilvl w:val="0"/>
          <w:numId w:val="2"/>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Technological Factors:</w:t>
      </w:r>
      <w:r>
        <w:rPr>
          <w:rFonts w:ascii="Times New Roman" w:eastAsia="Times New Roman" w:hAnsi="Times New Roman" w:cs="Times New Roman"/>
          <w:sz w:val="24"/>
        </w:rPr>
        <w:t xml:space="preserve"> Availability and integration of tools, platform compatibility, and CRM systems that affect the feasibility and scalability of digital strategies.</w:t>
      </w:r>
    </w:p>
    <w:p w:rsidR="00D36013" w:rsidRDefault="002A1B8C">
      <w:pPr>
        <w:numPr>
          <w:ilvl w:val="0"/>
          <w:numId w:val="2"/>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Market/Consumer Factors:</w:t>
      </w:r>
      <w:r>
        <w:rPr>
          <w:rFonts w:ascii="Times New Roman" w:eastAsia="Times New Roman" w:hAnsi="Times New Roman" w:cs="Times New Roman"/>
          <w:sz w:val="24"/>
        </w:rPr>
        <w:t xml:space="preserve"> Insights i</w:t>
      </w:r>
      <w:r>
        <w:rPr>
          <w:rFonts w:ascii="Times New Roman" w:eastAsia="Times New Roman" w:hAnsi="Times New Roman" w:cs="Times New Roman"/>
          <w:sz w:val="24"/>
        </w:rPr>
        <w:t>nto consumer needs, competition, and feedback mechanisms guide targeted content and channel selection.</w:t>
      </w:r>
    </w:p>
    <w:p w:rsidR="00D36013" w:rsidRDefault="002A1B8C">
      <w:pPr>
        <w:numPr>
          <w:ilvl w:val="0"/>
          <w:numId w:val="2"/>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External Environmental Factors:</w:t>
      </w:r>
      <w:r>
        <w:rPr>
          <w:rFonts w:ascii="Times New Roman" w:eastAsia="Times New Roman" w:hAnsi="Times New Roman" w:cs="Times New Roman"/>
          <w:sz w:val="24"/>
        </w:rPr>
        <w:t xml:space="preserve"> Government regulations, policy frameworks, and industry norms significantly influence digital marketing viability.</w:t>
      </w:r>
    </w:p>
    <w:p w:rsidR="00D36013" w:rsidRDefault="002A1B8C">
      <w:pPr>
        <w:numPr>
          <w:ilvl w:val="0"/>
          <w:numId w:val="2"/>
        </w:numPr>
        <w:spacing w:after="16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Promot</w:t>
      </w:r>
      <w:r>
        <w:rPr>
          <w:rFonts w:ascii="Times New Roman" w:eastAsia="Times New Roman" w:hAnsi="Times New Roman" w:cs="Times New Roman"/>
          <w:b/>
          <w:sz w:val="24"/>
        </w:rPr>
        <w:t>ional Readiness:</w:t>
      </w:r>
      <w:r>
        <w:rPr>
          <w:rFonts w:ascii="Times New Roman" w:eastAsia="Times New Roman" w:hAnsi="Times New Roman" w:cs="Times New Roman"/>
          <w:sz w:val="24"/>
        </w:rPr>
        <w:t xml:space="preserve"> The ability to create and manage compelling advertising content, supported by R&amp;D and innovation, enhances strategic impact.</w:t>
      </w:r>
    </w:p>
    <w:p w:rsidR="00D36013" w:rsidRDefault="002A1B8C">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integrated theoretical lens reveals that the success of digital marketing in MSMEs is not merely tool-driven </w:t>
      </w:r>
      <w:r>
        <w:rPr>
          <w:rFonts w:ascii="Times New Roman" w:eastAsia="Times New Roman" w:hAnsi="Times New Roman" w:cs="Times New Roman"/>
          <w:sz w:val="24"/>
        </w:rPr>
        <w:t>but context-dependent, shaped by a dynamic interplay of internal resources, market demands, technological capacity, and regulatory frameworks. It sets a foundation for empirically analysing how these multidimensional factors collectively influence the stra</w:t>
      </w:r>
      <w:r>
        <w:rPr>
          <w:rFonts w:ascii="Times New Roman" w:eastAsia="Times New Roman" w:hAnsi="Times New Roman" w:cs="Times New Roman"/>
          <w:sz w:val="24"/>
        </w:rPr>
        <w:t>tegic marketing direction of MSMEs in the digital era.</w:t>
      </w:r>
    </w:p>
    <w:p w:rsidR="00D36013" w:rsidRDefault="00D36013">
      <w:pPr>
        <w:spacing w:after="160" w:line="360" w:lineRule="auto"/>
        <w:jc w:val="both"/>
        <w:rPr>
          <w:rFonts w:ascii="Times New Roman" w:eastAsia="Times New Roman" w:hAnsi="Times New Roman" w:cs="Times New Roman"/>
          <w:sz w:val="24"/>
        </w:rPr>
      </w:pPr>
    </w:p>
    <w:p w:rsidR="00D36013" w:rsidRDefault="002A1B8C">
      <w:pPr>
        <w:spacing w:after="16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Objectives:</w:t>
      </w:r>
    </w:p>
    <w:p w:rsidR="00D36013" w:rsidRDefault="002A1B8C">
      <w:pPr>
        <w:numPr>
          <w:ilvl w:val="0"/>
          <w:numId w:val="3"/>
        </w:numPr>
        <w:spacing w:after="0" w:line="360" w:lineRule="auto"/>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To identify and extract the underlying factors that influence the digital marketing strategies of MSMEs in Mysore District using factor analysis</w:t>
      </w:r>
    </w:p>
    <w:p w:rsidR="00D36013" w:rsidRDefault="002A1B8C">
      <w:pPr>
        <w:numPr>
          <w:ilvl w:val="0"/>
          <w:numId w:val="3"/>
        </w:numPr>
        <w:spacing w:after="0" w:line="360" w:lineRule="auto"/>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To examine the factor scores, differ signif</w:t>
      </w:r>
      <w:r>
        <w:rPr>
          <w:rFonts w:ascii="Times New Roman" w:eastAsia="Times New Roman" w:hAnsi="Times New Roman" w:cs="Times New Roman"/>
          <w:color w:val="000000"/>
          <w:sz w:val="24"/>
          <w:u w:val="single"/>
        </w:rPr>
        <w:t>icantly among different types of MSMEs (manufacturing, services, trading), indicating industry-specific influences on digital marketing.</w:t>
      </w:r>
    </w:p>
    <w:p w:rsidR="00D36013" w:rsidRDefault="002A1B8C">
      <w:pPr>
        <w:spacing w:after="0" w:line="360" w:lineRule="auto"/>
        <w:ind w:left="720" w:hanging="720"/>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Hypothesis</w:t>
      </w:r>
    </w:p>
    <w:p w:rsidR="00D36013" w:rsidRDefault="002A1B8C">
      <w:pPr>
        <w:numPr>
          <w:ilvl w:val="0"/>
          <w:numId w:val="4"/>
        </w:numPr>
        <w:spacing w:after="0" w:line="360" w:lineRule="auto"/>
        <w:ind w:left="720" w:hanging="36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H₀</w:t>
      </w:r>
      <w:r>
        <w:rPr>
          <w:rFonts w:ascii="Times New Roman" w:eastAsia="Times New Roman" w:hAnsi="Times New Roman" w:cs="Times New Roman"/>
          <w:color w:val="000000"/>
          <w:sz w:val="24"/>
          <w:u w:val="single"/>
        </w:rPr>
        <w:t>: There is no significant difference in the mean factor scores of digital marketing strategies among manufacturing, services, and trading MSMEs.</w:t>
      </w:r>
    </w:p>
    <w:p w:rsidR="00D36013" w:rsidRDefault="002A1B8C">
      <w:pPr>
        <w:numPr>
          <w:ilvl w:val="0"/>
          <w:numId w:val="4"/>
        </w:numPr>
        <w:spacing w:after="0" w:line="360" w:lineRule="auto"/>
        <w:ind w:left="720" w:hanging="36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H₁: There is a significant difference in the mean factor scores of digital marketing strategies among manufactu</w:t>
      </w:r>
      <w:r>
        <w:rPr>
          <w:rFonts w:ascii="Times New Roman" w:eastAsia="Times New Roman" w:hAnsi="Times New Roman" w:cs="Times New Roman"/>
          <w:color w:val="000000"/>
          <w:sz w:val="24"/>
          <w:u w:val="single"/>
        </w:rPr>
        <w:t>ring, services, and trading MSMEs.</w:t>
      </w: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2A1B8C">
      <w:pPr>
        <w:spacing w:after="0" w:line="360" w:lineRule="auto"/>
        <w:ind w:left="720"/>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Research Methodology</w:t>
      </w:r>
    </w:p>
    <w:p w:rsidR="00D36013" w:rsidRDefault="002A1B8C">
      <w:pPr>
        <w:spacing w:after="0" w:line="360" w:lineRule="auto"/>
        <w:ind w:left="72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This study adopts a quantitative approach using both primary and secondary data. Primary data were collected through structured questionnaires from MSMEs in Mysore District, while secondary data were sourced from government reports and </w:t>
      </w:r>
      <w:r>
        <w:rPr>
          <w:rFonts w:ascii="Times New Roman" w:eastAsia="Times New Roman" w:hAnsi="Times New Roman" w:cs="Times New Roman"/>
          <w:color w:val="000000"/>
          <w:sz w:val="24"/>
          <w:u w:val="single"/>
        </w:rPr>
        <w:lastRenderedPageBreak/>
        <w:t>academic literature.</w:t>
      </w:r>
      <w:r>
        <w:rPr>
          <w:rFonts w:ascii="Times New Roman" w:eastAsia="Times New Roman" w:hAnsi="Times New Roman" w:cs="Times New Roman"/>
          <w:color w:val="000000"/>
          <w:sz w:val="24"/>
          <w:u w:val="single"/>
        </w:rPr>
        <w:t xml:space="preserve"> Factor analysis (via Principal Component Analysis) was employed to identify latent variables influencing digital marketing strategies. ANOVA and post-hoc tests assessed differences across MSME types.</w:t>
      </w: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160" w:line="360" w:lineRule="auto"/>
        <w:ind w:left="720"/>
        <w:jc w:val="both"/>
        <w:rPr>
          <w:rFonts w:ascii="Times New Roman" w:eastAsia="Times New Roman" w:hAnsi="Times New Roman" w:cs="Times New Roman"/>
          <w:color w:val="000000"/>
          <w:sz w:val="24"/>
          <w:u w:val="single"/>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Table:1</w:t>
      </w: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160" w:line="360" w:lineRule="auto"/>
        <w:ind w:left="720"/>
        <w:jc w:val="both"/>
        <w:rPr>
          <w:rFonts w:ascii="Times New Roman" w:eastAsia="Times New Roman" w:hAnsi="Times New Roman" w:cs="Times New Roman"/>
          <w:color w:val="000000"/>
          <w:sz w:val="24"/>
          <w:u w:val="single"/>
        </w:rPr>
      </w:pPr>
    </w:p>
    <w:p w:rsidR="00D36013" w:rsidRDefault="00D36013">
      <w:pPr>
        <w:spacing w:after="160" w:line="360" w:lineRule="auto"/>
        <w:jc w:val="both"/>
        <w:rPr>
          <w:rFonts w:ascii="Times New Roman" w:eastAsia="Times New Roman" w:hAnsi="Times New Roman" w:cs="Times New Roman"/>
          <w:sz w:val="24"/>
        </w:rPr>
      </w:pPr>
    </w:p>
    <w:p w:rsidR="00D36013" w:rsidRDefault="00D36013">
      <w:pPr>
        <w:spacing w:after="160" w:line="360" w:lineRule="auto"/>
        <w:ind w:left="720"/>
        <w:jc w:val="both"/>
        <w:rPr>
          <w:rFonts w:ascii="Times New Roman" w:eastAsia="Times New Roman" w:hAnsi="Times New Roman" w:cs="Times New Roman"/>
          <w:color w:val="000000"/>
          <w:sz w:val="24"/>
          <w:u w:val="single"/>
        </w:rPr>
      </w:pPr>
    </w:p>
    <w:tbl>
      <w:tblPr>
        <w:tblW w:w="0" w:type="auto"/>
        <w:tblInd w:w="104" w:type="dxa"/>
        <w:tblCellMar>
          <w:left w:w="10" w:type="dxa"/>
          <w:right w:w="10" w:type="dxa"/>
        </w:tblCellMar>
        <w:tblLook w:val="04A0" w:firstRow="1" w:lastRow="0" w:firstColumn="1" w:lastColumn="0" w:noHBand="0" w:noVBand="1"/>
      </w:tblPr>
      <w:tblGrid>
        <w:gridCol w:w="3006"/>
        <w:gridCol w:w="2524"/>
        <w:gridCol w:w="2490"/>
      </w:tblGrid>
      <w:tr w:rsidR="00D36013">
        <w:tblPrEx>
          <w:tblCellMar>
            <w:top w:w="0" w:type="dxa"/>
            <w:bottom w:w="0" w:type="dxa"/>
          </w:tblCellMar>
        </w:tblPrEx>
        <w:tc>
          <w:tcPr>
            <w:tcW w:w="802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KMO and Bartlett's Test</w:t>
            </w:r>
          </w:p>
        </w:tc>
      </w:tr>
      <w:tr w:rsidR="00D36013">
        <w:tblPrEx>
          <w:tblCellMar>
            <w:top w:w="0" w:type="dxa"/>
            <w:bottom w:w="0" w:type="dxa"/>
          </w:tblCellMar>
        </w:tblPrEx>
        <w:tc>
          <w:tcPr>
            <w:tcW w:w="55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Kaiser-Meyer-Olkin Measure of Sampling Adequacy.</w:t>
            </w:r>
          </w:p>
        </w:tc>
        <w:tc>
          <w:tcPr>
            <w:tcW w:w="24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0.733</w:t>
            </w:r>
          </w:p>
        </w:tc>
      </w:tr>
      <w:tr w:rsidR="00D36013">
        <w:tblPrEx>
          <w:tblCellMar>
            <w:top w:w="0" w:type="dxa"/>
            <w:bottom w:w="0" w:type="dxa"/>
          </w:tblCellMar>
        </w:tblPrEx>
        <w:tc>
          <w:tcPr>
            <w:tcW w:w="3006"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Bartlett's Test of Sphericity</w:t>
            </w:r>
          </w:p>
        </w:tc>
        <w:tc>
          <w:tcPr>
            <w:tcW w:w="2524"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Approx. Chi-Square</w:t>
            </w:r>
          </w:p>
        </w:tc>
        <w:tc>
          <w:tcPr>
            <w:tcW w:w="24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340.217</w:t>
            </w:r>
          </w:p>
        </w:tc>
      </w:tr>
      <w:tr w:rsidR="00D36013">
        <w:tblPrEx>
          <w:tblCellMar>
            <w:top w:w="0" w:type="dxa"/>
            <w:bottom w:w="0" w:type="dxa"/>
          </w:tblCellMar>
        </w:tblPrEx>
        <w:tc>
          <w:tcPr>
            <w:tcW w:w="3006"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2524"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df</w:t>
            </w:r>
          </w:p>
        </w:tc>
        <w:tc>
          <w:tcPr>
            <w:tcW w:w="24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45</w:t>
            </w:r>
          </w:p>
        </w:tc>
      </w:tr>
      <w:tr w:rsidR="00D36013">
        <w:tblPrEx>
          <w:tblCellMar>
            <w:top w:w="0" w:type="dxa"/>
            <w:bottom w:w="0" w:type="dxa"/>
          </w:tblCellMar>
        </w:tblPrEx>
        <w:tc>
          <w:tcPr>
            <w:tcW w:w="3006"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2524"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Sig.</w:t>
            </w:r>
          </w:p>
        </w:tc>
        <w:tc>
          <w:tcPr>
            <w:tcW w:w="24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w:t>
            </w:r>
          </w:p>
        </w:tc>
      </w:tr>
    </w:tbl>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Table 1 presents the </w:t>
      </w:r>
      <w:r>
        <w:rPr>
          <w:rFonts w:ascii="Times New Roman" w:eastAsia="Times New Roman" w:hAnsi="Times New Roman" w:cs="Times New Roman"/>
          <w:b/>
          <w:sz w:val="24"/>
        </w:rPr>
        <w:t>Kaiser-Meyer-Olkin (KMO)</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Bartlett’s Test of Sphericity</w:t>
      </w:r>
      <w:r>
        <w:rPr>
          <w:rFonts w:ascii="Times New Roman" w:eastAsia="Times New Roman" w:hAnsi="Times New Roman" w:cs="Times New Roman"/>
          <w:sz w:val="24"/>
        </w:rPr>
        <w:t xml:space="preserve"> results, which assess the suitability of the data for factor analysis. The KMO Measure of Sampling Adequacy is </w:t>
      </w:r>
      <w:r>
        <w:rPr>
          <w:rFonts w:ascii="Times New Roman" w:eastAsia="Times New Roman" w:hAnsi="Times New Roman" w:cs="Times New Roman"/>
          <w:b/>
          <w:sz w:val="24"/>
        </w:rPr>
        <w:t>0.733</w:t>
      </w:r>
      <w:r>
        <w:rPr>
          <w:rFonts w:ascii="Times New Roman" w:eastAsia="Times New Roman" w:hAnsi="Times New Roman" w:cs="Times New Roman"/>
          <w:sz w:val="24"/>
        </w:rPr>
        <w:t xml:space="preserve"> which exceeds the commonly recommended minimum (e.g. &gt;0.6–0.7) for acceptable factor analysis This suggests that the patterns of correlati</w:t>
      </w:r>
      <w:r>
        <w:rPr>
          <w:rFonts w:ascii="Times New Roman" w:eastAsia="Times New Roman" w:hAnsi="Times New Roman" w:cs="Times New Roman"/>
          <w:sz w:val="24"/>
        </w:rPr>
        <w:t xml:space="preserve">ons are relatively compact and the sample is adequate for extracting factors. Bartlett’s test is highly significant </w:t>
      </w:r>
      <w:r>
        <w:rPr>
          <w:rFonts w:ascii="Times New Roman" w:eastAsia="Times New Roman" w:hAnsi="Times New Roman" w:cs="Times New Roman"/>
          <w:sz w:val="24"/>
        </w:rPr>
        <w:lastRenderedPageBreak/>
        <w:t xml:space="preserve">(approx. χ² = </w:t>
      </w:r>
      <w:r>
        <w:rPr>
          <w:rFonts w:ascii="Times New Roman" w:eastAsia="Times New Roman" w:hAnsi="Times New Roman" w:cs="Times New Roman"/>
          <w:b/>
          <w:sz w:val="24"/>
        </w:rPr>
        <w:t>340.217</w:t>
      </w:r>
      <w:r>
        <w:rPr>
          <w:rFonts w:ascii="Times New Roman" w:eastAsia="Times New Roman" w:hAnsi="Times New Roman" w:cs="Times New Roman"/>
          <w:sz w:val="24"/>
        </w:rPr>
        <w:t xml:space="preserve">, </w:t>
      </w:r>
      <w:r>
        <w:rPr>
          <w:rFonts w:ascii="Times New Roman" w:eastAsia="Times New Roman" w:hAnsi="Times New Roman" w:cs="Times New Roman"/>
          <w:b/>
          <w:sz w:val="24"/>
        </w:rPr>
        <w:t>df</w:t>
      </w:r>
      <w:r>
        <w:rPr>
          <w:rFonts w:ascii="Times New Roman" w:eastAsia="Times New Roman" w:hAnsi="Times New Roman" w:cs="Times New Roman"/>
          <w:sz w:val="24"/>
        </w:rPr>
        <w:t xml:space="preserve"> = 45, </w:t>
      </w:r>
      <w:r>
        <w:rPr>
          <w:rFonts w:ascii="Times New Roman" w:eastAsia="Times New Roman" w:hAnsi="Times New Roman" w:cs="Times New Roman"/>
          <w:b/>
          <w:sz w:val="24"/>
        </w:rPr>
        <w:t>p</w:t>
      </w:r>
      <w:r>
        <w:rPr>
          <w:rFonts w:ascii="Times New Roman" w:eastAsia="Times New Roman" w:hAnsi="Times New Roman" w:cs="Times New Roman"/>
          <w:sz w:val="24"/>
        </w:rPr>
        <w:t xml:space="preserve"> rejecting the null hypothesis that the correlation matrix is an identity matrix. In practical terms, this </w:t>
      </w:r>
      <w:r>
        <w:rPr>
          <w:rFonts w:ascii="Times New Roman" w:eastAsia="Times New Roman" w:hAnsi="Times New Roman" w:cs="Times New Roman"/>
          <w:sz w:val="24"/>
        </w:rPr>
        <w:t>means there are sufficient inter-correlations between the 10 variables, justifying the use of factor analysis. Together, the KMO and Bartlett’s results indicate that the data is suitable for identifying underlying factors influencing digital marketing stra</w:t>
      </w:r>
      <w:r>
        <w:rPr>
          <w:rFonts w:ascii="Times New Roman" w:eastAsia="Times New Roman" w:hAnsi="Times New Roman" w:cs="Times New Roman"/>
          <w:sz w:val="24"/>
        </w:rPr>
        <w:t>tegies of MSMEs.</w:t>
      </w:r>
    </w:p>
    <w:p w:rsidR="00D36013" w:rsidRDefault="00D36013">
      <w:pPr>
        <w:spacing w:after="160"/>
        <w:jc w:val="both"/>
        <w:rPr>
          <w:rFonts w:ascii="Times New Roman" w:eastAsia="Times New Roman" w:hAnsi="Times New Roman" w:cs="Times New Roman"/>
          <w:sz w:val="24"/>
        </w:rPr>
      </w:pPr>
    </w:p>
    <w:tbl>
      <w:tblPr>
        <w:tblW w:w="0" w:type="auto"/>
        <w:tblInd w:w="104" w:type="dxa"/>
        <w:tblCellMar>
          <w:left w:w="10" w:type="dxa"/>
          <w:right w:w="10" w:type="dxa"/>
        </w:tblCellMar>
        <w:tblLook w:val="04A0" w:firstRow="1" w:lastRow="0" w:firstColumn="1" w:lastColumn="0" w:noHBand="0" w:noVBand="1"/>
      </w:tblPr>
      <w:tblGrid>
        <w:gridCol w:w="1113"/>
        <w:gridCol w:w="654"/>
        <w:gridCol w:w="913"/>
        <w:gridCol w:w="1112"/>
        <w:gridCol w:w="654"/>
        <w:gridCol w:w="913"/>
        <w:gridCol w:w="1112"/>
        <w:gridCol w:w="654"/>
        <w:gridCol w:w="913"/>
        <w:gridCol w:w="1112"/>
      </w:tblGrid>
      <w:tr w:rsidR="00D36013">
        <w:tblPrEx>
          <w:tblCellMar>
            <w:top w:w="0" w:type="dxa"/>
            <w:bottom w:w="0" w:type="dxa"/>
          </w:tblCellMar>
        </w:tblPrEx>
        <w:tc>
          <w:tcPr>
            <w:tcW w:w="10861" w:type="dxa"/>
            <w:gridSpan w:val="10"/>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Total Variance Explained</w:t>
            </w:r>
          </w:p>
        </w:tc>
      </w:tr>
      <w:tr w:rsidR="00D36013">
        <w:tblPrEx>
          <w:tblCellMar>
            <w:top w:w="0" w:type="dxa"/>
            <w:bottom w:w="0" w:type="dxa"/>
          </w:tblCellMar>
        </w:tblPrEx>
        <w:tc>
          <w:tcPr>
            <w:tcW w:w="1336"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Component</w:t>
            </w:r>
          </w:p>
        </w:tc>
        <w:tc>
          <w:tcPr>
            <w:tcW w:w="3175" w:type="dxa"/>
            <w:gridSpan w:val="3"/>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Initial Eigenvalues</w:t>
            </w:r>
          </w:p>
        </w:tc>
        <w:tc>
          <w:tcPr>
            <w:tcW w:w="3175" w:type="dxa"/>
            <w:gridSpan w:val="3"/>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Extraction Sums of Squared Loadings</w:t>
            </w:r>
          </w:p>
        </w:tc>
        <w:tc>
          <w:tcPr>
            <w:tcW w:w="3175" w:type="dxa"/>
            <w:gridSpan w:val="3"/>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Rotation Sums of Squared Loadings</w:t>
            </w:r>
          </w:p>
        </w:tc>
      </w:tr>
      <w:tr w:rsidR="00D36013">
        <w:tblPrEx>
          <w:tblCellMar>
            <w:top w:w="0" w:type="dxa"/>
            <w:bottom w:w="0" w:type="dxa"/>
          </w:tblCellMar>
        </w:tblPrEx>
        <w:tc>
          <w:tcPr>
            <w:tcW w:w="1336"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Total</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of Variance</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Cumulative %</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Total</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of Variance</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Cumulative %</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Total</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of Variance</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Cumulative %</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2.978</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29.776</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29.776</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2.978</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29.776</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29.776</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2.965</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29.65</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29.65</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1.489</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14.891</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44.667</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1.489</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14.891</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44.667</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1.334</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13.342</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42.992</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3</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1.274</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12.739</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57.406</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1.274</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12.739</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57.406</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1.28</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12.798</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55.79</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1.029</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10.286</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67.692</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1.029</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10.286</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67.692</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1.19</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11.902</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67.692</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5</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0.907</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9.071</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76.763</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6</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0.732</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7.317</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84.08</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7</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0.632</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6.323</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90.402</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8</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0.48</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4.805</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95.207</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9</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0.278</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2.783</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97.991</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336"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10</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0.201</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2.009</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100</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75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36"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0861" w:type="dxa"/>
            <w:gridSpan w:val="10"/>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Extraction Method: Principal Component Analysis.</w:t>
            </w:r>
          </w:p>
        </w:tc>
      </w:tr>
    </w:tbl>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Table:2</w:t>
      </w:r>
    </w:p>
    <w:p w:rsidR="00D36013" w:rsidRDefault="00D36013">
      <w:pPr>
        <w:spacing w:after="160"/>
        <w:jc w:val="both"/>
        <w:rPr>
          <w:rFonts w:ascii="Times New Roman" w:eastAsia="Times New Roman" w:hAnsi="Times New Roman" w:cs="Times New Roman"/>
          <w:sz w:val="24"/>
        </w:rPr>
      </w:pPr>
    </w:p>
    <w:p w:rsidR="00D36013" w:rsidRDefault="00D36013">
      <w:pPr>
        <w:spacing w:after="160"/>
        <w:jc w:val="both"/>
        <w:rPr>
          <w:rFonts w:ascii="Times New Roman" w:eastAsia="Times New Roman" w:hAnsi="Times New Roman" w:cs="Times New Roman"/>
          <w:sz w:val="24"/>
        </w:rPr>
      </w:pPr>
    </w:p>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b/>
          <w:sz w:val="24"/>
        </w:rPr>
        <w:t>Table 2</w:t>
      </w:r>
      <w:r>
        <w:rPr>
          <w:rFonts w:ascii="Times New Roman" w:eastAsia="Times New Roman" w:hAnsi="Times New Roman" w:cs="Times New Roman"/>
          <w:sz w:val="24"/>
        </w:rPr>
        <w:t xml:space="preserve"> summarizes the </w:t>
      </w:r>
      <w:r>
        <w:rPr>
          <w:rFonts w:ascii="Times New Roman" w:eastAsia="Times New Roman" w:hAnsi="Times New Roman" w:cs="Times New Roman"/>
          <w:b/>
          <w:sz w:val="24"/>
        </w:rPr>
        <w:t>Total Variance Explained</w:t>
      </w:r>
      <w:r>
        <w:rPr>
          <w:rFonts w:ascii="Times New Roman" w:eastAsia="Times New Roman" w:hAnsi="Times New Roman" w:cs="Times New Roman"/>
          <w:sz w:val="24"/>
        </w:rPr>
        <w:t xml:space="preserve"> by the extracted factors. Using Principal Component Analysis (PCA) as the extraction methodfile-qrztqwnr1rfory7am55136, </w:t>
      </w:r>
      <w:r>
        <w:rPr>
          <w:rFonts w:ascii="Times New Roman" w:eastAsia="Times New Roman" w:hAnsi="Times New Roman" w:cs="Times New Roman"/>
          <w:b/>
          <w:sz w:val="24"/>
        </w:rPr>
        <w:t>four components</w:t>
      </w:r>
      <w:r>
        <w:rPr>
          <w:rFonts w:ascii="Times New Roman" w:eastAsia="Times New Roman" w:hAnsi="Times New Roman" w:cs="Times New Roman"/>
          <w:sz w:val="24"/>
        </w:rPr>
        <w:t xml:space="preserve"> had eigenvalues greater than and were retained for rotation. The initial eigenv</w:t>
      </w:r>
      <w:r>
        <w:rPr>
          <w:rFonts w:ascii="Times New Roman" w:eastAsia="Times New Roman" w:hAnsi="Times New Roman" w:cs="Times New Roman"/>
          <w:sz w:val="24"/>
        </w:rPr>
        <w:t xml:space="preserve">alue for </w:t>
      </w:r>
      <w:r>
        <w:rPr>
          <w:rFonts w:ascii="Times New Roman" w:eastAsia="Times New Roman" w:hAnsi="Times New Roman" w:cs="Times New Roman"/>
          <w:b/>
          <w:sz w:val="24"/>
        </w:rPr>
        <w:t>Component 1</w:t>
      </w:r>
      <w:r>
        <w:rPr>
          <w:rFonts w:ascii="Times New Roman" w:eastAsia="Times New Roman" w:hAnsi="Times New Roman" w:cs="Times New Roman"/>
          <w:sz w:val="24"/>
        </w:rPr>
        <w:t xml:space="preserve"> is </w:t>
      </w:r>
      <w:r>
        <w:rPr>
          <w:rFonts w:ascii="Times New Roman" w:eastAsia="Times New Roman" w:hAnsi="Times New Roman" w:cs="Times New Roman"/>
          <w:b/>
          <w:sz w:val="24"/>
        </w:rPr>
        <w:t>2.978</w:t>
      </w:r>
      <w:r>
        <w:rPr>
          <w:rFonts w:ascii="Times New Roman" w:eastAsia="Times New Roman" w:hAnsi="Times New Roman" w:cs="Times New Roman"/>
          <w:sz w:val="24"/>
        </w:rPr>
        <w:t xml:space="preserve">, indicating it alone accounts for about </w:t>
      </w:r>
      <w:r>
        <w:rPr>
          <w:rFonts w:ascii="Times New Roman" w:eastAsia="Times New Roman" w:hAnsi="Times New Roman" w:cs="Times New Roman"/>
          <w:b/>
          <w:sz w:val="24"/>
        </w:rPr>
        <w:t>29.8%</w:t>
      </w:r>
      <w:r>
        <w:rPr>
          <w:rFonts w:ascii="Times New Roman" w:eastAsia="Times New Roman" w:hAnsi="Times New Roman" w:cs="Times New Roman"/>
          <w:sz w:val="24"/>
        </w:rPr>
        <w:t xml:space="preserve"> of the </w:t>
      </w:r>
      <w:r>
        <w:rPr>
          <w:rFonts w:ascii="Times New Roman" w:eastAsia="Times New Roman" w:hAnsi="Times New Roman" w:cs="Times New Roman"/>
          <w:sz w:val="24"/>
        </w:rPr>
        <w:lastRenderedPageBreak/>
        <w:t>variance in the datafile-qrztqwnr1rfory7am55136. Components 2, 3, and 4 have eigenvalues of approximately 1.489 (~14.9%), 1.274 (~12.7%), and 1.029 (~10.3%) respectively, be</w:t>
      </w:r>
      <w:r>
        <w:rPr>
          <w:rFonts w:ascii="Times New Roman" w:eastAsia="Times New Roman" w:hAnsi="Times New Roman" w:cs="Times New Roman"/>
          <w:sz w:val="24"/>
        </w:rPr>
        <w:t xml:space="preserve">fore dropping below 1 for the fifth Cumulatively, the first four factors explain roughly </w:t>
      </w:r>
      <w:r>
        <w:rPr>
          <w:rFonts w:ascii="Times New Roman" w:eastAsia="Times New Roman" w:hAnsi="Times New Roman" w:cs="Times New Roman"/>
          <w:b/>
          <w:sz w:val="24"/>
        </w:rPr>
        <w:t>67.7%</w:t>
      </w:r>
      <w:r>
        <w:rPr>
          <w:rFonts w:ascii="Times New Roman" w:eastAsia="Times New Roman" w:hAnsi="Times New Roman" w:cs="Times New Roman"/>
          <w:sz w:val="24"/>
        </w:rPr>
        <w:t xml:space="preserve"> of the total variancefile This level of explained variance is reasonable for social science research, as factors often capture ~60–70% of variance in complex phe</w:t>
      </w:r>
      <w:r>
        <w:rPr>
          <w:rFonts w:ascii="Times New Roman" w:eastAsia="Times New Roman" w:hAnsi="Times New Roman" w:cs="Times New Roman"/>
          <w:sz w:val="24"/>
        </w:rPr>
        <w:t>nomena In other words, these four underlying factors represent the majority of information contained in the ten original variables, effectively summarizing the key influences on MSMEs’ digital marketing strategies in the Mysore District</w:t>
      </w:r>
    </w:p>
    <w:p w:rsidR="00D36013" w:rsidRDefault="00D36013">
      <w:pPr>
        <w:spacing w:after="160"/>
        <w:jc w:val="both"/>
        <w:rPr>
          <w:rFonts w:ascii="Times New Roman" w:eastAsia="Times New Roman" w:hAnsi="Times New Roman" w:cs="Times New Roman"/>
          <w:sz w:val="24"/>
        </w:rPr>
      </w:pPr>
    </w:p>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Fig:</w:t>
      </w:r>
    </w:p>
    <w:p w:rsidR="00D36013" w:rsidRDefault="002A1B8C">
      <w:pPr>
        <w:spacing w:after="160"/>
        <w:jc w:val="both"/>
        <w:rPr>
          <w:rFonts w:ascii="Times New Roman" w:eastAsia="Times New Roman" w:hAnsi="Times New Roman" w:cs="Times New Roman"/>
          <w:sz w:val="24"/>
        </w:rPr>
      </w:pPr>
      <w:r>
        <w:object w:dxaOrig="12053" w:dyaOrig="9643">
          <v:rect id="rectole0000000002" o:spid="_x0000_i1027" style="width:603pt;height:482.25pt" o:ole="" o:preferrelative="t" stroked="f">
            <v:imagedata r:id="rId11" o:title=""/>
          </v:rect>
          <o:OLEObject Type="Embed" ProgID="StaticMetafile" ShapeID="rectole0000000002" DrawAspect="Content" ObjectID="_1836211407" r:id="rId12"/>
        </w:objec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i/>
          <w:sz w:val="24"/>
        </w:rPr>
        <w:t>Figure 1: Scree plot of eigenvalues for the ten principal components. The plot shows a clear “elbow” at the 4th component, after which eigenvalues drop below 1 (red dashed line), indicating that four factors should be retained.</w:t>
      </w:r>
      <w:r>
        <w:rPr>
          <w:rFonts w:ascii="Times New Roman" w:eastAsia="Times New Roman" w:hAnsi="Times New Roman" w:cs="Times New Roman"/>
          <w:sz w:val="24"/>
        </w:rPr>
        <w:br/>
        <w:t>Fi</w:t>
      </w:r>
      <w:r>
        <w:rPr>
          <w:rFonts w:ascii="Times New Roman" w:eastAsia="Times New Roman" w:hAnsi="Times New Roman" w:cs="Times New Roman"/>
          <w:sz w:val="24"/>
        </w:rPr>
        <w:t xml:space="preserve">gure 1 is the </w:t>
      </w:r>
      <w:r>
        <w:rPr>
          <w:rFonts w:ascii="Times New Roman" w:eastAsia="Times New Roman" w:hAnsi="Times New Roman" w:cs="Times New Roman"/>
          <w:b/>
          <w:sz w:val="24"/>
        </w:rPr>
        <w:t>Scree Plot</w:t>
      </w:r>
      <w:r>
        <w:rPr>
          <w:rFonts w:ascii="Times New Roman" w:eastAsia="Times New Roman" w:hAnsi="Times New Roman" w:cs="Times New Roman"/>
          <w:sz w:val="24"/>
        </w:rPr>
        <w:t xml:space="preserve"> corresponding to the eigenvalues in Table 2. The scree plot displays each component’s eigenvalue on a downward-curving line. We can observe a noticeable </w:t>
      </w:r>
      <w:r>
        <w:rPr>
          <w:rFonts w:ascii="Times New Roman" w:eastAsia="Times New Roman" w:hAnsi="Times New Roman" w:cs="Times New Roman"/>
          <w:b/>
          <w:sz w:val="24"/>
        </w:rPr>
        <w:t>“elbow” at the 4th component</w:t>
      </w:r>
      <w:r>
        <w:rPr>
          <w:rFonts w:ascii="Times New Roman" w:eastAsia="Times New Roman" w:hAnsi="Times New Roman" w:cs="Times New Roman"/>
          <w:sz w:val="24"/>
        </w:rPr>
        <w:t>, where the slope of the curve levels off. Accordi</w:t>
      </w:r>
      <w:r>
        <w:rPr>
          <w:rFonts w:ascii="Times New Roman" w:eastAsia="Times New Roman" w:hAnsi="Times New Roman" w:cs="Times New Roman"/>
          <w:sz w:val="24"/>
        </w:rPr>
        <w:t>ng to the scree test, the point at which the eigenvalues begin to plateau (the elbow) suggests the optimal number of factors to retain In this case, components 1 through 4 form the steep part of the curve (all with eigenvalues &gt; 1), while components beyond</w:t>
      </w:r>
      <w:r>
        <w:rPr>
          <w:rFonts w:ascii="Times New Roman" w:eastAsia="Times New Roman" w:hAnsi="Times New Roman" w:cs="Times New Roman"/>
          <w:sz w:val="24"/>
        </w:rPr>
        <w:t xml:space="preserve"> 4 have much smaller eigenvalues that lie on the flatter tail of the plot (all &lt; 1.0). This visual evidence reinforces the decision to retain four factors – components to the left of the elbow – as the </w:t>
      </w:r>
      <w:r>
        <w:rPr>
          <w:rFonts w:ascii="Times New Roman" w:eastAsia="Times New Roman" w:hAnsi="Times New Roman" w:cs="Times New Roman"/>
          <w:sz w:val="24"/>
        </w:rPr>
        <w:lastRenderedPageBreak/>
        <w:t>meaningful underlying factors shaping digital marketin</w:t>
      </w:r>
      <w:r>
        <w:rPr>
          <w:rFonts w:ascii="Times New Roman" w:eastAsia="Times New Roman" w:hAnsi="Times New Roman" w:cs="Times New Roman"/>
          <w:sz w:val="24"/>
        </w:rPr>
        <w:t>g strategies of MSMEs, whereas additional components would contribute only minimal incremental explanatory power.</w:t>
      </w:r>
    </w:p>
    <w:p w:rsidR="00D36013" w:rsidRDefault="00D36013">
      <w:pPr>
        <w:spacing w:after="160"/>
        <w:jc w:val="both"/>
        <w:rPr>
          <w:rFonts w:ascii="Times New Roman" w:eastAsia="Times New Roman" w:hAnsi="Times New Roman" w:cs="Times New Roman"/>
          <w:sz w:val="24"/>
        </w:rPr>
      </w:pPr>
    </w:p>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Table:3</w:t>
      </w:r>
    </w:p>
    <w:tbl>
      <w:tblPr>
        <w:tblW w:w="0" w:type="auto"/>
        <w:tblInd w:w="104" w:type="dxa"/>
        <w:tblCellMar>
          <w:left w:w="10" w:type="dxa"/>
          <w:right w:w="10" w:type="dxa"/>
        </w:tblCellMar>
        <w:tblLook w:val="04A0" w:firstRow="1" w:lastRow="0" w:firstColumn="1" w:lastColumn="0" w:noHBand="0" w:noVBand="1"/>
      </w:tblPr>
      <w:tblGrid>
        <w:gridCol w:w="3953"/>
        <w:gridCol w:w="1237"/>
        <w:gridCol w:w="1237"/>
        <w:gridCol w:w="1237"/>
        <w:gridCol w:w="1237"/>
      </w:tblGrid>
      <w:tr w:rsidR="00D36013">
        <w:tblPrEx>
          <w:tblCellMar>
            <w:top w:w="0" w:type="dxa"/>
            <w:bottom w:w="0" w:type="dxa"/>
          </w:tblCellMar>
        </w:tblPrEx>
        <w:tc>
          <w:tcPr>
            <w:tcW w:w="8901" w:type="dxa"/>
            <w:gridSpan w:val="5"/>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Rotated Component Matrix</w:t>
            </w:r>
            <w:r>
              <w:rPr>
                <w:rFonts w:ascii="Times New Roman" w:eastAsia="Times New Roman" w:hAnsi="Times New Roman" w:cs="Times New Roman"/>
                <w:b/>
                <w:color w:val="000000"/>
                <w:sz w:val="24"/>
                <w:vertAlign w:val="superscript"/>
              </w:rPr>
              <w:t>a</w:t>
            </w:r>
          </w:p>
        </w:tc>
      </w:tr>
      <w:tr w:rsidR="00D36013">
        <w:tblPrEx>
          <w:tblCellMar>
            <w:top w:w="0" w:type="dxa"/>
            <w:bottom w:w="0" w:type="dxa"/>
          </w:tblCellMar>
        </w:tblPrEx>
        <w:tc>
          <w:tcPr>
            <w:tcW w:w="3953"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4948" w:type="dxa"/>
            <w:gridSpan w:val="4"/>
            <w:tcBorders>
              <w:top w:val="single" w:sz="4"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Component</w:t>
            </w:r>
          </w:p>
        </w:tc>
      </w:tr>
      <w:tr w:rsidR="00D36013">
        <w:tblPrEx>
          <w:tblCellMar>
            <w:top w:w="0" w:type="dxa"/>
            <w:bottom w:w="0" w:type="dxa"/>
          </w:tblCellMar>
        </w:tblPrEx>
        <w:tc>
          <w:tcPr>
            <w:tcW w:w="3953"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3</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Org_cap</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0.775</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-0.021</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0.132</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0.161</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Market_comp</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0.06</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0.359</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0.503</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-0.439</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Consumer_behav</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-0.006</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-0.768</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-0.064</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0.068</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Financial_resource</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0.865</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-0.006</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-0.034</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-0.142</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Govt_policies</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0.908</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-0.076</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-0.001</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-0.068</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Advertisment</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0.883</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0.047</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-0.004</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0.08</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R_D</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-0.051</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0.769</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-0.189</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0.025</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Digital_Marketing_era</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0.023</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0.024</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-0.726</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-0.358</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MarketintProscheme</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0.044</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-0.127</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0.655</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-0.058</w:t>
            </w:r>
          </w:p>
        </w:tc>
      </w:tr>
      <w:tr w:rsidR="00D36013">
        <w:tblPrEx>
          <w:tblCellMar>
            <w:top w:w="0" w:type="dxa"/>
            <w:bottom w:w="0" w:type="dxa"/>
          </w:tblCellMar>
        </w:tblPrEx>
        <w:tc>
          <w:tcPr>
            <w:tcW w:w="3953" w:type="dxa"/>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Post_pandemic_effect</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0.044</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-0.004</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0.107</w:t>
            </w:r>
          </w:p>
        </w:tc>
        <w:tc>
          <w:tcPr>
            <w:tcW w:w="1237"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0.896</w:t>
            </w:r>
          </w:p>
        </w:tc>
      </w:tr>
      <w:tr w:rsidR="00D36013">
        <w:tblPrEx>
          <w:tblCellMar>
            <w:top w:w="0" w:type="dxa"/>
            <w:bottom w:w="0" w:type="dxa"/>
          </w:tblCellMar>
        </w:tblPrEx>
        <w:tc>
          <w:tcPr>
            <w:tcW w:w="8901" w:type="dxa"/>
            <w:gridSpan w:val="5"/>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xml:space="preserve">Extraction Method: Principal Component Analysis. </w:t>
            </w:r>
          </w:p>
        </w:tc>
      </w:tr>
      <w:tr w:rsidR="00D36013">
        <w:tblPrEx>
          <w:tblCellMar>
            <w:top w:w="0" w:type="dxa"/>
            <w:bottom w:w="0" w:type="dxa"/>
          </w:tblCellMar>
        </w:tblPrEx>
        <w:tc>
          <w:tcPr>
            <w:tcW w:w="8901" w:type="dxa"/>
            <w:gridSpan w:val="5"/>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xml:space="preserve"> Rotation Method: Varimax with Kaiser Normalization.</w:t>
            </w:r>
          </w:p>
        </w:tc>
      </w:tr>
      <w:tr w:rsidR="00D36013">
        <w:tblPrEx>
          <w:tblCellMar>
            <w:top w:w="0" w:type="dxa"/>
            <w:bottom w:w="0" w:type="dxa"/>
          </w:tblCellMar>
        </w:tblPrEx>
        <w:tc>
          <w:tcPr>
            <w:tcW w:w="8901" w:type="dxa"/>
            <w:gridSpan w:val="5"/>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a. Rotation converged in 5 iterations.</w:t>
            </w:r>
          </w:p>
        </w:tc>
      </w:tr>
    </w:tbl>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rotated component matrix identified four key factors that influence the digital marketing strategies of MSMEs in Mysore District. </w:t>
      </w:r>
      <w:r>
        <w:rPr>
          <w:rFonts w:ascii="Times New Roman" w:eastAsia="Times New Roman" w:hAnsi="Times New Roman" w:cs="Times New Roman"/>
          <w:b/>
          <w:sz w:val="24"/>
        </w:rPr>
        <w:t>Factor 1</w:t>
      </w:r>
      <w:r>
        <w:rPr>
          <w:rFonts w:ascii="Times New Roman" w:eastAsia="Times New Roman" w:hAnsi="Times New Roman" w:cs="Times New Roman"/>
          <w:sz w:val="24"/>
        </w:rPr>
        <w:t xml:space="preserve">, labeled </w:t>
      </w:r>
      <w:r>
        <w:rPr>
          <w:rFonts w:ascii="Times New Roman" w:eastAsia="Times New Roman" w:hAnsi="Times New Roman" w:cs="Times New Roman"/>
          <w:i/>
          <w:sz w:val="24"/>
        </w:rPr>
        <w:t>Marketing Resources &amp; Support</w:t>
      </w:r>
      <w:r>
        <w:rPr>
          <w:rFonts w:ascii="Times New Roman" w:eastAsia="Times New Roman" w:hAnsi="Times New Roman" w:cs="Times New Roman"/>
          <w:sz w:val="24"/>
        </w:rPr>
        <w:t xml:space="preserve">, showed high loadings for Organizational Capability, Financial Resources, </w:t>
      </w:r>
      <w:r>
        <w:rPr>
          <w:rFonts w:ascii="Times New Roman" w:eastAsia="Times New Roman" w:hAnsi="Times New Roman" w:cs="Times New Roman"/>
          <w:sz w:val="24"/>
        </w:rPr>
        <w:t>Government Policies, and Advertisement Capabilities, indicating that internal strengths and external facilitation play a vital role in enhancing MSMEs’ marketing competitiveness.</w: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b/>
          <w:sz w:val="24"/>
        </w:rPr>
        <w:t>Factor 2</w:t>
      </w:r>
      <w:r>
        <w:rPr>
          <w:rFonts w:ascii="Times New Roman" w:eastAsia="Times New Roman" w:hAnsi="Times New Roman" w:cs="Times New Roman"/>
          <w:sz w:val="24"/>
        </w:rPr>
        <w:t xml:space="preserve">, termed </w:t>
      </w:r>
      <w:r>
        <w:rPr>
          <w:rFonts w:ascii="Times New Roman" w:eastAsia="Times New Roman" w:hAnsi="Times New Roman" w:cs="Times New Roman"/>
          <w:i/>
          <w:sz w:val="24"/>
        </w:rPr>
        <w:t>Consumer-Centric Innovation</w:t>
      </w:r>
      <w:r>
        <w:rPr>
          <w:rFonts w:ascii="Times New Roman" w:eastAsia="Times New Roman" w:hAnsi="Times New Roman" w:cs="Times New Roman"/>
          <w:sz w:val="24"/>
        </w:rPr>
        <w:t>, had a strong positive loading f</w:t>
      </w:r>
      <w:r>
        <w:rPr>
          <w:rFonts w:ascii="Times New Roman" w:eastAsia="Times New Roman" w:hAnsi="Times New Roman" w:cs="Times New Roman"/>
          <w:sz w:val="24"/>
        </w:rPr>
        <w:t>or Research and Development and a strong negative loading for Consumer Behavior, suggesting that MSMEs focusing on innovation and market research may perceive less direct reliance on observable consumer trends, and vice versa.</w: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b/>
          <w:sz w:val="24"/>
        </w:rPr>
        <w:t>Factor 3</w:t>
      </w:r>
      <w:r>
        <w:rPr>
          <w:rFonts w:ascii="Times New Roman" w:eastAsia="Times New Roman" w:hAnsi="Times New Roman" w:cs="Times New Roman"/>
          <w:sz w:val="24"/>
        </w:rPr>
        <w:t xml:space="preserve">, identified as </w:t>
      </w:r>
      <w:r>
        <w:rPr>
          <w:rFonts w:ascii="Times New Roman" w:eastAsia="Times New Roman" w:hAnsi="Times New Roman" w:cs="Times New Roman"/>
          <w:i/>
          <w:sz w:val="24"/>
        </w:rPr>
        <w:t>Tradi</w:t>
      </w:r>
      <w:r>
        <w:rPr>
          <w:rFonts w:ascii="Times New Roman" w:eastAsia="Times New Roman" w:hAnsi="Times New Roman" w:cs="Times New Roman"/>
          <w:i/>
          <w:sz w:val="24"/>
        </w:rPr>
        <w:t>tional vs. Digital Orientation</w:t>
      </w:r>
      <w:r>
        <w:rPr>
          <w:rFonts w:ascii="Times New Roman" w:eastAsia="Times New Roman" w:hAnsi="Times New Roman" w:cs="Times New Roman"/>
          <w:sz w:val="24"/>
        </w:rPr>
        <w:t>, included significant loadings from Marketing Promotion Schemes and Market Competition, but a negative loading for Digital Marketing Era Awareness. This reflects a strategic tension where MSMEs may still rely on traditional m</w:t>
      </w:r>
      <w:r>
        <w:rPr>
          <w:rFonts w:ascii="Times New Roman" w:eastAsia="Times New Roman" w:hAnsi="Times New Roman" w:cs="Times New Roman"/>
          <w:sz w:val="24"/>
        </w:rPr>
        <w:t>arketing methods while gradually adapting to digital trends.</w: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b/>
          <w:sz w:val="24"/>
        </w:rPr>
        <w:t>Factor 4</w:t>
      </w:r>
      <w:r>
        <w:rPr>
          <w:rFonts w:ascii="Times New Roman" w:eastAsia="Times New Roman" w:hAnsi="Times New Roman" w:cs="Times New Roman"/>
          <w:sz w:val="24"/>
        </w:rPr>
        <w:t xml:space="preserve">, named </w:t>
      </w:r>
      <w:r>
        <w:rPr>
          <w:rFonts w:ascii="Times New Roman" w:eastAsia="Times New Roman" w:hAnsi="Times New Roman" w:cs="Times New Roman"/>
          <w:i/>
          <w:sz w:val="24"/>
        </w:rPr>
        <w:t>Post-Pandemic Effects</w:t>
      </w:r>
      <w:r>
        <w:rPr>
          <w:rFonts w:ascii="Times New Roman" w:eastAsia="Times New Roman" w:hAnsi="Times New Roman" w:cs="Times New Roman"/>
          <w:sz w:val="24"/>
        </w:rPr>
        <w:t xml:space="preserve">, was dominated solely by the Post-Pandemic Effects variable. This indicates that the impact of the COVID-19 pandemic represents a distinct and significant influence on how MSMEs approach digital marketing, highlighting the importance of adaptation in the </w:t>
      </w:r>
      <w:r>
        <w:rPr>
          <w:rFonts w:ascii="Times New Roman" w:eastAsia="Times New Roman" w:hAnsi="Times New Roman" w:cs="Times New Roman"/>
          <w:sz w:val="24"/>
        </w:rPr>
        <w:t>post-pandemic context.</w: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In summary, the four extracted components represent distinct dimensions—organizational support, innovation and market orientation, digital transition, and pandemic-driven change—thereby addressing the first research objective of iden</w:t>
      </w:r>
      <w:r>
        <w:rPr>
          <w:rFonts w:ascii="Times New Roman" w:eastAsia="Times New Roman" w:hAnsi="Times New Roman" w:cs="Times New Roman"/>
          <w:sz w:val="24"/>
        </w:rPr>
        <w:t>tifying and extracting underlying factors using factor analysis.</w:t>
      </w:r>
    </w:p>
    <w:p w:rsidR="00D36013" w:rsidRDefault="00D36013">
      <w:pPr>
        <w:spacing w:after="160"/>
        <w:jc w:val="both"/>
        <w:rPr>
          <w:rFonts w:ascii="Times New Roman" w:eastAsia="Times New Roman" w:hAnsi="Times New Roman" w:cs="Times New Roman"/>
          <w:sz w:val="24"/>
        </w:rPr>
      </w:pPr>
    </w:p>
    <w:p w:rsidR="00D36013" w:rsidRDefault="00D36013">
      <w:pPr>
        <w:spacing w:after="160"/>
        <w:jc w:val="both"/>
        <w:rPr>
          <w:rFonts w:ascii="Times New Roman" w:eastAsia="Times New Roman" w:hAnsi="Times New Roman" w:cs="Times New Roman"/>
          <w:sz w:val="24"/>
        </w:rPr>
      </w:pPr>
    </w:p>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Table:4</w:t>
      </w:r>
    </w:p>
    <w:tbl>
      <w:tblPr>
        <w:tblW w:w="0" w:type="auto"/>
        <w:tblInd w:w="104" w:type="dxa"/>
        <w:tblCellMar>
          <w:left w:w="10" w:type="dxa"/>
          <w:right w:w="10" w:type="dxa"/>
        </w:tblCellMar>
        <w:tblLook w:val="04A0" w:firstRow="1" w:lastRow="0" w:firstColumn="1" w:lastColumn="0" w:noHBand="0" w:noVBand="1"/>
      </w:tblPr>
      <w:tblGrid>
        <w:gridCol w:w="1878"/>
        <w:gridCol w:w="1400"/>
        <w:gridCol w:w="1320"/>
        <w:gridCol w:w="940"/>
        <w:gridCol w:w="1193"/>
        <w:gridCol w:w="1088"/>
        <w:gridCol w:w="1090"/>
      </w:tblGrid>
      <w:tr w:rsidR="00D36013">
        <w:tblPrEx>
          <w:tblCellMar>
            <w:top w:w="0" w:type="dxa"/>
            <w:bottom w:w="0" w:type="dxa"/>
          </w:tblCellMar>
        </w:tblPrEx>
        <w:tc>
          <w:tcPr>
            <w:tcW w:w="8909" w:type="dxa"/>
            <w:gridSpan w:val="7"/>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ANOVA</w:t>
            </w:r>
          </w:p>
        </w:tc>
      </w:tr>
      <w:tr w:rsidR="00D36013">
        <w:tblPrEx>
          <w:tblCellMar>
            <w:top w:w="0" w:type="dxa"/>
            <w:bottom w:w="0" w:type="dxa"/>
          </w:tblCellMar>
        </w:tblPrEx>
        <w:tc>
          <w:tcPr>
            <w:tcW w:w="32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Sum of Squares</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df</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Mean Square</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F</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Sig.</w:t>
            </w:r>
          </w:p>
        </w:tc>
      </w:tr>
      <w:tr w:rsidR="00D36013">
        <w:tblPrEx>
          <w:tblCellMar>
            <w:top w:w="0" w:type="dxa"/>
            <w:bottom w:w="0" w:type="dxa"/>
          </w:tblCellMar>
        </w:tblPrEx>
        <w:tc>
          <w:tcPr>
            <w:tcW w:w="1878"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Marketing Compitation</w:t>
            </w: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Between Groups</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3.6</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1.8</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1.823</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0.166</w:t>
            </w:r>
          </w:p>
        </w:tc>
      </w:tr>
      <w:tr w:rsidR="00D36013">
        <w:tblPrEx>
          <w:tblCellMar>
            <w:top w:w="0" w:type="dxa"/>
            <w:bottom w:w="0" w:type="dxa"/>
          </w:tblCellMar>
        </w:tblPrEx>
        <w:tc>
          <w:tcPr>
            <w:tcW w:w="1878"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Within Groups</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125.4</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127</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0.987</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878"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Total</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129</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129</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878"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Consumer behaviour</w:t>
            </w: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Between Groups</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0.015</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0.008</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0.008</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0.993</w:t>
            </w:r>
          </w:p>
        </w:tc>
      </w:tr>
      <w:tr w:rsidR="00D36013">
        <w:tblPrEx>
          <w:tblCellMar>
            <w:top w:w="0" w:type="dxa"/>
            <w:bottom w:w="0" w:type="dxa"/>
          </w:tblCellMar>
        </w:tblPrEx>
        <w:tc>
          <w:tcPr>
            <w:tcW w:w="1878"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Within Groups</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128.985</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127</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1.016</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878"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Total</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129</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129</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878"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Post Pandemic effects</w:t>
            </w: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Between Groups</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5.013</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2.507</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2.568</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0.081</w:t>
            </w:r>
          </w:p>
        </w:tc>
      </w:tr>
      <w:tr w:rsidR="00D36013">
        <w:tblPrEx>
          <w:tblCellMar>
            <w:top w:w="0" w:type="dxa"/>
            <w:bottom w:w="0" w:type="dxa"/>
          </w:tblCellMar>
        </w:tblPrEx>
        <w:tc>
          <w:tcPr>
            <w:tcW w:w="1878"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Within Groups</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123.987</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127</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0.976</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878"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Total</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129</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129</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878"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Digital Marketing Practices</w:t>
            </w: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Between Groups</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0.398</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2</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0.199</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0.193</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0.825</w:t>
            </w:r>
          </w:p>
        </w:tc>
      </w:tr>
      <w:tr w:rsidR="00D36013">
        <w:tblPrEx>
          <w:tblCellMar>
            <w:top w:w="0" w:type="dxa"/>
            <w:bottom w:w="0" w:type="dxa"/>
          </w:tblCellMar>
        </w:tblPrEx>
        <w:tc>
          <w:tcPr>
            <w:tcW w:w="1878"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Within Groups</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130.911</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127</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1.031</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1878" w:type="dxa"/>
            <w:vMerge/>
            <w:tcBorders>
              <w:top w:val="single" w:sz="0"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rsidR="00D36013" w:rsidRDefault="00D36013">
            <w:pPr>
              <w:rPr>
                <w:rFonts w:ascii="Calibri" w:eastAsia="Calibri" w:hAnsi="Calibri" w:cs="Calibri"/>
              </w:rPr>
            </w:pPr>
          </w:p>
        </w:tc>
        <w:tc>
          <w:tcPr>
            <w:tcW w:w="140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Total</w:t>
            </w:r>
          </w:p>
        </w:tc>
        <w:tc>
          <w:tcPr>
            <w:tcW w:w="132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131.308</w:t>
            </w:r>
          </w:p>
        </w:tc>
        <w:tc>
          <w:tcPr>
            <w:tcW w:w="94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129</w:t>
            </w:r>
          </w:p>
        </w:tc>
        <w:tc>
          <w:tcPr>
            <w:tcW w:w="1193"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88"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1090" w:type="dxa"/>
            <w:tcBorders>
              <w:top w:val="single" w:sz="0" w:space="0" w:color="000000"/>
              <w:left w:val="single" w:sz="0" w:space="0" w:color="000000"/>
              <w:bottom w:val="single" w:sz="4" w:space="0" w:color="000000"/>
              <w:right w:val="single" w:sz="4" w:space="0" w:color="000000"/>
            </w:tcBorders>
            <w:shd w:val="clear" w:color="000000" w:fill="FFFFFF"/>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bl>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Table 4 shows that the ANOVA results revealed no statistically significant differences in the mean factor scores across different types of MSMEs (Manufacturing, Services, and Trading) at the 5% significance level. For the “Marketing Competition” factor, th</w:t>
      </w:r>
      <w:r>
        <w:rPr>
          <w:rFonts w:ascii="Times New Roman" w:eastAsia="Times New Roman" w:hAnsi="Times New Roman" w:cs="Times New Roman"/>
          <w:sz w:val="24"/>
        </w:rPr>
        <w:t>e result was F(2,127) = 1.823 with a p-value of 0.166, indicating no significant variation among the groups. Similarly, the “Consumer Behavior” factor showed F(2,127) = 0.008, p = 0.993, suggesting nearly identical means across industries. The “Post-Pandem</w:t>
      </w:r>
      <w:r>
        <w:rPr>
          <w:rFonts w:ascii="Times New Roman" w:eastAsia="Times New Roman" w:hAnsi="Times New Roman" w:cs="Times New Roman"/>
          <w:sz w:val="24"/>
        </w:rPr>
        <w:t xml:space="preserve">ic Effects” factor recorded F(2,127) = 2.568 with a p-value of 0.081, which, although higher than the 0.05 threshold, suggests only a marginal and statistically non-significant difference. Lastly, for “Digital </w:t>
      </w:r>
      <w:r>
        <w:rPr>
          <w:rFonts w:ascii="Times New Roman" w:eastAsia="Times New Roman" w:hAnsi="Times New Roman" w:cs="Times New Roman"/>
          <w:sz w:val="24"/>
        </w:rPr>
        <w:lastRenderedPageBreak/>
        <w:t xml:space="preserve">Marketing Practices”, the result was F(2,127) </w:t>
      </w:r>
      <w:r>
        <w:rPr>
          <w:rFonts w:ascii="Times New Roman" w:eastAsia="Times New Roman" w:hAnsi="Times New Roman" w:cs="Times New Roman"/>
          <w:sz w:val="24"/>
        </w:rPr>
        <w:t>= 0.193 with a p-value of 0.825, again indicating no meaningful difference across industry types. Overall, these results imply that the underlying factors influencing digital marketing strategies are consistent across all MSME sectors in Mysore, confirming</w:t>
      </w:r>
      <w:r>
        <w:rPr>
          <w:rFonts w:ascii="Times New Roman" w:eastAsia="Times New Roman" w:hAnsi="Times New Roman" w:cs="Times New Roman"/>
          <w:sz w:val="24"/>
        </w:rPr>
        <w:t xml:space="preserve"> that the impact of these factors is not industry-specific.</w:t>
      </w:r>
    </w:p>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Table:5</w:t>
      </w:r>
    </w:p>
    <w:tbl>
      <w:tblPr>
        <w:tblW w:w="0" w:type="auto"/>
        <w:tblInd w:w="5" w:type="dxa"/>
        <w:tblCellMar>
          <w:left w:w="10" w:type="dxa"/>
          <w:right w:w="10" w:type="dxa"/>
        </w:tblCellMar>
        <w:tblLook w:val="04A0" w:firstRow="1" w:lastRow="0" w:firstColumn="1" w:lastColumn="0" w:noHBand="0" w:noVBand="1"/>
      </w:tblPr>
      <w:tblGrid>
        <w:gridCol w:w="3133"/>
        <w:gridCol w:w="2059"/>
        <w:gridCol w:w="571"/>
        <w:gridCol w:w="1228"/>
        <w:gridCol w:w="1708"/>
      </w:tblGrid>
      <w:tr w:rsidR="00D36013">
        <w:tblPrEx>
          <w:tblCellMar>
            <w:top w:w="0" w:type="dxa"/>
            <w:bottom w:w="0" w:type="dxa"/>
          </w:tblCellMar>
        </w:tblPrEx>
        <w:tc>
          <w:tcPr>
            <w:tcW w:w="8699" w:type="dxa"/>
            <w:gridSpan w:val="5"/>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Table: Post-Hoc Comparisons (Tukey HSD &amp; Duncan) Across Industries</w:t>
            </w:r>
          </w:p>
          <w:p w:rsidR="00D36013" w:rsidRDefault="002A1B8C">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D36013" w:rsidRDefault="002A1B8C">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D36013" w:rsidRDefault="002A1B8C">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Factor</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Type of Industry</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N</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Subset Means (α = 0.05)</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Sig.</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Marketing Competition</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Manufacturing</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38</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-0.257</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0.174 (Tukey)</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Services</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45</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0.083</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0.091 (Duncan)</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Trading</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47</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0.129</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Consumer Behaviour</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Services</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45</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-0.012</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0.991 (Tukey)</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Trading</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47</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-0.001</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0.907 (Duncan)</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Manufacturing</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38</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0.015</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Post-Pandemic Effects</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Manufacturing</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38</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-0.188 (Subset 1)</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0.088 (Tukey)</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Trading</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47</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-0.103 (Subset 1/2)</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0.690/0.086 (Duncan)</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Services</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45</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0.266 (Subset 2)</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b/>
                <w:color w:val="000000"/>
                <w:sz w:val="24"/>
              </w:rPr>
              <w:t>Digital Marketing Practices</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Trading</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47</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-0.012</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0.831 (Tukey)</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Services</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45</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0.001</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0.588 (Duncan)</w:t>
            </w:r>
          </w:p>
        </w:tc>
      </w:tr>
      <w:tr w:rsidR="00D36013">
        <w:tblPrEx>
          <w:tblCellMar>
            <w:top w:w="0" w:type="dxa"/>
            <w:bottom w:w="0" w:type="dxa"/>
          </w:tblCellMar>
        </w:tblPrEx>
        <w:tc>
          <w:tcPr>
            <w:tcW w:w="3133"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c>
          <w:tcPr>
            <w:tcW w:w="2059"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Manufacturing</w:t>
            </w:r>
          </w:p>
        </w:tc>
        <w:tc>
          <w:tcPr>
            <w:tcW w:w="571"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38</w:t>
            </w:r>
          </w:p>
        </w:tc>
        <w:tc>
          <w:tcPr>
            <w:tcW w:w="122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0.116</w:t>
            </w:r>
          </w:p>
        </w:tc>
        <w:tc>
          <w:tcPr>
            <w:tcW w:w="1708" w:type="dxa"/>
            <w:tcBorders>
              <w:top w:val="single" w:sz="4" w:space="0" w:color="000000"/>
              <w:left w:val="single" w:sz="4" w:space="0" w:color="000000"/>
              <w:bottom w:val="single" w:sz="4" w:space="0" w:color="000000"/>
              <w:right w:val="single" w:sz="4" w:space="0" w:color="000000"/>
            </w:tcBorders>
            <w:shd w:val="clear" w:color="000000" w:fill="auto"/>
            <w:tcMar>
              <w:left w:w="114" w:type="dxa"/>
              <w:right w:w="114" w:type="dxa"/>
            </w:tcMar>
            <w:vAlign w:val="center"/>
          </w:tcPr>
          <w:p w:rsidR="00D36013" w:rsidRDefault="002A1B8C">
            <w:pPr>
              <w:spacing w:after="0"/>
              <w:jc w:val="both"/>
            </w:pPr>
            <w:r>
              <w:rPr>
                <w:rFonts w:ascii="Times New Roman" w:eastAsia="Times New Roman" w:hAnsi="Times New Roman" w:cs="Times New Roman"/>
                <w:color w:val="000000"/>
                <w:sz w:val="24"/>
              </w:rPr>
              <w:t> </w:t>
            </w:r>
          </w:p>
        </w:tc>
      </w:tr>
    </w:tbl>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Table 5 presents the post-hoc comparisons using Tukey’s HSD and Duncan’s tests to examine mean factor score differences among MSME types, despite ANOVA not indicating significant differences. These results help validate the overall consistency in factor sc</w:t>
      </w:r>
      <w:r>
        <w:rPr>
          <w:rFonts w:ascii="Times New Roman" w:eastAsia="Times New Roman" w:hAnsi="Times New Roman" w:cs="Times New Roman"/>
          <w:sz w:val="24"/>
        </w:rPr>
        <w:t>ores across industries.</w: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For the </w:t>
      </w:r>
      <w:r>
        <w:rPr>
          <w:rFonts w:ascii="Times New Roman" w:eastAsia="Times New Roman" w:hAnsi="Times New Roman" w:cs="Times New Roman"/>
          <w:b/>
          <w:sz w:val="24"/>
        </w:rPr>
        <w:t>Marketing Competition</w:t>
      </w:r>
      <w:r>
        <w:rPr>
          <w:rFonts w:ascii="Times New Roman" w:eastAsia="Times New Roman" w:hAnsi="Times New Roman" w:cs="Times New Roman"/>
          <w:sz w:val="24"/>
        </w:rPr>
        <w:t xml:space="preserve"> factor, the mean scores were -0.257 (Manufacturing), 0.083 (Services), and 0.129 (Trading). Although Services and Trading scored slightly above average, and Manufacturing below, all values were close to</w:t>
      </w:r>
      <w:r>
        <w:rPr>
          <w:rFonts w:ascii="Times New Roman" w:eastAsia="Times New Roman" w:hAnsi="Times New Roman" w:cs="Times New Roman"/>
          <w:sz w:val="24"/>
        </w:rPr>
        <w:t xml:space="preserve"> zero. Tukey’s test showed </w:t>
      </w:r>
      <w:r>
        <w:rPr>
          <w:rFonts w:ascii="Times New Roman" w:eastAsia="Times New Roman" w:hAnsi="Times New Roman" w:cs="Times New Roman"/>
          <w:i/>
          <w:sz w:val="24"/>
        </w:rPr>
        <w:t>p</w:t>
      </w:r>
      <w:r>
        <w:rPr>
          <w:rFonts w:ascii="Times New Roman" w:eastAsia="Times New Roman" w:hAnsi="Times New Roman" w:cs="Times New Roman"/>
          <w:sz w:val="24"/>
        </w:rPr>
        <w:t xml:space="preserve"> = </w:t>
      </w:r>
      <w:r>
        <w:rPr>
          <w:rFonts w:ascii="Times New Roman" w:eastAsia="Times New Roman" w:hAnsi="Times New Roman" w:cs="Times New Roman"/>
          <w:sz w:val="24"/>
        </w:rPr>
        <w:lastRenderedPageBreak/>
        <w:t>0.174, and Duncan’s test grouped all three industries into the same subset, confirming no significant pairwise differences.</w: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Consumer Behavior</w:t>
      </w:r>
      <w:r>
        <w:rPr>
          <w:rFonts w:ascii="Times New Roman" w:eastAsia="Times New Roman" w:hAnsi="Times New Roman" w:cs="Times New Roman"/>
          <w:sz w:val="24"/>
        </w:rPr>
        <w:t xml:space="preserve"> factor showed nearly identical mean scores across groups: 0.015 (Manufacturing)</w:t>
      </w:r>
      <w:r>
        <w:rPr>
          <w:rFonts w:ascii="Times New Roman" w:eastAsia="Times New Roman" w:hAnsi="Times New Roman" w:cs="Times New Roman"/>
          <w:sz w:val="24"/>
        </w:rPr>
        <w:t xml:space="preserve">, -0.012 (Services), and -0.001 (Trading). The corresponding Tukey’s test yielded </w:t>
      </w:r>
      <w:r>
        <w:rPr>
          <w:rFonts w:ascii="Times New Roman" w:eastAsia="Times New Roman" w:hAnsi="Times New Roman" w:cs="Times New Roman"/>
          <w:i/>
          <w:sz w:val="24"/>
        </w:rPr>
        <w:t>p</w:t>
      </w:r>
      <w:r>
        <w:rPr>
          <w:rFonts w:ascii="Gungsuh" w:eastAsia="Gungsuh" w:hAnsi="Gungsuh" w:cs="Gungsuh"/>
          <w:sz w:val="24"/>
        </w:rPr>
        <w:t xml:space="preserve"> </w:t>
      </w:r>
      <w:r>
        <w:rPr>
          <w:rFonts w:ascii="Cambria Math" w:eastAsia="Cambria Math" w:hAnsi="Cambria Math" w:cs="Cambria Math"/>
          <w:sz w:val="24"/>
        </w:rPr>
        <w:t>≈</w:t>
      </w:r>
      <w:r>
        <w:rPr>
          <w:rFonts w:ascii="Gungsuh" w:eastAsia="Gungsuh" w:hAnsi="Gungsuh" w:cs="Gungsuh"/>
          <w:sz w:val="24"/>
        </w:rPr>
        <w:t xml:space="preserve"> 0.991, and all industries fell into the same subset, indicating complete overlap and no meaningful variation.</w: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For the </w:t>
      </w:r>
      <w:r>
        <w:rPr>
          <w:rFonts w:ascii="Times New Roman" w:eastAsia="Times New Roman" w:hAnsi="Times New Roman" w:cs="Times New Roman"/>
          <w:b/>
          <w:sz w:val="24"/>
        </w:rPr>
        <w:t>Post-Pandemic Effects</w:t>
      </w:r>
      <w:r>
        <w:rPr>
          <w:rFonts w:ascii="Times New Roman" w:eastAsia="Times New Roman" w:hAnsi="Times New Roman" w:cs="Times New Roman"/>
          <w:sz w:val="24"/>
        </w:rPr>
        <w:t xml:space="preserve"> factor, mean scores were more spread out: -0.188 (Manufacturing), -0.103 (Trading), and 0.266 (Services). Tukey’s </w:t>
      </w:r>
      <w:r>
        <w:rPr>
          <w:rFonts w:ascii="Times New Roman" w:eastAsia="Times New Roman" w:hAnsi="Times New Roman" w:cs="Times New Roman"/>
          <w:i/>
          <w:sz w:val="24"/>
        </w:rPr>
        <w:t>p</w:t>
      </w:r>
      <w:r>
        <w:rPr>
          <w:rFonts w:ascii="Times New Roman" w:eastAsia="Times New Roman" w:hAnsi="Times New Roman" w:cs="Times New Roman"/>
          <w:sz w:val="24"/>
        </w:rPr>
        <w:t xml:space="preserve"> = 0.088 suggests a marginal difference, with Duncan’s test showing Services in a distinct subset, possibly reflecting a greater post-pandem</w:t>
      </w:r>
      <w:r>
        <w:rPr>
          <w:rFonts w:ascii="Times New Roman" w:eastAsia="Times New Roman" w:hAnsi="Times New Roman" w:cs="Times New Roman"/>
          <w:sz w:val="24"/>
        </w:rPr>
        <w:t>ic digital shift. However, the result is not statistically significant at the 5% level and should be interpreted with caution.</w: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Digital Marketing Practices</w:t>
      </w:r>
      <w:r>
        <w:rPr>
          <w:rFonts w:ascii="Times New Roman" w:eastAsia="Times New Roman" w:hAnsi="Times New Roman" w:cs="Times New Roman"/>
          <w:sz w:val="24"/>
        </w:rPr>
        <w:t xml:space="preserve"> factor showed minimal differences: 0.116 (Manufacturing), 0.001 (Services), and -0.012 (Trading),</w:t>
      </w:r>
      <w:r>
        <w:rPr>
          <w:rFonts w:ascii="Times New Roman" w:eastAsia="Times New Roman" w:hAnsi="Times New Roman" w:cs="Times New Roman"/>
          <w:sz w:val="24"/>
        </w:rPr>
        <w:t xml:space="preserve"> with Tukey’s </w:t>
      </w:r>
      <w:r>
        <w:rPr>
          <w:rFonts w:ascii="Times New Roman" w:eastAsia="Times New Roman" w:hAnsi="Times New Roman" w:cs="Times New Roman"/>
          <w:i/>
          <w:sz w:val="24"/>
        </w:rPr>
        <w:t>p</w:t>
      </w:r>
      <w:r>
        <w:rPr>
          <w:rFonts w:ascii="Times New Roman" w:eastAsia="Times New Roman" w:hAnsi="Times New Roman" w:cs="Times New Roman"/>
          <w:sz w:val="24"/>
        </w:rPr>
        <w:t xml:space="preserve"> = 0.831. All groups were classified into a single subset, reinforcing the uniformity in digital practices adoption.</w:t>
      </w: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In summary, post-hoc tests reinforce the ANOVA results, indicating </w:t>
      </w:r>
      <w:r>
        <w:rPr>
          <w:rFonts w:ascii="Times New Roman" w:eastAsia="Times New Roman" w:hAnsi="Times New Roman" w:cs="Times New Roman"/>
          <w:b/>
          <w:sz w:val="24"/>
        </w:rPr>
        <w:t>no statistically significant differences</w:t>
      </w:r>
      <w:r>
        <w:rPr>
          <w:rFonts w:ascii="Times New Roman" w:eastAsia="Times New Roman" w:hAnsi="Times New Roman" w:cs="Times New Roman"/>
          <w:sz w:val="24"/>
        </w:rPr>
        <w:t xml:space="preserve"> in factor scores</w:t>
      </w:r>
      <w:r>
        <w:rPr>
          <w:rFonts w:ascii="Times New Roman" w:eastAsia="Times New Roman" w:hAnsi="Times New Roman" w:cs="Times New Roman"/>
          <w:sz w:val="24"/>
        </w:rPr>
        <w:t xml:space="preserve"> across MSME types. This supports the view that key digital marketing influences are broadly applicable across manufacturing, service, and trading MSMEs in Mysore.</w:t>
      </w:r>
    </w:p>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Findings:</w:t>
      </w:r>
    </w:p>
    <w:p w:rsidR="00D36013" w:rsidRDefault="002A1B8C">
      <w:pPr>
        <w:numPr>
          <w:ilvl w:val="0"/>
          <w:numId w:val="5"/>
        </w:numPr>
        <w:spacing w:after="0"/>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Factor analysis extracted four major influences—</w:t>
      </w:r>
      <w:r>
        <w:rPr>
          <w:rFonts w:ascii="Times New Roman" w:eastAsia="Times New Roman" w:hAnsi="Times New Roman" w:cs="Times New Roman"/>
          <w:color w:val="000000"/>
          <w:sz w:val="24"/>
          <w:u w:val="single"/>
        </w:rPr>
        <w:t>Marketing Resources, Innovation Focus, Digital vs. Traditional Orientation, and Post-Pandemic Effects.</w:t>
      </w:r>
    </w:p>
    <w:p w:rsidR="00D36013" w:rsidRDefault="002A1B8C">
      <w:pPr>
        <w:numPr>
          <w:ilvl w:val="0"/>
          <w:numId w:val="5"/>
        </w:numPr>
        <w:spacing w:after="0"/>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ANOVA showed </w:t>
      </w:r>
      <w:r>
        <w:rPr>
          <w:rFonts w:ascii="Times New Roman" w:eastAsia="Times New Roman" w:hAnsi="Times New Roman" w:cs="Times New Roman"/>
          <w:b/>
          <w:color w:val="000000"/>
          <w:sz w:val="24"/>
          <w:u w:val="single"/>
        </w:rPr>
        <w:t>no significant variation</w:t>
      </w:r>
      <w:r>
        <w:rPr>
          <w:rFonts w:ascii="Times New Roman" w:eastAsia="Times New Roman" w:hAnsi="Times New Roman" w:cs="Times New Roman"/>
          <w:color w:val="000000"/>
          <w:sz w:val="24"/>
          <w:u w:val="single"/>
        </w:rPr>
        <w:t xml:space="preserve"> in factor scores across manufacturing, services, and trading MSMEs.</w:t>
      </w:r>
    </w:p>
    <w:p w:rsidR="00D36013" w:rsidRDefault="002A1B8C">
      <w:pPr>
        <w:numPr>
          <w:ilvl w:val="0"/>
          <w:numId w:val="5"/>
        </w:numPr>
        <w:spacing w:after="0"/>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Post pandemic effect, financial resources, and government policies were </w:t>
      </w:r>
      <w:r>
        <w:rPr>
          <w:rFonts w:ascii="Times New Roman" w:eastAsia="Times New Roman" w:hAnsi="Times New Roman" w:cs="Times New Roman"/>
          <w:b/>
          <w:color w:val="000000"/>
          <w:sz w:val="24"/>
          <w:u w:val="single"/>
        </w:rPr>
        <w:t>strong drivers</w:t>
      </w:r>
      <w:r>
        <w:rPr>
          <w:rFonts w:ascii="Times New Roman" w:eastAsia="Times New Roman" w:hAnsi="Times New Roman" w:cs="Times New Roman"/>
          <w:color w:val="000000"/>
          <w:sz w:val="24"/>
          <w:u w:val="single"/>
        </w:rPr>
        <w:t xml:space="preserve"> of digital marketing adoption.</w:t>
      </w:r>
    </w:p>
    <w:p w:rsidR="00D36013" w:rsidRDefault="002A1B8C">
      <w:pPr>
        <w:numPr>
          <w:ilvl w:val="0"/>
          <w:numId w:val="5"/>
        </w:numPr>
        <w:spacing w:after="160"/>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Differences in consumer preferences had minimal influence on MSME digital strategies.</w:t>
      </w:r>
    </w:p>
    <w:p w:rsidR="00D36013" w:rsidRDefault="002A1B8C">
      <w:pPr>
        <w:spacing w:after="160"/>
        <w:jc w:val="both"/>
        <w:rPr>
          <w:rFonts w:ascii="Times New Roman" w:eastAsia="Times New Roman" w:hAnsi="Times New Roman" w:cs="Times New Roman"/>
          <w:b/>
          <w:sz w:val="24"/>
        </w:rPr>
      </w:pPr>
      <w:r>
        <w:rPr>
          <w:rFonts w:ascii="Times New Roman" w:eastAsia="Times New Roman" w:hAnsi="Times New Roman" w:cs="Times New Roman"/>
          <w:b/>
          <w:sz w:val="24"/>
        </w:rPr>
        <w:t>Suggestions</w:t>
      </w:r>
    </w:p>
    <w:p w:rsidR="00D36013" w:rsidRDefault="002A1B8C">
      <w:pPr>
        <w:numPr>
          <w:ilvl w:val="0"/>
          <w:numId w:val="6"/>
        </w:numPr>
        <w:spacing w:after="0"/>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Improve MSME access to digital schemes a</w:t>
      </w:r>
      <w:r>
        <w:rPr>
          <w:rFonts w:ascii="Times New Roman" w:eastAsia="Times New Roman" w:hAnsi="Times New Roman" w:cs="Times New Roman"/>
          <w:color w:val="000000"/>
          <w:sz w:val="24"/>
          <w:u w:val="single"/>
        </w:rPr>
        <w:t>nd government support.</w:t>
      </w:r>
    </w:p>
    <w:p w:rsidR="00D36013" w:rsidRDefault="002A1B8C">
      <w:pPr>
        <w:numPr>
          <w:ilvl w:val="0"/>
          <w:numId w:val="6"/>
        </w:numPr>
        <w:spacing w:after="0"/>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Provide digital marketing training applicable to all MSME sectors.</w:t>
      </w:r>
    </w:p>
    <w:p w:rsidR="00D36013" w:rsidRDefault="002A1B8C">
      <w:pPr>
        <w:numPr>
          <w:ilvl w:val="0"/>
          <w:numId w:val="6"/>
        </w:numPr>
        <w:spacing w:after="0"/>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Encourage development of affordable, MSME-friendly marketing platforms.</w:t>
      </w:r>
    </w:p>
    <w:p w:rsidR="00D36013" w:rsidRDefault="002A1B8C">
      <w:pPr>
        <w:numPr>
          <w:ilvl w:val="0"/>
          <w:numId w:val="6"/>
        </w:numPr>
        <w:spacing w:after="160"/>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Integrate post-pandemic learnings into long-term digital strategies.</w:t>
      </w:r>
    </w:p>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b/>
          <w:sz w:val="24"/>
        </w:rPr>
        <w:t>Conclusion:</w:t>
      </w:r>
      <w:r>
        <w:rPr>
          <w:rFonts w:ascii="Times New Roman" w:eastAsia="Times New Roman" w:hAnsi="Times New Roman" w:cs="Times New Roman"/>
          <w:sz w:val="24"/>
        </w:rPr>
        <w:br/>
        <w:t>The study co</w:t>
      </w:r>
      <w:r>
        <w:rPr>
          <w:rFonts w:ascii="Times New Roman" w:eastAsia="Times New Roman" w:hAnsi="Times New Roman" w:cs="Times New Roman"/>
          <w:sz w:val="24"/>
        </w:rPr>
        <w:t xml:space="preserve">ncludes that digital marketing strategies of MSMEs are shaped by four core factors, uniformly influencing all sectors. Organizational support and government policies </w:t>
      </w:r>
      <w:r>
        <w:rPr>
          <w:rFonts w:ascii="Times New Roman" w:eastAsia="Times New Roman" w:hAnsi="Times New Roman" w:cs="Times New Roman"/>
          <w:sz w:val="24"/>
        </w:rPr>
        <w:lastRenderedPageBreak/>
        <w:t>play a vital role, while consumer behavior has limited impact. Strengthening digital capac</w:t>
      </w:r>
      <w:r>
        <w:rPr>
          <w:rFonts w:ascii="Times New Roman" w:eastAsia="Times New Roman" w:hAnsi="Times New Roman" w:cs="Times New Roman"/>
          <w:sz w:val="24"/>
        </w:rPr>
        <w:t>ity and policy awareness is essential for inclusive and sustainable MSME growth.</w:t>
      </w:r>
    </w:p>
    <w:p w:rsidR="00D36013" w:rsidRDefault="00D36013">
      <w:pPr>
        <w:spacing w:after="160"/>
        <w:jc w:val="both"/>
        <w:rPr>
          <w:rFonts w:ascii="Times New Roman" w:eastAsia="Times New Roman" w:hAnsi="Times New Roman" w:cs="Times New Roman"/>
          <w:sz w:val="24"/>
        </w:rPr>
      </w:pPr>
    </w:p>
    <w:p w:rsidR="00D36013" w:rsidRDefault="00D36013">
      <w:pPr>
        <w:spacing w:after="160"/>
        <w:jc w:val="both"/>
        <w:rPr>
          <w:rFonts w:ascii="Times New Roman" w:eastAsia="Times New Roman" w:hAnsi="Times New Roman" w:cs="Times New Roman"/>
          <w:sz w:val="24"/>
        </w:rPr>
      </w:pPr>
    </w:p>
    <w:p w:rsidR="00D36013" w:rsidRDefault="00D36013">
      <w:pPr>
        <w:spacing w:after="160"/>
        <w:jc w:val="both"/>
        <w:rPr>
          <w:rFonts w:ascii="Times New Roman" w:eastAsia="Times New Roman" w:hAnsi="Times New Roman" w:cs="Times New Roman"/>
          <w:sz w:val="24"/>
        </w:rPr>
      </w:pPr>
    </w:p>
    <w:p w:rsidR="00D36013" w:rsidRDefault="002A1B8C">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w:t>
      </w: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160" w:line="360" w:lineRule="auto"/>
        <w:ind w:left="720"/>
        <w:jc w:val="both"/>
        <w:rPr>
          <w:rFonts w:ascii="Times New Roman" w:eastAsia="Times New Roman" w:hAnsi="Times New Roman" w:cs="Times New Roman"/>
          <w:color w:val="000000"/>
          <w:sz w:val="24"/>
          <w:u w:val="single"/>
        </w:rPr>
      </w:pPr>
    </w:p>
    <w:p w:rsidR="00D36013" w:rsidRDefault="00D36013">
      <w:pPr>
        <w:spacing w:after="160" w:line="360" w:lineRule="auto"/>
        <w:jc w:val="both"/>
        <w:rPr>
          <w:rFonts w:ascii="Times New Roman" w:eastAsia="Times New Roman" w:hAnsi="Times New Roman" w:cs="Times New Roman"/>
          <w:sz w:val="24"/>
        </w:rPr>
      </w:pPr>
    </w:p>
    <w:p w:rsidR="00D36013" w:rsidRDefault="00D36013">
      <w:pPr>
        <w:spacing w:after="0" w:line="360" w:lineRule="auto"/>
        <w:ind w:left="720"/>
        <w:jc w:val="both"/>
        <w:rPr>
          <w:rFonts w:ascii="Times New Roman" w:eastAsia="Times New Roman" w:hAnsi="Times New Roman" w:cs="Times New Roman"/>
          <w:color w:val="000000"/>
          <w:sz w:val="24"/>
          <w:u w:val="single"/>
        </w:rPr>
      </w:pPr>
    </w:p>
    <w:p w:rsidR="00D36013" w:rsidRDefault="00D36013">
      <w:pPr>
        <w:spacing w:after="0" w:line="360" w:lineRule="auto"/>
        <w:ind w:left="720"/>
        <w:jc w:val="both"/>
        <w:rPr>
          <w:rFonts w:ascii="Times New Roman" w:eastAsia="Times New Roman" w:hAnsi="Times New Roman" w:cs="Times New Roman"/>
          <w:b/>
          <w:color w:val="000000"/>
          <w:sz w:val="24"/>
          <w:u w:val="single"/>
        </w:rPr>
      </w:pPr>
    </w:p>
    <w:p w:rsidR="00D36013" w:rsidRDefault="002A1B8C">
      <w:pPr>
        <w:spacing w:after="0" w:line="360" w:lineRule="auto"/>
        <w:ind w:left="720"/>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References:</w:t>
      </w:r>
    </w:p>
    <w:p w:rsidR="00D36013" w:rsidRDefault="002A1B8C">
      <w:pPr>
        <w:numPr>
          <w:ilvl w:val="0"/>
          <w:numId w:val="7"/>
        </w:numPr>
        <w:spacing w:after="0" w:line="360" w:lineRule="auto"/>
        <w:ind w:left="144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Setiawan, R., Prasetyo, P. T., &amp; Yuniawan, A. (2024). </w:t>
      </w:r>
      <w:r>
        <w:rPr>
          <w:rFonts w:ascii="Times New Roman" w:eastAsia="Times New Roman" w:hAnsi="Times New Roman" w:cs="Times New Roman"/>
          <w:i/>
          <w:color w:val="000000"/>
          <w:sz w:val="24"/>
          <w:u w:val="single"/>
        </w:rPr>
        <w:t>Digital Marketing Strategy for Sustainable Performance of MSMEs: Literature Review</w:t>
      </w:r>
      <w:r>
        <w:rPr>
          <w:rFonts w:ascii="Times New Roman" w:eastAsia="Times New Roman" w:hAnsi="Times New Roman" w:cs="Times New Roman"/>
          <w:color w:val="000000"/>
          <w:sz w:val="24"/>
          <w:u w:val="single"/>
        </w:rPr>
        <w:t>. Research Horizon, 5(1), 33–46.</w:t>
      </w:r>
    </w:p>
    <w:p w:rsidR="00D36013" w:rsidRDefault="002A1B8C">
      <w:pPr>
        <w:numPr>
          <w:ilvl w:val="0"/>
          <w:numId w:val="7"/>
        </w:numPr>
        <w:spacing w:after="0" w:line="360" w:lineRule="auto"/>
        <w:ind w:left="144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Sharabati, A.-A. A., Ali, A. A. A., Allahham, M. I., Hussein, A. A., Alheet, A. F., &amp; Mohammad, A. S. (2024). </w:t>
      </w:r>
      <w:r>
        <w:rPr>
          <w:rFonts w:ascii="Times New Roman" w:eastAsia="Times New Roman" w:hAnsi="Times New Roman" w:cs="Times New Roman"/>
          <w:i/>
          <w:color w:val="000000"/>
          <w:sz w:val="24"/>
          <w:u w:val="single"/>
        </w:rPr>
        <w:t>The Impact of Digital Marketing on the Performance of SMEs: An Analytical Study in Light of Modern Digital Transf</w:t>
      </w:r>
      <w:r>
        <w:rPr>
          <w:rFonts w:ascii="Times New Roman" w:eastAsia="Times New Roman" w:hAnsi="Times New Roman" w:cs="Times New Roman"/>
          <w:i/>
          <w:color w:val="000000"/>
          <w:sz w:val="24"/>
          <w:u w:val="single"/>
        </w:rPr>
        <w:t>ormations</w:t>
      </w:r>
      <w:r>
        <w:rPr>
          <w:rFonts w:ascii="Times New Roman" w:eastAsia="Times New Roman" w:hAnsi="Times New Roman" w:cs="Times New Roman"/>
          <w:color w:val="000000"/>
          <w:sz w:val="24"/>
          <w:u w:val="single"/>
        </w:rPr>
        <w:t xml:space="preserve">. Sustainability, 16(19), 8667. </w:t>
      </w:r>
      <w:hyperlink r:id="rId13">
        <w:r>
          <w:rPr>
            <w:rFonts w:ascii="Times New Roman" w:eastAsia="Times New Roman" w:hAnsi="Times New Roman" w:cs="Times New Roman"/>
            <w:color w:val="0000FF"/>
            <w:sz w:val="24"/>
            <w:u w:val="single"/>
          </w:rPr>
          <w:t>https://doi.org/10.3390/su16198667</w:t>
        </w:r>
      </w:hyperlink>
    </w:p>
    <w:p w:rsidR="00D36013" w:rsidRDefault="002A1B8C">
      <w:pPr>
        <w:numPr>
          <w:ilvl w:val="0"/>
          <w:numId w:val="7"/>
        </w:numPr>
        <w:spacing w:after="0" w:line="360" w:lineRule="auto"/>
        <w:ind w:left="144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Gutiérrez Navas, E. B., Sarmiento Suárez, J. E., Ramírez Montañez, J. C., &amp; Rincón Quintero, Y. A. (2025). </w:t>
      </w:r>
      <w:r>
        <w:rPr>
          <w:rFonts w:ascii="Times New Roman" w:eastAsia="Times New Roman" w:hAnsi="Times New Roman" w:cs="Times New Roman"/>
          <w:i/>
          <w:color w:val="000000"/>
          <w:sz w:val="24"/>
          <w:u w:val="single"/>
        </w:rPr>
        <w:t>Determining factors</w:t>
      </w:r>
      <w:r>
        <w:rPr>
          <w:rFonts w:ascii="Times New Roman" w:eastAsia="Times New Roman" w:hAnsi="Times New Roman" w:cs="Times New Roman"/>
          <w:i/>
          <w:color w:val="000000"/>
          <w:sz w:val="24"/>
          <w:u w:val="single"/>
        </w:rPr>
        <w:t xml:space="preserve"> for the digitization of micro, small, and medium-sized enterprises (MSMEs) in Ibero-America</w:t>
      </w:r>
      <w:r>
        <w:rPr>
          <w:rFonts w:ascii="Times New Roman" w:eastAsia="Times New Roman" w:hAnsi="Times New Roman" w:cs="Times New Roman"/>
          <w:color w:val="000000"/>
          <w:sz w:val="24"/>
          <w:u w:val="single"/>
        </w:rPr>
        <w:t xml:space="preserve">. Journal of Innovation &amp; Knowledge, 10(1), 100631. </w:t>
      </w:r>
      <w:hyperlink r:id="rId14">
        <w:r>
          <w:rPr>
            <w:rFonts w:ascii="Times New Roman" w:eastAsia="Times New Roman" w:hAnsi="Times New Roman" w:cs="Times New Roman"/>
            <w:color w:val="0000FF"/>
            <w:sz w:val="24"/>
            <w:u w:val="single"/>
          </w:rPr>
          <w:t>https://doi.org/10.1016/j.jik.2024.100631</w:t>
        </w:r>
      </w:hyperlink>
    </w:p>
    <w:p w:rsidR="00D36013" w:rsidRDefault="002A1B8C">
      <w:pPr>
        <w:numPr>
          <w:ilvl w:val="0"/>
          <w:numId w:val="7"/>
        </w:numPr>
        <w:spacing w:after="0" w:line="360" w:lineRule="auto"/>
        <w:ind w:left="144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Bermeo-Gi</w:t>
      </w:r>
      <w:r>
        <w:rPr>
          <w:rFonts w:ascii="Times New Roman" w:eastAsia="Times New Roman" w:hAnsi="Times New Roman" w:cs="Times New Roman"/>
          <w:color w:val="000000"/>
          <w:sz w:val="24"/>
          <w:u w:val="single"/>
        </w:rPr>
        <w:t xml:space="preserve">raldo, M. C., Valencia-Arias, A., Ramos de Rosas, J. D., Benjumea-Arias, M., &amp; Villanueva Calderón, J. A. (2022). </w:t>
      </w:r>
      <w:r>
        <w:rPr>
          <w:rFonts w:ascii="Times New Roman" w:eastAsia="Times New Roman" w:hAnsi="Times New Roman" w:cs="Times New Roman"/>
          <w:i/>
          <w:color w:val="000000"/>
          <w:sz w:val="24"/>
          <w:u w:val="single"/>
        </w:rPr>
        <w:t>Factors influencing the use of digital marketing by small and medium-sized enterprises during COVID-19</w:t>
      </w:r>
      <w:r>
        <w:rPr>
          <w:rFonts w:ascii="Times New Roman" w:eastAsia="Times New Roman" w:hAnsi="Times New Roman" w:cs="Times New Roman"/>
          <w:color w:val="000000"/>
          <w:sz w:val="24"/>
          <w:u w:val="single"/>
        </w:rPr>
        <w:t xml:space="preserve">. Informatics, 9(4), 86. </w:t>
      </w:r>
      <w:hyperlink r:id="rId15">
        <w:r>
          <w:rPr>
            <w:rFonts w:ascii="Times New Roman" w:eastAsia="Times New Roman" w:hAnsi="Times New Roman" w:cs="Times New Roman"/>
            <w:color w:val="0000FF"/>
            <w:sz w:val="24"/>
            <w:u w:val="single"/>
          </w:rPr>
          <w:t>https://doi.org/10.3390/informatics9040086</w:t>
        </w:r>
      </w:hyperlink>
    </w:p>
    <w:p w:rsidR="00D36013" w:rsidRDefault="002A1B8C">
      <w:pPr>
        <w:numPr>
          <w:ilvl w:val="0"/>
          <w:numId w:val="7"/>
        </w:numPr>
        <w:spacing w:after="160" w:line="360" w:lineRule="auto"/>
        <w:ind w:left="144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lastRenderedPageBreak/>
        <w:t xml:space="preserve">Eze, S. C., Chinedu-Eze, V. C., Awa, H. O., &amp; Diarah, I. S. (2023). </w:t>
      </w:r>
      <w:r>
        <w:rPr>
          <w:rFonts w:ascii="Times New Roman" w:eastAsia="Times New Roman" w:hAnsi="Times New Roman" w:cs="Times New Roman"/>
          <w:i/>
          <w:color w:val="000000"/>
          <w:sz w:val="24"/>
          <w:u w:val="single"/>
        </w:rPr>
        <w:t>Critical issues facing SMEs’ actors in the adoption of emerging digital marketing technology (EDMT</w:t>
      </w:r>
      <w:r>
        <w:rPr>
          <w:rFonts w:ascii="Times New Roman" w:eastAsia="Times New Roman" w:hAnsi="Times New Roman" w:cs="Times New Roman"/>
          <w:i/>
          <w:color w:val="000000"/>
          <w:sz w:val="24"/>
          <w:u w:val="single"/>
        </w:rPr>
        <w:t>)</w:t>
      </w:r>
      <w:r>
        <w:rPr>
          <w:rFonts w:ascii="Times New Roman" w:eastAsia="Times New Roman" w:hAnsi="Times New Roman" w:cs="Times New Roman"/>
          <w:color w:val="000000"/>
          <w:sz w:val="24"/>
          <w:u w:val="single"/>
        </w:rPr>
        <w:t xml:space="preserve">. SAGE Open, 13(4), 1–18. </w:t>
      </w:r>
      <w:hyperlink r:id="rId16">
        <w:r>
          <w:rPr>
            <w:rFonts w:ascii="Times New Roman" w:eastAsia="Times New Roman" w:hAnsi="Times New Roman" w:cs="Times New Roman"/>
            <w:color w:val="000000"/>
            <w:sz w:val="24"/>
            <w:u w:val="single"/>
          </w:rPr>
          <w:t>https://doi.org/10.1177/21582440231214847</w:t>
        </w:r>
      </w:hyperlink>
    </w:p>
    <w:sectPr w:rsidR="00D36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rd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4524"/>
    <w:multiLevelType w:val="multilevel"/>
    <w:tmpl w:val="89421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A32F40"/>
    <w:multiLevelType w:val="multilevel"/>
    <w:tmpl w:val="D562A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741B9C"/>
    <w:multiLevelType w:val="multilevel"/>
    <w:tmpl w:val="B6F8B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374F31"/>
    <w:multiLevelType w:val="multilevel"/>
    <w:tmpl w:val="98963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381089"/>
    <w:multiLevelType w:val="multilevel"/>
    <w:tmpl w:val="07FC8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CC7B2F"/>
    <w:multiLevelType w:val="multilevel"/>
    <w:tmpl w:val="1F7C2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98400D"/>
    <w:multiLevelType w:val="multilevel"/>
    <w:tmpl w:val="D11E0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D36013"/>
    <w:rsid w:val="002A1B8C"/>
    <w:rsid w:val="00D360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3390/su1619866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21582440231214847" TargetMode="External"/><Relationship Id="rId1" Type="http://schemas.openxmlformats.org/officeDocument/2006/relationships/numbering" Target="numbering.xml"/><Relationship Id="rId6" Type="http://schemas.openxmlformats.org/officeDocument/2006/relationships/hyperlink" Target="https://www.indiafilings.com/learn/msme-new-definition/"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3390/informatics9040086" TargetMode="Externa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jik.2024.100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3585</Words>
  <Characters>20435</Characters>
  <Application>Microsoft Office Word</Application>
  <DocSecurity>0</DocSecurity>
  <Lines>170</Lines>
  <Paragraphs>47</Paragraphs>
  <ScaleCrop>false</ScaleCrop>
  <Company/>
  <LinksUpToDate>false</LinksUpToDate>
  <CharactersWithSpaces>23973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2026-03-28T08:27:00Z</dcterms:created>
  <dcterms:modified xsi:type="dcterms:W3CDTF">2026-03-28T08:27:00Z</dcterms:modified>
</cp:coreProperties>
</file>