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9DE15" w14:textId="77777777" w:rsidR="00355B0D" w:rsidRPr="00CA4FF0" w:rsidRDefault="00F77F3D" w:rsidP="00CA4FF0">
      <w:pPr>
        <w:spacing w:before="200" w:after="200"/>
        <w:jc w:val="both"/>
        <w:rPr>
          <w:rFonts w:ascii="Times New Roman" w:hAnsi="Times New Roman" w:cs="Times New Roman"/>
        </w:rPr>
      </w:pPr>
      <w:r w:rsidRPr="00CA4FF0">
        <w:rPr>
          <w:rFonts w:ascii="Times New Roman" w:hAnsi="Times New Roman" w:cs="Times New Roman"/>
          <w:b/>
          <w:bCs/>
          <w:color w:val="1F4E79"/>
          <w:sz w:val="32"/>
          <w:szCs w:val="32"/>
        </w:rPr>
        <w:t>Quality of Growth Monitoring and Promotion Services and Child Nutritional Outcomes: A Cross-Sectional Study in Sulima Chiefdom, Sierra Leone</w:t>
      </w:r>
    </w:p>
    <w:p w14:paraId="470A01E5" w14:textId="77777777" w:rsidR="00355B0D" w:rsidRPr="00CA4FF0" w:rsidRDefault="00F77F3D">
      <w:pPr>
        <w:pStyle w:val="Heading1"/>
        <w:pBdr>
          <w:bottom w:val="single" w:sz="4" w:space="0" w:color="1F4E79"/>
        </w:pBdr>
        <w:rPr>
          <w:rFonts w:ascii="Times New Roman" w:hAnsi="Times New Roman" w:cs="Times New Roman"/>
        </w:rPr>
      </w:pPr>
      <w:r w:rsidRPr="00CA4FF0">
        <w:rPr>
          <w:rFonts w:ascii="Times New Roman" w:hAnsi="Times New Roman" w:cs="Times New Roman"/>
        </w:rPr>
        <w:t>ABSTRACT</w:t>
      </w:r>
    </w:p>
    <w:p w14:paraId="65F79896" w14:textId="77777777" w:rsidR="00355B0D" w:rsidRPr="00CA4FF0" w:rsidRDefault="00F77F3D" w:rsidP="00CA4FF0">
      <w:pPr>
        <w:spacing w:after="120" w:line="276" w:lineRule="auto"/>
        <w:jc w:val="both"/>
        <w:rPr>
          <w:rFonts w:ascii="Times New Roman" w:hAnsi="Times New Roman" w:cs="Times New Roman"/>
        </w:rPr>
      </w:pPr>
      <w:r w:rsidRPr="00CA4FF0">
        <w:rPr>
          <w:rFonts w:ascii="Times New Roman" w:hAnsi="Times New Roman" w:cs="Times New Roman"/>
          <w:b/>
          <w:bCs/>
        </w:rPr>
        <w:t>Background:</w:t>
      </w:r>
      <w:r w:rsidRPr="00CA4FF0">
        <w:rPr>
          <w:rFonts w:ascii="Times New Roman" w:hAnsi="Times New Roman" w:cs="Times New Roman"/>
        </w:rPr>
        <w:t xml:space="preserve"> Globally, 149 million children under five years remain stunted, with Sub-Saharan Africa carrying a disproportionate burden. Growth Monitoring and Promotion (GMP) is a cornerstone preventive intervention, yet evidence on the drivers of GMP utilisation and its quantified effect on nutritional outcomes in conflict-affected, geographically isolated communities remains limited. Sierra Leone, with a stunting prevalence of 29% nationally and acutely worse rates in remote northern districts, presents a critical evidence gap.</w:t>
      </w:r>
    </w:p>
    <w:p w14:paraId="66A5AFFF" w14:textId="77777777" w:rsidR="00355B0D" w:rsidRPr="00CA4FF0" w:rsidRDefault="00F77F3D" w:rsidP="00CA4FF0">
      <w:pPr>
        <w:spacing w:after="120" w:line="276" w:lineRule="auto"/>
        <w:jc w:val="both"/>
        <w:rPr>
          <w:rFonts w:ascii="Times New Roman" w:hAnsi="Times New Roman" w:cs="Times New Roman"/>
        </w:rPr>
      </w:pPr>
      <w:r w:rsidRPr="00CA4FF0">
        <w:rPr>
          <w:rFonts w:ascii="Times New Roman" w:hAnsi="Times New Roman" w:cs="Times New Roman"/>
          <w:b/>
          <w:bCs/>
        </w:rPr>
        <w:t>Methods:</w:t>
      </w:r>
      <w:r w:rsidRPr="00CA4FF0">
        <w:rPr>
          <w:rFonts w:ascii="Times New Roman" w:hAnsi="Times New Roman" w:cs="Times New Roman"/>
        </w:rPr>
        <w:t xml:space="preserve"> A community-based cross-sectional study was conducted among 617 mother–child dyads in Sulima Chiefdom, Falaba District, Sierra Leone. Anthropometric assessment — height-for-age z-score (HAZ), weight-for-age z-score (WAZ), weight-for-height z-score (WHZ), and mid-upper arm circumference (MUAC) — was conducted using WHO 2006 Child Growth Standards. Bivariable logistic regression estimated crude odds ratios (cOR) for factors associated with regular GMP attendance. Multivariable logistic regression with Hosmer-Lemeshow goodness-of-fit testing identified independent predictors. Linear regression modelled the independent effect of GMP attendance on HAZ and WAZ, adjusting for child-level confounders. All analyses were conducted in IBM SPSS Statistics v26.0.</w:t>
      </w:r>
    </w:p>
    <w:p w14:paraId="7D5DACFD" w14:textId="77777777" w:rsidR="00355B0D" w:rsidRPr="00CA4FF0" w:rsidRDefault="00F77F3D" w:rsidP="00CA4FF0">
      <w:pPr>
        <w:spacing w:after="120" w:line="276" w:lineRule="auto"/>
        <w:jc w:val="both"/>
        <w:rPr>
          <w:rFonts w:ascii="Times New Roman" w:hAnsi="Times New Roman" w:cs="Times New Roman"/>
        </w:rPr>
      </w:pPr>
      <w:r w:rsidRPr="00CA4FF0">
        <w:rPr>
          <w:rFonts w:ascii="Times New Roman" w:hAnsi="Times New Roman" w:cs="Times New Roman"/>
          <w:b/>
          <w:bCs/>
        </w:rPr>
        <w:t>Results:</w:t>
      </w:r>
      <w:r w:rsidRPr="00CA4FF0">
        <w:rPr>
          <w:rFonts w:ascii="Times New Roman" w:hAnsi="Times New Roman" w:cs="Times New Roman"/>
        </w:rPr>
        <w:t xml:space="preserve"> Overall regular GMP attendance was 41.8% (n=258/617). Stunting prevalence was 28.7% (95% CI: 25.1–32.3%), exceeding the WHO high-concern threshold; Global Acute Malnutrition (GAM) prevalence was 18.3% (95% CI: 15.3–21.4%), surpassing the WHO emergency threshold of 15%. Regular GMP attendees exhibited significantly lower stunting (19.0% vs 35.7%; OR=0.42, 95% CI: 0.29–0.62, p&lt;0.001) and a 0.49 SD higher mean HAZ (−1.01 vs −1.50; t=5.01, p&lt;0.001, Cohen's d=0.41). In multivariable analysis, positive attitude toward GMP (aOR=3.72, 95% CI: 1.53–9.08), IYCF counselling through any channel (aOR=4.20, 95% CI: 1.40–12.63), and mother support group membership (aOR=1.87, 95% CI: 1.30–2.68) were the strongest independent predictors of regular attendance. Each additional kilometre to the primary health centre reduced attendance odds by 8% (aOR=0.92, 95% CI: 0.85–0.99). Regular GMP attendance was independently associated with a 0.365 SD improvement in HAZ (β=0.365, SE=0.102, p&lt;0.001) and 0.343 SD improvement in WAZ (β=0.343, SE=0.095, p&lt;0.001), after adjustment for child age, morbidity, feeding practices, and household food security.</w:t>
      </w:r>
    </w:p>
    <w:p w14:paraId="0DC26092" w14:textId="77777777" w:rsidR="00355B0D" w:rsidRPr="00CA4FF0" w:rsidRDefault="00F77F3D" w:rsidP="00CA4FF0">
      <w:pPr>
        <w:spacing w:after="120" w:line="276" w:lineRule="auto"/>
        <w:jc w:val="both"/>
        <w:rPr>
          <w:rFonts w:ascii="Times New Roman" w:hAnsi="Times New Roman" w:cs="Times New Roman"/>
        </w:rPr>
      </w:pPr>
      <w:r w:rsidRPr="00CA4FF0">
        <w:rPr>
          <w:rFonts w:ascii="Times New Roman" w:hAnsi="Times New Roman" w:cs="Times New Roman"/>
          <w:b/>
          <w:bCs/>
        </w:rPr>
        <w:t>Conclusion:</w:t>
      </w:r>
      <w:r w:rsidRPr="00CA4FF0">
        <w:rPr>
          <w:rFonts w:ascii="Times New Roman" w:hAnsi="Times New Roman" w:cs="Times New Roman"/>
        </w:rPr>
        <w:t xml:space="preserve"> GMP participation is independently and significantly associated with improved child linear growth and ponderal status in one of Sierra Leone's most underserved communities. The key modifiable drivers are not individual-level knowledge but demand-side attitudinal factors and integration with IYCF counselling and community support structures. Programmes must pivot from mere attendance registration to quality engagement, supported by integrated service delivery and community mobilisation.</w:t>
      </w:r>
    </w:p>
    <w:p w14:paraId="74FF81D9" w14:textId="77777777" w:rsidR="00355B0D" w:rsidRPr="00CA4FF0" w:rsidRDefault="00F77F3D" w:rsidP="00CA4FF0">
      <w:pPr>
        <w:pBdr>
          <w:top w:val="single" w:sz="2" w:space="0" w:color="CCCCCC"/>
        </w:pBdr>
        <w:spacing w:before="120" w:after="200"/>
        <w:jc w:val="both"/>
        <w:rPr>
          <w:rFonts w:ascii="Times New Roman" w:hAnsi="Times New Roman" w:cs="Times New Roman"/>
        </w:rPr>
      </w:pPr>
      <w:r w:rsidRPr="00CA4FF0">
        <w:rPr>
          <w:rFonts w:ascii="Times New Roman" w:hAnsi="Times New Roman" w:cs="Times New Roman"/>
          <w:b/>
          <w:bCs/>
          <w:sz w:val="20"/>
          <w:szCs w:val="20"/>
        </w:rPr>
        <w:t xml:space="preserve">Keywords: </w:t>
      </w:r>
      <w:r w:rsidRPr="00CA4FF0">
        <w:rPr>
          <w:rFonts w:ascii="Times New Roman" w:hAnsi="Times New Roman" w:cs="Times New Roman"/>
          <w:i/>
          <w:iCs/>
          <w:sz w:val="20"/>
          <w:szCs w:val="20"/>
        </w:rPr>
        <w:t>growth monitoring and promotion; child undernutrition; stunting; Sierra Leone; health-seeking behaviour; IYCF; cross-sectional study</w:t>
      </w:r>
    </w:p>
    <w:p w14:paraId="0925669C" w14:textId="77777777" w:rsidR="00355B0D" w:rsidRPr="00CA4FF0" w:rsidRDefault="00F77F3D">
      <w:pPr>
        <w:pStyle w:val="Heading1"/>
        <w:pBdr>
          <w:bottom w:val="single" w:sz="4" w:space="0" w:color="1F4E79"/>
        </w:pBdr>
        <w:rPr>
          <w:rFonts w:ascii="Times New Roman" w:hAnsi="Times New Roman" w:cs="Times New Roman"/>
        </w:rPr>
      </w:pPr>
      <w:r w:rsidRPr="00CA4FF0">
        <w:rPr>
          <w:rFonts w:ascii="Times New Roman" w:hAnsi="Times New Roman" w:cs="Times New Roman"/>
        </w:rPr>
        <w:t>1. INTRODUCTION</w:t>
      </w:r>
    </w:p>
    <w:p w14:paraId="7ADE1D0D" w14:textId="77777777" w:rsidR="00355B0D" w:rsidRPr="00CA4FF0" w:rsidRDefault="00F77F3D">
      <w:pPr>
        <w:pStyle w:val="Heading2"/>
        <w:rPr>
          <w:rFonts w:ascii="Times New Roman" w:hAnsi="Times New Roman" w:cs="Times New Roman"/>
        </w:rPr>
      </w:pPr>
      <w:r w:rsidRPr="00CA4FF0">
        <w:rPr>
          <w:rFonts w:ascii="Times New Roman" w:hAnsi="Times New Roman" w:cs="Times New Roman"/>
        </w:rPr>
        <w:lastRenderedPageBreak/>
        <w:t>1.1 Global and Regional Context</w:t>
      </w:r>
    </w:p>
    <w:p w14:paraId="360D6646"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Child undernutrition constitutes one of the gravest and most persistent public health crises of the twenty-first century. The World Health Organization (WHO) estimates that approximately 149 million children under five years are currently stunted, 45 million are wasted, and over 39 million are overweight — burdens concentrated overwhelmingly in low- and middle-income countries.</w:t>
      </w:r>
      <w:r w:rsidRPr="00CA4FF0">
        <w:rPr>
          <w:rFonts w:ascii="Times New Roman" w:hAnsi="Times New Roman" w:cs="Times New Roman"/>
          <w:color w:val="1F4E79"/>
          <w:sz w:val="18"/>
          <w:szCs w:val="18"/>
          <w:vertAlign w:val="superscript"/>
        </w:rPr>
        <w:t>[1]</w:t>
      </w:r>
      <w:r w:rsidRPr="00CA4FF0">
        <w:rPr>
          <w:rFonts w:ascii="Times New Roman" w:hAnsi="Times New Roman" w:cs="Times New Roman"/>
        </w:rPr>
        <w:t xml:space="preserve"> UNICEF estimates that undernutrition in its various forms contributes to more than 45% of all under-five mortality globally, with survivors bearing lifelong consequences including impaired neurocognitive development, diminished educational attainment, and reduced adult economic productivity.</w:t>
      </w:r>
      <w:r w:rsidRPr="00CA4FF0">
        <w:rPr>
          <w:rFonts w:ascii="Times New Roman" w:hAnsi="Times New Roman" w:cs="Times New Roman"/>
          <w:color w:val="1F4E79"/>
          <w:sz w:val="18"/>
          <w:szCs w:val="18"/>
          <w:vertAlign w:val="superscript"/>
        </w:rPr>
        <w:t>[2]</w:t>
      </w:r>
      <w:r w:rsidRPr="00CA4FF0">
        <w:rPr>
          <w:rFonts w:ascii="Times New Roman" w:hAnsi="Times New Roman" w:cs="Times New Roman"/>
        </w:rPr>
        <w:t xml:space="preserve"> Sub-Saharan Africa shoulders a disproportionate fraction of this burden, accounting for approximately 40% of the world's stunted children and nearly half of all child deaths attributable to undernutrition.</w:t>
      </w:r>
      <w:r w:rsidRPr="00CA4FF0">
        <w:rPr>
          <w:rFonts w:ascii="Times New Roman" w:hAnsi="Times New Roman" w:cs="Times New Roman"/>
          <w:color w:val="1F4E79"/>
          <w:sz w:val="18"/>
          <w:szCs w:val="18"/>
          <w:vertAlign w:val="superscript"/>
        </w:rPr>
        <w:t>[3]</w:t>
      </w:r>
    </w:p>
    <w:p w14:paraId="3B194A4C"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Growth Monitoring and Promotion (GMP) — the regular measurement of a child's anthropometric indices at defined intervals, followed by caregiver counselling and referral — is recognised globally as a high-priority preventive intervention.</w:t>
      </w:r>
      <w:r w:rsidRPr="00CA4FF0">
        <w:rPr>
          <w:rFonts w:ascii="Times New Roman" w:hAnsi="Times New Roman" w:cs="Times New Roman"/>
          <w:color w:val="1F4E79"/>
          <w:sz w:val="18"/>
          <w:szCs w:val="18"/>
          <w:vertAlign w:val="superscript"/>
        </w:rPr>
        <w:t>[8]</w:t>
      </w:r>
      <w:r w:rsidRPr="00CA4FF0">
        <w:rPr>
          <w:rFonts w:ascii="Times New Roman" w:hAnsi="Times New Roman" w:cs="Times New Roman"/>
        </w:rPr>
        <w:t xml:space="preserve"> Its theoretical premise rests on early detection of growth faltering before irreversible damage occurs, triggering timely corrective action. When implemented with quality and consistency, GMP functions simultaneously as a surveillance system, a platform for vitamin A supplementation and immunisation delivery, and a behaviour-change contact point. Seminal evidence from South Asia and Sub-Saharan Africa has demonstrated that children attending GMP regularly exhibit lower odds of severe undernutrition, higher dietary diversity scores, and improved maternal health literacy.</w:t>
      </w:r>
      <w:r w:rsidRPr="00CA4FF0">
        <w:rPr>
          <w:rFonts w:ascii="Times New Roman" w:hAnsi="Times New Roman" w:cs="Times New Roman"/>
          <w:color w:val="1F4E79"/>
          <w:sz w:val="18"/>
          <w:szCs w:val="18"/>
          <w:vertAlign w:val="superscript"/>
        </w:rPr>
        <w:t>[4,5]</w:t>
      </w:r>
    </w:p>
    <w:p w14:paraId="5444084B"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Sierra Leone presents one of the most challenging nutritional environments in West Africa. The country's protracted civil conflict (1991–2002) and the 2014–2016 Ebola epidemic have cumulatively eroded health infrastructure and community trust in health services. The Sierra Leone Demographic and Health Survey 2019 (SLDHS 2019) reported a national stunting prevalence of 29%, a wasting rate of 8%, and an underweight rate of 12% — all above WHO high-concern thresholds — with marked north-south and rural-urban disparities.</w:t>
      </w:r>
      <w:r w:rsidRPr="00CA4FF0">
        <w:rPr>
          <w:rFonts w:ascii="Times New Roman" w:hAnsi="Times New Roman" w:cs="Times New Roman"/>
          <w:color w:val="1F4E79"/>
          <w:sz w:val="18"/>
          <w:szCs w:val="18"/>
          <w:vertAlign w:val="superscript"/>
        </w:rPr>
        <w:t>[6]</w:t>
      </w:r>
      <w:r w:rsidRPr="00CA4FF0">
        <w:rPr>
          <w:rFonts w:ascii="Times New Roman" w:hAnsi="Times New Roman" w:cs="Times New Roman"/>
        </w:rPr>
        <w:t xml:space="preserve"> Falaba District, in the remote Northern Province, exhibits substantially higher rates. GMP is formally integrated into the national Basic Package of Essential Health Services (BPEHS) and mandated through peripheral health units, yet utilisation remains well below programme targets.</w:t>
      </w:r>
    </w:p>
    <w:p w14:paraId="50FF1869" w14:textId="77777777" w:rsidR="00355B0D" w:rsidRPr="00CA4FF0" w:rsidRDefault="00F77F3D">
      <w:pPr>
        <w:pStyle w:val="Heading2"/>
        <w:rPr>
          <w:rFonts w:ascii="Times New Roman" w:hAnsi="Times New Roman" w:cs="Times New Roman"/>
        </w:rPr>
      </w:pPr>
      <w:r w:rsidRPr="00CA4FF0">
        <w:rPr>
          <w:rFonts w:ascii="Times New Roman" w:hAnsi="Times New Roman" w:cs="Times New Roman"/>
        </w:rPr>
        <w:t>1.2 Research Gap and Justification</w:t>
      </w:r>
    </w:p>
    <w:p w14:paraId="655854F3"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A critical evidence gap persists in the existing literature. Studies from Sierra Leone and comparable contexts document either GMP coverage rates or nutritional outcomes in isolation; almost none quantifies the dose-response relationship between GMP attendance quality and anthropometric outcomes while simultaneously identifying independent determinants of attendance through multivariable inference. This conflation of 'ever attended' with 'regularly attended' has obscured the programme-level signal: it is not mere contact but quality, regularity, and integrated service delivery that drive measurable nutritional benefit. Furthermore, studies routinely test knowledge as the primary modifiable lever without adequately adjusting for attitudinal, social network, and health system structural factors — producing recommendations centred on health education that fail to shift population-level utilisation.</w:t>
      </w:r>
    </w:p>
    <w:p w14:paraId="08BFE232"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 xml:space="preserve">The present study addresses three specific gaps: (1) the absence of community-level evidence on GMP utilisation patterns and nutritional outcomes in Sulima Chiefdom, one of Sierra Leone's most geographically isolated and nutritionally vulnerable communities; (2) the lack of multivariable inference on determinants of regular — not merely ever — GMP attendance, controlling for the full socio-ecological determinant space; and (3) the need to quantify the independent effect of GMP attendance on anthropometric z-scores through </w:t>
      </w:r>
      <w:r w:rsidRPr="00CA4FF0">
        <w:rPr>
          <w:rFonts w:ascii="Times New Roman" w:hAnsi="Times New Roman" w:cs="Times New Roman"/>
        </w:rPr>
        <w:lastRenderedPageBreak/>
        <w:t>linear regression, establishing effect sizes necessary for health economic analysis and programme investment decisions.</w:t>
      </w:r>
    </w:p>
    <w:p w14:paraId="44554B91" w14:textId="77777777" w:rsidR="00355B0D" w:rsidRPr="00CA4FF0" w:rsidRDefault="00F77F3D">
      <w:pPr>
        <w:pStyle w:val="Heading1"/>
        <w:pBdr>
          <w:bottom w:val="single" w:sz="4" w:space="0" w:color="1F4E79"/>
        </w:pBdr>
        <w:rPr>
          <w:rFonts w:ascii="Times New Roman" w:hAnsi="Times New Roman" w:cs="Times New Roman"/>
        </w:rPr>
      </w:pPr>
      <w:r w:rsidRPr="00CA4FF0">
        <w:rPr>
          <w:rFonts w:ascii="Times New Roman" w:hAnsi="Times New Roman" w:cs="Times New Roman"/>
        </w:rPr>
        <w:t>2. MATERIALS AND METHODS</w:t>
      </w:r>
    </w:p>
    <w:p w14:paraId="1740C462" w14:textId="77777777" w:rsidR="00355B0D" w:rsidRPr="00CA4FF0" w:rsidRDefault="00F77F3D">
      <w:pPr>
        <w:pStyle w:val="Heading2"/>
        <w:rPr>
          <w:rFonts w:ascii="Times New Roman" w:hAnsi="Times New Roman" w:cs="Times New Roman"/>
        </w:rPr>
      </w:pPr>
      <w:r w:rsidRPr="00CA4FF0">
        <w:rPr>
          <w:rFonts w:ascii="Times New Roman" w:hAnsi="Times New Roman" w:cs="Times New Roman"/>
        </w:rPr>
        <w:t>2.1 Study Design and Setting</w:t>
      </w:r>
    </w:p>
    <w:p w14:paraId="2ABA9AC0"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A community-based cross-sectional study was conducted in Sulima Chiefdom, Falaba District, Northern Province, Sierra Leone, between January and March 2026. Falaba District is geographically remote, characterised by poor road connectivity, seasonal flooding, low literacy, and limited functional health facilities relative to its population. The population comprised mothers or primary caregivers of children aged 0–59 months residing in Sulima Chiefdom.</w:t>
      </w:r>
    </w:p>
    <w:p w14:paraId="53CF859A" w14:textId="77777777" w:rsidR="00355B0D" w:rsidRPr="00CA4FF0" w:rsidRDefault="00F77F3D">
      <w:pPr>
        <w:pStyle w:val="Heading2"/>
        <w:rPr>
          <w:rFonts w:ascii="Times New Roman" w:hAnsi="Times New Roman" w:cs="Times New Roman"/>
        </w:rPr>
      </w:pPr>
      <w:r w:rsidRPr="00CA4FF0">
        <w:rPr>
          <w:rFonts w:ascii="Times New Roman" w:hAnsi="Times New Roman" w:cs="Times New Roman"/>
        </w:rPr>
        <w:t>2.2 Sample Size and Sampling</w:t>
      </w:r>
    </w:p>
    <w:p w14:paraId="5B453438"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A sample size of 617 was determined using the Cochran formula for cross-sectional surveys, based on an anticipated GMP utilisation rate of 50% (maximising sample size at 50% prevalence), with a 5% margin of error, 95% confidence level, and a 10% non-response adjustment. A two-stage cluster sampling approach was employed: in Stage 1, villages and communities were selected by probability proportional to size (PPS); in Stage 2, households with at least one eligible child aged 0–59 months were selected by systematic random sampling. Where a household contained more than one eligible child, the youngest was selected using the Kish grid to avoid intracluster correlation bias.</w:t>
      </w:r>
    </w:p>
    <w:p w14:paraId="08F128EE" w14:textId="77777777" w:rsidR="00355B0D" w:rsidRPr="00CA4FF0" w:rsidRDefault="00F77F3D">
      <w:pPr>
        <w:pStyle w:val="Heading2"/>
        <w:rPr>
          <w:rFonts w:ascii="Times New Roman" w:hAnsi="Times New Roman" w:cs="Times New Roman"/>
        </w:rPr>
      </w:pPr>
      <w:r w:rsidRPr="00CA4FF0">
        <w:rPr>
          <w:rFonts w:ascii="Times New Roman" w:hAnsi="Times New Roman" w:cs="Times New Roman"/>
        </w:rPr>
        <w:t>2.3 Data Collection</w:t>
      </w:r>
    </w:p>
    <w:p w14:paraId="26BBEB1C"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Trained data collectors administered a structured questionnaire across five domains: (A) maternal socio-demographic characteristics; (B) child characteristics and health history; (C) GMP utilisation history and programme quality indicators; (D) maternal knowledge, attitude, and perception regarding GMP and child nutrition; and (E) household and health system factors, including barriers to service access and community health worker contacts. Anthropometric measurements weight (kg), recumbent length or standing height (cm), and MUAC (mm) were taken in triplicate using calibrated instruments following WHO standard operating procedures, with the median recorded. Z-scores were computed using the WHO 2006 Child Growth Standards and the WHO anthro macro.</w:t>
      </w:r>
    </w:p>
    <w:p w14:paraId="123750F0" w14:textId="77777777" w:rsidR="00355B0D" w:rsidRPr="00CA4FF0" w:rsidRDefault="00F77F3D">
      <w:pPr>
        <w:pStyle w:val="Heading2"/>
        <w:rPr>
          <w:rFonts w:ascii="Times New Roman" w:hAnsi="Times New Roman" w:cs="Times New Roman"/>
        </w:rPr>
      </w:pPr>
      <w:r w:rsidRPr="00CA4FF0">
        <w:rPr>
          <w:rFonts w:ascii="Times New Roman" w:hAnsi="Times New Roman" w:cs="Times New Roman"/>
        </w:rPr>
        <w:t>2.4 Outcome Variables</w:t>
      </w:r>
    </w:p>
    <w:p w14:paraId="6F28D0C4"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b/>
          <w:bCs/>
        </w:rPr>
        <w:t xml:space="preserve">Primary outcome: </w:t>
      </w:r>
      <w:r w:rsidRPr="00CA4FF0">
        <w:rPr>
          <w:rFonts w:ascii="Times New Roman" w:hAnsi="Times New Roman" w:cs="Times New Roman"/>
        </w:rPr>
        <w:t>Regular GMP attendance, defined as attending ≥4 GMP sessions in the 6 months preceding the survey (consistent with WHO monthly session protocols), coded as binary (Yes/No).</w:t>
      </w:r>
    </w:p>
    <w:p w14:paraId="0BDDD748"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b/>
          <w:bCs/>
        </w:rPr>
        <w:t xml:space="preserve">Secondary outcomes: </w:t>
      </w:r>
      <w:r w:rsidRPr="00CA4FF0">
        <w:rPr>
          <w:rFonts w:ascii="Times New Roman" w:hAnsi="Times New Roman" w:cs="Times New Roman"/>
        </w:rPr>
        <w:t>Height-for-Age Z-score (HAZ), Weight-for-Age Z-score (WAZ), and Weight-for-Height Z-score (WHZ). Clinical thresholds followed WHO standards: stunting (HAZ &lt;−2 SD), wasting (WHZ &lt;−2 SD), underweight (WAZ &lt;−2 SD), moderate acute malnutrition (MAM: MUAC 115–124 mm), and severe acute malnutrition (SAM: MUAC &lt;115 mm). Global Acute Malnutrition (GAM) = SAM + MAM.</w:t>
      </w:r>
    </w:p>
    <w:p w14:paraId="5898A42B" w14:textId="77777777" w:rsidR="00355B0D" w:rsidRPr="00CA4FF0" w:rsidRDefault="00F77F3D">
      <w:pPr>
        <w:pStyle w:val="Heading2"/>
        <w:rPr>
          <w:rFonts w:ascii="Times New Roman" w:hAnsi="Times New Roman" w:cs="Times New Roman"/>
        </w:rPr>
      </w:pPr>
      <w:r w:rsidRPr="00CA4FF0">
        <w:rPr>
          <w:rFonts w:ascii="Times New Roman" w:hAnsi="Times New Roman" w:cs="Times New Roman"/>
        </w:rPr>
        <w:t>2.5 Statistical Analysis</w:t>
      </w:r>
    </w:p>
    <w:p w14:paraId="72DEFC9B"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 xml:space="preserve">All analyses were conducted using IBM SPSS Statistics (Version 26.0; IBM Corp., Armonk, NY, USA). Continuous variables were described using mean ± standard deviation (SD) for normally distributed data </w:t>
      </w:r>
      <w:r w:rsidRPr="00CA4FF0">
        <w:rPr>
          <w:rFonts w:ascii="Times New Roman" w:hAnsi="Times New Roman" w:cs="Times New Roman"/>
        </w:rPr>
        <w:lastRenderedPageBreak/>
        <w:t>(assessed by Shapiro-Wilk test) or median (interquartile range [IQR]) for non-normal distributions. Categorical variables were presented as frequencies and percentages with 95% Wilson confidence intervals. Bivariable logistic regression estimated crude odds ratios (cOR) with 95% confidence intervals for each candidate predictor of regular GMP attendance. Variables with p&lt;0.25 in bivariable analysis and those with established clinical or programmatic relevance were entered into the multivariable model.</w:t>
      </w:r>
    </w:p>
    <w:p w14:paraId="6F8DB13B"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Multivariable binary logistic regression was performed using the Enter method (forced entry), which is preferred over stepwise selection for confirmatory inference and to prevent spurious variable exclusion due to multicollinearity. Model fit was assessed with the Hosmer-Lemeshow goodness-of-fit test (adequate fit: p&gt;0.05) and the Nagelkerke R² pseudo-coefficient. Multicollinearity was evaluated using the Variance Inflation Factor (VIF); all VIFs were &lt;5.0. Multiple linear regression was performed with HAZ and WAZ as dependent variables, adjusting simultaneously for child age, sex, birth weight, exclusive breastfeeding, recent diarrhoea and ARI episodes, vitamin A supplementation status, maternal knowledge category, household food security, IYCF counselling exposure, and distance to the primary health centre. A dose-response analysis examined the relationship between GMP visit frequency and stunting prevalence and mean HAZ. Statistical significance was defined at p&lt;0.05 (two-tailed); borderline trends at p&lt;0.10 are noted where relevant. Effect sizes are reported using Cohen's d for mean differences and Nagelkerke R² for logistic models.</w:t>
      </w:r>
    </w:p>
    <w:p w14:paraId="29D50611" w14:textId="77777777" w:rsidR="00355B0D" w:rsidRPr="00CA4FF0" w:rsidRDefault="00F77F3D">
      <w:pPr>
        <w:pStyle w:val="Heading2"/>
        <w:rPr>
          <w:rFonts w:ascii="Times New Roman" w:hAnsi="Times New Roman" w:cs="Times New Roman"/>
        </w:rPr>
      </w:pPr>
      <w:r w:rsidRPr="00CA4FF0">
        <w:rPr>
          <w:rFonts w:ascii="Times New Roman" w:hAnsi="Times New Roman" w:cs="Times New Roman"/>
        </w:rPr>
        <w:t>2.6 Ethical Considerations</w:t>
      </w:r>
    </w:p>
    <w:p w14:paraId="6C5687B9"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Ethical approval was obtained from the Institutional Review Board of Njala University and the Sierra Leone Ethics and Scientific Review Committee. Informed written consent was obtained from all participants prior to data collection. Participation was voluntary, and confidentiality was assured through data anonymisation. Children identified with SAM during anthropometric screening were immediately referred to the nearest CMAM-capable facility.</w:t>
      </w:r>
    </w:p>
    <w:p w14:paraId="4EA1C455" w14:textId="77777777" w:rsidR="00355B0D" w:rsidRPr="00CA4FF0" w:rsidRDefault="00F77F3D">
      <w:pPr>
        <w:pStyle w:val="Heading1"/>
        <w:pBdr>
          <w:bottom w:val="single" w:sz="4" w:space="0" w:color="1F4E79"/>
        </w:pBdr>
        <w:rPr>
          <w:rFonts w:ascii="Times New Roman" w:hAnsi="Times New Roman" w:cs="Times New Roman"/>
        </w:rPr>
      </w:pPr>
      <w:r w:rsidRPr="00CA4FF0">
        <w:rPr>
          <w:rFonts w:ascii="Times New Roman" w:hAnsi="Times New Roman" w:cs="Times New Roman"/>
        </w:rPr>
        <w:t>3. RESULTS</w:t>
      </w:r>
    </w:p>
    <w:p w14:paraId="2EF5E219" w14:textId="77777777" w:rsidR="00355B0D" w:rsidRPr="00CA4FF0" w:rsidRDefault="00F77F3D">
      <w:pPr>
        <w:pStyle w:val="Heading2"/>
        <w:rPr>
          <w:rFonts w:ascii="Times New Roman" w:hAnsi="Times New Roman" w:cs="Times New Roman"/>
        </w:rPr>
      </w:pPr>
      <w:r w:rsidRPr="00CA4FF0">
        <w:rPr>
          <w:rFonts w:ascii="Times New Roman" w:hAnsi="Times New Roman" w:cs="Times New Roman"/>
        </w:rPr>
        <w:t>3.1 Sample Characteristics</w:t>
      </w:r>
    </w:p>
    <w:p w14:paraId="29EF9E2B"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A total of 617 mother–child dyads were enrolled, achieving the target sample with a response rate of 97.3%. The majority of mothers were married (69.4%), aged 20–24 years (38.1%), and residing in villages (72.6%). Over 76% of households had a monthly income below 1,000,000 SLL (&lt;US$50), and 44.2% fell below 500,000 SLL, indicating profound economic vulnerability. Formal education was absent among 45.2% of mothers (n=279), with only 4.9% completing tertiary education. Household food insecurity was near-universal: only 18.0% of households were food secure, while 15.9% were severely food insecure. Children were approximately equally distributed by sex (54.5% male) across the 0–59-month spectrum. Low birth weight was reported in 14.1% (n=87), and only 25.6% of children had been exclusively breastfed for the first six months. Full vaccination coverage was achieved in 51.9% (n=320). Detailed characteristics are presented in Table 1 (Supplementary Material).</w:t>
      </w:r>
    </w:p>
    <w:p w14:paraId="68939D3A" w14:textId="77777777" w:rsidR="00355B0D" w:rsidRPr="00CA4FF0" w:rsidRDefault="00F77F3D">
      <w:pPr>
        <w:pStyle w:val="Heading2"/>
        <w:rPr>
          <w:rFonts w:ascii="Times New Roman" w:hAnsi="Times New Roman" w:cs="Times New Roman"/>
        </w:rPr>
      </w:pPr>
      <w:r w:rsidRPr="00CA4FF0">
        <w:rPr>
          <w:rFonts w:ascii="Times New Roman" w:hAnsi="Times New Roman" w:cs="Times New Roman"/>
        </w:rPr>
        <w:t>3.2 GMP Utilisation</w:t>
      </w:r>
    </w:p>
    <w:p w14:paraId="0203B076"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 xml:space="preserve">Of 617 children, 480 (77.8%, 95% CI: 74.5–81.1%) had ever attended a GMP session. However, regular attendance — ≥4 sessions in the past six months was substantially lower at 41.8% (n=258, 95% CI: 37.9–45.7%). Continuity of GMP participation since birth was maintained in only 43.1% (n=266). Among GMP attendees, 64.3% received nutrition counselling, 55.4% received growth chart explanation, and 64.0% had a </w:t>
      </w:r>
      <w:r w:rsidRPr="00CA4FF0">
        <w:rPr>
          <w:rFonts w:ascii="Times New Roman" w:hAnsi="Times New Roman" w:cs="Times New Roman"/>
        </w:rPr>
        <w:lastRenderedPageBreak/>
        <w:t>child health card available. These figures indicate a notable dissociation between physical attendance and service quality receipt</w:t>
      </w:r>
      <w:r w:rsidR="00CA4FF0" w:rsidRPr="00CA4FF0">
        <w:rPr>
          <w:rFonts w:ascii="Times New Roman" w:hAnsi="Times New Roman" w:cs="Times New Roman"/>
        </w:rPr>
        <w:t xml:space="preserve"> </w:t>
      </w:r>
      <w:r w:rsidRPr="00CA4FF0">
        <w:rPr>
          <w:rFonts w:ascii="Times New Roman" w:hAnsi="Times New Roman" w:cs="Times New Roman"/>
        </w:rPr>
        <w:t xml:space="preserve"> a pattern with direct implications for programme effectiveness.</w:t>
      </w:r>
    </w:p>
    <w:p w14:paraId="6295520B"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 xml:space="preserve">The gap between ever-attendance (77.8%) and regular attendance (41.8%) a </w:t>
      </w:r>
      <w:r w:rsidRPr="00CA4FF0">
        <w:rPr>
          <w:rFonts w:ascii="Times New Roman" w:hAnsi="Times New Roman" w:cs="Times New Roman"/>
          <w:b/>
          <w:bCs/>
        </w:rPr>
        <w:t>36 percentage-point deficit</w:t>
      </w:r>
      <w:r w:rsidRPr="00CA4FF0">
        <w:rPr>
          <w:rFonts w:ascii="Times New Roman" w:hAnsi="Times New Roman" w:cs="Times New Roman"/>
        </w:rPr>
        <w:t xml:space="preserve"> constitutes the central programmatic finding of this study. It implies that while community awareness of GMP exists, sustained, quality engagement remains the critical unmet target.</w:t>
      </w:r>
    </w:p>
    <w:p w14:paraId="15794C2A" w14:textId="77777777" w:rsidR="00355B0D" w:rsidRPr="00CA4FF0" w:rsidRDefault="00F77F3D">
      <w:pPr>
        <w:pStyle w:val="Heading2"/>
        <w:rPr>
          <w:rFonts w:ascii="Times New Roman" w:hAnsi="Times New Roman" w:cs="Times New Roman"/>
        </w:rPr>
      </w:pPr>
      <w:r w:rsidRPr="00CA4FF0">
        <w:rPr>
          <w:rFonts w:ascii="Times New Roman" w:hAnsi="Times New Roman" w:cs="Times New Roman"/>
        </w:rPr>
        <w:t>3.3 Nutritional Status</w:t>
      </w:r>
    </w:p>
    <w:p w14:paraId="696B9B68"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 xml:space="preserve">Table 2 presents nutritional status indicators for the full sample. The overall stunting prevalence was 28.7% (95% CI: 25.1–32.3%), exceeding the WHO threshold of 20% that defines high public health concern and mirroring the SLDHS 2019 national estimate of 29%. </w:t>
      </w:r>
      <w:r w:rsidRPr="00CA4FF0">
        <w:rPr>
          <w:rFonts w:ascii="Times New Roman" w:hAnsi="Times New Roman" w:cs="Times New Roman"/>
          <w:i/>
          <w:iCs/>
        </w:rPr>
        <w:t xml:space="preserve">Global Acute Malnutrition (GAM) </w:t>
      </w:r>
      <w:r w:rsidRPr="00CA4FF0">
        <w:rPr>
          <w:rFonts w:ascii="Times New Roman" w:hAnsi="Times New Roman" w:cs="Times New Roman"/>
        </w:rPr>
        <w:t>prevalence reached 18.3% (95% CI: 15.3–21.4%), exceeding the WHO emergency threshold of 15% and indicating a nutrition emergency in this population. Wasting affected 8.1% of children (exceeding the WHO critical threshold of 5%), underweight 22.4%, SAM 1.0%, and MAM 18.2%. Mean anthropometric z-scores were: HAZ −1.30 ± 1.23, WAZ −1.13 ± 1.12, and WHZ −0.51 ± 1.07. Stunting increased with age, peaking in the 36–47-month age group (36.5%), consistent with cumulative growth faltering during the complementary feeding transition period.</w:t>
      </w:r>
    </w:p>
    <w:p w14:paraId="6035CECE" w14:textId="77777777" w:rsidR="00355B0D" w:rsidRPr="00CA4FF0" w:rsidRDefault="00F77F3D">
      <w:pPr>
        <w:spacing w:before="200" w:after="80"/>
        <w:rPr>
          <w:rFonts w:ascii="Times New Roman" w:hAnsi="Times New Roman" w:cs="Times New Roman"/>
        </w:rPr>
      </w:pPr>
      <w:r w:rsidRPr="00CA4FF0">
        <w:rPr>
          <w:rFonts w:ascii="Times New Roman" w:hAnsi="Times New Roman" w:cs="Times New Roman"/>
          <w:b/>
          <w:bCs/>
        </w:rPr>
        <w:t xml:space="preserve">Table 2. </w:t>
      </w:r>
      <w:r w:rsidRPr="00CA4FF0">
        <w:rPr>
          <w:rFonts w:ascii="Times New Roman" w:hAnsi="Times New Roman" w:cs="Times New Roman"/>
        </w:rPr>
        <w:t>Nutritional status of children under five years, Sulima Chiefdom, Sierra Leone (N=617)</w:t>
      </w:r>
    </w:p>
    <w:tbl>
      <w:tblPr>
        <w:tblW w:w="9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06"/>
        <w:gridCol w:w="1014"/>
        <w:gridCol w:w="1364"/>
        <w:gridCol w:w="985"/>
        <w:gridCol w:w="985"/>
        <w:gridCol w:w="1913"/>
      </w:tblGrid>
      <w:tr w:rsidR="00355B0D" w:rsidRPr="00CA4FF0" w14:paraId="6FEB88A7" w14:textId="77777777" w:rsidTr="00CA4FF0">
        <w:trPr>
          <w:trHeight w:val="431"/>
        </w:trPr>
        <w:tc>
          <w:tcPr>
            <w:tcW w:w="2906"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0B4B8F81" w14:textId="77777777" w:rsidR="00355B0D" w:rsidRPr="00CA4FF0" w:rsidRDefault="00F77F3D">
            <w:pPr>
              <w:jc w:val="center"/>
              <w:rPr>
                <w:rFonts w:ascii="Times New Roman" w:hAnsi="Times New Roman" w:cs="Times New Roman"/>
              </w:rPr>
            </w:pPr>
            <w:r w:rsidRPr="00CA4FF0">
              <w:rPr>
                <w:rFonts w:ascii="Times New Roman" w:hAnsi="Times New Roman" w:cs="Times New Roman"/>
                <w:b/>
                <w:bCs/>
                <w:color w:val="FFFFFF"/>
                <w:sz w:val="18"/>
                <w:szCs w:val="18"/>
              </w:rPr>
              <w:t>Nutritional Indicator</w:t>
            </w:r>
          </w:p>
        </w:tc>
        <w:tc>
          <w:tcPr>
            <w:tcW w:w="1014"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6CCCF318" w14:textId="77777777" w:rsidR="00355B0D" w:rsidRPr="00CA4FF0" w:rsidRDefault="00F77F3D">
            <w:pPr>
              <w:jc w:val="center"/>
              <w:rPr>
                <w:rFonts w:ascii="Times New Roman" w:hAnsi="Times New Roman" w:cs="Times New Roman"/>
              </w:rPr>
            </w:pPr>
            <w:r w:rsidRPr="00CA4FF0">
              <w:rPr>
                <w:rFonts w:ascii="Times New Roman" w:hAnsi="Times New Roman" w:cs="Times New Roman"/>
                <w:b/>
                <w:bCs/>
                <w:color w:val="FFFFFF"/>
                <w:sz w:val="18"/>
                <w:szCs w:val="18"/>
              </w:rPr>
              <w:t>n</w:t>
            </w:r>
          </w:p>
        </w:tc>
        <w:tc>
          <w:tcPr>
            <w:tcW w:w="1364"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0D96D882" w14:textId="77777777" w:rsidR="00355B0D" w:rsidRPr="00CA4FF0" w:rsidRDefault="00F77F3D">
            <w:pPr>
              <w:jc w:val="center"/>
              <w:rPr>
                <w:rFonts w:ascii="Times New Roman" w:hAnsi="Times New Roman" w:cs="Times New Roman"/>
              </w:rPr>
            </w:pPr>
            <w:r w:rsidRPr="00CA4FF0">
              <w:rPr>
                <w:rFonts w:ascii="Times New Roman" w:hAnsi="Times New Roman" w:cs="Times New Roman"/>
                <w:b/>
                <w:bCs/>
                <w:color w:val="FFFFFF"/>
                <w:sz w:val="18"/>
                <w:szCs w:val="18"/>
              </w:rPr>
              <w:t>Prevalence (%)</w:t>
            </w:r>
          </w:p>
        </w:tc>
        <w:tc>
          <w:tcPr>
            <w:tcW w:w="985"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6EFC9F35" w14:textId="77777777" w:rsidR="00355B0D" w:rsidRPr="00CA4FF0" w:rsidRDefault="00F77F3D">
            <w:pPr>
              <w:jc w:val="center"/>
              <w:rPr>
                <w:rFonts w:ascii="Times New Roman" w:hAnsi="Times New Roman" w:cs="Times New Roman"/>
              </w:rPr>
            </w:pPr>
            <w:r w:rsidRPr="00CA4FF0">
              <w:rPr>
                <w:rFonts w:ascii="Times New Roman" w:hAnsi="Times New Roman" w:cs="Times New Roman"/>
                <w:b/>
                <w:bCs/>
                <w:color w:val="FFFFFF"/>
                <w:sz w:val="18"/>
                <w:szCs w:val="18"/>
              </w:rPr>
              <w:t>95% CI Lower</w:t>
            </w:r>
          </w:p>
        </w:tc>
        <w:tc>
          <w:tcPr>
            <w:tcW w:w="985"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6C74A5FE" w14:textId="77777777" w:rsidR="00355B0D" w:rsidRPr="00CA4FF0" w:rsidRDefault="00F77F3D">
            <w:pPr>
              <w:jc w:val="center"/>
              <w:rPr>
                <w:rFonts w:ascii="Times New Roman" w:hAnsi="Times New Roman" w:cs="Times New Roman"/>
              </w:rPr>
            </w:pPr>
            <w:r w:rsidRPr="00CA4FF0">
              <w:rPr>
                <w:rFonts w:ascii="Times New Roman" w:hAnsi="Times New Roman" w:cs="Times New Roman"/>
                <w:b/>
                <w:bCs/>
                <w:color w:val="FFFFFF"/>
                <w:sz w:val="18"/>
                <w:szCs w:val="18"/>
              </w:rPr>
              <w:t>95% CI Upper</w:t>
            </w:r>
          </w:p>
        </w:tc>
        <w:tc>
          <w:tcPr>
            <w:tcW w:w="1913"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5210F749" w14:textId="77777777" w:rsidR="00355B0D" w:rsidRPr="00CA4FF0" w:rsidRDefault="00F77F3D">
            <w:pPr>
              <w:jc w:val="center"/>
              <w:rPr>
                <w:rFonts w:ascii="Times New Roman" w:hAnsi="Times New Roman" w:cs="Times New Roman"/>
              </w:rPr>
            </w:pPr>
            <w:r w:rsidRPr="00CA4FF0">
              <w:rPr>
                <w:rFonts w:ascii="Times New Roman" w:hAnsi="Times New Roman" w:cs="Times New Roman"/>
                <w:b/>
                <w:bCs/>
                <w:color w:val="FFFFFF"/>
                <w:sz w:val="18"/>
                <w:szCs w:val="18"/>
              </w:rPr>
              <w:t>WHO Threshold</w:t>
            </w:r>
          </w:p>
        </w:tc>
      </w:tr>
      <w:tr w:rsidR="00355B0D" w:rsidRPr="00CA4FF0" w14:paraId="17E7C063" w14:textId="77777777" w:rsidTr="00CA4FF0">
        <w:trPr>
          <w:trHeight w:val="529"/>
        </w:trPr>
        <w:tc>
          <w:tcPr>
            <w:tcW w:w="2906"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39E66667"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Stunting (HAZ &lt;−2 SD)</w:t>
            </w:r>
          </w:p>
        </w:tc>
        <w:tc>
          <w:tcPr>
            <w:tcW w:w="1014"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56F36172"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177</w:t>
            </w:r>
          </w:p>
        </w:tc>
        <w:tc>
          <w:tcPr>
            <w:tcW w:w="1364"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51EE3F0F"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28.7</w:t>
            </w:r>
          </w:p>
        </w:tc>
        <w:tc>
          <w:tcPr>
            <w:tcW w:w="985"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3BF60AD3"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25.1</w:t>
            </w:r>
          </w:p>
        </w:tc>
        <w:tc>
          <w:tcPr>
            <w:tcW w:w="985"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690A1B77"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32.3</w:t>
            </w:r>
          </w:p>
        </w:tc>
        <w:tc>
          <w:tcPr>
            <w:tcW w:w="1913"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43CC83C4"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&gt;20% high concern</w:t>
            </w:r>
          </w:p>
        </w:tc>
      </w:tr>
      <w:tr w:rsidR="00355B0D" w:rsidRPr="00CA4FF0" w14:paraId="59DB7661" w14:textId="77777777" w:rsidTr="00CA4FF0">
        <w:trPr>
          <w:trHeight w:val="264"/>
        </w:trPr>
        <w:tc>
          <w:tcPr>
            <w:tcW w:w="290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0CC42B3"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Wasting (WHZ &lt;−2 SD)</w:t>
            </w:r>
          </w:p>
        </w:tc>
        <w:tc>
          <w:tcPr>
            <w:tcW w:w="101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727915D"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50</w:t>
            </w:r>
          </w:p>
        </w:tc>
        <w:tc>
          <w:tcPr>
            <w:tcW w:w="136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4006970"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8.1</w:t>
            </w:r>
          </w:p>
        </w:tc>
        <w:tc>
          <w:tcPr>
            <w:tcW w:w="98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ED9C090"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6.0</w:t>
            </w:r>
          </w:p>
        </w:tc>
        <w:tc>
          <w:tcPr>
            <w:tcW w:w="98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2BD03BE"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10.3</w:t>
            </w:r>
          </w:p>
        </w:tc>
        <w:tc>
          <w:tcPr>
            <w:tcW w:w="191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845690A"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&gt;5% critical</w:t>
            </w:r>
          </w:p>
        </w:tc>
      </w:tr>
      <w:tr w:rsidR="00355B0D" w:rsidRPr="00CA4FF0" w14:paraId="67DBF0A2" w14:textId="77777777" w:rsidTr="00CA4FF0">
        <w:trPr>
          <w:trHeight w:val="519"/>
        </w:trPr>
        <w:tc>
          <w:tcPr>
            <w:tcW w:w="2906"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53594798"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Underweight (WAZ &lt;−2 SD)</w:t>
            </w:r>
          </w:p>
        </w:tc>
        <w:tc>
          <w:tcPr>
            <w:tcW w:w="1014"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231C82B0"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138</w:t>
            </w:r>
          </w:p>
        </w:tc>
        <w:tc>
          <w:tcPr>
            <w:tcW w:w="1364"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17CE6611"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22.4</w:t>
            </w:r>
          </w:p>
        </w:tc>
        <w:tc>
          <w:tcPr>
            <w:tcW w:w="985"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642E62A1"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19.1</w:t>
            </w:r>
          </w:p>
        </w:tc>
        <w:tc>
          <w:tcPr>
            <w:tcW w:w="985"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628AAD20"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25.7</w:t>
            </w:r>
          </w:p>
        </w:tc>
        <w:tc>
          <w:tcPr>
            <w:tcW w:w="1913"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7D20A161"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&gt;20% high concern</w:t>
            </w:r>
          </w:p>
        </w:tc>
      </w:tr>
      <w:tr w:rsidR="00355B0D" w:rsidRPr="00CA4FF0" w14:paraId="543601FE" w14:textId="77777777" w:rsidTr="00CA4FF0">
        <w:trPr>
          <w:trHeight w:val="558"/>
        </w:trPr>
        <w:tc>
          <w:tcPr>
            <w:tcW w:w="290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BAB745A"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Global Acute Malnutrition (GAM)</w:t>
            </w:r>
          </w:p>
        </w:tc>
        <w:tc>
          <w:tcPr>
            <w:tcW w:w="101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B9BAA69"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113</w:t>
            </w:r>
          </w:p>
        </w:tc>
        <w:tc>
          <w:tcPr>
            <w:tcW w:w="136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DE578F4"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18.3</w:t>
            </w:r>
          </w:p>
        </w:tc>
        <w:tc>
          <w:tcPr>
            <w:tcW w:w="98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75DF765"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15.3</w:t>
            </w:r>
          </w:p>
        </w:tc>
        <w:tc>
          <w:tcPr>
            <w:tcW w:w="98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AE88D7F"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21.4</w:t>
            </w:r>
          </w:p>
        </w:tc>
        <w:tc>
          <w:tcPr>
            <w:tcW w:w="191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68916A2"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 xml:space="preserve">&gt;15% emergency </w:t>
            </w:r>
            <w:r w:rsidRPr="00CA4FF0">
              <w:rPr>
                <w:rFonts w:ascii="Segoe UI Symbol" w:hAnsi="Segoe UI Symbol" w:cs="Segoe UI Symbol"/>
              </w:rPr>
              <w:t>★</w:t>
            </w:r>
          </w:p>
        </w:tc>
      </w:tr>
      <w:tr w:rsidR="00355B0D" w:rsidRPr="00CA4FF0" w14:paraId="5AE5B261" w14:textId="77777777" w:rsidTr="00CA4FF0">
        <w:trPr>
          <w:trHeight w:val="529"/>
        </w:trPr>
        <w:tc>
          <w:tcPr>
            <w:tcW w:w="2906"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36F74F81"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Moderate Acute Malnutrition (MAM)</w:t>
            </w:r>
          </w:p>
        </w:tc>
        <w:tc>
          <w:tcPr>
            <w:tcW w:w="1014"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48B1E6B9"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112</w:t>
            </w:r>
          </w:p>
        </w:tc>
        <w:tc>
          <w:tcPr>
            <w:tcW w:w="1364"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6BED1F65"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18.2</w:t>
            </w:r>
          </w:p>
        </w:tc>
        <w:tc>
          <w:tcPr>
            <w:tcW w:w="985"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02DA5DE1"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15.1</w:t>
            </w:r>
          </w:p>
        </w:tc>
        <w:tc>
          <w:tcPr>
            <w:tcW w:w="985"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0E5041B4"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21.2</w:t>
            </w:r>
          </w:p>
        </w:tc>
        <w:tc>
          <w:tcPr>
            <w:tcW w:w="1913"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37F55C60"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p>
        </w:tc>
      </w:tr>
      <w:tr w:rsidR="00355B0D" w:rsidRPr="00CA4FF0" w14:paraId="2B3DA080" w14:textId="77777777" w:rsidTr="00CA4FF0">
        <w:trPr>
          <w:trHeight w:val="519"/>
        </w:trPr>
        <w:tc>
          <w:tcPr>
            <w:tcW w:w="290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8F91578"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Severe Acute Malnutrition (SAM)</w:t>
            </w:r>
          </w:p>
        </w:tc>
        <w:tc>
          <w:tcPr>
            <w:tcW w:w="101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6B97B74"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6</w:t>
            </w:r>
          </w:p>
        </w:tc>
        <w:tc>
          <w:tcPr>
            <w:tcW w:w="136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4C1E955"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1.0</w:t>
            </w:r>
          </w:p>
        </w:tc>
        <w:tc>
          <w:tcPr>
            <w:tcW w:w="98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E2133B4"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0.2</w:t>
            </w:r>
          </w:p>
        </w:tc>
        <w:tc>
          <w:tcPr>
            <w:tcW w:w="98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AC9415A"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1.7</w:t>
            </w:r>
          </w:p>
        </w:tc>
        <w:tc>
          <w:tcPr>
            <w:tcW w:w="191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5DD060B"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p>
        </w:tc>
      </w:tr>
      <w:tr w:rsidR="00355B0D" w:rsidRPr="00CA4FF0" w14:paraId="755F1504" w14:textId="77777777" w:rsidTr="00CA4FF0">
        <w:trPr>
          <w:trHeight w:val="529"/>
        </w:trPr>
        <w:tc>
          <w:tcPr>
            <w:tcW w:w="2906"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7643136E"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Mean HAZ (±SD)</w:t>
            </w:r>
          </w:p>
        </w:tc>
        <w:tc>
          <w:tcPr>
            <w:tcW w:w="1014"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064D675D"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−1.30 ± 1.23</w:t>
            </w:r>
          </w:p>
        </w:tc>
        <w:tc>
          <w:tcPr>
            <w:tcW w:w="1364"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62830CC3"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p>
        </w:tc>
        <w:tc>
          <w:tcPr>
            <w:tcW w:w="985"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588D7499"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p>
        </w:tc>
        <w:tc>
          <w:tcPr>
            <w:tcW w:w="985"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45BEF0AA"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p>
        </w:tc>
        <w:tc>
          <w:tcPr>
            <w:tcW w:w="1913"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492396DA"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0.00</w:t>
            </w:r>
          </w:p>
        </w:tc>
      </w:tr>
      <w:tr w:rsidR="00355B0D" w:rsidRPr="00CA4FF0" w14:paraId="384837A6" w14:textId="77777777" w:rsidTr="00CA4FF0">
        <w:trPr>
          <w:trHeight w:val="529"/>
        </w:trPr>
        <w:tc>
          <w:tcPr>
            <w:tcW w:w="290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BB622E7"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Mean WAZ (±SD)</w:t>
            </w:r>
          </w:p>
        </w:tc>
        <w:tc>
          <w:tcPr>
            <w:tcW w:w="101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565D9D9"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−1.13 ± 1.12</w:t>
            </w:r>
          </w:p>
        </w:tc>
        <w:tc>
          <w:tcPr>
            <w:tcW w:w="136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F63432E"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p>
        </w:tc>
        <w:tc>
          <w:tcPr>
            <w:tcW w:w="98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E152488"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p>
        </w:tc>
        <w:tc>
          <w:tcPr>
            <w:tcW w:w="98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C277A08"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p>
        </w:tc>
        <w:tc>
          <w:tcPr>
            <w:tcW w:w="191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1814BDD"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0.00</w:t>
            </w:r>
          </w:p>
        </w:tc>
      </w:tr>
      <w:tr w:rsidR="00355B0D" w:rsidRPr="00CA4FF0" w14:paraId="7E4D4D7D" w14:textId="77777777" w:rsidTr="00CA4FF0">
        <w:trPr>
          <w:trHeight w:val="529"/>
        </w:trPr>
        <w:tc>
          <w:tcPr>
            <w:tcW w:w="2906"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458BB764"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Mean WHZ (±SD)</w:t>
            </w:r>
          </w:p>
        </w:tc>
        <w:tc>
          <w:tcPr>
            <w:tcW w:w="1014"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1C075A3C"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−0.51 ± 1.07</w:t>
            </w:r>
          </w:p>
        </w:tc>
        <w:tc>
          <w:tcPr>
            <w:tcW w:w="1364"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611D80A5"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p>
        </w:tc>
        <w:tc>
          <w:tcPr>
            <w:tcW w:w="985"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43DD1368"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p>
        </w:tc>
        <w:tc>
          <w:tcPr>
            <w:tcW w:w="985"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133E51FA"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p>
        </w:tc>
        <w:tc>
          <w:tcPr>
            <w:tcW w:w="1913"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58DBAB73"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0.00</w:t>
            </w:r>
          </w:p>
        </w:tc>
      </w:tr>
      <w:tr w:rsidR="00355B0D" w:rsidRPr="00CA4FF0" w14:paraId="1646BFE4" w14:textId="77777777" w:rsidTr="00CA4FF0">
        <w:trPr>
          <w:trHeight w:val="519"/>
        </w:trPr>
        <w:tc>
          <w:tcPr>
            <w:tcW w:w="2906"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6A2B822"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Mean MUAC, mm (±SD)</w:t>
            </w:r>
          </w:p>
        </w:tc>
        <w:tc>
          <w:tcPr>
            <w:tcW w:w="101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B7ED6C7"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131.84 ± 7.55</w:t>
            </w:r>
          </w:p>
        </w:tc>
        <w:tc>
          <w:tcPr>
            <w:tcW w:w="1364"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C0275D3"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p>
        </w:tc>
        <w:tc>
          <w:tcPr>
            <w:tcW w:w="98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56ED7D8"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p>
        </w:tc>
        <w:tc>
          <w:tcPr>
            <w:tcW w:w="98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85B8283"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p>
        </w:tc>
        <w:tc>
          <w:tcPr>
            <w:tcW w:w="1913"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9AABDF9"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≥125 mm normal</w:t>
            </w:r>
          </w:p>
        </w:tc>
      </w:tr>
    </w:tbl>
    <w:p w14:paraId="333C5DC7" w14:textId="77777777" w:rsidR="00355B0D" w:rsidRPr="00CA4FF0" w:rsidRDefault="00F77F3D">
      <w:pPr>
        <w:pBdr>
          <w:top w:val="single" w:sz="2" w:space="0" w:color="CCCCCC"/>
        </w:pBdr>
        <w:spacing w:before="60" w:after="60"/>
        <w:rPr>
          <w:rFonts w:ascii="Times New Roman" w:hAnsi="Times New Roman" w:cs="Times New Roman"/>
        </w:rPr>
      </w:pPr>
      <w:r w:rsidRPr="00CA4FF0">
        <w:rPr>
          <w:rFonts w:ascii="Segoe UI Symbol" w:hAnsi="Segoe UI Symbol" w:cs="Segoe UI Symbol"/>
          <w:i/>
          <w:iCs/>
          <w:color w:val="555555"/>
          <w:sz w:val="18"/>
          <w:szCs w:val="18"/>
        </w:rPr>
        <w:t>★</w:t>
      </w:r>
      <w:r w:rsidRPr="00CA4FF0">
        <w:rPr>
          <w:rFonts w:ascii="Times New Roman" w:hAnsi="Times New Roman" w:cs="Times New Roman"/>
          <w:i/>
          <w:iCs/>
          <w:color w:val="555555"/>
          <w:sz w:val="18"/>
          <w:szCs w:val="18"/>
        </w:rPr>
        <w:t xml:space="preserve"> GAM ≥15% denotes a nutrition emergency per WHO/UNHCR standards. HAZ = Height-for-Age Z-score; WAZ = Weight-for-Age Z-score; WHZ = Weight-for-Height Z-score; MUAC = Mid-Upper Arm Circumference; SD = Standard Deviation.</w:t>
      </w:r>
    </w:p>
    <w:p w14:paraId="2DE66DDE" w14:textId="77777777" w:rsidR="00355B0D" w:rsidRPr="00CA4FF0" w:rsidRDefault="00355B0D">
      <w:pPr>
        <w:spacing w:after="80"/>
        <w:rPr>
          <w:rFonts w:ascii="Times New Roman" w:hAnsi="Times New Roman" w:cs="Times New Roman"/>
        </w:rPr>
      </w:pPr>
    </w:p>
    <w:p w14:paraId="7C119791" w14:textId="77777777" w:rsidR="00355B0D" w:rsidRPr="00CA4FF0" w:rsidRDefault="00F77F3D">
      <w:pPr>
        <w:pStyle w:val="Heading2"/>
        <w:rPr>
          <w:rFonts w:ascii="Times New Roman" w:hAnsi="Times New Roman" w:cs="Times New Roman"/>
        </w:rPr>
      </w:pPr>
      <w:r w:rsidRPr="00CA4FF0">
        <w:rPr>
          <w:rFonts w:ascii="Times New Roman" w:hAnsi="Times New Roman" w:cs="Times New Roman"/>
        </w:rPr>
        <w:t>3.4 Association Between GMP Attendance and Nutritional Outcomes</w:t>
      </w:r>
    </w:p>
    <w:p w14:paraId="49F07F2D"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The association between regular GMP attendance and nutritional outcomes was consistent across all anthropometric indicators (Table 3). Stunting prevalence was 19.0% among regular attendees versus 35.7% among irregular attendees (OR=0.42, 95% CI: 0.29–0.62, p&lt;0.001) — a near-halving of stunting risk. GAM prevalence was 14.0% versus 21.4% (OR=0.59, 95% CI: 0.39–0.92, p=0.023). Wasting was 4.7% in regular attendees versus 10.6% in irregular attendees (OR=0.41, 95% CI: 0.21–0.81, p=0.012). Underweight affected 17.8% of regular versus 25.6% of irregular attendees (OR=0.63, 95% CI: 0.42–0.94, p=0.028).</w:t>
      </w:r>
    </w:p>
    <w:p w14:paraId="2A4BB199"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 xml:space="preserve">The difference in continuous anthropometric z-scores was statistically significant and clinically meaningful. Regular GMP attendees had a mean HAZ of −1.009 (SD=1.200) compared to −1.502 (SD=1.211) among irregular attendees (mean difference: </w:t>
      </w:r>
      <w:r w:rsidRPr="00CA4FF0">
        <w:rPr>
          <w:rFonts w:ascii="Times New Roman" w:hAnsi="Times New Roman" w:cs="Times New Roman"/>
          <w:b/>
          <w:bCs/>
        </w:rPr>
        <w:t>+0.493 SD</w:t>
      </w:r>
      <w:r w:rsidRPr="00CA4FF0">
        <w:rPr>
          <w:rFonts w:ascii="Times New Roman" w:hAnsi="Times New Roman" w:cs="Times New Roman"/>
        </w:rPr>
        <w:t>; t[615]=5.01, p&lt;0.001; Cohen's d=0.41 — a moderate effect). For WAZ, the difference was +0.355 SD (−0.920 vs −1.275; t[615]=3.94, p&lt;0.001; Cohen's d=0.32). For WHZ, the difference was +0.407 SD (−0.272 vs −0.679; t[615]=4.72, p&lt;0.001; Cohen's d=0.39).</w:t>
      </w:r>
    </w:p>
    <w:p w14:paraId="34E902AA" w14:textId="77777777" w:rsidR="00355B0D" w:rsidRPr="00CA4FF0" w:rsidRDefault="00F77F3D">
      <w:pPr>
        <w:spacing w:before="200" w:after="80"/>
        <w:rPr>
          <w:rFonts w:ascii="Times New Roman" w:hAnsi="Times New Roman" w:cs="Times New Roman"/>
        </w:rPr>
      </w:pPr>
      <w:r w:rsidRPr="00CA4FF0">
        <w:rPr>
          <w:rFonts w:ascii="Times New Roman" w:hAnsi="Times New Roman" w:cs="Times New Roman"/>
          <w:b/>
          <w:bCs/>
        </w:rPr>
        <w:t xml:space="preserve">Table 3. </w:t>
      </w:r>
      <w:r w:rsidRPr="00CA4FF0">
        <w:rPr>
          <w:rFonts w:ascii="Times New Roman" w:hAnsi="Times New Roman" w:cs="Times New Roman"/>
        </w:rPr>
        <w:t>Association between regular GMP attendance and child nutritional outcomes, Sulima Chiefdom (N=617)</w:t>
      </w:r>
    </w:p>
    <w:tbl>
      <w:tblPr>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01"/>
        <w:gridCol w:w="1150"/>
        <w:gridCol w:w="1150"/>
        <w:gridCol w:w="1841"/>
        <w:gridCol w:w="1150"/>
        <w:gridCol w:w="2025"/>
      </w:tblGrid>
      <w:tr w:rsidR="00355B0D" w:rsidRPr="00CA4FF0" w14:paraId="22D9177E" w14:textId="77777777" w:rsidTr="00CA4FF0">
        <w:trPr>
          <w:trHeight w:val="435"/>
        </w:trPr>
        <w:tc>
          <w:tcPr>
            <w:tcW w:w="2301"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6A18038E" w14:textId="77777777" w:rsidR="00355B0D" w:rsidRPr="00CA4FF0" w:rsidRDefault="00F77F3D">
            <w:pPr>
              <w:jc w:val="center"/>
              <w:rPr>
                <w:rFonts w:ascii="Times New Roman" w:hAnsi="Times New Roman" w:cs="Times New Roman"/>
              </w:rPr>
            </w:pPr>
            <w:r w:rsidRPr="00CA4FF0">
              <w:rPr>
                <w:rFonts w:ascii="Times New Roman" w:hAnsi="Times New Roman" w:cs="Times New Roman"/>
                <w:b/>
                <w:bCs/>
                <w:color w:val="FFFFFF"/>
                <w:sz w:val="18"/>
                <w:szCs w:val="18"/>
              </w:rPr>
              <w:t>Outcome</w:t>
            </w:r>
          </w:p>
        </w:tc>
        <w:tc>
          <w:tcPr>
            <w:tcW w:w="115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364D4996" w14:textId="77777777" w:rsidR="00355B0D" w:rsidRPr="00CA4FF0" w:rsidRDefault="00F77F3D">
            <w:pPr>
              <w:jc w:val="center"/>
              <w:rPr>
                <w:rFonts w:ascii="Times New Roman" w:hAnsi="Times New Roman" w:cs="Times New Roman"/>
              </w:rPr>
            </w:pPr>
            <w:r w:rsidRPr="00CA4FF0">
              <w:rPr>
                <w:rFonts w:ascii="Times New Roman" w:hAnsi="Times New Roman" w:cs="Times New Roman"/>
                <w:b/>
                <w:bCs/>
                <w:color w:val="FFFFFF"/>
                <w:sz w:val="18"/>
                <w:szCs w:val="18"/>
              </w:rPr>
              <w:t>Regular (n=258)</w:t>
            </w:r>
          </w:p>
        </w:tc>
        <w:tc>
          <w:tcPr>
            <w:tcW w:w="115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4E0CC1A7" w14:textId="77777777" w:rsidR="00355B0D" w:rsidRPr="00CA4FF0" w:rsidRDefault="00F77F3D">
            <w:pPr>
              <w:jc w:val="center"/>
              <w:rPr>
                <w:rFonts w:ascii="Times New Roman" w:hAnsi="Times New Roman" w:cs="Times New Roman"/>
              </w:rPr>
            </w:pPr>
            <w:r w:rsidRPr="00CA4FF0">
              <w:rPr>
                <w:rFonts w:ascii="Times New Roman" w:hAnsi="Times New Roman" w:cs="Times New Roman"/>
                <w:b/>
                <w:bCs/>
                <w:color w:val="FFFFFF"/>
                <w:sz w:val="18"/>
                <w:szCs w:val="18"/>
              </w:rPr>
              <w:t>Irregular (n=359)</w:t>
            </w:r>
          </w:p>
        </w:tc>
        <w:tc>
          <w:tcPr>
            <w:tcW w:w="1841"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5A6E0C6B" w14:textId="77777777" w:rsidR="00355B0D" w:rsidRPr="00CA4FF0" w:rsidRDefault="00F77F3D">
            <w:pPr>
              <w:jc w:val="center"/>
              <w:rPr>
                <w:rFonts w:ascii="Times New Roman" w:hAnsi="Times New Roman" w:cs="Times New Roman"/>
              </w:rPr>
            </w:pPr>
            <w:r w:rsidRPr="00CA4FF0">
              <w:rPr>
                <w:rFonts w:ascii="Times New Roman" w:hAnsi="Times New Roman" w:cs="Times New Roman"/>
                <w:b/>
                <w:bCs/>
                <w:color w:val="FFFFFF"/>
                <w:sz w:val="18"/>
                <w:szCs w:val="18"/>
              </w:rPr>
              <w:t>Crude OR (95% CI)</w:t>
            </w:r>
          </w:p>
        </w:tc>
        <w:tc>
          <w:tcPr>
            <w:tcW w:w="115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4ADF3C2A" w14:textId="77777777" w:rsidR="00355B0D" w:rsidRPr="00CA4FF0" w:rsidRDefault="00F77F3D">
            <w:pPr>
              <w:jc w:val="center"/>
              <w:rPr>
                <w:rFonts w:ascii="Times New Roman" w:hAnsi="Times New Roman" w:cs="Times New Roman"/>
              </w:rPr>
            </w:pPr>
            <w:r w:rsidRPr="00CA4FF0">
              <w:rPr>
                <w:rFonts w:ascii="Times New Roman" w:hAnsi="Times New Roman" w:cs="Times New Roman"/>
                <w:b/>
                <w:bCs/>
                <w:color w:val="FFFFFF"/>
                <w:sz w:val="18"/>
                <w:szCs w:val="18"/>
              </w:rPr>
              <w:t>p-value</w:t>
            </w:r>
          </w:p>
        </w:tc>
        <w:tc>
          <w:tcPr>
            <w:tcW w:w="2025"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7113E22F" w14:textId="77777777" w:rsidR="00355B0D" w:rsidRPr="00CA4FF0" w:rsidRDefault="00F77F3D">
            <w:pPr>
              <w:jc w:val="center"/>
              <w:rPr>
                <w:rFonts w:ascii="Times New Roman" w:hAnsi="Times New Roman" w:cs="Times New Roman"/>
              </w:rPr>
            </w:pPr>
            <w:r w:rsidRPr="00CA4FF0">
              <w:rPr>
                <w:rFonts w:ascii="Times New Roman" w:hAnsi="Times New Roman" w:cs="Times New Roman"/>
                <w:b/>
                <w:bCs/>
                <w:color w:val="FFFFFF"/>
                <w:sz w:val="18"/>
                <w:szCs w:val="18"/>
              </w:rPr>
              <w:t>Mean Difference</w:t>
            </w:r>
          </w:p>
        </w:tc>
      </w:tr>
      <w:tr w:rsidR="00355B0D" w:rsidRPr="00CA4FF0" w14:paraId="531F9A79" w14:textId="77777777" w:rsidTr="00CA4FF0">
        <w:trPr>
          <w:trHeight w:val="534"/>
        </w:trPr>
        <w:tc>
          <w:tcPr>
            <w:tcW w:w="2301"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7D66FE55"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Stunting (HAZ &lt;−2 SD)</w:t>
            </w:r>
          </w:p>
        </w:tc>
        <w:tc>
          <w:tcPr>
            <w:tcW w:w="115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7338009B"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19.0%</w:t>
            </w:r>
          </w:p>
        </w:tc>
        <w:tc>
          <w:tcPr>
            <w:tcW w:w="115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467C32B8"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35.7%</w:t>
            </w:r>
          </w:p>
        </w:tc>
        <w:tc>
          <w:tcPr>
            <w:tcW w:w="1841"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25B292CA"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0.42 (0.29–0.62)</w:t>
            </w:r>
          </w:p>
        </w:tc>
        <w:tc>
          <w:tcPr>
            <w:tcW w:w="115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4EB60FF8"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&lt;0.001</w:t>
            </w:r>
          </w:p>
        </w:tc>
        <w:tc>
          <w:tcPr>
            <w:tcW w:w="2025"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398F8CF6"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−16.7 pp</w:t>
            </w:r>
          </w:p>
        </w:tc>
      </w:tr>
      <w:tr w:rsidR="00355B0D" w:rsidRPr="00CA4FF0" w14:paraId="7FA6D007" w14:textId="77777777" w:rsidTr="00CA4FF0">
        <w:trPr>
          <w:trHeight w:val="524"/>
        </w:trPr>
        <w:tc>
          <w:tcPr>
            <w:tcW w:w="230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E75FD61"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Wasting (WHZ &lt;−2 SD)</w:t>
            </w:r>
          </w:p>
        </w:tc>
        <w:tc>
          <w:tcPr>
            <w:tcW w:w="115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F8661E2"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4.7%</w:t>
            </w:r>
          </w:p>
        </w:tc>
        <w:tc>
          <w:tcPr>
            <w:tcW w:w="115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165E774"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10.6%</w:t>
            </w:r>
          </w:p>
        </w:tc>
        <w:tc>
          <w:tcPr>
            <w:tcW w:w="184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D6D2A81"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0.41 (0.21–0.81)</w:t>
            </w:r>
          </w:p>
        </w:tc>
        <w:tc>
          <w:tcPr>
            <w:tcW w:w="115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00456C7"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0.012</w:t>
            </w:r>
          </w:p>
        </w:tc>
        <w:tc>
          <w:tcPr>
            <w:tcW w:w="202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181E7CF"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−5.9 pp</w:t>
            </w:r>
          </w:p>
        </w:tc>
      </w:tr>
      <w:tr w:rsidR="00355B0D" w:rsidRPr="00CA4FF0" w14:paraId="6FAA65E2" w14:textId="77777777" w:rsidTr="00CA4FF0">
        <w:trPr>
          <w:trHeight w:val="534"/>
        </w:trPr>
        <w:tc>
          <w:tcPr>
            <w:tcW w:w="2301"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3D87A8F6"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Underweight (WAZ &lt;−2 SD)</w:t>
            </w:r>
          </w:p>
        </w:tc>
        <w:tc>
          <w:tcPr>
            <w:tcW w:w="115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1869A822"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17.8%</w:t>
            </w:r>
          </w:p>
        </w:tc>
        <w:tc>
          <w:tcPr>
            <w:tcW w:w="115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2863CDC3"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25.6%</w:t>
            </w:r>
          </w:p>
        </w:tc>
        <w:tc>
          <w:tcPr>
            <w:tcW w:w="1841"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17D9682A"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0.63 (0.42–0.94)</w:t>
            </w:r>
          </w:p>
        </w:tc>
        <w:tc>
          <w:tcPr>
            <w:tcW w:w="115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0A7DE130"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0.028</w:t>
            </w:r>
          </w:p>
        </w:tc>
        <w:tc>
          <w:tcPr>
            <w:tcW w:w="2025"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1A349E52"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−7.8 pp</w:t>
            </w:r>
          </w:p>
        </w:tc>
      </w:tr>
      <w:tr w:rsidR="00355B0D" w:rsidRPr="00CA4FF0" w14:paraId="2FB80CB8" w14:textId="77777777" w:rsidTr="00CA4FF0">
        <w:trPr>
          <w:trHeight w:val="534"/>
        </w:trPr>
        <w:tc>
          <w:tcPr>
            <w:tcW w:w="230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71394D8"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Global Acute Malnutrition</w:t>
            </w:r>
          </w:p>
        </w:tc>
        <w:tc>
          <w:tcPr>
            <w:tcW w:w="115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5422B83"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14.0%</w:t>
            </w:r>
          </w:p>
        </w:tc>
        <w:tc>
          <w:tcPr>
            <w:tcW w:w="115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68C22F9"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21.4%</w:t>
            </w:r>
          </w:p>
        </w:tc>
        <w:tc>
          <w:tcPr>
            <w:tcW w:w="184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92670E4"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0.59 (0.39–0.92)</w:t>
            </w:r>
          </w:p>
        </w:tc>
        <w:tc>
          <w:tcPr>
            <w:tcW w:w="115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2C5AAC6"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0.023</w:t>
            </w:r>
          </w:p>
        </w:tc>
        <w:tc>
          <w:tcPr>
            <w:tcW w:w="202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43566DE"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−7.4 pp</w:t>
            </w:r>
          </w:p>
        </w:tc>
      </w:tr>
      <w:tr w:rsidR="00355B0D" w:rsidRPr="00CA4FF0" w14:paraId="0B4FFF44" w14:textId="77777777" w:rsidTr="00CA4FF0">
        <w:trPr>
          <w:trHeight w:val="524"/>
        </w:trPr>
        <w:tc>
          <w:tcPr>
            <w:tcW w:w="2301"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42CCBFEB"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Mean HAZ (SD)</w:t>
            </w:r>
          </w:p>
        </w:tc>
        <w:tc>
          <w:tcPr>
            <w:tcW w:w="115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43EB6261"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−1.01 (1.20)</w:t>
            </w:r>
          </w:p>
        </w:tc>
        <w:tc>
          <w:tcPr>
            <w:tcW w:w="115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3829EC12"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−1.50 (1.21)</w:t>
            </w:r>
          </w:p>
        </w:tc>
        <w:tc>
          <w:tcPr>
            <w:tcW w:w="1841"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3B52374C"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p>
        </w:tc>
        <w:tc>
          <w:tcPr>
            <w:tcW w:w="115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5C202065"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&lt;0.001†</w:t>
            </w:r>
          </w:p>
        </w:tc>
        <w:tc>
          <w:tcPr>
            <w:tcW w:w="2025"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5787AEF6"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+0.49 SD (d=0.41)</w:t>
            </w:r>
          </w:p>
        </w:tc>
      </w:tr>
      <w:tr w:rsidR="00355B0D" w:rsidRPr="00CA4FF0" w14:paraId="32F6A818" w14:textId="77777777" w:rsidTr="00CA4FF0">
        <w:trPr>
          <w:trHeight w:val="534"/>
        </w:trPr>
        <w:tc>
          <w:tcPr>
            <w:tcW w:w="230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7009CC3"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Mean WAZ (SD)</w:t>
            </w:r>
          </w:p>
        </w:tc>
        <w:tc>
          <w:tcPr>
            <w:tcW w:w="115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D8A9C24"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−0.92 (1.09)</w:t>
            </w:r>
          </w:p>
        </w:tc>
        <w:tc>
          <w:tcPr>
            <w:tcW w:w="115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994C681"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−1.28 (1.11)</w:t>
            </w:r>
          </w:p>
        </w:tc>
        <w:tc>
          <w:tcPr>
            <w:tcW w:w="184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B9009E4"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p>
        </w:tc>
        <w:tc>
          <w:tcPr>
            <w:tcW w:w="115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FD87786"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&lt;0.001†</w:t>
            </w:r>
          </w:p>
        </w:tc>
        <w:tc>
          <w:tcPr>
            <w:tcW w:w="202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E6E27B9"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+0.36 SD (d=0.32)</w:t>
            </w:r>
          </w:p>
        </w:tc>
      </w:tr>
      <w:tr w:rsidR="00355B0D" w:rsidRPr="00CA4FF0" w14:paraId="35E28DEC" w14:textId="77777777" w:rsidTr="00CA4FF0">
        <w:trPr>
          <w:trHeight w:val="534"/>
        </w:trPr>
        <w:tc>
          <w:tcPr>
            <w:tcW w:w="2301"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3B9B69ED"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Mean WHZ (SD)</w:t>
            </w:r>
          </w:p>
        </w:tc>
        <w:tc>
          <w:tcPr>
            <w:tcW w:w="115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543B6E55"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−0.27 (1.03)</w:t>
            </w:r>
          </w:p>
        </w:tc>
        <w:tc>
          <w:tcPr>
            <w:tcW w:w="115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0704866E"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−0.68 (1.07)</w:t>
            </w:r>
          </w:p>
        </w:tc>
        <w:tc>
          <w:tcPr>
            <w:tcW w:w="1841"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53A5CB61"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p>
        </w:tc>
        <w:tc>
          <w:tcPr>
            <w:tcW w:w="115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1A782288"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&lt;0.001†</w:t>
            </w:r>
          </w:p>
        </w:tc>
        <w:tc>
          <w:tcPr>
            <w:tcW w:w="2025"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0DD16A2A"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+0.41 SD (d=0.39)</w:t>
            </w:r>
          </w:p>
        </w:tc>
      </w:tr>
    </w:tbl>
    <w:p w14:paraId="4F6B6735" w14:textId="77777777" w:rsidR="00355B0D" w:rsidRPr="00CA4FF0" w:rsidRDefault="00F77F3D">
      <w:pPr>
        <w:pBdr>
          <w:top w:val="single" w:sz="2" w:space="0" w:color="CCCCCC"/>
        </w:pBdr>
        <w:spacing w:before="60" w:after="60"/>
        <w:rPr>
          <w:rFonts w:ascii="Times New Roman" w:hAnsi="Times New Roman" w:cs="Times New Roman"/>
        </w:rPr>
      </w:pPr>
      <w:r w:rsidRPr="00CA4FF0">
        <w:rPr>
          <w:rFonts w:ascii="Times New Roman" w:hAnsi="Times New Roman" w:cs="Times New Roman"/>
          <w:i/>
          <w:iCs/>
          <w:color w:val="555555"/>
          <w:sz w:val="18"/>
          <w:szCs w:val="18"/>
        </w:rPr>
        <w:t>OR = Odds Ratio; CI = Confidence Interval; pp = percentage points; d = Cohen's d effect size. †Independent samples t-test. All tests two-tailed; significance at p&lt;0.05.</w:t>
      </w:r>
    </w:p>
    <w:p w14:paraId="6663393D" w14:textId="77777777" w:rsidR="00355B0D" w:rsidRPr="00CA4FF0" w:rsidRDefault="00355B0D">
      <w:pPr>
        <w:spacing w:after="80"/>
        <w:rPr>
          <w:rFonts w:ascii="Times New Roman" w:hAnsi="Times New Roman" w:cs="Times New Roman"/>
        </w:rPr>
      </w:pPr>
    </w:p>
    <w:p w14:paraId="0797C2F6" w14:textId="77777777" w:rsidR="00355B0D" w:rsidRPr="00CA4FF0" w:rsidRDefault="00F77F3D">
      <w:pPr>
        <w:pStyle w:val="Heading2"/>
        <w:rPr>
          <w:rFonts w:ascii="Times New Roman" w:hAnsi="Times New Roman" w:cs="Times New Roman"/>
        </w:rPr>
      </w:pPr>
      <w:r w:rsidRPr="00CA4FF0">
        <w:rPr>
          <w:rFonts w:ascii="Times New Roman" w:hAnsi="Times New Roman" w:cs="Times New Roman"/>
        </w:rPr>
        <w:t>3.5 Dose-Response Analysis</w:t>
      </w:r>
    </w:p>
    <w:p w14:paraId="641F1D20"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 xml:space="preserve">A dose-response relationship between the number of GMP sessions attended in the preceding six months and nutritional status was observed. Stunting prevalence declined progressively from 32.5% at zero sessions to 13.3% at six sessions, and mean HAZ improved correspondingly from −1.49 (0 sessions) to −0.72 (6 sessions) — a total improvement of 0.77 SD units across the full visit-frequency range. Spearman's rank correlation </w:t>
      </w:r>
      <w:r w:rsidRPr="00CA4FF0">
        <w:rPr>
          <w:rFonts w:ascii="Times New Roman" w:hAnsi="Times New Roman" w:cs="Times New Roman"/>
        </w:rPr>
        <w:lastRenderedPageBreak/>
        <w:t>confirmed a significant positive association between GMP visit frequency and HAZ (ρ=0.170, p&lt;0.001) and WAZ (ρ=0.121, p=0.003), providing dose-response evidence consistent with a biological causal interpretation. These data are presented in Figure 1 and the supporting data table below.</w:t>
      </w:r>
    </w:p>
    <w:p w14:paraId="18AD3296" w14:textId="77777777" w:rsidR="00355B0D" w:rsidRPr="00CA4FF0" w:rsidRDefault="00F77F3D">
      <w:pPr>
        <w:spacing w:before="200" w:after="60"/>
        <w:rPr>
          <w:rFonts w:ascii="Times New Roman" w:hAnsi="Times New Roman" w:cs="Times New Roman"/>
        </w:rPr>
      </w:pPr>
      <w:r w:rsidRPr="00CA4FF0">
        <w:rPr>
          <w:rFonts w:ascii="Times New Roman" w:hAnsi="Times New Roman" w:cs="Times New Roman"/>
          <w:b/>
          <w:bCs/>
        </w:rPr>
        <w:t xml:space="preserve">Figure 1. </w:t>
      </w:r>
      <w:r w:rsidRPr="00CA4FF0">
        <w:rPr>
          <w:rFonts w:ascii="Times New Roman" w:hAnsi="Times New Roman" w:cs="Times New Roman"/>
        </w:rPr>
        <w:t>Dose-Response Relationship Between GMP Session Frequency and Child Nutritional Outcomes (Sulima Chiefdom, N=617)</w:t>
      </w:r>
    </w:p>
    <w:p w14:paraId="477A75CA" w14:textId="77777777" w:rsidR="00355B0D" w:rsidRPr="00CA4FF0" w:rsidRDefault="00F77F3D">
      <w:pPr>
        <w:spacing w:after="80"/>
        <w:rPr>
          <w:rFonts w:ascii="Times New Roman" w:hAnsi="Times New Roman" w:cs="Times New Roman"/>
        </w:rPr>
      </w:pPr>
      <w:r w:rsidRPr="00CA4FF0">
        <w:rPr>
          <w:rFonts w:ascii="Times New Roman" w:hAnsi="Times New Roman" w:cs="Times New Roman"/>
          <w:i/>
          <w:iCs/>
          <w:color w:val="555555"/>
          <w:sz w:val="18"/>
          <w:szCs w:val="18"/>
        </w:rPr>
        <w:t>Panel A: Stunting prevalence (%) by number of GMP sessions attended in the preceding 6 months. Panel B: Mean Height-for-Age Z-score (HAZ) by GMP session frequency. Spearman's ρ=0.170 (HAZ), p&lt;0.001; ρ=0.121 (WAZ), p=0.003. Dashed lines indicate WHO high-concern threshold (stunting: 20%) and WHO reference mean (HAZ: 0.00).</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35"/>
        <w:gridCol w:w="1835"/>
        <w:gridCol w:w="1835"/>
        <w:gridCol w:w="1835"/>
        <w:gridCol w:w="2248"/>
      </w:tblGrid>
      <w:tr w:rsidR="00355B0D" w:rsidRPr="00CA4FF0" w14:paraId="3C59DCF0" w14:textId="77777777" w:rsidTr="00CA4FF0">
        <w:trPr>
          <w:trHeight w:val="431"/>
        </w:trPr>
        <w:tc>
          <w:tcPr>
            <w:tcW w:w="1835"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4005A34B" w14:textId="77777777" w:rsidR="00355B0D" w:rsidRPr="00CA4FF0" w:rsidRDefault="00F77F3D">
            <w:pPr>
              <w:jc w:val="center"/>
              <w:rPr>
                <w:rFonts w:ascii="Times New Roman" w:hAnsi="Times New Roman" w:cs="Times New Roman"/>
              </w:rPr>
            </w:pPr>
            <w:r w:rsidRPr="00CA4FF0">
              <w:rPr>
                <w:rFonts w:ascii="Times New Roman" w:hAnsi="Times New Roman" w:cs="Times New Roman"/>
                <w:b/>
                <w:bCs/>
                <w:color w:val="FFFFFF"/>
                <w:sz w:val="18"/>
                <w:szCs w:val="18"/>
              </w:rPr>
              <w:t>GMP Sessions (6 months)</w:t>
            </w:r>
          </w:p>
        </w:tc>
        <w:tc>
          <w:tcPr>
            <w:tcW w:w="1835"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33565714" w14:textId="77777777" w:rsidR="00355B0D" w:rsidRPr="00CA4FF0" w:rsidRDefault="00F77F3D">
            <w:pPr>
              <w:jc w:val="center"/>
              <w:rPr>
                <w:rFonts w:ascii="Times New Roman" w:hAnsi="Times New Roman" w:cs="Times New Roman"/>
              </w:rPr>
            </w:pPr>
            <w:r w:rsidRPr="00CA4FF0">
              <w:rPr>
                <w:rFonts w:ascii="Times New Roman" w:hAnsi="Times New Roman" w:cs="Times New Roman"/>
                <w:b/>
                <w:bCs/>
                <w:color w:val="FFFFFF"/>
                <w:sz w:val="18"/>
                <w:szCs w:val="18"/>
              </w:rPr>
              <w:t>Stunting Prevalence (%)</w:t>
            </w:r>
          </w:p>
        </w:tc>
        <w:tc>
          <w:tcPr>
            <w:tcW w:w="1835"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12576426" w14:textId="77777777" w:rsidR="00355B0D" w:rsidRPr="00CA4FF0" w:rsidRDefault="00F77F3D">
            <w:pPr>
              <w:jc w:val="center"/>
              <w:rPr>
                <w:rFonts w:ascii="Times New Roman" w:hAnsi="Times New Roman" w:cs="Times New Roman"/>
              </w:rPr>
            </w:pPr>
            <w:r w:rsidRPr="00CA4FF0">
              <w:rPr>
                <w:rFonts w:ascii="Times New Roman" w:hAnsi="Times New Roman" w:cs="Times New Roman"/>
                <w:b/>
                <w:bCs/>
                <w:color w:val="FFFFFF"/>
                <w:sz w:val="18"/>
                <w:szCs w:val="18"/>
              </w:rPr>
              <w:t>Mean HAZ (SD)</w:t>
            </w:r>
          </w:p>
        </w:tc>
        <w:tc>
          <w:tcPr>
            <w:tcW w:w="1835"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3DA9BD07" w14:textId="77777777" w:rsidR="00355B0D" w:rsidRPr="00CA4FF0" w:rsidRDefault="00F77F3D">
            <w:pPr>
              <w:jc w:val="center"/>
              <w:rPr>
                <w:rFonts w:ascii="Times New Roman" w:hAnsi="Times New Roman" w:cs="Times New Roman"/>
              </w:rPr>
            </w:pPr>
            <w:r w:rsidRPr="00CA4FF0">
              <w:rPr>
                <w:rFonts w:ascii="Times New Roman" w:hAnsi="Times New Roman" w:cs="Times New Roman"/>
                <w:b/>
                <w:bCs/>
                <w:color w:val="FFFFFF"/>
                <w:sz w:val="18"/>
                <w:szCs w:val="18"/>
              </w:rPr>
              <w:t>Correlation Statistic</w:t>
            </w:r>
          </w:p>
        </w:tc>
        <w:tc>
          <w:tcPr>
            <w:tcW w:w="2248"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33C58A5D" w14:textId="77777777" w:rsidR="00355B0D" w:rsidRPr="00CA4FF0" w:rsidRDefault="00F77F3D">
            <w:pPr>
              <w:jc w:val="center"/>
              <w:rPr>
                <w:rFonts w:ascii="Times New Roman" w:hAnsi="Times New Roman" w:cs="Times New Roman"/>
              </w:rPr>
            </w:pPr>
            <w:r w:rsidRPr="00CA4FF0">
              <w:rPr>
                <w:rFonts w:ascii="Times New Roman" w:hAnsi="Times New Roman" w:cs="Times New Roman"/>
                <w:b/>
                <w:bCs/>
                <w:color w:val="FFFFFF"/>
                <w:sz w:val="18"/>
                <w:szCs w:val="18"/>
              </w:rPr>
              <w:t>Significance</w:t>
            </w:r>
          </w:p>
        </w:tc>
      </w:tr>
      <w:tr w:rsidR="00355B0D" w:rsidRPr="00CA4FF0" w14:paraId="4E4CCC78" w14:textId="77777777" w:rsidTr="00CA4FF0">
        <w:trPr>
          <w:trHeight w:val="264"/>
        </w:trPr>
        <w:tc>
          <w:tcPr>
            <w:tcW w:w="1835" w:type="dxa"/>
            <w:tcBorders>
              <w:top w:val="single" w:sz="4" w:space="0" w:color="AAAAAA"/>
              <w:left w:val="single" w:sz="4" w:space="0" w:color="AAAAAA"/>
              <w:bottom w:val="single" w:sz="4" w:space="0" w:color="AAAAAA"/>
              <w:right w:val="single" w:sz="4" w:space="0" w:color="AAAAAA"/>
            </w:tcBorders>
            <w:shd w:val="clear" w:color="auto" w:fill="D6E4F0"/>
            <w:tcMar>
              <w:top w:w="60" w:type="dxa"/>
              <w:left w:w="100" w:type="dxa"/>
              <w:bottom w:w="60" w:type="dxa"/>
              <w:right w:w="100" w:type="dxa"/>
            </w:tcMar>
          </w:tcPr>
          <w:p w14:paraId="5E7DC425"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w:t>
            </w:r>
          </w:p>
        </w:tc>
        <w:tc>
          <w:tcPr>
            <w:tcW w:w="1835" w:type="dxa"/>
            <w:tcBorders>
              <w:top w:val="single" w:sz="4" w:space="0" w:color="AAAAAA"/>
              <w:left w:val="single" w:sz="4" w:space="0" w:color="AAAAAA"/>
              <w:bottom w:val="single" w:sz="4" w:space="0" w:color="AAAAAA"/>
              <w:right w:val="single" w:sz="4" w:space="0" w:color="AAAAAA"/>
            </w:tcBorders>
            <w:shd w:val="clear" w:color="auto" w:fill="D6E4F0"/>
            <w:tcMar>
              <w:top w:w="60" w:type="dxa"/>
              <w:left w:w="100" w:type="dxa"/>
              <w:bottom w:w="60" w:type="dxa"/>
              <w:right w:w="100" w:type="dxa"/>
            </w:tcMar>
          </w:tcPr>
          <w:p w14:paraId="19DA9AEE"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32.5</w:t>
            </w:r>
          </w:p>
        </w:tc>
        <w:tc>
          <w:tcPr>
            <w:tcW w:w="1835" w:type="dxa"/>
            <w:tcBorders>
              <w:top w:val="single" w:sz="4" w:space="0" w:color="AAAAAA"/>
              <w:left w:val="single" w:sz="4" w:space="0" w:color="AAAAAA"/>
              <w:bottom w:val="single" w:sz="4" w:space="0" w:color="AAAAAA"/>
              <w:right w:val="single" w:sz="4" w:space="0" w:color="AAAAAA"/>
            </w:tcBorders>
            <w:shd w:val="clear" w:color="auto" w:fill="D6E4F0"/>
            <w:tcMar>
              <w:top w:w="60" w:type="dxa"/>
              <w:left w:w="100" w:type="dxa"/>
              <w:bottom w:w="60" w:type="dxa"/>
              <w:right w:w="100" w:type="dxa"/>
            </w:tcMar>
          </w:tcPr>
          <w:p w14:paraId="72766DFB"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−1.49</w:t>
            </w:r>
          </w:p>
        </w:tc>
        <w:tc>
          <w:tcPr>
            <w:tcW w:w="1835" w:type="dxa"/>
            <w:tcBorders>
              <w:top w:val="single" w:sz="4" w:space="0" w:color="AAAAAA"/>
              <w:left w:val="single" w:sz="4" w:space="0" w:color="AAAAAA"/>
              <w:bottom w:val="single" w:sz="4" w:space="0" w:color="AAAAAA"/>
              <w:right w:val="single" w:sz="4" w:space="0" w:color="AAAAAA"/>
            </w:tcBorders>
            <w:shd w:val="clear" w:color="auto" w:fill="D6E4F0"/>
            <w:tcMar>
              <w:top w:w="60" w:type="dxa"/>
              <w:left w:w="100" w:type="dxa"/>
              <w:bottom w:w="60" w:type="dxa"/>
              <w:right w:w="100" w:type="dxa"/>
            </w:tcMar>
          </w:tcPr>
          <w:p w14:paraId="44662800"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 (Reference)</w:t>
            </w:r>
          </w:p>
        </w:tc>
        <w:tc>
          <w:tcPr>
            <w:tcW w:w="2248" w:type="dxa"/>
            <w:tcBorders>
              <w:top w:val="single" w:sz="4" w:space="0" w:color="AAAAAA"/>
              <w:left w:val="single" w:sz="4" w:space="0" w:color="AAAAAA"/>
              <w:bottom w:val="single" w:sz="4" w:space="0" w:color="AAAAAA"/>
              <w:right w:val="single" w:sz="4" w:space="0" w:color="AAAAAA"/>
            </w:tcBorders>
            <w:shd w:val="clear" w:color="auto" w:fill="D6E4F0"/>
            <w:tcMar>
              <w:top w:w="60" w:type="dxa"/>
              <w:left w:w="100" w:type="dxa"/>
              <w:bottom w:w="60" w:type="dxa"/>
              <w:right w:w="100" w:type="dxa"/>
            </w:tcMar>
          </w:tcPr>
          <w:p w14:paraId="1E195E8B"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p>
        </w:tc>
      </w:tr>
      <w:tr w:rsidR="00355B0D" w:rsidRPr="00CA4FF0" w14:paraId="1B04D46E" w14:textId="77777777" w:rsidTr="00CA4FF0">
        <w:trPr>
          <w:trHeight w:val="264"/>
        </w:trPr>
        <w:tc>
          <w:tcPr>
            <w:tcW w:w="183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34CE67E"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w:t>
            </w:r>
          </w:p>
        </w:tc>
        <w:tc>
          <w:tcPr>
            <w:tcW w:w="183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83353E0"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30.1</w:t>
            </w:r>
          </w:p>
        </w:tc>
        <w:tc>
          <w:tcPr>
            <w:tcW w:w="183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425ABFE"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−1.38</w:t>
            </w:r>
          </w:p>
        </w:tc>
        <w:tc>
          <w:tcPr>
            <w:tcW w:w="183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443ED2B"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p>
        </w:tc>
        <w:tc>
          <w:tcPr>
            <w:tcW w:w="224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CEE3F72"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p>
        </w:tc>
      </w:tr>
      <w:tr w:rsidR="00355B0D" w:rsidRPr="00CA4FF0" w14:paraId="333F2513" w14:textId="77777777" w:rsidTr="00CA4FF0">
        <w:trPr>
          <w:trHeight w:val="264"/>
        </w:trPr>
        <w:tc>
          <w:tcPr>
            <w:tcW w:w="1835" w:type="dxa"/>
            <w:tcBorders>
              <w:top w:val="single" w:sz="4" w:space="0" w:color="AAAAAA"/>
              <w:left w:val="single" w:sz="4" w:space="0" w:color="AAAAAA"/>
              <w:bottom w:val="single" w:sz="4" w:space="0" w:color="AAAAAA"/>
              <w:right w:val="single" w:sz="4" w:space="0" w:color="AAAAAA"/>
            </w:tcBorders>
            <w:shd w:val="clear" w:color="auto" w:fill="D6E4F0"/>
            <w:tcMar>
              <w:top w:w="60" w:type="dxa"/>
              <w:left w:w="100" w:type="dxa"/>
              <w:bottom w:w="60" w:type="dxa"/>
              <w:right w:w="100" w:type="dxa"/>
            </w:tcMar>
          </w:tcPr>
          <w:p w14:paraId="23563589"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2</w:t>
            </w:r>
          </w:p>
        </w:tc>
        <w:tc>
          <w:tcPr>
            <w:tcW w:w="1835" w:type="dxa"/>
            <w:tcBorders>
              <w:top w:val="single" w:sz="4" w:space="0" w:color="AAAAAA"/>
              <w:left w:val="single" w:sz="4" w:space="0" w:color="AAAAAA"/>
              <w:bottom w:val="single" w:sz="4" w:space="0" w:color="AAAAAA"/>
              <w:right w:val="single" w:sz="4" w:space="0" w:color="AAAAAA"/>
            </w:tcBorders>
            <w:shd w:val="clear" w:color="auto" w:fill="D6E4F0"/>
            <w:tcMar>
              <w:top w:w="60" w:type="dxa"/>
              <w:left w:w="100" w:type="dxa"/>
              <w:bottom w:w="60" w:type="dxa"/>
              <w:right w:w="100" w:type="dxa"/>
            </w:tcMar>
          </w:tcPr>
          <w:p w14:paraId="3D509DBD"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26.8</w:t>
            </w:r>
          </w:p>
        </w:tc>
        <w:tc>
          <w:tcPr>
            <w:tcW w:w="1835" w:type="dxa"/>
            <w:tcBorders>
              <w:top w:val="single" w:sz="4" w:space="0" w:color="AAAAAA"/>
              <w:left w:val="single" w:sz="4" w:space="0" w:color="AAAAAA"/>
              <w:bottom w:val="single" w:sz="4" w:space="0" w:color="AAAAAA"/>
              <w:right w:val="single" w:sz="4" w:space="0" w:color="AAAAAA"/>
            </w:tcBorders>
            <w:shd w:val="clear" w:color="auto" w:fill="D6E4F0"/>
            <w:tcMar>
              <w:top w:w="60" w:type="dxa"/>
              <w:left w:w="100" w:type="dxa"/>
              <w:bottom w:w="60" w:type="dxa"/>
              <w:right w:w="100" w:type="dxa"/>
            </w:tcMar>
          </w:tcPr>
          <w:p w14:paraId="58C034C0"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−1.24</w:t>
            </w:r>
          </w:p>
        </w:tc>
        <w:tc>
          <w:tcPr>
            <w:tcW w:w="1835" w:type="dxa"/>
            <w:tcBorders>
              <w:top w:val="single" w:sz="4" w:space="0" w:color="AAAAAA"/>
              <w:left w:val="single" w:sz="4" w:space="0" w:color="AAAAAA"/>
              <w:bottom w:val="single" w:sz="4" w:space="0" w:color="AAAAAA"/>
              <w:right w:val="single" w:sz="4" w:space="0" w:color="AAAAAA"/>
            </w:tcBorders>
            <w:shd w:val="clear" w:color="auto" w:fill="D6E4F0"/>
            <w:tcMar>
              <w:top w:w="60" w:type="dxa"/>
              <w:left w:w="100" w:type="dxa"/>
              <w:bottom w:w="60" w:type="dxa"/>
              <w:right w:w="100" w:type="dxa"/>
            </w:tcMar>
          </w:tcPr>
          <w:p w14:paraId="60B48277"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p>
        </w:tc>
        <w:tc>
          <w:tcPr>
            <w:tcW w:w="2248" w:type="dxa"/>
            <w:tcBorders>
              <w:top w:val="single" w:sz="4" w:space="0" w:color="AAAAAA"/>
              <w:left w:val="single" w:sz="4" w:space="0" w:color="AAAAAA"/>
              <w:bottom w:val="single" w:sz="4" w:space="0" w:color="AAAAAA"/>
              <w:right w:val="single" w:sz="4" w:space="0" w:color="AAAAAA"/>
            </w:tcBorders>
            <w:shd w:val="clear" w:color="auto" w:fill="D6E4F0"/>
            <w:tcMar>
              <w:top w:w="60" w:type="dxa"/>
              <w:left w:w="100" w:type="dxa"/>
              <w:bottom w:w="60" w:type="dxa"/>
              <w:right w:w="100" w:type="dxa"/>
            </w:tcMar>
          </w:tcPr>
          <w:p w14:paraId="07FDEB79"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p>
        </w:tc>
      </w:tr>
      <w:tr w:rsidR="00355B0D" w:rsidRPr="00CA4FF0" w14:paraId="29AC372A" w14:textId="77777777" w:rsidTr="00CA4FF0">
        <w:trPr>
          <w:trHeight w:val="254"/>
        </w:trPr>
        <w:tc>
          <w:tcPr>
            <w:tcW w:w="183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87E1283"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3</w:t>
            </w:r>
          </w:p>
        </w:tc>
        <w:tc>
          <w:tcPr>
            <w:tcW w:w="183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798DF71"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23.4</w:t>
            </w:r>
          </w:p>
        </w:tc>
        <w:tc>
          <w:tcPr>
            <w:tcW w:w="183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EC0C033"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−1.15</w:t>
            </w:r>
          </w:p>
        </w:tc>
        <w:tc>
          <w:tcPr>
            <w:tcW w:w="183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39A4FAD"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p>
        </w:tc>
        <w:tc>
          <w:tcPr>
            <w:tcW w:w="224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1EF7019"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w:t>
            </w:r>
          </w:p>
        </w:tc>
      </w:tr>
      <w:tr w:rsidR="00355B0D" w:rsidRPr="00CA4FF0" w14:paraId="394C02B0" w14:textId="77777777" w:rsidTr="00CA4FF0">
        <w:trPr>
          <w:trHeight w:val="264"/>
        </w:trPr>
        <w:tc>
          <w:tcPr>
            <w:tcW w:w="1835" w:type="dxa"/>
            <w:tcBorders>
              <w:top w:val="single" w:sz="4" w:space="0" w:color="AAAAAA"/>
              <w:left w:val="single" w:sz="4" w:space="0" w:color="AAAAAA"/>
              <w:bottom w:val="single" w:sz="4" w:space="0" w:color="AAAAAA"/>
              <w:right w:val="single" w:sz="4" w:space="0" w:color="AAAAAA"/>
            </w:tcBorders>
            <w:shd w:val="clear" w:color="auto" w:fill="D6E4F0"/>
            <w:tcMar>
              <w:top w:w="60" w:type="dxa"/>
              <w:left w:w="100" w:type="dxa"/>
              <w:bottom w:w="60" w:type="dxa"/>
              <w:right w:w="100" w:type="dxa"/>
            </w:tcMar>
          </w:tcPr>
          <w:p w14:paraId="4ECD160E"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4</w:t>
            </w:r>
          </w:p>
        </w:tc>
        <w:tc>
          <w:tcPr>
            <w:tcW w:w="1835" w:type="dxa"/>
            <w:tcBorders>
              <w:top w:val="single" w:sz="4" w:space="0" w:color="AAAAAA"/>
              <w:left w:val="single" w:sz="4" w:space="0" w:color="AAAAAA"/>
              <w:bottom w:val="single" w:sz="4" w:space="0" w:color="AAAAAA"/>
              <w:right w:val="single" w:sz="4" w:space="0" w:color="AAAAAA"/>
            </w:tcBorders>
            <w:shd w:val="clear" w:color="auto" w:fill="D6E4F0"/>
            <w:tcMar>
              <w:top w:w="60" w:type="dxa"/>
              <w:left w:w="100" w:type="dxa"/>
              <w:bottom w:w="60" w:type="dxa"/>
              <w:right w:w="100" w:type="dxa"/>
            </w:tcMar>
          </w:tcPr>
          <w:p w14:paraId="2CD40216"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19.7</w:t>
            </w:r>
          </w:p>
        </w:tc>
        <w:tc>
          <w:tcPr>
            <w:tcW w:w="1835" w:type="dxa"/>
            <w:tcBorders>
              <w:top w:val="single" w:sz="4" w:space="0" w:color="AAAAAA"/>
              <w:left w:val="single" w:sz="4" w:space="0" w:color="AAAAAA"/>
              <w:bottom w:val="single" w:sz="4" w:space="0" w:color="AAAAAA"/>
              <w:right w:val="single" w:sz="4" w:space="0" w:color="AAAAAA"/>
            </w:tcBorders>
            <w:shd w:val="clear" w:color="auto" w:fill="D6E4F0"/>
            <w:tcMar>
              <w:top w:w="60" w:type="dxa"/>
              <w:left w:w="100" w:type="dxa"/>
              <w:bottom w:w="60" w:type="dxa"/>
              <w:right w:w="100" w:type="dxa"/>
            </w:tcMar>
          </w:tcPr>
          <w:p w14:paraId="5C60C827"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−1.02</w:t>
            </w:r>
          </w:p>
        </w:tc>
        <w:tc>
          <w:tcPr>
            <w:tcW w:w="1835" w:type="dxa"/>
            <w:tcBorders>
              <w:top w:val="single" w:sz="4" w:space="0" w:color="AAAAAA"/>
              <w:left w:val="single" w:sz="4" w:space="0" w:color="AAAAAA"/>
              <w:bottom w:val="single" w:sz="4" w:space="0" w:color="AAAAAA"/>
              <w:right w:val="single" w:sz="4" w:space="0" w:color="AAAAAA"/>
            </w:tcBorders>
            <w:shd w:val="clear" w:color="auto" w:fill="D6E4F0"/>
            <w:tcMar>
              <w:top w:w="60" w:type="dxa"/>
              <w:left w:w="100" w:type="dxa"/>
              <w:bottom w:w="60" w:type="dxa"/>
              <w:right w:w="100" w:type="dxa"/>
            </w:tcMar>
          </w:tcPr>
          <w:p w14:paraId="07EB68EC"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ρ = 0.170 (HAZ)</w:t>
            </w:r>
          </w:p>
        </w:tc>
        <w:tc>
          <w:tcPr>
            <w:tcW w:w="2248" w:type="dxa"/>
            <w:tcBorders>
              <w:top w:val="single" w:sz="4" w:space="0" w:color="AAAAAA"/>
              <w:left w:val="single" w:sz="4" w:space="0" w:color="AAAAAA"/>
              <w:bottom w:val="single" w:sz="4" w:space="0" w:color="AAAAAA"/>
              <w:right w:val="single" w:sz="4" w:space="0" w:color="AAAAAA"/>
            </w:tcBorders>
            <w:shd w:val="clear" w:color="auto" w:fill="D6E4F0"/>
            <w:tcMar>
              <w:top w:w="60" w:type="dxa"/>
              <w:left w:w="100" w:type="dxa"/>
              <w:bottom w:w="60" w:type="dxa"/>
              <w:right w:w="100" w:type="dxa"/>
            </w:tcMar>
          </w:tcPr>
          <w:p w14:paraId="6D24D6A9"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p &lt; 0.001</w:t>
            </w:r>
          </w:p>
        </w:tc>
      </w:tr>
      <w:tr w:rsidR="00355B0D" w:rsidRPr="00CA4FF0" w14:paraId="75E8B172" w14:textId="77777777" w:rsidTr="00CA4FF0">
        <w:trPr>
          <w:trHeight w:val="529"/>
        </w:trPr>
        <w:tc>
          <w:tcPr>
            <w:tcW w:w="183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40FE5FE"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5</w:t>
            </w:r>
          </w:p>
        </w:tc>
        <w:tc>
          <w:tcPr>
            <w:tcW w:w="183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0F702C2"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16.2</w:t>
            </w:r>
          </w:p>
        </w:tc>
        <w:tc>
          <w:tcPr>
            <w:tcW w:w="183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F31C33C"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−0.91</w:t>
            </w:r>
          </w:p>
        </w:tc>
        <w:tc>
          <w:tcPr>
            <w:tcW w:w="183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31BD12E"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ρ = 0.121 (WAZ)</w:t>
            </w:r>
          </w:p>
        </w:tc>
        <w:tc>
          <w:tcPr>
            <w:tcW w:w="224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D349944"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p = 0.003</w:t>
            </w:r>
          </w:p>
        </w:tc>
      </w:tr>
      <w:tr w:rsidR="00355B0D" w:rsidRPr="00CA4FF0" w14:paraId="4AAF194E" w14:textId="77777777" w:rsidTr="00CA4FF0">
        <w:trPr>
          <w:trHeight w:val="529"/>
        </w:trPr>
        <w:tc>
          <w:tcPr>
            <w:tcW w:w="1835" w:type="dxa"/>
            <w:tcBorders>
              <w:top w:val="single" w:sz="4" w:space="0" w:color="AAAAAA"/>
              <w:left w:val="single" w:sz="4" w:space="0" w:color="AAAAAA"/>
              <w:bottom w:val="single" w:sz="4" w:space="0" w:color="AAAAAA"/>
              <w:right w:val="single" w:sz="4" w:space="0" w:color="AAAAAA"/>
            </w:tcBorders>
            <w:shd w:val="clear" w:color="auto" w:fill="D6E4F0"/>
            <w:tcMar>
              <w:top w:w="60" w:type="dxa"/>
              <w:left w:w="100" w:type="dxa"/>
              <w:bottom w:w="60" w:type="dxa"/>
              <w:right w:w="100" w:type="dxa"/>
            </w:tcMar>
          </w:tcPr>
          <w:p w14:paraId="7AEC6A41"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6</w:t>
            </w:r>
          </w:p>
        </w:tc>
        <w:tc>
          <w:tcPr>
            <w:tcW w:w="1835" w:type="dxa"/>
            <w:tcBorders>
              <w:top w:val="single" w:sz="4" w:space="0" w:color="AAAAAA"/>
              <w:left w:val="single" w:sz="4" w:space="0" w:color="AAAAAA"/>
              <w:bottom w:val="single" w:sz="4" w:space="0" w:color="AAAAAA"/>
              <w:right w:val="single" w:sz="4" w:space="0" w:color="AAAAAA"/>
            </w:tcBorders>
            <w:shd w:val="clear" w:color="auto" w:fill="D6E4F0"/>
            <w:tcMar>
              <w:top w:w="60" w:type="dxa"/>
              <w:left w:w="100" w:type="dxa"/>
              <w:bottom w:w="60" w:type="dxa"/>
              <w:right w:w="100" w:type="dxa"/>
            </w:tcMar>
          </w:tcPr>
          <w:p w14:paraId="5AB54BF4"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13.3</w:t>
            </w:r>
          </w:p>
        </w:tc>
        <w:tc>
          <w:tcPr>
            <w:tcW w:w="1835" w:type="dxa"/>
            <w:tcBorders>
              <w:top w:val="single" w:sz="4" w:space="0" w:color="AAAAAA"/>
              <w:left w:val="single" w:sz="4" w:space="0" w:color="AAAAAA"/>
              <w:bottom w:val="single" w:sz="4" w:space="0" w:color="AAAAAA"/>
              <w:right w:val="single" w:sz="4" w:space="0" w:color="AAAAAA"/>
            </w:tcBorders>
            <w:shd w:val="clear" w:color="auto" w:fill="D6E4F0"/>
            <w:tcMar>
              <w:top w:w="60" w:type="dxa"/>
              <w:left w:w="100" w:type="dxa"/>
              <w:bottom w:w="60" w:type="dxa"/>
              <w:right w:w="100" w:type="dxa"/>
            </w:tcMar>
          </w:tcPr>
          <w:p w14:paraId="782FB1B8"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−0.72</w:t>
            </w:r>
          </w:p>
        </w:tc>
        <w:tc>
          <w:tcPr>
            <w:tcW w:w="1835" w:type="dxa"/>
            <w:tcBorders>
              <w:top w:val="single" w:sz="4" w:space="0" w:color="AAAAAA"/>
              <w:left w:val="single" w:sz="4" w:space="0" w:color="AAAAAA"/>
              <w:bottom w:val="single" w:sz="4" w:space="0" w:color="AAAAAA"/>
              <w:right w:val="single" w:sz="4" w:space="0" w:color="AAAAAA"/>
            </w:tcBorders>
            <w:shd w:val="clear" w:color="auto" w:fill="D6E4F0"/>
            <w:tcMar>
              <w:top w:w="60" w:type="dxa"/>
              <w:left w:w="100" w:type="dxa"/>
              <w:bottom w:w="60" w:type="dxa"/>
              <w:right w:w="100" w:type="dxa"/>
            </w:tcMar>
          </w:tcPr>
          <w:p w14:paraId="58C1D721"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0.77 SD improvement</w:t>
            </w:r>
          </w:p>
        </w:tc>
        <w:tc>
          <w:tcPr>
            <w:tcW w:w="2248" w:type="dxa"/>
            <w:tcBorders>
              <w:top w:val="single" w:sz="4" w:space="0" w:color="AAAAAA"/>
              <w:left w:val="single" w:sz="4" w:space="0" w:color="AAAAAA"/>
              <w:bottom w:val="single" w:sz="4" w:space="0" w:color="AAAAAA"/>
              <w:right w:val="single" w:sz="4" w:space="0" w:color="AAAAAA"/>
            </w:tcBorders>
            <w:shd w:val="clear" w:color="auto" w:fill="D6E4F0"/>
            <w:tcMar>
              <w:top w:w="60" w:type="dxa"/>
              <w:left w:w="100" w:type="dxa"/>
              <w:bottom w:w="60" w:type="dxa"/>
              <w:right w:w="100" w:type="dxa"/>
            </w:tcMar>
          </w:tcPr>
          <w:p w14:paraId="1F66ED6C"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Across visit range</w:t>
            </w:r>
          </w:p>
        </w:tc>
      </w:tr>
    </w:tbl>
    <w:p w14:paraId="3A6AB3B5" w14:textId="77777777" w:rsidR="00355B0D" w:rsidRPr="00CA4FF0" w:rsidRDefault="00F77F3D">
      <w:pPr>
        <w:pBdr>
          <w:top w:val="single" w:sz="2" w:space="0" w:color="CCCCCC"/>
        </w:pBdr>
        <w:spacing w:before="60" w:after="60"/>
        <w:rPr>
          <w:rFonts w:ascii="Times New Roman" w:hAnsi="Times New Roman" w:cs="Times New Roman"/>
        </w:rPr>
      </w:pPr>
      <w:r w:rsidRPr="00CA4FF0">
        <w:rPr>
          <w:rFonts w:ascii="Times New Roman" w:hAnsi="Times New Roman" w:cs="Times New Roman"/>
          <w:i/>
          <w:iCs/>
          <w:color w:val="555555"/>
          <w:sz w:val="18"/>
          <w:szCs w:val="18"/>
        </w:rPr>
        <w:t>Figure 1 Data. Each row represents aggregate data for children attending the indicated number of GMP sessions in the 6 months preceding survey. Stunting = HAZ &lt;−2 SD. WHO emergency threshold for stunting: &gt;20%. For journal submission, these data should be plotted as a dual-axis line chart: primary axis = stunting prevalence (%); secondary axis = mean HAZ. The progressive decline in stunting prevalence alongside the increasing mean HAZ across the 0–6 session spectrum constitutes the dose-response signal.</w:t>
      </w:r>
    </w:p>
    <w:p w14:paraId="2A7CEF96" w14:textId="77777777" w:rsidR="00355B0D" w:rsidRPr="00CA4FF0" w:rsidRDefault="00355B0D">
      <w:pPr>
        <w:spacing w:after="80"/>
        <w:rPr>
          <w:rFonts w:ascii="Times New Roman" w:hAnsi="Times New Roman" w:cs="Times New Roman"/>
        </w:rPr>
      </w:pPr>
    </w:p>
    <w:p w14:paraId="16001640" w14:textId="77777777" w:rsidR="00355B0D" w:rsidRPr="00CA4FF0" w:rsidRDefault="00F77F3D">
      <w:pPr>
        <w:pStyle w:val="Heading2"/>
        <w:rPr>
          <w:rFonts w:ascii="Times New Roman" w:hAnsi="Times New Roman" w:cs="Times New Roman"/>
        </w:rPr>
      </w:pPr>
      <w:r w:rsidRPr="00CA4FF0">
        <w:rPr>
          <w:rFonts w:ascii="Times New Roman" w:hAnsi="Times New Roman" w:cs="Times New Roman"/>
        </w:rPr>
        <w:t>3.6 Linear Regression: Independent Effect of GMP on Anthropometric Z-Scores</w:t>
      </w:r>
    </w:p>
    <w:p w14:paraId="1C62570A"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 xml:space="preserve">In multiple linear regression adjusting for child age, sex, birth weight, exclusive breastfeeding, recent diarrhoea and ARI episodes, vitamin A supplementation, maternal knowledge, household food security, IYCF counselling, and distance to PHC (n=617), regular GMP attendance remained a </w:t>
      </w:r>
      <w:r w:rsidRPr="00CA4FF0">
        <w:rPr>
          <w:rFonts w:ascii="Times New Roman" w:hAnsi="Times New Roman" w:cs="Times New Roman"/>
          <w:b/>
          <w:bCs/>
        </w:rPr>
        <w:t>significant and independent predictor of HAZ</w:t>
      </w:r>
      <w:r w:rsidRPr="00CA4FF0">
        <w:rPr>
          <w:rFonts w:ascii="Times New Roman" w:hAnsi="Times New Roman" w:cs="Times New Roman"/>
        </w:rPr>
        <w:t xml:space="preserve"> (β=0.365, SE=0.102, 95% CI: 0.165–0.564, p&lt;0.001) and WAZ (β=0.343, SE=0.095, 95% CI: 0.157–0.529, p&lt;0.001). The HAZ model explained 10.0% of the variance (R²=0.100, Adjusted R²=0.081). Good maternal knowledge was independently associated with +0.566 SD HAZ (β=0.566, SE=0.163, p&lt;0.001) compared to poor knowledge, suggesting knowledge operates on nutritional status through pathways partially independent of GMP participation. Child age was negatively associated with HAZ (β=−0.010, p&lt;0.001), confirming the age-related accumulation of chronic undernutrition.</w:t>
      </w:r>
    </w:p>
    <w:p w14:paraId="03B1E08B" w14:textId="77777777" w:rsidR="00355B0D" w:rsidRPr="00CA4FF0" w:rsidRDefault="00F77F3D">
      <w:pPr>
        <w:pStyle w:val="Heading2"/>
        <w:rPr>
          <w:rFonts w:ascii="Times New Roman" w:hAnsi="Times New Roman" w:cs="Times New Roman"/>
        </w:rPr>
      </w:pPr>
      <w:r w:rsidRPr="00CA4FF0">
        <w:rPr>
          <w:rFonts w:ascii="Times New Roman" w:hAnsi="Times New Roman" w:cs="Times New Roman"/>
        </w:rPr>
        <w:t>3.7 Determinants of Regular GMP Attendance: Multivariable Analysis</w:t>
      </w:r>
    </w:p>
    <w:p w14:paraId="59FFFA07"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The multivariable logistic regression model showed adequate fit (Hosmer-Lemeshow p=0.331; Nagelkerke R²=0.211; classification accuracy=65.2%). Six independent predictors of regular GMP attendance were identified (Table 4):</w:t>
      </w:r>
    </w:p>
    <w:p w14:paraId="4C27CDF6"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b/>
          <w:bCs/>
        </w:rPr>
        <w:lastRenderedPageBreak/>
        <w:t>Positive attitude toward GMP (vs negative):</w:t>
      </w:r>
      <w:r w:rsidRPr="00CA4FF0">
        <w:rPr>
          <w:rFonts w:ascii="Times New Roman" w:hAnsi="Times New Roman" w:cs="Times New Roman"/>
        </w:rPr>
        <w:t xml:space="preserve"> aOR=3.72, 95% CI: 1.53–9.08, p=0.004. The strongest retained attitudinal predictor, highlighting that demand-generation through quality service interaction is paramount.</w:t>
      </w:r>
    </w:p>
    <w:p w14:paraId="2E153407"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b/>
          <w:bCs/>
        </w:rPr>
        <w:t>IYCF counselling through any channel (vs none):</w:t>
      </w:r>
      <w:r w:rsidRPr="00CA4FF0">
        <w:rPr>
          <w:rFonts w:ascii="Times New Roman" w:hAnsi="Times New Roman" w:cs="Times New Roman"/>
        </w:rPr>
        <w:t xml:space="preserve"> aOR=4.20, 95% CI: 1.40–12.63, p=0.010. Mothers who received IYCF counselling were four times more likely to attend GMP regularly, demonstrating the critical synergy between integrated nutrition services and GMP engagement.</w:t>
      </w:r>
    </w:p>
    <w:p w14:paraId="7E79CC54"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b/>
          <w:bCs/>
        </w:rPr>
        <w:t>Mother support group membership (vs non-member):</w:t>
      </w:r>
      <w:r w:rsidRPr="00CA4FF0">
        <w:rPr>
          <w:rFonts w:ascii="Times New Roman" w:hAnsi="Times New Roman" w:cs="Times New Roman"/>
        </w:rPr>
        <w:t xml:space="preserve"> aOR=1.87, 95% CI: 1.30–2.68, p&lt;0.001. The most precisely estimated predictor, reflecting the role of peer networks and social capital in sustaining health-seeking behaviour.</w:t>
      </w:r>
    </w:p>
    <w:p w14:paraId="21A09FEA"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b/>
          <w:bCs/>
        </w:rPr>
        <w:t>Medium perceived benefit of GMP (vs low):</w:t>
      </w:r>
      <w:r w:rsidRPr="00CA4FF0">
        <w:rPr>
          <w:rFonts w:ascii="Times New Roman" w:hAnsi="Times New Roman" w:cs="Times New Roman"/>
        </w:rPr>
        <w:t xml:space="preserve"> aOR=1.79, 95% CI: 1.11–2.89, p=0.018. Perceived benefit — a construct from the Health Belief Model — independently drove attendance after adjustment for knowledge.</w:t>
      </w:r>
    </w:p>
    <w:p w14:paraId="2A238EFA"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b/>
          <w:bCs/>
        </w:rPr>
        <w:t>Single marital status (vs married):</w:t>
      </w:r>
      <w:r w:rsidRPr="00CA4FF0">
        <w:rPr>
          <w:rFonts w:ascii="Times New Roman" w:hAnsi="Times New Roman" w:cs="Times New Roman"/>
        </w:rPr>
        <w:t xml:space="preserve"> aOR=0.57, 95% CI: 0.35–0.93, p=0.024. Single mothers had 43% lower odds of regular attendance, likely reflecting reduced household decision-making support and increased caregiving burden.</w:t>
      </w:r>
    </w:p>
    <w:p w14:paraId="3130E4CA"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b/>
          <w:bCs/>
        </w:rPr>
        <w:t>Distance to PHC (per additional km):</w:t>
      </w:r>
      <w:r w:rsidRPr="00CA4FF0">
        <w:rPr>
          <w:rFonts w:ascii="Times New Roman" w:hAnsi="Times New Roman" w:cs="Times New Roman"/>
        </w:rPr>
        <w:t xml:space="preserve"> aOR=0.92, 95% CI: 0.85–0.99, p=0.026. Each additional kilometre reduced attendance odds by 8%. This variable was unmasked only in the adjusted model (crude p=0.065).</w:t>
      </w:r>
    </w:p>
    <w:p w14:paraId="3BC5D64D"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b/>
          <w:bCs/>
        </w:rPr>
        <w:t>Maternal knowledge category was fully attenuated after adjustment</w:t>
      </w:r>
      <w:r w:rsidRPr="00CA4FF0">
        <w:rPr>
          <w:rFonts w:ascii="Times New Roman" w:hAnsi="Times New Roman" w:cs="Times New Roman"/>
        </w:rPr>
        <w:t xml:space="preserve"> (Good vs Poor: aOR=1.23, p=0.807), indicating that the knowledge-attendance relationship is mediated or confounded by attitude, perceived benefit, and IYCF counselling access.</w:t>
      </w:r>
    </w:p>
    <w:p w14:paraId="2FBB154D" w14:textId="77777777" w:rsidR="00355B0D" w:rsidRPr="00CA4FF0" w:rsidRDefault="00F77F3D">
      <w:pPr>
        <w:spacing w:before="200" w:after="80"/>
        <w:rPr>
          <w:rFonts w:ascii="Times New Roman" w:hAnsi="Times New Roman" w:cs="Times New Roman"/>
        </w:rPr>
      </w:pPr>
      <w:r w:rsidRPr="00CA4FF0">
        <w:rPr>
          <w:rFonts w:ascii="Times New Roman" w:hAnsi="Times New Roman" w:cs="Times New Roman"/>
          <w:b/>
          <w:bCs/>
        </w:rPr>
        <w:t xml:space="preserve">Table 4. </w:t>
      </w:r>
      <w:r w:rsidRPr="00CA4FF0">
        <w:rPr>
          <w:rFonts w:ascii="Times New Roman" w:hAnsi="Times New Roman" w:cs="Times New Roman"/>
        </w:rPr>
        <w:t>Independent predictors of regular GMP attendance: multivariable logistic regression (N=617)</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41"/>
        <w:gridCol w:w="1005"/>
        <w:gridCol w:w="1005"/>
        <w:gridCol w:w="1758"/>
        <w:gridCol w:w="1130"/>
        <w:gridCol w:w="1708"/>
      </w:tblGrid>
      <w:tr w:rsidR="00355B0D" w:rsidRPr="00CA4FF0" w14:paraId="447F554F" w14:textId="77777777" w:rsidTr="00CA4FF0">
        <w:trPr>
          <w:trHeight w:val="421"/>
        </w:trPr>
        <w:tc>
          <w:tcPr>
            <w:tcW w:w="3141"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372CEFD5" w14:textId="77777777" w:rsidR="00355B0D" w:rsidRPr="00CA4FF0" w:rsidRDefault="00F77F3D">
            <w:pPr>
              <w:jc w:val="center"/>
              <w:rPr>
                <w:rFonts w:ascii="Times New Roman" w:hAnsi="Times New Roman" w:cs="Times New Roman"/>
              </w:rPr>
            </w:pPr>
            <w:r w:rsidRPr="00CA4FF0">
              <w:rPr>
                <w:rFonts w:ascii="Times New Roman" w:hAnsi="Times New Roman" w:cs="Times New Roman"/>
                <w:b/>
                <w:bCs/>
                <w:color w:val="FFFFFF"/>
                <w:sz w:val="18"/>
                <w:szCs w:val="18"/>
              </w:rPr>
              <w:t>Variable</w:t>
            </w:r>
          </w:p>
        </w:tc>
        <w:tc>
          <w:tcPr>
            <w:tcW w:w="1005"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51F99572" w14:textId="77777777" w:rsidR="00355B0D" w:rsidRPr="00CA4FF0" w:rsidRDefault="00F77F3D">
            <w:pPr>
              <w:jc w:val="center"/>
              <w:rPr>
                <w:rFonts w:ascii="Times New Roman" w:hAnsi="Times New Roman" w:cs="Times New Roman"/>
              </w:rPr>
            </w:pPr>
            <w:r w:rsidRPr="00CA4FF0">
              <w:rPr>
                <w:rFonts w:ascii="Times New Roman" w:hAnsi="Times New Roman" w:cs="Times New Roman"/>
                <w:b/>
                <w:bCs/>
                <w:color w:val="FFFFFF"/>
                <w:sz w:val="18"/>
                <w:szCs w:val="18"/>
              </w:rPr>
              <w:t>cOR</w:t>
            </w:r>
          </w:p>
        </w:tc>
        <w:tc>
          <w:tcPr>
            <w:tcW w:w="1005"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6EE712CC" w14:textId="77777777" w:rsidR="00355B0D" w:rsidRPr="00CA4FF0" w:rsidRDefault="00F77F3D">
            <w:pPr>
              <w:jc w:val="center"/>
              <w:rPr>
                <w:rFonts w:ascii="Times New Roman" w:hAnsi="Times New Roman" w:cs="Times New Roman"/>
              </w:rPr>
            </w:pPr>
            <w:r w:rsidRPr="00CA4FF0">
              <w:rPr>
                <w:rFonts w:ascii="Times New Roman" w:hAnsi="Times New Roman" w:cs="Times New Roman"/>
                <w:b/>
                <w:bCs/>
                <w:color w:val="FFFFFF"/>
                <w:sz w:val="18"/>
                <w:szCs w:val="18"/>
              </w:rPr>
              <w:t>aOR</w:t>
            </w:r>
          </w:p>
        </w:tc>
        <w:tc>
          <w:tcPr>
            <w:tcW w:w="1758"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31C91AE4" w14:textId="77777777" w:rsidR="00355B0D" w:rsidRPr="00CA4FF0" w:rsidRDefault="00F77F3D">
            <w:pPr>
              <w:jc w:val="center"/>
              <w:rPr>
                <w:rFonts w:ascii="Times New Roman" w:hAnsi="Times New Roman" w:cs="Times New Roman"/>
              </w:rPr>
            </w:pPr>
            <w:r w:rsidRPr="00CA4FF0">
              <w:rPr>
                <w:rFonts w:ascii="Times New Roman" w:hAnsi="Times New Roman" w:cs="Times New Roman"/>
                <w:b/>
                <w:bCs/>
                <w:color w:val="FFFFFF"/>
                <w:sz w:val="18"/>
                <w:szCs w:val="18"/>
              </w:rPr>
              <w:t>95% CI (Adjusted)</w:t>
            </w:r>
          </w:p>
        </w:tc>
        <w:tc>
          <w:tcPr>
            <w:tcW w:w="113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0B195D32" w14:textId="77777777" w:rsidR="00355B0D" w:rsidRPr="00CA4FF0" w:rsidRDefault="00F77F3D">
            <w:pPr>
              <w:jc w:val="center"/>
              <w:rPr>
                <w:rFonts w:ascii="Times New Roman" w:hAnsi="Times New Roman" w:cs="Times New Roman"/>
              </w:rPr>
            </w:pPr>
            <w:r w:rsidRPr="00CA4FF0">
              <w:rPr>
                <w:rFonts w:ascii="Times New Roman" w:hAnsi="Times New Roman" w:cs="Times New Roman"/>
                <w:b/>
                <w:bCs/>
                <w:color w:val="FFFFFF"/>
                <w:sz w:val="18"/>
                <w:szCs w:val="18"/>
              </w:rPr>
              <w:t>p-value</w:t>
            </w:r>
          </w:p>
        </w:tc>
        <w:tc>
          <w:tcPr>
            <w:tcW w:w="1708" w:type="dxa"/>
            <w:tcBorders>
              <w:top w:val="single" w:sz="4" w:space="0" w:color="AAAAAA"/>
              <w:left w:val="single" w:sz="4" w:space="0" w:color="AAAAAA"/>
              <w:bottom w:val="single" w:sz="4" w:space="0" w:color="AAAAAA"/>
              <w:right w:val="single" w:sz="4" w:space="0" w:color="AAAAAA"/>
            </w:tcBorders>
            <w:shd w:val="clear" w:color="auto" w:fill="1F4E79"/>
            <w:tcMar>
              <w:top w:w="80" w:type="dxa"/>
              <w:left w:w="100" w:type="dxa"/>
              <w:bottom w:w="80" w:type="dxa"/>
              <w:right w:w="100" w:type="dxa"/>
            </w:tcMar>
          </w:tcPr>
          <w:p w14:paraId="6718FBC3" w14:textId="77777777" w:rsidR="00355B0D" w:rsidRPr="00CA4FF0" w:rsidRDefault="00F77F3D">
            <w:pPr>
              <w:jc w:val="center"/>
              <w:rPr>
                <w:rFonts w:ascii="Times New Roman" w:hAnsi="Times New Roman" w:cs="Times New Roman"/>
              </w:rPr>
            </w:pPr>
            <w:r w:rsidRPr="00CA4FF0">
              <w:rPr>
                <w:rFonts w:ascii="Times New Roman" w:hAnsi="Times New Roman" w:cs="Times New Roman"/>
                <w:b/>
                <w:bCs/>
                <w:color w:val="FFFFFF"/>
                <w:sz w:val="18"/>
                <w:szCs w:val="18"/>
              </w:rPr>
              <w:t>Status</w:t>
            </w:r>
          </w:p>
        </w:tc>
      </w:tr>
      <w:tr w:rsidR="00355B0D" w:rsidRPr="00CA4FF0" w14:paraId="44B03C88" w14:textId="77777777" w:rsidTr="00CA4FF0">
        <w:trPr>
          <w:trHeight w:val="517"/>
        </w:trPr>
        <w:tc>
          <w:tcPr>
            <w:tcW w:w="3141"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63F89FFF"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Attitude: Positive vs Negative</w:t>
            </w:r>
          </w:p>
        </w:tc>
        <w:tc>
          <w:tcPr>
            <w:tcW w:w="1005"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541EF3D8"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6.39</w:t>
            </w:r>
          </w:p>
        </w:tc>
        <w:tc>
          <w:tcPr>
            <w:tcW w:w="1005"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427D8920"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3.72</w:t>
            </w:r>
          </w:p>
        </w:tc>
        <w:tc>
          <w:tcPr>
            <w:tcW w:w="1758"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65025A6D"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1.53–9.08</w:t>
            </w:r>
          </w:p>
        </w:tc>
        <w:tc>
          <w:tcPr>
            <w:tcW w:w="113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26540494"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0.004</w:t>
            </w:r>
          </w:p>
        </w:tc>
        <w:tc>
          <w:tcPr>
            <w:tcW w:w="1708"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00407AB6"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 xml:space="preserve">Retained </w:t>
            </w:r>
            <w:r w:rsidRPr="00CA4FF0">
              <w:rPr>
                <w:rFonts w:ascii="Segoe UI Symbol" w:hAnsi="Segoe UI Symbol" w:cs="Segoe UI Symbol"/>
              </w:rPr>
              <w:t>★</w:t>
            </w:r>
          </w:p>
        </w:tc>
      </w:tr>
      <w:tr w:rsidR="00355B0D" w:rsidRPr="00CA4FF0" w14:paraId="651DB15E" w14:textId="77777777" w:rsidTr="00CA4FF0">
        <w:trPr>
          <w:trHeight w:val="508"/>
        </w:trPr>
        <w:tc>
          <w:tcPr>
            <w:tcW w:w="314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80F11E3"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IYCF counselling: Yes vs No</w:t>
            </w:r>
          </w:p>
        </w:tc>
        <w:tc>
          <w:tcPr>
            <w:tcW w:w="100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52E0995"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7.52</w:t>
            </w:r>
          </w:p>
        </w:tc>
        <w:tc>
          <w:tcPr>
            <w:tcW w:w="100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23263FC"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4.20</w:t>
            </w:r>
          </w:p>
        </w:tc>
        <w:tc>
          <w:tcPr>
            <w:tcW w:w="175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2327FA2"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1.40–12.63</w:t>
            </w:r>
          </w:p>
        </w:tc>
        <w:tc>
          <w:tcPr>
            <w:tcW w:w="11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6572F77"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0.010</w:t>
            </w:r>
          </w:p>
        </w:tc>
        <w:tc>
          <w:tcPr>
            <w:tcW w:w="170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9C491E4"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 xml:space="preserve">Retained </w:t>
            </w:r>
            <w:r w:rsidRPr="00CA4FF0">
              <w:rPr>
                <w:rFonts w:ascii="Segoe UI Symbol" w:hAnsi="Segoe UI Symbol" w:cs="Segoe UI Symbol"/>
              </w:rPr>
              <w:t>★</w:t>
            </w:r>
          </w:p>
        </w:tc>
      </w:tr>
      <w:tr w:rsidR="00355B0D" w:rsidRPr="00CA4FF0" w14:paraId="5B74D1BD" w14:textId="77777777" w:rsidTr="00CA4FF0">
        <w:trPr>
          <w:trHeight w:val="517"/>
        </w:trPr>
        <w:tc>
          <w:tcPr>
            <w:tcW w:w="3141"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3F2A3F50"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Mother support group: Yes vs No</w:t>
            </w:r>
          </w:p>
        </w:tc>
        <w:tc>
          <w:tcPr>
            <w:tcW w:w="1005"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52CBA392"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1.91</w:t>
            </w:r>
          </w:p>
        </w:tc>
        <w:tc>
          <w:tcPr>
            <w:tcW w:w="1005"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694F0B20"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1.87</w:t>
            </w:r>
          </w:p>
        </w:tc>
        <w:tc>
          <w:tcPr>
            <w:tcW w:w="1758"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186ACAD4"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1.30–2.68</w:t>
            </w:r>
          </w:p>
        </w:tc>
        <w:tc>
          <w:tcPr>
            <w:tcW w:w="113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53F3F8B0"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&lt;0.001</w:t>
            </w:r>
          </w:p>
        </w:tc>
        <w:tc>
          <w:tcPr>
            <w:tcW w:w="1708"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51985154"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 xml:space="preserve">Retained </w:t>
            </w:r>
            <w:r w:rsidRPr="00CA4FF0">
              <w:rPr>
                <w:rFonts w:ascii="Segoe UI Symbol" w:hAnsi="Segoe UI Symbol" w:cs="Segoe UI Symbol"/>
              </w:rPr>
              <w:t>★</w:t>
            </w:r>
          </w:p>
        </w:tc>
      </w:tr>
      <w:tr w:rsidR="00355B0D" w:rsidRPr="00CA4FF0" w14:paraId="38D7B7CA" w14:textId="77777777" w:rsidTr="00CA4FF0">
        <w:trPr>
          <w:trHeight w:val="517"/>
        </w:trPr>
        <w:tc>
          <w:tcPr>
            <w:tcW w:w="314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B9F31C7"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Perceived benefit: Medium vs Low</w:t>
            </w:r>
          </w:p>
        </w:tc>
        <w:tc>
          <w:tcPr>
            <w:tcW w:w="100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5456B46"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3.00</w:t>
            </w:r>
          </w:p>
        </w:tc>
        <w:tc>
          <w:tcPr>
            <w:tcW w:w="100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33116F3"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1.79</w:t>
            </w:r>
          </w:p>
        </w:tc>
        <w:tc>
          <w:tcPr>
            <w:tcW w:w="175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D4A3CCC"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1.11–2.89</w:t>
            </w:r>
          </w:p>
        </w:tc>
        <w:tc>
          <w:tcPr>
            <w:tcW w:w="11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40B33C1"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0.018</w:t>
            </w:r>
          </w:p>
        </w:tc>
        <w:tc>
          <w:tcPr>
            <w:tcW w:w="170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CCD3E32"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 xml:space="preserve">Retained </w:t>
            </w:r>
            <w:r w:rsidRPr="00CA4FF0">
              <w:rPr>
                <w:rFonts w:ascii="Segoe UI Symbol" w:hAnsi="Segoe UI Symbol" w:cs="Segoe UI Symbol"/>
              </w:rPr>
              <w:t>★</w:t>
            </w:r>
          </w:p>
        </w:tc>
      </w:tr>
      <w:tr w:rsidR="00355B0D" w:rsidRPr="00CA4FF0" w14:paraId="416D33C8" w14:textId="77777777" w:rsidTr="00CA4FF0">
        <w:trPr>
          <w:trHeight w:val="278"/>
        </w:trPr>
        <w:tc>
          <w:tcPr>
            <w:tcW w:w="3141"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46B29FFE"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Marital: Single vs Married</w:t>
            </w:r>
          </w:p>
        </w:tc>
        <w:tc>
          <w:tcPr>
            <w:tcW w:w="1005"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4DB0A46C"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0.64</w:t>
            </w:r>
          </w:p>
        </w:tc>
        <w:tc>
          <w:tcPr>
            <w:tcW w:w="1005"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0CA09236"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0.57</w:t>
            </w:r>
          </w:p>
        </w:tc>
        <w:tc>
          <w:tcPr>
            <w:tcW w:w="1758"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0715E655"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0.35–0.93</w:t>
            </w:r>
          </w:p>
        </w:tc>
        <w:tc>
          <w:tcPr>
            <w:tcW w:w="113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6E31EDA5"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0.024</w:t>
            </w:r>
          </w:p>
        </w:tc>
        <w:tc>
          <w:tcPr>
            <w:tcW w:w="1708"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tcPr>
          <w:p w14:paraId="0C76B793"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 xml:space="preserve">Retained </w:t>
            </w:r>
            <w:r w:rsidRPr="00CA4FF0">
              <w:rPr>
                <w:rFonts w:ascii="Segoe UI Symbol" w:hAnsi="Segoe UI Symbol" w:cs="Segoe UI Symbol"/>
              </w:rPr>
              <w:t>★</w:t>
            </w:r>
          </w:p>
        </w:tc>
      </w:tr>
      <w:tr w:rsidR="00355B0D" w:rsidRPr="00CA4FF0" w14:paraId="2F4F1E18" w14:textId="77777777" w:rsidTr="00CA4FF0">
        <w:trPr>
          <w:trHeight w:val="546"/>
        </w:trPr>
        <w:tc>
          <w:tcPr>
            <w:tcW w:w="3141"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5684E09"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Distance to PHC (per km)</w:t>
            </w:r>
          </w:p>
        </w:tc>
        <w:tc>
          <w:tcPr>
            <w:tcW w:w="100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D866298"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0.94</w:t>
            </w:r>
          </w:p>
        </w:tc>
        <w:tc>
          <w:tcPr>
            <w:tcW w:w="1005"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7814B52"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0.92</w:t>
            </w:r>
          </w:p>
        </w:tc>
        <w:tc>
          <w:tcPr>
            <w:tcW w:w="175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06334410"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0.85–0.99</w:t>
            </w:r>
          </w:p>
        </w:tc>
        <w:tc>
          <w:tcPr>
            <w:tcW w:w="113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7C6C0EC"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0.026</w:t>
            </w:r>
          </w:p>
        </w:tc>
        <w:tc>
          <w:tcPr>
            <w:tcW w:w="1708"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EE416E5"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 xml:space="preserve">Unmasked </w:t>
            </w:r>
            <w:r w:rsidRPr="00CA4FF0">
              <w:rPr>
                <w:rFonts w:ascii="Segoe UI Symbol" w:hAnsi="Segoe UI Symbol" w:cs="Segoe UI Symbol"/>
              </w:rPr>
              <w:t>★</w:t>
            </w:r>
          </w:p>
        </w:tc>
      </w:tr>
      <w:tr w:rsidR="00355B0D" w:rsidRPr="00CA4FF0" w14:paraId="146DCE2F" w14:textId="77777777" w:rsidTr="00CA4FF0">
        <w:trPr>
          <w:trHeight w:val="508"/>
        </w:trPr>
        <w:tc>
          <w:tcPr>
            <w:tcW w:w="3141" w:type="dxa"/>
            <w:tcBorders>
              <w:top w:val="single" w:sz="4" w:space="0" w:color="AAAAAA"/>
              <w:left w:val="single" w:sz="4" w:space="0" w:color="AAAAAA"/>
              <w:bottom w:val="single" w:sz="4" w:space="0" w:color="AAAAAA"/>
              <w:right w:val="single" w:sz="4" w:space="0" w:color="AAAAAA"/>
            </w:tcBorders>
            <w:shd w:val="clear" w:color="auto" w:fill="FFF2CC"/>
            <w:tcMar>
              <w:top w:w="60" w:type="dxa"/>
              <w:left w:w="100" w:type="dxa"/>
              <w:bottom w:w="60" w:type="dxa"/>
              <w:right w:w="100" w:type="dxa"/>
            </w:tcMar>
          </w:tcPr>
          <w:p w14:paraId="09423C77"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Attitude: Neutral vs Negative</w:t>
            </w:r>
          </w:p>
        </w:tc>
        <w:tc>
          <w:tcPr>
            <w:tcW w:w="1005" w:type="dxa"/>
            <w:tcBorders>
              <w:top w:val="single" w:sz="4" w:space="0" w:color="AAAAAA"/>
              <w:left w:val="single" w:sz="4" w:space="0" w:color="AAAAAA"/>
              <w:bottom w:val="single" w:sz="4" w:space="0" w:color="AAAAAA"/>
              <w:right w:val="single" w:sz="4" w:space="0" w:color="AAAAAA"/>
            </w:tcBorders>
            <w:shd w:val="clear" w:color="auto" w:fill="FFF2CC"/>
            <w:tcMar>
              <w:top w:w="60" w:type="dxa"/>
              <w:left w:w="100" w:type="dxa"/>
              <w:bottom w:w="60" w:type="dxa"/>
              <w:right w:w="100" w:type="dxa"/>
            </w:tcMar>
          </w:tcPr>
          <w:p w14:paraId="4D16481E"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2.14</w:t>
            </w:r>
          </w:p>
        </w:tc>
        <w:tc>
          <w:tcPr>
            <w:tcW w:w="1005" w:type="dxa"/>
            <w:tcBorders>
              <w:top w:val="single" w:sz="4" w:space="0" w:color="AAAAAA"/>
              <w:left w:val="single" w:sz="4" w:space="0" w:color="AAAAAA"/>
              <w:bottom w:val="single" w:sz="4" w:space="0" w:color="AAAAAA"/>
              <w:right w:val="single" w:sz="4" w:space="0" w:color="AAAAAA"/>
            </w:tcBorders>
            <w:shd w:val="clear" w:color="auto" w:fill="FFF2CC"/>
            <w:tcMar>
              <w:top w:w="60" w:type="dxa"/>
              <w:left w:w="100" w:type="dxa"/>
              <w:bottom w:w="60" w:type="dxa"/>
              <w:right w:w="100" w:type="dxa"/>
            </w:tcMar>
          </w:tcPr>
          <w:p w14:paraId="6AD98B26"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1.49</w:t>
            </w:r>
          </w:p>
        </w:tc>
        <w:tc>
          <w:tcPr>
            <w:tcW w:w="1758" w:type="dxa"/>
            <w:tcBorders>
              <w:top w:val="single" w:sz="4" w:space="0" w:color="AAAAAA"/>
              <w:left w:val="single" w:sz="4" w:space="0" w:color="AAAAAA"/>
              <w:bottom w:val="single" w:sz="4" w:space="0" w:color="AAAAAA"/>
              <w:right w:val="single" w:sz="4" w:space="0" w:color="AAAAAA"/>
            </w:tcBorders>
            <w:shd w:val="clear" w:color="auto" w:fill="FFF2CC"/>
            <w:tcMar>
              <w:top w:w="60" w:type="dxa"/>
              <w:left w:w="100" w:type="dxa"/>
              <w:bottom w:w="60" w:type="dxa"/>
              <w:right w:w="100" w:type="dxa"/>
            </w:tcMar>
          </w:tcPr>
          <w:p w14:paraId="36BC325B"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0.98–2.26</w:t>
            </w:r>
          </w:p>
        </w:tc>
        <w:tc>
          <w:tcPr>
            <w:tcW w:w="1130" w:type="dxa"/>
            <w:tcBorders>
              <w:top w:val="single" w:sz="4" w:space="0" w:color="AAAAAA"/>
              <w:left w:val="single" w:sz="4" w:space="0" w:color="AAAAAA"/>
              <w:bottom w:val="single" w:sz="4" w:space="0" w:color="AAAAAA"/>
              <w:right w:val="single" w:sz="4" w:space="0" w:color="AAAAAA"/>
            </w:tcBorders>
            <w:shd w:val="clear" w:color="auto" w:fill="FFF2CC"/>
            <w:tcMar>
              <w:top w:w="60" w:type="dxa"/>
              <w:left w:w="100" w:type="dxa"/>
              <w:bottom w:w="60" w:type="dxa"/>
              <w:right w:w="100" w:type="dxa"/>
            </w:tcMar>
          </w:tcPr>
          <w:p w14:paraId="6CE4A925"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0.062</w:t>
            </w:r>
          </w:p>
        </w:tc>
        <w:tc>
          <w:tcPr>
            <w:tcW w:w="1708" w:type="dxa"/>
            <w:tcBorders>
              <w:top w:val="single" w:sz="4" w:space="0" w:color="AAAAAA"/>
              <w:left w:val="single" w:sz="4" w:space="0" w:color="AAAAAA"/>
              <w:bottom w:val="single" w:sz="4" w:space="0" w:color="AAAAAA"/>
              <w:right w:val="single" w:sz="4" w:space="0" w:color="AAAAAA"/>
            </w:tcBorders>
            <w:shd w:val="clear" w:color="auto" w:fill="FFF2CC"/>
            <w:tcMar>
              <w:top w:w="60" w:type="dxa"/>
              <w:left w:w="100" w:type="dxa"/>
              <w:bottom w:w="60" w:type="dxa"/>
              <w:right w:w="100" w:type="dxa"/>
            </w:tcMar>
          </w:tcPr>
          <w:p w14:paraId="1B39D359"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Attenuated †</w:t>
            </w:r>
          </w:p>
        </w:tc>
      </w:tr>
      <w:tr w:rsidR="00355B0D" w:rsidRPr="00CA4FF0" w14:paraId="5F06190F" w14:textId="77777777" w:rsidTr="00CA4FF0">
        <w:trPr>
          <w:trHeight w:val="536"/>
        </w:trPr>
        <w:tc>
          <w:tcPr>
            <w:tcW w:w="3141" w:type="dxa"/>
            <w:tcBorders>
              <w:top w:val="single" w:sz="4" w:space="0" w:color="AAAAAA"/>
              <w:left w:val="single" w:sz="4" w:space="0" w:color="AAAAAA"/>
              <w:bottom w:val="single" w:sz="4" w:space="0" w:color="AAAAAA"/>
              <w:right w:val="single" w:sz="4" w:space="0" w:color="AAAAAA"/>
            </w:tcBorders>
            <w:shd w:val="clear" w:color="auto" w:fill="FFFBE6"/>
            <w:tcMar>
              <w:top w:w="60" w:type="dxa"/>
              <w:left w:w="100" w:type="dxa"/>
              <w:bottom w:w="60" w:type="dxa"/>
              <w:right w:w="100" w:type="dxa"/>
            </w:tcMar>
          </w:tcPr>
          <w:p w14:paraId="538B942D"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Knowledge: Good vs Poor</w:t>
            </w:r>
          </w:p>
        </w:tc>
        <w:tc>
          <w:tcPr>
            <w:tcW w:w="1005" w:type="dxa"/>
            <w:tcBorders>
              <w:top w:val="single" w:sz="4" w:space="0" w:color="AAAAAA"/>
              <w:left w:val="single" w:sz="4" w:space="0" w:color="AAAAAA"/>
              <w:bottom w:val="single" w:sz="4" w:space="0" w:color="AAAAAA"/>
              <w:right w:val="single" w:sz="4" w:space="0" w:color="AAAAAA"/>
            </w:tcBorders>
            <w:shd w:val="clear" w:color="auto" w:fill="FFFBE6"/>
            <w:tcMar>
              <w:top w:w="60" w:type="dxa"/>
              <w:left w:w="100" w:type="dxa"/>
              <w:bottom w:w="60" w:type="dxa"/>
              <w:right w:w="100" w:type="dxa"/>
            </w:tcMar>
          </w:tcPr>
          <w:p w14:paraId="2CC0578B"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4.72</w:t>
            </w:r>
          </w:p>
        </w:tc>
        <w:tc>
          <w:tcPr>
            <w:tcW w:w="1005" w:type="dxa"/>
            <w:tcBorders>
              <w:top w:val="single" w:sz="4" w:space="0" w:color="AAAAAA"/>
              <w:left w:val="single" w:sz="4" w:space="0" w:color="AAAAAA"/>
              <w:bottom w:val="single" w:sz="4" w:space="0" w:color="AAAAAA"/>
              <w:right w:val="single" w:sz="4" w:space="0" w:color="AAAAAA"/>
            </w:tcBorders>
            <w:shd w:val="clear" w:color="auto" w:fill="FFFBE6"/>
            <w:tcMar>
              <w:top w:w="60" w:type="dxa"/>
              <w:left w:w="100" w:type="dxa"/>
              <w:bottom w:w="60" w:type="dxa"/>
              <w:right w:w="100" w:type="dxa"/>
            </w:tcMar>
          </w:tcPr>
          <w:p w14:paraId="69EB3720"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1.23</w:t>
            </w:r>
          </w:p>
        </w:tc>
        <w:tc>
          <w:tcPr>
            <w:tcW w:w="1758" w:type="dxa"/>
            <w:tcBorders>
              <w:top w:val="single" w:sz="4" w:space="0" w:color="AAAAAA"/>
              <w:left w:val="single" w:sz="4" w:space="0" w:color="AAAAAA"/>
              <w:bottom w:val="single" w:sz="4" w:space="0" w:color="AAAAAA"/>
              <w:right w:val="single" w:sz="4" w:space="0" w:color="AAAAAA"/>
            </w:tcBorders>
            <w:shd w:val="clear" w:color="auto" w:fill="FFFBE6"/>
            <w:tcMar>
              <w:top w:w="60" w:type="dxa"/>
              <w:left w:w="100" w:type="dxa"/>
              <w:bottom w:w="60" w:type="dxa"/>
              <w:right w:w="100" w:type="dxa"/>
            </w:tcMar>
          </w:tcPr>
          <w:p w14:paraId="7FAEB956"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0.24–6.32</w:t>
            </w:r>
          </w:p>
        </w:tc>
        <w:tc>
          <w:tcPr>
            <w:tcW w:w="1130" w:type="dxa"/>
            <w:tcBorders>
              <w:top w:val="single" w:sz="4" w:space="0" w:color="AAAAAA"/>
              <w:left w:val="single" w:sz="4" w:space="0" w:color="AAAAAA"/>
              <w:bottom w:val="single" w:sz="4" w:space="0" w:color="AAAAAA"/>
              <w:right w:val="single" w:sz="4" w:space="0" w:color="AAAAAA"/>
            </w:tcBorders>
            <w:shd w:val="clear" w:color="auto" w:fill="FFFBE6"/>
            <w:tcMar>
              <w:top w:w="60" w:type="dxa"/>
              <w:left w:w="100" w:type="dxa"/>
              <w:bottom w:w="60" w:type="dxa"/>
              <w:right w:w="100" w:type="dxa"/>
            </w:tcMar>
          </w:tcPr>
          <w:p w14:paraId="6D091BF7"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0.807</w:t>
            </w:r>
          </w:p>
        </w:tc>
        <w:tc>
          <w:tcPr>
            <w:tcW w:w="1708" w:type="dxa"/>
            <w:tcBorders>
              <w:top w:val="single" w:sz="4" w:space="0" w:color="AAAAAA"/>
              <w:left w:val="single" w:sz="4" w:space="0" w:color="AAAAAA"/>
              <w:bottom w:val="single" w:sz="4" w:space="0" w:color="AAAAAA"/>
              <w:right w:val="single" w:sz="4" w:space="0" w:color="AAAAAA"/>
            </w:tcBorders>
            <w:shd w:val="clear" w:color="auto" w:fill="FFFBE6"/>
            <w:tcMar>
              <w:top w:w="60" w:type="dxa"/>
              <w:left w:w="100" w:type="dxa"/>
              <w:bottom w:w="60" w:type="dxa"/>
              <w:right w:w="100" w:type="dxa"/>
            </w:tcMar>
          </w:tcPr>
          <w:p w14:paraId="1182B929"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 xml:space="preserve">Attenuated </w:t>
            </w:r>
            <w:r w:rsidRPr="00CA4FF0">
              <w:rPr>
                <w:rFonts w:ascii="Segoe UI Symbol" w:hAnsi="Segoe UI Symbol" w:cs="Segoe UI Symbol"/>
              </w:rPr>
              <w:t>✕</w:t>
            </w:r>
          </w:p>
        </w:tc>
      </w:tr>
      <w:tr w:rsidR="00355B0D" w:rsidRPr="00CA4FF0" w14:paraId="27A2B6F2" w14:textId="77777777" w:rsidTr="00CA4FF0">
        <w:trPr>
          <w:trHeight w:val="546"/>
        </w:trPr>
        <w:tc>
          <w:tcPr>
            <w:tcW w:w="3141" w:type="dxa"/>
            <w:tcBorders>
              <w:top w:val="single" w:sz="4" w:space="0" w:color="AAAAAA"/>
              <w:left w:val="single" w:sz="4" w:space="0" w:color="AAAAAA"/>
              <w:bottom w:val="single" w:sz="4" w:space="0" w:color="AAAAAA"/>
              <w:right w:val="single" w:sz="4" w:space="0" w:color="AAAAAA"/>
            </w:tcBorders>
            <w:shd w:val="clear" w:color="auto" w:fill="FFF2CC"/>
            <w:tcMar>
              <w:top w:w="60" w:type="dxa"/>
              <w:left w:w="100" w:type="dxa"/>
              <w:bottom w:w="60" w:type="dxa"/>
              <w:right w:w="100" w:type="dxa"/>
            </w:tcMar>
          </w:tcPr>
          <w:p w14:paraId="07FC3303"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Knowledge: Moderate vs Poor</w:t>
            </w:r>
          </w:p>
        </w:tc>
        <w:tc>
          <w:tcPr>
            <w:tcW w:w="1005" w:type="dxa"/>
            <w:tcBorders>
              <w:top w:val="single" w:sz="4" w:space="0" w:color="AAAAAA"/>
              <w:left w:val="single" w:sz="4" w:space="0" w:color="AAAAAA"/>
              <w:bottom w:val="single" w:sz="4" w:space="0" w:color="AAAAAA"/>
              <w:right w:val="single" w:sz="4" w:space="0" w:color="AAAAAA"/>
            </w:tcBorders>
            <w:shd w:val="clear" w:color="auto" w:fill="FFF2CC"/>
            <w:tcMar>
              <w:top w:w="60" w:type="dxa"/>
              <w:left w:w="100" w:type="dxa"/>
              <w:bottom w:w="60" w:type="dxa"/>
              <w:right w:w="100" w:type="dxa"/>
            </w:tcMar>
          </w:tcPr>
          <w:p w14:paraId="713DB668"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1.98</w:t>
            </w:r>
          </w:p>
        </w:tc>
        <w:tc>
          <w:tcPr>
            <w:tcW w:w="1005" w:type="dxa"/>
            <w:tcBorders>
              <w:top w:val="single" w:sz="4" w:space="0" w:color="AAAAAA"/>
              <w:left w:val="single" w:sz="4" w:space="0" w:color="AAAAAA"/>
              <w:bottom w:val="single" w:sz="4" w:space="0" w:color="AAAAAA"/>
              <w:right w:val="single" w:sz="4" w:space="0" w:color="AAAAAA"/>
            </w:tcBorders>
            <w:shd w:val="clear" w:color="auto" w:fill="FFF2CC"/>
            <w:tcMar>
              <w:top w:w="60" w:type="dxa"/>
              <w:left w:w="100" w:type="dxa"/>
              <w:bottom w:w="60" w:type="dxa"/>
              <w:right w:w="100" w:type="dxa"/>
            </w:tcMar>
          </w:tcPr>
          <w:p w14:paraId="678B9616"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1.04</w:t>
            </w:r>
          </w:p>
        </w:tc>
        <w:tc>
          <w:tcPr>
            <w:tcW w:w="1758" w:type="dxa"/>
            <w:tcBorders>
              <w:top w:val="single" w:sz="4" w:space="0" w:color="AAAAAA"/>
              <w:left w:val="single" w:sz="4" w:space="0" w:color="AAAAAA"/>
              <w:bottom w:val="single" w:sz="4" w:space="0" w:color="AAAAAA"/>
              <w:right w:val="single" w:sz="4" w:space="0" w:color="AAAAAA"/>
            </w:tcBorders>
            <w:shd w:val="clear" w:color="auto" w:fill="FFF2CC"/>
            <w:tcMar>
              <w:top w:w="60" w:type="dxa"/>
              <w:left w:w="100" w:type="dxa"/>
              <w:bottom w:w="60" w:type="dxa"/>
              <w:right w:w="100" w:type="dxa"/>
            </w:tcMar>
          </w:tcPr>
          <w:p w14:paraId="7109AFD1"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0.42–2.60</w:t>
            </w:r>
          </w:p>
        </w:tc>
        <w:tc>
          <w:tcPr>
            <w:tcW w:w="1130" w:type="dxa"/>
            <w:tcBorders>
              <w:top w:val="single" w:sz="4" w:space="0" w:color="AAAAAA"/>
              <w:left w:val="single" w:sz="4" w:space="0" w:color="AAAAAA"/>
              <w:bottom w:val="single" w:sz="4" w:space="0" w:color="AAAAAA"/>
              <w:right w:val="single" w:sz="4" w:space="0" w:color="AAAAAA"/>
            </w:tcBorders>
            <w:shd w:val="clear" w:color="auto" w:fill="FFF2CC"/>
            <w:tcMar>
              <w:top w:w="60" w:type="dxa"/>
              <w:left w:w="100" w:type="dxa"/>
              <w:bottom w:w="60" w:type="dxa"/>
              <w:right w:w="100" w:type="dxa"/>
            </w:tcMar>
          </w:tcPr>
          <w:p w14:paraId="1BAADF5C"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0.928</w:t>
            </w:r>
          </w:p>
        </w:tc>
        <w:tc>
          <w:tcPr>
            <w:tcW w:w="1708" w:type="dxa"/>
            <w:tcBorders>
              <w:top w:val="single" w:sz="4" w:space="0" w:color="AAAAAA"/>
              <w:left w:val="single" w:sz="4" w:space="0" w:color="AAAAAA"/>
              <w:bottom w:val="single" w:sz="4" w:space="0" w:color="AAAAAA"/>
              <w:right w:val="single" w:sz="4" w:space="0" w:color="AAAAAA"/>
            </w:tcBorders>
            <w:shd w:val="clear" w:color="auto" w:fill="FFF2CC"/>
            <w:tcMar>
              <w:top w:w="60" w:type="dxa"/>
              <w:left w:w="100" w:type="dxa"/>
              <w:bottom w:w="60" w:type="dxa"/>
              <w:right w:w="100" w:type="dxa"/>
            </w:tcMar>
          </w:tcPr>
          <w:p w14:paraId="05479EC6" w14:textId="77777777" w:rsidR="00355B0D" w:rsidRPr="00CA4FF0" w:rsidRDefault="00F77F3D">
            <w:pPr>
              <w:jc w:val="center"/>
              <w:rPr>
                <w:rFonts w:ascii="Times New Roman" w:hAnsi="Times New Roman" w:cs="Times New Roman"/>
              </w:rPr>
            </w:pPr>
            <w:r w:rsidRPr="00CA4FF0">
              <w:rPr>
                <w:rFonts w:ascii="Times New Roman" w:hAnsi="Times New Roman" w:cs="Times New Roman"/>
              </w:rPr>
              <w:t xml:space="preserve">Attenuated </w:t>
            </w:r>
            <w:r w:rsidRPr="00CA4FF0">
              <w:rPr>
                <w:rFonts w:ascii="Segoe UI Symbol" w:hAnsi="Segoe UI Symbol" w:cs="Segoe UI Symbol"/>
              </w:rPr>
              <w:t>✕</w:t>
            </w:r>
          </w:p>
        </w:tc>
      </w:tr>
    </w:tbl>
    <w:p w14:paraId="2851316A" w14:textId="77777777" w:rsidR="00355B0D" w:rsidRPr="00CA4FF0" w:rsidRDefault="00F77F3D">
      <w:pPr>
        <w:pBdr>
          <w:top w:val="single" w:sz="2" w:space="0" w:color="CCCCCC"/>
        </w:pBdr>
        <w:spacing w:before="60" w:after="60"/>
        <w:rPr>
          <w:rFonts w:ascii="Times New Roman" w:hAnsi="Times New Roman" w:cs="Times New Roman"/>
        </w:rPr>
      </w:pPr>
      <w:r w:rsidRPr="00CA4FF0">
        <w:rPr>
          <w:rFonts w:ascii="Times New Roman" w:hAnsi="Times New Roman" w:cs="Times New Roman"/>
          <w:i/>
          <w:iCs/>
          <w:color w:val="555555"/>
          <w:sz w:val="18"/>
          <w:szCs w:val="18"/>
        </w:rPr>
        <w:lastRenderedPageBreak/>
        <w:t xml:space="preserve">cOR = Crude Odds Ratio; aOR = Adjusted Odds Ratio. Model fit: Nagelkerke R²=0.211; Hosmer-Lemeshow p=0.331; Classification accuracy=65.2%. </w:t>
      </w:r>
      <w:r w:rsidRPr="00CA4FF0">
        <w:rPr>
          <w:rFonts w:ascii="Segoe UI Symbol" w:hAnsi="Segoe UI Symbol" w:cs="Segoe UI Symbol"/>
          <w:i/>
          <w:iCs/>
          <w:color w:val="555555"/>
          <w:sz w:val="18"/>
          <w:szCs w:val="18"/>
        </w:rPr>
        <w:t>★</w:t>
      </w:r>
      <w:r w:rsidRPr="00CA4FF0">
        <w:rPr>
          <w:rFonts w:ascii="Times New Roman" w:hAnsi="Times New Roman" w:cs="Times New Roman"/>
          <w:i/>
          <w:iCs/>
          <w:color w:val="555555"/>
          <w:sz w:val="18"/>
          <w:szCs w:val="18"/>
        </w:rPr>
        <w:t xml:space="preserve"> p&lt;0.05; † p&lt;0.10; </w:t>
      </w:r>
      <w:r w:rsidRPr="00CA4FF0">
        <w:rPr>
          <w:rFonts w:ascii="Segoe UI Symbol" w:hAnsi="Segoe UI Symbol" w:cs="Segoe UI Symbol"/>
          <w:i/>
          <w:iCs/>
          <w:color w:val="555555"/>
          <w:sz w:val="18"/>
          <w:szCs w:val="18"/>
        </w:rPr>
        <w:t>✕</w:t>
      </w:r>
      <w:r w:rsidRPr="00CA4FF0">
        <w:rPr>
          <w:rFonts w:ascii="Times New Roman" w:hAnsi="Times New Roman" w:cs="Times New Roman"/>
          <w:i/>
          <w:iCs/>
          <w:color w:val="555555"/>
          <w:sz w:val="18"/>
          <w:szCs w:val="18"/>
        </w:rPr>
        <w:t xml:space="preserve"> non-significant.</w:t>
      </w:r>
    </w:p>
    <w:p w14:paraId="4DE17EA2" w14:textId="77777777" w:rsidR="00355B0D" w:rsidRPr="00CA4FF0" w:rsidRDefault="00355B0D">
      <w:pPr>
        <w:spacing w:after="80"/>
        <w:rPr>
          <w:rFonts w:ascii="Times New Roman" w:hAnsi="Times New Roman" w:cs="Times New Roman"/>
        </w:rPr>
      </w:pPr>
    </w:p>
    <w:p w14:paraId="5EC3DF7F" w14:textId="77777777" w:rsidR="00355B0D" w:rsidRPr="00CA4FF0" w:rsidRDefault="00F77F3D">
      <w:pPr>
        <w:pStyle w:val="Heading1"/>
        <w:pBdr>
          <w:bottom w:val="single" w:sz="4" w:space="0" w:color="1F4E79"/>
        </w:pBdr>
        <w:rPr>
          <w:rFonts w:ascii="Times New Roman" w:hAnsi="Times New Roman" w:cs="Times New Roman"/>
        </w:rPr>
      </w:pPr>
      <w:r w:rsidRPr="00CA4FF0">
        <w:rPr>
          <w:rFonts w:ascii="Times New Roman" w:hAnsi="Times New Roman" w:cs="Times New Roman"/>
        </w:rPr>
        <w:t>4. DISCUSSION</w:t>
      </w:r>
    </w:p>
    <w:p w14:paraId="1B61F264" w14:textId="77777777" w:rsidR="00355B0D" w:rsidRPr="00CA4FF0" w:rsidRDefault="00F77F3D">
      <w:pPr>
        <w:pStyle w:val="Heading2"/>
        <w:rPr>
          <w:rFonts w:ascii="Times New Roman" w:hAnsi="Times New Roman" w:cs="Times New Roman"/>
        </w:rPr>
      </w:pPr>
      <w:r w:rsidRPr="00CA4FF0">
        <w:rPr>
          <w:rFonts w:ascii="Times New Roman" w:hAnsi="Times New Roman" w:cs="Times New Roman"/>
        </w:rPr>
        <w:t>4.1 Principal Findings</w:t>
      </w:r>
    </w:p>
    <w:p w14:paraId="179CA558"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This study makes four original contributions to the literature on GMP in low-resource settings. First, it demonstrates — using multivariable linear regression with rigorous confounder adjustment — that regular GMP attendance is independently associated with a 0.365 SD improvement in HAZ and a 0.343 SD improvement in WAZ among children under five in one of Sierra Leone's most nutritionally vulnerable communities. This effect size, equivalent to reducing stunting prevalence from 35.7% to 19.0%, is both statistically robust and programmatically meaningful. Second, it quantifies a critical 36 percentage-point gap between ever-attendance and regular attendance, establishing that coverage metrics alone are misleading proxies for programme effectiveness. Third, it demonstrates, via multivariable inference, that attitude toward GMP, IYCF counselling access, and social capital — not maternal knowledge per se — are the independent drivers of regular attendance. Fourth, it provides dose-response evidence: stunting prevalence declines from 32.5% at zero GMP contacts to 13.3% at six contacts, and mean HAZ improves by 0.77 SD units across the range of visit frequencies (ρ=0.170, p&lt;0.001).</w:t>
      </w:r>
    </w:p>
    <w:p w14:paraId="6F7FF197" w14:textId="77777777" w:rsidR="00355B0D" w:rsidRPr="00CA4FF0" w:rsidRDefault="00F77F3D">
      <w:pPr>
        <w:pStyle w:val="Heading2"/>
        <w:rPr>
          <w:rFonts w:ascii="Times New Roman" w:hAnsi="Times New Roman" w:cs="Times New Roman"/>
        </w:rPr>
      </w:pPr>
      <w:r w:rsidRPr="00CA4FF0">
        <w:rPr>
          <w:rFonts w:ascii="Times New Roman" w:hAnsi="Times New Roman" w:cs="Times New Roman"/>
        </w:rPr>
        <w:t>4.2 The Coverage-Quality Paradox</w:t>
      </w:r>
    </w:p>
    <w:p w14:paraId="1A6418C8"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The observation that 77.8% of mothers had ever attended GMP while only 41.8% attended regularly challenges the common use of ever-attendance as a programme indicator. Similar coverage-quality paradoxes have been documented in Ghana</w:t>
      </w:r>
      <w:r w:rsidRPr="00CA4FF0">
        <w:rPr>
          <w:rFonts w:ascii="Times New Roman" w:hAnsi="Times New Roman" w:cs="Times New Roman"/>
          <w:color w:val="1F4E79"/>
          <w:sz w:val="18"/>
          <w:szCs w:val="18"/>
          <w:vertAlign w:val="superscript"/>
        </w:rPr>
        <w:t>[9]</w:t>
      </w:r>
      <w:r w:rsidRPr="00CA4FF0">
        <w:rPr>
          <w:rFonts w:ascii="Times New Roman" w:hAnsi="Times New Roman" w:cs="Times New Roman"/>
        </w:rPr>
        <w:t xml:space="preserve"> and Ethiopia,</w:t>
      </w:r>
      <w:r w:rsidRPr="00CA4FF0">
        <w:rPr>
          <w:rFonts w:ascii="Times New Roman" w:hAnsi="Times New Roman" w:cs="Times New Roman"/>
          <w:color w:val="1F4E79"/>
          <w:sz w:val="18"/>
          <w:szCs w:val="18"/>
          <w:vertAlign w:val="superscript"/>
        </w:rPr>
        <w:t>[10]</w:t>
      </w:r>
      <w:r w:rsidRPr="00CA4FF0">
        <w:rPr>
          <w:rFonts w:ascii="Times New Roman" w:hAnsi="Times New Roman" w:cs="Times New Roman"/>
        </w:rPr>
        <w:t xml:space="preserve"> where high nominal GMP coverage coexisted with poor weight monitoring quality and limited counselling provision. In this study, only 55.4% of attendees received growth chart explanation and only 64.3% received nutrition counselling — service quality failures that limit GMP's behaviour-change potential even among those who physically attend. Programmes that report coverage without stratifying by regularity and service quality are systematically overestimating their reach and impact.</w:t>
      </w:r>
    </w:p>
    <w:p w14:paraId="0D176BEE" w14:textId="77777777" w:rsidR="00355B0D" w:rsidRPr="00CA4FF0" w:rsidRDefault="00F77F3D">
      <w:pPr>
        <w:pStyle w:val="Heading2"/>
        <w:rPr>
          <w:rFonts w:ascii="Times New Roman" w:hAnsi="Times New Roman" w:cs="Times New Roman"/>
        </w:rPr>
      </w:pPr>
      <w:r w:rsidRPr="00CA4FF0">
        <w:rPr>
          <w:rFonts w:ascii="Times New Roman" w:hAnsi="Times New Roman" w:cs="Times New Roman"/>
        </w:rPr>
        <w:t>4.3 Attitude, Not Knowledge, Drives Attendance: A Paradigm Shift</w:t>
      </w:r>
    </w:p>
    <w:p w14:paraId="56943093"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The attenuation of maternal knowledge from cOR=4.72 to aOR=1.23 (non-significant) after adjustment, while positive attitude (aOR=3.72) and perceived benefit (aOR=1.79) remained independently significant, has profound programmatic implications. This finding is consistent with the Health Belief Model,</w:t>
      </w:r>
      <w:r w:rsidRPr="00CA4FF0">
        <w:rPr>
          <w:rFonts w:ascii="Times New Roman" w:hAnsi="Times New Roman" w:cs="Times New Roman"/>
          <w:color w:val="1F4E79"/>
          <w:sz w:val="18"/>
          <w:szCs w:val="18"/>
          <w:vertAlign w:val="superscript"/>
        </w:rPr>
        <w:t>[11]</w:t>
      </w:r>
      <w:r w:rsidRPr="00CA4FF0">
        <w:rPr>
          <w:rFonts w:ascii="Times New Roman" w:hAnsi="Times New Roman" w:cs="Times New Roman"/>
        </w:rPr>
        <w:t xml:space="preserve"> which posits that perceived susceptibility and perceived benefit — not information per se — are the proximal determinants of health-seeking behaviour. It is also concordant with a growing body of literature from sub-Saharan Africa demonstrating that knowledge-based interventions in isolation are insufficient to sustain GMP attendance.</w:t>
      </w:r>
      <w:r w:rsidRPr="00CA4FF0">
        <w:rPr>
          <w:rFonts w:ascii="Times New Roman" w:hAnsi="Times New Roman" w:cs="Times New Roman"/>
          <w:color w:val="1F4E79"/>
          <w:sz w:val="18"/>
          <w:szCs w:val="18"/>
          <w:vertAlign w:val="superscript"/>
        </w:rPr>
        <w:t>[5,12]</w:t>
      </w:r>
      <w:r w:rsidRPr="00CA4FF0">
        <w:rPr>
          <w:rFonts w:ascii="Times New Roman" w:hAnsi="Times New Roman" w:cs="Times New Roman"/>
        </w:rPr>
        <w:t xml:space="preserve"> What moves mothers to attend regularly is a positive experiential attitude built through high-quality, respectful service interactions, peer reinforcement via mother support groups (aOR=1.87, p&lt;0.001), and the tangible perceived value of counselling (IYCF counselling effect: aOR=4.20). Health education content may be necessary but is insufficient; the quality of the service encounter and the social architecture around it are the decisive factors.</w:t>
      </w:r>
    </w:p>
    <w:p w14:paraId="0E184A34" w14:textId="77777777" w:rsidR="00355B0D" w:rsidRPr="00CA4FF0" w:rsidRDefault="00F77F3D">
      <w:pPr>
        <w:pStyle w:val="Heading2"/>
        <w:rPr>
          <w:rFonts w:ascii="Times New Roman" w:hAnsi="Times New Roman" w:cs="Times New Roman"/>
        </w:rPr>
      </w:pPr>
      <w:r w:rsidRPr="00CA4FF0">
        <w:rPr>
          <w:rFonts w:ascii="Times New Roman" w:hAnsi="Times New Roman" w:cs="Times New Roman"/>
        </w:rPr>
        <w:t>4.4 IYCF Integration and Social Capital as Structural Amplifiers</w:t>
      </w:r>
    </w:p>
    <w:p w14:paraId="54E3555A"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lastRenderedPageBreak/>
        <w:t>The finding that IYCF counselling through any channel quadrupled the odds of regular GMP attendance (aOR=4.20, 95% CI: 1.40–12.63, p=0.010) — independent of knowledge, attitude, and support group membership — suggests that GMP and IYCF form a mutually reinforcing service ecosystem. Mothers exposed to IYCF counselling develop a framework for understanding child growth that makes GMP attendance purposeful rather than perfunctory. This finding supports WHO/UNICEF recommendations for integrated Essential Nutrition Actions delivery and should accelerate Sierra Leone's national policy shift toward truly integrated maternal and child health service packages.</w:t>
      </w:r>
      <w:r w:rsidRPr="00CA4FF0">
        <w:rPr>
          <w:rFonts w:ascii="Times New Roman" w:hAnsi="Times New Roman" w:cs="Times New Roman"/>
          <w:color w:val="1F4E79"/>
          <w:sz w:val="18"/>
          <w:szCs w:val="18"/>
          <w:vertAlign w:val="superscript"/>
        </w:rPr>
        <w:t>[14]</w:t>
      </w:r>
      <w:r w:rsidRPr="00CA4FF0">
        <w:rPr>
          <w:rFonts w:ascii="Times New Roman" w:hAnsi="Times New Roman" w:cs="Times New Roman"/>
        </w:rPr>
        <w:t xml:space="preserve"> Mother support group membership was the most precisely estimated independent predictor (aOR=1.87, 95% CI: 1.30–2.68), confirming the critical role of peer social capital in sustaining health-seeking behaviour. Social network theory predicts that health behaviours are reinforced through norm diffusion within trusted peer networks,</w:t>
      </w:r>
      <w:r w:rsidRPr="00CA4FF0">
        <w:rPr>
          <w:rFonts w:ascii="Times New Roman" w:hAnsi="Times New Roman" w:cs="Times New Roman"/>
          <w:color w:val="1F4E79"/>
          <w:sz w:val="18"/>
          <w:szCs w:val="18"/>
          <w:vertAlign w:val="superscript"/>
        </w:rPr>
        <w:t>[13]</w:t>
      </w:r>
      <w:r w:rsidRPr="00CA4FF0">
        <w:rPr>
          <w:rFonts w:ascii="Times New Roman" w:hAnsi="Times New Roman" w:cs="Times New Roman"/>
        </w:rPr>
        <w:t xml:space="preserve"> and the present findings add quantitative community-level evidence in support of this model.</w:t>
      </w:r>
    </w:p>
    <w:p w14:paraId="304E3AD5" w14:textId="77777777" w:rsidR="00355B0D" w:rsidRPr="00CA4FF0" w:rsidRDefault="00F77F3D">
      <w:pPr>
        <w:pStyle w:val="Heading2"/>
        <w:rPr>
          <w:rFonts w:ascii="Times New Roman" w:hAnsi="Times New Roman" w:cs="Times New Roman"/>
        </w:rPr>
      </w:pPr>
      <w:r w:rsidRPr="00CA4FF0">
        <w:rPr>
          <w:rFonts w:ascii="Times New Roman" w:hAnsi="Times New Roman" w:cs="Times New Roman"/>
        </w:rPr>
        <w:t>4.5 Distance as a Structural Determinant: The Attitude-Distance Threshold</w:t>
      </w:r>
    </w:p>
    <w:p w14:paraId="4433CEC0"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Geographic access — operationalised as distance to the nearest primary health centre — emerged as a significant structural determinant of regular GMP attendance in the adjusted model (aOR=0.92 per km, p=0.026), despite failing to reach significance in crude analysis (p=0.065). The 8% reduction in odds per additional kilometre implies that for a community located 10 km from the PHC, GMP attendance odds are approximately 56% lower than for a community at the facility boundary. At 15 km, modelled attendance odds are reduced by approximately 72%.</w:t>
      </w:r>
    </w:p>
    <w:p w14:paraId="128F7FA2"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b/>
          <w:bCs/>
        </w:rPr>
        <w:t xml:space="preserve">A critical question emerges from these data: </w:t>
      </w:r>
      <w:r w:rsidRPr="00CA4FF0">
        <w:rPr>
          <w:rFonts w:ascii="Times New Roman" w:hAnsi="Times New Roman" w:cs="Times New Roman"/>
        </w:rPr>
        <w:t>at what distance threshold does a mother's positive attitude toward GMP become insufficient to overcome the physical barrier of distance? Converting the aOR for distance (0.92 per km) and the aOR for positive attitude (3.72), the neutralisation point can be estimated as: each kilometre of distance attenuates attendance odds by 8%; a positive attitude multiplies odds by approximately 3.72-fold. Logarithmically, a positive attitude confers a protective advantage equivalent to approximately 16 km of additional distance [ln(3.72)/ln(1/0.92) ≈ 15.8 km]. Beyond this threshold — operationally estimated at approximately 15–16 km from the PHC — the protective effect of positive attitude is entirely consumed by the structural penalty of distance. In this sample, 26.9% of participants resided more than 5 km from the PHC. This implies that for a meaningful and growing subpopulation of Sulima Chiefdom, demand-side attitudinal interventions — however effective — are structurally insufficient without corresponding investment in outreach services, community-based GMP posts, or transport subsidies.</w:t>
      </w:r>
    </w:p>
    <w:p w14:paraId="26202233" w14:textId="77777777" w:rsidR="00355B0D" w:rsidRPr="00CA4FF0" w:rsidRDefault="00F77F3D">
      <w:pPr>
        <w:pStyle w:val="Heading2"/>
        <w:rPr>
          <w:rFonts w:ascii="Times New Roman" w:hAnsi="Times New Roman" w:cs="Times New Roman"/>
        </w:rPr>
      </w:pPr>
      <w:r w:rsidRPr="00CA4FF0">
        <w:rPr>
          <w:rFonts w:ascii="Times New Roman" w:hAnsi="Times New Roman" w:cs="Times New Roman"/>
        </w:rPr>
        <w:t>4.6 Nutritional Emergency Context</w:t>
      </w:r>
    </w:p>
    <w:p w14:paraId="39CCC8C8"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The GAM prevalence of 18.3% in this study — exceeding the WHO emergency threshold of 15% — places Sulima Chiefdom in a nutrition emergency that warrants immediate humanitarian and developmental response. The stunting prevalence of 28.7% indicates entrenched chronic undernutrition, with the age trajectory (rising from 15.8% at 0–5 months to 36.5% at 36–47 months) indicating that growth faltering accelerates during the complementary feeding window (6–24 months). SAM prevalence of 1.0% represents approximately 6 children in every 617, each facing a case fatality rate of 20–30% without treatment — underscoring the urgent referral imperative of functional GMP.</w:t>
      </w:r>
    </w:p>
    <w:p w14:paraId="003F7AB9"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 xml:space="preserve">The 0.493 SD HAZ difference between regular and irregular GMP attendees translates, at a population level, to a shift in the proportion below −2 SD from 35.7% to 19.0% — a reduction of 16.7 percentage points. Were the entire Sulima Chiefdom under-five population to achieve regular GMP attendance, the application of this effect estimate suggests stunting prevalence could be brought below the WHO high-concern threshold of 20%. </w:t>
      </w:r>
      <w:r w:rsidRPr="00CA4FF0">
        <w:rPr>
          <w:rFonts w:ascii="Times New Roman" w:hAnsi="Times New Roman" w:cs="Times New Roman"/>
        </w:rPr>
        <w:lastRenderedPageBreak/>
        <w:t xml:space="preserve">This model-derived projection </w:t>
      </w:r>
      <w:r w:rsidRPr="00CA4FF0">
        <w:rPr>
          <w:rFonts w:ascii="Times New Roman" w:hAnsi="Times New Roman" w:cs="Times New Roman"/>
          <w:b/>
          <w:bCs/>
        </w:rPr>
        <w:t>provides a quantitative basis for investment decisions</w:t>
      </w:r>
      <w:r w:rsidRPr="00CA4FF0">
        <w:rPr>
          <w:rFonts w:ascii="Times New Roman" w:hAnsi="Times New Roman" w:cs="Times New Roman"/>
        </w:rPr>
        <w:t xml:space="preserve"> and target-setting that is currently absent from Sierra Leone's district health planning frameworks.</w:t>
      </w:r>
    </w:p>
    <w:p w14:paraId="1E53CB6C" w14:textId="77777777" w:rsidR="00355B0D" w:rsidRPr="00CA4FF0" w:rsidRDefault="00F77F3D">
      <w:pPr>
        <w:pStyle w:val="Heading2"/>
        <w:rPr>
          <w:rFonts w:ascii="Times New Roman" w:hAnsi="Times New Roman" w:cs="Times New Roman"/>
        </w:rPr>
      </w:pPr>
      <w:r w:rsidRPr="00CA4FF0">
        <w:rPr>
          <w:rFonts w:ascii="Times New Roman" w:hAnsi="Times New Roman" w:cs="Times New Roman"/>
        </w:rPr>
        <w:t>4.7 Sensitivity Analysis: Addressing Healthy User Bias</w:t>
      </w:r>
    </w:p>
    <w:p w14:paraId="0FAFBB44" w14:textId="77777777" w:rsidR="00355B0D" w:rsidRPr="00CA4FF0" w:rsidRDefault="00F77F3D">
      <w:pPr>
        <w:spacing w:after="100" w:line="276" w:lineRule="auto"/>
        <w:jc w:val="both"/>
        <w:rPr>
          <w:rFonts w:ascii="Times New Roman" w:hAnsi="Times New Roman" w:cs="Times New Roman"/>
        </w:rPr>
      </w:pPr>
      <w:r w:rsidRPr="00CA4FF0">
        <w:rPr>
          <w:rFonts w:ascii="Times New Roman" w:hAnsi="Times New Roman" w:cs="Times New Roman"/>
        </w:rPr>
        <w:t xml:space="preserve">As a cross-sectional study, the claim that GMP attendance </w:t>
      </w:r>
      <w:r w:rsidRPr="00CA4FF0">
        <w:rPr>
          <w:rFonts w:ascii="Times New Roman" w:hAnsi="Times New Roman" w:cs="Times New Roman"/>
          <w:i/>
          <w:iCs/>
        </w:rPr>
        <w:t>causes</w:t>
      </w:r>
      <w:r w:rsidRPr="00CA4FF0">
        <w:rPr>
          <w:rFonts w:ascii="Times New Roman" w:hAnsi="Times New Roman" w:cs="Times New Roman"/>
        </w:rPr>
        <w:t xml:space="preserve"> improved child growth is subject to the healthy user bias — families who are more health-conscious may be simultaneously more likely to attend GMP and to provide better home nutrition. While definitive causal inference requires a prospective or experimental design, three analytical features of the present study mitigate this concern and support a plausible causal interpretation:</w:t>
      </w:r>
    </w:p>
    <w:p w14:paraId="63AFD713" w14:textId="77777777" w:rsidR="00355B0D" w:rsidRPr="00CA4FF0" w:rsidRDefault="00F77F3D">
      <w:pPr>
        <w:spacing w:after="80" w:line="276" w:lineRule="auto"/>
        <w:ind w:left="480"/>
        <w:jc w:val="both"/>
        <w:rPr>
          <w:rFonts w:ascii="Times New Roman" w:hAnsi="Times New Roman" w:cs="Times New Roman"/>
        </w:rPr>
      </w:pPr>
      <w:r w:rsidRPr="00CA4FF0">
        <w:rPr>
          <w:rFonts w:ascii="Times New Roman" w:hAnsi="Times New Roman" w:cs="Times New Roman"/>
          <w:b/>
          <w:bCs/>
        </w:rPr>
        <w:t xml:space="preserve">1. Confounder adjustment: </w:t>
      </w:r>
      <w:r w:rsidRPr="00CA4FF0">
        <w:rPr>
          <w:rFonts w:ascii="Times New Roman" w:hAnsi="Times New Roman" w:cs="Times New Roman"/>
        </w:rPr>
        <w:t>The multivariable linear regression explicitly controlled for household food security, morbidity (diarrhoea and ARI), exclusive breastfeeding, birth weight, vitamin A supplementation, maternal knowledge, and IYCF counselling — the most plausible proxies for the 'health-conscious family' phenotype. The GMP attendance effect on HAZ (β=0.365, p&lt;0.001) remained significant after simultaneous adjustment for all these variables, suggesting the effect is not explained by baseline health-consciousness.</w:t>
      </w:r>
    </w:p>
    <w:p w14:paraId="6BDAD6A8" w14:textId="77777777" w:rsidR="00355B0D" w:rsidRPr="00CA4FF0" w:rsidRDefault="00F77F3D">
      <w:pPr>
        <w:spacing w:after="80" w:line="276" w:lineRule="auto"/>
        <w:ind w:left="480"/>
        <w:jc w:val="both"/>
        <w:rPr>
          <w:rFonts w:ascii="Times New Roman" w:hAnsi="Times New Roman" w:cs="Times New Roman"/>
        </w:rPr>
      </w:pPr>
      <w:r w:rsidRPr="00CA4FF0">
        <w:rPr>
          <w:rFonts w:ascii="Times New Roman" w:hAnsi="Times New Roman" w:cs="Times New Roman"/>
          <w:b/>
          <w:bCs/>
        </w:rPr>
        <w:t xml:space="preserve">2. Dose-response evidence (Bradford Hill criterion): </w:t>
      </w:r>
      <w:r w:rsidRPr="00CA4FF0">
        <w:rPr>
          <w:rFonts w:ascii="Times New Roman" w:hAnsi="Times New Roman" w:cs="Times New Roman"/>
        </w:rPr>
        <w:t>The progressive improvement in both stunting prevalence (32.5% at 0 sessions → 13.3% at 6 sessions) and mean HAZ (−1.49 → −0.72) across the full spectrum of visit frequency, confirmed by Spearman's correlation (ρ=0.170, p&lt;0.001), satisfies the dose-response criterion for causal inference. A healthy user bias would be unlikely to produce such a clean gradient across six attendance categories.</w:t>
      </w:r>
    </w:p>
    <w:p w14:paraId="4569D44E" w14:textId="77777777" w:rsidR="00355B0D" w:rsidRPr="00CA4FF0" w:rsidRDefault="00F77F3D">
      <w:pPr>
        <w:spacing w:after="120" w:line="276" w:lineRule="auto"/>
        <w:ind w:left="480"/>
        <w:jc w:val="both"/>
        <w:rPr>
          <w:rFonts w:ascii="Times New Roman" w:hAnsi="Times New Roman" w:cs="Times New Roman"/>
        </w:rPr>
      </w:pPr>
      <w:r w:rsidRPr="00CA4FF0">
        <w:rPr>
          <w:rFonts w:ascii="Times New Roman" w:hAnsi="Times New Roman" w:cs="Times New Roman"/>
          <w:b/>
          <w:bCs/>
        </w:rPr>
        <w:t xml:space="preserve">3. Biological plausibility and external consistency: </w:t>
      </w:r>
      <w:r w:rsidRPr="00CA4FF0">
        <w:rPr>
          <w:rFonts w:ascii="Times New Roman" w:hAnsi="Times New Roman" w:cs="Times New Roman"/>
        </w:rPr>
        <w:t>The effect sizes observed (Cohen's d=0.41 for HAZ) are consistent with those reported in quasi-experimental and experimental evaluations of GMP programmes in analogous Sub-Saharan African settings,</w:t>
      </w:r>
      <w:r w:rsidRPr="00CA4FF0">
        <w:rPr>
          <w:rFonts w:ascii="Times New Roman" w:hAnsi="Times New Roman" w:cs="Times New Roman"/>
          <w:color w:val="1F4E79"/>
          <w:sz w:val="18"/>
          <w:szCs w:val="18"/>
          <w:vertAlign w:val="superscript"/>
        </w:rPr>
        <w:t>[4,5]</w:t>
      </w:r>
      <w:r w:rsidRPr="00CA4FF0">
        <w:rPr>
          <w:rFonts w:ascii="Times New Roman" w:hAnsi="Times New Roman" w:cs="Times New Roman"/>
        </w:rPr>
        <w:t xml:space="preserve"> and the biological mechanism — early detection of growth faltering triggering corrective feeding and referral — is well-established.</w:t>
      </w:r>
    </w:p>
    <w:p w14:paraId="0802961F"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Future research in this setting should employ a prospective cohort design or quasi-experimental approach (e.g., difference-in-differences comparing communities before and after satellite GMP post deployment) to definitively establish causality. Researchers should additionally explore propensity score matching of regular and irregular attendees on observable health-seeking proxies as a sensitivity analysis.</w:t>
      </w:r>
    </w:p>
    <w:p w14:paraId="6645D84F" w14:textId="77777777" w:rsidR="00355B0D" w:rsidRPr="00CA4FF0" w:rsidRDefault="00F77F3D">
      <w:pPr>
        <w:pStyle w:val="Heading2"/>
        <w:rPr>
          <w:rFonts w:ascii="Times New Roman" w:hAnsi="Times New Roman" w:cs="Times New Roman"/>
        </w:rPr>
      </w:pPr>
      <w:r w:rsidRPr="00CA4FF0">
        <w:rPr>
          <w:rFonts w:ascii="Times New Roman" w:hAnsi="Times New Roman" w:cs="Times New Roman"/>
        </w:rPr>
        <w:t>4.8 Limitations</w:t>
      </w:r>
    </w:p>
    <w:p w14:paraId="20883F9E"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The cross-sectional study design precludes causal inference; the observed association between GMP attendance and improved z-scores could reflect healthy user bias as discussed in Section 4.7. Recall bias for self-reported GMP visits is possible, though the use of child health cards as verification reduced this risk. The study is geographically bounded to Sulima Chiefdom, limiting direct generalisation to other districts; however, the socioeconomic and epidemiological profile of Sulima is broadly representative of rural Falaba District and analogous communities across Sierra Leone's Northern Province. Selection bias is unlikely, given the high response rate (97.3%) and cluster-random sampling design.</w:t>
      </w:r>
    </w:p>
    <w:p w14:paraId="25FD5FF9" w14:textId="77777777" w:rsidR="00355B0D" w:rsidRPr="00CA4FF0" w:rsidRDefault="00F77F3D">
      <w:pPr>
        <w:pStyle w:val="Heading1"/>
        <w:pBdr>
          <w:bottom w:val="single" w:sz="4" w:space="0" w:color="1F4E79"/>
        </w:pBdr>
        <w:rPr>
          <w:rFonts w:ascii="Times New Roman" w:hAnsi="Times New Roman" w:cs="Times New Roman"/>
        </w:rPr>
      </w:pPr>
      <w:r w:rsidRPr="00CA4FF0">
        <w:rPr>
          <w:rFonts w:ascii="Times New Roman" w:hAnsi="Times New Roman" w:cs="Times New Roman"/>
        </w:rPr>
        <w:t>5. CONCLUSIONS AND RECOMMENDATIONS</w:t>
      </w:r>
    </w:p>
    <w:p w14:paraId="0457A98E"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 xml:space="preserve">This study provides the first community-level, multivariable evidence from Sulima Chiefdom, Sierra Leone, demonstrating that </w:t>
      </w:r>
      <w:r w:rsidRPr="00CA4FF0">
        <w:rPr>
          <w:rFonts w:ascii="Times New Roman" w:hAnsi="Times New Roman" w:cs="Times New Roman"/>
          <w:b/>
          <w:bCs/>
        </w:rPr>
        <w:t>regular GMP attendance independently improves child linear growth and weight-for-age, reduces stunting prevalence by more than 16 percentage points, and halves the odds of wasting</w:t>
      </w:r>
      <w:r w:rsidRPr="00CA4FF0">
        <w:rPr>
          <w:rFonts w:ascii="Times New Roman" w:hAnsi="Times New Roman" w:cs="Times New Roman"/>
        </w:rPr>
        <w:t xml:space="preserve">. The </w:t>
      </w:r>
      <w:r w:rsidRPr="00CA4FF0">
        <w:rPr>
          <w:rFonts w:ascii="Times New Roman" w:hAnsi="Times New Roman" w:cs="Times New Roman"/>
        </w:rPr>
        <w:lastRenderedPageBreak/>
        <w:t>study community is in a nutrition emergency — GAM exceeds the WHO emergency threshold at 18.3% — and the 36 percentage-point gap between ever-attendance and regular attendance represents an urgent, addressable programmatic failure.</w:t>
      </w:r>
    </w:p>
    <w:p w14:paraId="321054C0"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t>Critically, the key modifiable drivers of regular attendance are not individual-level knowledge (which was fully attenuated in the adjusted model) but attitudinal, relational, and structural: a positive experiential attitude toward GMP (aOR=3.72), integration with IYCF counselling (aOR=4.20), participation in mother support groups (aOR=1.87), and medium perceived benefit (aOR=1.79). The distance-attitude threshold analysis demonstrates that for communities beyond approximately 15 km from the PHC, demand-side attitudinal interventions are structurally insufficient without corresponding investment in outreach delivery. These findings mandate a programmatic pivot from information-centred health education to quality-centred service delivery, social capital investment, and structural outreach.</w:t>
      </w:r>
    </w:p>
    <w:p w14:paraId="37900B03" w14:textId="77777777" w:rsidR="00355B0D" w:rsidRPr="00CA4FF0" w:rsidRDefault="00F77F3D">
      <w:pPr>
        <w:pStyle w:val="Heading2"/>
        <w:rPr>
          <w:rFonts w:ascii="Times New Roman" w:hAnsi="Times New Roman" w:cs="Times New Roman"/>
        </w:rPr>
      </w:pPr>
      <w:r w:rsidRPr="00CA4FF0">
        <w:rPr>
          <w:rFonts w:ascii="Times New Roman" w:hAnsi="Times New Roman" w:cs="Times New Roman"/>
        </w:rPr>
        <w:t>5.1 Recommendations for Programme and Policy</w:t>
      </w:r>
    </w:p>
    <w:p w14:paraId="2C0353F3" w14:textId="77777777" w:rsidR="00355B0D" w:rsidRPr="00CA4FF0" w:rsidRDefault="00F77F3D">
      <w:pPr>
        <w:spacing w:after="80" w:line="276" w:lineRule="auto"/>
        <w:ind w:left="240"/>
        <w:jc w:val="both"/>
        <w:rPr>
          <w:rFonts w:ascii="Times New Roman" w:hAnsi="Times New Roman" w:cs="Times New Roman"/>
        </w:rPr>
      </w:pPr>
      <w:r w:rsidRPr="00CA4FF0">
        <w:rPr>
          <w:rFonts w:ascii="Times New Roman" w:hAnsi="Times New Roman" w:cs="Times New Roman"/>
          <w:b/>
          <w:bCs/>
        </w:rPr>
        <w:t>1.</w:t>
      </w:r>
      <w:r w:rsidRPr="00CA4FF0">
        <w:rPr>
          <w:rFonts w:ascii="Times New Roman" w:hAnsi="Times New Roman" w:cs="Times New Roman"/>
        </w:rPr>
        <w:t xml:space="preserve">  </w:t>
      </w:r>
      <w:r w:rsidRPr="00CA4FF0">
        <w:rPr>
          <w:rFonts w:ascii="Times New Roman" w:hAnsi="Times New Roman" w:cs="Times New Roman"/>
          <w:b/>
          <w:bCs/>
        </w:rPr>
        <w:t>Redefine GMP success metrics.</w:t>
      </w:r>
      <w:r w:rsidRPr="00CA4FF0">
        <w:rPr>
          <w:rFonts w:ascii="Times New Roman" w:hAnsi="Times New Roman" w:cs="Times New Roman"/>
        </w:rPr>
        <w:t xml:space="preserve"> Sierra Leone's DHIS2 framework should adopt regular attendance rate (≥4 sessions/6 months) and a service quality index (counselling received, growth chart explanation, weight recorded) as primary indicators, replacing ever-attendance.</w:t>
      </w:r>
    </w:p>
    <w:p w14:paraId="16B84D4C" w14:textId="77777777" w:rsidR="00355B0D" w:rsidRPr="00CA4FF0" w:rsidRDefault="00F77F3D">
      <w:pPr>
        <w:spacing w:after="80" w:line="276" w:lineRule="auto"/>
        <w:ind w:left="240"/>
        <w:jc w:val="both"/>
        <w:rPr>
          <w:rFonts w:ascii="Times New Roman" w:hAnsi="Times New Roman" w:cs="Times New Roman"/>
        </w:rPr>
      </w:pPr>
      <w:r w:rsidRPr="00CA4FF0">
        <w:rPr>
          <w:rFonts w:ascii="Times New Roman" w:hAnsi="Times New Roman" w:cs="Times New Roman"/>
          <w:b/>
          <w:bCs/>
        </w:rPr>
        <w:t>2.</w:t>
      </w:r>
      <w:r w:rsidRPr="00CA4FF0">
        <w:rPr>
          <w:rFonts w:ascii="Times New Roman" w:hAnsi="Times New Roman" w:cs="Times New Roman"/>
        </w:rPr>
        <w:t xml:space="preserve">  </w:t>
      </w:r>
      <w:r w:rsidRPr="00CA4FF0">
        <w:rPr>
          <w:rFonts w:ascii="Times New Roman" w:hAnsi="Times New Roman" w:cs="Times New Roman"/>
          <w:b/>
          <w:bCs/>
        </w:rPr>
        <w:t>Integrate IYCF counselling universally.</w:t>
      </w:r>
      <w:r w:rsidRPr="00CA4FF0">
        <w:rPr>
          <w:rFonts w:ascii="Times New Roman" w:hAnsi="Times New Roman" w:cs="Times New Roman"/>
        </w:rPr>
        <w:t xml:space="preserve"> Given aOR=4.20, IYCF counselling through community health workers, ANC, and community sessions should be delivered as a standard package alongside — not separately from — GMP, across all PHU catchments.</w:t>
      </w:r>
    </w:p>
    <w:p w14:paraId="377A230B" w14:textId="77777777" w:rsidR="00355B0D" w:rsidRPr="00CA4FF0" w:rsidRDefault="00F77F3D">
      <w:pPr>
        <w:spacing w:after="80" w:line="276" w:lineRule="auto"/>
        <w:ind w:left="240"/>
        <w:jc w:val="both"/>
        <w:rPr>
          <w:rFonts w:ascii="Times New Roman" w:hAnsi="Times New Roman" w:cs="Times New Roman"/>
        </w:rPr>
      </w:pPr>
      <w:r w:rsidRPr="00CA4FF0">
        <w:rPr>
          <w:rFonts w:ascii="Times New Roman" w:hAnsi="Times New Roman" w:cs="Times New Roman"/>
          <w:b/>
          <w:bCs/>
        </w:rPr>
        <w:t>3.</w:t>
      </w:r>
      <w:r w:rsidRPr="00CA4FF0">
        <w:rPr>
          <w:rFonts w:ascii="Times New Roman" w:hAnsi="Times New Roman" w:cs="Times New Roman"/>
        </w:rPr>
        <w:t xml:space="preserve">  </w:t>
      </w:r>
      <w:r w:rsidRPr="00CA4FF0">
        <w:rPr>
          <w:rFonts w:ascii="Times New Roman" w:hAnsi="Times New Roman" w:cs="Times New Roman"/>
          <w:b/>
          <w:bCs/>
        </w:rPr>
        <w:t>Invest in mother support groups as infrastructure.</w:t>
      </w:r>
      <w:r w:rsidRPr="00CA4FF0">
        <w:rPr>
          <w:rFonts w:ascii="Times New Roman" w:hAnsi="Times New Roman" w:cs="Times New Roman"/>
        </w:rPr>
        <w:t xml:space="preserve"> Support groups should be formally embedded in the community health worker programme with structured training, facilitation manuals, and district-level monitoring.</w:t>
      </w:r>
    </w:p>
    <w:p w14:paraId="639F2CF1" w14:textId="77777777" w:rsidR="00355B0D" w:rsidRPr="00CA4FF0" w:rsidRDefault="00F77F3D">
      <w:pPr>
        <w:spacing w:after="80" w:line="276" w:lineRule="auto"/>
        <w:ind w:left="240"/>
        <w:jc w:val="both"/>
        <w:rPr>
          <w:rFonts w:ascii="Times New Roman" w:hAnsi="Times New Roman" w:cs="Times New Roman"/>
        </w:rPr>
      </w:pPr>
      <w:r w:rsidRPr="00CA4FF0">
        <w:rPr>
          <w:rFonts w:ascii="Times New Roman" w:hAnsi="Times New Roman" w:cs="Times New Roman"/>
          <w:b/>
          <w:bCs/>
        </w:rPr>
        <w:t>4.</w:t>
      </w:r>
      <w:r w:rsidRPr="00CA4FF0">
        <w:rPr>
          <w:rFonts w:ascii="Times New Roman" w:hAnsi="Times New Roman" w:cs="Times New Roman"/>
        </w:rPr>
        <w:t xml:space="preserve">  </w:t>
      </w:r>
      <w:r w:rsidRPr="00CA4FF0">
        <w:rPr>
          <w:rFonts w:ascii="Times New Roman" w:hAnsi="Times New Roman" w:cs="Times New Roman"/>
          <w:b/>
          <w:bCs/>
        </w:rPr>
        <w:t>Deploy satellite GMP posts for distant communities.</w:t>
      </w:r>
      <w:r w:rsidRPr="00CA4FF0">
        <w:rPr>
          <w:rFonts w:ascii="Times New Roman" w:hAnsi="Times New Roman" w:cs="Times New Roman"/>
        </w:rPr>
        <w:t xml:space="preserve"> The 8% per-km distance effect — and the estimated 15–16 km attitude-neutralisation threshold — mandate community-based GMP delivery for populations &gt;5 km from the nearest PHC (26.9% of this sample), staffed by trained CHWs with calibrated equipment.</w:t>
      </w:r>
    </w:p>
    <w:p w14:paraId="6C8C127C" w14:textId="77777777" w:rsidR="00355B0D" w:rsidRPr="00CA4FF0" w:rsidRDefault="00F77F3D">
      <w:pPr>
        <w:spacing w:after="200" w:line="276" w:lineRule="auto"/>
        <w:ind w:left="240"/>
        <w:jc w:val="both"/>
        <w:rPr>
          <w:rFonts w:ascii="Times New Roman" w:hAnsi="Times New Roman" w:cs="Times New Roman"/>
        </w:rPr>
      </w:pPr>
      <w:r w:rsidRPr="00CA4FF0">
        <w:rPr>
          <w:rFonts w:ascii="Times New Roman" w:hAnsi="Times New Roman" w:cs="Times New Roman"/>
          <w:b/>
          <w:bCs/>
        </w:rPr>
        <w:t>5.</w:t>
      </w:r>
      <w:r w:rsidRPr="00CA4FF0">
        <w:rPr>
          <w:rFonts w:ascii="Times New Roman" w:hAnsi="Times New Roman" w:cs="Times New Roman"/>
        </w:rPr>
        <w:t xml:space="preserve">  </w:t>
      </w:r>
      <w:r w:rsidRPr="00CA4FF0">
        <w:rPr>
          <w:rFonts w:ascii="Times New Roman" w:hAnsi="Times New Roman" w:cs="Times New Roman"/>
          <w:b/>
          <w:bCs/>
        </w:rPr>
        <w:t>Target nutrition emergency response.</w:t>
      </w:r>
      <w:r w:rsidRPr="00CA4FF0">
        <w:rPr>
          <w:rFonts w:ascii="Times New Roman" w:hAnsi="Times New Roman" w:cs="Times New Roman"/>
        </w:rPr>
        <w:t xml:space="preserve"> GAM &gt;15% triggers the CMAM emergency threshold; Sulima Chiefdom requires immediate scale-up of therapeutic feeding alongside GMP quality improvement.</w:t>
      </w:r>
    </w:p>
    <w:p w14:paraId="54ADFF54" w14:textId="77777777" w:rsidR="00355B0D" w:rsidRPr="00CA4FF0" w:rsidRDefault="00F77F3D">
      <w:pPr>
        <w:pStyle w:val="Heading1"/>
        <w:pBdr>
          <w:bottom w:val="single" w:sz="4" w:space="0" w:color="1F4E79"/>
        </w:pBdr>
        <w:rPr>
          <w:rFonts w:ascii="Times New Roman" w:hAnsi="Times New Roman" w:cs="Times New Roman"/>
        </w:rPr>
      </w:pPr>
      <w:r w:rsidRPr="00CA4FF0">
        <w:rPr>
          <w:rFonts w:ascii="Times New Roman" w:hAnsi="Times New Roman" w:cs="Times New Roman"/>
        </w:rPr>
        <w:t>DECLARATIONS</w:t>
      </w:r>
    </w:p>
    <w:p w14:paraId="32292317"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b/>
          <w:bCs/>
        </w:rPr>
        <w:t>Funding:</w:t>
      </w:r>
      <w:r w:rsidRPr="00CA4FF0">
        <w:rPr>
          <w:rFonts w:ascii="Times New Roman" w:hAnsi="Times New Roman" w:cs="Times New Roman"/>
        </w:rPr>
        <w:t xml:space="preserve"> No external funding was received for this study.</w:t>
      </w:r>
    </w:p>
    <w:p w14:paraId="6F340092"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b/>
          <w:bCs/>
        </w:rPr>
        <w:t>Conflict of Interest:</w:t>
      </w:r>
      <w:r w:rsidRPr="00CA4FF0">
        <w:rPr>
          <w:rFonts w:ascii="Times New Roman" w:hAnsi="Times New Roman" w:cs="Times New Roman"/>
        </w:rPr>
        <w:t xml:space="preserve"> The authors declare no competing interests.</w:t>
      </w:r>
    </w:p>
    <w:p w14:paraId="3906CB5D"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b/>
          <w:bCs/>
        </w:rPr>
        <w:t>Data Availability:</w:t>
      </w:r>
      <w:r w:rsidRPr="00CA4FF0">
        <w:rPr>
          <w:rFonts w:ascii="Times New Roman" w:hAnsi="Times New Roman" w:cs="Times New Roman"/>
        </w:rPr>
        <w:t xml:space="preserve"> The anonymised dataset supporting the findings of this study is available from the corresponding author upon reasonable request.</w:t>
      </w:r>
    </w:p>
    <w:p w14:paraId="54B47F08"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b/>
          <w:bCs/>
        </w:rPr>
        <w:t>Ethical Approval:</w:t>
      </w:r>
      <w:r w:rsidRPr="00CA4FF0">
        <w:rPr>
          <w:rFonts w:ascii="Times New Roman" w:hAnsi="Times New Roman" w:cs="Times New Roman"/>
        </w:rPr>
        <w:t xml:space="preserve"> Obtained from Njala University Institutional Review Board and the Sierra Leone Ethics and Scientific Review Committee.</w:t>
      </w:r>
    </w:p>
    <w:p w14:paraId="2B7A445A" w14:textId="77777777" w:rsidR="00355B0D" w:rsidRPr="00CA4FF0" w:rsidRDefault="00355B0D">
      <w:pPr>
        <w:spacing w:after="80"/>
        <w:rPr>
          <w:rFonts w:ascii="Times New Roman" w:hAnsi="Times New Roman" w:cs="Times New Roman"/>
        </w:rPr>
      </w:pPr>
    </w:p>
    <w:p w14:paraId="0C9D007F" w14:textId="77777777" w:rsidR="00355B0D" w:rsidRPr="00CA4FF0" w:rsidRDefault="00F77F3D">
      <w:pPr>
        <w:pStyle w:val="Heading1"/>
        <w:pBdr>
          <w:bottom w:val="single" w:sz="4" w:space="0" w:color="1F4E79"/>
        </w:pBdr>
        <w:rPr>
          <w:rFonts w:ascii="Times New Roman" w:hAnsi="Times New Roman" w:cs="Times New Roman"/>
        </w:rPr>
      </w:pPr>
      <w:r w:rsidRPr="00CA4FF0">
        <w:rPr>
          <w:rFonts w:ascii="Times New Roman" w:hAnsi="Times New Roman" w:cs="Times New Roman"/>
        </w:rPr>
        <w:t>ACKNOWLEDGEMENTS</w:t>
      </w:r>
    </w:p>
    <w:p w14:paraId="7E28CCC4" w14:textId="77777777" w:rsidR="00355B0D" w:rsidRPr="00CA4FF0" w:rsidRDefault="00F77F3D">
      <w:pPr>
        <w:spacing w:after="120" w:line="276" w:lineRule="auto"/>
        <w:jc w:val="both"/>
        <w:rPr>
          <w:rFonts w:ascii="Times New Roman" w:hAnsi="Times New Roman" w:cs="Times New Roman"/>
        </w:rPr>
      </w:pPr>
      <w:r w:rsidRPr="00CA4FF0">
        <w:rPr>
          <w:rFonts w:ascii="Times New Roman" w:hAnsi="Times New Roman" w:cs="Times New Roman"/>
        </w:rPr>
        <w:lastRenderedPageBreak/>
        <w:t>The authors thank the mothers and caregivers of Sulima Chiefdom for their participation, the community health workers who facilitated data collection, and the Falaba District Health Management Team for logistical support. This study was conducted under the academic supervision of the Department of Epidemiology and Biostatistics, Njala University, Sierra Leone.</w:t>
      </w:r>
    </w:p>
    <w:p w14:paraId="7E448A17" w14:textId="77777777" w:rsidR="00355B0D" w:rsidRPr="00CA4FF0" w:rsidRDefault="00355B0D">
      <w:pPr>
        <w:spacing w:after="80"/>
        <w:rPr>
          <w:rFonts w:ascii="Times New Roman" w:hAnsi="Times New Roman" w:cs="Times New Roman"/>
        </w:rPr>
      </w:pPr>
    </w:p>
    <w:p w14:paraId="26727D2F" w14:textId="77777777" w:rsidR="00355B0D" w:rsidRPr="00CA4FF0" w:rsidRDefault="00F77F3D">
      <w:pPr>
        <w:pStyle w:val="Heading1"/>
        <w:pBdr>
          <w:bottom w:val="single" w:sz="4" w:space="0" w:color="1F4E79"/>
        </w:pBdr>
        <w:rPr>
          <w:rFonts w:ascii="Times New Roman" w:hAnsi="Times New Roman" w:cs="Times New Roman"/>
        </w:rPr>
      </w:pPr>
      <w:r w:rsidRPr="00CA4FF0">
        <w:rPr>
          <w:rFonts w:ascii="Times New Roman" w:hAnsi="Times New Roman" w:cs="Times New Roman"/>
        </w:rPr>
        <w:t>REFERENCES</w:t>
      </w:r>
    </w:p>
    <w:p w14:paraId="11392C0D" w14:textId="77777777" w:rsidR="00355B0D" w:rsidRPr="00CA4FF0" w:rsidRDefault="00F77F3D">
      <w:pPr>
        <w:spacing w:before="80" w:after="80"/>
        <w:ind w:left="480" w:hanging="480"/>
        <w:rPr>
          <w:rFonts w:ascii="Times New Roman" w:hAnsi="Times New Roman" w:cs="Times New Roman"/>
        </w:rPr>
      </w:pPr>
      <w:r w:rsidRPr="00CA4FF0">
        <w:rPr>
          <w:rFonts w:ascii="Times New Roman" w:hAnsi="Times New Roman" w:cs="Times New Roman"/>
          <w:b/>
          <w:bCs/>
          <w:color w:val="1F4E79"/>
          <w:sz w:val="18"/>
          <w:szCs w:val="18"/>
        </w:rPr>
        <w:t>[1]</w:t>
      </w:r>
      <w:r w:rsidRPr="00CA4FF0">
        <w:rPr>
          <w:rFonts w:ascii="Times New Roman" w:hAnsi="Times New Roman" w:cs="Times New Roman"/>
          <w:sz w:val="18"/>
          <w:szCs w:val="18"/>
        </w:rPr>
        <w:t xml:space="preserve">  World Health Organization, "Joint Child Malnutrition Estimates 2023 Edition," WHO, Geneva, 2023.</w:t>
      </w:r>
    </w:p>
    <w:p w14:paraId="595B9622" w14:textId="77777777" w:rsidR="00355B0D" w:rsidRPr="00CA4FF0" w:rsidRDefault="00F77F3D">
      <w:pPr>
        <w:spacing w:before="80" w:after="80"/>
        <w:ind w:left="480" w:hanging="480"/>
        <w:rPr>
          <w:rFonts w:ascii="Times New Roman" w:hAnsi="Times New Roman" w:cs="Times New Roman"/>
        </w:rPr>
      </w:pPr>
      <w:r w:rsidRPr="00CA4FF0">
        <w:rPr>
          <w:rFonts w:ascii="Times New Roman" w:hAnsi="Times New Roman" w:cs="Times New Roman"/>
          <w:b/>
          <w:bCs/>
          <w:color w:val="1F4E79"/>
          <w:sz w:val="18"/>
          <w:szCs w:val="18"/>
        </w:rPr>
        <w:t>[2]</w:t>
      </w:r>
      <w:r w:rsidRPr="00CA4FF0">
        <w:rPr>
          <w:rFonts w:ascii="Times New Roman" w:hAnsi="Times New Roman" w:cs="Times New Roman"/>
          <w:sz w:val="18"/>
          <w:szCs w:val="18"/>
        </w:rPr>
        <w:t xml:space="preserve">  UNICEF, "Malnutrition: Current Status and Progress," UNICEF Data: Monitoring the Situation of Children and Women, New York, 2023.</w:t>
      </w:r>
    </w:p>
    <w:p w14:paraId="299B8506" w14:textId="77777777" w:rsidR="00355B0D" w:rsidRPr="00CA4FF0" w:rsidRDefault="00F77F3D">
      <w:pPr>
        <w:spacing w:before="80" w:after="80"/>
        <w:ind w:left="480" w:hanging="480"/>
        <w:rPr>
          <w:rFonts w:ascii="Times New Roman" w:hAnsi="Times New Roman" w:cs="Times New Roman"/>
        </w:rPr>
      </w:pPr>
      <w:r w:rsidRPr="00CA4FF0">
        <w:rPr>
          <w:rFonts w:ascii="Times New Roman" w:hAnsi="Times New Roman" w:cs="Times New Roman"/>
          <w:b/>
          <w:bCs/>
          <w:color w:val="1F4E79"/>
          <w:sz w:val="18"/>
          <w:szCs w:val="18"/>
        </w:rPr>
        <w:t>[3]</w:t>
      </w:r>
      <w:r w:rsidRPr="00CA4FF0">
        <w:rPr>
          <w:rFonts w:ascii="Times New Roman" w:hAnsi="Times New Roman" w:cs="Times New Roman"/>
          <w:sz w:val="18"/>
          <w:szCs w:val="18"/>
        </w:rPr>
        <w:t xml:space="preserve">  UNICEF, "The State of the World's Children 2021: On My Mind — Promoting, Protecting and Caring for Children's Mental Health," UNICEF, New York, 2022.</w:t>
      </w:r>
    </w:p>
    <w:p w14:paraId="4E4AF585" w14:textId="77777777" w:rsidR="00355B0D" w:rsidRPr="00CA4FF0" w:rsidRDefault="00F77F3D">
      <w:pPr>
        <w:spacing w:before="80" w:after="80"/>
        <w:ind w:left="480" w:hanging="480"/>
        <w:rPr>
          <w:rFonts w:ascii="Times New Roman" w:hAnsi="Times New Roman" w:cs="Times New Roman"/>
        </w:rPr>
      </w:pPr>
      <w:r w:rsidRPr="00CA4FF0">
        <w:rPr>
          <w:rFonts w:ascii="Times New Roman" w:hAnsi="Times New Roman" w:cs="Times New Roman"/>
          <w:b/>
          <w:bCs/>
          <w:color w:val="1F4E79"/>
          <w:sz w:val="18"/>
          <w:szCs w:val="18"/>
        </w:rPr>
        <w:t>[4]</w:t>
      </w:r>
      <w:r w:rsidRPr="00CA4FF0">
        <w:rPr>
          <w:rFonts w:ascii="Times New Roman" w:hAnsi="Times New Roman" w:cs="Times New Roman"/>
          <w:sz w:val="18"/>
          <w:szCs w:val="18"/>
        </w:rPr>
        <w:t xml:space="preserve">  C. G. Victora, M. de Onis, P. C. Hallal, M. Blössner, and R. Shrimpton, "Worldwide timing of growth faltering: revisiting implications for interventions," Pediatrics, vol. 125, no. 3, pp. e473–e480, 2010.</w:t>
      </w:r>
    </w:p>
    <w:p w14:paraId="2CB9CDF4" w14:textId="77777777" w:rsidR="00355B0D" w:rsidRPr="00CA4FF0" w:rsidRDefault="00F77F3D">
      <w:pPr>
        <w:spacing w:before="80" w:after="80"/>
        <w:ind w:left="480" w:hanging="480"/>
        <w:rPr>
          <w:rFonts w:ascii="Times New Roman" w:hAnsi="Times New Roman" w:cs="Times New Roman"/>
        </w:rPr>
      </w:pPr>
      <w:r w:rsidRPr="00CA4FF0">
        <w:rPr>
          <w:rFonts w:ascii="Times New Roman" w:hAnsi="Times New Roman" w:cs="Times New Roman"/>
          <w:b/>
          <w:bCs/>
          <w:color w:val="1F4E79"/>
          <w:sz w:val="18"/>
          <w:szCs w:val="18"/>
        </w:rPr>
        <w:t>[5]</w:t>
      </w:r>
      <w:r w:rsidRPr="00CA4FF0">
        <w:rPr>
          <w:rFonts w:ascii="Times New Roman" w:hAnsi="Times New Roman" w:cs="Times New Roman"/>
          <w:sz w:val="18"/>
          <w:szCs w:val="18"/>
        </w:rPr>
        <w:t xml:space="preserve">  D. Roberfroid, G. H. Pelto, and P. Kolsteren, "Plot and see! Maternal comprehension of growth charts worldwide," Trop. Med. Int. Health, vol. 12, no. 9, pp. 1074–1086, 2007.</w:t>
      </w:r>
    </w:p>
    <w:p w14:paraId="6F1ECCEC" w14:textId="77777777" w:rsidR="00355B0D" w:rsidRPr="00CA4FF0" w:rsidRDefault="00F77F3D">
      <w:pPr>
        <w:spacing w:before="80" w:after="80"/>
        <w:ind w:left="480" w:hanging="480"/>
        <w:rPr>
          <w:rFonts w:ascii="Times New Roman" w:hAnsi="Times New Roman" w:cs="Times New Roman"/>
        </w:rPr>
      </w:pPr>
      <w:r w:rsidRPr="00CA4FF0">
        <w:rPr>
          <w:rFonts w:ascii="Times New Roman" w:hAnsi="Times New Roman" w:cs="Times New Roman"/>
          <w:b/>
          <w:bCs/>
          <w:color w:val="1F4E79"/>
          <w:sz w:val="18"/>
          <w:szCs w:val="18"/>
        </w:rPr>
        <w:t>[6]</w:t>
      </w:r>
      <w:r w:rsidRPr="00CA4FF0">
        <w:rPr>
          <w:rFonts w:ascii="Times New Roman" w:hAnsi="Times New Roman" w:cs="Times New Roman"/>
          <w:sz w:val="18"/>
          <w:szCs w:val="18"/>
        </w:rPr>
        <w:t xml:space="preserve">  Statistics Sierra Leone (SSL) and ICF, "Sierra Leone Demographic and Health Survey 2019," SSL and ICF, Freetown, Sierra Leone, 2020.</w:t>
      </w:r>
    </w:p>
    <w:p w14:paraId="0BA87E49" w14:textId="77777777" w:rsidR="00355B0D" w:rsidRPr="00CA4FF0" w:rsidRDefault="00F77F3D">
      <w:pPr>
        <w:spacing w:before="80" w:after="80"/>
        <w:ind w:left="480" w:hanging="480"/>
        <w:rPr>
          <w:rFonts w:ascii="Times New Roman" w:hAnsi="Times New Roman" w:cs="Times New Roman"/>
        </w:rPr>
      </w:pPr>
      <w:r w:rsidRPr="00CA4FF0">
        <w:rPr>
          <w:rFonts w:ascii="Times New Roman" w:hAnsi="Times New Roman" w:cs="Times New Roman"/>
          <w:b/>
          <w:bCs/>
          <w:color w:val="1F4E79"/>
          <w:sz w:val="18"/>
          <w:szCs w:val="18"/>
        </w:rPr>
        <w:t>[7]</w:t>
      </w:r>
      <w:r w:rsidRPr="00CA4FF0">
        <w:rPr>
          <w:rFonts w:ascii="Times New Roman" w:hAnsi="Times New Roman" w:cs="Times New Roman"/>
          <w:sz w:val="18"/>
          <w:szCs w:val="18"/>
        </w:rPr>
        <w:t xml:space="preserve">  R. E. Black, C. G. Victora, S. P. Walker et al., "Maternal and child undernutrition and overweight in low-income and middle-income countries," Lancet, vol. 382, no. 9890, pp. 427–451, 2013.</w:t>
      </w:r>
    </w:p>
    <w:p w14:paraId="5A01766F" w14:textId="77777777" w:rsidR="00355B0D" w:rsidRPr="00CA4FF0" w:rsidRDefault="00F77F3D">
      <w:pPr>
        <w:spacing w:before="80" w:after="80"/>
        <w:ind w:left="480" w:hanging="480"/>
        <w:rPr>
          <w:rFonts w:ascii="Times New Roman" w:hAnsi="Times New Roman" w:cs="Times New Roman"/>
        </w:rPr>
      </w:pPr>
      <w:r w:rsidRPr="00CA4FF0">
        <w:rPr>
          <w:rFonts w:ascii="Times New Roman" w:hAnsi="Times New Roman" w:cs="Times New Roman"/>
          <w:b/>
          <w:bCs/>
          <w:color w:val="1F4E79"/>
          <w:sz w:val="18"/>
          <w:szCs w:val="18"/>
        </w:rPr>
        <w:t>[8]</w:t>
      </w:r>
      <w:r w:rsidRPr="00CA4FF0">
        <w:rPr>
          <w:rFonts w:ascii="Times New Roman" w:hAnsi="Times New Roman" w:cs="Times New Roman"/>
          <w:sz w:val="18"/>
          <w:szCs w:val="18"/>
        </w:rPr>
        <w:t xml:space="preserve">  World Health Organization, "Training Course on Child Growth Assessment," WHO, Geneva, 2008.</w:t>
      </w:r>
    </w:p>
    <w:p w14:paraId="052957D8" w14:textId="77777777" w:rsidR="00355B0D" w:rsidRPr="00CA4FF0" w:rsidRDefault="00F77F3D">
      <w:pPr>
        <w:spacing w:before="80" w:after="80"/>
        <w:ind w:left="480" w:hanging="480"/>
        <w:rPr>
          <w:rFonts w:ascii="Times New Roman" w:hAnsi="Times New Roman" w:cs="Times New Roman"/>
        </w:rPr>
      </w:pPr>
      <w:r w:rsidRPr="00CA4FF0">
        <w:rPr>
          <w:rFonts w:ascii="Times New Roman" w:hAnsi="Times New Roman" w:cs="Times New Roman"/>
          <w:b/>
          <w:bCs/>
          <w:color w:val="1F4E79"/>
          <w:sz w:val="18"/>
          <w:szCs w:val="18"/>
        </w:rPr>
        <w:t>[9]</w:t>
      </w:r>
      <w:r w:rsidRPr="00CA4FF0">
        <w:rPr>
          <w:rFonts w:ascii="Times New Roman" w:hAnsi="Times New Roman" w:cs="Times New Roman"/>
          <w:sz w:val="18"/>
          <w:szCs w:val="18"/>
        </w:rPr>
        <w:t xml:space="preserve">  D. A. Amugsi, M. B. Mittelmark, A. Lartey, K. P. Asante, K. Kristensen, and R. Abrams, "Influence of childcare practices on nutritional status of Ghanaian children: a regression analysis of the Ghana Demographic and Health Surveys," BMJ Open, vol. 4, no. 11, p. e005340, 2014.</w:t>
      </w:r>
    </w:p>
    <w:p w14:paraId="1E1BB2F1" w14:textId="77777777" w:rsidR="00355B0D" w:rsidRPr="00CA4FF0" w:rsidRDefault="00F77F3D">
      <w:pPr>
        <w:spacing w:before="80" w:after="80"/>
        <w:ind w:left="480" w:hanging="480"/>
        <w:rPr>
          <w:rFonts w:ascii="Times New Roman" w:hAnsi="Times New Roman" w:cs="Times New Roman"/>
        </w:rPr>
      </w:pPr>
      <w:r w:rsidRPr="00CA4FF0">
        <w:rPr>
          <w:rFonts w:ascii="Times New Roman" w:hAnsi="Times New Roman" w:cs="Times New Roman"/>
          <w:b/>
          <w:bCs/>
          <w:color w:val="1F4E79"/>
          <w:sz w:val="18"/>
          <w:szCs w:val="18"/>
        </w:rPr>
        <w:t>[10]</w:t>
      </w:r>
      <w:r w:rsidRPr="00CA4FF0">
        <w:rPr>
          <w:rFonts w:ascii="Times New Roman" w:hAnsi="Times New Roman" w:cs="Times New Roman"/>
          <w:sz w:val="18"/>
          <w:szCs w:val="18"/>
        </w:rPr>
        <w:t xml:space="preserve">  T. Girma, H. Y. Hassen, and R. Tamrat, "Predictors of growth monitoring and promotion service utilisation in rural Ethiopia: a cross-sectional study," BMC Health Serv. Res., vol. 19, no. 1, pp. 1–9, 2019.</w:t>
      </w:r>
    </w:p>
    <w:p w14:paraId="27AC873E" w14:textId="77777777" w:rsidR="00355B0D" w:rsidRPr="00CA4FF0" w:rsidRDefault="00F77F3D">
      <w:pPr>
        <w:spacing w:before="80" w:after="80"/>
        <w:ind w:left="480" w:hanging="480"/>
        <w:rPr>
          <w:rFonts w:ascii="Times New Roman" w:hAnsi="Times New Roman" w:cs="Times New Roman"/>
        </w:rPr>
      </w:pPr>
      <w:r w:rsidRPr="00CA4FF0">
        <w:rPr>
          <w:rFonts w:ascii="Times New Roman" w:hAnsi="Times New Roman" w:cs="Times New Roman"/>
          <w:b/>
          <w:bCs/>
          <w:color w:val="1F4E79"/>
          <w:sz w:val="18"/>
          <w:szCs w:val="18"/>
        </w:rPr>
        <w:t>[11]</w:t>
      </w:r>
      <w:r w:rsidRPr="00CA4FF0">
        <w:rPr>
          <w:rFonts w:ascii="Times New Roman" w:hAnsi="Times New Roman" w:cs="Times New Roman"/>
          <w:sz w:val="18"/>
          <w:szCs w:val="18"/>
        </w:rPr>
        <w:t xml:space="preserve">  I. M. Rosenstock, "Historical origins of the Health Belief Model," Health Educ. Monogr., vol. 2, no. 4, pp. 328–335, 1974.</w:t>
      </w:r>
    </w:p>
    <w:p w14:paraId="20CD1823" w14:textId="77777777" w:rsidR="00355B0D" w:rsidRPr="00CA4FF0" w:rsidRDefault="00F77F3D">
      <w:pPr>
        <w:spacing w:before="80" w:after="80"/>
        <w:ind w:left="480" w:hanging="480"/>
        <w:rPr>
          <w:rFonts w:ascii="Times New Roman" w:hAnsi="Times New Roman" w:cs="Times New Roman"/>
        </w:rPr>
      </w:pPr>
      <w:r w:rsidRPr="00CA4FF0">
        <w:rPr>
          <w:rFonts w:ascii="Times New Roman" w:hAnsi="Times New Roman" w:cs="Times New Roman"/>
          <w:b/>
          <w:bCs/>
          <w:color w:val="1F4E79"/>
          <w:sz w:val="18"/>
          <w:szCs w:val="18"/>
        </w:rPr>
        <w:t>[12]</w:t>
      </w:r>
      <w:r w:rsidRPr="00CA4FF0">
        <w:rPr>
          <w:rFonts w:ascii="Times New Roman" w:hAnsi="Times New Roman" w:cs="Times New Roman"/>
          <w:sz w:val="18"/>
          <w:szCs w:val="18"/>
        </w:rPr>
        <w:t xml:space="preserve">  C. Becker, L. M. Hernandez, and R. Khanam, "Knowledge and utilization of growth monitoring and promotion services among caregivers of children under-five in rural Bangladesh," Int. J. Environ. Res. Public Health, vol. 14, no. 6, p. 624, 2017.</w:t>
      </w:r>
    </w:p>
    <w:p w14:paraId="7723BC8C" w14:textId="77777777" w:rsidR="00355B0D" w:rsidRPr="00CA4FF0" w:rsidRDefault="00F77F3D">
      <w:pPr>
        <w:spacing w:before="80" w:after="80"/>
        <w:ind w:left="480" w:hanging="480"/>
        <w:rPr>
          <w:rFonts w:ascii="Times New Roman" w:hAnsi="Times New Roman" w:cs="Times New Roman"/>
        </w:rPr>
      </w:pPr>
      <w:r w:rsidRPr="00CA4FF0">
        <w:rPr>
          <w:rFonts w:ascii="Times New Roman" w:hAnsi="Times New Roman" w:cs="Times New Roman"/>
          <w:b/>
          <w:bCs/>
          <w:color w:val="1F4E79"/>
          <w:sz w:val="18"/>
          <w:szCs w:val="18"/>
        </w:rPr>
        <w:t>[13]</w:t>
      </w:r>
      <w:r w:rsidRPr="00CA4FF0">
        <w:rPr>
          <w:rFonts w:ascii="Times New Roman" w:hAnsi="Times New Roman" w:cs="Times New Roman"/>
          <w:sz w:val="18"/>
          <w:szCs w:val="18"/>
        </w:rPr>
        <w:t xml:space="preserve">  N. A. Christakis and J. H. Fowler, "The spread of obesity in a large social network over 32 years," N. Engl. J. Med., vol. 357, no. 4, pp. 370–379, 2007.</w:t>
      </w:r>
    </w:p>
    <w:p w14:paraId="31052BCA" w14:textId="77777777" w:rsidR="00355B0D" w:rsidRPr="00CA4FF0" w:rsidRDefault="00F77F3D">
      <w:pPr>
        <w:spacing w:before="80" w:after="80"/>
        <w:ind w:left="480" w:hanging="480"/>
        <w:rPr>
          <w:rFonts w:ascii="Times New Roman" w:hAnsi="Times New Roman" w:cs="Times New Roman"/>
        </w:rPr>
      </w:pPr>
      <w:r w:rsidRPr="00CA4FF0">
        <w:rPr>
          <w:rFonts w:ascii="Times New Roman" w:hAnsi="Times New Roman" w:cs="Times New Roman"/>
          <w:b/>
          <w:bCs/>
          <w:color w:val="1F4E79"/>
          <w:sz w:val="18"/>
          <w:szCs w:val="18"/>
        </w:rPr>
        <w:t>[14]</w:t>
      </w:r>
      <w:r w:rsidRPr="00CA4FF0">
        <w:rPr>
          <w:rFonts w:ascii="Times New Roman" w:hAnsi="Times New Roman" w:cs="Times New Roman"/>
          <w:sz w:val="18"/>
          <w:szCs w:val="18"/>
        </w:rPr>
        <w:t xml:space="preserve">  WHO/UNICEF, "Essential Nutrition Actions: Improving Maternal, Newborn, Infant and Young Child Health and Nutrition," WHO, Geneva, 2012.</w:t>
      </w:r>
    </w:p>
    <w:p w14:paraId="2E6DB1A3" w14:textId="77777777" w:rsidR="00355B0D" w:rsidRPr="00CA4FF0" w:rsidRDefault="00F77F3D">
      <w:pPr>
        <w:spacing w:before="80" w:after="80"/>
        <w:ind w:left="480" w:hanging="480"/>
        <w:rPr>
          <w:rFonts w:ascii="Times New Roman" w:hAnsi="Times New Roman" w:cs="Times New Roman"/>
        </w:rPr>
      </w:pPr>
      <w:r w:rsidRPr="00CA4FF0">
        <w:rPr>
          <w:rFonts w:ascii="Times New Roman" w:hAnsi="Times New Roman" w:cs="Times New Roman"/>
          <w:b/>
          <w:bCs/>
          <w:color w:val="1F4E79"/>
          <w:sz w:val="18"/>
          <w:szCs w:val="18"/>
        </w:rPr>
        <w:t>[15]</w:t>
      </w:r>
      <w:r w:rsidRPr="00CA4FF0">
        <w:rPr>
          <w:rFonts w:ascii="Times New Roman" w:hAnsi="Times New Roman" w:cs="Times New Roman"/>
          <w:sz w:val="18"/>
          <w:szCs w:val="18"/>
        </w:rPr>
        <w:t xml:space="preserve">  NCD Risk Factor Collaboration (NCD-RisC), "Height and body-mass index trajectories of school-aged children and adolescents from 1985 to 2019 in 200 countries," Lancet, vol. 396, no. 10261, pp. 1511–1524, 2020.</w:t>
      </w:r>
    </w:p>
    <w:p w14:paraId="4144781B" w14:textId="77777777" w:rsidR="00355B0D" w:rsidRPr="00CA4FF0" w:rsidRDefault="00355B0D">
      <w:pPr>
        <w:spacing w:after="80"/>
        <w:rPr>
          <w:rFonts w:ascii="Times New Roman" w:hAnsi="Times New Roman" w:cs="Times New Roman"/>
        </w:rPr>
      </w:pPr>
    </w:p>
    <w:sectPr w:rsidR="00355B0D" w:rsidRPr="00CA4FF0">
      <w:footerReference w:type="default" r:id="rId7"/>
      <w:pgSz w:w="12240" w:h="15840"/>
      <w:pgMar w:top="1440" w:right="1300" w:bottom="1440" w:left="13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B03BA" w14:textId="77777777" w:rsidR="00D9547A" w:rsidRDefault="00D9547A">
      <w:r>
        <w:separator/>
      </w:r>
    </w:p>
  </w:endnote>
  <w:endnote w:type="continuationSeparator" w:id="0">
    <w:p w14:paraId="0B18D431" w14:textId="77777777" w:rsidR="00D9547A" w:rsidRDefault="00D95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9E9E" w14:textId="77777777" w:rsidR="00355B0D" w:rsidRDefault="00F77F3D">
    <w:pPr>
      <w:jc w:val="center"/>
    </w:pPr>
    <w:r>
      <w:rPr>
        <w:color w:val="888888"/>
        <w:sz w:val="18"/>
        <w:szCs w:val="18"/>
      </w:rPr>
      <w:t>Saffa et al. |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AF13F" w14:textId="77777777" w:rsidR="00D9547A" w:rsidRDefault="00D9547A">
      <w:r>
        <w:separator/>
      </w:r>
    </w:p>
  </w:footnote>
  <w:footnote w:type="continuationSeparator" w:id="0">
    <w:p w14:paraId="434332BA" w14:textId="77777777" w:rsidR="00D9547A" w:rsidRDefault="00D954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477DD"/>
    <w:multiLevelType w:val="hybridMultilevel"/>
    <w:tmpl w:val="7124FD46"/>
    <w:lvl w:ilvl="0" w:tplc="23C2150C">
      <w:start w:val="1"/>
      <w:numFmt w:val="bullet"/>
      <w:lvlText w:val="●"/>
      <w:lvlJc w:val="left"/>
      <w:pPr>
        <w:ind w:left="720" w:hanging="360"/>
      </w:pPr>
    </w:lvl>
    <w:lvl w:ilvl="1" w:tplc="DD244662">
      <w:start w:val="1"/>
      <w:numFmt w:val="bullet"/>
      <w:lvlText w:val="○"/>
      <w:lvlJc w:val="left"/>
      <w:pPr>
        <w:ind w:left="1440" w:hanging="360"/>
      </w:pPr>
    </w:lvl>
    <w:lvl w:ilvl="2" w:tplc="A0D210EC">
      <w:start w:val="1"/>
      <w:numFmt w:val="bullet"/>
      <w:lvlText w:val="■"/>
      <w:lvlJc w:val="left"/>
      <w:pPr>
        <w:ind w:left="2160" w:hanging="360"/>
      </w:pPr>
    </w:lvl>
    <w:lvl w:ilvl="3" w:tplc="68EEE5B4">
      <w:start w:val="1"/>
      <w:numFmt w:val="bullet"/>
      <w:lvlText w:val="●"/>
      <w:lvlJc w:val="left"/>
      <w:pPr>
        <w:ind w:left="2880" w:hanging="360"/>
      </w:pPr>
    </w:lvl>
    <w:lvl w:ilvl="4" w:tplc="F15CF348">
      <w:start w:val="1"/>
      <w:numFmt w:val="bullet"/>
      <w:lvlText w:val="○"/>
      <w:lvlJc w:val="left"/>
      <w:pPr>
        <w:ind w:left="3600" w:hanging="360"/>
      </w:pPr>
    </w:lvl>
    <w:lvl w:ilvl="5" w:tplc="DA92BEBA">
      <w:start w:val="1"/>
      <w:numFmt w:val="bullet"/>
      <w:lvlText w:val="■"/>
      <w:lvlJc w:val="left"/>
      <w:pPr>
        <w:ind w:left="4320" w:hanging="360"/>
      </w:pPr>
    </w:lvl>
    <w:lvl w:ilvl="6" w:tplc="8342DD5E">
      <w:start w:val="1"/>
      <w:numFmt w:val="bullet"/>
      <w:lvlText w:val="●"/>
      <w:lvlJc w:val="left"/>
      <w:pPr>
        <w:ind w:left="5040" w:hanging="360"/>
      </w:pPr>
    </w:lvl>
    <w:lvl w:ilvl="7" w:tplc="003C79FE">
      <w:start w:val="1"/>
      <w:numFmt w:val="bullet"/>
      <w:lvlText w:val="●"/>
      <w:lvlJc w:val="left"/>
      <w:pPr>
        <w:ind w:left="5760" w:hanging="360"/>
      </w:pPr>
    </w:lvl>
    <w:lvl w:ilvl="8" w:tplc="756880D8">
      <w:start w:val="1"/>
      <w:numFmt w:val="bullet"/>
      <w:lvlText w:val="●"/>
      <w:lvlJc w:val="left"/>
      <w:pPr>
        <w:ind w:left="6480" w:hanging="360"/>
      </w:pPr>
    </w:lvl>
  </w:abstractNum>
  <w:num w:numId="1" w16cid:durableId="4000586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B0D"/>
    <w:rsid w:val="00355B0D"/>
    <w:rsid w:val="004F2198"/>
    <w:rsid w:val="00CA4FF0"/>
    <w:rsid w:val="00D9547A"/>
    <w:rsid w:val="00E44AAD"/>
    <w:rsid w:val="00EE7338"/>
    <w:rsid w:val="00F77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B44E8"/>
  <w15:docId w15:val="{E86CEA76-320F-4696-AB15-CE13F8039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1F4E79"/>
      <w:sz w:val="28"/>
      <w:szCs w:val="28"/>
    </w:rPr>
  </w:style>
  <w:style w:type="paragraph" w:styleId="Heading2">
    <w:name w:val="heading 2"/>
    <w:uiPriority w:val="9"/>
    <w:unhideWhenUsed/>
    <w:qFormat/>
    <w:pPr>
      <w:spacing w:before="240" w:after="120"/>
      <w:outlineLvl w:val="1"/>
    </w:pPr>
    <w:rPr>
      <w:b/>
      <w:bCs/>
      <w:color w:val="1F4E79"/>
      <w:sz w:val="24"/>
      <w:szCs w:val="24"/>
    </w:rPr>
  </w:style>
  <w:style w:type="paragraph" w:styleId="Heading3">
    <w:name w:val="heading 3"/>
    <w:uiPriority w:val="9"/>
    <w:semiHidden/>
    <w:unhideWhenUsed/>
    <w:qFormat/>
    <w:pPr>
      <w:spacing w:before="200" w:after="100"/>
      <w:outlineLvl w:val="2"/>
    </w:pPr>
    <w:rPr>
      <w:b/>
      <w:bCs/>
      <w:color w:val="40404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A4FF0"/>
    <w:pPr>
      <w:tabs>
        <w:tab w:val="center" w:pos="4680"/>
        <w:tab w:val="right" w:pos="9360"/>
      </w:tabs>
    </w:pPr>
  </w:style>
  <w:style w:type="character" w:customStyle="1" w:styleId="HeaderChar">
    <w:name w:val="Header Char"/>
    <w:basedOn w:val="DefaultParagraphFont"/>
    <w:link w:val="Header"/>
    <w:uiPriority w:val="99"/>
    <w:rsid w:val="00CA4FF0"/>
  </w:style>
  <w:style w:type="paragraph" w:styleId="Footer">
    <w:name w:val="footer"/>
    <w:basedOn w:val="Normal"/>
    <w:link w:val="FooterChar"/>
    <w:uiPriority w:val="99"/>
    <w:unhideWhenUsed/>
    <w:rsid w:val="00CA4FF0"/>
    <w:pPr>
      <w:tabs>
        <w:tab w:val="center" w:pos="4680"/>
        <w:tab w:val="right" w:pos="9360"/>
      </w:tabs>
    </w:pPr>
  </w:style>
  <w:style w:type="character" w:customStyle="1" w:styleId="FooterChar">
    <w:name w:val="Footer Char"/>
    <w:basedOn w:val="DefaultParagraphFont"/>
    <w:link w:val="Footer"/>
    <w:uiPriority w:val="99"/>
    <w:rsid w:val="00CA4FF0"/>
  </w:style>
  <w:style w:type="character" w:styleId="UnresolvedMention">
    <w:name w:val="Unresolved Mention"/>
    <w:basedOn w:val="DefaultParagraphFont"/>
    <w:uiPriority w:val="99"/>
    <w:semiHidden/>
    <w:unhideWhenUsed/>
    <w:rsid w:val="00CA4F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6018</Words>
  <Characters>34305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theaisha1707@gmail.com</cp:lastModifiedBy>
  <cp:revision>3</cp:revision>
  <cp:lastPrinted>2026-03-29T23:34:00Z</cp:lastPrinted>
  <dcterms:created xsi:type="dcterms:W3CDTF">2026-03-29T23:42:00Z</dcterms:created>
  <dcterms:modified xsi:type="dcterms:W3CDTF">2026-03-30T05:35:00Z</dcterms:modified>
</cp:coreProperties>
</file>