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E97E6" w14:textId="413C6C01" w:rsidR="00C14A6C" w:rsidRPr="00C70A73" w:rsidRDefault="00C70A73" w:rsidP="00C70A73">
      <w:pPr>
        <w:spacing w:before="240" w:after="240" w:line="360" w:lineRule="auto"/>
        <w:jc w:val="center"/>
        <w:rPr>
          <w:rFonts w:ascii="Times New Roman" w:hAnsi="Times New Roman" w:cs="Times New Roman"/>
          <w:b/>
          <w:color w:val="000000" w:themeColor="text1"/>
          <w:sz w:val="36"/>
          <w:szCs w:val="36"/>
        </w:rPr>
      </w:pPr>
      <w:r w:rsidRPr="00C70A73">
        <w:rPr>
          <w:rFonts w:ascii="Times New Roman" w:hAnsi="Times New Roman" w:cs="Times New Roman"/>
          <w:b/>
          <w:color w:val="000000" w:themeColor="text1"/>
          <w:sz w:val="36"/>
          <w:szCs w:val="36"/>
        </w:rPr>
        <w:t xml:space="preserve">Interplay of </w:t>
      </w:r>
      <w:bookmarkStart w:id="0" w:name="_Hlk225475754"/>
      <w:r w:rsidRPr="00C70A73">
        <w:rPr>
          <w:rFonts w:ascii="Times New Roman" w:hAnsi="Times New Roman" w:cs="Times New Roman"/>
          <w:b/>
          <w:color w:val="000000" w:themeColor="text1"/>
          <w:sz w:val="36"/>
          <w:szCs w:val="36"/>
        </w:rPr>
        <w:t xml:space="preserve">Instructional Approaches, Appropriate Resources, Attitudes </w:t>
      </w:r>
      <w:proofErr w:type="gramStart"/>
      <w:r w:rsidRPr="00C70A73">
        <w:rPr>
          <w:rFonts w:ascii="Times New Roman" w:hAnsi="Times New Roman" w:cs="Times New Roman"/>
          <w:b/>
          <w:color w:val="000000" w:themeColor="text1"/>
          <w:sz w:val="36"/>
          <w:szCs w:val="36"/>
        </w:rPr>
        <w:t>Towards</w:t>
      </w:r>
      <w:proofErr w:type="gramEnd"/>
      <w:r w:rsidRPr="00C70A73">
        <w:rPr>
          <w:rFonts w:ascii="Times New Roman" w:hAnsi="Times New Roman" w:cs="Times New Roman"/>
          <w:b/>
          <w:color w:val="000000" w:themeColor="text1"/>
          <w:sz w:val="36"/>
          <w:szCs w:val="36"/>
        </w:rPr>
        <w:t xml:space="preserve"> Agriculture and Field</w:t>
      </w:r>
      <w:r w:rsidR="0050370A">
        <w:rPr>
          <w:rFonts w:ascii="Times New Roman" w:hAnsi="Times New Roman" w:cs="Times New Roman"/>
          <w:b/>
          <w:color w:val="000000" w:themeColor="text1"/>
          <w:sz w:val="36"/>
          <w:szCs w:val="36"/>
        </w:rPr>
        <w:t>w</w:t>
      </w:r>
      <w:r w:rsidRPr="00C70A73">
        <w:rPr>
          <w:rFonts w:ascii="Times New Roman" w:hAnsi="Times New Roman" w:cs="Times New Roman"/>
          <w:b/>
          <w:color w:val="000000" w:themeColor="text1"/>
          <w:sz w:val="36"/>
          <w:szCs w:val="36"/>
        </w:rPr>
        <w:t>ork Performance in Animal and Dairy Science</w:t>
      </w:r>
    </w:p>
    <w:p w14:paraId="63278075" w14:textId="2811ECD1" w:rsidR="00B260DD" w:rsidRPr="00DF1CEF" w:rsidRDefault="005B15B0" w:rsidP="00DF1CEF">
      <w:pPr>
        <w:shd w:val="clear" w:color="auto" w:fill="FFFFFF"/>
        <w:spacing w:before="240" w:after="240" w:line="360" w:lineRule="auto"/>
        <w:rPr>
          <w:rFonts w:ascii="Times New Roman" w:hAnsi="Times New Roman" w:cs="Times New Roman"/>
          <w:b/>
          <w:color w:val="000000" w:themeColor="text1"/>
          <w:sz w:val="28"/>
          <w:szCs w:val="28"/>
        </w:rPr>
      </w:pPr>
      <w:bookmarkStart w:id="1" w:name="_GoBack"/>
      <w:bookmarkEnd w:id="0"/>
      <w:bookmarkEnd w:id="1"/>
      <w:r w:rsidRPr="00DF1CEF">
        <w:rPr>
          <w:rFonts w:ascii="Times New Roman" w:hAnsi="Times New Roman" w:cs="Times New Roman"/>
          <w:b/>
          <w:color w:val="000000" w:themeColor="text1"/>
          <w:sz w:val="28"/>
          <w:szCs w:val="28"/>
        </w:rPr>
        <w:t>ABSTRACT</w:t>
      </w:r>
    </w:p>
    <w:p w14:paraId="248D5F29" w14:textId="56E4F32A" w:rsidR="00EF5D72" w:rsidRPr="00DF1CEF" w:rsidRDefault="00EF5D72" w:rsidP="00C70A73">
      <w:pPr>
        <w:spacing w:before="240" w:after="240" w:line="240" w:lineRule="auto"/>
        <w:jc w:val="both"/>
        <w:rPr>
          <w:rFonts w:ascii="Times New Roman" w:hAnsi="Times New Roman" w:cs="Times New Roman"/>
          <w:sz w:val="24"/>
          <w:szCs w:val="24"/>
        </w:rPr>
      </w:pPr>
      <w:r w:rsidRPr="00DF1CEF">
        <w:rPr>
          <w:rFonts w:ascii="Times New Roman" w:hAnsi="Times New Roman" w:cs="Times New Roman"/>
          <w:sz w:val="24"/>
          <w:szCs w:val="24"/>
        </w:rPr>
        <w:t xml:space="preserve">Effective agricultural education requires bridging theoretical knowledge with practical field competence. Grounded in Constructivist Theory, this study examined whether instructional approaches, appropriate resources, and students’ attitudes toward agriculture influence fieldwork performance in Animal and Dairy Science programs. While existing studies emphasize academic achievement, there is limited research on the combined influence of these factors on fieldwork performance. This study addressed this gap by exploring the interplay of these factors in laboratory-based agricultural competencies. Data were collected using a researcher-developed questionnaire validated by experts and pilot-tested, demonstrating strong reliability and internal consistency. Confirmatory Factor Analysis established construct validity and an acceptable model fit. Descriptive statistics indicated high levels of instructional approaches and appropriate resources, along with </w:t>
      </w:r>
      <w:proofErr w:type="gramStart"/>
      <w:r w:rsidRPr="00DF1CEF">
        <w:rPr>
          <w:rFonts w:ascii="Times New Roman" w:hAnsi="Times New Roman" w:cs="Times New Roman"/>
          <w:sz w:val="24"/>
          <w:szCs w:val="24"/>
        </w:rPr>
        <w:t>very</w:t>
      </w:r>
      <w:proofErr w:type="gramEnd"/>
      <w:r w:rsidRPr="00DF1CEF">
        <w:rPr>
          <w:rFonts w:ascii="Times New Roman" w:hAnsi="Times New Roman" w:cs="Times New Roman"/>
          <w:sz w:val="24"/>
          <w:szCs w:val="24"/>
        </w:rPr>
        <w:t xml:space="preserve"> high student attitudes. Fieldwork performance was interpreted as average, indicating that students demonstrate a satisfactory level of foundational competence in performing basic practical field tasks. Multiple regression analysis revealed that the combined variables significantly influenced fieldwork performance, although they accounted for a modest proportion of variance. Among these factors, students’ attitudes toward agriculture had a significant influence on fieldwork performance, emphasizing students’ motivation, engagement, and intrinsic interest in enhancing practical skills. The findings highlight the importance of fostering positive attitudes, providing adequate resources, and implementing instructional approaches. The study provides practical guidance for educators and program developers to strengthen experiential learning and prepare students for real-world agricultural practice, and recommends that future research incorporate institutionalized performance rubrics to comprehensively assess practical skills.</w:t>
      </w:r>
    </w:p>
    <w:p w14:paraId="5E886975" w14:textId="28517E15" w:rsidR="00EF5D72" w:rsidRPr="0050370A" w:rsidRDefault="00EF5D72" w:rsidP="00C70A73">
      <w:pPr>
        <w:spacing w:before="240" w:after="240" w:line="240" w:lineRule="auto"/>
        <w:jc w:val="both"/>
        <w:rPr>
          <w:rFonts w:ascii="Times New Roman" w:hAnsi="Times New Roman" w:cs="Times New Roman"/>
          <w:sz w:val="24"/>
          <w:szCs w:val="24"/>
        </w:rPr>
      </w:pPr>
      <w:r w:rsidRPr="0050370A">
        <w:rPr>
          <w:rFonts w:ascii="Times New Roman" w:hAnsi="Times New Roman" w:cs="Times New Roman"/>
          <w:b/>
          <w:i/>
          <w:sz w:val="24"/>
          <w:szCs w:val="24"/>
        </w:rPr>
        <w:t>Keywords</w:t>
      </w:r>
      <w:r w:rsidRPr="0050370A">
        <w:rPr>
          <w:rFonts w:ascii="Times New Roman" w:hAnsi="Times New Roman" w:cs="Times New Roman"/>
          <w:i/>
          <w:sz w:val="24"/>
          <w:szCs w:val="24"/>
        </w:rPr>
        <w:t xml:space="preserve">: </w:t>
      </w:r>
      <w:r w:rsidRPr="0050370A">
        <w:rPr>
          <w:rFonts w:ascii="Times New Roman" w:hAnsi="Times New Roman" w:cs="Times New Roman"/>
          <w:sz w:val="24"/>
          <w:szCs w:val="24"/>
        </w:rPr>
        <w:t>Animal and dairy science</w:t>
      </w:r>
      <w:r w:rsidR="00DF1CEF" w:rsidRPr="0050370A">
        <w:rPr>
          <w:rFonts w:ascii="Times New Roman" w:hAnsi="Times New Roman" w:cs="Times New Roman"/>
          <w:sz w:val="24"/>
          <w:szCs w:val="24"/>
        </w:rPr>
        <w:t xml:space="preserve">, </w:t>
      </w:r>
      <w:r w:rsidRPr="0050370A">
        <w:rPr>
          <w:rFonts w:ascii="Times New Roman" w:hAnsi="Times New Roman" w:cs="Times New Roman"/>
          <w:sz w:val="24"/>
          <w:szCs w:val="24"/>
        </w:rPr>
        <w:t>Appropriate resources</w:t>
      </w:r>
      <w:r w:rsidR="00DF1CEF" w:rsidRPr="0050370A">
        <w:rPr>
          <w:rFonts w:ascii="Times New Roman" w:hAnsi="Times New Roman" w:cs="Times New Roman"/>
          <w:sz w:val="24"/>
          <w:szCs w:val="24"/>
        </w:rPr>
        <w:t xml:space="preserve">, </w:t>
      </w:r>
      <w:r w:rsidRPr="0050370A">
        <w:rPr>
          <w:rFonts w:ascii="Times New Roman" w:hAnsi="Times New Roman" w:cs="Times New Roman"/>
          <w:sz w:val="24"/>
          <w:szCs w:val="24"/>
        </w:rPr>
        <w:t>Attitudes toward agriculture</w:t>
      </w:r>
      <w:r w:rsidR="00DF1CEF" w:rsidRPr="0050370A">
        <w:rPr>
          <w:rFonts w:ascii="Times New Roman" w:hAnsi="Times New Roman" w:cs="Times New Roman"/>
          <w:sz w:val="24"/>
          <w:szCs w:val="24"/>
        </w:rPr>
        <w:t xml:space="preserve">, </w:t>
      </w:r>
      <w:r w:rsidRPr="0050370A">
        <w:rPr>
          <w:rFonts w:ascii="Times New Roman" w:hAnsi="Times New Roman" w:cs="Times New Roman"/>
          <w:sz w:val="24"/>
          <w:szCs w:val="24"/>
        </w:rPr>
        <w:t>Fieldwork performance</w:t>
      </w:r>
      <w:r w:rsidR="00DF1CEF" w:rsidRPr="0050370A">
        <w:rPr>
          <w:rFonts w:ascii="Times New Roman" w:hAnsi="Times New Roman" w:cs="Times New Roman"/>
          <w:sz w:val="24"/>
          <w:szCs w:val="24"/>
        </w:rPr>
        <w:t xml:space="preserve">, </w:t>
      </w:r>
      <w:r w:rsidRPr="0050370A">
        <w:rPr>
          <w:rFonts w:ascii="Times New Roman" w:hAnsi="Times New Roman" w:cs="Times New Roman"/>
          <w:sz w:val="24"/>
          <w:szCs w:val="24"/>
        </w:rPr>
        <w:t>Instructional approaches</w:t>
      </w:r>
    </w:p>
    <w:p w14:paraId="78BF1157" w14:textId="5264F31E" w:rsidR="00714E81" w:rsidRDefault="00DF1CEF" w:rsidP="00714E81">
      <w:pPr>
        <w:rPr>
          <w:rFonts w:ascii="Times New Roman" w:hAnsi="Times New Roman" w:cs="Times New Roman"/>
          <w:b/>
          <w:sz w:val="28"/>
        </w:rPr>
      </w:pPr>
      <w:r w:rsidRPr="00714E81">
        <w:rPr>
          <w:rFonts w:ascii="Times New Roman" w:hAnsi="Times New Roman" w:cs="Times New Roman"/>
          <w:b/>
          <w:sz w:val="28"/>
        </w:rPr>
        <w:t>INTRODUCTION</w:t>
      </w:r>
    </w:p>
    <w:p w14:paraId="218AA710" w14:textId="77777777" w:rsidR="00F445BD" w:rsidRPr="00F445BD" w:rsidRDefault="00F445BD" w:rsidP="00F445BD">
      <w:pPr>
        <w:jc w:val="both"/>
        <w:rPr>
          <w:rFonts w:ascii="Times New Roman" w:eastAsia="Arial" w:hAnsi="Times New Roman" w:cs="Times New Roman"/>
          <w:sz w:val="24"/>
          <w:szCs w:val="24"/>
        </w:rPr>
      </w:pPr>
      <w:r w:rsidRPr="00F445BD">
        <w:rPr>
          <w:rFonts w:ascii="Times New Roman" w:eastAsia="Arial" w:hAnsi="Times New Roman" w:cs="Times New Roman"/>
          <w:sz w:val="24"/>
          <w:szCs w:val="24"/>
        </w:rPr>
        <w:t xml:space="preserve">Practical skills are essential for preparing students to be field-ready in Animal and Dairy Science programs. Given Northern Mindanao's significant agricultural landscape and its role as the Philippines' second-largest contributor to agricultural output, effective education in this sector is vital. Without it, a skills gap would emerge, hindering economic growth and preventing graduates from meeting industry demands. While institutions like TESDA have demonstrated effectiveness in enhancing technical competence, inconsistencies in students’ fieldwork performance persist. This inconsistency is evident in the uneven demonstration of practical competencies where some students </w:t>
      </w:r>
      <w:proofErr w:type="gramStart"/>
      <w:r w:rsidRPr="00F445BD">
        <w:rPr>
          <w:rFonts w:ascii="Times New Roman" w:eastAsia="Arial" w:hAnsi="Times New Roman" w:cs="Times New Roman"/>
          <w:sz w:val="24"/>
          <w:szCs w:val="24"/>
        </w:rPr>
        <w:t>struggles</w:t>
      </w:r>
      <w:proofErr w:type="gramEnd"/>
      <w:r w:rsidRPr="00F445BD">
        <w:rPr>
          <w:rFonts w:ascii="Times New Roman" w:eastAsia="Arial" w:hAnsi="Times New Roman" w:cs="Times New Roman"/>
          <w:sz w:val="24"/>
          <w:szCs w:val="24"/>
        </w:rPr>
        <w:t xml:space="preserve"> with practical tasks, equipment handling applying theoretical knowledge to real-world settings (Arihana &amp; Iksan, 2023). </w:t>
      </w:r>
    </w:p>
    <w:p w14:paraId="5F37D2E6" w14:textId="77777777" w:rsidR="00F445BD" w:rsidRPr="00F445BD" w:rsidRDefault="00F445BD" w:rsidP="00F445BD">
      <w:pPr>
        <w:jc w:val="both"/>
        <w:rPr>
          <w:rFonts w:ascii="Times New Roman" w:eastAsia="Arial" w:hAnsi="Times New Roman" w:cs="Times New Roman"/>
          <w:sz w:val="24"/>
          <w:szCs w:val="24"/>
        </w:rPr>
      </w:pPr>
      <w:r w:rsidRPr="00F445BD">
        <w:rPr>
          <w:rFonts w:ascii="Times New Roman" w:eastAsia="Arial" w:hAnsi="Times New Roman" w:cs="Times New Roman"/>
          <w:sz w:val="24"/>
          <w:szCs w:val="24"/>
        </w:rPr>
        <w:t>Researchers have investigated various factors influencing student performance. Studies indicate that instructional approaches like blended and experiential learning enhance practical skills (Scott et al., 2023; Ragland &amp; Karcher, 2022). Furthermore, factors like well-structured teaching, adequate resources, and student interest are known to be crucial factors influence performance (Turyamureba et al., 2024). Conversely, a shortage of tools, ineffective methods, and negative student attitudes are linked to poor performance (Baliyan et al., 2021). While these studies have identified individual factors, a significant research gap exists. The current literature lacks a comprehensive, holistic analysis of how these variables interact with each other and collectively impact fieldwork performance.</w:t>
      </w:r>
    </w:p>
    <w:p w14:paraId="7BA2A355" w14:textId="77777777" w:rsidR="00F445BD" w:rsidRPr="00F445BD" w:rsidRDefault="00F445BD" w:rsidP="00F445BD">
      <w:pPr>
        <w:jc w:val="both"/>
        <w:rPr>
          <w:rFonts w:ascii="Times New Roman" w:eastAsia="Arial" w:hAnsi="Times New Roman" w:cs="Times New Roman"/>
          <w:sz w:val="24"/>
          <w:szCs w:val="24"/>
        </w:rPr>
      </w:pPr>
      <w:r w:rsidRPr="00F445BD">
        <w:rPr>
          <w:rFonts w:ascii="Times New Roman" w:eastAsia="Arial" w:hAnsi="Times New Roman" w:cs="Times New Roman"/>
          <w:sz w:val="24"/>
          <w:szCs w:val="24"/>
        </w:rPr>
        <w:lastRenderedPageBreak/>
        <w:t>Considering this evidence, the present study investigated the combined influence and interplay these key factors. By analyzing the relationship between instructional approaches, appropriate resources, and students’ attitudes towards agriculture. This research fills the critical gap by providing practical guidance that can inform school policy, guide curriculum development, and shape teacher training. Ultimately, this will enhance learning engagement and competence, thereby strengthening agricultural education and producing a more skilled, field-ready workforce to support Northern Mindanao’s vital economy.</w:t>
      </w:r>
    </w:p>
    <w:p w14:paraId="77996210" w14:textId="5253FC45" w:rsidR="00F445BD" w:rsidRDefault="00F445BD" w:rsidP="00F445BD">
      <w:pPr>
        <w:jc w:val="both"/>
        <w:rPr>
          <w:rFonts w:ascii="Times New Roman" w:eastAsia="Arial" w:hAnsi="Times New Roman" w:cs="Times New Roman"/>
          <w:sz w:val="24"/>
          <w:szCs w:val="24"/>
        </w:rPr>
      </w:pPr>
      <w:r w:rsidRPr="00F445BD">
        <w:rPr>
          <w:rFonts w:ascii="Times New Roman" w:eastAsia="Arial" w:hAnsi="Times New Roman" w:cs="Times New Roman"/>
          <w:sz w:val="24"/>
          <w:szCs w:val="24"/>
        </w:rPr>
        <w:t>Furthermore, this study contributes to the United Nations Sustainable Development Goals, particularly SDG 4(Quality Education) and SDG 8 (Decent Work and Economic Growth), by ensuring that graduates are equipped with practical skills necessary to contribute to regional agricultural productivity and sustainable economic growth.</w:t>
      </w:r>
    </w:p>
    <w:p w14:paraId="7B01B1AA" w14:textId="554077E0" w:rsidR="00F445BD" w:rsidRDefault="00F445BD" w:rsidP="00F445BD">
      <w:pPr>
        <w:jc w:val="both"/>
        <w:rPr>
          <w:rFonts w:ascii="Times New Roman" w:eastAsia="Arial" w:hAnsi="Times New Roman" w:cs="Times New Roman"/>
          <w:b/>
          <w:sz w:val="24"/>
          <w:szCs w:val="24"/>
        </w:rPr>
      </w:pPr>
      <w:r w:rsidRPr="00F445BD">
        <w:rPr>
          <w:rFonts w:ascii="Times New Roman" w:eastAsia="Arial" w:hAnsi="Times New Roman" w:cs="Times New Roman"/>
          <w:b/>
          <w:sz w:val="24"/>
          <w:szCs w:val="24"/>
        </w:rPr>
        <w:t>Theoretical</w:t>
      </w:r>
      <w:r w:rsidR="00C84299">
        <w:rPr>
          <w:rFonts w:ascii="Times New Roman" w:eastAsia="Arial" w:hAnsi="Times New Roman" w:cs="Times New Roman"/>
          <w:b/>
          <w:sz w:val="24"/>
          <w:szCs w:val="24"/>
        </w:rPr>
        <w:t xml:space="preserve"> and Conceptual</w:t>
      </w:r>
      <w:r w:rsidRPr="00F445BD">
        <w:rPr>
          <w:rFonts w:ascii="Times New Roman" w:eastAsia="Arial" w:hAnsi="Times New Roman" w:cs="Times New Roman"/>
          <w:b/>
          <w:sz w:val="24"/>
          <w:szCs w:val="24"/>
        </w:rPr>
        <w:t xml:space="preserve"> Framework</w:t>
      </w:r>
    </w:p>
    <w:p w14:paraId="06641E7D" w14:textId="77777777" w:rsidR="001F6C0C" w:rsidRDefault="00C84299" w:rsidP="00C84299">
      <w:pPr>
        <w:jc w:val="both"/>
        <w:rPr>
          <w:rFonts w:ascii="Times New Roman" w:eastAsia="Arial" w:hAnsi="Times New Roman" w:cs="Times New Roman"/>
          <w:sz w:val="24"/>
          <w:szCs w:val="24"/>
        </w:rPr>
      </w:pPr>
      <w:r w:rsidRPr="00C84299">
        <w:rPr>
          <w:rFonts w:ascii="Times New Roman" w:eastAsia="Arial" w:hAnsi="Times New Roman" w:cs="Times New Roman"/>
          <w:sz w:val="24"/>
          <w:szCs w:val="24"/>
        </w:rPr>
        <w:t xml:space="preserve">This study is anchored in Constructivist Learning Theory, which posits that knowledge is actively constructed through reflection, experience and meaningful classroom engagement rather than passively taught (Putri et al., 2024). In this </w:t>
      </w:r>
      <w:r w:rsidR="001F6C0C">
        <w:rPr>
          <w:rFonts w:ascii="Times New Roman" w:eastAsia="Arial" w:hAnsi="Times New Roman" w:cs="Times New Roman"/>
          <w:sz w:val="24"/>
          <w:szCs w:val="24"/>
        </w:rPr>
        <w:t>study</w:t>
      </w:r>
      <w:r w:rsidRPr="00C84299">
        <w:rPr>
          <w:rFonts w:ascii="Times New Roman" w:eastAsia="Arial" w:hAnsi="Times New Roman" w:cs="Times New Roman"/>
          <w:sz w:val="24"/>
          <w:szCs w:val="24"/>
        </w:rPr>
        <w:t xml:space="preserve">, learning occurs primarily when students interact with authentic real-world tasks </w:t>
      </w:r>
      <w:r w:rsidR="001F6C0C">
        <w:rPr>
          <w:rFonts w:ascii="Times New Roman" w:eastAsia="Arial" w:hAnsi="Times New Roman" w:cs="Times New Roman"/>
          <w:sz w:val="24"/>
          <w:szCs w:val="24"/>
        </w:rPr>
        <w:t>integrating</w:t>
      </w:r>
      <w:r w:rsidRPr="00C84299">
        <w:rPr>
          <w:rFonts w:ascii="Times New Roman" w:eastAsia="Arial" w:hAnsi="Times New Roman" w:cs="Times New Roman"/>
          <w:sz w:val="24"/>
          <w:szCs w:val="24"/>
        </w:rPr>
        <w:t xml:space="preserve"> new ideas with prior understanding</w:t>
      </w:r>
      <w:r w:rsidR="001F6C0C">
        <w:rPr>
          <w:rFonts w:ascii="Times New Roman" w:eastAsia="Arial" w:hAnsi="Times New Roman" w:cs="Times New Roman"/>
          <w:sz w:val="24"/>
          <w:szCs w:val="24"/>
        </w:rPr>
        <w:t xml:space="preserve"> in </w:t>
      </w:r>
      <w:r w:rsidRPr="00C84299">
        <w:rPr>
          <w:rFonts w:ascii="Times New Roman" w:eastAsia="Arial" w:hAnsi="Times New Roman" w:cs="Times New Roman"/>
          <w:sz w:val="24"/>
          <w:szCs w:val="24"/>
        </w:rPr>
        <w:t>Animal and Dairy Science programs</w:t>
      </w:r>
      <w:r w:rsidR="001F6C0C">
        <w:rPr>
          <w:rFonts w:ascii="Times New Roman" w:eastAsia="Arial" w:hAnsi="Times New Roman" w:cs="Times New Roman"/>
          <w:sz w:val="24"/>
          <w:szCs w:val="24"/>
        </w:rPr>
        <w:t xml:space="preserve">. </w:t>
      </w:r>
    </w:p>
    <w:p w14:paraId="1731099C" w14:textId="7CBA43A0" w:rsidR="00C84299" w:rsidRPr="00C84299" w:rsidRDefault="00C84299" w:rsidP="00C84299">
      <w:pPr>
        <w:jc w:val="both"/>
        <w:rPr>
          <w:rFonts w:ascii="Times New Roman" w:eastAsia="Arial" w:hAnsi="Times New Roman" w:cs="Times New Roman"/>
          <w:sz w:val="24"/>
          <w:szCs w:val="24"/>
        </w:rPr>
      </w:pPr>
      <w:r w:rsidRPr="00C84299">
        <w:rPr>
          <w:rFonts w:ascii="Times New Roman" w:eastAsia="Arial" w:hAnsi="Times New Roman" w:cs="Times New Roman"/>
          <w:sz w:val="24"/>
          <w:szCs w:val="24"/>
        </w:rPr>
        <w:t xml:space="preserve">In this framework, fieldwork performance represents </w:t>
      </w:r>
      <w:r w:rsidR="001F6C0C">
        <w:rPr>
          <w:rFonts w:ascii="Times New Roman" w:eastAsia="Arial" w:hAnsi="Times New Roman" w:cs="Times New Roman"/>
          <w:sz w:val="24"/>
          <w:szCs w:val="24"/>
        </w:rPr>
        <w:t xml:space="preserve">as </w:t>
      </w:r>
      <w:r w:rsidRPr="00C84299">
        <w:rPr>
          <w:rFonts w:ascii="Times New Roman" w:eastAsia="Arial" w:hAnsi="Times New Roman" w:cs="Times New Roman"/>
          <w:sz w:val="24"/>
          <w:szCs w:val="24"/>
        </w:rPr>
        <w:t xml:space="preserve">the outcome of student’s constructed knowledge, skills, and attitudes demonstrated during fieldwork laboratory activities. This fieldwork experiences provides experiential learning opportunities that allows students to actively engaged in the agricultural practices enhancing concepts learned in the classroom (Kassim et al., 2024). These experiences are essential for producing graduates who are highly skilled, ethically grounded, and ready to meet the demands of the animal production and processing industries. Through direct participation and subsequent reflection, students actively construct their understanding on the multifaceted Animal and Dairy Science processes, consistent with the constructivist view that knowledge develops through continuous interaction between experience and cognition (Chitty &amp; Hesp, 2024). This also aligns with the study of David (2022), where constructivist approaches advocate student-centered, multisensory learning experiences rather than traditional rote learning. This leads to comprehensive learning and industry ready practical skills, which directly contribute to higher field work term grades and the advancement of a professional identity and ethical reasoning within the field. </w:t>
      </w:r>
    </w:p>
    <w:p w14:paraId="4F4A65C6" w14:textId="77777777" w:rsidR="00C84299" w:rsidRPr="00C84299" w:rsidRDefault="00C84299" w:rsidP="00C84299">
      <w:pPr>
        <w:jc w:val="both"/>
        <w:rPr>
          <w:rFonts w:ascii="Times New Roman" w:eastAsia="Arial" w:hAnsi="Times New Roman" w:cs="Times New Roman"/>
          <w:sz w:val="24"/>
          <w:szCs w:val="24"/>
        </w:rPr>
      </w:pPr>
      <w:r w:rsidRPr="00C84299">
        <w:rPr>
          <w:rFonts w:ascii="Times New Roman" w:eastAsia="Arial" w:hAnsi="Times New Roman" w:cs="Times New Roman"/>
          <w:sz w:val="24"/>
          <w:szCs w:val="24"/>
        </w:rPr>
        <w:t>This study is further shaped by three interrelated independent variables: instructional approaches, appropriate resources, and student attitudes towards agriculture, all of which function within the constructivist learning environment.</w:t>
      </w:r>
    </w:p>
    <w:p w14:paraId="51B84C53" w14:textId="61044D1C" w:rsidR="00C84299" w:rsidRPr="00C84299" w:rsidRDefault="00C84299" w:rsidP="00C84299">
      <w:pPr>
        <w:jc w:val="both"/>
        <w:rPr>
          <w:rFonts w:ascii="Times New Roman" w:eastAsia="Arial" w:hAnsi="Times New Roman" w:cs="Times New Roman"/>
          <w:sz w:val="24"/>
          <w:szCs w:val="24"/>
        </w:rPr>
      </w:pPr>
      <w:r w:rsidRPr="00C84299">
        <w:rPr>
          <w:rFonts w:ascii="Times New Roman" w:eastAsia="Arial" w:hAnsi="Times New Roman" w:cs="Times New Roman"/>
          <w:sz w:val="24"/>
          <w:szCs w:val="24"/>
        </w:rPr>
        <w:t>Instructional approaches encompass various pedagogical strategies that facilitate learner’s knowledge construction</w:t>
      </w:r>
      <w:r w:rsidR="007F09EB">
        <w:rPr>
          <w:rFonts w:ascii="Times New Roman" w:eastAsia="Arial" w:hAnsi="Times New Roman" w:cs="Times New Roman"/>
          <w:sz w:val="24"/>
          <w:szCs w:val="24"/>
        </w:rPr>
        <w:t xml:space="preserve">. This emphasized experiential and student-centered </w:t>
      </w:r>
      <w:r w:rsidRPr="00C84299">
        <w:rPr>
          <w:rFonts w:ascii="Times New Roman" w:eastAsia="Arial" w:hAnsi="Times New Roman" w:cs="Times New Roman"/>
          <w:sz w:val="24"/>
          <w:szCs w:val="24"/>
        </w:rPr>
        <w:t xml:space="preserve">learning </w:t>
      </w:r>
      <w:r w:rsidR="007F09EB">
        <w:rPr>
          <w:rFonts w:ascii="Times New Roman" w:eastAsia="Arial" w:hAnsi="Times New Roman" w:cs="Times New Roman"/>
          <w:sz w:val="24"/>
          <w:szCs w:val="24"/>
        </w:rPr>
        <w:t xml:space="preserve">enable students’ </w:t>
      </w:r>
      <w:proofErr w:type="gramStart"/>
      <w:r w:rsidR="007F09EB">
        <w:rPr>
          <w:rFonts w:ascii="Times New Roman" w:eastAsia="Arial" w:hAnsi="Times New Roman" w:cs="Times New Roman"/>
          <w:sz w:val="24"/>
          <w:szCs w:val="24"/>
        </w:rPr>
        <w:t xml:space="preserve">to </w:t>
      </w:r>
      <w:r w:rsidRPr="00C84299">
        <w:rPr>
          <w:rFonts w:ascii="Times New Roman" w:eastAsia="Arial" w:hAnsi="Times New Roman" w:cs="Times New Roman"/>
          <w:sz w:val="24"/>
          <w:szCs w:val="24"/>
        </w:rPr>
        <w:t xml:space="preserve"> </w:t>
      </w:r>
      <w:r w:rsidR="007F09EB">
        <w:rPr>
          <w:rFonts w:ascii="Times New Roman" w:eastAsia="Arial" w:hAnsi="Times New Roman" w:cs="Times New Roman"/>
          <w:sz w:val="24"/>
          <w:szCs w:val="24"/>
        </w:rPr>
        <w:t>apply</w:t>
      </w:r>
      <w:proofErr w:type="gramEnd"/>
      <w:r w:rsidRPr="00C84299">
        <w:rPr>
          <w:rFonts w:ascii="Times New Roman" w:eastAsia="Arial" w:hAnsi="Times New Roman" w:cs="Times New Roman"/>
          <w:sz w:val="24"/>
          <w:szCs w:val="24"/>
        </w:rPr>
        <w:t xml:space="preserve"> theoretical knowledge </w:t>
      </w:r>
      <w:r w:rsidR="007F09EB">
        <w:rPr>
          <w:rFonts w:ascii="Times New Roman" w:eastAsia="Arial" w:hAnsi="Times New Roman" w:cs="Times New Roman"/>
          <w:sz w:val="24"/>
          <w:szCs w:val="24"/>
        </w:rPr>
        <w:t>in</w:t>
      </w:r>
      <w:r w:rsidRPr="00C84299">
        <w:rPr>
          <w:rFonts w:ascii="Times New Roman" w:eastAsia="Arial" w:hAnsi="Times New Roman" w:cs="Times New Roman"/>
          <w:sz w:val="24"/>
          <w:szCs w:val="24"/>
        </w:rPr>
        <w:t xml:space="preserve"> practical </w:t>
      </w:r>
      <w:r w:rsidR="007F09EB">
        <w:rPr>
          <w:rFonts w:ascii="Times New Roman" w:eastAsia="Arial" w:hAnsi="Times New Roman" w:cs="Times New Roman"/>
          <w:sz w:val="24"/>
          <w:szCs w:val="24"/>
        </w:rPr>
        <w:t xml:space="preserve">application </w:t>
      </w:r>
      <w:r w:rsidRPr="00C84299">
        <w:rPr>
          <w:rFonts w:ascii="Times New Roman" w:eastAsia="Arial" w:hAnsi="Times New Roman" w:cs="Times New Roman"/>
          <w:sz w:val="24"/>
          <w:szCs w:val="24"/>
        </w:rPr>
        <w:t>through concrete experience and reflective observation (Scott et al., 2023).</w:t>
      </w:r>
      <w:r w:rsidR="007F09EB">
        <w:rPr>
          <w:rFonts w:ascii="Times New Roman" w:eastAsia="Arial" w:hAnsi="Times New Roman" w:cs="Times New Roman"/>
          <w:sz w:val="24"/>
          <w:szCs w:val="24"/>
        </w:rPr>
        <w:t xml:space="preserve"> Moreover, an instruction that</w:t>
      </w:r>
      <w:r w:rsidRPr="00C84299">
        <w:rPr>
          <w:rFonts w:ascii="Times New Roman" w:eastAsia="Arial" w:hAnsi="Times New Roman" w:cs="Times New Roman"/>
          <w:sz w:val="24"/>
          <w:szCs w:val="24"/>
        </w:rPr>
        <w:t xml:space="preserve"> integrates digital media </w:t>
      </w:r>
      <w:r w:rsidR="007F09EB">
        <w:rPr>
          <w:rFonts w:ascii="Times New Roman" w:eastAsia="Arial" w:hAnsi="Times New Roman" w:cs="Times New Roman"/>
          <w:sz w:val="24"/>
          <w:szCs w:val="24"/>
        </w:rPr>
        <w:t>provides</w:t>
      </w:r>
      <w:r w:rsidRPr="00C84299">
        <w:rPr>
          <w:rFonts w:ascii="Times New Roman" w:eastAsia="Arial" w:hAnsi="Times New Roman" w:cs="Times New Roman"/>
          <w:sz w:val="24"/>
          <w:szCs w:val="24"/>
        </w:rPr>
        <w:t xml:space="preserve"> flexible and engaging learning experience </w:t>
      </w:r>
      <w:r w:rsidRPr="00C84299">
        <w:rPr>
          <w:rFonts w:ascii="Times New Roman" w:eastAsia="Arial" w:hAnsi="Times New Roman" w:cs="Times New Roman"/>
          <w:sz w:val="24"/>
          <w:szCs w:val="24"/>
        </w:rPr>
        <w:lastRenderedPageBreak/>
        <w:t xml:space="preserve">Badhe et al. (2024). From a constructivist framework, this approach enables students to actively engage in multiple learning </w:t>
      </w:r>
      <w:proofErr w:type="gramStart"/>
      <w:r w:rsidRPr="00C84299">
        <w:rPr>
          <w:rFonts w:ascii="Times New Roman" w:eastAsia="Arial" w:hAnsi="Times New Roman" w:cs="Times New Roman"/>
          <w:sz w:val="24"/>
          <w:szCs w:val="24"/>
        </w:rPr>
        <w:t>mode</w:t>
      </w:r>
      <w:proofErr w:type="gramEnd"/>
      <w:r w:rsidRPr="00C84299">
        <w:rPr>
          <w:rFonts w:ascii="Times New Roman" w:eastAsia="Arial" w:hAnsi="Times New Roman" w:cs="Times New Roman"/>
          <w:sz w:val="24"/>
          <w:szCs w:val="24"/>
        </w:rPr>
        <w:t xml:space="preserve"> that supports continuous engagement beyond the classroom, such as group discussions, problem-solving, case studies and simulations. These strategies combined with digital helps students to construct knowledge independently and collaboratively. </w:t>
      </w:r>
      <w:r w:rsidR="007F09EB">
        <w:rPr>
          <w:rFonts w:ascii="Times New Roman" w:eastAsia="Arial" w:hAnsi="Times New Roman" w:cs="Times New Roman"/>
          <w:sz w:val="24"/>
          <w:szCs w:val="24"/>
        </w:rPr>
        <w:t>U</w:t>
      </w:r>
      <w:r w:rsidRPr="00C84299">
        <w:rPr>
          <w:rFonts w:ascii="Times New Roman" w:eastAsia="Arial" w:hAnsi="Times New Roman" w:cs="Times New Roman"/>
          <w:sz w:val="24"/>
          <w:szCs w:val="24"/>
        </w:rPr>
        <w:t>ltimatel</w:t>
      </w:r>
      <w:r w:rsidR="007F09EB">
        <w:rPr>
          <w:rFonts w:ascii="Times New Roman" w:eastAsia="Arial" w:hAnsi="Times New Roman" w:cs="Times New Roman"/>
          <w:sz w:val="24"/>
          <w:szCs w:val="24"/>
        </w:rPr>
        <w:t>, it</w:t>
      </w:r>
      <w:r w:rsidRPr="00C84299">
        <w:rPr>
          <w:rFonts w:ascii="Times New Roman" w:eastAsia="Arial" w:hAnsi="Times New Roman" w:cs="Times New Roman"/>
          <w:sz w:val="24"/>
          <w:szCs w:val="24"/>
        </w:rPr>
        <w:t xml:space="preserve"> contribute</w:t>
      </w:r>
      <w:r w:rsidR="007F09EB">
        <w:rPr>
          <w:rFonts w:ascii="Times New Roman" w:eastAsia="Arial" w:hAnsi="Times New Roman" w:cs="Times New Roman"/>
          <w:sz w:val="24"/>
          <w:szCs w:val="24"/>
        </w:rPr>
        <w:t xml:space="preserve">s </w:t>
      </w:r>
      <w:r w:rsidRPr="00C84299">
        <w:rPr>
          <w:rFonts w:ascii="Times New Roman" w:eastAsia="Arial" w:hAnsi="Times New Roman" w:cs="Times New Roman"/>
          <w:sz w:val="24"/>
          <w:szCs w:val="24"/>
        </w:rPr>
        <w:t>to a more comprehensive understanding and improved field work performance.</w:t>
      </w:r>
    </w:p>
    <w:p w14:paraId="5599D41C" w14:textId="77777777" w:rsidR="007F09EB" w:rsidRDefault="007F09EB" w:rsidP="007F09EB">
      <w:pPr>
        <w:pStyle w:val="NoSpacing"/>
        <w:spacing w:before="240" w:after="240"/>
        <w:jc w:val="both"/>
        <w:rPr>
          <w:rFonts w:ascii="Times New Roman" w:hAnsi="Times New Roman" w:cs="Times New Roman"/>
          <w:sz w:val="24"/>
          <w:szCs w:val="24"/>
        </w:rPr>
      </w:pPr>
      <w:r w:rsidRPr="00C70A73">
        <w:rPr>
          <w:rFonts w:ascii="Times New Roman" w:hAnsi="Times New Roman" w:cs="Times New Roman"/>
          <w:sz w:val="24"/>
          <w:szCs w:val="24"/>
        </w:rPr>
        <w:t>Ye et al.</w:t>
      </w:r>
      <w:r>
        <w:rPr>
          <w:rFonts w:ascii="Times New Roman" w:hAnsi="Times New Roman" w:cs="Times New Roman"/>
          <w:sz w:val="24"/>
          <w:szCs w:val="24"/>
        </w:rPr>
        <w:t xml:space="preserve"> (</w:t>
      </w:r>
      <w:r w:rsidRPr="00C70A73">
        <w:rPr>
          <w:rFonts w:ascii="Times New Roman" w:hAnsi="Times New Roman" w:cs="Times New Roman"/>
          <w:sz w:val="24"/>
          <w:szCs w:val="24"/>
        </w:rPr>
        <w:t>2022</w:t>
      </w:r>
      <w:r>
        <w:rPr>
          <w:rFonts w:ascii="Times New Roman" w:hAnsi="Times New Roman" w:cs="Times New Roman"/>
          <w:sz w:val="24"/>
          <w:szCs w:val="24"/>
        </w:rPr>
        <w:t>) emphasize that</w:t>
      </w:r>
      <w:r w:rsidRPr="00C70A73">
        <w:rPr>
          <w:rFonts w:ascii="Times New Roman" w:hAnsi="Times New Roman" w:cs="Times New Roman"/>
          <w:sz w:val="24"/>
          <w:szCs w:val="24"/>
        </w:rPr>
        <w:t xml:space="preserve"> appropriate resources enhance practical skills and understanding</w:t>
      </w:r>
      <w:r>
        <w:rPr>
          <w:rFonts w:ascii="Times New Roman" w:hAnsi="Times New Roman" w:cs="Times New Roman"/>
          <w:sz w:val="24"/>
          <w:szCs w:val="24"/>
        </w:rPr>
        <w:t xml:space="preserve">. </w:t>
      </w:r>
      <w:r w:rsidRPr="00C70A73">
        <w:rPr>
          <w:rFonts w:ascii="Times New Roman" w:hAnsi="Times New Roman" w:cs="Times New Roman"/>
          <w:sz w:val="24"/>
          <w:szCs w:val="24"/>
        </w:rPr>
        <w:t>Access to well-equipped laboratories, farm facilities, diverse animal herds, and specialized equipment allows for hands-on experiences that strengthen reflection and practical performance (Calsamiglia &amp; Loviglio, 2020; Lazaro &amp; Paglinawan, 2025).</w:t>
      </w:r>
      <w:r>
        <w:rPr>
          <w:rFonts w:ascii="Times New Roman" w:hAnsi="Times New Roman" w:cs="Times New Roman"/>
          <w:sz w:val="24"/>
          <w:szCs w:val="24"/>
        </w:rPr>
        <w:t xml:space="preserve"> </w:t>
      </w:r>
      <w:r w:rsidRPr="00C70A73">
        <w:rPr>
          <w:rFonts w:ascii="Times New Roman" w:hAnsi="Times New Roman" w:cs="Times New Roman"/>
          <w:sz w:val="24"/>
          <w:szCs w:val="24"/>
        </w:rPr>
        <w:t xml:space="preserve">Digital resources further support agricultural education by offering flexible, autonomous learning through online databases, academic journals, and e-books, fostering inquiry-based learning and keeping students updated (Kasymaliev et al., 2023; Gisip et al., 2024; Odili et al., 2020; Balachandran &amp; Mahalakshmi, 2023). </w:t>
      </w:r>
      <w:r>
        <w:rPr>
          <w:rFonts w:ascii="Times New Roman" w:hAnsi="Times New Roman" w:cs="Times New Roman"/>
          <w:sz w:val="24"/>
          <w:szCs w:val="24"/>
        </w:rPr>
        <w:t xml:space="preserve">Additionally, </w:t>
      </w:r>
      <w:r w:rsidRPr="00C70A73">
        <w:rPr>
          <w:rFonts w:ascii="Times New Roman" w:hAnsi="Times New Roman" w:cs="Times New Roman"/>
          <w:sz w:val="24"/>
          <w:szCs w:val="24"/>
        </w:rPr>
        <w:t>mentorship from instructors and professionals, enhance</w:t>
      </w:r>
      <w:r>
        <w:rPr>
          <w:rFonts w:ascii="Times New Roman" w:hAnsi="Times New Roman" w:cs="Times New Roman"/>
          <w:sz w:val="24"/>
          <w:szCs w:val="24"/>
        </w:rPr>
        <w:t xml:space="preserve"> students</w:t>
      </w:r>
      <w:r w:rsidRPr="00C70A73">
        <w:rPr>
          <w:rFonts w:ascii="Times New Roman" w:hAnsi="Times New Roman" w:cs="Times New Roman"/>
          <w:sz w:val="24"/>
          <w:szCs w:val="24"/>
        </w:rPr>
        <w:t xml:space="preserve"> technical skills, guide academic and career decisions, and ensure safety in fieldwork, contributing to overall student </w:t>
      </w:r>
      <w:r>
        <w:rPr>
          <w:rFonts w:ascii="Times New Roman" w:hAnsi="Times New Roman" w:cs="Times New Roman"/>
          <w:sz w:val="24"/>
          <w:szCs w:val="24"/>
        </w:rPr>
        <w:t>performance</w:t>
      </w:r>
      <w:r w:rsidRPr="00C70A73">
        <w:rPr>
          <w:rFonts w:ascii="Times New Roman" w:hAnsi="Times New Roman" w:cs="Times New Roman"/>
          <w:sz w:val="24"/>
          <w:szCs w:val="24"/>
        </w:rPr>
        <w:t xml:space="preserve"> (Erickson &amp; Wattiaux, 2021</w:t>
      </w:r>
      <w:proofErr w:type="gramStart"/>
      <w:r w:rsidRPr="00C70A73">
        <w:rPr>
          <w:rFonts w:ascii="Times New Roman" w:hAnsi="Times New Roman" w:cs="Times New Roman"/>
          <w:sz w:val="24"/>
          <w:szCs w:val="24"/>
        </w:rPr>
        <w:t>;Pommerening</w:t>
      </w:r>
      <w:proofErr w:type="gramEnd"/>
      <w:r w:rsidRPr="00C70A73">
        <w:rPr>
          <w:rFonts w:ascii="Times New Roman" w:hAnsi="Times New Roman" w:cs="Times New Roman"/>
          <w:sz w:val="24"/>
          <w:szCs w:val="24"/>
        </w:rPr>
        <w:t>, 2021; Wang, 2024; Mara &amp; Morar, 2024).</w:t>
      </w:r>
    </w:p>
    <w:p w14:paraId="4ED25942" w14:textId="78C88D6A" w:rsidR="00C84299" w:rsidRPr="00C84299" w:rsidRDefault="00C84299" w:rsidP="00C84299">
      <w:pPr>
        <w:jc w:val="both"/>
        <w:rPr>
          <w:rFonts w:ascii="Times New Roman" w:eastAsia="Arial" w:hAnsi="Times New Roman" w:cs="Times New Roman"/>
          <w:sz w:val="24"/>
          <w:szCs w:val="24"/>
        </w:rPr>
      </w:pPr>
      <w:r w:rsidRPr="00C84299">
        <w:rPr>
          <w:rFonts w:ascii="Times New Roman" w:eastAsia="Arial" w:hAnsi="Times New Roman" w:cs="Times New Roman"/>
          <w:sz w:val="24"/>
          <w:szCs w:val="24"/>
        </w:rPr>
        <w:t xml:space="preserve">Student attitudes towards agriculture involve the dispositions, beliefs, and mindsets that students hold specifically concerning engagement, perseverance, and field work performance in animal and dairy sciences (Erickson et al., 2021). Grounded in constructivism, positive attitudes foster an environment conducive to active knowledge construction and reflection within an agricultural context. Key attitudes include motivation for agricultural pursuits, self-efficacy in agricultural tasks, </w:t>
      </w:r>
      <w:proofErr w:type="gramStart"/>
      <w:r w:rsidRPr="00C84299">
        <w:rPr>
          <w:rFonts w:ascii="Times New Roman" w:eastAsia="Arial" w:hAnsi="Times New Roman" w:cs="Times New Roman"/>
          <w:sz w:val="24"/>
          <w:szCs w:val="24"/>
        </w:rPr>
        <w:t>a</w:t>
      </w:r>
      <w:proofErr w:type="gramEnd"/>
      <w:r w:rsidRPr="00C84299">
        <w:rPr>
          <w:rFonts w:ascii="Times New Roman" w:eastAsia="Arial" w:hAnsi="Times New Roman" w:cs="Times New Roman"/>
          <w:sz w:val="24"/>
          <w:szCs w:val="24"/>
        </w:rPr>
        <w:t xml:space="preserve"> willingness to engage in hands-on farm activities, openness to new agricultural technologies and practices, and perseverance in the face of challenges inherent in agricultural work. </w:t>
      </w:r>
    </w:p>
    <w:p w14:paraId="0C3322B5" w14:textId="4D38C706" w:rsidR="00C84299" w:rsidRPr="00480BB2" w:rsidRDefault="00C84299" w:rsidP="00480BB2">
      <w:pPr>
        <w:pStyle w:val="NoSpacing"/>
        <w:spacing w:before="240" w:after="240"/>
        <w:jc w:val="both"/>
        <w:rPr>
          <w:rFonts w:ascii="Times New Roman" w:hAnsi="Times New Roman" w:cs="Times New Roman"/>
          <w:sz w:val="24"/>
          <w:szCs w:val="24"/>
          <w:lang w:val="en-PH"/>
        </w:rPr>
      </w:pPr>
      <w:r w:rsidRPr="00C84299">
        <w:rPr>
          <w:rFonts w:ascii="Times New Roman" w:eastAsia="Arial" w:hAnsi="Times New Roman" w:cs="Times New Roman"/>
          <w:sz w:val="24"/>
          <w:szCs w:val="24"/>
        </w:rPr>
        <w:t>These variables do not operate independently but interact dynamically within the constructivist learning environment, reinforcing each other in improving students’ fieldwork performance, particularly in Animal and Dairy Science programs. In essence, the three variables: instructional approaches, appropriate resources, and student attitudes towards agriculture collectively contribute to the fieldwork performance of students that supports the development of knowledge, skills, and attitudes needed in preparation for career opportunities in the animal and dairy science industry (Ragland et al., 2023). This dynamic interplay forms the foundation for cultivating expertise among Animal and Dairy Sciences students.</w:t>
      </w:r>
      <w:r w:rsidR="00480BB2">
        <w:rPr>
          <w:rFonts w:ascii="Times New Roman" w:eastAsia="Arial" w:hAnsi="Times New Roman" w:cs="Times New Roman"/>
          <w:sz w:val="24"/>
          <w:szCs w:val="24"/>
        </w:rPr>
        <w:t xml:space="preserve"> </w:t>
      </w:r>
      <w:r w:rsidR="00480BB2">
        <w:rPr>
          <w:rFonts w:ascii="Times New Roman" w:hAnsi="Times New Roman" w:cs="Times New Roman"/>
          <w:sz w:val="24"/>
          <w:szCs w:val="24"/>
          <w:lang w:val="en-PH"/>
        </w:rPr>
        <w:t xml:space="preserve">In this context, the present study aims to determine the influence of  </w:t>
      </w:r>
      <w:r w:rsidR="00480BB2" w:rsidRPr="00083E78">
        <w:rPr>
          <w:rFonts w:ascii="Times New Roman" w:hAnsi="Times New Roman" w:cs="Times New Roman"/>
          <w:color w:val="000000"/>
          <w:sz w:val="24"/>
          <w:szCs w:val="24"/>
          <w:lang w:val="en-PH"/>
        </w:rPr>
        <w:t>instructional approaches,  appropriate resources, and student</w:t>
      </w:r>
      <w:r w:rsidR="00480BB2" w:rsidRPr="00083E78">
        <w:rPr>
          <w:rFonts w:ascii="Times New Roman" w:hAnsi="Times New Roman" w:cs="Times New Roman"/>
          <w:b/>
          <w:sz w:val="24"/>
          <w:szCs w:val="24"/>
          <w:lang w:val="en-PH"/>
        </w:rPr>
        <w:t xml:space="preserve"> </w:t>
      </w:r>
      <w:r w:rsidR="00480BB2" w:rsidRPr="00083E78">
        <w:rPr>
          <w:rFonts w:ascii="Times New Roman" w:hAnsi="Times New Roman" w:cs="Times New Roman"/>
          <w:sz w:val="24"/>
          <w:szCs w:val="24"/>
          <w:lang w:val="en-PH"/>
        </w:rPr>
        <w:t>attitudes towards agriculture</w:t>
      </w:r>
      <w:r w:rsidR="00480BB2">
        <w:rPr>
          <w:rFonts w:ascii="Times New Roman" w:hAnsi="Times New Roman" w:cs="Times New Roman"/>
          <w:sz w:val="24"/>
          <w:szCs w:val="24"/>
          <w:lang w:val="en-PH"/>
        </w:rPr>
        <w:t xml:space="preserve"> on students fieldwork performance in Animal and Dairy Science by (1) assessing students’ perceptions of their instructors instructional approaches, (2) determining the extent use of appropriate resources, (3) evaluating students attitude towards agriculture, identifying students’ fieldwork performance, and (4)analyzing the significantly influence of these factors to students’ fieldwork performance.</w:t>
      </w:r>
    </w:p>
    <w:p w14:paraId="37901544" w14:textId="4144EC89" w:rsidR="00655A7E" w:rsidRPr="00D96D34" w:rsidRDefault="00714E81" w:rsidP="00F445BD">
      <w:pPr>
        <w:rPr>
          <w:rFonts w:ascii="Times New Roman" w:hAnsi="Times New Roman" w:cs="Times New Roman"/>
          <w:b/>
          <w:sz w:val="28"/>
          <w:szCs w:val="28"/>
        </w:rPr>
      </w:pPr>
      <w:r w:rsidRPr="00D96D34">
        <w:rPr>
          <w:rFonts w:ascii="Times New Roman" w:hAnsi="Times New Roman" w:cs="Times New Roman"/>
          <w:b/>
          <w:sz w:val="28"/>
          <w:szCs w:val="28"/>
        </w:rPr>
        <w:t>METHODOLOGY</w:t>
      </w:r>
    </w:p>
    <w:p w14:paraId="2A189A59" w14:textId="2995A46B" w:rsidR="00D96D34" w:rsidRPr="00714E81" w:rsidRDefault="00D96D34" w:rsidP="00714E81">
      <w:pPr>
        <w:rPr>
          <w:rFonts w:ascii="Times New Roman" w:hAnsi="Times New Roman" w:cs="Times New Roman"/>
          <w:b/>
          <w:sz w:val="24"/>
        </w:rPr>
      </w:pPr>
      <w:r>
        <w:rPr>
          <w:rFonts w:ascii="Times New Roman" w:hAnsi="Times New Roman" w:cs="Times New Roman"/>
          <w:b/>
          <w:sz w:val="24"/>
        </w:rPr>
        <w:t>Research Design</w:t>
      </w:r>
    </w:p>
    <w:p w14:paraId="4B366CD9" w14:textId="6E2652F0" w:rsidR="00D96D34" w:rsidRDefault="00B228A4" w:rsidP="00C70A73">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 xml:space="preserve">A descriptive-correlational design was employed to examine the interplay of instructional approaches, </w:t>
      </w:r>
      <w:r w:rsidR="00C652B9">
        <w:rPr>
          <w:rFonts w:ascii="Times New Roman" w:hAnsi="Times New Roman" w:cs="Times New Roman"/>
          <w:bCs/>
          <w:sz w:val="24"/>
          <w:szCs w:val="24"/>
        </w:rPr>
        <w:t xml:space="preserve">appropriate </w:t>
      </w:r>
      <w:r w:rsidRPr="00C70A73">
        <w:rPr>
          <w:rFonts w:ascii="Times New Roman" w:hAnsi="Times New Roman" w:cs="Times New Roman"/>
          <w:bCs/>
          <w:sz w:val="24"/>
          <w:szCs w:val="24"/>
        </w:rPr>
        <w:t>resources, attitud</w:t>
      </w:r>
      <w:r w:rsidR="00C652B9">
        <w:rPr>
          <w:rFonts w:ascii="Times New Roman" w:hAnsi="Times New Roman" w:cs="Times New Roman"/>
          <w:bCs/>
          <w:sz w:val="24"/>
          <w:szCs w:val="24"/>
        </w:rPr>
        <w:t>e towards agriculture</w:t>
      </w:r>
      <w:r w:rsidRPr="00C70A73">
        <w:rPr>
          <w:rFonts w:ascii="Times New Roman" w:hAnsi="Times New Roman" w:cs="Times New Roman"/>
          <w:bCs/>
          <w:sz w:val="24"/>
          <w:szCs w:val="24"/>
        </w:rPr>
        <w:t xml:space="preserve">, and fieldwork performance (Creswell, 2014). </w:t>
      </w:r>
      <w:r w:rsidR="00D96D34" w:rsidRPr="00D96D34">
        <w:rPr>
          <w:rFonts w:ascii="Times New Roman" w:hAnsi="Times New Roman" w:cs="Times New Roman"/>
          <w:bCs/>
          <w:sz w:val="24"/>
          <w:szCs w:val="24"/>
        </w:rPr>
        <w:t>This design enabled the researcher to investigate the strength and direction of correlations without manipulating variables. These factors potentially interact within the educational settings (Creswell, 2014).  Although correlations do not establish causality, this research design provided a valuable initial step in understanding these complex relationships in education.</w:t>
      </w:r>
    </w:p>
    <w:p w14:paraId="05F86B11" w14:textId="383A6147" w:rsidR="00D96D34" w:rsidRDefault="007F21A6" w:rsidP="00C70A73">
      <w:pPr>
        <w:pStyle w:val="NoSpacing"/>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Research Locale</w:t>
      </w:r>
    </w:p>
    <w:p w14:paraId="32B2C44D" w14:textId="49F2300B" w:rsidR="007F21A6" w:rsidRDefault="007F21A6" w:rsidP="00C70A73">
      <w:pPr>
        <w:pStyle w:val="NoSpacing"/>
        <w:spacing w:before="240" w:after="240"/>
        <w:jc w:val="both"/>
        <w:rPr>
          <w:rFonts w:ascii="Times New Roman" w:hAnsi="Times New Roman" w:cs="Times New Roman"/>
          <w:bCs/>
          <w:sz w:val="24"/>
          <w:szCs w:val="24"/>
        </w:rPr>
      </w:pPr>
      <w:r>
        <w:rPr>
          <w:rFonts w:ascii="Times New Roman" w:hAnsi="Times New Roman" w:cs="Times New Roman"/>
          <w:bCs/>
          <w:sz w:val="24"/>
          <w:szCs w:val="24"/>
        </w:rPr>
        <w:t>The study was conducted in a Higher Education Institution in Northern Mindanao, Philippines, a region recognized for its strong agricultural production and contribution to national economy. This setting was selected due to its relevance to Animal and Dairy Science education and emphasis on laboratory based instruction.</w:t>
      </w:r>
    </w:p>
    <w:p w14:paraId="6B29E126" w14:textId="31B1298C" w:rsidR="007F21A6" w:rsidRPr="007F21A6" w:rsidRDefault="007F21A6" w:rsidP="00C70A73">
      <w:pPr>
        <w:pStyle w:val="NoSpacing"/>
        <w:spacing w:before="240" w:after="240"/>
        <w:jc w:val="both"/>
        <w:rPr>
          <w:rFonts w:ascii="Times New Roman" w:hAnsi="Times New Roman" w:cs="Times New Roman"/>
          <w:b/>
          <w:bCs/>
          <w:sz w:val="24"/>
          <w:szCs w:val="24"/>
        </w:rPr>
      </w:pPr>
      <w:r w:rsidRPr="007F21A6">
        <w:rPr>
          <w:rFonts w:ascii="Times New Roman" w:hAnsi="Times New Roman" w:cs="Times New Roman"/>
          <w:b/>
          <w:bCs/>
          <w:sz w:val="24"/>
          <w:szCs w:val="24"/>
        </w:rPr>
        <w:t>Participants of the Study</w:t>
      </w:r>
    </w:p>
    <w:p w14:paraId="707B18E9" w14:textId="0A3E1A0F" w:rsidR="007F21A6" w:rsidRDefault="00D96D34" w:rsidP="00FD677B">
      <w:pPr>
        <w:spacing w:before="240" w:after="240" w:line="240" w:lineRule="auto"/>
        <w:jc w:val="both"/>
        <w:rPr>
          <w:rFonts w:ascii="Times New Roman" w:hAnsi="Times New Roman" w:cs="Times New Roman"/>
          <w:sz w:val="24"/>
          <w:szCs w:val="24"/>
        </w:rPr>
      </w:pPr>
      <w:r w:rsidRPr="00D96D34">
        <w:rPr>
          <w:rFonts w:ascii="Times New Roman" w:hAnsi="Times New Roman" w:cs="Times New Roman"/>
          <w:sz w:val="24"/>
          <w:szCs w:val="24"/>
        </w:rPr>
        <w:t xml:space="preserve">This study involved 230 students of the Bachelor of Science in Agriculture major in Animal and Dairy Science courses </w:t>
      </w:r>
      <w:r w:rsidR="007F21A6" w:rsidRPr="00D96D34">
        <w:rPr>
          <w:rFonts w:ascii="Times New Roman" w:hAnsi="Times New Roman" w:cs="Times New Roman"/>
          <w:sz w:val="24"/>
          <w:szCs w:val="24"/>
        </w:rPr>
        <w:t>enrolled in the 1</w:t>
      </w:r>
      <w:r w:rsidR="007F21A6" w:rsidRPr="00D96D34">
        <w:rPr>
          <w:rFonts w:ascii="Times New Roman" w:hAnsi="Times New Roman" w:cs="Times New Roman"/>
          <w:sz w:val="24"/>
          <w:szCs w:val="24"/>
          <w:vertAlign w:val="superscript"/>
        </w:rPr>
        <w:t>st</w:t>
      </w:r>
      <w:r w:rsidR="007F21A6" w:rsidRPr="00D96D34">
        <w:rPr>
          <w:rFonts w:ascii="Times New Roman" w:hAnsi="Times New Roman" w:cs="Times New Roman"/>
          <w:sz w:val="24"/>
          <w:szCs w:val="24"/>
        </w:rPr>
        <w:t xml:space="preserve"> Semester of the Academic Year 2025-2026</w:t>
      </w:r>
      <w:r w:rsidR="007F21A6">
        <w:rPr>
          <w:rFonts w:ascii="Times New Roman" w:hAnsi="Times New Roman" w:cs="Times New Roman"/>
          <w:sz w:val="24"/>
          <w:szCs w:val="24"/>
        </w:rPr>
        <w:t xml:space="preserve">. </w:t>
      </w:r>
      <w:r w:rsidRPr="00D96D34">
        <w:rPr>
          <w:rFonts w:ascii="Times New Roman" w:hAnsi="Times New Roman" w:cs="Times New Roman"/>
          <w:sz w:val="24"/>
          <w:szCs w:val="24"/>
        </w:rPr>
        <w:t xml:space="preserve">Total enumeration was </w:t>
      </w:r>
      <w:r w:rsidR="007F21A6">
        <w:rPr>
          <w:rFonts w:ascii="Times New Roman" w:hAnsi="Times New Roman" w:cs="Times New Roman"/>
          <w:sz w:val="24"/>
          <w:szCs w:val="24"/>
        </w:rPr>
        <w:t>employed in the study wherein eligible students were included to ensure comprehensive representation of the targeted population.</w:t>
      </w:r>
    </w:p>
    <w:p w14:paraId="3213CC21" w14:textId="3D3CE6A6" w:rsidR="007F21A6" w:rsidRPr="007F21A6" w:rsidRDefault="007F21A6" w:rsidP="00FD677B">
      <w:pPr>
        <w:spacing w:before="240" w:after="240" w:line="240" w:lineRule="auto"/>
        <w:jc w:val="both"/>
        <w:rPr>
          <w:rFonts w:ascii="Times New Roman" w:hAnsi="Times New Roman" w:cs="Times New Roman"/>
          <w:b/>
          <w:sz w:val="24"/>
          <w:szCs w:val="24"/>
        </w:rPr>
      </w:pPr>
      <w:r w:rsidRPr="007F21A6">
        <w:rPr>
          <w:rFonts w:ascii="Times New Roman" w:hAnsi="Times New Roman" w:cs="Times New Roman"/>
          <w:b/>
          <w:sz w:val="24"/>
          <w:szCs w:val="24"/>
        </w:rPr>
        <w:t>Research Instrument</w:t>
      </w:r>
    </w:p>
    <w:p w14:paraId="0B92F8E6" w14:textId="790DA3D7" w:rsidR="007F21A6" w:rsidRDefault="007F21A6" w:rsidP="007F21A6">
      <w:pPr>
        <w:spacing w:before="240" w:after="24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T</w:t>
      </w:r>
      <w:r w:rsidRPr="00C70A73">
        <w:rPr>
          <w:rFonts w:ascii="Times New Roman" w:hAnsi="Times New Roman" w:cs="Times New Roman"/>
          <w:bCs/>
          <w:sz w:val="24"/>
          <w:szCs w:val="24"/>
        </w:rPr>
        <w:t xml:space="preserve">he </w:t>
      </w:r>
      <w:r w:rsidRPr="00C652B9">
        <w:rPr>
          <w:rStyle w:val="bzpyqfadein"/>
          <w:rFonts w:ascii="Times New Roman" w:hAnsi="Times New Roman" w:cs="Times New Roman"/>
          <w:sz w:val="24"/>
        </w:rPr>
        <w:t>researcher-developed questionnaire</w:t>
      </w:r>
      <w:r>
        <w:rPr>
          <w:rStyle w:val="bzpyqfadein"/>
          <w:rFonts w:ascii="Times New Roman" w:hAnsi="Times New Roman" w:cs="Times New Roman"/>
          <w:sz w:val="24"/>
        </w:rPr>
        <w:t xml:space="preserve"> to collect the data.</w:t>
      </w:r>
      <w:proofErr w:type="gramEnd"/>
      <w:r>
        <w:rPr>
          <w:rStyle w:val="bzpyqfadein"/>
          <w:rFonts w:ascii="Times New Roman" w:hAnsi="Times New Roman" w:cs="Times New Roman"/>
          <w:sz w:val="24"/>
        </w:rPr>
        <w:t xml:space="preserve"> This underwent to content validation by experts and a p</w:t>
      </w:r>
      <w:r w:rsidRPr="00C70A73">
        <w:rPr>
          <w:rFonts w:ascii="Times New Roman" w:hAnsi="Times New Roman" w:cs="Times New Roman"/>
          <w:bCs/>
          <w:sz w:val="24"/>
          <w:szCs w:val="24"/>
        </w:rPr>
        <w:t xml:space="preserve">ilot test </w:t>
      </w:r>
      <w:r>
        <w:rPr>
          <w:rFonts w:ascii="Times New Roman" w:hAnsi="Times New Roman" w:cs="Times New Roman"/>
          <w:bCs/>
          <w:sz w:val="24"/>
          <w:szCs w:val="24"/>
        </w:rPr>
        <w:t xml:space="preserve">was administered to </w:t>
      </w:r>
      <w:r w:rsidRPr="00C70A73">
        <w:rPr>
          <w:rFonts w:ascii="Times New Roman" w:hAnsi="Times New Roman" w:cs="Times New Roman"/>
          <w:bCs/>
          <w:sz w:val="24"/>
          <w:szCs w:val="24"/>
        </w:rPr>
        <w:t xml:space="preserve">assessed the clarity, relevance, and reliability </w:t>
      </w:r>
      <w:proofErr w:type="gramStart"/>
      <w:r w:rsidRPr="00C70A73">
        <w:rPr>
          <w:rFonts w:ascii="Times New Roman" w:hAnsi="Times New Roman" w:cs="Times New Roman"/>
          <w:bCs/>
          <w:sz w:val="24"/>
          <w:szCs w:val="24"/>
        </w:rPr>
        <w:t xml:space="preserve">of </w:t>
      </w:r>
      <w:r>
        <w:rPr>
          <w:rFonts w:ascii="Times New Roman" w:hAnsi="Times New Roman" w:cs="Times New Roman"/>
          <w:bCs/>
          <w:sz w:val="24"/>
          <w:szCs w:val="24"/>
        </w:rPr>
        <w:t xml:space="preserve"> </w:t>
      </w:r>
      <w:r>
        <w:rPr>
          <w:rStyle w:val="bzpyqfadein"/>
          <w:rFonts w:ascii="Times New Roman" w:hAnsi="Times New Roman" w:cs="Times New Roman"/>
          <w:sz w:val="24"/>
        </w:rPr>
        <w:t>instrument</w:t>
      </w:r>
      <w:proofErr w:type="gramEnd"/>
      <w:r>
        <w:rPr>
          <w:rStyle w:val="bzpyqfadein"/>
          <w:rFonts w:ascii="Times New Roman" w:hAnsi="Times New Roman" w:cs="Times New Roman"/>
          <w:sz w:val="24"/>
        </w:rPr>
        <w:t xml:space="preserve">, consisting of four (4) sections: </w:t>
      </w:r>
      <w:r w:rsidRPr="00C70A73">
        <w:rPr>
          <w:rFonts w:ascii="Times New Roman" w:hAnsi="Times New Roman" w:cs="Times New Roman"/>
          <w:bCs/>
          <w:sz w:val="24"/>
          <w:szCs w:val="24"/>
        </w:rPr>
        <w:t>Instructional Approaches</w:t>
      </w:r>
      <w:r>
        <w:rPr>
          <w:rFonts w:ascii="Times New Roman" w:hAnsi="Times New Roman" w:cs="Times New Roman"/>
          <w:bCs/>
          <w:sz w:val="24"/>
          <w:szCs w:val="24"/>
        </w:rPr>
        <w:t xml:space="preserve"> (</w:t>
      </w:r>
      <w:r w:rsidRPr="00C70A73">
        <w:rPr>
          <w:rFonts w:ascii="Times New Roman" w:hAnsi="Times New Roman" w:cs="Times New Roman"/>
          <w:bCs/>
          <w:sz w:val="24"/>
          <w:szCs w:val="24"/>
        </w:rPr>
        <w:t>10 items</w:t>
      </w:r>
      <w:r>
        <w:rPr>
          <w:rFonts w:ascii="Times New Roman" w:hAnsi="Times New Roman" w:cs="Times New Roman"/>
          <w:bCs/>
          <w:sz w:val="24"/>
          <w:szCs w:val="24"/>
        </w:rPr>
        <w:t>),</w:t>
      </w:r>
      <w:r w:rsidRPr="00C70A73">
        <w:rPr>
          <w:rFonts w:ascii="Times New Roman" w:hAnsi="Times New Roman" w:cs="Times New Roman"/>
          <w:bCs/>
          <w:sz w:val="24"/>
          <w:szCs w:val="24"/>
        </w:rPr>
        <w:t xml:space="preserve"> Use of Appropriate Resources</w:t>
      </w:r>
      <w:r>
        <w:rPr>
          <w:rFonts w:ascii="Times New Roman" w:hAnsi="Times New Roman" w:cs="Times New Roman"/>
          <w:bCs/>
          <w:sz w:val="24"/>
          <w:szCs w:val="24"/>
        </w:rPr>
        <w:t xml:space="preserve"> (</w:t>
      </w:r>
      <w:r w:rsidRPr="00C70A73">
        <w:rPr>
          <w:rFonts w:ascii="Times New Roman" w:hAnsi="Times New Roman" w:cs="Times New Roman"/>
          <w:bCs/>
          <w:sz w:val="24"/>
          <w:szCs w:val="24"/>
        </w:rPr>
        <w:t>9 items</w:t>
      </w:r>
      <w:r>
        <w:rPr>
          <w:rFonts w:ascii="Times New Roman" w:hAnsi="Times New Roman" w:cs="Times New Roman"/>
          <w:bCs/>
          <w:sz w:val="24"/>
          <w:szCs w:val="24"/>
        </w:rPr>
        <w:t>)</w:t>
      </w:r>
      <w:r w:rsidRPr="00C70A73">
        <w:rPr>
          <w:rFonts w:ascii="Times New Roman" w:hAnsi="Times New Roman" w:cs="Times New Roman"/>
          <w:bCs/>
          <w:sz w:val="24"/>
          <w:szCs w:val="24"/>
        </w:rPr>
        <w:t>; Attitudes toward Agriculture</w:t>
      </w:r>
      <w:r>
        <w:rPr>
          <w:rFonts w:ascii="Times New Roman" w:hAnsi="Times New Roman" w:cs="Times New Roman"/>
          <w:bCs/>
          <w:sz w:val="24"/>
          <w:szCs w:val="24"/>
        </w:rPr>
        <w:t xml:space="preserve"> (</w:t>
      </w:r>
      <w:r w:rsidRPr="00C70A73">
        <w:rPr>
          <w:rFonts w:ascii="Times New Roman" w:hAnsi="Times New Roman" w:cs="Times New Roman"/>
          <w:bCs/>
          <w:sz w:val="24"/>
          <w:szCs w:val="24"/>
        </w:rPr>
        <w:t>6 items</w:t>
      </w:r>
      <w:r>
        <w:rPr>
          <w:rFonts w:ascii="Times New Roman" w:hAnsi="Times New Roman" w:cs="Times New Roman"/>
          <w:bCs/>
          <w:sz w:val="24"/>
          <w:szCs w:val="24"/>
        </w:rPr>
        <w:t>),</w:t>
      </w:r>
      <w:r w:rsidRPr="00C70A73">
        <w:rPr>
          <w:rFonts w:ascii="Times New Roman" w:hAnsi="Times New Roman" w:cs="Times New Roman"/>
          <w:bCs/>
          <w:sz w:val="24"/>
          <w:szCs w:val="24"/>
        </w:rPr>
        <w:t xml:space="preserve"> </w:t>
      </w:r>
      <w:r>
        <w:rPr>
          <w:rFonts w:ascii="Times New Roman" w:hAnsi="Times New Roman" w:cs="Times New Roman"/>
          <w:bCs/>
          <w:sz w:val="24"/>
          <w:szCs w:val="24"/>
        </w:rPr>
        <w:t xml:space="preserve">measured using the </w:t>
      </w:r>
      <w:r w:rsidRPr="00C70A73">
        <w:rPr>
          <w:rFonts w:ascii="Times New Roman" w:hAnsi="Times New Roman" w:cs="Times New Roman"/>
          <w:bCs/>
          <w:sz w:val="24"/>
          <w:szCs w:val="24"/>
        </w:rPr>
        <w:t>5-point Likert scale</w:t>
      </w:r>
      <w:r>
        <w:rPr>
          <w:rFonts w:ascii="Times New Roman" w:hAnsi="Times New Roman" w:cs="Times New Roman"/>
          <w:bCs/>
          <w:sz w:val="24"/>
          <w:szCs w:val="24"/>
        </w:rPr>
        <w:t xml:space="preserve">. </w:t>
      </w:r>
      <w:r w:rsidRPr="00C70A73">
        <w:rPr>
          <w:rFonts w:ascii="Times New Roman" w:hAnsi="Times New Roman" w:cs="Times New Roman"/>
          <w:bCs/>
          <w:sz w:val="24"/>
          <w:szCs w:val="24"/>
        </w:rPr>
        <w:t>Confirmatory Factor Analysis</w:t>
      </w:r>
      <w:r>
        <w:rPr>
          <w:rFonts w:ascii="Times New Roman" w:hAnsi="Times New Roman" w:cs="Times New Roman"/>
          <w:bCs/>
          <w:sz w:val="24"/>
          <w:szCs w:val="24"/>
        </w:rPr>
        <w:t xml:space="preserve"> (CFA) was perfomed to</w:t>
      </w:r>
      <w:r w:rsidRPr="00C70A73">
        <w:rPr>
          <w:rFonts w:ascii="Times New Roman" w:hAnsi="Times New Roman" w:cs="Times New Roman"/>
          <w:bCs/>
          <w:sz w:val="24"/>
          <w:szCs w:val="24"/>
        </w:rPr>
        <w:t xml:space="preserve"> </w:t>
      </w:r>
      <w:r w:rsidRPr="00DF1CEF">
        <w:rPr>
          <w:rFonts w:ascii="Times New Roman" w:hAnsi="Times New Roman" w:cs="Times New Roman"/>
          <w:sz w:val="24"/>
          <w:szCs w:val="24"/>
        </w:rPr>
        <w:t>establish</w:t>
      </w:r>
      <w:r>
        <w:rPr>
          <w:rFonts w:ascii="Times New Roman" w:hAnsi="Times New Roman" w:cs="Times New Roman"/>
          <w:sz w:val="24"/>
          <w:szCs w:val="24"/>
        </w:rPr>
        <w:t xml:space="preserve"> </w:t>
      </w:r>
      <w:r w:rsidRPr="00DF1CEF">
        <w:rPr>
          <w:rFonts w:ascii="Times New Roman" w:hAnsi="Times New Roman" w:cs="Times New Roman"/>
          <w:sz w:val="24"/>
          <w:szCs w:val="24"/>
        </w:rPr>
        <w:t>construct validit</w:t>
      </w:r>
      <w:r>
        <w:rPr>
          <w:rFonts w:ascii="Times New Roman" w:hAnsi="Times New Roman" w:cs="Times New Roman"/>
          <w:sz w:val="24"/>
          <w:szCs w:val="24"/>
        </w:rPr>
        <w:t xml:space="preserve">y, which indicated </w:t>
      </w:r>
      <w:r w:rsidRPr="00DF1CEF">
        <w:rPr>
          <w:rFonts w:ascii="Times New Roman" w:hAnsi="Times New Roman" w:cs="Times New Roman"/>
          <w:sz w:val="24"/>
          <w:szCs w:val="24"/>
        </w:rPr>
        <w:t>an acceptable model fit</w:t>
      </w:r>
      <w:r>
        <w:rPr>
          <w:rFonts w:ascii="Times New Roman" w:hAnsi="Times New Roman" w:cs="Times New Roman"/>
          <w:sz w:val="24"/>
          <w:szCs w:val="24"/>
        </w:rPr>
        <w:t xml:space="preserve">. Reliability testing using </w:t>
      </w:r>
      <w:r w:rsidRPr="00C70A73">
        <w:rPr>
          <w:rFonts w:ascii="Times New Roman" w:hAnsi="Times New Roman" w:cs="Times New Roman"/>
          <w:bCs/>
          <w:sz w:val="24"/>
          <w:szCs w:val="24"/>
        </w:rPr>
        <w:t xml:space="preserve">Cronbach’s alpha </w:t>
      </w:r>
      <w:r>
        <w:rPr>
          <w:rFonts w:ascii="Times New Roman" w:hAnsi="Times New Roman" w:cs="Times New Roman"/>
          <w:bCs/>
          <w:sz w:val="24"/>
          <w:szCs w:val="24"/>
        </w:rPr>
        <w:t>yielded a satisfactory internal consistency coefficients</w:t>
      </w:r>
      <w:r w:rsidRPr="00C70A73">
        <w:rPr>
          <w:rFonts w:ascii="Times New Roman" w:hAnsi="Times New Roman" w:cs="Times New Roman"/>
          <w:bCs/>
          <w:sz w:val="24"/>
          <w:szCs w:val="24"/>
        </w:rPr>
        <w:t xml:space="preserve"> </w:t>
      </w:r>
      <w:r>
        <w:rPr>
          <w:rFonts w:ascii="Times New Roman" w:hAnsi="Times New Roman" w:cs="Times New Roman"/>
          <w:bCs/>
          <w:sz w:val="24"/>
          <w:szCs w:val="24"/>
        </w:rPr>
        <w:t xml:space="preserve">for </w:t>
      </w:r>
      <w:r w:rsidRPr="00C70A73">
        <w:rPr>
          <w:rFonts w:ascii="Times New Roman" w:hAnsi="Times New Roman" w:cs="Times New Roman"/>
          <w:bCs/>
          <w:sz w:val="24"/>
          <w:szCs w:val="24"/>
        </w:rPr>
        <w:t>I</w:t>
      </w:r>
      <w:r>
        <w:rPr>
          <w:rFonts w:ascii="Times New Roman" w:hAnsi="Times New Roman" w:cs="Times New Roman"/>
          <w:bCs/>
          <w:sz w:val="24"/>
          <w:szCs w:val="24"/>
        </w:rPr>
        <w:t xml:space="preserve">nstructionl </w:t>
      </w:r>
      <w:r w:rsidRPr="00D96D34">
        <w:rPr>
          <w:rFonts w:ascii="Times New Roman" w:hAnsi="Times New Roman" w:cs="Times New Roman"/>
          <w:bCs/>
          <w:sz w:val="24"/>
          <w:szCs w:val="24"/>
        </w:rPr>
        <w:t>Approaches (</w:t>
      </w:r>
      <w:r w:rsidRPr="00D96D34">
        <w:rPr>
          <w:rFonts w:ascii="Times New Roman" w:hAnsi="Times New Roman" w:cs="Times New Roman"/>
          <w:sz w:val="24"/>
          <w:szCs w:val="24"/>
        </w:rPr>
        <w:t xml:space="preserve">α= </w:t>
      </w:r>
      <w:r w:rsidRPr="00D96D34">
        <w:rPr>
          <w:rFonts w:ascii="Times New Roman" w:hAnsi="Times New Roman" w:cs="Times New Roman"/>
          <w:bCs/>
          <w:sz w:val="24"/>
          <w:szCs w:val="24"/>
        </w:rPr>
        <w:t>0.887), Appropriate Resources (</w:t>
      </w:r>
      <w:r w:rsidRPr="00D96D34">
        <w:rPr>
          <w:rFonts w:ascii="Times New Roman" w:hAnsi="Times New Roman" w:cs="Times New Roman"/>
          <w:sz w:val="24"/>
          <w:szCs w:val="24"/>
        </w:rPr>
        <w:t>α</w:t>
      </w:r>
      <w:r w:rsidRPr="00D96D34">
        <w:rPr>
          <w:rFonts w:ascii="Times New Roman" w:hAnsi="Times New Roman" w:cs="Times New Roman"/>
          <w:bCs/>
          <w:sz w:val="24"/>
          <w:szCs w:val="24"/>
        </w:rPr>
        <w:t xml:space="preserve">= 0.854), Attitudes toward </w:t>
      </w:r>
      <w:proofErr w:type="gramStart"/>
      <w:r w:rsidRPr="00D96D34">
        <w:rPr>
          <w:rFonts w:ascii="Times New Roman" w:hAnsi="Times New Roman" w:cs="Times New Roman"/>
          <w:bCs/>
          <w:sz w:val="24"/>
          <w:szCs w:val="24"/>
        </w:rPr>
        <w:t>Agriculture  (</w:t>
      </w:r>
      <w:proofErr w:type="gramEnd"/>
      <w:r w:rsidRPr="00D96D34">
        <w:rPr>
          <w:rFonts w:ascii="Times New Roman" w:hAnsi="Times New Roman" w:cs="Times New Roman"/>
          <w:sz w:val="24"/>
          <w:szCs w:val="24"/>
        </w:rPr>
        <w:t>α</w:t>
      </w:r>
      <w:r w:rsidRPr="00D96D34">
        <w:rPr>
          <w:rFonts w:ascii="Times New Roman" w:hAnsi="Times New Roman" w:cs="Times New Roman"/>
          <w:bCs/>
          <w:sz w:val="24"/>
          <w:szCs w:val="24"/>
        </w:rPr>
        <w:t>= 0.847).</w:t>
      </w:r>
    </w:p>
    <w:p w14:paraId="637BB34B" w14:textId="3A51E62D" w:rsidR="00D96D34" w:rsidRPr="007F21A6" w:rsidRDefault="007F21A6" w:rsidP="00FD677B">
      <w:pPr>
        <w:spacing w:before="240" w:after="240" w:line="240" w:lineRule="auto"/>
        <w:jc w:val="both"/>
        <w:rPr>
          <w:rFonts w:ascii="Times New Roman" w:hAnsi="Times New Roman" w:cs="Times New Roman"/>
          <w:b/>
          <w:bCs/>
          <w:sz w:val="24"/>
          <w:szCs w:val="24"/>
        </w:rPr>
      </w:pPr>
      <w:r w:rsidRPr="007F21A6">
        <w:rPr>
          <w:rFonts w:ascii="Times New Roman" w:hAnsi="Times New Roman" w:cs="Times New Roman"/>
          <w:b/>
          <w:bCs/>
          <w:sz w:val="24"/>
          <w:szCs w:val="24"/>
        </w:rPr>
        <w:t>Scoring Procedure</w:t>
      </w:r>
    </w:p>
    <w:p w14:paraId="2B33A4DF" w14:textId="2FA77189" w:rsidR="009A154A" w:rsidRPr="009A154A" w:rsidRDefault="009A154A" w:rsidP="009A154A">
      <w:pPr>
        <w:spacing w:before="240" w:after="24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The data were analyzed and interpreted using the following rating scales:</w:t>
      </w:r>
      <w:bookmarkStart w:id="2" w:name="_Hlk224602677"/>
      <w:r>
        <w:rPr>
          <w:rFonts w:ascii="Times New Roman" w:hAnsi="Times New Roman" w:cs="Times New Roman"/>
          <w:bCs/>
          <w:sz w:val="24"/>
          <w:szCs w:val="24"/>
        </w:rPr>
        <w:t xml:space="preserve"> </w:t>
      </w:r>
      <w:r w:rsidRPr="009A154A">
        <w:rPr>
          <w:rFonts w:ascii="Times New Roman" w:hAnsi="Times New Roman" w:cs="Times New Roman"/>
          <w:bCs/>
          <w:sz w:val="24"/>
          <w:szCs w:val="24"/>
        </w:rPr>
        <w:t xml:space="preserve">For the Instructional Approaches, Appropriate Resources and Attitude </w:t>
      </w:r>
      <w:proofErr w:type="gramStart"/>
      <w:r w:rsidRPr="009A154A">
        <w:rPr>
          <w:rFonts w:ascii="Times New Roman" w:hAnsi="Times New Roman" w:cs="Times New Roman"/>
          <w:bCs/>
          <w:sz w:val="24"/>
          <w:szCs w:val="24"/>
        </w:rPr>
        <w:t>Towards</w:t>
      </w:r>
      <w:proofErr w:type="gramEnd"/>
      <w:r w:rsidRPr="009A154A">
        <w:rPr>
          <w:rFonts w:ascii="Times New Roman" w:hAnsi="Times New Roman" w:cs="Times New Roman"/>
          <w:bCs/>
          <w:sz w:val="24"/>
          <w:szCs w:val="24"/>
        </w:rPr>
        <w:t xml:space="preserve"> Agriculture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4139"/>
        <w:gridCol w:w="3248"/>
      </w:tblGrid>
      <w:tr w:rsidR="009A154A" w:rsidRPr="009A154A" w14:paraId="6C0ED66B" w14:textId="77777777" w:rsidTr="009A154A">
        <w:trPr>
          <w:trHeight w:val="513"/>
        </w:trPr>
        <w:tc>
          <w:tcPr>
            <w:tcW w:w="3249" w:type="dxa"/>
          </w:tcPr>
          <w:p w14:paraId="7748D267"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
                <w:bCs/>
                <w:sz w:val="24"/>
                <w:szCs w:val="24"/>
              </w:rPr>
              <w:t>Range</w:t>
            </w:r>
          </w:p>
        </w:tc>
        <w:tc>
          <w:tcPr>
            <w:tcW w:w="4139" w:type="dxa"/>
          </w:tcPr>
          <w:p w14:paraId="3FBCBFFD"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
                <w:bCs/>
                <w:sz w:val="24"/>
                <w:szCs w:val="24"/>
              </w:rPr>
              <w:t>Description</w:t>
            </w:r>
          </w:p>
        </w:tc>
        <w:tc>
          <w:tcPr>
            <w:tcW w:w="3248" w:type="dxa"/>
          </w:tcPr>
          <w:p w14:paraId="471E2F71"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
                <w:bCs/>
                <w:sz w:val="24"/>
                <w:szCs w:val="24"/>
              </w:rPr>
              <w:t>Interpretation</w:t>
            </w:r>
          </w:p>
        </w:tc>
      </w:tr>
      <w:tr w:rsidR="009A154A" w:rsidRPr="009A154A" w14:paraId="2BD78FCB" w14:textId="77777777" w:rsidTr="009A154A">
        <w:trPr>
          <w:trHeight w:val="191"/>
        </w:trPr>
        <w:tc>
          <w:tcPr>
            <w:tcW w:w="3249" w:type="dxa"/>
            <w:vAlign w:val="center"/>
          </w:tcPr>
          <w:p w14:paraId="1044B4F2"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Cs/>
                <w:sz w:val="24"/>
                <w:szCs w:val="24"/>
              </w:rPr>
              <w:t>4.51-5.00</w:t>
            </w:r>
          </w:p>
        </w:tc>
        <w:tc>
          <w:tcPr>
            <w:tcW w:w="4139" w:type="dxa"/>
          </w:tcPr>
          <w:p w14:paraId="36DE54F2"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Cs/>
                <w:sz w:val="24"/>
                <w:szCs w:val="24"/>
              </w:rPr>
              <w:t>Strongly Agree</w:t>
            </w:r>
          </w:p>
        </w:tc>
        <w:tc>
          <w:tcPr>
            <w:tcW w:w="3248" w:type="dxa"/>
          </w:tcPr>
          <w:p w14:paraId="0A6DA820"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Cs/>
                <w:sz w:val="24"/>
                <w:szCs w:val="24"/>
              </w:rPr>
              <w:t>Very High</w:t>
            </w:r>
          </w:p>
        </w:tc>
      </w:tr>
      <w:tr w:rsidR="009A154A" w:rsidRPr="009A154A" w14:paraId="03C6A7BB" w14:textId="77777777" w:rsidTr="009A154A">
        <w:trPr>
          <w:trHeight w:val="149"/>
        </w:trPr>
        <w:tc>
          <w:tcPr>
            <w:tcW w:w="3249" w:type="dxa"/>
            <w:vAlign w:val="center"/>
          </w:tcPr>
          <w:p w14:paraId="07B4331E"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3.51-4.50</w:t>
            </w:r>
          </w:p>
        </w:tc>
        <w:tc>
          <w:tcPr>
            <w:tcW w:w="4139" w:type="dxa"/>
          </w:tcPr>
          <w:p w14:paraId="2719CD9B"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Agree</w:t>
            </w:r>
          </w:p>
        </w:tc>
        <w:tc>
          <w:tcPr>
            <w:tcW w:w="3248" w:type="dxa"/>
          </w:tcPr>
          <w:p w14:paraId="23F186A2"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High</w:t>
            </w:r>
          </w:p>
        </w:tc>
      </w:tr>
      <w:tr w:rsidR="009A154A" w:rsidRPr="009A154A" w14:paraId="02B9AC33" w14:textId="77777777" w:rsidTr="009A154A">
        <w:trPr>
          <w:trHeight w:val="149"/>
        </w:trPr>
        <w:tc>
          <w:tcPr>
            <w:tcW w:w="3249" w:type="dxa"/>
            <w:vAlign w:val="center"/>
          </w:tcPr>
          <w:p w14:paraId="771D7138"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2.51-3.50</w:t>
            </w:r>
          </w:p>
        </w:tc>
        <w:tc>
          <w:tcPr>
            <w:tcW w:w="4139" w:type="dxa"/>
          </w:tcPr>
          <w:p w14:paraId="3F8D6BB4"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 xml:space="preserve">Neutral </w:t>
            </w:r>
          </w:p>
        </w:tc>
        <w:tc>
          <w:tcPr>
            <w:tcW w:w="3248" w:type="dxa"/>
          </w:tcPr>
          <w:p w14:paraId="2F69A3B2"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Moderate</w:t>
            </w:r>
          </w:p>
        </w:tc>
      </w:tr>
      <w:tr w:rsidR="009A154A" w:rsidRPr="009A154A" w14:paraId="26270E14" w14:textId="77777777" w:rsidTr="009A154A">
        <w:trPr>
          <w:trHeight w:val="156"/>
        </w:trPr>
        <w:tc>
          <w:tcPr>
            <w:tcW w:w="3249" w:type="dxa"/>
            <w:vAlign w:val="center"/>
          </w:tcPr>
          <w:p w14:paraId="280FCD69"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1.51-2.50</w:t>
            </w:r>
          </w:p>
        </w:tc>
        <w:tc>
          <w:tcPr>
            <w:tcW w:w="4139" w:type="dxa"/>
          </w:tcPr>
          <w:p w14:paraId="0148076C"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Disagree</w:t>
            </w:r>
          </w:p>
        </w:tc>
        <w:tc>
          <w:tcPr>
            <w:tcW w:w="3248" w:type="dxa"/>
          </w:tcPr>
          <w:p w14:paraId="43516F49"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Low</w:t>
            </w:r>
          </w:p>
        </w:tc>
      </w:tr>
      <w:tr w:rsidR="009A154A" w:rsidRPr="009A154A" w14:paraId="2D039A8F" w14:textId="77777777" w:rsidTr="009A154A">
        <w:trPr>
          <w:trHeight w:val="149"/>
        </w:trPr>
        <w:tc>
          <w:tcPr>
            <w:tcW w:w="3249" w:type="dxa"/>
            <w:vAlign w:val="center"/>
          </w:tcPr>
          <w:p w14:paraId="4353C9F1"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1.00-1.50</w:t>
            </w:r>
          </w:p>
        </w:tc>
        <w:tc>
          <w:tcPr>
            <w:tcW w:w="4139" w:type="dxa"/>
          </w:tcPr>
          <w:p w14:paraId="0076F0A1"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Strongly Disagree</w:t>
            </w:r>
          </w:p>
        </w:tc>
        <w:tc>
          <w:tcPr>
            <w:tcW w:w="3248" w:type="dxa"/>
          </w:tcPr>
          <w:p w14:paraId="6DFA0E4D"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Very Low</w:t>
            </w:r>
          </w:p>
        </w:tc>
      </w:tr>
    </w:tbl>
    <w:bookmarkEnd w:id="2"/>
    <w:p w14:paraId="709B2F7D" w14:textId="77777777" w:rsidR="009A154A" w:rsidRPr="009A154A" w:rsidRDefault="009A154A" w:rsidP="009A154A">
      <w:pPr>
        <w:spacing w:before="240" w:after="240" w:line="240" w:lineRule="auto"/>
        <w:jc w:val="both"/>
        <w:rPr>
          <w:rFonts w:ascii="Times New Roman" w:hAnsi="Times New Roman" w:cs="Times New Roman"/>
          <w:bCs/>
          <w:i/>
          <w:sz w:val="24"/>
          <w:szCs w:val="24"/>
        </w:rPr>
      </w:pPr>
      <w:r w:rsidRPr="009A154A">
        <w:rPr>
          <w:rFonts w:ascii="Times New Roman" w:hAnsi="Times New Roman" w:cs="Times New Roman"/>
          <w:bCs/>
          <w:sz w:val="24"/>
          <w:szCs w:val="24"/>
        </w:rPr>
        <w:t xml:space="preserve">For the </w:t>
      </w:r>
      <w:r w:rsidRPr="009A154A">
        <w:rPr>
          <w:rFonts w:ascii="Times New Roman" w:hAnsi="Times New Roman" w:cs="Times New Roman"/>
          <w:bCs/>
          <w:iCs/>
          <w:sz w:val="24"/>
          <w:szCs w:val="24"/>
        </w:rPr>
        <w:t>Field Work Performance in Dairy and Animal Science</w:t>
      </w:r>
    </w:p>
    <w:tbl>
      <w:tblPr>
        <w:tblW w:w="4935" w:type="pct"/>
        <w:tblLook w:val="04A0" w:firstRow="1" w:lastRow="0" w:firstColumn="1" w:lastColumn="0" w:noHBand="0" w:noVBand="1"/>
      </w:tblPr>
      <w:tblGrid>
        <w:gridCol w:w="4426"/>
        <w:gridCol w:w="6344"/>
      </w:tblGrid>
      <w:tr w:rsidR="009A154A" w:rsidRPr="009A154A" w14:paraId="45BD1F61" w14:textId="77777777" w:rsidTr="009A154A">
        <w:trPr>
          <w:trHeight w:val="270"/>
        </w:trPr>
        <w:tc>
          <w:tcPr>
            <w:tcW w:w="2055" w:type="pct"/>
          </w:tcPr>
          <w:p w14:paraId="0C79B870" w14:textId="77777777" w:rsidR="009A154A" w:rsidRPr="009A154A" w:rsidRDefault="009A154A" w:rsidP="009A154A">
            <w:pPr>
              <w:spacing w:after="0" w:line="240" w:lineRule="auto"/>
              <w:jc w:val="both"/>
              <w:rPr>
                <w:rFonts w:ascii="Times New Roman" w:hAnsi="Times New Roman" w:cs="Times New Roman"/>
                <w:b/>
                <w:bCs/>
                <w:sz w:val="24"/>
                <w:szCs w:val="24"/>
              </w:rPr>
            </w:pPr>
            <w:bookmarkStart w:id="3" w:name="_Hlk224602997"/>
            <w:r w:rsidRPr="009A154A">
              <w:rPr>
                <w:rFonts w:ascii="Times New Roman" w:hAnsi="Times New Roman" w:cs="Times New Roman"/>
                <w:b/>
                <w:bCs/>
                <w:sz w:val="24"/>
                <w:szCs w:val="24"/>
              </w:rPr>
              <w:t>Range</w:t>
            </w:r>
          </w:p>
        </w:tc>
        <w:tc>
          <w:tcPr>
            <w:tcW w:w="2945" w:type="pct"/>
          </w:tcPr>
          <w:p w14:paraId="34A55510"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
                <w:bCs/>
                <w:sz w:val="24"/>
                <w:szCs w:val="24"/>
              </w:rPr>
              <w:t>Interpretation</w:t>
            </w:r>
          </w:p>
        </w:tc>
      </w:tr>
      <w:tr w:rsidR="009A154A" w:rsidRPr="009A154A" w14:paraId="79F50369" w14:textId="77777777" w:rsidTr="009A154A">
        <w:trPr>
          <w:trHeight w:val="261"/>
        </w:trPr>
        <w:tc>
          <w:tcPr>
            <w:tcW w:w="2055" w:type="pct"/>
            <w:vAlign w:val="center"/>
          </w:tcPr>
          <w:p w14:paraId="03699A8B"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1.0</w:t>
            </w:r>
          </w:p>
        </w:tc>
        <w:tc>
          <w:tcPr>
            <w:tcW w:w="2945" w:type="pct"/>
            <w:vAlign w:val="center"/>
          </w:tcPr>
          <w:p w14:paraId="055A72DC"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Excellent</w:t>
            </w:r>
          </w:p>
        </w:tc>
      </w:tr>
      <w:tr w:rsidR="009A154A" w:rsidRPr="009A154A" w14:paraId="043AE5AC" w14:textId="77777777" w:rsidTr="009A154A">
        <w:trPr>
          <w:trHeight w:val="180"/>
        </w:trPr>
        <w:tc>
          <w:tcPr>
            <w:tcW w:w="2055" w:type="pct"/>
            <w:vAlign w:val="center"/>
          </w:tcPr>
          <w:p w14:paraId="4790DAC4"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1.25-1.50</w:t>
            </w:r>
          </w:p>
        </w:tc>
        <w:tc>
          <w:tcPr>
            <w:tcW w:w="2945" w:type="pct"/>
            <w:vAlign w:val="center"/>
          </w:tcPr>
          <w:p w14:paraId="1B25625A"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Very Good</w:t>
            </w:r>
          </w:p>
        </w:tc>
      </w:tr>
      <w:tr w:rsidR="009A154A" w:rsidRPr="009A154A" w14:paraId="45F088E0" w14:textId="77777777" w:rsidTr="009A154A">
        <w:trPr>
          <w:trHeight w:val="252"/>
        </w:trPr>
        <w:tc>
          <w:tcPr>
            <w:tcW w:w="2055" w:type="pct"/>
            <w:vAlign w:val="center"/>
          </w:tcPr>
          <w:p w14:paraId="6289BC31"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1.75-2.00</w:t>
            </w:r>
          </w:p>
        </w:tc>
        <w:tc>
          <w:tcPr>
            <w:tcW w:w="2945" w:type="pct"/>
            <w:vAlign w:val="center"/>
          </w:tcPr>
          <w:p w14:paraId="5905934B"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Above Average</w:t>
            </w:r>
          </w:p>
        </w:tc>
      </w:tr>
      <w:tr w:rsidR="009A154A" w:rsidRPr="009A154A" w14:paraId="656FFF3A" w14:textId="77777777" w:rsidTr="009A154A">
        <w:trPr>
          <w:trHeight w:val="243"/>
        </w:trPr>
        <w:tc>
          <w:tcPr>
            <w:tcW w:w="2055" w:type="pct"/>
            <w:vAlign w:val="center"/>
          </w:tcPr>
          <w:p w14:paraId="37BFD10B"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2.25-2.50</w:t>
            </w:r>
          </w:p>
        </w:tc>
        <w:tc>
          <w:tcPr>
            <w:tcW w:w="2945" w:type="pct"/>
            <w:vAlign w:val="center"/>
          </w:tcPr>
          <w:p w14:paraId="54C35A67"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Average</w:t>
            </w:r>
          </w:p>
        </w:tc>
      </w:tr>
      <w:tr w:rsidR="009A154A" w:rsidRPr="009A154A" w14:paraId="2BDB4EA3" w14:textId="77777777" w:rsidTr="009A154A">
        <w:trPr>
          <w:trHeight w:val="162"/>
        </w:trPr>
        <w:tc>
          <w:tcPr>
            <w:tcW w:w="2055" w:type="pct"/>
            <w:vAlign w:val="center"/>
          </w:tcPr>
          <w:p w14:paraId="149F3DCC"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2.75-3.00</w:t>
            </w:r>
          </w:p>
        </w:tc>
        <w:tc>
          <w:tcPr>
            <w:tcW w:w="2945" w:type="pct"/>
            <w:vAlign w:val="center"/>
          </w:tcPr>
          <w:p w14:paraId="3C1279E6"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Passing</w:t>
            </w:r>
          </w:p>
        </w:tc>
      </w:tr>
      <w:tr w:rsidR="009A154A" w:rsidRPr="009A154A" w14:paraId="2C7DF9E1" w14:textId="77777777" w:rsidTr="009A154A">
        <w:trPr>
          <w:trHeight w:val="153"/>
        </w:trPr>
        <w:tc>
          <w:tcPr>
            <w:tcW w:w="2055" w:type="pct"/>
            <w:vAlign w:val="center"/>
          </w:tcPr>
          <w:p w14:paraId="17649424"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3.25-3.50</w:t>
            </w:r>
          </w:p>
        </w:tc>
        <w:tc>
          <w:tcPr>
            <w:tcW w:w="2945" w:type="pct"/>
            <w:vAlign w:val="center"/>
          </w:tcPr>
          <w:p w14:paraId="0893E327"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Conditional</w:t>
            </w:r>
          </w:p>
        </w:tc>
      </w:tr>
      <w:tr w:rsidR="009A154A" w:rsidRPr="009A154A" w14:paraId="0ED2891A" w14:textId="77777777" w:rsidTr="009A154A">
        <w:trPr>
          <w:trHeight w:val="225"/>
        </w:trPr>
        <w:tc>
          <w:tcPr>
            <w:tcW w:w="2055" w:type="pct"/>
            <w:vAlign w:val="center"/>
          </w:tcPr>
          <w:p w14:paraId="77E7F4BE"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3.75-5.00</w:t>
            </w:r>
          </w:p>
        </w:tc>
        <w:tc>
          <w:tcPr>
            <w:tcW w:w="2945" w:type="pct"/>
            <w:vAlign w:val="center"/>
          </w:tcPr>
          <w:p w14:paraId="18A50C38"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Failed</w:t>
            </w:r>
          </w:p>
        </w:tc>
      </w:tr>
    </w:tbl>
    <w:bookmarkEnd w:id="3"/>
    <w:p w14:paraId="054143FC" w14:textId="3E0A6E11" w:rsidR="00D96D34" w:rsidRDefault="009A154A" w:rsidP="00FD677B">
      <w:pPr>
        <w:spacing w:before="240" w:after="240" w:line="240" w:lineRule="auto"/>
        <w:jc w:val="both"/>
        <w:rPr>
          <w:rFonts w:ascii="Times New Roman" w:hAnsi="Times New Roman" w:cs="Times New Roman"/>
          <w:b/>
          <w:bCs/>
          <w:sz w:val="24"/>
          <w:szCs w:val="24"/>
        </w:rPr>
      </w:pPr>
      <w:r w:rsidRPr="009A154A">
        <w:rPr>
          <w:rFonts w:ascii="Times New Roman" w:hAnsi="Times New Roman" w:cs="Times New Roman"/>
          <w:b/>
          <w:bCs/>
          <w:sz w:val="24"/>
          <w:szCs w:val="24"/>
        </w:rPr>
        <w:t>Data Gathering Procedure and Ethical Consideration</w:t>
      </w:r>
    </w:p>
    <w:p w14:paraId="312D6502" w14:textId="57D99D74" w:rsidR="009A154A" w:rsidRPr="009A154A" w:rsidRDefault="009A154A" w:rsidP="00FD677B">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Data were collected using the researcher developed-questionnaire administered face-to-face in designated classrooms after class hours. Student responses were anonymuized using identification codes, and academic record were matched through a designated intermediary to ensure confidentiality and data protection in compliance with Data Privacy Act of 2012. Moreover, ethical approval was obtained from the institutional Research Ethics Committee and informed consent was secured from all participants prior to data collection. </w:t>
      </w:r>
      <w:r w:rsidR="00B11449">
        <w:rPr>
          <w:rFonts w:ascii="Times New Roman" w:hAnsi="Times New Roman" w:cs="Times New Roman"/>
          <w:bCs/>
          <w:sz w:val="24"/>
          <w:szCs w:val="24"/>
        </w:rPr>
        <w:t>Participants were assured of confidentialit and voluntary participation.</w:t>
      </w:r>
    </w:p>
    <w:p w14:paraId="7C228F9B" w14:textId="77777777" w:rsidR="00480BB2" w:rsidRDefault="00480BB2" w:rsidP="00C70A73">
      <w:pPr>
        <w:pStyle w:val="NoSpacing"/>
        <w:spacing w:before="240" w:after="240"/>
        <w:jc w:val="both"/>
        <w:rPr>
          <w:rFonts w:ascii="Times New Roman" w:hAnsi="Times New Roman" w:cs="Times New Roman"/>
          <w:b/>
          <w:bCs/>
          <w:sz w:val="24"/>
          <w:szCs w:val="24"/>
        </w:rPr>
      </w:pPr>
    </w:p>
    <w:p w14:paraId="445C31E7" w14:textId="00F96EF6" w:rsidR="00B260DD" w:rsidRDefault="00B11449" w:rsidP="00C70A73">
      <w:pPr>
        <w:pStyle w:val="NoSpacing"/>
        <w:spacing w:before="240" w:after="240"/>
        <w:jc w:val="both"/>
        <w:rPr>
          <w:rFonts w:ascii="Times New Roman" w:hAnsi="Times New Roman" w:cs="Times New Roman"/>
          <w:b/>
          <w:bCs/>
          <w:sz w:val="24"/>
          <w:szCs w:val="24"/>
        </w:rPr>
      </w:pPr>
      <w:r w:rsidRPr="00B11449">
        <w:rPr>
          <w:rFonts w:ascii="Times New Roman" w:hAnsi="Times New Roman" w:cs="Times New Roman"/>
          <w:b/>
          <w:bCs/>
          <w:sz w:val="24"/>
          <w:szCs w:val="24"/>
        </w:rPr>
        <w:t>Statistical Treatment of Data</w:t>
      </w:r>
    </w:p>
    <w:p w14:paraId="07DF0844" w14:textId="2719C848" w:rsidR="00B11449" w:rsidRPr="00B11449" w:rsidRDefault="00B11449" w:rsidP="005A4B87">
      <w:pPr>
        <w:pStyle w:val="NoSpacing"/>
        <w:spacing w:before="240" w:after="240"/>
        <w:rPr>
          <w:rFonts w:ascii="Times New Roman" w:hAnsi="Times New Roman" w:cs="Times New Roman"/>
          <w:bCs/>
          <w:sz w:val="24"/>
          <w:szCs w:val="24"/>
        </w:rPr>
      </w:pPr>
      <w:r>
        <w:rPr>
          <w:rFonts w:ascii="Times New Roman" w:hAnsi="Times New Roman" w:cs="Times New Roman"/>
          <w:bCs/>
          <w:sz w:val="24"/>
          <w:szCs w:val="24"/>
        </w:rPr>
        <w:t>The data were analyzed using descriptive and inferential statistics. D</w:t>
      </w:r>
      <w:r w:rsidRPr="00B11449">
        <w:rPr>
          <w:rFonts w:ascii="Times New Roman" w:hAnsi="Times New Roman" w:cs="Times New Roman"/>
          <w:bCs/>
          <w:sz w:val="24"/>
          <w:szCs w:val="24"/>
        </w:rPr>
        <w:t xml:space="preserve">escriptive statistics </w:t>
      </w:r>
      <w:r>
        <w:rPr>
          <w:rFonts w:ascii="Times New Roman" w:hAnsi="Times New Roman" w:cs="Times New Roman"/>
          <w:bCs/>
          <w:sz w:val="24"/>
          <w:szCs w:val="24"/>
        </w:rPr>
        <w:t xml:space="preserve">includes </w:t>
      </w:r>
      <w:r w:rsidRPr="00B11449">
        <w:rPr>
          <w:rFonts w:ascii="Times New Roman" w:hAnsi="Times New Roman" w:cs="Times New Roman"/>
          <w:bCs/>
          <w:sz w:val="24"/>
          <w:szCs w:val="24"/>
        </w:rPr>
        <w:t>frequency, mean, percentage and standard deviation</w:t>
      </w:r>
      <w:r>
        <w:rPr>
          <w:rFonts w:ascii="Times New Roman" w:hAnsi="Times New Roman" w:cs="Times New Roman"/>
          <w:bCs/>
          <w:sz w:val="24"/>
          <w:szCs w:val="24"/>
        </w:rPr>
        <w:t xml:space="preserve">, used to summarized the data for the four research objectives. On the other hand, multiple regression analysis was employed to test the null hypotheses at the 0.05 level of significance. Prior to regression analysis, the assumption of normality was assessed using histogram and Quantile-Quantile (Q-Q) plot, which </w:t>
      </w:r>
      <w:r w:rsidR="005A4B87">
        <w:rPr>
          <w:rFonts w:ascii="Times New Roman" w:hAnsi="Times New Roman" w:cs="Times New Roman"/>
          <w:bCs/>
          <w:sz w:val="24"/>
          <w:szCs w:val="24"/>
        </w:rPr>
        <w:t>indicated</w:t>
      </w:r>
      <w:r w:rsidRPr="00B11449">
        <w:rPr>
          <w:rFonts w:ascii="Times New Roman" w:hAnsi="Times New Roman" w:cs="Times New Roman"/>
          <w:bCs/>
          <w:sz w:val="24"/>
          <w:szCs w:val="24"/>
        </w:rPr>
        <w:t xml:space="preserve"> that the</w:t>
      </w:r>
      <w:r w:rsidR="005A4B87">
        <w:rPr>
          <w:rFonts w:ascii="Times New Roman" w:hAnsi="Times New Roman" w:cs="Times New Roman"/>
          <w:bCs/>
          <w:sz w:val="24"/>
          <w:szCs w:val="24"/>
        </w:rPr>
        <w:t xml:space="preserve"> data were</w:t>
      </w:r>
      <w:r w:rsidRPr="00B11449">
        <w:rPr>
          <w:rFonts w:ascii="Times New Roman" w:hAnsi="Times New Roman" w:cs="Times New Roman"/>
          <w:bCs/>
          <w:sz w:val="24"/>
          <w:szCs w:val="24"/>
        </w:rPr>
        <w:t xml:space="preserve"> approximate</w:t>
      </w:r>
      <w:r w:rsidR="005A4B87">
        <w:rPr>
          <w:rFonts w:ascii="Times New Roman" w:hAnsi="Times New Roman" w:cs="Times New Roman"/>
          <w:bCs/>
          <w:sz w:val="24"/>
          <w:szCs w:val="24"/>
        </w:rPr>
        <w:t>ly</w:t>
      </w:r>
      <w:r w:rsidRPr="00B11449">
        <w:rPr>
          <w:rFonts w:ascii="Times New Roman" w:hAnsi="Times New Roman" w:cs="Times New Roman"/>
          <w:bCs/>
          <w:sz w:val="24"/>
          <w:szCs w:val="24"/>
        </w:rPr>
        <w:t xml:space="preserve"> normal</w:t>
      </w:r>
      <w:r w:rsidR="005A4B87">
        <w:rPr>
          <w:rFonts w:ascii="Times New Roman" w:hAnsi="Times New Roman" w:cs="Times New Roman"/>
          <w:bCs/>
          <w:sz w:val="24"/>
          <w:szCs w:val="24"/>
        </w:rPr>
        <w:t>ly distributed. This confirmed the appropriateness of multiple regression analysis in the study.</w:t>
      </w:r>
    </w:p>
    <w:p w14:paraId="409EEEC5" w14:textId="2325324C" w:rsidR="00F4216B" w:rsidRPr="00C70A73" w:rsidRDefault="00F4216B" w:rsidP="00C70A73">
      <w:pPr>
        <w:pStyle w:val="NoSpacing"/>
        <w:spacing w:before="240" w:after="240"/>
        <w:jc w:val="both"/>
        <w:rPr>
          <w:rFonts w:ascii="Times New Roman" w:hAnsi="Times New Roman" w:cs="Times New Roman"/>
          <w:b/>
          <w:sz w:val="24"/>
          <w:szCs w:val="24"/>
        </w:rPr>
      </w:pPr>
      <w:r w:rsidRPr="00C70A73">
        <w:rPr>
          <w:rFonts w:ascii="Times New Roman" w:hAnsi="Times New Roman" w:cs="Times New Roman"/>
          <w:b/>
          <w:sz w:val="24"/>
          <w:szCs w:val="24"/>
        </w:rPr>
        <w:t>RESULTS AND DISCUSSIONS</w:t>
      </w:r>
    </w:p>
    <w:p w14:paraId="20CDFC56" w14:textId="77777777" w:rsidR="00CD7B28" w:rsidRDefault="00F4216B" w:rsidP="00C70A73">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 xml:space="preserve">The following tables present the results of the study conducted to </w:t>
      </w:r>
      <w:r w:rsidR="00230FF6" w:rsidRPr="00C70A73">
        <w:rPr>
          <w:rFonts w:ascii="Times New Roman" w:hAnsi="Times New Roman" w:cs="Times New Roman"/>
          <w:bCs/>
          <w:sz w:val="24"/>
          <w:szCs w:val="24"/>
        </w:rPr>
        <w:t>determine the Interplay of Instructional Approaches, Appropriate Resources, Attitudes towards Agriculture and Field Work Performance in Animal and Dairy Science.</w:t>
      </w:r>
    </w:p>
    <w:p w14:paraId="2C71F404" w14:textId="77777777" w:rsidR="00480BB2" w:rsidRPr="00480BB2" w:rsidRDefault="00230FF6" w:rsidP="00480BB2">
      <w:pPr>
        <w:pStyle w:val="NoSpacing"/>
        <w:spacing w:before="240" w:after="240"/>
        <w:jc w:val="both"/>
        <w:rPr>
          <w:rFonts w:ascii="Times New Roman" w:hAnsi="Times New Roman" w:cs="Times New Roman"/>
          <w:bCs/>
          <w:sz w:val="24"/>
          <w:szCs w:val="24"/>
          <w:lang w:val="en-PH"/>
        </w:rPr>
      </w:pPr>
      <w:r w:rsidRPr="00C70A73">
        <w:rPr>
          <w:rFonts w:ascii="Times New Roman" w:hAnsi="Times New Roman" w:cs="Times New Roman"/>
          <w:bCs/>
          <w:sz w:val="24"/>
          <w:szCs w:val="24"/>
        </w:rPr>
        <w:t>Table 1 presents the frequency, percentag</w:t>
      </w:r>
      <w:r w:rsidR="00480BB2">
        <w:rPr>
          <w:rFonts w:ascii="Times New Roman" w:hAnsi="Times New Roman" w:cs="Times New Roman"/>
          <w:bCs/>
          <w:sz w:val="24"/>
          <w:szCs w:val="24"/>
        </w:rPr>
        <w:t>e,</w:t>
      </w:r>
      <w:r w:rsidRPr="00C70A73">
        <w:rPr>
          <w:rFonts w:ascii="Times New Roman" w:hAnsi="Times New Roman" w:cs="Times New Roman"/>
          <w:bCs/>
          <w:sz w:val="24"/>
          <w:szCs w:val="24"/>
        </w:rPr>
        <w:t xml:space="preserve"> and mean distribution of the participants’ assessment on their instructors’ instructional approaches in laboratory subjects. The </w:t>
      </w:r>
      <w:r w:rsidR="00275613">
        <w:rPr>
          <w:rFonts w:ascii="Times New Roman" w:hAnsi="Times New Roman" w:cs="Times New Roman"/>
          <w:bCs/>
          <w:sz w:val="24"/>
          <w:szCs w:val="24"/>
        </w:rPr>
        <w:t>results show</w:t>
      </w:r>
      <w:r w:rsidRPr="00C70A73">
        <w:rPr>
          <w:rFonts w:ascii="Times New Roman" w:hAnsi="Times New Roman" w:cs="Times New Roman"/>
          <w:bCs/>
          <w:sz w:val="24"/>
          <w:szCs w:val="24"/>
        </w:rPr>
        <w:t xml:space="preserve"> </w:t>
      </w:r>
      <w:r w:rsidR="00275613">
        <w:rPr>
          <w:rFonts w:ascii="Times New Roman" w:hAnsi="Times New Roman" w:cs="Times New Roman"/>
          <w:bCs/>
          <w:sz w:val="24"/>
          <w:szCs w:val="24"/>
        </w:rPr>
        <w:t xml:space="preserve">that </w:t>
      </w:r>
      <w:r w:rsidRPr="00C70A73">
        <w:rPr>
          <w:rFonts w:ascii="Times New Roman" w:hAnsi="Times New Roman" w:cs="Times New Roman"/>
          <w:bCs/>
          <w:sz w:val="24"/>
          <w:szCs w:val="24"/>
        </w:rPr>
        <w:t xml:space="preserve">instructional </w:t>
      </w:r>
      <w:r w:rsidR="00275613">
        <w:rPr>
          <w:rFonts w:ascii="Times New Roman" w:hAnsi="Times New Roman" w:cs="Times New Roman"/>
          <w:bCs/>
          <w:sz w:val="24"/>
          <w:szCs w:val="24"/>
        </w:rPr>
        <w:t>approaches were rated as</w:t>
      </w:r>
      <w:r w:rsidRPr="00C70A73">
        <w:rPr>
          <w:rFonts w:ascii="Times New Roman" w:hAnsi="Times New Roman" w:cs="Times New Roman"/>
          <w:bCs/>
          <w:sz w:val="24"/>
          <w:szCs w:val="24"/>
        </w:rPr>
        <w:t xml:space="preserve"> hig</w:t>
      </w:r>
      <w:r w:rsidR="00275613">
        <w:rPr>
          <w:rFonts w:ascii="Times New Roman" w:hAnsi="Times New Roman" w:cs="Times New Roman"/>
          <w:bCs/>
          <w:sz w:val="24"/>
          <w:szCs w:val="24"/>
        </w:rPr>
        <w:t xml:space="preserve">h with an </w:t>
      </w:r>
      <w:r w:rsidRPr="00C70A73">
        <w:rPr>
          <w:rFonts w:ascii="Times New Roman" w:hAnsi="Times New Roman" w:cs="Times New Roman"/>
          <w:bCs/>
          <w:sz w:val="24"/>
          <w:szCs w:val="24"/>
        </w:rPr>
        <w:t xml:space="preserve">overall mean of 4.13. </w:t>
      </w:r>
      <w:r w:rsidR="00480BB2" w:rsidRPr="00480BB2">
        <w:rPr>
          <w:rFonts w:ascii="Times New Roman" w:hAnsi="Times New Roman" w:cs="Times New Roman"/>
          <w:bCs/>
          <w:sz w:val="24"/>
          <w:szCs w:val="24"/>
          <w:lang w:val="en-PH"/>
        </w:rPr>
        <w:t xml:space="preserve">This indicates that instructors employ instructional </w:t>
      </w:r>
      <w:proofErr w:type="gramStart"/>
      <w:r w:rsidR="00480BB2" w:rsidRPr="00480BB2">
        <w:rPr>
          <w:rFonts w:ascii="Times New Roman" w:hAnsi="Times New Roman" w:cs="Times New Roman"/>
          <w:bCs/>
          <w:sz w:val="24"/>
          <w:szCs w:val="24"/>
          <w:lang w:val="en-PH"/>
        </w:rPr>
        <w:t>approach that engage</w:t>
      </w:r>
      <w:proofErr w:type="gramEnd"/>
      <w:r w:rsidR="00480BB2" w:rsidRPr="00480BB2">
        <w:rPr>
          <w:rFonts w:ascii="Times New Roman" w:hAnsi="Times New Roman" w:cs="Times New Roman"/>
          <w:bCs/>
          <w:sz w:val="24"/>
          <w:szCs w:val="24"/>
          <w:lang w:val="en-PH"/>
        </w:rPr>
        <w:t xml:space="preserve"> learners to have hands-on and participatory learning experiences in most of their laboratory subjects. It further suggests that instructors consistently utilize learner-centered strategies focusing on active learning, demonstration and experiential activities which are essential in Animal and Dairy Science education. This approach includes field-based instruction such as slaughtering, meat processing, precision agriculture practices and extension activities, where students are given opportunities to apply theoretical knowledge in real or simulated agricultural settings, fostering student’s independence, practical competence and meaningful engagement in laboratory-based learning.</w:t>
      </w:r>
    </w:p>
    <w:p w14:paraId="5411AE6D" w14:textId="182A5E57" w:rsidR="001E76AA" w:rsidRPr="00C70A73" w:rsidRDefault="001E76AA" w:rsidP="00C70A73">
      <w:pPr>
        <w:pStyle w:val="NoSpacing"/>
        <w:spacing w:before="240" w:after="240"/>
        <w:jc w:val="both"/>
        <w:rPr>
          <w:rFonts w:ascii="Times New Roman" w:hAnsi="Times New Roman" w:cs="Times New Roman"/>
          <w:b/>
          <w:bCs/>
          <w:sz w:val="24"/>
          <w:szCs w:val="24"/>
        </w:rPr>
      </w:pPr>
      <w:proofErr w:type="gramStart"/>
      <w:r w:rsidRPr="00C70A73">
        <w:rPr>
          <w:rFonts w:ascii="Times New Roman" w:hAnsi="Times New Roman" w:cs="Times New Roman"/>
          <w:b/>
          <w:bCs/>
          <w:sz w:val="24"/>
          <w:szCs w:val="24"/>
        </w:rPr>
        <w:t>Table 1.</w:t>
      </w:r>
      <w:proofErr w:type="gramEnd"/>
      <w:r w:rsidRPr="00C70A73">
        <w:rPr>
          <w:rFonts w:ascii="Times New Roman" w:hAnsi="Times New Roman" w:cs="Times New Roman"/>
          <w:b/>
          <w:bCs/>
          <w:sz w:val="24"/>
          <w:szCs w:val="24"/>
        </w:rPr>
        <w:t xml:space="preserve">  </w:t>
      </w:r>
    </w:p>
    <w:p w14:paraId="156D40A5" w14:textId="77777777" w:rsidR="00230FF6" w:rsidRPr="00C70A73" w:rsidRDefault="00230FF6" w:rsidP="00C70A73">
      <w:pPr>
        <w:pStyle w:val="NoSpacing"/>
        <w:spacing w:before="240" w:after="240"/>
        <w:jc w:val="both"/>
        <w:rPr>
          <w:rStyle w:val="cf01"/>
          <w:rFonts w:ascii="Times New Roman" w:hAnsi="Times New Roman" w:cs="Times New Roman"/>
          <w:i/>
          <w:sz w:val="24"/>
          <w:szCs w:val="24"/>
        </w:rPr>
      </w:pPr>
      <w:r w:rsidRPr="00C70A73">
        <w:rPr>
          <w:rStyle w:val="cf01"/>
          <w:rFonts w:ascii="Times New Roman" w:hAnsi="Times New Roman" w:cs="Times New Roman"/>
          <w:i/>
          <w:sz w:val="24"/>
          <w:szCs w:val="24"/>
        </w:rPr>
        <w:t>Frequency, Percentage and Mean Distribution of the Participants’ Assessment of their Instructors’ Instructional Approaches in Laboratory Subjects</w:t>
      </w:r>
    </w:p>
    <w:tbl>
      <w:tblPr>
        <w:tblW w:w="10709" w:type="dxa"/>
        <w:tblBorders>
          <w:top w:val="single" w:sz="4" w:space="0" w:color="auto"/>
          <w:bottom w:val="single" w:sz="4" w:space="0" w:color="auto"/>
        </w:tblBorders>
        <w:tblLook w:val="04A0" w:firstRow="1" w:lastRow="0" w:firstColumn="1" w:lastColumn="0" w:noHBand="0" w:noVBand="1"/>
      </w:tblPr>
      <w:tblGrid>
        <w:gridCol w:w="1679"/>
        <w:gridCol w:w="2890"/>
        <w:gridCol w:w="2496"/>
        <w:gridCol w:w="1772"/>
        <w:gridCol w:w="1872"/>
      </w:tblGrid>
      <w:tr w:rsidR="00230FF6" w:rsidRPr="00C70A73" w14:paraId="435ED3FC" w14:textId="77777777" w:rsidTr="00CD7B28">
        <w:trPr>
          <w:trHeight w:val="247"/>
        </w:trPr>
        <w:tc>
          <w:tcPr>
            <w:tcW w:w="1679" w:type="dxa"/>
            <w:tcBorders>
              <w:top w:val="single" w:sz="4" w:space="0" w:color="auto"/>
              <w:bottom w:val="single" w:sz="4" w:space="0" w:color="auto"/>
            </w:tcBorders>
          </w:tcPr>
          <w:p w14:paraId="1B55C76B"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Range</w:t>
            </w:r>
          </w:p>
        </w:tc>
        <w:tc>
          <w:tcPr>
            <w:tcW w:w="2890" w:type="dxa"/>
            <w:tcBorders>
              <w:top w:val="single" w:sz="4" w:space="0" w:color="auto"/>
              <w:bottom w:val="single" w:sz="4" w:space="0" w:color="auto"/>
            </w:tcBorders>
          </w:tcPr>
          <w:p w14:paraId="44D026AB"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Description</w:t>
            </w:r>
          </w:p>
        </w:tc>
        <w:tc>
          <w:tcPr>
            <w:tcW w:w="2496" w:type="dxa"/>
            <w:tcBorders>
              <w:top w:val="single" w:sz="4" w:space="0" w:color="auto"/>
              <w:bottom w:val="single" w:sz="4" w:space="0" w:color="auto"/>
            </w:tcBorders>
          </w:tcPr>
          <w:p w14:paraId="00683CF3"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Interpretation</w:t>
            </w:r>
          </w:p>
        </w:tc>
        <w:tc>
          <w:tcPr>
            <w:tcW w:w="1772" w:type="dxa"/>
            <w:tcBorders>
              <w:top w:val="single" w:sz="4" w:space="0" w:color="auto"/>
              <w:bottom w:val="single" w:sz="4" w:space="0" w:color="auto"/>
            </w:tcBorders>
          </w:tcPr>
          <w:p w14:paraId="39F6ED0D"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Frequency</w:t>
            </w:r>
          </w:p>
        </w:tc>
        <w:tc>
          <w:tcPr>
            <w:tcW w:w="1871" w:type="dxa"/>
            <w:tcBorders>
              <w:top w:val="single" w:sz="4" w:space="0" w:color="auto"/>
              <w:bottom w:val="single" w:sz="4" w:space="0" w:color="auto"/>
            </w:tcBorders>
          </w:tcPr>
          <w:p w14:paraId="50F0DD18"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Percentage</w:t>
            </w:r>
          </w:p>
        </w:tc>
      </w:tr>
      <w:tr w:rsidR="00230FF6" w:rsidRPr="00C70A73" w14:paraId="5A2F3B90" w14:textId="77777777" w:rsidTr="00CD7B28">
        <w:trPr>
          <w:trHeight w:val="265"/>
        </w:trPr>
        <w:tc>
          <w:tcPr>
            <w:tcW w:w="1679" w:type="dxa"/>
            <w:tcBorders>
              <w:top w:val="single" w:sz="4" w:space="0" w:color="auto"/>
            </w:tcBorders>
            <w:vAlign w:val="center"/>
          </w:tcPr>
          <w:p w14:paraId="27F74476"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4.51-5.00</w:t>
            </w:r>
          </w:p>
        </w:tc>
        <w:tc>
          <w:tcPr>
            <w:tcW w:w="2890" w:type="dxa"/>
            <w:tcBorders>
              <w:top w:val="single" w:sz="4" w:space="0" w:color="auto"/>
            </w:tcBorders>
            <w:vAlign w:val="center"/>
          </w:tcPr>
          <w:p w14:paraId="540A3B82"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Strongly Agree</w:t>
            </w:r>
          </w:p>
        </w:tc>
        <w:tc>
          <w:tcPr>
            <w:tcW w:w="2496" w:type="dxa"/>
            <w:tcBorders>
              <w:top w:val="single" w:sz="4" w:space="0" w:color="auto"/>
            </w:tcBorders>
            <w:vAlign w:val="center"/>
          </w:tcPr>
          <w:p w14:paraId="2799BF7F"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Very High</w:t>
            </w:r>
          </w:p>
        </w:tc>
        <w:tc>
          <w:tcPr>
            <w:tcW w:w="1772" w:type="dxa"/>
            <w:tcBorders>
              <w:top w:val="single" w:sz="4" w:space="0" w:color="auto"/>
            </w:tcBorders>
            <w:vAlign w:val="bottom"/>
          </w:tcPr>
          <w:p w14:paraId="505439BC"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64</w:t>
            </w:r>
          </w:p>
        </w:tc>
        <w:tc>
          <w:tcPr>
            <w:tcW w:w="1871" w:type="dxa"/>
            <w:tcBorders>
              <w:top w:val="single" w:sz="4" w:space="0" w:color="auto"/>
            </w:tcBorders>
            <w:vAlign w:val="bottom"/>
          </w:tcPr>
          <w:p w14:paraId="4A37CFE4"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27.83</w:t>
            </w:r>
          </w:p>
        </w:tc>
      </w:tr>
      <w:tr w:rsidR="00230FF6" w:rsidRPr="00C70A73" w14:paraId="07B87021" w14:textId="77777777" w:rsidTr="00CD7B28">
        <w:trPr>
          <w:trHeight w:val="247"/>
        </w:trPr>
        <w:tc>
          <w:tcPr>
            <w:tcW w:w="1679" w:type="dxa"/>
            <w:vAlign w:val="center"/>
          </w:tcPr>
          <w:p w14:paraId="610CE611"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3.51-4.50</w:t>
            </w:r>
          </w:p>
        </w:tc>
        <w:tc>
          <w:tcPr>
            <w:tcW w:w="2890" w:type="dxa"/>
            <w:vAlign w:val="center"/>
          </w:tcPr>
          <w:p w14:paraId="46E30373"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Agree</w:t>
            </w:r>
          </w:p>
        </w:tc>
        <w:tc>
          <w:tcPr>
            <w:tcW w:w="2496" w:type="dxa"/>
            <w:vAlign w:val="center"/>
          </w:tcPr>
          <w:p w14:paraId="0E08347D"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High</w:t>
            </w:r>
          </w:p>
        </w:tc>
        <w:tc>
          <w:tcPr>
            <w:tcW w:w="1772" w:type="dxa"/>
            <w:vAlign w:val="bottom"/>
          </w:tcPr>
          <w:p w14:paraId="6BD24D7D"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135</w:t>
            </w:r>
          </w:p>
        </w:tc>
        <w:tc>
          <w:tcPr>
            <w:tcW w:w="1871" w:type="dxa"/>
            <w:vAlign w:val="bottom"/>
          </w:tcPr>
          <w:p w14:paraId="7DF3A972"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58.7</w:t>
            </w:r>
          </w:p>
        </w:tc>
      </w:tr>
      <w:tr w:rsidR="00230FF6" w:rsidRPr="00C70A73" w14:paraId="659A8F08" w14:textId="77777777" w:rsidTr="00CD7B28">
        <w:trPr>
          <w:trHeight w:val="265"/>
        </w:trPr>
        <w:tc>
          <w:tcPr>
            <w:tcW w:w="1679" w:type="dxa"/>
            <w:vAlign w:val="center"/>
          </w:tcPr>
          <w:p w14:paraId="49B26340"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2.51-3.50</w:t>
            </w:r>
          </w:p>
        </w:tc>
        <w:tc>
          <w:tcPr>
            <w:tcW w:w="2890" w:type="dxa"/>
            <w:vAlign w:val="center"/>
          </w:tcPr>
          <w:p w14:paraId="5B96701B"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Neutral</w:t>
            </w:r>
          </w:p>
        </w:tc>
        <w:tc>
          <w:tcPr>
            <w:tcW w:w="2496" w:type="dxa"/>
            <w:vAlign w:val="center"/>
          </w:tcPr>
          <w:p w14:paraId="35579E31"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Moderate</w:t>
            </w:r>
          </w:p>
        </w:tc>
        <w:tc>
          <w:tcPr>
            <w:tcW w:w="1772" w:type="dxa"/>
            <w:vAlign w:val="bottom"/>
          </w:tcPr>
          <w:p w14:paraId="7D5C843B"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30</w:t>
            </w:r>
          </w:p>
        </w:tc>
        <w:tc>
          <w:tcPr>
            <w:tcW w:w="1871" w:type="dxa"/>
            <w:vAlign w:val="bottom"/>
          </w:tcPr>
          <w:p w14:paraId="6149C1BE"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13.04</w:t>
            </w:r>
          </w:p>
        </w:tc>
      </w:tr>
      <w:tr w:rsidR="00230FF6" w:rsidRPr="00C70A73" w14:paraId="51A11549" w14:textId="77777777" w:rsidTr="00CD7B28">
        <w:trPr>
          <w:trHeight w:val="265"/>
        </w:trPr>
        <w:tc>
          <w:tcPr>
            <w:tcW w:w="1679" w:type="dxa"/>
            <w:tcBorders>
              <w:bottom w:val="nil"/>
            </w:tcBorders>
            <w:vAlign w:val="center"/>
          </w:tcPr>
          <w:p w14:paraId="756E0D28"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1.51-2.50</w:t>
            </w:r>
          </w:p>
        </w:tc>
        <w:tc>
          <w:tcPr>
            <w:tcW w:w="2890" w:type="dxa"/>
            <w:tcBorders>
              <w:bottom w:val="nil"/>
            </w:tcBorders>
            <w:vAlign w:val="center"/>
          </w:tcPr>
          <w:p w14:paraId="19FB9CE9"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Disagree</w:t>
            </w:r>
          </w:p>
        </w:tc>
        <w:tc>
          <w:tcPr>
            <w:tcW w:w="2496" w:type="dxa"/>
            <w:tcBorders>
              <w:bottom w:val="nil"/>
            </w:tcBorders>
            <w:vAlign w:val="center"/>
          </w:tcPr>
          <w:p w14:paraId="64BF6757"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Low</w:t>
            </w:r>
          </w:p>
        </w:tc>
        <w:tc>
          <w:tcPr>
            <w:tcW w:w="1772" w:type="dxa"/>
            <w:tcBorders>
              <w:bottom w:val="nil"/>
            </w:tcBorders>
            <w:vAlign w:val="bottom"/>
          </w:tcPr>
          <w:p w14:paraId="1DEC6680"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1</w:t>
            </w:r>
          </w:p>
        </w:tc>
        <w:tc>
          <w:tcPr>
            <w:tcW w:w="1871" w:type="dxa"/>
            <w:tcBorders>
              <w:bottom w:val="nil"/>
            </w:tcBorders>
            <w:vAlign w:val="bottom"/>
          </w:tcPr>
          <w:p w14:paraId="1124F393"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0.435</w:t>
            </w:r>
          </w:p>
        </w:tc>
      </w:tr>
      <w:tr w:rsidR="00230FF6" w:rsidRPr="00C70A73" w14:paraId="41F66F39" w14:textId="77777777" w:rsidTr="00CD7B28">
        <w:trPr>
          <w:trHeight w:val="265"/>
        </w:trPr>
        <w:tc>
          <w:tcPr>
            <w:tcW w:w="1679" w:type="dxa"/>
            <w:tcBorders>
              <w:top w:val="nil"/>
              <w:bottom w:val="single" w:sz="4" w:space="0" w:color="auto"/>
            </w:tcBorders>
            <w:vAlign w:val="center"/>
          </w:tcPr>
          <w:p w14:paraId="2BBA64EB"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1.00-1.50</w:t>
            </w:r>
          </w:p>
        </w:tc>
        <w:tc>
          <w:tcPr>
            <w:tcW w:w="2890" w:type="dxa"/>
            <w:tcBorders>
              <w:top w:val="nil"/>
              <w:bottom w:val="single" w:sz="4" w:space="0" w:color="auto"/>
            </w:tcBorders>
            <w:vAlign w:val="center"/>
          </w:tcPr>
          <w:p w14:paraId="28BE4538"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Strongly Disagree</w:t>
            </w:r>
          </w:p>
        </w:tc>
        <w:tc>
          <w:tcPr>
            <w:tcW w:w="2496" w:type="dxa"/>
            <w:tcBorders>
              <w:top w:val="nil"/>
              <w:bottom w:val="single" w:sz="4" w:space="0" w:color="auto"/>
            </w:tcBorders>
            <w:vAlign w:val="center"/>
          </w:tcPr>
          <w:p w14:paraId="26723183"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Very Low</w:t>
            </w:r>
          </w:p>
        </w:tc>
        <w:tc>
          <w:tcPr>
            <w:tcW w:w="1772" w:type="dxa"/>
            <w:tcBorders>
              <w:top w:val="nil"/>
              <w:bottom w:val="single" w:sz="4" w:space="0" w:color="auto"/>
            </w:tcBorders>
            <w:vAlign w:val="bottom"/>
          </w:tcPr>
          <w:p w14:paraId="05E242F7"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0</w:t>
            </w:r>
          </w:p>
        </w:tc>
        <w:tc>
          <w:tcPr>
            <w:tcW w:w="1871" w:type="dxa"/>
            <w:tcBorders>
              <w:top w:val="nil"/>
              <w:bottom w:val="single" w:sz="4" w:space="0" w:color="auto"/>
            </w:tcBorders>
            <w:vAlign w:val="bottom"/>
          </w:tcPr>
          <w:p w14:paraId="542F9F13"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0</w:t>
            </w:r>
          </w:p>
        </w:tc>
      </w:tr>
      <w:tr w:rsidR="00230FF6" w:rsidRPr="00C70A73" w14:paraId="1C37A5D4" w14:textId="77777777" w:rsidTr="00CD7B28">
        <w:trPr>
          <w:trHeight w:val="247"/>
        </w:trPr>
        <w:tc>
          <w:tcPr>
            <w:tcW w:w="1679" w:type="dxa"/>
            <w:tcBorders>
              <w:top w:val="single" w:sz="4" w:space="0" w:color="auto"/>
            </w:tcBorders>
          </w:tcPr>
          <w:p w14:paraId="2615B6F3"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p>
        </w:tc>
        <w:tc>
          <w:tcPr>
            <w:tcW w:w="2890" w:type="dxa"/>
            <w:tcBorders>
              <w:top w:val="single" w:sz="4" w:space="0" w:color="auto"/>
            </w:tcBorders>
          </w:tcPr>
          <w:p w14:paraId="2A184891"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p>
        </w:tc>
        <w:tc>
          <w:tcPr>
            <w:tcW w:w="2496" w:type="dxa"/>
            <w:tcBorders>
              <w:top w:val="single" w:sz="4" w:space="0" w:color="auto"/>
            </w:tcBorders>
          </w:tcPr>
          <w:p w14:paraId="00A4B6AD"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Total</w:t>
            </w:r>
          </w:p>
        </w:tc>
        <w:tc>
          <w:tcPr>
            <w:tcW w:w="1772" w:type="dxa"/>
            <w:tcBorders>
              <w:top w:val="single" w:sz="4" w:space="0" w:color="auto"/>
            </w:tcBorders>
          </w:tcPr>
          <w:p w14:paraId="4A00AFB6"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b/>
                <w:sz w:val="24"/>
                <w:szCs w:val="24"/>
              </w:rPr>
            </w:pPr>
            <w:r w:rsidRPr="00C70A73">
              <w:rPr>
                <w:rFonts w:ascii="Times New Roman" w:hAnsi="Times New Roman" w:cs="Times New Roman"/>
                <w:b/>
                <w:sz w:val="24"/>
                <w:szCs w:val="24"/>
              </w:rPr>
              <w:t>230</w:t>
            </w:r>
          </w:p>
        </w:tc>
        <w:tc>
          <w:tcPr>
            <w:tcW w:w="1871" w:type="dxa"/>
            <w:tcBorders>
              <w:top w:val="single" w:sz="4" w:space="0" w:color="auto"/>
            </w:tcBorders>
          </w:tcPr>
          <w:p w14:paraId="1761C10C"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b/>
                <w:sz w:val="24"/>
                <w:szCs w:val="24"/>
              </w:rPr>
            </w:pPr>
            <w:r w:rsidRPr="00C70A73">
              <w:rPr>
                <w:rFonts w:ascii="Times New Roman" w:hAnsi="Times New Roman" w:cs="Times New Roman"/>
                <w:b/>
                <w:sz w:val="24"/>
                <w:szCs w:val="24"/>
              </w:rPr>
              <w:t>100</w:t>
            </w:r>
          </w:p>
        </w:tc>
      </w:tr>
      <w:tr w:rsidR="00230FF6" w:rsidRPr="00C70A73" w14:paraId="3368ABE5" w14:textId="77777777" w:rsidTr="00CD7B28">
        <w:trPr>
          <w:trHeight w:val="265"/>
        </w:trPr>
        <w:tc>
          <w:tcPr>
            <w:tcW w:w="1679" w:type="dxa"/>
          </w:tcPr>
          <w:p w14:paraId="1DE17FE6"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890" w:type="dxa"/>
          </w:tcPr>
          <w:p w14:paraId="6EF451C6"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496" w:type="dxa"/>
          </w:tcPr>
          <w:p w14:paraId="2DF2141D"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r w:rsidRPr="00C70A73">
              <w:rPr>
                <w:rFonts w:ascii="Times New Roman" w:hAnsi="Times New Roman" w:cs="Times New Roman"/>
                <w:b/>
                <w:bCs/>
                <w:sz w:val="24"/>
                <w:szCs w:val="24"/>
              </w:rPr>
              <w:t>Overall Mean</w:t>
            </w:r>
          </w:p>
        </w:tc>
        <w:tc>
          <w:tcPr>
            <w:tcW w:w="3644" w:type="dxa"/>
            <w:gridSpan w:val="2"/>
          </w:tcPr>
          <w:p w14:paraId="3AFA67B0"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b/>
                <w:bCs/>
                <w:sz w:val="24"/>
                <w:szCs w:val="24"/>
              </w:rPr>
            </w:pPr>
            <w:r w:rsidRPr="00C70A73">
              <w:rPr>
                <w:rFonts w:ascii="Times New Roman" w:hAnsi="Times New Roman" w:cs="Times New Roman"/>
                <w:b/>
                <w:bCs/>
                <w:sz w:val="24"/>
                <w:szCs w:val="24"/>
              </w:rPr>
              <w:t>4.13</w:t>
            </w:r>
          </w:p>
        </w:tc>
      </w:tr>
      <w:tr w:rsidR="00230FF6" w:rsidRPr="00C70A73" w14:paraId="3273797F" w14:textId="77777777" w:rsidTr="00CD7B28">
        <w:trPr>
          <w:trHeight w:val="247"/>
        </w:trPr>
        <w:tc>
          <w:tcPr>
            <w:tcW w:w="1679" w:type="dxa"/>
          </w:tcPr>
          <w:p w14:paraId="51974BAE"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890" w:type="dxa"/>
          </w:tcPr>
          <w:p w14:paraId="343F23BC"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496" w:type="dxa"/>
          </w:tcPr>
          <w:p w14:paraId="754AAEBF"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r w:rsidRPr="00C70A73">
              <w:rPr>
                <w:rFonts w:ascii="Times New Roman" w:hAnsi="Times New Roman" w:cs="Times New Roman"/>
                <w:b/>
                <w:bCs/>
                <w:sz w:val="24"/>
                <w:szCs w:val="24"/>
              </w:rPr>
              <w:t>Interpretation</w:t>
            </w:r>
          </w:p>
        </w:tc>
        <w:tc>
          <w:tcPr>
            <w:tcW w:w="3644" w:type="dxa"/>
            <w:gridSpan w:val="2"/>
          </w:tcPr>
          <w:p w14:paraId="4D1ED237"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b/>
                <w:bCs/>
                <w:sz w:val="24"/>
                <w:szCs w:val="24"/>
              </w:rPr>
            </w:pPr>
            <w:r w:rsidRPr="00C70A73">
              <w:rPr>
                <w:rFonts w:ascii="Times New Roman" w:hAnsi="Times New Roman" w:cs="Times New Roman"/>
                <w:b/>
                <w:bCs/>
                <w:sz w:val="24"/>
                <w:szCs w:val="24"/>
              </w:rPr>
              <w:t>High</w:t>
            </w:r>
          </w:p>
        </w:tc>
      </w:tr>
      <w:tr w:rsidR="00230FF6" w:rsidRPr="00C70A73" w14:paraId="7AFA52DA" w14:textId="77777777" w:rsidTr="00CD7B28">
        <w:trPr>
          <w:trHeight w:val="265"/>
        </w:trPr>
        <w:tc>
          <w:tcPr>
            <w:tcW w:w="1679" w:type="dxa"/>
          </w:tcPr>
          <w:p w14:paraId="1308DE19"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890" w:type="dxa"/>
          </w:tcPr>
          <w:p w14:paraId="563D1A35"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496" w:type="dxa"/>
          </w:tcPr>
          <w:p w14:paraId="012334C8"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r w:rsidRPr="00C70A73">
              <w:rPr>
                <w:rFonts w:ascii="Times New Roman" w:hAnsi="Times New Roman" w:cs="Times New Roman"/>
                <w:b/>
                <w:bCs/>
                <w:sz w:val="24"/>
                <w:szCs w:val="24"/>
              </w:rPr>
              <w:t>SD</w:t>
            </w:r>
          </w:p>
        </w:tc>
        <w:tc>
          <w:tcPr>
            <w:tcW w:w="3644" w:type="dxa"/>
            <w:gridSpan w:val="2"/>
          </w:tcPr>
          <w:p w14:paraId="3EAC81BF"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b/>
                <w:bCs/>
                <w:sz w:val="24"/>
                <w:szCs w:val="24"/>
              </w:rPr>
            </w:pPr>
            <w:r w:rsidRPr="00C70A73">
              <w:rPr>
                <w:rFonts w:ascii="Times New Roman" w:hAnsi="Times New Roman" w:cs="Times New Roman"/>
                <w:b/>
                <w:bCs/>
                <w:sz w:val="24"/>
                <w:szCs w:val="24"/>
              </w:rPr>
              <w:t>0.53</w:t>
            </w:r>
          </w:p>
        </w:tc>
      </w:tr>
    </w:tbl>
    <w:p w14:paraId="104CD550" w14:textId="77777777" w:rsidR="00B416A2" w:rsidRDefault="00275613" w:rsidP="00C70A73">
      <w:pPr>
        <w:pStyle w:val="NoSpacing"/>
        <w:spacing w:before="240" w:after="240"/>
        <w:jc w:val="both"/>
        <w:rPr>
          <w:rFonts w:ascii="Times New Roman" w:hAnsi="Times New Roman" w:cs="Times New Roman"/>
          <w:bCs/>
          <w:sz w:val="24"/>
          <w:szCs w:val="24"/>
        </w:rPr>
      </w:pPr>
      <w:r>
        <w:rPr>
          <w:rFonts w:ascii="Times New Roman" w:hAnsi="Times New Roman" w:cs="Times New Roman"/>
          <w:bCs/>
          <w:sz w:val="24"/>
          <w:szCs w:val="24"/>
        </w:rPr>
        <w:t>Most</w:t>
      </w:r>
      <w:r w:rsidR="00230FF6" w:rsidRPr="00C70A73">
        <w:rPr>
          <w:rFonts w:ascii="Times New Roman" w:hAnsi="Times New Roman" w:cs="Times New Roman"/>
          <w:bCs/>
          <w:sz w:val="24"/>
          <w:szCs w:val="24"/>
        </w:rPr>
        <w:t xml:space="preserve"> participants </w:t>
      </w:r>
      <w:r>
        <w:rPr>
          <w:rFonts w:ascii="Times New Roman" w:hAnsi="Times New Roman" w:cs="Times New Roman"/>
          <w:bCs/>
          <w:sz w:val="24"/>
          <w:szCs w:val="24"/>
        </w:rPr>
        <w:t xml:space="preserve">rated </w:t>
      </w:r>
      <w:r w:rsidR="00230FF6" w:rsidRPr="00C70A73">
        <w:rPr>
          <w:rFonts w:ascii="Times New Roman" w:hAnsi="Times New Roman" w:cs="Times New Roman"/>
          <w:bCs/>
          <w:sz w:val="24"/>
          <w:szCs w:val="24"/>
        </w:rPr>
        <w:t>instructional approach</w:t>
      </w:r>
      <w:r>
        <w:rPr>
          <w:rFonts w:ascii="Times New Roman" w:hAnsi="Times New Roman" w:cs="Times New Roman"/>
          <w:bCs/>
          <w:sz w:val="24"/>
          <w:szCs w:val="24"/>
        </w:rPr>
        <w:t>es</w:t>
      </w:r>
      <w:r w:rsidR="00230FF6" w:rsidRPr="00C70A73">
        <w:rPr>
          <w:rFonts w:ascii="Times New Roman" w:hAnsi="Times New Roman" w:cs="Times New Roman"/>
          <w:bCs/>
          <w:sz w:val="24"/>
          <w:szCs w:val="24"/>
        </w:rPr>
        <w:t xml:space="preserve"> as “High” (58.7%</w:t>
      </w:r>
      <w:proofErr w:type="gramStart"/>
      <w:r w:rsidR="00230FF6" w:rsidRPr="00C70A73">
        <w:rPr>
          <w:rFonts w:ascii="Times New Roman" w:hAnsi="Times New Roman" w:cs="Times New Roman"/>
          <w:bCs/>
          <w:sz w:val="24"/>
          <w:szCs w:val="24"/>
        </w:rPr>
        <w:t xml:space="preserve">) </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while </w:t>
      </w:r>
      <w:r w:rsidR="00230FF6" w:rsidRPr="00C70A73">
        <w:rPr>
          <w:rFonts w:ascii="Times New Roman" w:hAnsi="Times New Roman" w:cs="Times New Roman"/>
          <w:bCs/>
          <w:sz w:val="24"/>
          <w:szCs w:val="24"/>
        </w:rPr>
        <w:t xml:space="preserve">(27.83%) rated it as “Very high”. </w:t>
      </w:r>
      <w:r>
        <w:rPr>
          <w:rFonts w:ascii="Times New Roman" w:hAnsi="Times New Roman" w:cs="Times New Roman"/>
          <w:bCs/>
          <w:sz w:val="24"/>
          <w:szCs w:val="24"/>
        </w:rPr>
        <w:t xml:space="preserve">A smaller </w:t>
      </w:r>
      <w:r w:rsidR="0044024B" w:rsidRPr="00C70A73">
        <w:rPr>
          <w:rFonts w:ascii="Times New Roman" w:hAnsi="Times New Roman" w:cs="Times New Roman"/>
          <w:bCs/>
          <w:sz w:val="24"/>
          <w:szCs w:val="24"/>
        </w:rPr>
        <w:t>portion</w:t>
      </w:r>
      <w:r w:rsidR="00230FF6" w:rsidRPr="00C70A73">
        <w:rPr>
          <w:rFonts w:ascii="Times New Roman" w:hAnsi="Times New Roman" w:cs="Times New Roman"/>
          <w:bCs/>
          <w:sz w:val="24"/>
          <w:szCs w:val="24"/>
        </w:rPr>
        <w:t xml:space="preserve"> rated </w:t>
      </w:r>
      <w:r>
        <w:rPr>
          <w:rFonts w:ascii="Times New Roman" w:hAnsi="Times New Roman" w:cs="Times New Roman"/>
          <w:bCs/>
          <w:sz w:val="24"/>
          <w:szCs w:val="24"/>
        </w:rPr>
        <w:t>them</w:t>
      </w:r>
      <w:r w:rsidR="00230FF6" w:rsidRPr="00C70A73">
        <w:rPr>
          <w:rFonts w:ascii="Times New Roman" w:hAnsi="Times New Roman" w:cs="Times New Roman"/>
          <w:bCs/>
          <w:sz w:val="24"/>
          <w:szCs w:val="24"/>
        </w:rPr>
        <w:t xml:space="preserve"> as “Moderate” (13.04%) and </w:t>
      </w:r>
      <w:r>
        <w:rPr>
          <w:rFonts w:ascii="Times New Roman" w:hAnsi="Times New Roman" w:cs="Times New Roman"/>
          <w:bCs/>
          <w:sz w:val="24"/>
          <w:szCs w:val="24"/>
        </w:rPr>
        <w:t>only (</w:t>
      </w:r>
      <w:r w:rsidR="00230FF6" w:rsidRPr="00C70A73">
        <w:rPr>
          <w:rFonts w:ascii="Times New Roman" w:hAnsi="Times New Roman" w:cs="Times New Roman"/>
          <w:bCs/>
          <w:sz w:val="24"/>
          <w:szCs w:val="24"/>
        </w:rPr>
        <w:t>0.435%</w:t>
      </w:r>
      <w:r>
        <w:rPr>
          <w:rFonts w:ascii="Times New Roman" w:hAnsi="Times New Roman" w:cs="Times New Roman"/>
          <w:bCs/>
          <w:sz w:val="24"/>
          <w:szCs w:val="24"/>
        </w:rPr>
        <w:t>)</w:t>
      </w:r>
      <w:r w:rsidR="00230FF6" w:rsidRPr="00C70A73">
        <w:rPr>
          <w:rFonts w:ascii="Times New Roman" w:hAnsi="Times New Roman" w:cs="Times New Roman"/>
          <w:bCs/>
          <w:sz w:val="24"/>
          <w:szCs w:val="24"/>
        </w:rPr>
        <w:t xml:space="preserve"> rated it as “Low”. This indicates that </w:t>
      </w:r>
      <w:r w:rsidR="0044024B" w:rsidRPr="00C70A73">
        <w:rPr>
          <w:rFonts w:ascii="Times New Roman" w:hAnsi="Times New Roman" w:cs="Times New Roman"/>
          <w:bCs/>
          <w:sz w:val="24"/>
          <w:szCs w:val="24"/>
        </w:rPr>
        <w:t xml:space="preserve">the </w:t>
      </w:r>
      <w:r>
        <w:rPr>
          <w:rFonts w:ascii="Times New Roman" w:hAnsi="Times New Roman" w:cs="Times New Roman"/>
          <w:bCs/>
          <w:sz w:val="24"/>
          <w:szCs w:val="24"/>
        </w:rPr>
        <w:t>students’ generally</w:t>
      </w:r>
      <w:r w:rsidR="0044024B" w:rsidRPr="00C70A73">
        <w:rPr>
          <w:rFonts w:ascii="Times New Roman" w:hAnsi="Times New Roman" w:cs="Times New Roman"/>
          <w:bCs/>
          <w:sz w:val="24"/>
          <w:szCs w:val="24"/>
        </w:rPr>
        <w:t xml:space="preserve"> perceive </w:t>
      </w:r>
      <w:proofErr w:type="gramStart"/>
      <w:r w:rsidR="0044024B" w:rsidRPr="00C70A73">
        <w:rPr>
          <w:rFonts w:ascii="Times New Roman" w:hAnsi="Times New Roman" w:cs="Times New Roman"/>
          <w:bCs/>
          <w:sz w:val="24"/>
          <w:szCs w:val="24"/>
        </w:rPr>
        <w:t xml:space="preserve">their  </w:t>
      </w:r>
      <w:r w:rsidR="00230FF6" w:rsidRPr="00C70A73">
        <w:rPr>
          <w:rFonts w:ascii="Times New Roman" w:hAnsi="Times New Roman" w:cs="Times New Roman"/>
          <w:bCs/>
          <w:sz w:val="24"/>
          <w:szCs w:val="24"/>
        </w:rPr>
        <w:t>instructors’</w:t>
      </w:r>
      <w:proofErr w:type="gramEnd"/>
      <w:r w:rsidR="00230FF6" w:rsidRPr="00C70A73">
        <w:rPr>
          <w:rFonts w:ascii="Times New Roman" w:hAnsi="Times New Roman" w:cs="Times New Roman"/>
          <w:bCs/>
          <w:sz w:val="24"/>
          <w:szCs w:val="24"/>
        </w:rPr>
        <w:t xml:space="preserve"> </w:t>
      </w:r>
      <w:r w:rsidR="0044024B" w:rsidRPr="00C70A73">
        <w:rPr>
          <w:rFonts w:ascii="Times New Roman" w:hAnsi="Times New Roman" w:cs="Times New Roman"/>
          <w:bCs/>
          <w:sz w:val="24"/>
          <w:szCs w:val="24"/>
        </w:rPr>
        <w:t xml:space="preserve">as effectively </w:t>
      </w:r>
      <w:r>
        <w:rPr>
          <w:rFonts w:ascii="Times New Roman" w:hAnsi="Times New Roman" w:cs="Times New Roman"/>
          <w:bCs/>
          <w:sz w:val="24"/>
          <w:szCs w:val="24"/>
        </w:rPr>
        <w:t>using</w:t>
      </w:r>
      <w:r w:rsidR="0044024B" w:rsidRPr="00C70A73">
        <w:rPr>
          <w:rFonts w:ascii="Times New Roman" w:hAnsi="Times New Roman" w:cs="Times New Roman"/>
          <w:bCs/>
          <w:sz w:val="24"/>
          <w:szCs w:val="24"/>
        </w:rPr>
        <w:t xml:space="preserve"> active </w:t>
      </w:r>
      <w:r w:rsidR="00230FF6" w:rsidRPr="00C70A73">
        <w:rPr>
          <w:rFonts w:ascii="Times New Roman" w:hAnsi="Times New Roman" w:cs="Times New Roman"/>
          <w:bCs/>
          <w:sz w:val="24"/>
          <w:szCs w:val="24"/>
        </w:rPr>
        <w:t xml:space="preserve"> </w:t>
      </w:r>
      <w:r w:rsidR="0044024B" w:rsidRPr="00C70A73">
        <w:rPr>
          <w:rFonts w:ascii="Times New Roman" w:hAnsi="Times New Roman" w:cs="Times New Roman"/>
          <w:bCs/>
          <w:sz w:val="24"/>
          <w:szCs w:val="24"/>
        </w:rPr>
        <w:t>and participatory teaching methods in laboratory settings.</w:t>
      </w:r>
      <w:r>
        <w:rPr>
          <w:rFonts w:ascii="Times New Roman" w:hAnsi="Times New Roman" w:cs="Times New Roman"/>
          <w:bCs/>
          <w:sz w:val="24"/>
          <w:szCs w:val="24"/>
        </w:rPr>
        <w:t xml:space="preserve"> </w:t>
      </w:r>
      <w:r w:rsidR="0044024B" w:rsidRPr="00C70A73">
        <w:rPr>
          <w:rFonts w:ascii="Times New Roman" w:hAnsi="Times New Roman" w:cs="Times New Roman"/>
          <w:bCs/>
          <w:sz w:val="24"/>
          <w:szCs w:val="24"/>
        </w:rPr>
        <w:t>These findings suggests that</w:t>
      </w:r>
      <w:r w:rsidR="00881E9B" w:rsidRPr="00C70A73">
        <w:rPr>
          <w:rFonts w:ascii="Times New Roman" w:hAnsi="Times New Roman" w:cs="Times New Roman"/>
          <w:bCs/>
          <w:sz w:val="24"/>
          <w:szCs w:val="24"/>
        </w:rPr>
        <w:t xml:space="preserve"> the instructors simulates </w:t>
      </w:r>
      <w:r w:rsidR="00425E5B" w:rsidRPr="00C70A73">
        <w:rPr>
          <w:rFonts w:ascii="Times New Roman" w:hAnsi="Times New Roman" w:cs="Times New Roman"/>
          <w:bCs/>
          <w:sz w:val="24"/>
          <w:szCs w:val="24"/>
        </w:rPr>
        <w:t xml:space="preserve">real-life agricultural situations, </w:t>
      </w:r>
      <w:r>
        <w:rPr>
          <w:rFonts w:ascii="Times New Roman" w:hAnsi="Times New Roman" w:cs="Times New Roman"/>
          <w:bCs/>
          <w:sz w:val="24"/>
          <w:szCs w:val="24"/>
        </w:rPr>
        <w:t>allow students</w:t>
      </w:r>
      <w:r w:rsidR="00230FF6" w:rsidRPr="00C70A73">
        <w:rPr>
          <w:rFonts w:ascii="Times New Roman" w:hAnsi="Times New Roman" w:cs="Times New Roman"/>
          <w:bCs/>
          <w:sz w:val="24"/>
          <w:szCs w:val="24"/>
        </w:rPr>
        <w:t xml:space="preserve"> to apply their theoretical knowledge through </w:t>
      </w:r>
      <w:r>
        <w:rPr>
          <w:rFonts w:ascii="Times New Roman" w:hAnsi="Times New Roman" w:cs="Times New Roman"/>
          <w:bCs/>
          <w:sz w:val="24"/>
          <w:szCs w:val="24"/>
        </w:rPr>
        <w:t>practical</w:t>
      </w:r>
      <w:r w:rsidR="00230FF6" w:rsidRPr="00C70A73">
        <w:rPr>
          <w:rFonts w:ascii="Times New Roman" w:hAnsi="Times New Roman" w:cs="Times New Roman"/>
          <w:bCs/>
          <w:sz w:val="24"/>
          <w:szCs w:val="24"/>
        </w:rPr>
        <w:t xml:space="preserve"> experiences. Th</w:t>
      </w:r>
      <w:r>
        <w:rPr>
          <w:rFonts w:ascii="Times New Roman" w:hAnsi="Times New Roman" w:cs="Times New Roman"/>
          <w:bCs/>
          <w:sz w:val="24"/>
          <w:szCs w:val="24"/>
        </w:rPr>
        <w:t xml:space="preserve">e results compliments </w:t>
      </w:r>
      <w:r w:rsidR="00230FF6" w:rsidRPr="00C70A73">
        <w:rPr>
          <w:rFonts w:ascii="Times New Roman" w:hAnsi="Times New Roman" w:cs="Times New Roman"/>
          <w:bCs/>
          <w:sz w:val="24"/>
          <w:szCs w:val="24"/>
        </w:rPr>
        <w:t xml:space="preserve">with </w:t>
      </w:r>
      <w:bookmarkStart w:id="4" w:name="_Hlk224770646"/>
      <w:r w:rsidR="00425E5B" w:rsidRPr="00C70A73">
        <w:rPr>
          <w:rFonts w:ascii="Times New Roman" w:hAnsi="Times New Roman" w:cs="Times New Roman"/>
          <w:sz w:val="24"/>
          <w:szCs w:val="24"/>
        </w:rPr>
        <w:t>Dela Peña (2025)</w:t>
      </w:r>
      <w:bookmarkEnd w:id="4"/>
      <w:r w:rsidR="00B416A2">
        <w:rPr>
          <w:rFonts w:ascii="Times New Roman" w:hAnsi="Times New Roman" w:cs="Times New Roman"/>
        </w:rPr>
        <w:t xml:space="preserve">, </w:t>
      </w:r>
      <w:r w:rsidR="0044024B" w:rsidRPr="00C70A73">
        <w:rPr>
          <w:rFonts w:ascii="Times New Roman" w:hAnsi="Times New Roman" w:cs="Times New Roman"/>
          <w:bCs/>
          <w:sz w:val="24"/>
          <w:szCs w:val="24"/>
        </w:rPr>
        <w:t xml:space="preserve">who </w:t>
      </w:r>
      <w:r w:rsidR="00B416A2">
        <w:rPr>
          <w:rFonts w:ascii="Times New Roman" w:hAnsi="Times New Roman" w:cs="Times New Roman"/>
          <w:bCs/>
          <w:sz w:val="24"/>
          <w:szCs w:val="24"/>
        </w:rPr>
        <w:t>emphasized</w:t>
      </w:r>
      <w:r w:rsidR="0044024B" w:rsidRPr="00C70A73">
        <w:rPr>
          <w:rFonts w:ascii="Times New Roman" w:hAnsi="Times New Roman" w:cs="Times New Roman"/>
          <w:bCs/>
          <w:sz w:val="24"/>
          <w:szCs w:val="24"/>
        </w:rPr>
        <w:t xml:space="preserve"> that</w:t>
      </w:r>
      <w:r w:rsidR="00230FF6" w:rsidRPr="00C70A73">
        <w:rPr>
          <w:rFonts w:ascii="Times New Roman" w:hAnsi="Times New Roman" w:cs="Times New Roman"/>
          <w:bCs/>
          <w:sz w:val="24"/>
          <w:szCs w:val="24"/>
        </w:rPr>
        <w:t xml:space="preserve"> innovative teaching methods </w:t>
      </w:r>
      <w:r w:rsidR="0044024B" w:rsidRPr="00C70A73">
        <w:rPr>
          <w:rFonts w:ascii="Times New Roman" w:hAnsi="Times New Roman" w:cs="Times New Roman"/>
          <w:bCs/>
          <w:sz w:val="24"/>
          <w:szCs w:val="24"/>
        </w:rPr>
        <w:t>create</w:t>
      </w:r>
      <w:r w:rsidR="00230FF6" w:rsidRPr="00C70A73">
        <w:rPr>
          <w:rFonts w:ascii="Times New Roman" w:hAnsi="Times New Roman" w:cs="Times New Roman"/>
          <w:bCs/>
          <w:sz w:val="24"/>
          <w:szCs w:val="24"/>
        </w:rPr>
        <w:t xml:space="preserve"> </w:t>
      </w:r>
      <w:r w:rsidR="00B416A2">
        <w:rPr>
          <w:rFonts w:ascii="Times New Roman" w:hAnsi="Times New Roman" w:cs="Times New Roman"/>
          <w:bCs/>
          <w:sz w:val="24"/>
          <w:szCs w:val="24"/>
        </w:rPr>
        <w:t>supportive</w:t>
      </w:r>
      <w:r w:rsidR="00230FF6" w:rsidRPr="00C70A73">
        <w:rPr>
          <w:rFonts w:ascii="Times New Roman" w:hAnsi="Times New Roman" w:cs="Times New Roman"/>
          <w:bCs/>
          <w:sz w:val="24"/>
          <w:szCs w:val="24"/>
        </w:rPr>
        <w:t xml:space="preserve"> learning environment </w:t>
      </w:r>
      <w:r w:rsidR="00B416A2">
        <w:rPr>
          <w:rFonts w:ascii="Times New Roman" w:hAnsi="Times New Roman" w:cs="Times New Roman"/>
          <w:bCs/>
          <w:sz w:val="24"/>
          <w:szCs w:val="24"/>
        </w:rPr>
        <w:t>that enhance students’ fieldwork experiences in agriculture. Furthermore</w:t>
      </w:r>
      <w:r w:rsidR="0044024B" w:rsidRPr="00C70A73">
        <w:rPr>
          <w:rFonts w:ascii="Times New Roman" w:hAnsi="Times New Roman" w:cs="Times New Roman"/>
          <w:bCs/>
          <w:sz w:val="24"/>
          <w:szCs w:val="24"/>
        </w:rPr>
        <w:t xml:space="preserve">, </w:t>
      </w:r>
      <w:r w:rsidR="00B416A2">
        <w:rPr>
          <w:rFonts w:ascii="Times New Roman" w:hAnsi="Times New Roman" w:cs="Times New Roman"/>
          <w:bCs/>
          <w:sz w:val="24"/>
          <w:szCs w:val="24"/>
        </w:rPr>
        <w:t xml:space="preserve">it aligns with </w:t>
      </w:r>
      <w:r w:rsidR="00B416A2" w:rsidRPr="00C70A73">
        <w:rPr>
          <w:rFonts w:ascii="Times New Roman" w:hAnsi="Times New Roman" w:cs="Times New Roman"/>
          <w:bCs/>
          <w:sz w:val="24"/>
          <w:szCs w:val="24"/>
        </w:rPr>
        <w:t>Kolb’s Experiential Learning Theory</w:t>
      </w:r>
      <w:r w:rsidR="00B416A2">
        <w:rPr>
          <w:rFonts w:ascii="Times New Roman" w:hAnsi="Times New Roman" w:cs="Times New Roman"/>
          <w:bCs/>
          <w:sz w:val="24"/>
          <w:szCs w:val="24"/>
        </w:rPr>
        <w:t xml:space="preserve">, which posits that learning is strengthened through concrete experience, </w:t>
      </w:r>
      <w:r w:rsidR="00B416A2" w:rsidRPr="00C70A73">
        <w:rPr>
          <w:rFonts w:ascii="Times New Roman" w:hAnsi="Times New Roman" w:cs="Times New Roman"/>
          <w:bCs/>
          <w:sz w:val="24"/>
          <w:szCs w:val="24"/>
        </w:rPr>
        <w:t>reflective observation</w:t>
      </w:r>
      <w:r w:rsidR="00B416A2">
        <w:rPr>
          <w:rFonts w:ascii="Times New Roman" w:hAnsi="Times New Roman" w:cs="Times New Roman"/>
          <w:bCs/>
          <w:sz w:val="24"/>
          <w:szCs w:val="24"/>
        </w:rPr>
        <w:t xml:space="preserve">, and active participation, thereby improving </w:t>
      </w:r>
      <w:proofErr w:type="gramStart"/>
      <w:r w:rsidR="00B416A2">
        <w:rPr>
          <w:rFonts w:ascii="Times New Roman" w:hAnsi="Times New Roman" w:cs="Times New Roman"/>
          <w:bCs/>
          <w:sz w:val="24"/>
          <w:szCs w:val="24"/>
        </w:rPr>
        <w:t>students</w:t>
      </w:r>
      <w:proofErr w:type="gramEnd"/>
      <w:r w:rsidR="00B416A2">
        <w:rPr>
          <w:rFonts w:ascii="Times New Roman" w:hAnsi="Times New Roman" w:cs="Times New Roman"/>
          <w:bCs/>
          <w:sz w:val="24"/>
          <w:szCs w:val="24"/>
        </w:rPr>
        <w:t xml:space="preserve"> fieldwork performance (</w:t>
      </w:r>
      <w:r w:rsidR="00B416A2" w:rsidRPr="00C70A73">
        <w:rPr>
          <w:rFonts w:ascii="Times New Roman" w:hAnsi="Times New Roman" w:cs="Times New Roman"/>
          <w:bCs/>
          <w:sz w:val="24"/>
          <w:szCs w:val="24"/>
        </w:rPr>
        <w:t>Scott et al., 2023).</w:t>
      </w:r>
    </w:p>
    <w:p w14:paraId="2351C6CF" w14:textId="77777777" w:rsidR="00480BB2" w:rsidRDefault="00B416A2" w:rsidP="00480BB2">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 xml:space="preserve">Table </w:t>
      </w:r>
      <w:r>
        <w:rPr>
          <w:rFonts w:ascii="Times New Roman" w:hAnsi="Times New Roman" w:cs="Times New Roman"/>
          <w:bCs/>
          <w:sz w:val="24"/>
          <w:szCs w:val="24"/>
        </w:rPr>
        <w:t>2</w:t>
      </w:r>
      <w:r w:rsidRPr="00C70A73">
        <w:rPr>
          <w:rFonts w:ascii="Times New Roman" w:hAnsi="Times New Roman" w:cs="Times New Roman"/>
          <w:bCs/>
          <w:sz w:val="24"/>
          <w:szCs w:val="24"/>
        </w:rPr>
        <w:t xml:space="preserve"> presents the frequency, percentage and mean distribution of the participants’ use of appropriate resources in their laboratory subjects. The </w:t>
      </w:r>
      <w:r>
        <w:rPr>
          <w:rFonts w:ascii="Times New Roman" w:hAnsi="Times New Roman" w:cs="Times New Roman"/>
          <w:bCs/>
          <w:sz w:val="24"/>
          <w:szCs w:val="24"/>
        </w:rPr>
        <w:t>results show</w:t>
      </w:r>
      <w:r w:rsidRPr="00C70A73">
        <w:rPr>
          <w:rFonts w:ascii="Times New Roman" w:hAnsi="Times New Roman" w:cs="Times New Roman"/>
          <w:bCs/>
          <w:sz w:val="24"/>
          <w:szCs w:val="24"/>
        </w:rPr>
        <w:t xml:space="preserve"> </w:t>
      </w:r>
      <w:r>
        <w:rPr>
          <w:rFonts w:ascii="Times New Roman" w:hAnsi="Times New Roman" w:cs="Times New Roman"/>
          <w:bCs/>
          <w:sz w:val="24"/>
          <w:szCs w:val="24"/>
        </w:rPr>
        <w:t>that appropriate resources were rated as</w:t>
      </w:r>
      <w:r w:rsidRPr="00C70A73">
        <w:rPr>
          <w:rFonts w:ascii="Times New Roman" w:hAnsi="Times New Roman" w:cs="Times New Roman"/>
          <w:bCs/>
          <w:sz w:val="24"/>
          <w:szCs w:val="24"/>
        </w:rPr>
        <w:t xml:space="preserve"> hig</w:t>
      </w:r>
      <w:r>
        <w:rPr>
          <w:rFonts w:ascii="Times New Roman" w:hAnsi="Times New Roman" w:cs="Times New Roman"/>
          <w:bCs/>
          <w:sz w:val="24"/>
          <w:szCs w:val="24"/>
        </w:rPr>
        <w:t xml:space="preserve">h with an </w:t>
      </w:r>
      <w:r w:rsidRPr="00C70A73">
        <w:rPr>
          <w:rFonts w:ascii="Times New Roman" w:hAnsi="Times New Roman" w:cs="Times New Roman"/>
          <w:bCs/>
          <w:sz w:val="24"/>
          <w:szCs w:val="24"/>
        </w:rPr>
        <w:t>overall mean of 4.</w:t>
      </w:r>
      <w:r>
        <w:rPr>
          <w:rFonts w:ascii="Times New Roman" w:hAnsi="Times New Roman" w:cs="Times New Roman"/>
          <w:bCs/>
          <w:sz w:val="24"/>
          <w:szCs w:val="24"/>
        </w:rPr>
        <w:t>09</w:t>
      </w:r>
      <w:r w:rsidRPr="00C70A73">
        <w:rPr>
          <w:rFonts w:ascii="Times New Roman" w:hAnsi="Times New Roman" w:cs="Times New Roman"/>
          <w:bCs/>
          <w:sz w:val="24"/>
          <w:szCs w:val="24"/>
        </w:rPr>
        <w:t>.</w:t>
      </w:r>
      <w:r>
        <w:rPr>
          <w:rFonts w:ascii="Times New Roman" w:hAnsi="Times New Roman" w:cs="Times New Roman"/>
          <w:bCs/>
          <w:sz w:val="24"/>
          <w:szCs w:val="24"/>
        </w:rPr>
        <w:t xml:space="preserve"> </w:t>
      </w:r>
      <w:r w:rsidR="00480BB2" w:rsidRPr="00480BB2">
        <w:rPr>
          <w:rFonts w:ascii="Times New Roman" w:hAnsi="Times New Roman" w:cs="Times New Roman"/>
          <w:bCs/>
          <w:sz w:val="24"/>
          <w:szCs w:val="24"/>
        </w:rPr>
        <w:t xml:space="preserve">This suggests that use of laboratory resources is consistently integrated into student’s laboratory subjects, indicating that they have regular access to agricultural tools, equipment, and facilities necessary for their laboratory-based learning. Moreover, it reflects that students are consistently supported by hands-on experiences guided by their instructors in the agricultural settings. </w:t>
      </w:r>
      <w:proofErr w:type="gramStart"/>
      <w:r w:rsidR="00480BB2" w:rsidRPr="00480BB2">
        <w:rPr>
          <w:rFonts w:ascii="Times New Roman" w:hAnsi="Times New Roman" w:cs="Times New Roman"/>
          <w:bCs/>
          <w:sz w:val="24"/>
          <w:szCs w:val="24"/>
        </w:rPr>
        <w:t>This involve</w:t>
      </w:r>
      <w:proofErr w:type="gramEnd"/>
      <w:r w:rsidR="00480BB2" w:rsidRPr="00480BB2">
        <w:rPr>
          <w:rFonts w:ascii="Times New Roman" w:hAnsi="Times New Roman" w:cs="Times New Roman"/>
          <w:bCs/>
          <w:sz w:val="24"/>
          <w:szCs w:val="24"/>
        </w:rPr>
        <w:t xml:space="preserve"> understanding technical procedures, enhancing manipulative skills that connects classroom knowledge in with practical field applications in Animal and Dairy Science education.</w:t>
      </w:r>
    </w:p>
    <w:p w14:paraId="58C6FC1C" w14:textId="4412E115" w:rsidR="00480BB2" w:rsidRDefault="00480BB2" w:rsidP="00480BB2">
      <w:pPr>
        <w:pStyle w:val="NoSpacing"/>
        <w:spacing w:before="240" w:after="240"/>
        <w:jc w:val="both"/>
        <w:rPr>
          <w:rFonts w:ascii="Times New Roman" w:hAnsi="Times New Roman" w:cs="Times New Roman"/>
          <w:bCs/>
          <w:sz w:val="24"/>
          <w:szCs w:val="24"/>
        </w:rPr>
      </w:pPr>
      <w:r>
        <w:rPr>
          <w:rFonts w:ascii="Times New Roman" w:hAnsi="Times New Roman" w:cs="Times New Roman"/>
          <w:bCs/>
          <w:sz w:val="24"/>
          <w:szCs w:val="24"/>
        </w:rPr>
        <w:t xml:space="preserve">This aligns with </w:t>
      </w:r>
      <w:r w:rsidRPr="00C70A73">
        <w:rPr>
          <w:rFonts w:ascii="Times New Roman" w:hAnsi="Times New Roman" w:cs="Times New Roman"/>
          <w:bCs/>
          <w:sz w:val="24"/>
          <w:szCs w:val="24"/>
        </w:rPr>
        <w:t>Rayment et al</w:t>
      </w:r>
      <w:r>
        <w:rPr>
          <w:rFonts w:ascii="Times New Roman" w:hAnsi="Times New Roman" w:cs="Times New Roman"/>
          <w:bCs/>
          <w:sz w:val="24"/>
          <w:szCs w:val="24"/>
        </w:rPr>
        <w:t xml:space="preserve">. </w:t>
      </w:r>
      <w:r w:rsidRPr="00C70A73">
        <w:rPr>
          <w:rFonts w:ascii="Times New Roman" w:hAnsi="Times New Roman" w:cs="Times New Roman"/>
          <w:bCs/>
          <w:sz w:val="24"/>
          <w:szCs w:val="24"/>
        </w:rPr>
        <w:t>(2023)</w:t>
      </w:r>
      <w:r>
        <w:rPr>
          <w:rFonts w:ascii="Times New Roman" w:hAnsi="Times New Roman" w:cs="Times New Roman"/>
          <w:bCs/>
          <w:sz w:val="24"/>
          <w:szCs w:val="24"/>
        </w:rPr>
        <w:t xml:space="preserve">, who reported that the integration of appropriate agricultural resources in laboratory subjects helps </w:t>
      </w:r>
      <w:r w:rsidRPr="00C70A73">
        <w:rPr>
          <w:rFonts w:ascii="Times New Roman" w:hAnsi="Times New Roman" w:cs="Times New Roman"/>
          <w:bCs/>
          <w:sz w:val="24"/>
          <w:szCs w:val="24"/>
        </w:rPr>
        <w:t>bridge</w:t>
      </w:r>
      <w:r>
        <w:rPr>
          <w:rFonts w:ascii="Times New Roman" w:hAnsi="Times New Roman" w:cs="Times New Roman"/>
          <w:bCs/>
          <w:sz w:val="24"/>
          <w:szCs w:val="24"/>
        </w:rPr>
        <w:t xml:space="preserve"> </w:t>
      </w:r>
      <w:r w:rsidRPr="00C70A73">
        <w:rPr>
          <w:rFonts w:ascii="Times New Roman" w:hAnsi="Times New Roman" w:cs="Times New Roman"/>
          <w:bCs/>
          <w:sz w:val="24"/>
          <w:szCs w:val="24"/>
        </w:rPr>
        <w:t>the gap between theoretical concepts and practical applications.</w:t>
      </w:r>
      <w:r>
        <w:rPr>
          <w:rFonts w:ascii="Times New Roman" w:hAnsi="Times New Roman" w:cs="Times New Roman"/>
          <w:bCs/>
          <w:sz w:val="24"/>
          <w:szCs w:val="24"/>
        </w:rPr>
        <w:t xml:space="preserve"> Similarly, the </w:t>
      </w:r>
      <w:proofErr w:type="gramStart"/>
      <w:r>
        <w:rPr>
          <w:rFonts w:ascii="Times New Roman" w:hAnsi="Times New Roman" w:cs="Times New Roman"/>
          <w:bCs/>
          <w:sz w:val="24"/>
          <w:szCs w:val="24"/>
        </w:rPr>
        <w:t xml:space="preserve">findings </w:t>
      </w:r>
      <w:r w:rsidRPr="00C70A73">
        <w:rPr>
          <w:rFonts w:ascii="Times New Roman" w:hAnsi="Times New Roman" w:cs="Times New Roman"/>
          <w:bCs/>
          <w:sz w:val="24"/>
          <w:szCs w:val="24"/>
        </w:rPr>
        <w:t>highlight</w:t>
      </w:r>
      <w:r>
        <w:rPr>
          <w:rFonts w:ascii="Times New Roman" w:hAnsi="Times New Roman" w:cs="Times New Roman"/>
          <w:bCs/>
          <w:sz w:val="24"/>
          <w:szCs w:val="24"/>
        </w:rPr>
        <w:t>s</w:t>
      </w:r>
      <w:proofErr w:type="gramEnd"/>
      <w:r w:rsidRPr="00C70A73">
        <w:rPr>
          <w:rFonts w:ascii="Times New Roman" w:hAnsi="Times New Roman" w:cs="Times New Roman"/>
          <w:bCs/>
          <w:sz w:val="24"/>
          <w:szCs w:val="24"/>
        </w:rPr>
        <w:t xml:space="preserve"> the need </w:t>
      </w:r>
      <w:r>
        <w:rPr>
          <w:rFonts w:ascii="Times New Roman" w:hAnsi="Times New Roman" w:cs="Times New Roman"/>
          <w:bCs/>
          <w:sz w:val="24"/>
          <w:szCs w:val="24"/>
        </w:rPr>
        <w:t xml:space="preserve">of </w:t>
      </w:r>
      <w:r w:rsidRPr="00C70A73">
        <w:rPr>
          <w:rFonts w:ascii="Times New Roman" w:hAnsi="Times New Roman" w:cs="Times New Roman"/>
          <w:bCs/>
          <w:sz w:val="24"/>
          <w:szCs w:val="24"/>
        </w:rPr>
        <w:t xml:space="preserve">adequate laboratory resources to improve </w:t>
      </w:r>
      <w:r>
        <w:rPr>
          <w:rFonts w:ascii="Times New Roman" w:hAnsi="Times New Roman" w:cs="Times New Roman"/>
          <w:bCs/>
          <w:sz w:val="24"/>
          <w:szCs w:val="24"/>
        </w:rPr>
        <w:t>students</w:t>
      </w:r>
      <w:r w:rsidRPr="00C70A73">
        <w:rPr>
          <w:rFonts w:ascii="Times New Roman" w:hAnsi="Times New Roman" w:cs="Times New Roman"/>
          <w:bCs/>
          <w:sz w:val="24"/>
          <w:szCs w:val="24"/>
        </w:rPr>
        <w:t xml:space="preserve"> practical skills and motivation, implying the necessity to equipped learning environment</w:t>
      </w:r>
      <w:r>
        <w:rPr>
          <w:rFonts w:ascii="Times New Roman" w:hAnsi="Times New Roman" w:cs="Times New Roman"/>
          <w:bCs/>
          <w:sz w:val="24"/>
          <w:szCs w:val="24"/>
        </w:rPr>
        <w:t xml:space="preserve"> for effective agricultural training</w:t>
      </w:r>
      <w:r w:rsidRPr="00C70A73">
        <w:rPr>
          <w:rFonts w:ascii="Times New Roman" w:hAnsi="Times New Roman" w:cs="Times New Roman"/>
          <w:bCs/>
          <w:sz w:val="24"/>
          <w:szCs w:val="24"/>
        </w:rPr>
        <w:t xml:space="preserve"> (Mustika &amp; Hamidah, 2025)</w:t>
      </w:r>
      <w:r>
        <w:rPr>
          <w:rFonts w:ascii="Times New Roman" w:hAnsi="Times New Roman" w:cs="Times New Roman"/>
          <w:bCs/>
          <w:sz w:val="24"/>
          <w:szCs w:val="24"/>
        </w:rPr>
        <w:t>.</w:t>
      </w:r>
    </w:p>
    <w:p w14:paraId="58A0999D" w14:textId="3797E207" w:rsidR="00B416A2" w:rsidRDefault="00B416A2" w:rsidP="00480BB2">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 xml:space="preserve">In addition, </w:t>
      </w:r>
      <w:r w:rsidR="000A1205">
        <w:rPr>
          <w:rFonts w:ascii="Times New Roman" w:hAnsi="Times New Roman" w:cs="Times New Roman"/>
          <w:bCs/>
          <w:sz w:val="24"/>
          <w:szCs w:val="24"/>
        </w:rPr>
        <w:t>most of the</w:t>
      </w:r>
      <w:r w:rsidRPr="00C70A73">
        <w:rPr>
          <w:rFonts w:ascii="Times New Roman" w:hAnsi="Times New Roman" w:cs="Times New Roman"/>
          <w:bCs/>
          <w:sz w:val="24"/>
          <w:szCs w:val="24"/>
        </w:rPr>
        <w:t xml:space="preserve"> participants rated appropriate resources </w:t>
      </w:r>
      <w:r>
        <w:rPr>
          <w:rFonts w:ascii="Times New Roman" w:hAnsi="Times New Roman" w:cs="Times New Roman"/>
          <w:bCs/>
          <w:sz w:val="24"/>
          <w:szCs w:val="24"/>
        </w:rPr>
        <w:t xml:space="preserve">as </w:t>
      </w:r>
      <w:r w:rsidRPr="00C70A73">
        <w:rPr>
          <w:rFonts w:ascii="Times New Roman" w:hAnsi="Times New Roman" w:cs="Times New Roman"/>
          <w:bCs/>
          <w:sz w:val="24"/>
          <w:szCs w:val="24"/>
        </w:rPr>
        <w:t>“High</w:t>
      </w:r>
      <w:r>
        <w:rPr>
          <w:rFonts w:ascii="Times New Roman" w:hAnsi="Times New Roman" w:cs="Times New Roman"/>
          <w:bCs/>
          <w:sz w:val="24"/>
          <w:szCs w:val="24"/>
        </w:rPr>
        <w:t>” (</w:t>
      </w:r>
      <w:r w:rsidRPr="00C70A73">
        <w:rPr>
          <w:rFonts w:ascii="Times New Roman" w:hAnsi="Times New Roman" w:cs="Times New Roman"/>
          <w:bCs/>
          <w:sz w:val="24"/>
          <w:szCs w:val="24"/>
        </w:rPr>
        <w:t>60.87%</w:t>
      </w:r>
      <w:r>
        <w:rPr>
          <w:rFonts w:ascii="Times New Roman" w:hAnsi="Times New Roman" w:cs="Times New Roman"/>
          <w:bCs/>
          <w:sz w:val="24"/>
          <w:szCs w:val="24"/>
        </w:rPr>
        <w:t>),</w:t>
      </w:r>
      <w:r w:rsidR="000A1205">
        <w:rPr>
          <w:rFonts w:ascii="Times New Roman" w:hAnsi="Times New Roman" w:cs="Times New Roman"/>
          <w:bCs/>
          <w:sz w:val="24"/>
          <w:szCs w:val="24"/>
        </w:rPr>
        <w:t xml:space="preserve"> some </w:t>
      </w:r>
      <w:r w:rsidRPr="00C70A73">
        <w:rPr>
          <w:rFonts w:ascii="Times New Roman" w:hAnsi="Times New Roman" w:cs="Times New Roman"/>
          <w:bCs/>
          <w:sz w:val="24"/>
          <w:szCs w:val="24"/>
        </w:rPr>
        <w:t>participants rated this as</w:t>
      </w:r>
      <w:r w:rsidR="000A1205">
        <w:rPr>
          <w:rFonts w:ascii="Times New Roman" w:hAnsi="Times New Roman" w:cs="Times New Roman"/>
          <w:bCs/>
          <w:sz w:val="24"/>
          <w:szCs w:val="24"/>
        </w:rPr>
        <w:t xml:space="preserve"> </w:t>
      </w:r>
      <w:r w:rsidRPr="00C70A73">
        <w:rPr>
          <w:rFonts w:ascii="Times New Roman" w:hAnsi="Times New Roman" w:cs="Times New Roman"/>
          <w:bCs/>
          <w:sz w:val="24"/>
          <w:szCs w:val="24"/>
        </w:rPr>
        <w:t>“Very high</w:t>
      </w:r>
      <w:proofErr w:type="gramStart"/>
      <w:r w:rsidRPr="00C70A73">
        <w:rPr>
          <w:rFonts w:ascii="Times New Roman" w:hAnsi="Times New Roman" w:cs="Times New Roman"/>
          <w:bCs/>
          <w:sz w:val="24"/>
          <w:szCs w:val="24"/>
        </w:rPr>
        <w:t xml:space="preserve">” </w:t>
      </w:r>
      <w:r w:rsidR="000A1205">
        <w:rPr>
          <w:rFonts w:ascii="Times New Roman" w:hAnsi="Times New Roman" w:cs="Times New Roman"/>
          <w:bCs/>
          <w:sz w:val="24"/>
          <w:szCs w:val="24"/>
        </w:rPr>
        <w:t xml:space="preserve"> </w:t>
      </w:r>
      <w:r w:rsidR="000A1205" w:rsidRPr="00C70A73">
        <w:rPr>
          <w:rFonts w:ascii="Times New Roman" w:hAnsi="Times New Roman" w:cs="Times New Roman"/>
          <w:bCs/>
          <w:sz w:val="24"/>
          <w:szCs w:val="24"/>
        </w:rPr>
        <w:t>(</w:t>
      </w:r>
      <w:proofErr w:type="gramEnd"/>
      <w:r w:rsidR="000A1205" w:rsidRPr="00C70A73">
        <w:rPr>
          <w:rFonts w:ascii="Times New Roman" w:hAnsi="Times New Roman" w:cs="Times New Roman"/>
          <w:bCs/>
          <w:sz w:val="24"/>
          <w:szCs w:val="24"/>
        </w:rPr>
        <w:t xml:space="preserve">23.48%) </w:t>
      </w:r>
      <w:r w:rsidRPr="00C70A73">
        <w:rPr>
          <w:rFonts w:ascii="Times New Roman" w:hAnsi="Times New Roman" w:cs="Times New Roman"/>
          <w:bCs/>
          <w:sz w:val="24"/>
          <w:szCs w:val="24"/>
        </w:rPr>
        <w:t>and</w:t>
      </w:r>
      <w:r w:rsidR="000A1205">
        <w:rPr>
          <w:rFonts w:ascii="Times New Roman" w:hAnsi="Times New Roman" w:cs="Times New Roman"/>
          <w:bCs/>
          <w:sz w:val="24"/>
          <w:szCs w:val="24"/>
        </w:rPr>
        <w:t xml:space="preserve"> only</w:t>
      </w:r>
      <w:r w:rsidRPr="00C70A73">
        <w:rPr>
          <w:rFonts w:ascii="Times New Roman" w:hAnsi="Times New Roman" w:cs="Times New Roman"/>
          <w:bCs/>
          <w:sz w:val="24"/>
          <w:szCs w:val="24"/>
        </w:rPr>
        <w:t xml:space="preserve"> </w:t>
      </w:r>
      <w:r w:rsidR="000A1205">
        <w:rPr>
          <w:rFonts w:ascii="Times New Roman" w:hAnsi="Times New Roman" w:cs="Times New Roman"/>
          <w:bCs/>
          <w:sz w:val="24"/>
          <w:szCs w:val="24"/>
        </w:rPr>
        <w:t>(</w:t>
      </w:r>
      <w:r w:rsidRPr="00C70A73">
        <w:rPr>
          <w:rFonts w:ascii="Times New Roman" w:hAnsi="Times New Roman" w:cs="Times New Roman"/>
          <w:bCs/>
          <w:sz w:val="24"/>
          <w:szCs w:val="24"/>
        </w:rPr>
        <w:t>15.65%</w:t>
      </w:r>
      <w:r w:rsidR="000A1205">
        <w:rPr>
          <w:rFonts w:ascii="Times New Roman" w:hAnsi="Times New Roman" w:cs="Times New Roman"/>
          <w:bCs/>
          <w:sz w:val="24"/>
          <w:szCs w:val="24"/>
        </w:rPr>
        <w:t>)</w:t>
      </w:r>
      <w:r w:rsidRPr="00C70A73">
        <w:rPr>
          <w:rFonts w:ascii="Times New Roman" w:hAnsi="Times New Roman" w:cs="Times New Roman"/>
          <w:bCs/>
          <w:sz w:val="24"/>
          <w:szCs w:val="24"/>
        </w:rPr>
        <w:t xml:space="preserve"> rated it as “</w:t>
      </w:r>
      <w:r w:rsidR="000A1205">
        <w:rPr>
          <w:rFonts w:ascii="Times New Roman" w:hAnsi="Times New Roman" w:cs="Times New Roman"/>
          <w:bCs/>
          <w:sz w:val="24"/>
          <w:szCs w:val="24"/>
        </w:rPr>
        <w:t>Moderate</w:t>
      </w:r>
      <w:r w:rsidRPr="00C70A73">
        <w:rPr>
          <w:rFonts w:ascii="Times New Roman" w:hAnsi="Times New Roman" w:cs="Times New Roman"/>
          <w:bCs/>
          <w:sz w:val="24"/>
          <w:szCs w:val="24"/>
        </w:rPr>
        <w:t xml:space="preserve">”. This indicates that students generally </w:t>
      </w:r>
      <w:r w:rsidR="000A1205">
        <w:rPr>
          <w:rFonts w:ascii="Times New Roman" w:hAnsi="Times New Roman" w:cs="Times New Roman"/>
          <w:bCs/>
          <w:sz w:val="24"/>
          <w:szCs w:val="24"/>
        </w:rPr>
        <w:t>perceive</w:t>
      </w:r>
      <w:r w:rsidRPr="00C70A73">
        <w:rPr>
          <w:rFonts w:ascii="Times New Roman" w:hAnsi="Times New Roman" w:cs="Times New Roman"/>
          <w:bCs/>
          <w:sz w:val="24"/>
          <w:szCs w:val="24"/>
        </w:rPr>
        <w:t xml:space="preserve"> that the laboratory resources are</w:t>
      </w:r>
      <w:r w:rsidR="000A1205">
        <w:rPr>
          <w:rFonts w:ascii="Times New Roman" w:hAnsi="Times New Roman" w:cs="Times New Roman"/>
          <w:bCs/>
          <w:sz w:val="24"/>
          <w:szCs w:val="24"/>
        </w:rPr>
        <w:t xml:space="preserve"> adequately</w:t>
      </w:r>
      <w:r w:rsidRPr="00C70A73">
        <w:rPr>
          <w:rFonts w:ascii="Times New Roman" w:hAnsi="Times New Roman" w:cs="Times New Roman"/>
          <w:bCs/>
          <w:sz w:val="24"/>
          <w:szCs w:val="24"/>
        </w:rPr>
        <w:t xml:space="preserve"> available and effectively utilized in their fieldwork activities. </w:t>
      </w:r>
    </w:p>
    <w:p w14:paraId="207FFE78" w14:textId="4947E48A" w:rsidR="00A517AF" w:rsidRPr="00C70A73" w:rsidRDefault="00A517AF" w:rsidP="00C70A73">
      <w:pPr>
        <w:pStyle w:val="NoSpacing"/>
        <w:spacing w:before="240" w:after="240"/>
        <w:rPr>
          <w:rFonts w:ascii="Times New Roman" w:hAnsi="Times New Roman" w:cs="Times New Roman"/>
          <w:b/>
          <w:bCs/>
          <w:sz w:val="24"/>
          <w:szCs w:val="24"/>
        </w:rPr>
      </w:pPr>
      <w:r w:rsidRPr="00C70A73">
        <w:rPr>
          <w:rFonts w:ascii="Times New Roman" w:hAnsi="Times New Roman" w:cs="Times New Roman"/>
          <w:b/>
          <w:bCs/>
          <w:sz w:val="24"/>
          <w:szCs w:val="24"/>
        </w:rPr>
        <w:t>Table 2</w:t>
      </w:r>
    </w:p>
    <w:p w14:paraId="695213A3" w14:textId="3724F1F5" w:rsidR="00A517AF" w:rsidRPr="00C70A73" w:rsidRDefault="00A517AF" w:rsidP="00C70A73">
      <w:pPr>
        <w:pStyle w:val="NoSpacing"/>
        <w:spacing w:before="240" w:after="240"/>
        <w:rPr>
          <w:rFonts w:ascii="Times New Roman" w:hAnsi="Times New Roman" w:cs="Times New Roman"/>
          <w:bCs/>
          <w:i/>
          <w:sz w:val="24"/>
          <w:szCs w:val="24"/>
        </w:rPr>
      </w:pPr>
      <w:r w:rsidRPr="00C70A73">
        <w:rPr>
          <w:rFonts w:ascii="Times New Roman" w:hAnsi="Times New Roman" w:cs="Times New Roman"/>
          <w:bCs/>
          <w:i/>
          <w:sz w:val="24"/>
          <w:szCs w:val="24"/>
        </w:rPr>
        <w:t>Frequency, Percentage</w:t>
      </w:r>
      <w:r w:rsidR="00480BB2">
        <w:rPr>
          <w:rFonts w:ascii="Times New Roman" w:hAnsi="Times New Roman" w:cs="Times New Roman"/>
          <w:bCs/>
          <w:i/>
          <w:sz w:val="24"/>
          <w:szCs w:val="24"/>
        </w:rPr>
        <w:t xml:space="preserve">, </w:t>
      </w:r>
      <w:r w:rsidRPr="00C70A73">
        <w:rPr>
          <w:rFonts w:ascii="Times New Roman" w:hAnsi="Times New Roman" w:cs="Times New Roman"/>
          <w:bCs/>
          <w:i/>
          <w:sz w:val="24"/>
          <w:szCs w:val="24"/>
        </w:rPr>
        <w:t>and Mean Distribution of the Participants’ Use of Appropriate Resources in their Laboratory Subjects</w:t>
      </w:r>
    </w:p>
    <w:tbl>
      <w:tblPr>
        <w:tblW w:w="10565" w:type="dxa"/>
        <w:tblBorders>
          <w:top w:val="single" w:sz="4" w:space="0" w:color="auto"/>
          <w:bottom w:val="single" w:sz="4" w:space="0" w:color="auto"/>
        </w:tblBorders>
        <w:tblLook w:val="04A0" w:firstRow="1" w:lastRow="0" w:firstColumn="1" w:lastColumn="0" w:noHBand="0" w:noVBand="1"/>
      </w:tblPr>
      <w:tblGrid>
        <w:gridCol w:w="1587"/>
        <w:gridCol w:w="2691"/>
        <w:gridCol w:w="2497"/>
        <w:gridCol w:w="1842"/>
        <w:gridCol w:w="1948"/>
      </w:tblGrid>
      <w:tr w:rsidR="00A517AF" w:rsidRPr="00C70A73" w14:paraId="5F5ED605" w14:textId="77777777" w:rsidTr="000A1205">
        <w:trPr>
          <w:trHeight w:val="266"/>
        </w:trPr>
        <w:tc>
          <w:tcPr>
            <w:tcW w:w="1587" w:type="dxa"/>
            <w:tcBorders>
              <w:top w:val="single" w:sz="4" w:space="0" w:color="auto"/>
              <w:bottom w:val="single" w:sz="4" w:space="0" w:color="auto"/>
            </w:tcBorders>
          </w:tcPr>
          <w:p w14:paraId="0CC85073"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Range</w:t>
            </w:r>
          </w:p>
        </w:tc>
        <w:tc>
          <w:tcPr>
            <w:tcW w:w="2691" w:type="dxa"/>
            <w:tcBorders>
              <w:top w:val="single" w:sz="4" w:space="0" w:color="auto"/>
              <w:bottom w:val="single" w:sz="4" w:space="0" w:color="auto"/>
            </w:tcBorders>
          </w:tcPr>
          <w:p w14:paraId="7BC30565"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Description</w:t>
            </w:r>
          </w:p>
        </w:tc>
        <w:tc>
          <w:tcPr>
            <w:tcW w:w="2497" w:type="dxa"/>
            <w:tcBorders>
              <w:top w:val="single" w:sz="4" w:space="0" w:color="auto"/>
              <w:bottom w:val="single" w:sz="4" w:space="0" w:color="auto"/>
            </w:tcBorders>
          </w:tcPr>
          <w:p w14:paraId="03B2E7AF"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Interpretation</w:t>
            </w:r>
          </w:p>
        </w:tc>
        <w:tc>
          <w:tcPr>
            <w:tcW w:w="1842" w:type="dxa"/>
            <w:tcBorders>
              <w:top w:val="single" w:sz="4" w:space="0" w:color="auto"/>
              <w:bottom w:val="single" w:sz="4" w:space="0" w:color="auto"/>
            </w:tcBorders>
          </w:tcPr>
          <w:p w14:paraId="016EDEF3"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Frequency</w:t>
            </w:r>
          </w:p>
        </w:tc>
        <w:tc>
          <w:tcPr>
            <w:tcW w:w="1947" w:type="dxa"/>
            <w:tcBorders>
              <w:top w:val="single" w:sz="4" w:space="0" w:color="auto"/>
              <w:bottom w:val="single" w:sz="4" w:space="0" w:color="auto"/>
            </w:tcBorders>
          </w:tcPr>
          <w:p w14:paraId="156BB080"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Percentage</w:t>
            </w:r>
          </w:p>
        </w:tc>
      </w:tr>
      <w:tr w:rsidR="00A517AF" w:rsidRPr="00C70A73" w14:paraId="31F3E475" w14:textId="77777777" w:rsidTr="000A1205">
        <w:trPr>
          <w:trHeight w:val="285"/>
        </w:trPr>
        <w:tc>
          <w:tcPr>
            <w:tcW w:w="1587" w:type="dxa"/>
            <w:tcBorders>
              <w:top w:val="single" w:sz="4" w:space="0" w:color="auto"/>
            </w:tcBorders>
            <w:vAlign w:val="center"/>
          </w:tcPr>
          <w:p w14:paraId="54457A02"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4.51-5.00</w:t>
            </w:r>
          </w:p>
        </w:tc>
        <w:tc>
          <w:tcPr>
            <w:tcW w:w="2691" w:type="dxa"/>
            <w:tcBorders>
              <w:top w:val="single" w:sz="4" w:space="0" w:color="auto"/>
            </w:tcBorders>
            <w:vAlign w:val="center"/>
          </w:tcPr>
          <w:p w14:paraId="08668E60"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Strongly Agree</w:t>
            </w:r>
          </w:p>
        </w:tc>
        <w:tc>
          <w:tcPr>
            <w:tcW w:w="2497" w:type="dxa"/>
            <w:tcBorders>
              <w:top w:val="single" w:sz="4" w:space="0" w:color="auto"/>
            </w:tcBorders>
            <w:vAlign w:val="center"/>
          </w:tcPr>
          <w:p w14:paraId="61709EB6"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Very High</w:t>
            </w:r>
          </w:p>
        </w:tc>
        <w:tc>
          <w:tcPr>
            <w:tcW w:w="1842" w:type="dxa"/>
            <w:tcBorders>
              <w:top w:val="single" w:sz="4" w:space="0" w:color="auto"/>
            </w:tcBorders>
            <w:vAlign w:val="bottom"/>
          </w:tcPr>
          <w:p w14:paraId="3885A1E8"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54</w:t>
            </w:r>
          </w:p>
        </w:tc>
        <w:tc>
          <w:tcPr>
            <w:tcW w:w="1947" w:type="dxa"/>
            <w:tcBorders>
              <w:top w:val="single" w:sz="4" w:space="0" w:color="auto"/>
            </w:tcBorders>
            <w:vAlign w:val="bottom"/>
          </w:tcPr>
          <w:p w14:paraId="79A1096F"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23.48</w:t>
            </w:r>
          </w:p>
        </w:tc>
      </w:tr>
      <w:tr w:rsidR="00A517AF" w:rsidRPr="00C70A73" w14:paraId="76F7B450" w14:textId="77777777" w:rsidTr="000A1205">
        <w:trPr>
          <w:trHeight w:val="266"/>
        </w:trPr>
        <w:tc>
          <w:tcPr>
            <w:tcW w:w="1587" w:type="dxa"/>
            <w:vAlign w:val="center"/>
          </w:tcPr>
          <w:p w14:paraId="74901D2A"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3.51-4.50</w:t>
            </w:r>
          </w:p>
        </w:tc>
        <w:tc>
          <w:tcPr>
            <w:tcW w:w="2691" w:type="dxa"/>
            <w:vAlign w:val="center"/>
          </w:tcPr>
          <w:p w14:paraId="57BBCB18"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Agree</w:t>
            </w:r>
          </w:p>
        </w:tc>
        <w:tc>
          <w:tcPr>
            <w:tcW w:w="2497" w:type="dxa"/>
            <w:vAlign w:val="center"/>
          </w:tcPr>
          <w:p w14:paraId="5A6B34DA"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High</w:t>
            </w:r>
          </w:p>
        </w:tc>
        <w:tc>
          <w:tcPr>
            <w:tcW w:w="1842" w:type="dxa"/>
            <w:vAlign w:val="bottom"/>
          </w:tcPr>
          <w:p w14:paraId="5DD786EE"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140</w:t>
            </w:r>
          </w:p>
        </w:tc>
        <w:tc>
          <w:tcPr>
            <w:tcW w:w="1947" w:type="dxa"/>
            <w:vAlign w:val="bottom"/>
          </w:tcPr>
          <w:p w14:paraId="30603C57"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60.87</w:t>
            </w:r>
          </w:p>
        </w:tc>
      </w:tr>
      <w:tr w:rsidR="00A517AF" w:rsidRPr="00C70A73" w14:paraId="4DB24BA8" w14:textId="77777777" w:rsidTr="000A1205">
        <w:trPr>
          <w:trHeight w:val="285"/>
        </w:trPr>
        <w:tc>
          <w:tcPr>
            <w:tcW w:w="1587" w:type="dxa"/>
            <w:vAlign w:val="center"/>
          </w:tcPr>
          <w:p w14:paraId="17CD51AF"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2.51-3.50</w:t>
            </w:r>
          </w:p>
        </w:tc>
        <w:tc>
          <w:tcPr>
            <w:tcW w:w="2691" w:type="dxa"/>
            <w:vAlign w:val="center"/>
          </w:tcPr>
          <w:p w14:paraId="3AC35A5A"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Neutral</w:t>
            </w:r>
          </w:p>
        </w:tc>
        <w:tc>
          <w:tcPr>
            <w:tcW w:w="2497" w:type="dxa"/>
            <w:vAlign w:val="center"/>
          </w:tcPr>
          <w:p w14:paraId="736DF5E0"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Moderate</w:t>
            </w:r>
          </w:p>
        </w:tc>
        <w:tc>
          <w:tcPr>
            <w:tcW w:w="1842" w:type="dxa"/>
            <w:vAlign w:val="bottom"/>
          </w:tcPr>
          <w:p w14:paraId="5C7E81A4"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36</w:t>
            </w:r>
          </w:p>
        </w:tc>
        <w:tc>
          <w:tcPr>
            <w:tcW w:w="1947" w:type="dxa"/>
            <w:vAlign w:val="bottom"/>
          </w:tcPr>
          <w:p w14:paraId="7C4066BD"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15.65</w:t>
            </w:r>
          </w:p>
        </w:tc>
      </w:tr>
      <w:tr w:rsidR="00A517AF" w:rsidRPr="00C70A73" w14:paraId="0FD2A21F" w14:textId="77777777" w:rsidTr="000A1205">
        <w:trPr>
          <w:trHeight w:val="285"/>
        </w:trPr>
        <w:tc>
          <w:tcPr>
            <w:tcW w:w="1587" w:type="dxa"/>
            <w:tcBorders>
              <w:bottom w:val="nil"/>
            </w:tcBorders>
            <w:vAlign w:val="center"/>
          </w:tcPr>
          <w:p w14:paraId="4C0D548E"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1.51-2.50</w:t>
            </w:r>
          </w:p>
        </w:tc>
        <w:tc>
          <w:tcPr>
            <w:tcW w:w="2691" w:type="dxa"/>
            <w:tcBorders>
              <w:bottom w:val="nil"/>
            </w:tcBorders>
            <w:vAlign w:val="center"/>
          </w:tcPr>
          <w:p w14:paraId="3671B456"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Disagree</w:t>
            </w:r>
          </w:p>
        </w:tc>
        <w:tc>
          <w:tcPr>
            <w:tcW w:w="2497" w:type="dxa"/>
            <w:tcBorders>
              <w:bottom w:val="nil"/>
            </w:tcBorders>
            <w:vAlign w:val="center"/>
          </w:tcPr>
          <w:p w14:paraId="43201E89"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Low</w:t>
            </w:r>
          </w:p>
        </w:tc>
        <w:tc>
          <w:tcPr>
            <w:tcW w:w="1842" w:type="dxa"/>
            <w:tcBorders>
              <w:bottom w:val="nil"/>
            </w:tcBorders>
            <w:vAlign w:val="bottom"/>
          </w:tcPr>
          <w:p w14:paraId="424038B3"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0</w:t>
            </w:r>
          </w:p>
        </w:tc>
        <w:tc>
          <w:tcPr>
            <w:tcW w:w="1947" w:type="dxa"/>
            <w:tcBorders>
              <w:bottom w:val="nil"/>
            </w:tcBorders>
            <w:vAlign w:val="bottom"/>
          </w:tcPr>
          <w:p w14:paraId="34CBF715"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0</w:t>
            </w:r>
          </w:p>
        </w:tc>
      </w:tr>
      <w:tr w:rsidR="00A517AF" w:rsidRPr="00C70A73" w14:paraId="2DE8CBC4" w14:textId="77777777" w:rsidTr="000A1205">
        <w:trPr>
          <w:trHeight w:val="285"/>
        </w:trPr>
        <w:tc>
          <w:tcPr>
            <w:tcW w:w="1587" w:type="dxa"/>
            <w:tcBorders>
              <w:top w:val="nil"/>
              <w:bottom w:val="single" w:sz="4" w:space="0" w:color="auto"/>
            </w:tcBorders>
            <w:vAlign w:val="center"/>
          </w:tcPr>
          <w:p w14:paraId="1EA2294D"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1.00-1.50</w:t>
            </w:r>
          </w:p>
        </w:tc>
        <w:tc>
          <w:tcPr>
            <w:tcW w:w="2691" w:type="dxa"/>
            <w:tcBorders>
              <w:top w:val="nil"/>
              <w:bottom w:val="single" w:sz="4" w:space="0" w:color="auto"/>
            </w:tcBorders>
            <w:vAlign w:val="center"/>
          </w:tcPr>
          <w:p w14:paraId="4E171EA0"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Strongly Disagree</w:t>
            </w:r>
          </w:p>
        </w:tc>
        <w:tc>
          <w:tcPr>
            <w:tcW w:w="2497" w:type="dxa"/>
            <w:tcBorders>
              <w:top w:val="nil"/>
              <w:bottom w:val="single" w:sz="4" w:space="0" w:color="auto"/>
            </w:tcBorders>
            <w:vAlign w:val="center"/>
          </w:tcPr>
          <w:p w14:paraId="67FECE0B"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Very Low</w:t>
            </w:r>
          </w:p>
        </w:tc>
        <w:tc>
          <w:tcPr>
            <w:tcW w:w="1842" w:type="dxa"/>
            <w:tcBorders>
              <w:top w:val="nil"/>
              <w:bottom w:val="single" w:sz="4" w:space="0" w:color="auto"/>
            </w:tcBorders>
            <w:vAlign w:val="bottom"/>
          </w:tcPr>
          <w:p w14:paraId="353367BE"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0</w:t>
            </w:r>
          </w:p>
        </w:tc>
        <w:tc>
          <w:tcPr>
            <w:tcW w:w="1947" w:type="dxa"/>
            <w:tcBorders>
              <w:top w:val="nil"/>
              <w:bottom w:val="single" w:sz="4" w:space="0" w:color="auto"/>
            </w:tcBorders>
            <w:vAlign w:val="bottom"/>
          </w:tcPr>
          <w:p w14:paraId="101FC582"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0</w:t>
            </w:r>
          </w:p>
        </w:tc>
      </w:tr>
      <w:tr w:rsidR="00A517AF" w:rsidRPr="00C70A73" w14:paraId="33E0D9B1" w14:textId="77777777" w:rsidTr="000A1205">
        <w:trPr>
          <w:trHeight w:val="266"/>
        </w:trPr>
        <w:tc>
          <w:tcPr>
            <w:tcW w:w="1587" w:type="dxa"/>
            <w:tcBorders>
              <w:top w:val="single" w:sz="4" w:space="0" w:color="auto"/>
            </w:tcBorders>
          </w:tcPr>
          <w:p w14:paraId="56DDF93D" w14:textId="77777777" w:rsidR="00A517AF" w:rsidRPr="00C70A73" w:rsidRDefault="00A517AF" w:rsidP="000A1205">
            <w:pPr>
              <w:pStyle w:val="NoSpacing"/>
              <w:jc w:val="both"/>
              <w:rPr>
                <w:rFonts w:ascii="Times New Roman" w:hAnsi="Times New Roman" w:cs="Times New Roman"/>
                <w:b/>
                <w:bCs/>
                <w:sz w:val="24"/>
                <w:szCs w:val="24"/>
              </w:rPr>
            </w:pPr>
          </w:p>
        </w:tc>
        <w:tc>
          <w:tcPr>
            <w:tcW w:w="2691" w:type="dxa"/>
            <w:tcBorders>
              <w:top w:val="single" w:sz="4" w:space="0" w:color="auto"/>
            </w:tcBorders>
          </w:tcPr>
          <w:p w14:paraId="1CAF8D9A" w14:textId="77777777" w:rsidR="00A517AF" w:rsidRPr="00C70A73" w:rsidRDefault="00A517AF" w:rsidP="000A1205">
            <w:pPr>
              <w:pStyle w:val="NoSpacing"/>
              <w:jc w:val="both"/>
              <w:rPr>
                <w:rFonts w:ascii="Times New Roman" w:hAnsi="Times New Roman" w:cs="Times New Roman"/>
                <w:b/>
                <w:bCs/>
                <w:sz w:val="24"/>
                <w:szCs w:val="24"/>
              </w:rPr>
            </w:pPr>
          </w:p>
        </w:tc>
        <w:tc>
          <w:tcPr>
            <w:tcW w:w="2497" w:type="dxa"/>
            <w:tcBorders>
              <w:top w:val="single" w:sz="4" w:space="0" w:color="auto"/>
            </w:tcBorders>
          </w:tcPr>
          <w:p w14:paraId="15D80AC4"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Total</w:t>
            </w:r>
          </w:p>
        </w:tc>
        <w:tc>
          <w:tcPr>
            <w:tcW w:w="1842" w:type="dxa"/>
            <w:tcBorders>
              <w:top w:val="single" w:sz="4" w:space="0" w:color="auto"/>
            </w:tcBorders>
          </w:tcPr>
          <w:p w14:paraId="1C21AF10" w14:textId="77777777" w:rsidR="00A517AF" w:rsidRPr="00C70A73" w:rsidRDefault="00A517AF" w:rsidP="000A1205">
            <w:pPr>
              <w:pStyle w:val="NoSpacing"/>
              <w:jc w:val="center"/>
              <w:rPr>
                <w:rFonts w:ascii="Times New Roman" w:hAnsi="Times New Roman" w:cs="Times New Roman"/>
                <w:b/>
                <w:bCs/>
                <w:sz w:val="24"/>
                <w:szCs w:val="24"/>
              </w:rPr>
            </w:pPr>
            <w:r w:rsidRPr="00C70A73">
              <w:rPr>
                <w:rFonts w:ascii="Times New Roman" w:hAnsi="Times New Roman" w:cs="Times New Roman"/>
                <w:b/>
                <w:bCs/>
                <w:sz w:val="24"/>
                <w:szCs w:val="24"/>
              </w:rPr>
              <w:t>230</w:t>
            </w:r>
          </w:p>
        </w:tc>
        <w:tc>
          <w:tcPr>
            <w:tcW w:w="1947" w:type="dxa"/>
            <w:tcBorders>
              <w:top w:val="single" w:sz="4" w:space="0" w:color="auto"/>
            </w:tcBorders>
          </w:tcPr>
          <w:p w14:paraId="5345B295" w14:textId="77777777" w:rsidR="00A517AF" w:rsidRPr="00C70A73" w:rsidRDefault="00A517AF" w:rsidP="000A1205">
            <w:pPr>
              <w:pStyle w:val="NoSpacing"/>
              <w:jc w:val="center"/>
              <w:rPr>
                <w:rFonts w:ascii="Times New Roman" w:hAnsi="Times New Roman" w:cs="Times New Roman"/>
                <w:b/>
                <w:bCs/>
                <w:sz w:val="24"/>
                <w:szCs w:val="24"/>
              </w:rPr>
            </w:pPr>
            <w:r w:rsidRPr="00C70A73">
              <w:rPr>
                <w:rFonts w:ascii="Times New Roman" w:hAnsi="Times New Roman" w:cs="Times New Roman"/>
                <w:b/>
                <w:bCs/>
                <w:sz w:val="24"/>
                <w:szCs w:val="24"/>
              </w:rPr>
              <w:t>100</w:t>
            </w:r>
          </w:p>
        </w:tc>
      </w:tr>
      <w:tr w:rsidR="00A517AF" w:rsidRPr="00C70A73" w14:paraId="46E0E864" w14:textId="77777777" w:rsidTr="000A1205">
        <w:trPr>
          <w:trHeight w:val="285"/>
        </w:trPr>
        <w:tc>
          <w:tcPr>
            <w:tcW w:w="1587" w:type="dxa"/>
          </w:tcPr>
          <w:p w14:paraId="540C33CA" w14:textId="77777777" w:rsidR="00A517AF" w:rsidRPr="00C70A73" w:rsidRDefault="00A517AF" w:rsidP="000A1205">
            <w:pPr>
              <w:pStyle w:val="NoSpacing"/>
              <w:jc w:val="both"/>
              <w:rPr>
                <w:rFonts w:ascii="Times New Roman" w:hAnsi="Times New Roman" w:cs="Times New Roman"/>
                <w:b/>
                <w:bCs/>
                <w:sz w:val="24"/>
                <w:szCs w:val="24"/>
              </w:rPr>
            </w:pPr>
          </w:p>
        </w:tc>
        <w:tc>
          <w:tcPr>
            <w:tcW w:w="2691" w:type="dxa"/>
          </w:tcPr>
          <w:p w14:paraId="732BBA13" w14:textId="77777777" w:rsidR="00A517AF" w:rsidRPr="00C70A73" w:rsidRDefault="00A517AF" w:rsidP="000A1205">
            <w:pPr>
              <w:pStyle w:val="NoSpacing"/>
              <w:jc w:val="both"/>
              <w:rPr>
                <w:rFonts w:ascii="Times New Roman" w:hAnsi="Times New Roman" w:cs="Times New Roman"/>
                <w:b/>
                <w:bCs/>
                <w:sz w:val="24"/>
                <w:szCs w:val="24"/>
              </w:rPr>
            </w:pPr>
          </w:p>
        </w:tc>
        <w:tc>
          <w:tcPr>
            <w:tcW w:w="2497" w:type="dxa"/>
          </w:tcPr>
          <w:p w14:paraId="6F8E681B"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Overall Mean</w:t>
            </w:r>
          </w:p>
        </w:tc>
        <w:tc>
          <w:tcPr>
            <w:tcW w:w="3790" w:type="dxa"/>
            <w:gridSpan w:val="2"/>
          </w:tcPr>
          <w:p w14:paraId="453CC1BA" w14:textId="77777777" w:rsidR="00A517AF" w:rsidRPr="00C70A73" w:rsidRDefault="00A517AF" w:rsidP="000A1205">
            <w:pPr>
              <w:pStyle w:val="NoSpacing"/>
              <w:jc w:val="center"/>
              <w:rPr>
                <w:rFonts w:ascii="Times New Roman" w:hAnsi="Times New Roman" w:cs="Times New Roman"/>
                <w:b/>
                <w:bCs/>
                <w:sz w:val="24"/>
                <w:szCs w:val="24"/>
              </w:rPr>
            </w:pPr>
            <w:r w:rsidRPr="00C70A73">
              <w:rPr>
                <w:rFonts w:ascii="Times New Roman" w:hAnsi="Times New Roman" w:cs="Times New Roman"/>
                <w:b/>
                <w:bCs/>
                <w:sz w:val="24"/>
                <w:szCs w:val="24"/>
              </w:rPr>
              <w:t>4.09</w:t>
            </w:r>
          </w:p>
        </w:tc>
      </w:tr>
      <w:tr w:rsidR="00A517AF" w:rsidRPr="00C70A73" w14:paraId="5D3449C2" w14:textId="77777777" w:rsidTr="000A1205">
        <w:trPr>
          <w:trHeight w:val="266"/>
        </w:trPr>
        <w:tc>
          <w:tcPr>
            <w:tcW w:w="1587" w:type="dxa"/>
          </w:tcPr>
          <w:p w14:paraId="3D402CC7" w14:textId="77777777" w:rsidR="00A517AF" w:rsidRPr="00C70A73" w:rsidRDefault="00A517AF" w:rsidP="000A1205">
            <w:pPr>
              <w:pStyle w:val="NoSpacing"/>
              <w:jc w:val="both"/>
              <w:rPr>
                <w:rFonts w:ascii="Times New Roman" w:hAnsi="Times New Roman" w:cs="Times New Roman"/>
                <w:b/>
                <w:bCs/>
                <w:sz w:val="24"/>
                <w:szCs w:val="24"/>
              </w:rPr>
            </w:pPr>
          </w:p>
        </w:tc>
        <w:tc>
          <w:tcPr>
            <w:tcW w:w="2691" w:type="dxa"/>
          </w:tcPr>
          <w:p w14:paraId="6202B013" w14:textId="77777777" w:rsidR="00A517AF" w:rsidRPr="00C70A73" w:rsidRDefault="00A517AF" w:rsidP="000A1205">
            <w:pPr>
              <w:pStyle w:val="NoSpacing"/>
              <w:jc w:val="both"/>
              <w:rPr>
                <w:rFonts w:ascii="Times New Roman" w:hAnsi="Times New Roman" w:cs="Times New Roman"/>
                <w:b/>
                <w:bCs/>
                <w:sz w:val="24"/>
                <w:szCs w:val="24"/>
              </w:rPr>
            </w:pPr>
          </w:p>
        </w:tc>
        <w:tc>
          <w:tcPr>
            <w:tcW w:w="2497" w:type="dxa"/>
          </w:tcPr>
          <w:p w14:paraId="1C29A451"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Interpretation</w:t>
            </w:r>
          </w:p>
        </w:tc>
        <w:tc>
          <w:tcPr>
            <w:tcW w:w="3790" w:type="dxa"/>
            <w:gridSpan w:val="2"/>
          </w:tcPr>
          <w:p w14:paraId="049181FC" w14:textId="77777777" w:rsidR="00A517AF" w:rsidRPr="00C70A73" w:rsidRDefault="00A517AF" w:rsidP="000A1205">
            <w:pPr>
              <w:pStyle w:val="NoSpacing"/>
              <w:jc w:val="center"/>
              <w:rPr>
                <w:rFonts w:ascii="Times New Roman" w:hAnsi="Times New Roman" w:cs="Times New Roman"/>
                <w:b/>
                <w:bCs/>
                <w:sz w:val="24"/>
                <w:szCs w:val="24"/>
              </w:rPr>
            </w:pPr>
            <w:r w:rsidRPr="00C70A73">
              <w:rPr>
                <w:rFonts w:ascii="Times New Roman" w:hAnsi="Times New Roman" w:cs="Times New Roman"/>
                <w:b/>
                <w:bCs/>
                <w:sz w:val="24"/>
                <w:szCs w:val="24"/>
              </w:rPr>
              <w:t>High</w:t>
            </w:r>
          </w:p>
        </w:tc>
      </w:tr>
      <w:tr w:rsidR="00A517AF" w:rsidRPr="00C70A73" w14:paraId="77DF383F" w14:textId="77777777" w:rsidTr="000A1205">
        <w:trPr>
          <w:trHeight w:val="285"/>
        </w:trPr>
        <w:tc>
          <w:tcPr>
            <w:tcW w:w="1587" w:type="dxa"/>
          </w:tcPr>
          <w:p w14:paraId="39FE6D92" w14:textId="77777777" w:rsidR="00A517AF" w:rsidRPr="00C70A73" w:rsidRDefault="00A517AF" w:rsidP="000A1205">
            <w:pPr>
              <w:pStyle w:val="NoSpacing"/>
              <w:jc w:val="both"/>
              <w:rPr>
                <w:rFonts w:ascii="Times New Roman" w:hAnsi="Times New Roman" w:cs="Times New Roman"/>
                <w:b/>
                <w:bCs/>
                <w:sz w:val="24"/>
                <w:szCs w:val="24"/>
              </w:rPr>
            </w:pPr>
          </w:p>
        </w:tc>
        <w:tc>
          <w:tcPr>
            <w:tcW w:w="2691" w:type="dxa"/>
          </w:tcPr>
          <w:p w14:paraId="70BE4890" w14:textId="77777777" w:rsidR="00A517AF" w:rsidRPr="00C70A73" w:rsidRDefault="00A517AF" w:rsidP="000A1205">
            <w:pPr>
              <w:pStyle w:val="NoSpacing"/>
              <w:jc w:val="both"/>
              <w:rPr>
                <w:rFonts w:ascii="Times New Roman" w:hAnsi="Times New Roman" w:cs="Times New Roman"/>
                <w:b/>
                <w:bCs/>
                <w:sz w:val="24"/>
                <w:szCs w:val="24"/>
              </w:rPr>
            </w:pPr>
          </w:p>
        </w:tc>
        <w:tc>
          <w:tcPr>
            <w:tcW w:w="2497" w:type="dxa"/>
          </w:tcPr>
          <w:p w14:paraId="4EF2A3F0"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SD</w:t>
            </w:r>
          </w:p>
        </w:tc>
        <w:tc>
          <w:tcPr>
            <w:tcW w:w="3790" w:type="dxa"/>
            <w:gridSpan w:val="2"/>
          </w:tcPr>
          <w:p w14:paraId="4D88101E" w14:textId="77777777" w:rsidR="00A517AF" w:rsidRPr="00C70A73" w:rsidRDefault="00A517AF" w:rsidP="000A1205">
            <w:pPr>
              <w:pStyle w:val="NoSpacing"/>
              <w:jc w:val="center"/>
              <w:rPr>
                <w:rFonts w:ascii="Times New Roman" w:hAnsi="Times New Roman" w:cs="Times New Roman"/>
                <w:b/>
                <w:bCs/>
                <w:sz w:val="24"/>
                <w:szCs w:val="24"/>
              </w:rPr>
            </w:pPr>
            <w:r w:rsidRPr="00C70A73">
              <w:rPr>
                <w:rFonts w:ascii="Times New Roman" w:hAnsi="Times New Roman" w:cs="Times New Roman"/>
                <w:b/>
                <w:bCs/>
                <w:sz w:val="24"/>
                <w:szCs w:val="24"/>
              </w:rPr>
              <w:t>0.54</w:t>
            </w:r>
          </w:p>
        </w:tc>
      </w:tr>
    </w:tbl>
    <w:p w14:paraId="2B098592" w14:textId="77777777" w:rsidR="00480BB2" w:rsidRDefault="00A517AF" w:rsidP="00480BB2">
      <w:pPr>
        <w:pStyle w:val="NoSpacing"/>
        <w:spacing w:before="240" w:after="240"/>
        <w:jc w:val="both"/>
        <w:rPr>
          <w:rFonts w:ascii="Times New Roman" w:hAnsi="Times New Roman" w:cs="Times New Roman"/>
          <w:sz w:val="24"/>
          <w:szCs w:val="24"/>
        </w:rPr>
      </w:pPr>
      <w:r w:rsidRPr="00C70A73">
        <w:rPr>
          <w:rFonts w:ascii="Times New Roman" w:hAnsi="Times New Roman" w:cs="Times New Roman"/>
          <w:sz w:val="24"/>
          <w:szCs w:val="24"/>
        </w:rPr>
        <w:t xml:space="preserve">Table </w:t>
      </w:r>
      <w:r w:rsidR="00E57A40" w:rsidRPr="00C70A73">
        <w:rPr>
          <w:rFonts w:ascii="Times New Roman" w:hAnsi="Times New Roman" w:cs="Times New Roman"/>
          <w:sz w:val="24"/>
          <w:szCs w:val="24"/>
        </w:rPr>
        <w:t>3</w:t>
      </w:r>
      <w:r w:rsidRPr="00C70A73">
        <w:rPr>
          <w:rFonts w:ascii="Times New Roman" w:hAnsi="Times New Roman" w:cs="Times New Roman"/>
          <w:sz w:val="24"/>
          <w:szCs w:val="24"/>
        </w:rPr>
        <w:t xml:space="preserve"> shows the frequency, percentage</w:t>
      </w:r>
      <w:r w:rsidR="00480BB2">
        <w:rPr>
          <w:rFonts w:ascii="Times New Roman" w:hAnsi="Times New Roman" w:cs="Times New Roman"/>
          <w:sz w:val="24"/>
          <w:szCs w:val="24"/>
        </w:rPr>
        <w:t xml:space="preserve">, </w:t>
      </w:r>
      <w:r w:rsidRPr="00C70A73">
        <w:rPr>
          <w:rFonts w:ascii="Times New Roman" w:hAnsi="Times New Roman" w:cs="Times New Roman"/>
          <w:sz w:val="24"/>
          <w:szCs w:val="24"/>
        </w:rPr>
        <w:t xml:space="preserve">and mean distribution of the participants’ attitude towards agriculture. The </w:t>
      </w:r>
      <w:r w:rsidR="001F4875">
        <w:rPr>
          <w:rFonts w:ascii="Times New Roman" w:hAnsi="Times New Roman" w:cs="Times New Roman"/>
          <w:sz w:val="24"/>
          <w:szCs w:val="24"/>
        </w:rPr>
        <w:t>result</w:t>
      </w:r>
      <w:r w:rsidR="00595723">
        <w:rPr>
          <w:rFonts w:ascii="Times New Roman" w:hAnsi="Times New Roman" w:cs="Times New Roman"/>
          <w:sz w:val="24"/>
          <w:szCs w:val="24"/>
        </w:rPr>
        <w:t xml:space="preserve">s indicate </w:t>
      </w:r>
      <w:r w:rsidR="00223E2D">
        <w:rPr>
          <w:rFonts w:ascii="Times New Roman" w:hAnsi="Times New Roman" w:cs="Times New Roman"/>
          <w:sz w:val="24"/>
          <w:szCs w:val="24"/>
        </w:rPr>
        <w:t xml:space="preserve">that </w:t>
      </w:r>
      <w:r w:rsidRPr="00C70A73">
        <w:rPr>
          <w:rFonts w:ascii="Times New Roman" w:hAnsi="Times New Roman" w:cs="Times New Roman"/>
          <w:sz w:val="24"/>
          <w:szCs w:val="24"/>
        </w:rPr>
        <w:t>participants demonstrated a very high attitude towards agriculture</w:t>
      </w:r>
      <w:r w:rsidR="00223E2D">
        <w:rPr>
          <w:rFonts w:ascii="Times New Roman" w:hAnsi="Times New Roman" w:cs="Times New Roman"/>
          <w:sz w:val="24"/>
          <w:szCs w:val="24"/>
        </w:rPr>
        <w:t xml:space="preserve">, </w:t>
      </w:r>
      <w:r w:rsidRPr="00C70A73">
        <w:rPr>
          <w:rFonts w:ascii="Times New Roman" w:hAnsi="Times New Roman" w:cs="Times New Roman"/>
          <w:sz w:val="24"/>
          <w:szCs w:val="24"/>
        </w:rPr>
        <w:t xml:space="preserve">as </w:t>
      </w:r>
      <w:r w:rsidR="00223E2D">
        <w:rPr>
          <w:rFonts w:ascii="Times New Roman" w:hAnsi="Times New Roman" w:cs="Times New Roman"/>
          <w:sz w:val="24"/>
          <w:szCs w:val="24"/>
        </w:rPr>
        <w:t>reflected</w:t>
      </w:r>
      <w:r w:rsidRPr="00C70A73">
        <w:rPr>
          <w:rFonts w:ascii="Times New Roman" w:hAnsi="Times New Roman" w:cs="Times New Roman"/>
          <w:sz w:val="24"/>
          <w:szCs w:val="24"/>
        </w:rPr>
        <w:t xml:space="preserve"> </w:t>
      </w:r>
      <w:r w:rsidR="00223E2D">
        <w:rPr>
          <w:rFonts w:ascii="Times New Roman" w:hAnsi="Times New Roman" w:cs="Times New Roman"/>
          <w:sz w:val="24"/>
          <w:szCs w:val="24"/>
        </w:rPr>
        <w:t>in</w:t>
      </w:r>
      <w:r w:rsidRPr="00C70A73">
        <w:rPr>
          <w:rFonts w:ascii="Times New Roman" w:hAnsi="Times New Roman" w:cs="Times New Roman"/>
          <w:sz w:val="24"/>
          <w:szCs w:val="24"/>
        </w:rPr>
        <w:t xml:space="preserve"> the overall mean of 4.71.</w:t>
      </w:r>
      <w:r w:rsidR="00480BB2">
        <w:rPr>
          <w:rFonts w:ascii="Times New Roman" w:hAnsi="Times New Roman" w:cs="Times New Roman"/>
          <w:sz w:val="24"/>
          <w:szCs w:val="24"/>
        </w:rPr>
        <w:t xml:space="preserve"> </w:t>
      </w:r>
      <w:r w:rsidR="00480BB2" w:rsidRPr="00480BB2">
        <w:rPr>
          <w:rFonts w:ascii="Times New Roman" w:hAnsi="Times New Roman" w:cs="Times New Roman"/>
          <w:sz w:val="24"/>
          <w:szCs w:val="24"/>
        </w:rPr>
        <w:t xml:space="preserve">This suggests that students have a strong interest and engagement in a laboratory-based instruction, which enhances their appreciation of a real-world application and the importance of agriculture in the field of Animal and Dairy Science. </w:t>
      </w:r>
    </w:p>
    <w:p w14:paraId="7498949D" w14:textId="1C8A4EB0" w:rsidR="00480BB2" w:rsidRPr="00480BB2" w:rsidRDefault="00480BB2" w:rsidP="00480BB2">
      <w:pPr>
        <w:pStyle w:val="NoSpacing"/>
        <w:spacing w:before="240" w:after="240"/>
        <w:jc w:val="both"/>
        <w:rPr>
          <w:rFonts w:ascii="Times New Roman" w:hAnsi="Times New Roman" w:cs="Times New Roman"/>
          <w:color w:val="000000" w:themeColor="text1"/>
          <w:sz w:val="24"/>
          <w:szCs w:val="24"/>
        </w:rPr>
      </w:pPr>
      <w:r w:rsidRPr="00480BB2">
        <w:rPr>
          <w:rFonts w:ascii="Times New Roman" w:hAnsi="Times New Roman" w:cs="Times New Roman"/>
          <w:color w:val="000000" w:themeColor="text1"/>
          <w:sz w:val="24"/>
          <w:szCs w:val="24"/>
        </w:rPr>
        <w:t>Furthermore, most of the participants (74.78%) rated their attitude as “Very High”, (22.61%) rated it as “High” and (2.61%) rated it as “Moderate”, indicating a positive attitude towards agriculture. This distribution indicates that the participants highly value agriculture and view it as a significant field of study.</w:t>
      </w:r>
    </w:p>
    <w:p w14:paraId="03D4554B"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2FE9D845"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4AD7EB9B"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52A5308E"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2FC271D0"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5EA22E94"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4DB52E03" w14:textId="51951061" w:rsidR="00A517AF" w:rsidRPr="00C70A73" w:rsidRDefault="00A517AF"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r w:rsidRPr="00C70A73">
        <w:rPr>
          <w:rFonts w:ascii="Times New Roman" w:eastAsia="Arial" w:hAnsi="Times New Roman" w:cs="Times New Roman"/>
          <w:b/>
          <w:sz w:val="24"/>
          <w:szCs w:val="24"/>
          <w:lang w:eastAsia="ko-KR"/>
        </w:rPr>
        <w:t xml:space="preserve">Table </w:t>
      </w:r>
      <w:r w:rsidR="00E57A40" w:rsidRPr="00C70A73">
        <w:rPr>
          <w:rFonts w:ascii="Times New Roman" w:eastAsia="Arial" w:hAnsi="Times New Roman" w:cs="Times New Roman"/>
          <w:b/>
          <w:sz w:val="24"/>
          <w:szCs w:val="24"/>
          <w:lang w:eastAsia="ko-KR"/>
        </w:rPr>
        <w:t>3</w:t>
      </w:r>
    </w:p>
    <w:p w14:paraId="3AB305B4" w14:textId="5BADED40" w:rsidR="00A517AF" w:rsidRPr="00C70A73" w:rsidRDefault="00A517AF" w:rsidP="00C70A73">
      <w:pPr>
        <w:pBdr>
          <w:top w:val="nil"/>
          <w:left w:val="nil"/>
          <w:bottom w:val="nil"/>
          <w:right w:val="nil"/>
          <w:between w:val="nil"/>
        </w:pBdr>
        <w:spacing w:before="240" w:after="240" w:line="240" w:lineRule="auto"/>
        <w:jc w:val="both"/>
        <w:rPr>
          <w:rFonts w:ascii="Times New Roman" w:eastAsia="Batang" w:hAnsi="Times New Roman" w:cs="Times New Roman"/>
          <w:i/>
          <w:sz w:val="24"/>
          <w:szCs w:val="24"/>
          <w:lang w:eastAsia="ko-KR"/>
        </w:rPr>
      </w:pPr>
      <w:r w:rsidRPr="00C70A73">
        <w:rPr>
          <w:rFonts w:ascii="Times New Roman" w:eastAsia="Arial" w:hAnsi="Times New Roman" w:cs="Times New Roman"/>
          <w:i/>
          <w:sz w:val="24"/>
          <w:szCs w:val="24"/>
          <w:lang w:eastAsia="ko-KR"/>
        </w:rPr>
        <w:t>Frequency, Percentage</w:t>
      </w:r>
      <w:r w:rsidR="00480BB2">
        <w:rPr>
          <w:rFonts w:ascii="Times New Roman" w:eastAsia="Arial" w:hAnsi="Times New Roman" w:cs="Times New Roman"/>
          <w:i/>
          <w:sz w:val="24"/>
          <w:szCs w:val="24"/>
          <w:lang w:eastAsia="ko-KR"/>
        </w:rPr>
        <w:t xml:space="preserve">, </w:t>
      </w:r>
      <w:r w:rsidRPr="00C70A73">
        <w:rPr>
          <w:rFonts w:ascii="Times New Roman" w:eastAsia="Arial" w:hAnsi="Times New Roman" w:cs="Times New Roman"/>
          <w:i/>
          <w:sz w:val="24"/>
          <w:szCs w:val="24"/>
          <w:lang w:eastAsia="ko-KR"/>
        </w:rPr>
        <w:t xml:space="preserve">and Mean Distribution of </w:t>
      </w:r>
      <w:r w:rsidRPr="00C70A73">
        <w:rPr>
          <w:rFonts w:ascii="Times New Roman" w:eastAsia="Batang" w:hAnsi="Times New Roman" w:cs="Times New Roman"/>
          <w:i/>
          <w:sz w:val="24"/>
          <w:szCs w:val="24"/>
          <w:lang w:eastAsia="ko-KR"/>
        </w:rPr>
        <w:t xml:space="preserve">the Participants’ Attitude towards Agriculture </w:t>
      </w:r>
    </w:p>
    <w:tbl>
      <w:tblPr>
        <w:tblW w:w="0" w:type="auto"/>
        <w:tblBorders>
          <w:top w:val="single" w:sz="4" w:space="0" w:color="auto"/>
          <w:bottom w:val="single" w:sz="4" w:space="0" w:color="auto"/>
        </w:tblBorders>
        <w:tblLook w:val="04A0" w:firstRow="1" w:lastRow="0" w:firstColumn="1" w:lastColumn="0" w:noHBand="0" w:noVBand="1"/>
      </w:tblPr>
      <w:tblGrid>
        <w:gridCol w:w="1667"/>
        <w:gridCol w:w="2870"/>
        <w:gridCol w:w="2479"/>
        <w:gridCol w:w="1759"/>
        <w:gridCol w:w="1859"/>
      </w:tblGrid>
      <w:tr w:rsidR="00A517AF" w:rsidRPr="00C70A73" w14:paraId="396AC07A" w14:textId="77777777" w:rsidTr="001F4875">
        <w:trPr>
          <w:trHeight w:val="295"/>
        </w:trPr>
        <w:tc>
          <w:tcPr>
            <w:tcW w:w="1667" w:type="dxa"/>
            <w:tcBorders>
              <w:top w:val="single" w:sz="4" w:space="0" w:color="auto"/>
              <w:bottom w:val="single" w:sz="4" w:space="0" w:color="auto"/>
            </w:tcBorders>
          </w:tcPr>
          <w:p w14:paraId="00EE915A"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Range</w:t>
            </w:r>
          </w:p>
        </w:tc>
        <w:tc>
          <w:tcPr>
            <w:tcW w:w="2870" w:type="dxa"/>
            <w:tcBorders>
              <w:top w:val="single" w:sz="4" w:space="0" w:color="auto"/>
              <w:bottom w:val="single" w:sz="4" w:space="0" w:color="auto"/>
            </w:tcBorders>
          </w:tcPr>
          <w:p w14:paraId="5B4ADDB2"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Description</w:t>
            </w:r>
          </w:p>
        </w:tc>
        <w:tc>
          <w:tcPr>
            <w:tcW w:w="2479" w:type="dxa"/>
            <w:tcBorders>
              <w:top w:val="single" w:sz="4" w:space="0" w:color="auto"/>
              <w:bottom w:val="single" w:sz="4" w:space="0" w:color="auto"/>
            </w:tcBorders>
          </w:tcPr>
          <w:p w14:paraId="6227D1C0"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Interpretation</w:t>
            </w:r>
          </w:p>
        </w:tc>
        <w:tc>
          <w:tcPr>
            <w:tcW w:w="1759" w:type="dxa"/>
            <w:tcBorders>
              <w:top w:val="single" w:sz="4" w:space="0" w:color="auto"/>
              <w:bottom w:val="single" w:sz="4" w:space="0" w:color="auto"/>
            </w:tcBorders>
          </w:tcPr>
          <w:p w14:paraId="2CA6A11F"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Frequency</w:t>
            </w:r>
          </w:p>
        </w:tc>
        <w:tc>
          <w:tcPr>
            <w:tcW w:w="1859" w:type="dxa"/>
            <w:tcBorders>
              <w:top w:val="single" w:sz="4" w:space="0" w:color="auto"/>
              <w:bottom w:val="single" w:sz="4" w:space="0" w:color="auto"/>
            </w:tcBorders>
          </w:tcPr>
          <w:p w14:paraId="0F7FEB18"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Percentage</w:t>
            </w:r>
          </w:p>
        </w:tc>
      </w:tr>
      <w:tr w:rsidR="00A517AF" w:rsidRPr="00C70A73" w14:paraId="46558C25" w14:textId="77777777" w:rsidTr="001F4875">
        <w:trPr>
          <w:trHeight w:val="316"/>
        </w:trPr>
        <w:tc>
          <w:tcPr>
            <w:tcW w:w="1667" w:type="dxa"/>
            <w:tcBorders>
              <w:top w:val="single" w:sz="4" w:space="0" w:color="auto"/>
            </w:tcBorders>
            <w:vAlign w:val="center"/>
          </w:tcPr>
          <w:p w14:paraId="4F66CA1B"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4.51-5.00</w:t>
            </w:r>
          </w:p>
        </w:tc>
        <w:tc>
          <w:tcPr>
            <w:tcW w:w="2870" w:type="dxa"/>
            <w:tcBorders>
              <w:top w:val="single" w:sz="4" w:space="0" w:color="auto"/>
            </w:tcBorders>
            <w:vAlign w:val="center"/>
          </w:tcPr>
          <w:p w14:paraId="35645A15"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Strongly Agree</w:t>
            </w:r>
          </w:p>
        </w:tc>
        <w:tc>
          <w:tcPr>
            <w:tcW w:w="2479" w:type="dxa"/>
            <w:tcBorders>
              <w:top w:val="single" w:sz="4" w:space="0" w:color="auto"/>
            </w:tcBorders>
            <w:vAlign w:val="center"/>
          </w:tcPr>
          <w:p w14:paraId="65E09D29"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Very High</w:t>
            </w:r>
          </w:p>
        </w:tc>
        <w:tc>
          <w:tcPr>
            <w:tcW w:w="1759" w:type="dxa"/>
            <w:tcBorders>
              <w:top w:val="single" w:sz="4" w:space="0" w:color="auto"/>
            </w:tcBorders>
            <w:vAlign w:val="bottom"/>
          </w:tcPr>
          <w:p w14:paraId="74FA1D4F"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172</w:t>
            </w:r>
          </w:p>
        </w:tc>
        <w:tc>
          <w:tcPr>
            <w:tcW w:w="1859" w:type="dxa"/>
            <w:tcBorders>
              <w:top w:val="single" w:sz="4" w:space="0" w:color="auto"/>
            </w:tcBorders>
            <w:vAlign w:val="bottom"/>
          </w:tcPr>
          <w:p w14:paraId="3A4363B9"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74.78</w:t>
            </w:r>
          </w:p>
        </w:tc>
      </w:tr>
      <w:tr w:rsidR="00A517AF" w:rsidRPr="00C70A73" w14:paraId="4A9013F4" w14:textId="77777777" w:rsidTr="001F4875">
        <w:trPr>
          <w:trHeight w:val="295"/>
        </w:trPr>
        <w:tc>
          <w:tcPr>
            <w:tcW w:w="1667" w:type="dxa"/>
            <w:vAlign w:val="center"/>
          </w:tcPr>
          <w:p w14:paraId="5AEE3C69"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3.51-4.50</w:t>
            </w:r>
          </w:p>
        </w:tc>
        <w:tc>
          <w:tcPr>
            <w:tcW w:w="2870" w:type="dxa"/>
            <w:vAlign w:val="center"/>
          </w:tcPr>
          <w:p w14:paraId="0090613D"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Agree</w:t>
            </w:r>
          </w:p>
        </w:tc>
        <w:tc>
          <w:tcPr>
            <w:tcW w:w="2479" w:type="dxa"/>
            <w:vAlign w:val="center"/>
          </w:tcPr>
          <w:p w14:paraId="3DEF1383"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High</w:t>
            </w:r>
          </w:p>
        </w:tc>
        <w:tc>
          <w:tcPr>
            <w:tcW w:w="1759" w:type="dxa"/>
            <w:vAlign w:val="bottom"/>
          </w:tcPr>
          <w:p w14:paraId="17CC64D5"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52</w:t>
            </w:r>
          </w:p>
        </w:tc>
        <w:tc>
          <w:tcPr>
            <w:tcW w:w="1859" w:type="dxa"/>
            <w:vAlign w:val="bottom"/>
          </w:tcPr>
          <w:p w14:paraId="1744EEF6"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22.61</w:t>
            </w:r>
          </w:p>
        </w:tc>
      </w:tr>
      <w:tr w:rsidR="00A517AF" w:rsidRPr="00C70A73" w14:paraId="3920F843" w14:textId="77777777" w:rsidTr="001F4875">
        <w:trPr>
          <w:trHeight w:val="316"/>
        </w:trPr>
        <w:tc>
          <w:tcPr>
            <w:tcW w:w="1667" w:type="dxa"/>
            <w:vAlign w:val="center"/>
          </w:tcPr>
          <w:p w14:paraId="145A6783"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2.51-3.50</w:t>
            </w:r>
          </w:p>
        </w:tc>
        <w:tc>
          <w:tcPr>
            <w:tcW w:w="2870" w:type="dxa"/>
            <w:vAlign w:val="center"/>
          </w:tcPr>
          <w:p w14:paraId="6B41C755"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Neutral</w:t>
            </w:r>
          </w:p>
        </w:tc>
        <w:tc>
          <w:tcPr>
            <w:tcW w:w="2479" w:type="dxa"/>
            <w:vAlign w:val="center"/>
          </w:tcPr>
          <w:p w14:paraId="5588F14D"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Moderate</w:t>
            </w:r>
          </w:p>
        </w:tc>
        <w:tc>
          <w:tcPr>
            <w:tcW w:w="1759" w:type="dxa"/>
            <w:vAlign w:val="bottom"/>
          </w:tcPr>
          <w:p w14:paraId="019E06B2"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6</w:t>
            </w:r>
          </w:p>
        </w:tc>
        <w:tc>
          <w:tcPr>
            <w:tcW w:w="1859" w:type="dxa"/>
            <w:vAlign w:val="bottom"/>
          </w:tcPr>
          <w:p w14:paraId="26738779"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2.61</w:t>
            </w:r>
          </w:p>
        </w:tc>
      </w:tr>
      <w:tr w:rsidR="00A517AF" w:rsidRPr="00C70A73" w14:paraId="4DD586A8" w14:textId="77777777" w:rsidTr="001F4875">
        <w:trPr>
          <w:trHeight w:val="316"/>
        </w:trPr>
        <w:tc>
          <w:tcPr>
            <w:tcW w:w="1667" w:type="dxa"/>
            <w:tcBorders>
              <w:bottom w:val="nil"/>
            </w:tcBorders>
            <w:vAlign w:val="center"/>
          </w:tcPr>
          <w:p w14:paraId="40E0F65F"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1.51-2.50</w:t>
            </w:r>
          </w:p>
        </w:tc>
        <w:tc>
          <w:tcPr>
            <w:tcW w:w="2870" w:type="dxa"/>
            <w:tcBorders>
              <w:bottom w:val="nil"/>
            </w:tcBorders>
            <w:vAlign w:val="center"/>
          </w:tcPr>
          <w:p w14:paraId="11587C5F"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Disagree</w:t>
            </w:r>
          </w:p>
        </w:tc>
        <w:tc>
          <w:tcPr>
            <w:tcW w:w="2479" w:type="dxa"/>
            <w:tcBorders>
              <w:bottom w:val="nil"/>
            </w:tcBorders>
            <w:vAlign w:val="center"/>
          </w:tcPr>
          <w:p w14:paraId="0AA80488"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Low</w:t>
            </w:r>
          </w:p>
        </w:tc>
        <w:tc>
          <w:tcPr>
            <w:tcW w:w="1759" w:type="dxa"/>
            <w:tcBorders>
              <w:bottom w:val="nil"/>
            </w:tcBorders>
            <w:vAlign w:val="bottom"/>
          </w:tcPr>
          <w:p w14:paraId="6AC29BD6"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w:t>
            </w:r>
          </w:p>
        </w:tc>
        <w:tc>
          <w:tcPr>
            <w:tcW w:w="1859" w:type="dxa"/>
            <w:tcBorders>
              <w:bottom w:val="nil"/>
            </w:tcBorders>
            <w:vAlign w:val="bottom"/>
          </w:tcPr>
          <w:p w14:paraId="46E1570E"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0.00</w:t>
            </w:r>
          </w:p>
        </w:tc>
      </w:tr>
      <w:tr w:rsidR="00A517AF" w:rsidRPr="00C70A73" w14:paraId="3E42A569" w14:textId="77777777" w:rsidTr="001F4875">
        <w:trPr>
          <w:trHeight w:val="316"/>
        </w:trPr>
        <w:tc>
          <w:tcPr>
            <w:tcW w:w="1667" w:type="dxa"/>
            <w:tcBorders>
              <w:top w:val="nil"/>
              <w:bottom w:val="single" w:sz="4" w:space="0" w:color="auto"/>
            </w:tcBorders>
            <w:vAlign w:val="center"/>
          </w:tcPr>
          <w:p w14:paraId="139BBB51"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1.00-1.50</w:t>
            </w:r>
          </w:p>
        </w:tc>
        <w:tc>
          <w:tcPr>
            <w:tcW w:w="2870" w:type="dxa"/>
            <w:tcBorders>
              <w:top w:val="nil"/>
              <w:bottom w:val="single" w:sz="4" w:space="0" w:color="auto"/>
            </w:tcBorders>
            <w:vAlign w:val="center"/>
          </w:tcPr>
          <w:p w14:paraId="586DD58F"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Strongly Disagree</w:t>
            </w:r>
          </w:p>
        </w:tc>
        <w:tc>
          <w:tcPr>
            <w:tcW w:w="2479" w:type="dxa"/>
            <w:tcBorders>
              <w:top w:val="nil"/>
              <w:bottom w:val="single" w:sz="4" w:space="0" w:color="auto"/>
            </w:tcBorders>
            <w:vAlign w:val="center"/>
          </w:tcPr>
          <w:p w14:paraId="08A6C590"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Very Low</w:t>
            </w:r>
          </w:p>
        </w:tc>
        <w:tc>
          <w:tcPr>
            <w:tcW w:w="1759" w:type="dxa"/>
            <w:tcBorders>
              <w:top w:val="nil"/>
              <w:bottom w:val="single" w:sz="4" w:space="0" w:color="auto"/>
            </w:tcBorders>
            <w:vAlign w:val="bottom"/>
          </w:tcPr>
          <w:p w14:paraId="00F5ED66"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w:t>
            </w:r>
          </w:p>
        </w:tc>
        <w:tc>
          <w:tcPr>
            <w:tcW w:w="1859" w:type="dxa"/>
            <w:tcBorders>
              <w:top w:val="nil"/>
              <w:bottom w:val="single" w:sz="4" w:space="0" w:color="auto"/>
            </w:tcBorders>
            <w:vAlign w:val="bottom"/>
          </w:tcPr>
          <w:p w14:paraId="75A10B7D"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0.00</w:t>
            </w:r>
          </w:p>
        </w:tc>
      </w:tr>
      <w:tr w:rsidR="00A517AF" w:rsidRPr="00C70A73" w14:paraId="051BA576" w14:textId="77777777" w:rsidTr="001F4875">
        <w:trPr>
          <w:trHeight w:val="295"/>
        </w:trPr>
        <w:tc>
          <w:tcPr>
            <w:tcW w:w="1667" w:type="dxa"/>
            <w:tcBorders>
              <w:top w:val="single" w:sz="4" w:space="0" w:color="auto"/>
            </w:tcBorders>
          </w:tcPr>
          <w:p w14:paraId="1DD07AD9"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p>
        </w:tc>
        <w:tc>
          <w:tcPr>
            <w:tcW w:w="2870" w:type="dxa"/>
            <w:tcBorders>
              <w:top w:val="single" w:sz="4" w:space="0" w:color="auto"/>
            </w:tcBorders>
          </w:tcPr>
          <w:p w14:paraId="6205982B"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p>
        </w:tc>
        <w:tc>
          <w:tcPr>
            <w:tcW w:w="2479" w:type="dxa"/>
            <w:tcBorders>
              <w:top w:val="single" w:sz="4" w:space="0" w:color="auto"/>
            </w:tcBorders>
          </w:tcPr>
          <w:p w14:paraId="0BAB9273"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Total</w:t>
            </w:r>
          </w:p>
        </w:tc>
        <w:tc>
          <w:tcPr>
            <w:tcW w:w="1759" w:type="dxa"/>
            <w:tcBorders>
              <w:top w:val="single" w:sz="4" w:space="0" w:color="auto"/>
            </w:tcBorders>
            <w:vAlign w:val="center"/>
          </w:tcPr>
          <w:p w14:paraId="501DFDAC"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230</w:t>
            </w:r>
          </w:p>
        </w:tc>
        <w:tc>
          <w:tcPr>
            <w:tcW w:w="1859" w:type="dxa"/>
            <w:tcBorders>
              <w:top w:val="single" w:sz="4" w:space="0" w:color="auto"/>
            </w:tcBorders>
            <w:vAlign w:val="center"/>
          </w:tcPr>
          <w:p w14:paraId="29999CA8"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100</w:t>
            </w:r>
          </w:p>
        </w:tc>
      </w:tr>
      <w:tr w:rsidR="00A517AF" w:rsidRPr="00C70A73" w14:paraId="02706913" w14:textId="77777777" w:rsidTr="001F4875">
        <w:trPr>
          <w:trHeight w:val="316"/>
        </w:trPr>
        <w:tc>
          <w:tcPr>
            <w:tcW w:w="1667" w:type="dxa"/>
          </w:tcPr>
          <w:p w14:paraId="10A75DD6"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870" w:type="dxa"/>
          </w:tcPr>
          <w:p w14:paraId="7FC79688"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479" w:type="dxa"/>
          </w:tcPr>
          <w:p w14:paraId="26E6DDAA"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Overall Mean</w:t>
            </w:r>
          </w:p>
        </w:tc>
        <w:tc>
          <w:tcPr>
            <w:tcW w:w="3618" w:type="dxa"/>
            <w:gridSpan w:val="2"/>
            <w:vAlign w:val="center"/>
          </w:tcPr>
          <w:p w14:paraId="01D278C9"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4.71</w:t>
            </w:r>
          </w:p>
        </w:tc>
      </w:tr>
      <w:tr w:rsidR="00A517AF" w:rsidRPr="00C70A73" w14:paraId="6706CE7A" w14:textId="77777777" w:rsidTr="001F4875">
        <w:trPr>
          <w:trHeight w:val="295"/>
        </w:trPr>
        <w:tc>
          <w:tcPr>
            <w:tcW w:w="1667" w:type="dxa"/>
          </w:tcPr>
          <w:p w14:paraId="2D7BBE45"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870" w:type="dxa"/>
          </w:tcPr>
          <w:p w14:paraId="7F3F28A9"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479" w:type="dxa"/>
          </w:tcPr>
          <w:p w14:paraId="3507DE85"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Interpretation</w:t>
            </w:r>
          </w:p>
        </w:tc>
        <w:tc>
          <w:tcPr>
            <w:tcW w:w="3618" w:type="dxa"/>
            <w:gridSpan w:val="2"/>
            <w:vAlign w:val="center"/>
          </w:tcPr>
          <w:p w14:paraId="09F0695D"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Very High</w:t>
            </w:r>
          </w:p>
        </w:tc>
      </w:tr>
      <w:tr w:rsidR="00A517AF" w:rsidRPr="00C70A73" w14:paraId="53664044" w14:textId="77777777" w:rsidTr="001F4875">
        <w:trPr>
          <w:trHeight w:val="316"/>
        </w:trPr>
        <w:tc>
          <w:tcPr>
            <w:tcW w:w="1667" w:type="dxa"/>
          </w:tcPr>
          <w:p w14:paraId="0B2C1948"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870" w:type="dxa"/>
          </w:tcPr>
          <w:p w14:paraId="35D29568"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479" w:type="dxa"/>
          </w:tcPr>
          <w:p w14:paraId="6ABA7DBC"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SD</w:t>
            </w:r>
          </w:p>
        </w:tc>
        <w:tc>
          <w:tcPr>
            <w:tcW w:w="3618" w:type="dxa"/>
            <w:gridSpan w:val="2"/>
            <w:vAlign w:val="center"/>
          </w:tcPr>
          <w:p w14:paraId="0F769607"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0.41</w:t>
            </w:r>
          </w:p>
        </w:tc>
      </w:tr>
    </w:tbl>
    <w:p w14:paraId="40CBA605" w14:textId="58F6461D" w:rsidR="00C51B83" w:rsidRPr="002121DB" w:rsidRDefault="00A517AF" w:rsidP="00C70A73">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Stwalley</w:t>
      </w:r>
      <w:r w:rsidR="002121DB">
        <w:rPr>
          <w:rFonts w:ascii="Times New Roman" w:hAnsi="Times New Roman" w:cs="Times New Roman"/>
          <w:bCs/>
          <w:sz w:val="24"/>
          <w:szCs w:val="24"/>
        </w:rPr>
        <w:t xml:space="preserve"> (2023</w:t>
      </w:r>
      <w:proofErr w:type="gramStart"/>
      <w:r w:rsidRPr="00C70A73">
        <w:rPr>
          <w:rFonts w:ascii="Times New Roman" w:hAnsi="Times New Roman" w:cs="Times New Roman"/>
          <w:bCs/>
          <w:sz w:val="24"/>
          <w:szCs w:val="24"/>
        </w:rPr>
        <w:t>)</w:t>
      </w:r>
      <w:r w:rsidR="002121DB">
        <w:rPr>
          <w:rFonts w:ascii="Times New Roman" w:hAnsi="Times New Roman" w:cs="Times New Roman"/>
          <w:bCs/>
          <w:sz w:val="24"/>
          <w:szCs w:val="24"/>
        </w:rPr>
        <w:t>,</w:t>
      </w:r>
      <w:proofErr w:type="gramEnd"/>
      <w:r w:rsidR="002121DB">
        <w:rPr>
          <w:rFonts w:ascii="Times New Roman" w:hAnsi="Times New Roman" w:cs="Times New Roman"/>
          <w:bCs/>
          <w:sz w:val="24"/>
          <w:szCs w:val="24"/>
        </w:rPr>
        <w:t xml:space="preserve"> </w:t>
      </w:r>
      <w:r w:rsidR="00223E2D">
        <w:rPr>
          <w:rFonts w:ascii="Times New Roman" w:hAnsi="Times New Roman" w:cs="Times New Roman"/>
          <w:bCs/>
          <w:sz w:val="24"/>
          <w:szCs w:val="24"/>
        </w:rPr>
        <w:t>noted</w:t>
      </w:r>
      <w:r w:rsidRPr="00C70A73">
        <w:rPr>
          <w:rFonts w:ascii="Times New Roman" w:hAnsi="Times New Roman" w:cs="Times New Roman"/>
          <w:bCs/>
          <w:sz w:val="24"/>
          <w:szCs w:val="24"/>
        </w:rPr>
        <w:t xml:space="preserve"> that students </w:t>
      </w:r>
      <w:r w:rsidR="00223E2D">
        <w:rPr>
          <w:rFonts w:ascii="Times New Roman" w:hAnsi="Times New Roman" w:cs="Times New Roman"/>
          <w:bCs/>
          <w:sz w:val="24"/>
          <w:szCs w:val="24"/>
        </w:rPr>
        <w:t>are more likely</w:t>
      </w:r>
      <w:r w:rsidRPr="00C70A73">
        <w:rPr>
          <w:rFonts w:ascii="Times New Roman" w:hAnsi="Times New Roman" w:cs="Times New Roman"/>
          <w:bCs/>
          <w:sz w:val="24"/>
          <w:szCs w:val="24"/>
        </w:rPr>
        <w:t xml:space="preserve"> to apply knowledge </w:t>
      </w:r>
      <w:r w:rsidR="00223E2D">
        <w:rPr>
          <w:rFonts w:ascii="Times New Roman" w:hAnsi="Times New Roman" w:cs="Times New Roman"/>
          <w:bCs/>
          <w:sz w:val="24"/>
          <w:szCs w:val="24"/>
        </w:rPr>
        <w:t>to</w:t>
      </w:r>
      <w:r w:rsidRPr="00C70A73">
        <w:rPr>
          <w:rFonts w:ascii="Times New Roman" w:hAnsi="Times New Roman" w:cs="Times New Roman"/>
          <w:bCs/>
          <w:sz w:val="24"/>
          <w:szCs w:val="24"/>
        </w:rPr>
        <w:t xml:space="preserve"> future employment when they are consistently exposed to modern agricultural technolog</w:t>
      </w:r>
      <w:r w:rsidR="00223E2D">
        <w:rPr>
          <w:rFonts w:ascii="Times New Roman" w:hAnsi="Times New Roman" w:cs="Times New Roman"/>
          <w:bCs/>
          <w:sz w:val="24"/>
          <w:szCs w:val="24"/>
        </w:rPr>
        <w:t>ies, which enhances</w:t>
      </w:r>
      <w:r w:rsidRPr="00C70A73">
        <w:rPr>
          <w:rFonts w:ascii="Times New Roman" w:hAnsi="Times New Roman" w:cs="Times New Roman"/>
          <w:bCs/>
          <w:sz w:val="24"/>
          <w:szCs w:val="24"/>
        </w:rPr>
        <w:t xml:space="preserve"> confiden</w:t>
      </w:r>
      <w:r w:rsidR="00223E2D">
        <w:rPr>
          <w:rFonts w:ascii="Times New Roman" w:hAnsi="Times New Roman" w:cs="Times New Roman"/>
          <w:bCs/>
          <w:sz w:val="24"/>
          <w:szCs w:val="24"/>
        </w:rPr>
        <w:t>ce</w:t>
      </w:r>
      <w:r w:rsidRPr="00C70A73">
        <w:rPr>
          <w:rFonts w:ascii="Times New Roman" w:hAnsi="Times New Roman" w:cs="Times New Roman"/>
          <w:bCs/>
          <w:sz w:val="24"/>
          <w:szCs w:val="24"/>
        </w:rPr>
        <w:t xml:space="preserve"> and motivat</w:t>
      </w:r>
      <w:r w:rsidR="00223E2D">
        <w:rPr>
          <w:rFonts w:ascii="Times New Roman" w:hAnsi="Times New Roman" w:cs="Times New Roman"/>
          <w:bCs/>
          <w:sz w:val="24"/>
          <w:szCs w:val="24"/>
        </w:rPr>
        <w:t>ion</w:t>
      </w:r>
      <w:r w:rsidRPr="00C70A73">
        <w:rPr>
          <w:rFonts w:ascii="Times New Roman" w:hAnsi="Times New Roman" w:cs="Times New Roman"/>
          <w:bCs/>
          <w:sz w:val="24"/>
          <w:szCs w:val="24"/>
        </w:rPr>
        <w:t xml:space="preserve"> </w:t>
      </w:r>
      <w:r w:rsidR="00223E2D">
        <w:rPr>
          <w:rFonts w:ascii="Times New Roman" w:hAnsi="Times New Roman" w:cs="Times New Roman"/>
          <w:bCs/>
          <w:sz w:val="24"/>
          <w:szCs w:val="24"/>
        </w:rPr>
        <w:t>in performing</w:t>
      </w:r>
      <w:r w:rsidRPr="00C70A73">
        <w:rPr>
          <w:rFonts w:ascii="Times New Roman" w:hAnsi="Times New Roman" w:cs="Times New Roman"/>
          <w:bCs/>
          <w:sz w:val="24"/>
          <w:szCs w:val="24"/>
        </w:rPr>
        <w:t xml:space="preserve"> agricultural tasks. </w:t>
      </w:r>
      <w:r w:rsidR="00223E2D">
        <w:rPr>
          <w:rFonts w:ascii="Times New Roman" w:hAnsi="Times New Roman" w:cs="Times New Roman"/>
          <w:bCs/>
          <w:sz w:val="24"/>
          <w:szCs w:val="24"/>
        </w:rPr>
        <w:t xml:space="preserve">Similarly, </w:t>
      </w:r>
      <w:r w:rsidRPr="00C70A73">
        <w:rPr>
          <w:rFonts w:ascii="Times New Roman" w:hAnsi="Times New Roman" w:cs="Times New Roman"/>
          <w:sz w:val="24"/>
          <w:szCs w:val="24"/>
        </w:rPr>
        <w:t>Alrawashdeh et al</w:t>
      </w:r>
      <w:r w:rsidR="00223E2D">
        <w:rPr>
          <w:rFonts w:ascii="Times New Roman" w:hAnsi="Times New Roman" w:cs="Times New Roman"/>
          <w:sz w:val="24"/>
          <w:szCs w:val="24"/>
        </w:rPr>
        <w:t xml:space="preserve">. </w:t>
      </w:r>
      <w:r w:rsidRPr="00C70A73">
        <w:rPr>
          <w:rFonts w:ascii="Times New Roman" w:hAnsi="Times New Roman" w:cs="Times New Roman"/>
          <w:sz w:val="24"/>
          <w:szCs w:val="24"/>
        </w:rPr>
        <w:t xml:space="preserve">(2022) </w:t>
      </w:r>
      <w:r w:rsidR="00223E2D">
        <w:rPr>
          <w:rFonts w:ascii="Times New Roman" w:hAnsi="Times New Roman" w:cs="Times New Roman"/>
          <w:sz w:val="24"/>
          <w:szCs w:val="24"/>
        </w:rPr>
        <w:t>emphasized</w:t>
      </w:r>
      <w:r w:rsidRPr="00C70A73">
        <w:rPr>
          <w:rFonts w:ascii="Times New Roman" w:hAnsi="Times New Roman" w:cs="Times New Roman"/>
          <w:sz w:val="24"/>
          <w:szCs w:val="24"/>
        </w:rPr>
        <w:t xml:space="preserve"> that engaging students </w:t>
      </w:r>
      <w:r w:rsidR="00C51B83">
        <w:rPr>
          <w:rFonts w:ascii="Times New Roman" w:hAnsi="Times New Roman" w:cs="Times New Roman"/>
          <w:sz w:val="24"/>
          <w:szCs w:val="24"/>
        </w:rPr>
        <w:t>in</w:t>
      </w:r>
      <w:r w:rsidRPr="00C70A73">
        <w:rPr>
          <w:rFonts w:ascii="Times New Roman" w:hAnsi="Times New Roman" w:cs="Times New Roman"/>
          <w:sz w:val="24"/>
          <w:szCs w:val="24"/>
        </w:rPr>
        <w:t xml:space="preserve"> sustainable agriculture </w:t>
      </w:r>
      <w:r w:rsidR="00C51B83">
        <w:rPr>
          <w:rFonts w:ascii="Times New Roman" w:hAnsi="Times New Roman" w:cs="Times New Roman"/>
          <w:sz w:val="24"/>
          <w:szCs w:val="24"/>
        </w:rPr>
        <w:t xml:space="preserve">practices </w:t>
      </w:r>
      <w:r w:rsidR="00223E2D">
        <w:rPr>
          <w:rFonts w:ascii="Times New Roman" w:hAnsi="Times New Roman" w:cs="Times New Roman"/>
          <w:sz w:val="24"/>
          <w:szCs w:val="24"/>
        </w:rPr>
        <w:t>fosters strong</w:t>
      </w:r>
      <w:r w:rsidR="00C51B83">
        <w:rPr>
          <w:rFonts w:ascii="Times New Roman" w:hAnsi="Times New Roman" w:cs="Times New Roman"/>
          <w:sz w:val="24"/>
          <w:szCs w:val="24"/>
        </w:rPr>
        <w:t>er</w:t>
      </w:r>
      <w:r w:rsidR="00223E2D">
        <w:rPr>
          <w:rFonts w:ascii="Times New Roman" w:hAnsi="Times New Roman" w:cs="Times New Roman"/>
          <w:sz w:val="24"/>
          <w:szCs w:val="24"/>
        </w:rPr>
        <w:t xml:space="preserve"> </w:t>
      </w:r>
      <w:r w:rsidRPr="00C70A73">
        <w:rPr>
          <w:rFonts w:ascii="Times New Roman" w:hAnsi="Times New Roman" w:cs="Times New Roman"/>
          <w:sz w:val="24"/>
          <w:szCs w:val="24"/>
        </w:rPr>
        <w:t>connect</w:t>
      </w:r>
      <w:r w:rsidR="00223E2D">
        <w:rPr>
          <w:rFonts w:ascii="Times New Roman" w:hAnsi="Times New Roman" w:cs="Times New Roman"/>
          <w:sz w:val="24"/>
          <w:szCs w:val="24"/>
        </w:rPr>
        <w:t xml:space="preserve">ions </w:t>
      </w:r>
      <w:r w:rsidRPr="00C70A73">
        <w:rPr>
          <w:rFonts w:ascii="Times New Roman" w:hAnsi="Times New Roman" w:cs="Times New Roman"/>
          <w:sz w:val="24"/>
          <w:szCs w:val="24"/>
        </w:rPr>
        <w:t xml:space="preserve">to local agricultural </w:t>
      </w:r>
      <w:r w:rsidR="00C51B83">
        <w:rPr>
          <w:rFonts w:ascii="Times New Roman" w:hAnsi="Times New Roman" w:cs="Times New Roman"/>
          <w:sz w:val="24"/>
          <w:szCs w:val="24"/>
        </w:rPr>
        <w:t>industry, thereby</w:t>
      </w:r>
      <w:r w:rsidRPr="00C70A73">
        <w:rPr>
          <w:rFonts w:ascii="Times New Roman" w:hAnsi="Times New Roman" w:cs="Times New Roman"/>
          <w:sz w:val="24"/>
          <w:szCs w:val="24"/>
        </w:rPr>
        <w:t xml:space="preserve"> </w:t>
      </w:r>
      <w:r w:rsidR="00C51B83">
        <w:rPr>
          <w:rFonts w:ascii="Times New Roman" w:hAnsi="Times New Roman" w:cs="Times New Roman"/>
          <w:sz w:val="24"/>
          <w:szCs w:val="24"/>
        </w:rPr>
        <w:t xml:space="preserve">enhancing </w:t>
      </w:r>
      <w:proofErr w:type="gramStart"/>
      <w:r w:rsidR="00C51B83">
        <w:rPr>
          <w:rFonts w:ascii="Times New Roman" w:hAnsi="Times New Roman" w:cs="Times New Roman"/>
          <w:sz w:val="24"/>
          <w:szCs w:val="24"/>
        </w:rPr>
        <w:t>students</w:t>
      </w:r>
      <w:proofErr w:type="gramEnd"/>
      <w:r w:rsidRPr="00C70A73">
        <w:rPr>
          <w:rFonts w:ascii="Times New Roman" w:hAnsi="Times New Roman" w:cs="Times New Roman"/>
          <w:sz w:val="24"/>
          <w:szCs w:val="24"/>
        </w:rPr>
        <w:t xml:space="preserve"> commitment and aspiration toward</w:t>
      </w:r>
      <w:r w:rsidR="00C51B83">
        <w:rPr>
          <w:rFonts w:ascii="Times New Roman" w:hAnsi="Times New Roman" w:cs="Times New Roman"/>
          <w:sz w:val="24"/>
          <w:szCs w:val="24"/>
        </w:rPr>
        <w:t xml:space="preserve"> </w:t>
      </w:r>
      <w:r w:rsidRPr="00C70A73">
        <w:rPr>
          <w:rFonts w:ascii="Times New Roman" w:hAnsi="Times New Roman" w:cs="Times New Roman"/>
          <w:sz w:val="24"/>
          <w:szCs w:val="24"/>
        </w:rPr>
        <w:t>the sector.</w:t>
      </w:r>
    </w:p>
    <w:p w14:paraId="25CF13C5" w14:textId="2A2624A7" w:rsidR="00774A5D" w:rsidRDefault="00C51B83" w:rsidP="00C70A73">
      <w:pPr>
        <w:pStyle w:val="NoSpacing"/>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Overall, the findings suggest that </w:t>
      </w:r>
      <w:r w:rsidR="00A869A4">
        <w:rPr>
          <w:rFonts w:ascii="Times New Roman" w:hAnsi="Times New Roman" w:cs="Times New Roman"/>
          <w:sz w:val="24"/>
          <w:szCs w:val="24"/>
        </w:rPr>
        <w:t>the very high</w:t>
      </w:r>
      <w:r w:rsidR="00A517AF" w:rsidRPr="00C70A73">
        <w:rPr>
          <w:rFonts w:ascii="Times New Roman" w:hAnsi="Times New Roman" w:cs="Times New Roman"/>
          <w:sz w:val="24"/>
          <w:szCs w:val="24"/>
        </w:rPr>
        <w:t xml:space="preserve"> attitude toward</w:t>
      </w:r>
      <w:r>
        <w:rPr>
          <w:rFonts w:ascii="Times New Roman" w:hAnsi="Times New Roman" w:cs="Times New Roman"/>
          <w:sz w:val="24"/>
          <w:szCs w:val="24"/>
        </w:rPr>
        <w:t>s</w:t>
      </w:r>
      <w:r w:rsidR="00A517AF" w:rsidRPr="00C70A73">
        <w:rPr>
          <w:rFonts w:ascii="Times New Roman" w:hAnsi="Times New Roman" w:cs="Times New Roman"/>
          <w:sz w:val="24"/>
          <w:szCs w:val="24"/>
        </w:rPr>
        <w:t xml:space="preserve"> agriculture </w:t>
      </w:r>
      <w:r>
        <w:rPr>
          <w:rFonts w:ascii="Times New Roman" w:hAnsi="Times New Roman" w:cs="Times New Roman"/>
          <w:sz w:val="24"/>
          <w:szCs w:val="24"/>
        </w:rPr>
        <w:t xml:space="preserve">reflects </w:t>
      </w:r>
      <w:r w:rsidR="00A517AF" w:rsidRPr="00C70A73">
        <w:rPr>
          <w:rFonts w:ascii="Times New Roman" w:hAnsi="Times New Roman" w:cs="Times New Roman"/>
          <w:sz w:val="24"/>
          <w:szCs w:val="24"/>
        </w:rPr>
        <w:t>intrinsic</w:t>
      </w:r>
      <w:r>
        <w:rPr>
          <w:rFonts w:ascii="Times New Roman" w:hAnsi="Times New Roman" w:cs="Times New Roman"/>
          <w:sz w:val="24"/>
          <w:szCs w:val="24"/>
        </w:rPr>
        <w:t xml:space="preserve"> motivation and readiness to perform field-based agricultural experiences. </w:t>
      </w:r>
      <w:r w:rsidR="00A517AF" w:rsidRPr="00C70A73">
        <w:rPr>
          <w:rFonts w:ascii="Times New Roman" w:hAnsi="Times New Roman" w:cs="Times New Roman"/>
          <w:sz w:val="24"/>
          <w:szCs w:val="24"/>
        </w:rPr>
        <w:t xml:space="preserve">This </w:t>
      </w:r>
      <w:r>
        <w:rPr>
          <w:rFonts w:ascii="Times New Roman" w:hAnsi="Times New Roman" w:cs="Times New Roman"/>
          <w:sz w:val="24"/>
          <w:szCs w:val="24"/>
        </w:rPr>
        <w:t xml:space="preserve">underscores the importance of fostering positive perceptions of agriculture to encourage engagement in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fieldwork activities and to support the development of future professional in the agricultural sector.</w:t>
      </w:r>
    </w:p>
    <w:p w14:paraId="4A3FB05C" w14:textId="7AECB08E" w:rsidR="00E57A40" w:rsidRPr="002121DB" w:rsidRDefault="00A517AF" w:rsidP="00C70A73">
      <w:pPr>
        <w:pStyle w:val="NoSpacing"/>
        <w:spacing w:before="240" w:after="240"/>
        <w:jc w:val="both"/>
        <w:rPr>
          <w:rFonts w:ascii="Times New Roman" w:eastAsia="Arial" w:hAnsi="Times New Roman" w:cs="Times New Roman"/>
          <w:sz w:val="24"/>
          <w:szCs w:val="24"/>
        </w:rPr>
      </w:pPr>
      <w:proofErr w:type="gramStart"/>
      <w:r w:rsidRPr="00C70A73">
        <w:rPr>
          <w:rFonts w:ascii="Times New Roman" w:hAnsi="Times New Roman" w:cs="Times New Roman"/>
          <w:bCs/>
          <w:sz w:val="24"/>
          <w:szCs w:val="24"/>
        </w:rPr>
        <w:t>Table 4 shows the frequency, percentage, and mean</w:t>
      </w:r>
      <w:proofErr w:type="gramEnd"/>
      <w:r w:rsidRPr="00C70A73">
        <w:rPr>
          <w:rFonts w:ascii="Times New Roman" w:hAnsi="Times New Roman" w:cs="Times New Roman"/>
          <w:bCs/>
          <w:sz w:val="24"/>
          <w:szCs w:val="24"/>
        </w:rPr>
        <w:t xml:space="preserve"> distribution of the participants’ field work performance in Dairy and Animal Science. The ability of students to carry out field work is at the “Average” level as indicated by the overall mean of 2.19.</w:t>
      </w:r>
      <w:r w:rsidR="00A869A4">
        <w:rPr>
          <w:rFonts w:ascii="Times New Roman" w:hAnsi="Times New Roman" w:cs="Times New Roman"/>
          <w:bCs/>
          <w:sz w:val="24"/>
          <w:szCs w:val="24"/>
        </w:rPr>
        <w:t xml:space="preserve"> </w:t>
      </w:r>
      <w:proofErr w:type="gramStart"/>
      <w:r w:rsidR="00A869A4">
        <w:rPr>
          <w:rFonts w:ascii="Times New Roman" w:hAnsi="Times New Roman" w:cs="Times New Roman"/>
          <w:bCs/>
          <w:sz w:val="24"/>
          <w:szCs w:val="24"/>
        </w:rPr>
        <w:t xml:space="preserve">This </w:t>
      </w:r>
      <w:r w:rsidR="00A869A4" w:rsidRPr="00C70A73">
        <w:rPr>
          <w:rFonts w:ascii="Times New Roman" w:eastAsia="Arial" w:hAnsi="Times New Roman" w:cs="Times New Roman"/>
          <w:sz w:val="24"/>
          <w:szCs w:val="24"/>
        </w:rPr>
        <w:t>suggest</w:t>
      </w:r>
      <w:proofErr w:type="gramEnd"/>
      <w:r w:rsidR="00A869A4" w:rsidRPr="00C70A73">
        <w:rPr>
          <w:rFonts w:ascii="Times New Roman" w:eastAsia="Arial" w:hAnsi="Times New Roman" w:cs="Times New Roman"/>
          <w:sz w:val="24"/>
          <w:szCs w:val="24"/>
        </w:rPr>
        <w:t xml:space="preserve"> that students</w:t>
      </w:r>
      <w:r w:rsidR="00A869A4" w:rsidRPr="00C70A73">
        <w:rPr>
          <w:rFonts w:ascii="Times New Roman" w:hAnsi="Times New Roman" w:cs="Times New Roman"/>
          <w:sz w:val="24"/>
          <w:szCs w:val="24"/>
        </w:rPr>
        <w:t xml:space="preserve"> demonstrated satisfactory competence in their fieldwork performance and have reached an average </w:t>
      </w:r>
      <w:r w:rsidR="00A869A4" w:rsidRPr="00C70A73">
        <w:rPr>
          <w:rFonts w:ascii="Times New Roman" w:hAnsi="Times New Roman" w:cs="Times New Roman"/>
          <w:bCs/>
          <w:sz w:val="24"/>
          <w:szCs w:val="24"/>
        </w:rPr>
        <w:t xml:space="preserve">level of foundational competence. However, </w:t>
      </w:r>
      <w:r w:rsidR="00A869A4" w:rsidRPr="00C70A73">
        <w:rPr>
          <w:rFonts w:ascii="Times New Roman" w:hAnsi="Times New Roman" w:cs="Times New Roman"/>
          <w:sz w:val="24"/>
          <w:szCs w:val="24"/>
        </w:rPr>
        <w:t xml:space="preserve">their practical skills have not yet matured to the level of advanced mastery, showing a significant </w:t>
      </w:r>
      <w:r w:rsidR="00A869A4" w:rsidRPr="00C70A73">
        <w:rPr>
          <w:rFonts w:ascii="Times New Roman" w:hAnsi="Times New Roman" w:cs="Times New Roman"/>
          <w:bCs/>
          <w:sz w:val="24"/>
          <w:szCs w:val="24"/>
        </w:rPr>
        <w:t>opportunity for strategic instructional enhancement</w:t>
      </w:r>
      <w:r w:rsidR="00A869A4" w:rsidRPr="00C70A73">
        <w:rPr>
          <w:rFonts w:ascii="Times New Roman" w:hAnsi="Times New Roman" w:cs="Times New Roman"/>
          <w:sz w:val="24"/>
          <w:szCs w:val="24"/>
        </w:rPr>
        <w:t xml:space="preserve"> to achieve higher performance. According to Arihana &amp; Iksan (2023), continuous fieldwork is recommended to enhance both practical and soft </w:t>
      </w:r>
      <w:proofErr w:type="gramStart"/>
      <w:r w:rsidR="00A869A4" w:rsidRPr="00C70A73">
        <w:rPr>
          <w:rFonts w:ascii="Times New Roman" w:hAnsi="Times New Roman" w:cs="Times New Roman"/>
          <w:sz w:val="24"/>
          <w:szCs w:val="24"/>
        </w:rPr>
        <w:t>skills,</w:t>
      </w:r>
      <w:proofErr w:type="gramEnd"/>
      <w:r w:rsidR="00A869A4" w:rsidRPr="00C70A73">
        <w:rPr>
          <w:rFonts w:ascii="Times New Roman" w:hAnsi="Times New Roman" w:cs="Times New Roman"/>
          <w:sz w:val="24"/>
          <w:szCs w:val="24"/>
        </w:rPr>
        <w:t xml:space="preserve"> ensuring students are better prepared for professional demands</w:t>
      </w:r>
      <w:r w:rsidR="00A869A4" w:rsidRPr="00C70A73">
        <w:rPr>
          <w:rFonts w:ascii="Times New Roman" w:eastAsia="Arial" w:hAnsi="Times New Roman" w:cs="Times New Roman"/>
          <w:sz w:val="24"/>
          <w:szCs w:val="24"/>
        </w:rPr>
        <w:t>. These also suggest for a need of enhanced instructional strategies and academic support for laboratory settings to help students performed in the higher level of field work.</w:t>
      </w:r>
    </w:p>
    <w:p w14:paraId="62908305" w14:textId="3809E50A" w:rsidR="00E57A40" w:rsidRPr="00C70A73" w:rsidRDefault="00E57A40"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r w:rsidRPr="00C70A73">
        <w:rPr>
          <w:rFonts w:ascii="Times New Roman" w:eastAsia="Arial" w:hAnsi="Times New Roman" w:cs="Times New Roman"/>
          <w:b/>
          <w:sz w:val="24"/>
          <w:szCs w:val="24"/>
          <w:lang w:eastAsia="ko-KR"/>
        </w:rPr>
        <w:t xml:space="preserve">Table </w:t>
      </w:r>
      <w:r w:rsidR="00B260DD" w:rsidRPr="00C70A73">
        <w:rPr>
          <w:rFonts w:ascii="Times New Roman" w:eastAsia="Arial" w:hAnsi="Times New Roman" w:cs="Times New Roman"/>
          <w:b/>
          <w:sz w:val="24"/>
          <w:szCs w:val="24"/>
          <w:lang w:eastAsia="ko-KR"/>
        </w:rPr>
        <w:t>4</w:t>
      </w:r>
    </w:p>
    <w:p w14:paraId="5CFF4E53" w14:textId="079A90C8" w:rsidR="00E57A40" w:rsidRPr="00C70A73" w:rsidRDefault="00E57A40" w:rsidP="002121DB">
      <w:pPr>
        <w:pBdr>
          <w:top w:val="nil"/>
          <w:left w:val="nil"/>
          <w:bottom w:val="nil"/>
          <w:right w:val="nil"/>
          <w:between w:val="nil"/>
        </w:pBdr>
        <w:spacing w:before="240" w:after="0" w:line="240" w:lineRule="auto"/>
        <w:jc w:val="both"/>
        <w:rPr>
          <w:rFonts w:ascii="Times New Roman" w:eastAsia="Arial" w:hAnsi="Times New Roman" w:cs="Times New Roman"/>
          <w:i/>
          <w:sz w:val="24"/>
          <w:szCs w:val="24"/>
          <w:lang w:eastAsia="ko-KR"/>
        </w:rPr>
      </w:pPr>
      <w:r w:rsidRPr="00C70A73">
        <w:rPr>
          <w:rFonts w:ascii="Times New Roman" w:eastAsia="Arial" w:hAnsi="Times New Roman" w:cs="Times New Roman"/>
          <w:i/>
          <w:sz w:val="24"/>
          <w:szCs w:val="24"/>
          <w:lang w:eastAsia="ko-KR"/>
        </w:rPr>
        <w:t>Frequency, Percentage and Mean Distribution of the Participants’ Field Work Performance in Dairy and Animal Science</w:t>
      </w:r>
    </w:p>
    <w:tbl>
      <w:tblPr>
        <w:tblpPr w:leftFromText="180" w:rightFromText="180" w:vertAnchor="text" w:horzAnchor="margin" w:tblpY="138"/>
        <w:tblW w:w="5090" w:type="pct"/>
        <w:tblBorders>
          <w:top w:val="single" w:sz="4" w:space="0" w:color="auto"/>
          <w:bottom w:val="single" w:sz="4" w:space="0" w:color="auto"/>
        </w:tblBorders>
        <w:tblLook w:val="04A0" w:firstRow="1" w:lastRow="0" w:firstColumn="1" w:lastColumn="0" w:noHBand="0" w:noVBand="1"/>
      </w:tblPr>
      <w:tblGrid>
        <w:gridCol w:w="2303"/>
        <w:gridCol w:w="3302"/>
        <w:gridCol w:w="2677"/>
        <w:gridCol w:w="2826"/>
      </w:tblGrid>
      <w:tr w:rsidR="00E57A40" w:rsidRPr="00C70A73" w14:paraId="381D1565" w14:textId="77777777" w:rsidTr="00774A5D">
        <w:trPr>
          <w:trHeight w:val="258"/>
        </w:trPr>
        <w:tc>
          <w:tcPr>
            <w:tcW w:w="1036" w:type="pct"/>
            <w:tcBorders>
              <w:top w:val="single" w:sz="4" w:space="0" w:color="auto"/>
              <w:bottom w:val="single" w:sz="4" w:space="0" w:color="auto"/>
            </w:tcBorders>
          </w:tcPr>
          <w:p w14:paraId="4BFD5598"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Range</w:t>
            </w:r>
          </w:p>
        </w:tc>
        <w:tc>
          <w:tcPr>
            <w:tcW w:w="1486" w:type="pct"/>
            <w:tcBorders>
              <w:top w:val="single" w:sz="4" w:space="0" w:color="auto"/>
              <w:bottom w:val="single" w:sz="4" w:space="0" w:color="auto"/>
            </w:tcBorders>
          </w:tcPr>
          <w:p w14:paraId="50C984D4"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Interpretation</w:t>
            </w:r>
          </w:p>
        </w:tc>
        <w:tc>
          <w:tcPr>
            <w:tcW w:w="1205" w:type="pct"/>
            <w:tcBorders>
              <w:top w:val="single" w:sz="4" w:space="0" w:color="auto"/>
              <w:bottom w:val="single" w:sz="4" w:space="0" w:color="auto"/>
            </w:tcBorders>
          </w:tcPr>
          <w:p w14:paraId="5DF9A656"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Frequency</w:t>
            </w:r>
          </w:p>
        </w:tc>
        <w:tc>
          <w:tcPr>
            <w:tcW w:w="1272" w:type="pct"/>
            <w:tcBorders>
              <w:top w:val="single" w:sz="4" w:space="0" w:color="auto"/>
              <w:bottom w:val="single" w:sz="4" w:space="0" w:color="auto"/>
            </w:tcBorders>
          </w:tcPr>
          <w:p w14:paraId="4D6F0B9B"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Percentage</w:t>
            </w:r>
          </w:p>
        </w:tc>
      </w:tr>
      <w:tr w:rsidR="00E57A40" w:rsidRPr="00C70A73" w14:paraId="50266E60" w14:textId="77777777" w:rsidTr="00774A5D">
        <w:trPr>
          <w:trHeight w:val="148"/>
        </w:trPr>
        <w:tc>
          <w:tcPr>
            <w:tcW w:w="1036" w:type="pct"/>
            <w:tcBorders>
              <w:top w:val="single" w:sz="4" w:space="0" w:color="auto"/>
            </w:tcBorders>
            <w:vAlign w:val="center"/>
          </w:tcPr>
          <w:p w14:paraId="4ECAA699"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1.00</w:t>
            </w:r>
          </w:p>
        </w:tc>
        <w:tc>
          <w:tcPr>
            <w:tcW w:w="1486" w:type="pct"/>
            <w:tcBorders>
              <w:top w:val="single" w:sz="4" w:space="0" w:color="auto"/>
            </w:tcBorders>
            <w:vAlign w:val="center"/>
          </w:tcPr>
          <w:p w14:paraId="4F660C6E"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Excellent</w:t>
            </w:r>
          </w:p>
        </w:tc>
        <w:tc>
          <w:tcPr>
            <w:tcW w:w="1205" w:type="pct"/>
            <w:tcBorders>
              <w:top w:val="single" w:sz="4" w:space="0" w:color="auto"/>
            </w:tcBorders>
            <w:vAlign w:val="bottom"/>
          </w:tcPr>
          <w:p w14:paraId="18F7B16E"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w:t>
            </w:r>
          </w:p>
        </w:tc>
        <w:tc>
          <w:tcPr>
            <w:tcW w:w="1272" w:type="pct"/>
            <w:tcBorders>
              <w:top w:val="single" w:sz="4" w:space="0" w:color="auto"/>
            </w:tcBorders>
            <w:vAlign w:val="bottom"/>
          </w:tcPr>
          <w:p w14:paraId="715E77CA"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0.00</w:t>
            </w:r>
          </w:p>
        </w:tc>
      </w:tr>
      <w:tr w:rsidR="00E57A40" w:rsidRPr="00C70A73" w14:paraId="76DE7963" w14:textId="77777777" w:rsidTr="00774A5D">
        <w:trPr>
          <w:trHeight w:val="148"/>
        </w:trPr>
        <w:tc>
          <w:tcPr>
            <w:tcW w:w="1036" w:type="pct"/>
            <w:vAlign w:val="center"/>
          </w:tcPr>
          <w:p w14:paraId="6D654B96"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1.25-1.50</w:t>
            </w:r>
          </w:p>
        </w:tc>
        <w:tc>
          <w:tcPr>
            <w:tcW w:w="1486" w:type="pct"/>
            <w:vAlign w:val="center"/>
          </w:tcPr>
          <w:p w14:paraId="6211BD37"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Very Good</w:t>
            </w:r>
          </w:p>
        </w:tc>
        <w:tc>
          <w:tcPr>
            <w:tcW w:w="1205" w:type="pct"/>
            <w:vAlign w:val="bottom"/>
          </w:tcPr>
          <w:p w14:paraId="5D94CD68"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6</w:t>
            </w:r>
          </w:p>
        </w:tc>
        <w:tc>
          <w:tcPr>
            <w:tcW w:w="1272" w:type="pct"/>
            <w:vAlign w:val="bottom"/>
          </w:tcPr>
          <w:p w14:paraId="3098F43C"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2.61</w:t>
            </w:r>
          </w:p>
        </w:tc>
      </w:tr>
      <w:tr w:rsidR="00E57A40" w:rsidRPr="00C70A73" w14:paraId="3BF40775" w14:textId="77777777" w:rsidTr="00774A5D">
        <w:trPr>
          <w:trHeight w:val="148"/>
        </w:trPr>
        <w:tc>
          <w:tcPr>
            <w:tcW w:w="1036" w:type="pct"/>
            <w:vAlign w:val="center"/>
          </w:tcPr>
          <w:p w14:paraId="4FE3B1C4"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1.75-2.00</w:t>
            </w:r>
          </w:p>
        </w:tc>
        <w:tc>
          <w:tcPr>
            <w:tcW w:w="1486" w:type="pct"/>
            <w:vAlign w:val="center"/>
          </w:tcPr>
          <w:p w14:paraId="6D278E22"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Above Average</w:t>
            </w:r>
          </w:p>
        </w:tc>
        <w:tc>
          <w:tcPr>
            <w:tcW w:w="1205" w:type="pct"/>
            <w:vAlign w:val="bottom"/>
          </w:tcPr>
          <w:p w14:paraId="218497B4"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71</w:t>
            </w:r>
          </w:p>
        </w:tc>
        <w:tc>
          <w:tcPr>
            <w:tcW w:w="1272" w:type="pct"/>
            <w:vAlign w:val="bottom"/>
          </w:tcPr>
          <w:p w14:paraId="76BC96D9"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30.87</w:t>
            </w:r>
          </w:p>
        </w:tc>
      </w:tr>
      <w:tr w:rsidR="00E57A40" w:rsidRPr="00C70A73" w14:paraId="266E7A8E" w14:textId="77777777" w:rsidTr="00774A5D">
        <w:trPr>
          <w:trHeight w:val="148"/>
        </w:trPr>
        <w:tc>
          <w:tcPr>
            <w:tcW w:w="1036" w:type="pct"/>
            <w:vAlign w:val="center"/>
          </w:tcPr>
          <w:p w14:paraId="1BCEDA77"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2.25-2.50</w:t>
            </w:r>
          </w:p>
        </w:tc>
        <w:tc>
          <w:tcPr>
            <w:tcW w:w="1486" w:type="pct"/>
            <w:vAlign w:val="center"/>
          </w:tcPr>
          <w:p w14:paraId="699FBB3A"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Average</w:t>
            </w:r>
          </w:p>
        </w:tc>
        <w:tc>
          <w:tcPr>
            <w:tcW w:w="1205" w:type="pct"/>
            <w:vAlign w:val="bottom"/>
          </w:tcPr>
          <w:p w14:paraId="2FDEA286"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127</w:t>
            </w:r>
          </w:p>
        </w:tc>
        <w:tc>
          <w:tcPr>
            <w:tcW w:w="1272" w:type="pct"/>
            <w:vAlign w:val="bottom"/>
          </w:tcPr>
          <w:p w14:paraId="0B0DAB3A"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55.22</w:t>
            </w:r>
          </w:p>
        </w:tc>
      </w:tr>
      <w:tr w:rsidR="00E57A40" w:rsidRPr="00C70A73" w14:paraId="0DC59ABC" w14:textId="77777777" w:rsidTr="00774A5D">
        <w:trPr>
          <w:trHeight w:val="159"/>
        </w:trPr>
        <w:tc>
          <w:tcPr>
            <w:tcW w:w="1036" w:type="pct"/>
            <w:tcBorders>
              <w:bottom w:val="nil"/>
            </w:tcBorders>
            <w:vAlign w:val="center"/>
          </w:tcPr>
          <w:p w14:paraId="7760730C"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2.75-3.00</w:t>
            </w:r>
          </w:p>
        </w:tc>
        <w:tc>
          <w:tcPr>
            <w:tcW w:w="1486" w:type="pct"/>
            <w:tcBorders>
              <w:bottom w:val="nil"/>
            </w:tcBorders>
            <w:vAlign w:val="center"/>
          </w:tcPr>
          <w:p w14:paraId="4A2A8EEA"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Passing</w:t>
            </w:r>
          </w:p>
        </w:tc>
        <w:tc>
          <w:tcPr>
            <w:tcW w:w="1205" w:type="pct"/>
            <w:tcBorders>
              <w:bottom w:val="nil"/>
            </w:tcBorders>
            <w:vAlign w:val="bottom"/>
          </w:tcPr>
          <w:p w14:paraId="5DB99513"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20</w:t>
            </w:r>
          </w:p>
        </w:tc>
        <w:tc>
          <w:tcPr>
            <w:tcW w:w="1272" w:type="pct"/>
            <w:tcBorders>
              <w:bottom w:val="nil"/>
            </w:tcBorders>
            <w:vAlign w:val="bottom"/>
          </w:tcPr>
          <w:p w14:paraId="3398F396"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8.70</w:t>
            </w:r>
          </w:p>
        </w:tc>
      </w:tr>
      <w:tr w:rsidR="00E57A40" w:rsidRPr="00C70A73" w14:paraId="0F398157" w14:textId="77777777" w:rsidTr="00774A5D">
        <w:trPr>
          <w:trHeight w:val="148"/>
        </w:trPr>
        <w:tc>
          <w:tcPr>
            <w:tcW w:w="1036" w:type="pct"/>
            <w:tcBorders>
              <w:bottom w:val="nil"/>
            </w:tcBorders>
            <w:vAlign w:val="center"/>
          </w:tcPr>
          <w:p w14:paraId="70CDDE95"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3.25-3.50</w:t>
            </w:r>
          </w:p>
        </w:tc>
        <w:tc>
          <w:tcPr>
            <w:tcW w:w="1486" w:type="pct"/>
            <w:tcBorders>
              <w:bottom w:val="nil"/>
            </w:tcBorders>
            <w:vAlign w:val="center"/>
          </w:tcPr>
          <w:p w14:paraId="24E0F47D"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Conditional</w:t>
            </w:r>
          </w:p>
        </w:tc>
        <w:tc>
          <w:tcPr>
            <w:tcW w:w="1205" w:type="pct"/>
            <w:tcBorders>
              <w:bottom w:val="nil"/>
            </w:tcBorders>
            <w:vAlign w:val="bottom"/>
          </w:tcPr>
          <w:p w14:paraId="65102AB6"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5</w:t>
            </w:r>
          </w:p>
        </w:tc>
        <w:tc>
          <w:tcPr>
            <w:tcW w:w="1272" w:type="pct"/>
            <w:tcBorders>
              <w:bottom w:val="nil"/>
            </w:tcBorders>
            <w:vAlign w:val="bottom"/>
          </w:tcPr>
          <w:p w14:paraId="38437703"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2.17</w:t>
            </w:r>
          </w:p>
        </w:tc>
      </w:tr>
      <w:tr w:rsidR="00E57A40" w:rsidRPr="00C70A73" w14:paraId="240E9493" w14:textId="77777777" w:rsidTr="00774A5D">
        <w:trPr>
          <w:trHeight w:val="148"/>
        </w:trPr>
        <w:tc>
          <w:tcPr>
            <w:tcW w:w="1036" w:type="pct"/>
            <w:tcBorders>
              <w:top w:val="nil"/>
              <w:bottom w:val="single" w:sz="4" w:space="0" w:color="auto"/>
            </w:tcBorders>
            <w:vAlign w:val="center"/>
          </w:tcPr>
          <w:p w14:paraId="2C239284"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3.75-5.00</w:t>
            </w:r>
          </w:p>
        </w:tc>
        <w:tc>
          <w:tcPr>
            <w:tcW w:w="1486" w:type="pct"/>
            <w:tcBorders>
              <w:top w:val="nil"/>
              <w:bottom w:val="single" w:sz="4" w:space="0" w:color="auto"/>
            </w:tcBorders>
            <w:vAlign w:val="center"/>
          </w:tcPr>
          <w:p w14:paraId="6BB8965C"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Failed</w:t>
            </w:r>
          </w:p>
        </w:tc>
        <w:tc>
          <w:tcPr>
            <w:tcW w:w="1205" w:type="pct"/>
            <w:tcBorders>
              <w:top w:val="nil"/>
              <w:bottom w:val="single" w:sz="4" w:space="0" w:color="auto"/>
            </w:tcBorders>
            <w:vAlign w:val="bottom"/>
          </w:tcPr>
          <w:p w14:paraId="236D4168"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w:t>
            </w:r>
          </w:p>
        </w:tc>
        <w:tc>
          <w:tcPr>
            <w:tcW w:w="1272" w:type="pct"/>
            <w:tcBorders>
              <w:top w:val="nil"/>
              <w:bottom w:val="single" w:sz="4" w:space="0" w:color="auto"/>
            </w:tcBorders>
            <w:vAlign w:val="bottom"/>
          </w:tcPr>
          <w:p w14:paraId="31730188"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0.43</w:t>
            </w:r>
          </w:p>
        </w:tc>
      </w:tr>
      <w:tr w:rsidR="00E57A40" w:rsidRPr="00C70A73" w14:paraId="14EC5CEB" w14:textId="77777777" w:rsidTr="00774A5D">
        <w:trPr>
          <w:trHeight w:val="148"/>
        </w:trPr>
        <w:tc>
          <w:tcPr>
            <w:tcW w:w="1036" w:type="pct"/>
            <w:tcBorders>
              <w:top w:val="single" w:sz="4" w:space="0" w:color="auto"/>
            </w:tcBorders>
          </w:tcPr>
          <w:p w14:paraId="5E66A0E5"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p>
        </w:tc>
        <w:tc>
          <w:tcPr>
            <w:tcW w:w="1486" w:type="pct"/>
            <w:tcBorders>
              <w:top w:val="single" w:sz="4" w:space="0" w:color="auto"/>
            </w:tcBorders>
          </w:tcPr>
          <w:p w14:paraId="223754B3"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Total</w:t>
            </w:r>
          </w:p>
        </w:tc>
        <w:tc>
          <w:tcPr>
            <w:tcW w:w="1205" w:type="pct"/>
            <w:tcBorders>
              <w:top w:val="single" w:sz="4" w:space="0" w:color="auto"/>
            </w:tcBorders>
          </w:tcPr>
          <w:p w14:paraId="3FB912E5"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230</w:t>
            </w:r>
          </w:p>
        </w:tc>
        <w:tc>
          <w:tcPr>
            <w:tcW w:w="1272" w:type="pct"/>
            <w:tcBorders>
              <w:top w:val="single" w:sz="4" w:space="0" w:color="auto"/>
            </w:tcBorders>
          </w:tcPr>
          <w:p w14:paraId="3A16BA0D"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100</w:t>
            </w:r>
          </w:p>
        </w:tc>
      </w:tr>
      <w:tr w:rsidR="00E57A40" w:rsidRPr="00C70A73" w14:paraId="5786F024" w14:textId="77777777" w:rsidTr="00774A5D">
        <w:trPr>
          <w:trHeight w:val="148"/>
        </w:trPr>
        <w:tc>
          <w:tcPr>
            <w:tcW w:w="1036" w:type="pct"/>
          </w:tcPr>
          <w:p w14:paraId="4AB54ED4"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1486" w:type="pct"/>
          </w:tcPr>
          <w:p w14:paraId="289E0258"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Overall Mean</w:t>
            </w:r>
          </w:p>
        </w:tc>
        <w:tc>
          <w:tcPr>
            <w:tcW w:w="2477" w:type="pct"/>
            <w:gridSpan w:val="2"/>
          </w:tcPr>
          <w:p w14:paraId="50CCAFF3"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2.1</w:t>
            </w:r>
            <w:r w:rsidRPr="00C70A73">
              <w:rPr>
                <w:rFonts w:ascii="Times New Roman" w:eastAsia="Batang" w:hAnsi="Times New Roman" w:cs="Times New Roman"/>
                <w:b/>
                <w:sz w:val="24"/>
                <w:szCs w:val="24"/>
                <w:lang w:eastAsia="ko-KR"/>
              </w:rPr>
              <w:t>9</w:t>
            </w:r>
          </w:p>
        </w:tc>
      </w:tr>
      <w:tr w:rsidR="00E57A40" w:rsidRPr="00C70A73" w14:paraId="3E92DD4E" w14:textId="77777777" w:rsidTr="00774A5D">
        <w:trPr>
          <w:trHeight w:val="148"/>
        </w:trPr>
        <w:tc>
          <w:tcPr>
            <w:tcW w:w="1036" w:type="pct"/>
          </w:tcPr>
          <w:p w14:paraId="6EB7805F"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1486" w:type="pct"/>
          </w:tcPr>
          <w:p w14:paraId="10C4C0EA"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Interpretation</w:t>
            </w:r>
          </w:p>
        </w:tc>
        <w:tc>
          <w:tcPr>
            <w:tcW w:w="2477" w:type="pct"/>
            <w:gridSpan w:val="2"/>
          </w:tcPr>
          <w:p w14:paraId="672982FC"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Average</w:t>
            </w:r>
          </w:p>
        </w:tc>
      </w:tr>
      <w:tr w:rsidR="00E57A40" w:rsidRPr="00C70A73" w14:paraId="3C6171AC" w14:textId="77777777" w:rsidTr="00774A5D">
        <w:trPr>
          <w:trHeight w:val="148"/>
        </w:trPr>
        <w:tc>
          <w:tcPr>
            <w:tcW w:w="1036" w:type="pct"/>
          </w:tcPr>
          <w:p w14:paraId="2340D86C"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1486" w:type="pct"/>
          </w:tcPr>
          <w:p w14:paraId="09BB6DF8"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SD</w:t>
            </w:r>
          </w:p>
        </w:tc>
        <w:tc>
          <w:tcPr>
            <w:tcW w:w="2477" w:type="pct"/>
            <w:gridSpan w:val="2"/>
          </w:tcPr>
          <w:p w14:paraId="7676888D"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0.37</w:t>
            </w:r>
          </w:p>
        </w:tc>
      </w:tr>
    </w:tbl>
    <w:p w14:paraId="19E4DE70" w14:textId="3516E42F" w:rsidR="00E57A40" w:rsidRPr="00C70A73" w:rsidRDefault="00E57A40" w:rsidP="00C70A73">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Among the 230 students of animal and dairy science, 127 of the students obtained an “Average” rating with grades between 2.25-2.50 indicating that students demonstrate a satisfactory level of field work performance in their laboratory subjects. Moreover, 71 students considerably achieved a grade between 1.75-2.00, interpreted as “Above Average indicating that students performed better in their field work performance, demonstrating a stronger understanding and competence in their laboratory subjects.</w:t>
      </w:r>
      <w:r w:rsidR="00774A5D">
        <w:rPr>
          <w:rFonts w:ascii="Times New Roman" w:hAnsi="Times New Roman" w:cs="Times New Roman"/>
          <w:bCs/>
          <w:sz w:val="24"/>
          <w:szCs w:val="24"/>
        </w:rPr>
        <w:t xml:space="preserve"> </w:t>
      </w:r>
      <w:r w:rsidRPr="00C70A73">
        <w:rPr>
          <w:rFonts w:ascii="Times New Roman" w:hAnsi="Times New Roman" w:cs="Times New Roman"/>
          <w:bCs/>
          <w:sz w:val="24"/>
          <w:szCs w:val="24"/>
        </w:rPr>
        <w:t>Meanwhile, 20 students fell within the grades of 2.75-3.00 interpreted as “Passing”, suggesting a smaller group that has minimal but acceptable fieldwork performance. Additionally, 5 students received a “Conditional” grade, suggesting that they should require additional support to improve and meet the course requirements.</w:t>
      </w:r>
      <w:r w:rsidR="00774A5D">
        <w:rPr>
          <w:rFonts w:ascii="Times New Roman" w:hAnsi="Times New Roman" w:cs="Times New Roman"/>
          <w:bCs/>
          <w:sz w:val="24"/>
          <w:szCs w:val="24"/>
        </w:rPr>
        <w:t xml:space="preserve"> </w:t>
      </w:r>
      <w:r w:rsidRPr="00C70A73">
        <w:rPr>
          <w:rFonts w:ascii="Times New Roman" w:hAnsi="Times New Roman" w:cs="Times New Roman"/>
          <w:bCs/>
          <w:sz w:val="24"/>
          <w:szCs w:val="24"/>
        </w:rPr>
        <w:t xml:space="preserve">Only 6 students obtained a grade between 1.25-1.50 interpreted as “Very Good”, while no students achieved the highest rating of 1.00 as “Excellent”. </w:t>
      </w:r>
      <w:proofErr w:type="gramStart"/>
      <w:r w:rsidRPr="00C70A73">
        <w:rPr>
          <w:rFonts w:ascii="Times New Roman" w:hAnsi="Times New Roman" w:cs="Times New Roman"/>
          <w:bCs/>
          <w:sz w:val="24"/>
          <w:szCs w:val="24"/>
        </w:rPr>
        <w:t>This suggest</w:t>
      </w:r>
      <w:proofErr w:type="gramEnd"/>
      <w:r w:rsidRPr="00C70A73">
        <w:rPr>
          <w:rFonts w:ascii="Times New Roman" w:hAnsi="Times New Roman" w:cs="Times New Roman"/>
          <w:bCs/>
          <w:sz w:val="24"/>
          <w:szCs w:val="24"/>
        </w:rPr>
        <w:t xml:space="preserve"> that very high field work performance was relatively uncommon. On the other hand, only 1 student received a failing grade, indicating that low performers were very rare among the students of animal and dairy sciences.</w:t>
      </w:r>
    </w:p>
    <w:p w14:paraId="76007646" w14:textId="77777777" w:rsidR="00A536B7" w:rsidRDefault="00E57A40" w:rsidP="00774A5D">
      <w:pPr>
        <w:pStyle w:val="NoSpacing"/>
        <w:spacing w:before="240" w:after="240"/>
        <w:jc w:val="both"/>
        <w:rPr>
          <w:rStyle w:val="cf01"/>
          <w:rFonts w:ascii="Times New Roman" w:hAnsi="Times New Roman" w:cs="Times New Roman"/>
          <w:bCs/>
          <w:sz w:val="24"/>
          <w:szCs w:val="24"/>
        </w:rPr>
      </w:pPr>
      <w:r w:rsidRPr="00C70A73">
        <w:rPr>
          <w:rStyle w:val="cf01"/>
          <w:rFonts w:ascii="Times New Roman" w:hAnsi="Times New Roman" w:cs="Times New Roman"/>
          <w:bCs/>
          <w:sz w:val="24"/>
          <w:szCs w:val="24"/>
        </w:rPr>
        <w:t>Table 5 presents the results of the regression analysis</w:t>
      </w:r>
      <w:r w:rsidR="00774A5D">
        <w:rPr>
          <w:rStyle w:val="cf01"/>
          <w:rFonts w:ascii="Times New Roman" w:hAnsi="Times New Roman" w:cs="Times New Roman"/>
          <w:bCs/>
          <w:sz w:val="24"/>
          <w:szCs w:val="24"/>
        </w:rPr>
        <w:t xml:space="preserve"> </w:t>
      </w:r>
      <w:r w:rsidR="00A536B7">
        <w:rPr>
          <w:rStyle w:val="cf01"/>
          <w:rFonts w:ascii="Times New Roman" w:hAnsi="Times New Roman" w:cs="Times New Roman"/>
          <w:bCs/>
          <w:sz w:val="24"/>
          <w:szCs w:val="24"/>
        </w:rPr>
        <w:t>in</w:t>
      </w:r>
      <w:r w:rsidRPr="00C70A73">
        <w:rPr>
          <w:rStyle w:val="cf01"/>
          <w:rFonts w:ascii="Times New Roman" w:hAnsi="Times New Roman" w:cs="Times New Roman"/>
          <w:bCs/>
          <w:sz w:val="24"/>
          <w:szCs w:val="24"/>
        </w:rPr>
        <w:t xml:space="preserve"> </w:t>
      </w:r>
      <w:r w:rsidR="00774A5D">
        <w:rPr>
          <w:rStyle w:val="cf01"/>
          <w:rFonts w:ascii="Times New Roman" w:hAnsi="Times New Roman" w:cs="Times New Roman"/>
          <w:bCs/>
          <w:sz w:val="24"/>
          <w:szCs w:val="24"/>
        </w:rPr>
        <w:t>determin</w:t>
      </w:r>
      <w:r w:rsidR="00A536B7">
        <w:rPr>
          <w:rStyle w:val="cf01"/>
          <w:rFonts w:ascii="Times New Roman" w:hAnsi="Times New Roman" w:cs="Times New Roman"/>
          <w:bCs/>
          <w:sz w:val="24"/>
          <w:szCs w:val="24"/>
        </w:rPr>
        <w:t xml:space="preserve">ing </w:t>
      </w:r>
      <w:r w:rsidRPr="00C70A73">
        <w:rPr>
          <w:rStyle w:val="cf01"/>
          <w:rFonts w:ascii="Times New Roman" w:hAnsi="Times New Roman" w:cs="Times New Roman"/>
          <w:bCs/>
          <w:sz w:val="24"/>
          <w:szCs w:val="24"/>
        </w:rPr>
        <w:t>the influence of instructional approaches,</w:t>
      </w:r>
      <w:r w:rsidR="002A77DE">
        <w:rPr>
          <w:rStyle w:val="cf01"/>
          <w:rFonts w:ascii="Times New Roman" w:hAnsi="Times New Roman" w:cs="Times New Roman"/>
          <w:bCs/>
          <w:sz w:val="24"/>
          <w:szCs w:val="24"/>
        </w:rPr>
        <w:t xml:space="preserve"> </w:t>
      </w:r>
      <w:r w:rsidRPr="00C70A73">
        <w:rPr>
          <w:rStyle w:val="cf01"/>
          <w:rFonts w:ascii="Times New Roman" w:hAnsi="Times New Roman" w:cs="Times New Roman"/>
          <w:bCs/>
          <w:sz w:val="24"/>
          <w:szCs w:val="24"/>
        </w:rPr>
        <w:t>appropriate resources, and attitude</w:t>
      </w:r>
      <w:r w:rsidR="00774A5D">
        <w:rPr>
          <w:rStyle w:val="cf01"/>
          <w:rFonts w:ascii="Times New Roman" w:hAnsi="Times New Roman" w:cs="Times New Roman"/>
          <w:bCs/>
          <w:sz w:val="24"/>
          <w:szCs w:val="24"/>
        </w:rPr>
        <w:t xml:space="preserve"> towards agriculture</w:t>
      </w:r>
      <w:r w:rsidRPr="00C70A73">
        <w:rPr>
          <w:rStyle w:val="cf01"/>
          <w:rFonts w:ascii="Times New Roman" w:hAnsi="Times New Roman" w:cs="Times New Roman"/>
          <w:bCs/>
          <w:sz w:val="24"/>
          <w:szCs w:val="24"/>
        </w:rPr>
        <w:t xml:space="preserve"> on student’s field work performance in Animal and Dairy Science. </w:t>
      </w:r>
      <w:r w:rsidR="00D34446" w:rsidRPr="00C70A73">
        <w:rPr>
          <w:rStyle w:val="cf01"/>
          <w:rFonts w:ascii="Times New Roman" w:hAnsi="Times New Roman" w:cs="Times New Roman"/>
          <w:bCs/>
          <w:sz w:val="24"/>
          <w:szCs w:val="24"/>
        </w:rPr>
        <w:t>The</w:t>
      </w:r>
      <w:r w:rsidR="00A536B7">
        <w:rPr>
          <w:rStyle w:val="cf01"/>
          <w:rFonts w:ascii="Times New Roman" w:hAnsi="Times New Roman" w:cs="Times New Roman"/>
          <w:bCs/>
          <w:sz w:val="24"/>
          <w:szCs w:val="24"/>
        </w:rPr>
        <w:t xml:space="preserve"> overall</w:t>
      </w:r>
      <w:r w:rsidR="00D34446" w:rsidRPr="00C70A73">
        <w:rPr>
          <w:rStyle w:val="cf01"/>
          <w:rFonts w:ascii="Times New Roman" w:hAnsi="Times New Roman" w:cs="Times New Roman"/>
          <w:bCs/>
          <w:sz w:val="24"/>
          <w:szCs w:val="24"/>
        </w:rPr>
        <w:t xml:space="preserve"> regression </w:t>
      </w:r>
      <w:r w:rsidR="00A536B7">
        <w:rPr>
          <w:rStyle w:val="cf01"/>
          <w:rFonts w:ascii="Times New Roman" w:hAnsi="Times New Roman" w:cs="Times New Roman"/>
          <w:bCs/>
          <w:sz w:val="24"/>
          <w:szCs w:val="24"/>
        </w:rPr>
        <w:t>was statistically significant</w:t>
      </w:r>
      <w:proofErr w:type="gramStart"/>
      <w:r w:rsidR="00A536B7">
        <w:rPr>
          <w:rStyle w:val="cf01"/>
          <w:rFonts w:ascii="Times New Roman" w:hAnsi="Times New Roman" w:cs="Times New Roman"/>
          <w:bCs/>
          <w:sz w:val="24"/>
          <w:szCs w:val="24"/>
        </w:rPr>
        <w:t xml:space="preserve">, </w:t>
      </w:r>
      <w:r w:rsidR="00D34446" w:rsidRPr="00C70A73">
        <w:rPr>
          <w:rStyle w:val="cf01"/>
          <w:rFonts w:ascii="Times New Roman" w:hAnsi="Times New Roman" w:cs="Times New Roman"/>
          <w:bCs/>
          <w:sz w:val="24"/>
          <w:szCs w:val="24"/>
        </w:rPr>
        <w:t xml:space="preserve"> (</w:t>
      </w:r>
      <w:proofErr w:type="gramEnd"/>
      <w:r w:rsidR="00D34446" w:rsidRPr="00C70A73">
        <w:rPr>
          <w:rStyle w:val="cf01"/>
          <w:rFonts w:ascii="Times New Roman" w:hAnsi="Times New Roman" w:cs="Times New Roman"/>
          <w:bCs/>
          <w:sz w:val="24"/>
          <w:szCs w:val="24"/>
        </w:rPr>
        <w:t>F(3,226)=2.89, p=.036),</w:t>
      </w:r>
      <w:r w:rsidR="00A536B7">
        <w:rPr>
          <w:rStyle w:val="cf01"/>
          <w:rFonts w:ascii="Times New Roman" w:hAnsi="Times New Roman" w:cs="Times New Roman"/>
          <w:bCs/>
          <w:sz w:val="24"/>
          <w:szCs w:val="24"/>
        </w:rPr>
        <w:t xml:space="preserve"> indicating that the independent variables when taken together has a significant influence on students fieldwork performance. Thus, the null hypothesis is rejected.</w:t>
      </w:r>
    </w:p>
    <w:p w14:paraId="0BBAB039" w14:textId="2E7FC049" w:rsidR="00D34446" w:rsidRPr="00A536B7" w:rsidRDefault="00D34446" w:rsidP="00774A5D">
      <w:pPr>
        <w:pStyle w:val="NoSpacing"/>
        <w:spacing w:before="240" w:after="240"/>
        <w:jc w:val="both"/>
        <w:rPr>
          <w:rStyle w:val="cf01"/>
          <w:rFonts w:ascii="Times New Roman" w:hAnsi="Times New Roman" w:cs="Times New Roman"/>
          <w:bCs/>
          <w:sz w:val="24"/>
          <w:szCs w:val="24"/>
        </w:rPr>
      </w:pPr>
      <w:r w:rsidRPr="00C70A73">
        <w:rPr>
          <w:rStyle w:val="cf01"/>
          <w:rFonts w:ascii="Times New Roman" w:hAnsi="Times New Roman" w:cs="Times New Roman"/>
          <w:bCs/>
          <w:sz w:val="24"/>
          <w:szCs w:val="24"/>
        </w:rPr>
        <w:t>Despite the model’s statistical significance, it explained only 3.7% of the variance (R²=.037), suggesting that other factors may contribute to students’ fieldwork performance</w:t>
      </w:r>
      <w:r w:rsidR="002121DB">
        <w:rPr>
          <w:rStyle w:val="cf01"/>
          <w:rFonts w:ascii="Times New Roman" w:hAnsi="Times New Roman" w:cs="Times New Roman"/>
          <w:bCs/>
          <w:sz w:val="24"/>
          <w:szCs w:val="24"/>
        </w:rPr>
        <w:t xml:space="preserve"> such as</w:t>
      </w:r>
      <w:r w:rsidR="002121DB" w:rsidRPr="002121DB">
        <w:t xml:space="preserve"> </w:t>
      </w:r>
      <w:r w:rsidR="002121DB" w:rsidRPr="002121DB">
        <w:rPr>
          <w:rStyle w:val="cf01"/>
          <w:rFonts w:ascii="Times New Roman" w:hAnsi="Times New Roman" w:cs="Times New Roman"/>
          <w:bCs/>
          <w:sz w:val="24"/>
          <w:szCs w:val="24"/>
        </w:rPr>
        <w:t xml:space="preserve">students’ motivation, self-efficacy, behavioral engagement, prior hands-on experiences, and environmental conditions during fieldwork laboratory activities. </w:t>
      </w:r>
      <w:r w:rsidRPr="00C70A73">
        <w:rPr>
          <w:rStyle w:val="cf01"/>
          <w:rFonts w:ascii="Times New Roman" w:hAnsi="Times New Roman" w:cs="Times New Roman"/>
          <w:bCs/>
          <w:sz w:val="24"/>
          <w:szCs w:val="24"/>
        </w:rPr>
        <w:t xml:space="preserve"> These findings highlight the critical role of students’ attitudes in enhancing practical competence, while also supporting the principles of Constructivist Theory, which emphasize the importance of experience, engagement, and learner disposition in the development of meaningful learning (</w:t>
      </w:r>
      <w:r w:rsidRPr="00C70A73">
        <w:rPr>
          <w:rFonts w:ascii="Times New Roman" w:eastAsia="Batang" w:hAnsi="Times New Roman" w:cs="Times New Roman"/>
          <w:sz w:val="24"/>
          <w:szCs w:val="24"/>
          <w:lang w:eastAsia="ko-KR"/>
        </w:rPr>
        <w:t>Sagario &amp; Versano, 2023)</w:t>
      </w:r>
    </w:p>
    <w:p w14:paraId="53C8CDAE" w14:textId="239E51F4" w:rsidR="00E57A40" w:rsidRPr="00C70A73" w:rsidRDefault="00E57A40" w:rsidP="00C70A73">
      <w:pPr>
        <w:spacing w:before="240" w:after="240" w:line="240" w:lineRule="auto"/>
        <w:jc w:val="both"/>
        <w:rPr>
          <w:rFonts w:ascii="Times New Roman" w:eastAsia="Times New Roman" w:hAnsi="Times New Roman" w:cs="Times New Roman"/>
          <w:b/>
          <w:iCs/>
          <w:sz w:val="24"/>
          <w:szCs w:val="24"/>
          <w:lang w:val="en-PH"/>
          <w14:ligatures w14:val="standardContextual"/>
        </w:rPr>
      </w:pPr>
      <w:r w:rsidRPr="00C70A73">
        <w:rPr>
          <w:rFonts w:ascii="Times New Roman" w:eastAsia="Times New Roman" w:hAnsi="Times New Roman" w:cs="Times New Roman"/>
          <w:b/>
          <w:iCs/>
          <w:sz w:val="24"/>
          <w:szCs w:val="24"/>
          <w:lang w:val="en-PH"/>
          <w14:ligatures w14:val="standardContextual"/>
        </w:rPr>
        <w:t xml:space="preserve">Table </w:t>
      </w:r>
      <w:r w:rsidR="00B260DD" w:rsidRPr="00C70A73">
        <w:rPr>
          <w:rFonts w:ascii="Times New Roman" w:eastAsia="Times New Roman" w:hAnsi="Times New Roman" w:cs="Times New Roman"/>
          <w:b/>
          <w:iCs/>
          <w:sz w:val="24"/>
          <w:szCs w:val="24"/>
          <w:lang w:val="en-PH"/>
          <w14:ligatures w14:val="standardContextual"/>
        </w:rPr>
        <w:t>5</w:t>
      </w:r>
    </w:p>
    <w:p w14:paraId="59877DCD" w14:textId="77777777" w:rsidR="00E57A40" w:rsidRPr="00C70A73" w:rsidRDefault="00E57A40" w:rsidP="00C70A73">
      <w:pPr>
        <w:tabs>
          <w:tab w:val="left" w:pos="720"/>
        </w:tabs>
        <w:spacing w:before="240" w:after="240" w:line="240" w:lineRule="auto"/>
        <w:jc w:val="both"/>
        <w:rPr>
          <w:rFonts w:ascii="Times New Roman" w:eastAsia="Times New Roman" w:hAnsi="Times New Roman" w:cs="Times New Roman"/>
          <w:i/>
          <w:iCs/>
          <w:sz w:val="24"/>
          <w:szCs w:val="24"/>
          <w14:ligatures w14:val="standardContextual"/>
        </w:rPr>
      </w:pPr>
      <w:r w:rsidRPr="00C70A73">
        <w:rPr>
          <w:rFonts w:ascii="Times New Roman" w:eastAsia="Times New Roman" w:hAnsi="Times New Roman" w:cs="Times New Roman"/>
          <w:i/>
          <w:iCs/>
          <w:sz w:val="24"/>
          <w:szCs w:val="24"/>
          <w:lang w:val="en-PH"/>
          <w14:ligatures w14:val="standardContextual"/>
        </w:rPr>
        <w:t xml:space="preserve">Regression Analysis of the Influence of </w:t>
      </w:r>
      <w:r w:rsidRPr="00C70A73">
        <w:rPr>
          <w:rFonts w:ascii="Times New Roman" w:eastAsia="Times New Roman" w:hAnsi="Times New Roman" w:cs="Times New Roman"/>
          <w:i/>
          <w:iCs/>
          <w:sz w:val="24"/>
          <w:szCs w:val="24"/>
          <w14:ligatures w14:val="standardContextual"/>
        </w:rPr>
        <w:t xml:space="preserve">Instructional Approaches, Appropriate Resources, and Attitude on their Field Work Performance </w:t>
      </w:r>
    </w:p>
    <w:tbl>
      <w:tblPr>
        <w:tblW w:w="1063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925"/>
        <w:gridCol w:w="1195"/>
        <w:gridCol w:w="1538"/>
        <w:gridCol w:w="1878"/>
        <w:gridCol w:w="1023"/>
        <w:gridCol w:w="1073"/>
      </w:tblGrid>
      <w:tr w:rsidR="00E57A40" w:rsidRPr="00C70A73" w14:paraId="3669807B" w14:textId="77777777" w:rsidTr="00A536B7">
        <w:trPr>
          <w:cantSplit/>
          <w:trHeight w:val="489"/>
        </w:trPr>
        <w:tc>
          <w:tcPr>
            <w:tcW w:w="3925" w:type="dxa"/>
            <w:vMerge w:val="restart"/>
            <w:vAlign w:val="bottom"/>
          </w:tcPr>
          <w:p w14:paraId="3DF20966"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p>
        </w:tc>
        <w:tc>
          <w:tcPr>
            <w:tcW w:w="2733" w:type="dxa"/>
            <w:gridSpan w:val="2"/>
            <w:tcBorders>
              <w:bottom w:val="nil"/>
            </w:tcBorders>
            <w:vAlign w:val="center"/>
          </w:tcPr>
          <w:p w14:paraId="095F656D"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Unstandardized Coefficients</w:t>
            </w:r>
          </w:p>
        </w:tc>
        <w:tc>
          <w:tcPr>
            <w:tcW w:w="1878" w:type="dxa"/>
            <w:tcBorders>
              <w:bottom w:val="nil"/>
            </w:tcBorders>
            <w:vAlign w:val="center"/>
          </w:tcPr>
          <w:p w14:paraId="2BC2B222"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Standardized Coefficients</w:t>
            </w:r>
          </w:p>
        </w:tc>
        <w:tc>
          <w:tcPr>
            <w:tcW w:w="1023" w:type="dxa"/>
            <w:vMerge w:val="restart"/>
            <w:tcBorders>
              <w:bottom w:val="nil"/>
            </w:tcBorders>
            <w:vAlign w:val="center"/>
          </w:tcPr>
          <w:p w14:paraId="67388A48"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 xml:space="preserve">   t</w:t>
            </w:r>
          </w:p>
        </w:tc>
        <w:tc>
          <w:tcPr>
            <w:tcW w:w="1071" w:type="dxa"/>
            <w:vMerge w:val="restart"/>
            <w:tcBorders>
              <w:bottom w:val="nil"/>
            </w:tcBorders>
            <w:vAlign w:val="center"/>
          </w:tcPr>
          <w:p w14:paraId="7F1DD461"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Sig.</w:t>
            </w:r>
          </w:p>
        </w:tc>
      </w:tr>
      <w:tr w:rsidR="00E57A40" w:rsidRPr="00C70A73" w14:paraId="71504B49" w14:textId="77777777" w:rsidTr="00A536B7">
        <w:trPr>
          <w:cantSplit/>
          <w:trHeight w:val="141"/>
        </w:trPr>
        <w:tc>
          <w:tcPr>
            <w:tcW w:w="3925" w:type="dxa"/>
            <w:vMerge/>
            <w:vAlign w:val="bottom"/>
          </w:tcPr>
          <w:p w14:paraId="0872B040"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p>
        </w:tc>
        <w:tc>
          <w:tcPr>
            <w:tcW w:w="1195" w:type="dxa"/>
            <w:tcBorders>
              <w:top w:val="nil"/>
              <w:bottom w:val="single" w:sz="4" w:space="0" w:color="auto"/>
            </w:tcBorders>
            <w:vAlign w:val="center"/>
          </w:tcPr>
          <w:p w14:paraId="32E03841"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B</w:t>
            </w:r>
          </w:p>
        </w:tc>
        <w:tc>
          <w:tcPr>
            <w:tcW w:w="1538" w:type="dxa"/>
            <w:tcBorders>
              <w:top w:val="nil"/>
              <w:bottom w:val="single" w:sz="4" w:space="0" w:color="auto"/>
            </w:tcBorders>
            <w:vAlign w:val="center"/>
          </w:tcPr>
          <w:p w14:paraId="5EDAE782"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Std. Error</w:t>
            </w:r>
          </w:p>
        </w:tc>
        <w:tc>
          <w:tcPr>
            <w:tcW w:w="1878" w:type="dxa"/>
            <w:tcBorders>
              <w:top w:val="nil"/>
              <w:bottom w:val="single" w:sz="4" w:space="0" w:color="auto"/>
            </w:tcBorders>
            <w:vAlign w:val="center"/>
          </w:tcPr>
          <w:p w14:paraId="0EF05486"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Beta</w:t>
            </w:r>
          </w:p>
        </w:tc>
        <w:tc>
          <w:tcPr>
            <w:tcW w:w="1023" w:type="dxa"/>
            <w:vMerge/>
            <w:tcBorders>
              <w:top w:val="nil"/>
              <w:bottom w:val="single" w:sz="4" w:space="0" w:color="auto"/>
            </w:tcBorders>
            <w:vAlign w:val="bottom"/>
          </w:tcPr>
          <w:p w14:paraId="34E75A8B"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p>
        </w:tc>
        <w:tc>
          <w:tcPr>
            <w:tcW w:w="1071" w:type="dxa"/>
            <w:vMerge/>
            <w:tcBorders>
              <w:top w:val="nil"/>
              <w:bottom w:val="single" w:sz="4" w:space="0" w:color="auto"/>
            </w:tcBorders>
            <w:vAlign w:val="bottom"/>
          </w:tcPr>
          <w:p w14:paraId="2A895360"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p>
        </w:tc>
      </w:tr>
      <w:tr w:rsidR="00E57A40" w:rsidRPr="00C70A73" w14:paraId="771E0960" w14:textId="77777777" w:rsidTr="00A536B7">
        <w:trPr>
          <w:cantSplit/>
          <w:trHeight w:val="124"/>
        </w:trPr>
        <w:tc>
          <w:tcPr>
            <w:tcW w:w="3925" w:type="dxa"/>
            <w:vAlign w:val="bottom"/>
          </w:tcPr>
          <w:p w14:paraId="30651F50"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c>
          <w:tcPr>
            <w:tcW w:w="1195" w:type="dxa"/>
            <w:tcBorders>
              <w:top w:val="single" w:sz="4" w:space="0" w:color="auto"/>
            </w:tcBorders>
            <w:vAlign w:val="center"/>
          </w:tcPr>
          <w:p w14:paraId="326F1A34"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c>
          <w:tcPr>
            <w:tcW w:w="1538" w:type="dxa"/>
            <w:tcBorders>
              <w:top w:val="single" w:sz="4" w:space="0" w:color="auto"/>
            </w:tcBorders>
            <w:vAlign w:val="center"/>
          </w:tcPr>
          <w:p w14:paraId="6B4D0412"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c>
          <w:tcPr>
            <w:tcW w:w="1878" w:type="dxa"/>
            <w:tcBorders>
              <w:top w:val="single" w:sz="4" w:space="0" w:color="auto"/>
            </w:tcBorders>
            <w:vAlign w:val="center"/>
          </w:tcPr>
          <w:p w14:paraId="04A215D0"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c>
          <w:tcPr>
            <w:tcW w:w="1023" w:type="dxa"/>
            <w:tcBorders>
              <w:top w:val="single" w:sz="4" w:space="0" w:color="auto"/>
            </w:tcBorders>
            <w:vAlign w:val="bottom"/>
          </w:tcPr>
          <w:p w14:paraId="592B75FF"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c>
          <w:tcPr>
            <w:tcW w:w="1071" w:type="dxa"/>
            <w:tcBorders>
              <w:top w:val="single" w:sz="4" w:space="0" w:color="auto"/>
            </w:tcBorders>
            <w:vAlign w:val="bottom"/>
          </w:tcPr>
          <w:p w14:paraId="735AA2A2"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r>
      <w:tr w:rsidR="00E57A40" w:rsidRPr="00C70A73" w14:paraId="419CCF5C" w14:textId="77777777" w:rsidTr="00A536B7">
        <w:trPr>
          <w:cantSplit/>
          <w:trHeight w:val="215"/>
        </w:trPr>
        <w:tc>
          <w:tcPr>
            <w:tcW w:w="3925" w:type="dxa"/>
          </w:tcPr>
          <w:p w14:paraId="565A90B3"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(Constant)</w:t>
            </w:r>
          </w:p>
        </w:tc>
        <w:tc>
          <w:tcPr>
            <w:tcW w:w="1195" w:type="dxa"/>
          </w:tcPr>
          <w:p w14:paraId="6B6E015C"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2.491</w:t>
            </w:r>
          </w:p>
        </w:tc>
        <w:tc>
          <w:tcPr>
            <w:tcW w:w="1538" w:type="dxa"/>
          </w:tcPr>
          <w:p w14:paraId="76371A8F"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.302</w:t>
            </w:r>
          </w:p>
        </w:tc>
        <w:tc>
          <w:tcPr>
            <w:tcW w:w="1878" w:type="dxa"/>
            <w:vAlign w:val="center"/>
          </w:tcPr>
          <w:p w14:paraId="3B02CEC5"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p>
        </w:tc>
        <w:tc>
          <w:tcPr>
            <w:tcW w:w="1023" w:type="dxa"/>
          </w:tcPr>
          <w:p w14:paraId="75C327EA"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8.249</w:t>
            </w:r>
          </w:p>
        </w:tc>
        <w:tc>
          <w:tcPr>
            <w:tcW w:w="1071" w:type="dxa"/>
          </w:tcPr>
          <w:p w14:paraId="5ADF3FBB"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.000</w:t>
            </w:r>
          </w:p>
        </w:tc>
      </w:tr>
      <w:tr w:rsidR="00E57A40" w:rsidRPr="00C70A73" w14:paraId="5E83DC23" w14:textId="77777777" w:rsidTr="00A536B7">
        <w:trPr>
          <w:cantSplit/>
          <w:trHeight w:val="489"/>
        </w:trPr>
        <w:tc>
          <w:tcPr>
            <w:tcW w:w="3925" w:type="dxa"/>
          </w:tcPr>
          <w:p w14:paraId="23C520FC"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 xml:space="preserve">Assessment of Instructional Approaches </w:t>
            </w:r>
          </w:p>
        </w:tc>
        <w:tc>
          <w:tcPr>
            <w:tcW w:w="1195" w:type="dxa"/>
          </w:tcPr>
          <w:p w14:paraId="5C8F2F4C"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.027</w:t>
            </w:r>
          </w:p>
        </w:tc>
        <w:tc>
          <w:tcPr>
            <w:tcW w:w="1538" w:type="dxa"/>
          </w:tcPr>
          <w:p w14:paraId="7C1668F2"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.055</w:t>
            </w:r>
          </w:p>
        </w:tc>
        <w:tc>
          <w:tcPr>
            <w:tcW w:w="1878" w:type="dxa"/>
          </w:tcPr>
          <w:p w14:paraId="02C5132A"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.038</w:t>
            </w:r>
          </w:p>
        </w:tc>
        <w:tc>
          <w:tcPr>
            <w:tcW w:w="1023" w:type="dxa"/>
          </w:tcPr>
          <w:p w14:paraId="5D7CE07D"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.483</w:t>
            </w:r>
          </w:p>
        </w:tc>
        <w:tc>
          <w:tcPr>
            <w:tcW w:w="1071" w:type="dxa"/>
          </w:tcPr>
          <w:p w14:paraId="1ABCF807"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.630</w:t>
            </w:r>
          </w:p>
        </w:tc>
      </w:tr>
      <w:tr w:rsidR="00E57A40" w:rsidRPr="00C70A73" w14:paraId="6E350638" w14:textId="77777777" w:rsidTr="00A536B7">
        <w:trPr>
          <w:cantSplit/>
          <w:trHeight w:val="244"/>
        </w:trPr>
        <w:tc>
          <w:tcPr>
            <w:tcW w:w="3925" w:type="dxa"/>
          </w:tcPr>
          <w:p w14:paraId="0DEC3674"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 xml:space="preserve">Use of Appropriate Resources </w:t>
            </w:r>
          </w:p>
        </w:tc>
        <w:tc>
          <w:tcPr>
            <w:tcW w:w="1195" w:type="dxa"/>
          </w:tcPr>
          <w:p w14:paraId="39F1B544"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.094</w:t>
            </w:r>
          </w:p>
        </w:tc>
        <w:tc>
          <w:tcPr>
            <w:tcW w:w="1538" w:type="dxa"/>
          </w:tcPr>
          <w:p w14:paraId="08C3C33B"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.055</w:t>
            </w:r>
          </w:p>
        </w:tc>
        <w:tc>
          <w:tcPr>
            <w:tcW w:w="1878" w:type="dxa"/>
          </w:tcPr>
          <w:p w14:paraId="59255386"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.138</w:t>
            </w:r>
          </w:p>
        </w:tc>
        <w:tc>
          <w:tcPr>
            <w:tcW w:w="1023" w:type="dxa"/>
          </w:tcPr>
          <w:p w14:paraId="08021227"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1.705</w:t>
            </w:r>
          </w:p>
        </w:tc>
        <w:tc>
          <w:tcPr>
            <w:tcW w:w="1071" w:type="dxa"/>
          </w:tcPr>
          <w:p w14:paraId="527F06CF"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.089</w:t>
            </w:r>
          </w:p>
        </w:tc>
      </w:tr>
      <w:tr w:rsidR="00E57A40" w:rsidRPr="00C70A73" w14:paraId="48C7C6E1" w14:textId="77777777" w:rsidTr="00A536B7">
        <w:trPr>
          <w:cantSplit/>
          <w:trHeight w:val="244"/>
        </w:trPr>
        <w:tc>
          <w:tcPr>
            <w:tcW w:w="3925" w:type="dxa"/>
          </w:tcPr>
          <w:p w14:paraId="03D3BE8D"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Attitude towards Agriculture</w:t>
            </w:r>
          </w:p>
        </w:tc>
        <w:tc>
          <w:tcPr>
            <w:tcW w:w="1195" w:type="dxa"/>
          </w:tcPr>
          <w:p w14:paraId="6D41DC7F"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-.170</w:t>
            </w:r>
          </w:p>
        </w:tc>
        <w:tc>
          <w:tcPr>
            <w:tcW w:w="1538" w:type="dxa"/>
          </w:tcPr>
          <w:p w14:paraId="12B4D399"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.065</w:t>
            </w:r>
          </w:p>
        </w:tc>
        <w:tc>
          <w:tcPr>
            <w:tcW w:w="1878" w:type="dxa"/>
          </w:tcPr>
          <w:p w14:paraId="3E2657F1"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-.186</w:t>
            </w:r>
          </w:p>
        </w:tc>
        <w:tc>
          <w:tcPr>
            <w:tcW w:w="1023" w:type="dxa"/>
          </w:tcPr>
          <w:p w14:paraId="60089DB4"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-2.612*</w:t>
            </w:r>
          </w:p>
        </w:tc>
        <w:tc>
          <w:tcPr>
            <w:tcW w:w="1071" w:type="dxa"/>
          </w:tcPr>
          <w:p w14:paraId="4596E479"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.010</w:t>
            </w:r>
          </w:p>
        </w:tc>
      </w:tr>
      <w:tr w:rsidR="00E57A40" w:rsidRPr="00C70A73" w14:paraId="5ACBEB55" w14:textId="77777777" w:rsidTr="00A536B7">
        <w:trPr>
          <w:cantSplit/>
          <w:trHeight w:val="768"/>
        </w:trPr>
        <w:tc>
          <w:tcPr>
            <w:tcW w:w="10632" w:type="dxa"/>
            <w:gridSpan w:val="6"/>
            <w:vAlign w:val="center"/>
          </w:tcPr>
          <w:p w14:paraId="4199170F" w14:textId="611A8BA5" w:rsidR="00E57A40" w:rsidRPr="00C70A73" w:rsidRDefault="00E57A40" w:rsidP="00A536B7">
            <w:pPr>
              <w:pBdr>
                <w:top w:val="single" w:sz="4" w:space="1" w:color="auto"/>
              </w:pBdr>
              <w:tabs>
                <w:tab w:val="left" w:pos="720"/>
              </w:tabs>
              <w:spacing w:after="0" w:line="240" w:lineRule="auto"/>
              <w:jc w:val="center"/>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Model Summary</w:t>
            </w:r>
          </w:p>
          <w:p w14:paraId="29166275" w14:textId="77777777" w:rsidR="00E57A40" w:rsidRPr="00C70A73" w:rsidRDefault="00E57A40" w:rsidP="00A536B7">
            <w:pPr>
              <w:tabs>
                <w:tab w:val="left" w:pos="720"/>
              </w:tabs>
              <w:spacing w:after="0" w:line="240" w:lineRule="auto"/>
              <w:jc w:val="center"/>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R =.192        R</w:t>
            </w:r>
            <w:r w:rsidRPr="00C70A73">
              <w:rPr>
                <w:rFonts w:ascii="Times New Roman" w:eastAsia="Times New Roman" w:hAnsi="Times New Roman" w:cs="Times New Roman"/>
                <w:sz w:val="24"/>
                <w:szCs w:val="24"/>
                <w:vertAlign w:val="superscript"/>
                <w:lang w:eastAsia="ko-KR"/>
              </w:rPr>
              <w:t>2</w:t>
            </w:r>
            <w:r w:rsidRPr="00C70A73">
              <w:rPr>
                <w:rFonts w:ascii="Times New Roman" w:eastAsia="Times New Roman" w:hAnsi="Times New Roman" w:cs="Times New Roman"/>
                <w:sz w:val="24"/>
                <w:szCs w:val="24"/>
                <w:lang w:eastAsia="ko-KR"/>
              </w:rPr>
              <w:t xml:space="preserve"> = .037      Adjusted R</w:t>
            </w:r>
            <w:r w:rsidRPr="00C70A73">
              <w:rPr>
                <w:rFonts w:ascii="Times New Roman" w:eastAsia="Times New Roman" w:hAnsi="Times New Roman" w:cs="Times New Roman"/>
                <w:sz w:val="24"/>
                <w:szCs w:val="24"/>
                <w:vertAlign w:val="superscript"/>
                <w:lang w:eastAsia="ko-KR"/>
              </w:rPr>
              <w:t>2</w:t>
            </w:r>
            <w:r w:rsidRPr="00C70A73">
              <w:rPr>
                <w:rFonts w:ascii="Times New Roman" w:eastAsia="Times New Roman" w:hAnsi="Times New Roman" w:cs="Times New Roman"/>
                <w:sz w:val="24"/>
                <w:szCs w:val="24"/>
                <w:lang w:eastAsia="ko-KR"/>
              </w:rPr>
              <w:t xml:space="preserve"> = .024       F (3,226) = 2.89*     p =.036</w:t>
            </w:r>
          </w:p>
        </w:tc>
      </w:tr>
    </w:tbl>
    <w:p w14:paraId="3F2D1FBD" w14:textId="356919EC" w:rsidR="00E57A40" w:rsidRPr="00C70A73" w:rsidRDefault="00E57A40" w:rsidP="00A536B7">
      <w:pPr>
        <w:tabs>
          <w:tab w:val="left" w:pos="720"/>
        </w:tabs>
        <w:spacing w:after="0" w:line="240" w:lineRule="auto"/>
        <w:jc w:val="both"/>
        <w:rPr>
          <w:rFonts w:ascii="Times New Roman" w:eastAsia="Times New Roman" w:hAnsi="Times New Roman" w:cs="Times New Roman"/>
          <w:bCs/>
          <w:i/>
          <w:iCs/>
          <w:sz w:val="24"/>
          <w:szCs w:val="24"/>
          <w:lang w:val="en-PH"/>
          <w14:ligatures w14:val="standardContextual"/>
        </w:rPr>
      </w:pPr>
      <w:r w:rsidRPr="00C70A73">
        <w:rPr>
          <w:rFonts w:ascii="Times New Roman" w:eastAsia="Times New Roman" w:hAnsi="Times New Roman" w:cs="Times New Roman"/>
          <w:i/>
          <w:iCs/>
          <w:sz w:val="24"/>
          <w:szCs w:val="24"/>
          <w:lang w:val="en-PH"/>
          <w14:ligatures w14:val="standardContextual"/>
        </w:rPr>
        <w:t xml:space="preserve">* </w:t>
      </w:r>
      <w:proofErr w:type="gramStart"/>
      <w:r w:rsidRPr="00C70A73">
        <w:rPr>
          <w:rFonts w:ascii="Times New Roman" w:eastAsia="Times New Roman" w:hAnsi="Times New Roman" w:cs="Times New Roman"/>
          <w:i/>
          <w:iCs/>
          <w:sz w:val="24"/>
          <w:szCs w:val="24"/>
          <w:lang w:val="en-PH"/>
          <w14:ligatures w14:val="standardContextual"/>
        </w:rPr>
        <w:t>s</w:t>
      </w:r>
      <w:r w:rsidRPr="00C70A73">
        <w:rPr>
          <w:rFonts w:ascii="Times New Roman" w:eastAsia="Times New Roman" w:hAnsi="Times New Roman" w:cs="Times New Roman"/>
          <w:bCs/>
          <w:i/>
          <w:iCs/>
          <w:sz w:val="24"/>
          <w:szCs w:val="24"/>
          <w:lang w:val="en-PH"/>
          <w14:ligatures w14:val="standardContextual"/>
        </w:rPr>
        <w:t>ignificant</w:t>
      </w:r>
      <w:proofErr w:type="gramEnd"/>
      <w:r w:rsidRPr="00C70A73">
        <w:rPr>
          <w:rFonts w:ascii="Times New Roman" w:eastAsia="Times New Roman" w:hAnsi="Times New Roman" w:cs="Times New Roman"/>
          <w:bCs/>
          <w:i/>
          <w:iCs/>
          <w:sz w:val="24"/>
          <w:szCs w:val="24"/>
          <w:lang w:val="en-PH"/>
          <w14:ligatures w14:val="standardContextual"/>
        </w:rPr>
        <w:t xml:space="preserve"> at 0.05 level</w:t>
      </w:r>
    </w:p>
    <w:p w14:paraId="5FD67131" w14:textId="77777777" w:rsidR="00A536B7" w:rsidRPr="00A536B7" w:rsidRDefault="00A536B7" w:rsidP="00A536B7">
      <w:pPr>
        <w:pStyle w:val="NoSpacing"/>
        <w:spacing w:before="240" w:after="240"/>
        <w:jc w:val="both"/>
        <w:rPr>
          <w:rFonts w:ascii="Times New Roman" w:hAnsi="Times New Roman" w:cs="Times New Roman"/>
          <w:sz w:val="24"/>
          <w:szCs w:val="24"/>
        </w:rPr>
      </w:pPr>
      <w:r w:rsidRPr="00A536B7">
        <w:rPr>
          <w:rFonts w:ascii="Times New Roman" w:hAnsi="Times New Roman" w:cs="Times New Roman"/>
          <w:sz w:val="24"/>
          <w:szCs w:val="24"/>
        </w:rPr>
        <w:t xml:space="preserve">Taken in isolation from the other variables, instructional approaches in students’ laboratory subjects did not significantly influence field work performance (p = .630). This indicates that although </w:t>
      </w:r>
      <w:proofErr w:type="gramStart"/>
      <w:r w:rsidRPr="00A536B7">
        <w:rPr>
          <w:rFonts w:ascii="Times New Roman" w:hAnsi="Times New Roman" w:cs="Times New Roman"/>
          <w:sz w:val="24"/>
          <w:szCs w:val="24"/>
        </w:rPr>
        <w:t>instructional approaches in teaching laboratory subjects is</w:t>
      </w:r>
      <w:proofErr w:type="gramEnd"/>
      <w:r w:rsidRPr="00A536B7">
        <w:rPr>
          <w:rFonts w:ascii="Times New Roman" w:hAnsi="Times New Roman" w:cs="Times New Roman"/>
          <w:sz w:val="24"/>
          <w:szCs w:val="24"/>
        </w:rPr>
        <w:t xml:space="preserve"> important for content delivery, it did not directly influence practical performance during fieldwork activities. In agricultural education, learning often occurs through experiential and hands activities, which may go beyond traditional classroom activities. According to Sagario and Versano (2023), experiential learning environment are more effective in improving students’ competencies and attitude toward agriculture activities, emphasizing the importance of practical engagement rather than instructional alone. Thus, Ho2 cannot be rejected, indicating that instructional approaches in laboratory subjects do not significantly influence students’ fieldwork performance.</w:t>
      </w:r>
    </w:p>
    <w:p w14:paraId="40C15079" w14:textId="6E54A868" w:rsidR="00A536B7" w:rsidRPr="00A536B7" w:rsidRDefault="00A536B7" w:rsidP="00A536B7">
      <w:pPr>
        <w:pStyle w:val="NoSpacing"/>
        <w:spacing w:before="240" w:after="240"/>
        <w:jc w:val="both"/>
        <w:rPr>
          <w:rFonts w:ascii="Times New Roman" w:hAnsi="Times New Roman" w:cs="Times New Roman"/>
          <w:sz w:val="24"/>
          <w:szCs w:val="24"/>
        </w:rPr>
      </w:pPr>
      <w:r w:rsidRPr="00A536B7">
        <w:rPr>
          <w:rFonts w:ascii="Times New Roman" w:hAnsi="Times New Roman" w:cs="Times New Roman"/>
          <w:sz w:val="24"/>
          <w:szCs w:val="24"/>
        </w:rPr>
        <w:t>Similarly, appropriate resources did not significantly influence field work performance (p = .089). While the availability and accessibility of these resources and facilities supports agricultural learning, it does not automatically influence field work performance. This reflects what Dinie and Ernawati (2023) found that students may perceive the infrastructure or equipment for practical learning activities as not standardized, leading to some activities being performed manually due to lack of tools. Conversely, the adequate facilities were identified as students’ motivator to engage in fieldwork activities influencing their choice of agriculture as a field of study. Moreover, the result suggests that practical learning environment affect students’ perception and engagement to laboratory activities. Therefore, Ho3 cannot be rejected, suggesting that the use of appropriate resources does not significantly influence fieldwork performance.</w:t>
      </w:r>
    </w:p>
    <w:p w14:paraId="53390C78" w14:textId="40CD96A4" w:rsidR="00A536B7" w:rsidRPr="00A536B7" w:rsidRDefault="00A536B7" w:rsidP="00A536B7">
      <w:pPr>
        <w:pStyle w:val="NoSpacing"/>
        <w:spacing w:before="240" w:after="240"/>
        <w:jc w:val="both"/>
        <w:rPr>
          <w:rFonts w:ascii="Times New Roman" w:hAnsi="Times New Roman" w:cs="Times New Roman"/>
          <w:sz w:val="24"/>
          <w:szCs w:val="24"/>
        </w:rPr>
      </w:pPr>
      <w:r w:rsidRPr="00A536B7">
        <w:rPr>
          <w:rFonts w:ascii="Times New Roman" w:hAnsi="Times New Roman" w:cs="Times New Roman"/>
          <w:sz w:val="24"/>
          <w:szCs w:val="24"/>
        </w:rPr>
        <w:t xml:space="preserve">In contrast, attitude towards agriculture significantly influenced field work performance (B = -0.170, p = 0.010). The negative coefficient indicates an inverse relationship between attitude toward agriculture and the fieldwork performance grades. However, this finding should be interpreted in relation to the grading system used in the study, in which the lower numerical values correspond to higher performance levels (1.0 = Excellent and 5.0 = Failed). Thus, Ho4 is rejected, indicating that students’ attitudes toward agriculture significantly influence their fieldwork performance. This implies that </w:t>
      </w:r>
      <w:proofErr w:type="gramStart"/>
      <w:r w:rsidRPr="00A536B7">
        <w:rPr>
          <w:rFonts w:ascii="Times New Roman" w:hAnsi="Times New Roman" w:cs="Times New Roman"/>
          <w:sz w:val="24"/>
          <w:szCs w:val="24"/>
        </w:rPr>
        <w:t>a more favorable attitudes</w:t>
      </w:r>
      <w:proofErr w:type="gramEnd"/>
      <w:r w:rsidRPr="00A536B7">
        <w:rPr>
          <w:rFonts w:ascii="Times New Roman" w:hAnsi="Times New Roman" w:cs="Times New Roman"/>
          <w:sz w:val="24"/>
          <w:szCs w:val="24"/>
        </w:rPr>
        <w:t xml:space="preserve"> toward agriculture are associated with better performance in fieldwork activities. </w:t>
      </w:r>
    </w:p>
    <w:p w14:paraId="4EA0419E" w14:textId="2A18EAF8" w:rsidR="00A536B7" w:rsidRPr="00A536B7" w:rsidRDefault="00A536B7" w:rsidP="00A67E5D">
      <w:pPr>
        <w:pStyle w:val="NoSpacing"/>
        <w:spacing w:before="240" w:after="240"/>
        <w:jc w:val="both"/>
        <w:rPr>
          <w:rFonts w:ascii="Times New Roman" w:hAnsi="Times New Roman" w:cs="Times New Roman"/>
          <w:sz w:val="24"/>
          <w:szCs w:val="24"/>
        </w:rPr>
      </w:pPr>
      <w:r w:rsidRPr="00A536B7">
        <w:rPr>
          <w:rFonts w:ascii="Times New Roman" w:hAnsi="Times New Roman" w:cs="Times New Roman"/>
          <w:sz w:val="24"/>
          <w:szCs w:val="24"/>
        </w:rPr>
        <w:t xml:space="preserve">This finding highlights the essential role of affective factors in the laboratory-based instruction. </w:t>
      </w:r>
      <w:proofErr w:type="gramStart"/>
      <w:r w:rsidRPr="00A536B7">
        <w:rPr>
          <w:rFonts w:ascii="Times New Roman" w:hAnsi="Times New Roman" w:cs="Times New Roman"/>
          <w:sz w:val="24"/>
          <w:szCs w:val="24"/>
        </w:rPr>
        <w:t>Students who possesses</w:t>
      </w:r>
      <w:proofErr w:type="gramEnd"/>
      <w:r w:rsidRPr="00A536B7">
        <w:rPr>
          <w:rFonts w:ascii="Times New Roman" w:hAnsi="Times New Roman" w:cs="Times New Roman"/>
          <w:sz w:val="24"/>
          <w:szCs w:val="24"/>
        </w:rPr>
        <w:t xml:space="preserve"> strong interest, positive perceptions, and intrinsic motivation are more likely to engage in the agricultural tasks demonstrating greater field work performance. In line with the Constructivist Learning Theory, learning is enhanced when students are involved in the knowledge construction and the higher attitude is the driving </w:t>
      </w:r>
      <w:proofErr w:type="gramStart"/>
      <w:r w:rsidRPr="00A536B7">
        <w:rPr>
          <w:rFonts w:ascii="Times New Roman" w:hAnsi="Times New Roman" w:cs="Times New Roman"/>
          <w:sz w:val="24"/>
          <w:szCs w:val="24"/>
        </w:rPr>
        <w:t>force that encourage</w:t>
      </w:r>
      <w:proofErr w:type="gramEnd"/>
      <w:r w:rsidRPr="00A536B7">
        <w:rPr>
          <w:rFonts w:ascii="Times New Roman" w:hAnsi="Times New Roman" w:cs="Times New Roman"/>
          <w:sz w:val="24"/>
          <w:szCs w:val="24"/>
        </w:rPr>
        <w:t xml:space="preserve"> students to construct knowledge through meaningful experiences, thus, improving understanding and skill acquisition during fieldwork activities. Supporting this, Nwigwe et al. (2024) emphasized that higher levels of attitude and autonomy support contribute to improved competency development among university students in practical learning. Similarly, Ranjan (2025</w:t>
      </w:r>
      <w:proofErr w:type="gramStart"/>
      <w:r w:rsidRPr="00A536B7">
        <w:rPr>
          <w:rFonts w:ascii="Times New Roman" w:hAnsi="Times New Roman" w:cs="Times New Roman"/>
          <w:sz w:val="24"/>
          <w:szCs w:val="24"/>
        </w:rPr>
        <w:t>),</w:t>
      </w:r>
      <w:proofErr w:type="gramEnd"/>
      <w:r w:rsidRPr="00A536B7">
        <w:rPr>
          <w:rFonts w:ascii="Times New Roman" w:hAnsi="Times New Roman" w:cs="Times New Roman"/>
          <w:sz w:val="24"/>
          <w:szCs w:val="24"/>
        </w:rPr>
        <w:t xml:space="preserve"> emphasized that students who exhibit favorable attitude towards experiential learning are more motivated to apply classroom learning to real-world practices. Moreover, the students who had very high attitude toward agriculture were more likely to pursue agricultural careers, suggesting that positive attitudes foster sustained learning engagement and improved fieldwork performance (Troka et al, 2024). </w:t>
      </w:r>
    </w:p>
    <w:p w14:paraId="7754408F" w14:textId="16BE0242" w:rsidR="00A536B7" w:rsidRPr="00A536B7" w:rsidRDefault="00A536B7" w:rsidP="00A536B7">
      <w:pPr>
        <w:pStyle w:val="NoSpacing"/>
        <w:spacing w:before="240" w:after="240"/>
        <w:jc w:val="both"/>
        <w:rPr>
          <w:rFonts w:ascii="Times New Roman" w:hAnsi="Times New Roman" w:cs="Times New Roman"/>
          <w:sz w:val="24"/>
          <w:szCs w:val="24"/>
        </w:rPr>
      </w:pPr>
      <w:r w:rsidRPr="00A536B7">
        <w:rPr>
          <w:rFonts w:ascii="Times New Roman" w:hAnsi="Times New Roman" w:cs="Times New Roman"/>
          <w:sz w:val="24"/>
          <w:szCs w:val="24"/>
        </w:rPr>
        <w:t xml:space="preserve">Unlike much of the existing literature that suggests instructional approach and learning resources directly translate to better performance, the present study provide empirical evidence that only a limited portion of variance in field work performance among </w:t>
      </w:r>
      <w:r>
        <w:rPr>
          <w:rFonts w:ascii="Times New Roman" w:hAnsi="Times New Roman" w:cs="Times New Roman"/>
          <w:sz w:val="24"/>
          <w:szCs w:val="24"/>
        </w:rPr>
        <w:t>A</w:t>
      </w:r>
      <w:r w:rsidRPr="00A536B7">
        <w:rPr>
          <w:rFonts w:ascii="Times New Roman" w:hAnsi="Times New Roman" w:cs="Times New Roman"/>
          <w:sz w:val="24"/>
          <w:szCs w:val="24"/>
        </w:rPr>
        <w:t xml:space="preserve">nimal and </w:t>
      </w:r>
      <w:r>
        <w:rPr>
          <w:rFonts w:ascii="Times New Roman" w:hAnsi="Times New Roman" w:cs="Times New Roman"/>
          <w:sz w:val="24"/>
          <w:szCs w:val="24"/>
        </w:rPr>
        <w:t>D</w:t>
      </w:r>
      <w:r w:rsidRPr="00A536B7">
        <w:rPr>
          <w:rFonts w:ascii="Times New Roman" w:hAnsi="Times New Roman" w:cs="Times New Roman"/>
          <w:sz w:val="24"/>
          <w:szCs w:val="24"/>
        </w:rPr>
        <w:t xml:space="preserve">airy </w:t>
      </w:r>
      <w:r>
        <w:rPr>
          <w:rFonts w:ascii="Times New Roman" w:hAnsi="Times New Roman" w:cs="Times New Roman"/>
          <w:sz w:val="24"/>
          <w:szCs w:val="24"/>
        </w:rPr>
        <w:t>S</w:t>
      </w:r>
      <w:r w:rsidRPr="00A536B7">
        <w:rPr>
          <w:rFonts w:ascii="Times New Roman" w:hAnsi="Times New Roman" w:cs="Times New Roman"/>
          <w:sz w:val="24"/>
          <w:szCs w:val="24"/>
        </w:rPr>
        <w:t>cience is explained by these factors.</w:t>
      </w:r>
      <w:r w:rsidR="00A67E5D">
        <w:rPr>
          <w:rFonts w:ascii="Times New Roman" w:hAnsi="Times New Roman" w:cs="Times New Roman"/>
          <w:sz w:val="24"/>
          <w:szCs w:val="24"/>
        </w:rPr>
        <w:t xml:space="preserve"> </w:t>
      </w:r>
    </w:p>
    <w:p w14:paraId="6822D15F" w14:textId="73E896DD" w:rsidR="0048652C" w:rsidRDefault="0048652C" w:rsidP="00C70A73">
      <w:pPr>
        <w:pStyle w:val="NoSpacing"/>
        <w:spacing w:before="240" w:after="240"/>
        <w:jc w:val="both"/>
        <w:rPr>
          <w:rFonts w:ascii="Times New Roman" w:hAnsi="Times New Roman" w:cs="Times New Roman"/>
          <w:b/>
          <w:sz w:val="24"/>
          <w:szCs w:val="24"/>
        </w:rPr>
      </w:pPr>
      <w:r w:rsidRPr="00C70A73">
        <w:rPr>
          <w:rFonts w:ascii="Times New Roman" w:hAnsi="Times New Roman" w:cs="Times New Roman"/>
          <w:b/>
          <w:sz w:val="24"/>
          <w:szCs w:val="24"/>
        </w:rPr>
        <w:t>CONCLUSION</w:t>
      </w:r>
    </w:p>
    <w:p w14:paraId="4550237A" w14:textId="36E96173" w:rsidR="00A67E5D" w:rsidRDefault="00A67E5D" w:rsidP="00A67E5D">
      <w:pPr>
        <w:pStyle w:val="NoSpacing"/>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The study established that students’ fieldwork performance in Animal and Dairy </w:t>
      </w:r>
      <w:proofErr w:type="gramStart"/>
      <w:r>
        <w:rPr>
          <w:rFonts w:ascii="Times New Roman" w:hAnsi="Times New Roman" w:cs="Times New Roman"/>
          <w:sz w:val="24"/>
          <w:szCs w:val="24"/>
        </w:rPr>
        <w:t>Science  is</w:t>
      </w:r>
      <w:proofErr w:type="gramEnd"/>
      <w:r>
        <w:rPr>
          <w:rFonts w:ascii="Times New Roman" w:hAnsi="Times New Roman" w:cs="Times New Roman"/>
          <w:sz w:val="24"/>
          <w:szCs w:val="24"/>
        </w:rPr>
        <w:t xml:space="preserve"> significantly associated with their attitude toward agriculture, underscoring the importance of </w:t>
      </w:r>
      <w:r w:rsidRPr="00A67E5D">
        <w:rPr>
          <w:rFonts w:ascii="Times New Roman" w:hAnsi="Times New Roman" w:cs="Times New Roman"/>
          <w:sz w:val="24"/>
          <w:szCs w:val="24"/>
        </w:rPr>
        <w:t>motivation, interest, and personal engagement in constructing students’ practical competencies</w:t>
      </w:r>
      <w:r>
        <w:rPr>
          <w:rFonts w:ascii="Times New Roman" w:hAnsi="Times New Roman" w:cs="Times New Roman"/>
          <w:sz w:val="24"/>
          <w:szCs w:val="24"/>
        </w:rPr>
        <w:t xml:space="preserve">. </w:t>
      </w:r>
      <w:r w:rsidRPr="00A67E5D">
        <w:rPr>
          <w:rFonts w:ascii="Times New Roman" w:hAnsi="Times New Roman" w:cs="Times New Roman"/>
          <w:sz w:val="24"/>
          <w:szCs w:val="24"/>
        </w:rPr>
        <w:t xml:space="preserve">This aligns with the Constructivist </w:t>
      </w:r>
      <w:r>
        <w:rPr>
          <w:rFonts w:ascii="Times New Roman" w:hAnsi="Times New Roman" w:cs="Times New Roman"/>
          <w:sz w:val="24"/>
          <w:szCs w:val="24"/>
        </w:rPr>
        <w:t xml:space="preserve">Learning </w:t>
      </w:r>
      <w:r w:rsidRPr="00A67E5D">
        <w:rPr>
          <w:rFonts w:ascii="Times New Roman" w:hAnsi="Times New Roman" w:cs="Times New Roman"/>
          <w:sz w:val="24"/>
          <w:szCs w:val="24"/>
        </w:rPr>
        <w:t xml:space="preserve">Theory </w:t>
      </w:r>
      <w:r>
        <w:rPr>
          <w:rFonts w:ascii="Times New Roman" w:hAnsi="Times New Roman" w:cs="Times New Roman"/>
          <w:sz w:val="24"/>
          <w:szCs w:val="24"/>
        </w:rPr>
        <w:t>which emphasizes</w:t>
      </w:r>
      <w:r w:rsidRPr="00A67E5D">
        <w:rPr>
          <w:rFonts w:ascii="Times New Roman" w:hAnsi="Times New Roman" w:cs="Times New Roman"/>
          <w:sz w:val="24"/>
          <w:szCs w:val="24"/>
        </w:rPr>
        <w:t xml:space="preserve"> knowledge construction through students’ experience, reflection and integration of prior knowledge.</w:t>
      </w:r>
    </w:p>
    <w:p w14:paraId="324C52C4" w14:textId="0703BDDF" w:rsidR="00A67E5D" w:rsidRDefault="00A67E5D" w:rsidP="00A67E5D">
      <w:pPr>
        <w:pStyle w:val="NoSpacing"/>
        <w:spacing w:before="240" w:after="240"/>
        <w:jc w:val="both"/>
        <w:rPr>
          <w:rFonts w:ascii="Times New Roman" w:hAnsi="Times New Roman" w:cs="Times New Roman"/>
        </w:rPr>
      </w:pPr>
      <w:r>
        <w:rPr>
          <w:rFonts w:ascii="Times New Roman" w:hAnsi="Times New Roman" w:cs="Times New Roman"/>
          <w:sz w:val="24"/>
          <w:szCs w:val="24"/>
        </w:rPr>
        <w:t xml:space="preserve">Results further revealed that students generally demonstrated an average level of fieldwork performance, indicating </w:t>
      </w:r>
      <w:proofErr w:type="gramStart"/>
      <w:r>
        <w:rPr>
          <w:rFonts w:ascii="Times New Roman" w:hAnsi="Times New Roman" w:cs="Times New Roman"/>
          <w:sz w:val="24"/>
          <w:szCs w:val="24"/>
        </w:rPr>
        <w:t xml:space="preserve">a </w:t>
      </w:r>
      <w:r w:rsidRPr="00A67E5D">
        <w:rPr>
          <w:rFonts w:ascii="Times New Roman" w:hAnsi="Times New Roman" w:cs="Times New Roman"/>
          <w:sz w:val="24"/>
        </w:rPr>
        <w:t>satisfactory foundational skills</w:t>
      </w:r>
      <w:proofErr w:type="gramEnd"/>
      <w:r w:rsidRPr="00A67E5D">
        <w:rPr>
          <w:rFonts w:ascii="Times New Roman" w:hAnsi="Times New Roman" w:cs="Times New Roman"/>
          <w:sz w:val="24"/>
        </w:rPr>
        <w:t xml:space="preserve"> in Animal and Dairy Science</w:t>
      </w:r>
      <w:r>
        <w:rPr>
          <w:rFonts w:ascii="Times New Roman" w:hAnsi="Times New Roman" w:cs="Times New Roman"/>
          <w:sz w:val="24"/>
        </w:rPr>
        <w:t xml:space="preserve"> but also highlighting the need for continued improvement to achieve higher level of master and proficiency. </w:t>
      </w:r>
      <w:r>
        <w:rPr>
          <w:rFonts w:ascii="Times New Roman" w:hAnsi="Times New Roman" w:cs="Times New Roman"/>
        </w:rPr>
        <w:t>W</w:t>
      </w:r>
      <w:r w:rsidRPr="00A67E5D">
        <w:rPr>
          <w:rFonts w:ascii="Times New Roman" w:hAnsi="Times New Roman" w:cs="Times New Roman"/>
        </w:rPr>
        <w:t xml:space="preserve">hile instructional approaches and </w:t>
      </w:r>
      <w:r>
        <w:rPr>
          <w:rFonts w:ascii="Times New Roman" w:hAnsi="Times New Roman" w:cs="Times New Roman"/>
        </w:rPr>
        <w:t>learning resources contribute to the laboratory based instruction, the direct influence on fieldwork performance appears limited compared to the attitudinal factors.</w:t>
      </w:r>
    </w:p>
    <w:p w14:paraId="3597D4D3" w14:textId="4E0087A3" w:rsidR="00A67E5D" w:rsidRPr="00A67E5D" w:rsidRDefault="00A67E5D" w:rsidP="00A67E5D">
      <w:pPr>
        <w:pStyle w:val="NoSpacing"/>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In light to these findings, a </w:t>
      </w:r>
      <w:r w:rsidRPr="00A67E5D">
        <w:rPr>
          <w:rFonts w:ascii="Times New Roman" w:hAnsi="Times New Roman" w:cs="Times New Roman"/>
          <w:sz w:val="24"/>
          <w:szCs w:val="24"/>
        </w:rPr>
        <w:t>learner-centered</w:t>
      </w:r>
      <w:r>
        <w:rPr>
          <w:rFonts w:ascii="Times New Roman" w:hAnsi="Times New Roman" w:cs="Times New Roman"/>
          <w:sz w:val="24"/>
          <w:szCs w:val="24"/>
        </w:rPr>
        <w:t xml:space="preserve"> and experiential approach tp agricultural education is recommended. </w:t>
      </w:r>
      <w:r w:rsidR="009A308F" w:rsidRPr="00A67E5D">
        <w:rPr>
          <w:rFonts w:ascii="Times New Roman" w:hAnsi="Times New Roman" w:cs="Times New Roman"/>
          <w:sz w:val="24"/>
          <w:szCs w:val="24"/>
        </w:rPr>
        <w:t>Educators</w:t>
      </w:r>
      <w:r w:rsidR="009A308F">
        <w:rPr>
          <w:rFonts w:ascii="Times New Roman" w:hAnsi="Times New Roman" w:cs="Times New Roman"/>
          <w:sz w:val="24"/>
          <w:szCs w:val="24"/>
        </w:rPr>
        <w:t xml:space="preserve"> should design </w:t>
      </w:r>
      <w:r w:rsidR="009A308F" w:rsidRPr="00A67E5D">
        <w:rPr>
          <w:rFonts w:ascii="Times New Roman" w:hAnsi="Times New Roman" w:cs="Times New Roman"/>
          <w:sz w:val="24"/>
          <w:szCs w:val="24"/>
        </w:rPr>
        <w:t>practical learning</w:t>
      </w:r>
      <w:r w:rsidR="009A308F">
        <w:rPr>
          <w:rFonts w:ascii="Times New Roman" w:hAnsi="Times New Roman" w:cs="Times New Roman"/>
          <w:sz w:val="24"/>
          <w:szCs w:val="24"/>
        </w:rPr>
        <w:t xml:space="preserve"> experiences or tasks that promote active engagement, reflectiona </w:t>
      </w:r>
      <w:proofErr w:type="gramStart"/>
      <w:r w:rsidR="009A308F">
        <w:rPr>
          <w:rFonts w:ascii="Times New Roman" w:hAnsi="Times New Roman" w:cs="Times New Roman"/>
          <w:sz w:val="24"/>
          <w:szCs w:val="24"/>
        </w:rPr>
        <w:t>dn</w:t>
      </w:r>
      <w:proofErr w:type="gramEnd"/>
      <w:r w:rsidR="009A308F">
        <w:rPr>
          <w:rFonts w:ascii="Times New Roman" w:hAnsi="Times New Roman" w:cs="Times New Roman"/>
          <w:sz w:val="24"/>
          <w:szCs w:val="24"/>
        </w:rPr>
        <w:t xml:space="preserve"> meaningful application of agricultural concepts. Strengthening positive attitudes toward agriculture should alos be prioritized, as it benefits to a central role of enhancing </w:t>
      </w:r>
      <w:proofErr w:type="gramStart"/>
      <w:r w:rsidR="009A308F">
        <w:rPr>
          <w:rFonts w:ascii="Times New Roman" w:hAnsi="Times New Roman" w:cs="Times New Roman"/>
          <w:sz w:val="24"/>
          <w:szCs w:val="24"/>
        </w:rPr>
        <w:t>students</w:t>
      </w:r>
      <w:proofErr w:type="gramEnd"/>
      <w:r w:rsidR="009A308F">
        <w:rPr>
          <w:rFonts w:ascii="Times New Roman" w:hAnsi="Times New Roman" w:cs="Times New Roman"/>
          <w:sz w:val="24"/>
          <w:szCs w:val="24"/>
        </w:rPr>
        <w:t xml:space="preserve"> fieldwork performance. </w:t>
      </w:r>
    </w:p>
    <w:p w14:paraId="470F1829" w14:textId="026BF67E" w:rsidR="009A308F" w:rsidRDefault="009A308F" w:rsidP="002121DB">
      <w:pPr>
        <w:pStyle w:val="NormalWeb"/>
        <w:spacing w:before="240" w:beforeAutospacing="0" w:after="240" w:afterAutospacing="0"/>
        <w:jc w:val="both"/>
      </w:pPr>
      <w:r>
        <w:t>At the institutional level, a</w:t>
      </w:r>
      <w:r w:rsidR="00B228A4" w:rsidRPr="00C70A73">
        <w:t xml:space="preserve">dministrators should ensure </w:t>
      </w:r>
      <w:r>
        <w:t>adequate</w:t>
      </w:r>
      <w:r w:rsidR="00B228A4" w:rsidRPr="00C70A73">
        <w:t xml:space="preserve"> laboratory facilities</w:t>
      </w:r>
      <w:r>
        <w:t xml:space="preserve"> to support effective skills training. The adoption of</w:t>
      </w:r>
      <w:r w:rsidRPr="00C70A73">
        <w:t xml:space="preserve"> institutionalized performance rubrics </w:t>
      </w:r>
      <w:r>
        <w:t>is also recommended to improve consistency and objectivity of</w:t>
      </w:r>
      <w:r w:rsidRPr="00C70A73">
        <w:t xml:space="preserve"> </w:t>
      </w:r>
      <w:r>
        <w:t>practical</w:t>
      </w:r>
      <w:r w:rsidRPr="00C70A73">
        <w:t xml:space="preserve"> assessmen</w:t>
      </w:r>
      <w:r>
        <w:t>s. Although,</w:t>
      </w:r>
      <w:r w:rsidRPr="00C70A73">
        <w:t xml:space="preserve"> students generally hold </w:t>
      </w:r>
      <w:r>
        <w:t>very high</w:t>
      </w:r>
      <w:r w:rsidRPr="00C70A73">
        <w:t xml:space="preserve"> attitude</w:t>
      </w:r>
      <w:r>
        <w:t xml:space="preserve"> toward agriculture, further enhancement is needed to</w:t>
      </w:r>
      <w:r w:rsidRPr="00C70A73">
        <w:t xml:space="preserve"> deepe</w:t>
      </w:r>
      <w:r>
        <w:t>n</w:t>
      </w:r>
      <w:r w:rsidRPr="00C70A73">
        <w:t xml:space="preserve"> engagement </w:t>
      </w:r>
      <w:r>
        <w:t>to</w:t>
      </w:r>
      <w:r w:rsidRPr="00C70A73">
        <w:t xml:space="preserve"> interactive activities, structured reflection, and evaluation </w:t>
      </w:r>
      <w:r>
        <w:t xml:space="preserve">for </w:t>
      </w:r>
      <w:r w:rsidRPr="00C70A73">
        <w:t>competence</w:t>
      </w:r>
      <w:r>
        <w:t xml:space="preserve"> development. Future research may also consider additional factors </w:t>
      </w:r>
      <w:r>
        <w:rPr>
          <w:rStyle w:val="cf01"/>
          <w:rFonts w:ascii="Times New Roman" w:hAnsi="Times New Roman" w:cs="Times New Roman"/>
          <w:bCs/>
          <w:sz w:val="24"/>
          <w:szCs w:val="24"/>
        </w:rPr>
        <w:t>focusing in psychological, behavioral and environmental conditions that would influence fieldwork performance using mixed-method approach.</w:t>
      </w:r>
      <w:r>
        <w:t xml:space="preserve"> </w:t>
      </w:r>
      <w:r w:rsidRPr="00C70A73">
        <w:t>Overall, a balanced approach integrating attitudes, resources, and hands-on learning is essential to prepare students for real-world agricultural practice</w:t>
      </w:r>
    </w:p>
    <w:p w14:paraId="095CF9F5" w14:textId="14F25706" w:rsidR="007707C1" w:rsidRPr="00C70A73" w:rsidRDefault="0048652C" w:rsidP="00C70A73">
      <w:pPr>
        <w:pStyle w:val="NoSpacing"/>
        <w:spacing w:before="240" w:after="240"/>
        <w:jc w:val="both"/>
        <w:rPr>
          <w:rFonts w:ascii="Times New Roman" w:hAnsi="Times New Roman" w:cs="Times New Roman"/>
          <w:b/>
          <w:sz w:val="24"/>
          <w:szCs w:val="24"/>
        </w:rPr>
      </w:pPr>
      <w:r w:rsidRPr="00C70A73">
        <w:rPr>
          <w:rFonts w:ascii="Times New Roman" w:hAnsi="Times New Roman" w:cs="Times New Roman"/>
          <w:b/>
          <w:sz w:val="24"/>
          <w:szCs w:val="24"/>
        </w:rPr>
        <w:t>REFERENCES</w:t>
      </w:r>
    </w:p>
    <w:p w14:paraId="3F628F1B" w14:textId="4ED6197E" w:rsidR="00E845C2" w:rsidRPr="00C70A73" w:rsidRDefault="00E845C2" w:rsidP="000B1FF1">
      <w:pPr>
        <w:pStyle w:val="NormalWeb"/>
        <w:numPr>
          <w:ilvl w:val="0"/>
          <w:numId w:val="4"/>
        </w:numPr>
        <w:spacing w:before="240" w:beforeAutospacing="0" w:after="240" w:afterAutospacing="0"/>
        <w:jc w:val="both"/>
      </w:pPr>
      <w:r w:rsidRPr="00C70A73">
        <w:t xml:space="preserve">Alrawashdeh, G. S., Lindgren, S. A., Reyes, M. R., &amp; Pisey, S. (2022). Developing youth’s capacities as active </w:t>
      </w:r>
      <w:r w:rsidR="000B1FF1">
        <w:tab/>
      </w:r>
      <w:r w:rsidRPr="00C70A73">
        <w:t xml:space="preserve">partners in achieving sustainable global food security through education. </w:t>
      </w:r>
      <w:r w:rsidRPr="00C70A73">
        <w:rPr>
          <w:rStyle w:val="Emphasis"/>
        </w:rPr>
        <w:t>IEEE International Conference on Solid Dielectrics</w:t>
      </w:r>
      <w:r w:rsidRPr="00B52132">
        <w:rPr>
          <w:rStyle w:val="Emphasis"/>
        </w:rPr>
        <w:t>.</w:t>
      </w:r>
      <w:r w:rsidRPr="00B52132">
        <w:t xml:space="preserve"> </w:t>
      </w:r>
      <w:hyperlink r:id="rId8" w:history="1">
        <w:r w:rsidR="00B52132" w:rsidRPr="000B1FF1">
          <w:rPr>
            <w:rStyle w:val="Hyperlink"/>
            <w:color w:val="auto"/>
          </w:rPr>
          <w:t>https://doi.org/10.3390/environsciproc2022015028</w:t>
        </w:r>
      </w:hyperlink>
    </w:p>
    <w:p w14:paraId="4318CB29" w14:textId="488B2F28" w:rsidR="00E845C2" w:rsidRPr="00A536B7" w:rsidRDefault="00E845C2" w:rsidP="000B1FF1">
      <w:pPr>
        <w:pStyle w:val="NormalWeb"/>
        <w:numPr>
          <w:ilvl w:val="0"/>
          <w:numId w:val="4"/>
        </w:numPr>
        <w:spacing w:before="240" w:beforeAutospacing="0" w:after="240" w:afterAutospacing="0"/>
        <w:jc w:val="both"/>
        <w:rPr>
          <w:u w:val="single"/>
        </w:rPr>
      </w:pPr>
      <w:r w:rsidRPr="00C70A73">
        <w:t xml:space="preserve">Arihana, A. A., &amp; Iksan, Z. H. (2023). Acquiring practical and soft skills through field work among science students in higher education </w:t>
      </w:r>
      <w:r w:rsidRPr="00A536B7">
        <w:t xml:space="preserve">institutions. </w:t>
      </w:r>
      <w:r w:rsidRPr="00A536B7">
        <w:rPr>
          <w:rStyle w:val="Emphasis"/>
        </w:rPr>
        <w:t xml:space="preserve">International Journal of </w:t>
      </w:r>
      <w:r w:rsidR="00CB2B69" w:rsidRPr="00A536B7">
        <w:rPr>
          <w:rStyle w:val="Emphasis"/>
        </w:rPr>
        <w:tab/>
      </w:r>
      <w:r w:rsidRPr="00A536B7">
        <w:rPr>
          <w:rStyle w:val="Emphasis"/>
        </w:rPr>
        <w:t>Academic Research</w:t>
      </w:r>
      <w:r w:rsidR="000B1FF1" w:rsidRPr="00A536B7">
        <w:rPr>
          <w:rStyle w:val="Emphasis"/>
        </w:rPr>
        <w:t xml:space="preserve"> </w:t>
      </w:r>
      <w:r w:rsidRPr="00A536B7">
        <w:rPr>
          <w:rStyle w:val="Emphasis"/>
        </w:rPr>
        <w:t>in Progressive Education and Development, 12</w:t>
      </w:r>
      <w:r w:rsidRPr="00A536B7">
        <w:t xml:space="preserve">(2). </w:t>
      </w:r>
      <w:hyperlink r:id="rId9" w:history="1">
        <w:r w:rsidR="000B1FF1" w:rsidRPr="00A536B7">
          <w:rPr>
            <w:rStyle w:val="Hyperlink"/>
            <w:color w:val="auto"/>
          </w:rPr>
          <w:t>https://doi.org/10.6007/ijarped/v12-i2/17482</w:t>
        </w:r>
      </w:hyperlink>
    </w:p>
    <w:p w14:paraId="34A0C0E4" w14:textId="22616A34" w:rsidR="00E845C2" w:rsidRPr="00A536B7" w:rsidRDefault="00E845C2" w:rsidP="000B1FF1">
      <w:pPr>
        <w:pStyle w:val="NormalWeb"/>
        <w:numPr>
          <w:ilvl w:val="0"/>
          <w:numId w:val="4"/>
        </w:numPr>
        <w:spacing w:before="240" w:beforeAutospacing="0" w:after="240" w:afterAutospacing="0"/>
        <w:jc w:val="both"/>
        <w:rPr>
          <w:i/>
          <w:iCs/>
          <w:u w:val="single"/>
        </w:rPr>
      </w:pPr>
      <w:r w:rsidRPr="00A536B7">
        <w:t xml:space="preserve">Balachandran, A., &amp; Mahalakshmi, T. (2023). E-Learning. </w:t>
      </w:r>
      <w:r w:rsidRPr="00A536B7">
        <w:rPr>
          <w:rStyle w:val="Emphasis"/>
        </w:rPr>
        <w:t xml:space="preserve">International Journal of </w:t>
      </w:r>
      <w:r w:rsidR="00CB2B69" w:rsidRPr="00A536B7">
        <w:rPr>
          <w:rStyle w:val="Emphasis"/>
        </w:rPr>
        <w:t xml:space="preserve">  </w:t>
      </w:r>
      <w:r w:rsidRPr="00A536B7">
        <w:rPr>
          <w:rStyle w:val="Emphasis"/>
        </w:rPr>
        <w:t xml:space="preserve">Advanced Research in </w:t>
      </w:r>
      <w:r w:rsidR="000B1FF1" w:rsidRPr="00A536B7">
        <w:rPr>
          <w:rStyle w:val="Emphasis"/>
        </w:rPr>
        <w:tab/>
      </w:r>
      <w:r w:rsidRPr="00A536B7">
        <w:rPr>
          <w:rStyle w:val="Emphasis"/>
        </w:rPr>
        <w:t>Science, Communication and Technology,</w:t>
      </w:r>
      <w:r w:rsidRPr="00A536B7">
        <w:t xml:space="preserve"> 132–137. </w:t>
      </w:r>
      <w:hyperlink r:id="rId10" w:history="1">
        <w:r w:rsidR="000B1FF1" w:rsidRPr="00A536B7">
          <w:rPr>
            <w:rStyle w:val="Hyperlink"/>
            <w:color w:val="auto"/>
          </w:rPr>
          <w:t>https://doi.org/10.48175/ijarsct-12924</w:t>
        </w:r>
      </w:hyperlink>
    </w:p>
    <w:p w14:paraId="1614C259" w14:textId="77F4393C" w:rsidR="00E845C2" w:rsidRPr="00A536B7" w:rsidRDefault="00E845C2" w:rsidP="000B1FF1">
      <w:pPr>
        <w:pStyle w:val="NormalWeb"/>
        <w:numPr>
          <w:ilvl w:val="0"/>
          <w:numId w:val="4"/>
        </w:numPr>
        <w:spacing w:before="240" w:beforeAutospacing="0" w:after="240" w:afterAutospacing="0"/>
        <w:jc w:val="both"/>
      </w:pPr>
      <w:r w:rsidRPr="00A536B7">
        <w:t>Baliyan, S. P., Malebalwa, K., Keregero, K. J. B., &amp; Mabusa, K. (2021).</w:t>
      </w:r>
      <w:r w:rsidR="00B52132" w:rsidRPr="00A536B7">
        <w:t xml:space="preserve"> </w:t>
      </w:r>
      <w:r w:rsidRPr="00A536B7">
        <w:t xml:space="preserve"> Poor academic </w:t>
      </w:r>
      <w:r w:rsidR="00CB2B69" w:rsidRPr="00A536B7">
        <w:tab/>
      </w:r>
      <w:r w:rsidRPr="00A536B7">
        <w:t>performance</w:t>
      </w:r>
      <w:r w:rsidR="000B1FF1" w:rsidRPr="00A536B7">
        <w:t xml:space="preserve"> </w:t>
      </w:r>
      <w:r w:rsidRPr="00A536B7">
        <w:t xml:space="preserve">of </w:t>
      </w:r>
      <w:r w:rsidR="000B1FF1" w:rsidRPr="00A536B7">
        <w:tab/>
      </w:r>
      <w:r w:rsidRPr="00A536B7">
        <w:t xml:space="preserve">students in agriculture at primary schools in Botswana: Analysis of causes and ways to improve. </w:t>
      </w:r>
      <w:r w:rsidRPr="00A536B7">
        <w:rPr>
          <w:rStyle w:val="Emphasis"/>
        </w:rPr>
        <w:t>International Journal of Learning, Teaching and Educational Research,</w:t>
      </w:r>
      <w:r w:rsidRPr="00A536B7">
        <w:rPr>
          <w:rStyle w:val="Emphasis"/>
          <w:i w:val="0"/>
        </w:rPr>
        <w:t xml:space="preserve"> 20</w:t>
      </w:r>
      <w:r w:rsidRPr="00A536B7">
        <w:t xml:space="preserve">(9), 116–135. </w:t>
      </w:r>
      <w:hyperlink r:id="rId11" w:history="1">
        <w:r w:rsidR="000B1FF1" w:rsidRPr="00A536B7">
          <w:rPr>
            <w:rStyle w:val="Hyperlink"/>
            <w:color w:val="auto"/>
          </w:rPr>
          <w:t>https://doi.org/10.26803/IJLTER.20.9.8</w:t>
        </w:r>
      </w:hyperlink>
    </w:p>
    <w:p w14:paraId="357089CE" w14:textId="53FC48CE" w:rsidR="00E845C2" w:rsidRPr="00B52132" w:rsidRDefault="00E845C2" w:rsidP="000B1FF1">
      <w:pPr>
        <w:pStyle w:val="NormalWeb"/>
        <w:numPr>
          <w:ilvl w:val="0"/>
          <w:numId w:val="4"/>
        </w:numPr>
        <w:spacing w:before="240" w:beforeAutospacing="0" w:after="240" w:afterAutospacing="0"/>
        <w:jc w:val="both"/>
      </w:pPr>
      <w:r w:rsidRPr="00B52132">
        <w:t>Calsamiglia, C., &amp; Loviglio, A. (2020). Maturity and school outcomes in an inflexible system:</w:t>
      </w:r>
      <w:r w:rsidR="000B1FF1">
        <w:t xml:space="preserve"> </w:t>
      </w:r>
      <w:r w:rsidRPr="00B52132">
        <w:t xml:space="preserve">Evidence from Catalonia. </w:t>
      </w:r>
      <w:r w:rsidRPr="00B52132">
        <w:rPr>
          <w:rStyle w:val="Emphasis"/>
        </w:rPr>
        <w:t xml:space="preserve">SERIEs: Journal of the Spanish Economic Association, </w:t>
      </w:r>
      <w:r w:rsidRPr="000B1FF1">
        <w:rPr>
          <w:rStyle w:val="Emphasis"/>
          <w:i w:val="0"/>
        </w:rPr>
        <w:t>11</w:t>
      </w:r>
      <w:r w:rsidRPr="000B1FF1">
        <w:t>(</w:t>
      </w:r>
      <w:r w:rsidRPr="00B52132">
        <w:t xml:space="preserve">1), 1–49. </w:t>
      </w:r>
      <w:r w:rsidRPr="000B1FF1">
        <w:rPr>
          <w:u w:val="single"/>
        </w:rPr>
        <w:t>https://doi.org/10.1007/S13209-019-0196-6</w:t>
      </w:r>
    </w:p>
    <w:p w14:paraId="39636387" w14:textId="2CEE7B48" w:rsidR="00E845C2" w:rsidRPr="00B52132" w:rsidRDefault="00E845C2" w:rsidP="000B1FF1">
      <w:pPr>
        <w:pStyle w:val="NormalWeb"/>
        <w:numPr>
          <w:ilvl w:val="0"/>
          <w:numId w:val="4"/>
        </w:numPr>
        <w:spacing w:before="240" w:beforeAutospacing="0" w:after="240" w:afterAutospacing="0"/>
        <w:jc w:val="both"/>
      </w:pPr>
      <w:r w:rsidRPr="00B52132">
        <w:t xml:space="preserve">Creswell, J. W. (2014). </w:t>
      </w:r>
      <w:r w:rsidRPr="00B52132">
        <w:rPr>
          <w:rStyle w:val="Emphasis"/>
          <w:i w:val="0"/>
        </w:rPr>
        <w:t xml:space="preserve">Research design: </w:t>
      </w:r>
      <w:proofErr w:type="gramStart"/>
      <w:r w:rsidRPr="00B52132">
        <w:rPr>
          <w:rStyle w:val="Emphasis"/>
          <w:i w:val="0"/>
        </w:rPr>
        <w:t xml:space="preserve">Qualitative, quantitative, and mixed methods </w:t>
      </w:r>
      <w:r w:rsidR="00CB2B69" w:rsidRPr="00B52132">
        <w:rPr>
          <w:rStyle w:val="Emphasis"/>
          <w:i w:val="0"/>
        </w:rPr>
        <w:tab/>
      </w:r>
      <w:r w:rsidRPr="00B52132">
        <w:rPr>
          <w:rStyle w:val="Emphasis"/>
          <w:i w:val="0"/>
        </w:rPr>
        <w:t>approaches</w:t>
      </w:r>
      <w:proofErr w:type="gramEnd"/>
      <w:r w:rsidRPr="00B52132">
        <w:t xml:space="preserve"> (4th ed.). </w:t>
      </w:r>
      <w:r w:rsidRPr="00B52132">
        <w:rPr>
          <w:i/>
        </w:rPr>
        <w:t>Sage Publication</w:t>
      </w:r>
    </w:p>
    <w:p w14:paraId="296E1267" w14:textId="77777777" w:rsidR="00E45F89" w:rsidRPr="00E45F89" w:rsidRDefault="00B52132" w:rsidP="00E45F89">
      <w:pPr>
        <w:pStyle w:val="ListParagraph"/>
        <w:numPr>
          <w:ilvl w:val="0"/>
          <w:numId w:val="4"/>
        </w:numPr>
        <w:spacing w:after="0" w:line="240" w:lineRule="auto"/>
        <w:rPr>
          <w:rStyle w:val="Hyperlink"/>
          <w:rFonts w:ascii="Times New Roman" w:eastAsia="Times New Roman" w:hAnsi="Times New Roman" w:cs="Times New Roman"/>
          <w:color w:val="auto"/>
          <w:sz w:val="24"/>
          <w:szCs w:val="24"/>
          <w:u w:val="none"/>
          <w:lang w:eastAsia="en-PH"/>
        </w:rPr>
      </w:pPr>
      <w:r w:rsidRPr="00E45F89">
        <w:rPr>
          <w:rFonts w:ascii="Times New Roman" w:eastAsia="Times New Roman" w:hAnsi="Times New Roman" w:cs="Times New Roman"/>
          <w:sz w:val="24"/>
          <w:szCs w:val="24"/>
          <w:lang w:eastAsia="en-PH"/>
        </w:rPr>
        <w:t xml:space="preserve">David, D. J. (2022). </w:t>
      </w:r>
      <w:r w:rsidRPr="00E45F89">
        <w:rPr>
          <w:rFonts w:ascii="Times New Roman" w:eastAsia="Times New Roman" w:hAnsi="Times New Roman" w:cs="Times New Roman"/>
          <w:iCs/>
          <w:sz w:val="24"/>
          <w:szCs w:val="24"/>
          <w:lang w:eastAsia="en-PH"/>
        </w:rPr>
        <w:t>Constructivism</w:t>
      </w:r>
      <w:r w:rsidRPr="00E45F89">
        <w:rPr>
          <w:rFonts w:ascii="Times New Roman" w:eastAsia="Times New Roman" w:hAnsi="Times New Roman" w:cs="Times New Roman"/>
          <w:sz w:val="24"/>
          <w:szCs w:val="24"/>
          <w:lang w:eastAsia="en-PH"/>
        </w:rPr>
        <w:t xml:space="preserve">. </w:t>
      </w:r>
      <w:hyperlink r:id="rId12" w:history="1">
        <w:r w:rsidRPr="00E45F89">
          <w:rPr>
            <w:rStyle w:val="Hyperlink"/>
            <w:rFonts w:ascii="Times New Roman" w:eastAsia="Times New Roman" w:hAnsi="Times New Roman" w:cs="Times New Roman"/>
            <w:color w:val="auto"/>
            <w:sz w:val="24"/>
            <w:szCs w:val="24"/>
            <w:lang w:eastAsia="en-PH"/>
          </w:rPr>
          <w:t>https://doi.org/10.4324/9781138609877ree32-1</w:t>
        </w:r>
      </w:hyperlink>
    </w:p>
    <w:p w14:paraId="56D411EF" w14:textId="77777777" w:rsidR="00E45F89" w:rsidRPr="00E45F89" w:rsidRDefault="00E45F89" w:rsidP="00E45F89">
      <w:pPr>
        <w:pStyle w:val="ListParagraph"/>
        <w:spacing w:after="0" w:line="240" w:lineRule="auto"/>
        <w:rPr>
          <w:rFonts w:ascii="Times New Roman" w:eastAsia="Times New Roman" w:hAnsi="Times New Roman" w:cs="Times New Roman"/>
          <w:sz w:val="24"/>
          <w:szCs w:val="24"/>
          <w:lang w:eastAsia="en-PH"/>
        </w:rPr>
      </w:pPr>
    </w:p>
    <w:p w14:paraId="34EDF4A8" w14:textId="37E4927A" w:rsidR="00E845C2" w:rsidRPr="00E45F89" w:rsidRDefault="00E845C2" w:rsidP="00E45F89">
      <w:pPr>
        <w:pStyle w:val="ListParagraph"/>
        <w:numPr>
          <w:ilvl w:val="0"/>
          <w:numId w:val="4"/>
        </w:numPr>
        <w:spacing w:after="0" w:line="240" w:lineRule="auto"/>
        <w:jc w:val="both"/>
        <w:rPr>
          <w:rFonts w:ascii="Times New Roman" w:eastAsia="Times New Roman" w:hAnsi="Times New Roman" w:cs="Times New Roman"/>
          <w:sz w:val="24"/>
          <w:szCs w:val="24"/>
          <w:lang w:eastAsia="en-PH"/>
        </w:rPr>
      </w:pPr>
      <w:r w:rsidRPr="00E45F89">
        <w:rPr>
          <w:rFonts w:ascii="Times New Roman" w:hAnsi="Times New Roman" w:cs="Times New Roman"/>
          <w:sz w:val="24"/>
          <w:szCs w:val="24"/>
        </w:rPr>
        <w:t xml:space="preserve">Erickson, M., Ranathunga, S. D., &amp; Wattiaux, M. A. (2020). Animal sciences undergraduate education since the ASAS centennial: A national survey and </w:t>
      </w:r>
      <w:r w:rsidR="00CB2B69" w:rsidRPr="00E45F89">
        <w:rPr>
          <w:rFonts w:ascii="Times New Roman" w:hAnsi="Times New Roman" w:cs="Times New Roman"/>
          <w:sz w:val="24"/>
          <w:szCs w:val="24"/>
        </w:rPr>
        <w:tab/>
      </w:r>
      <w:r w:rsidRPr="00E45F89">
        <w:rPr>
          <w:rFonts w:ascii="Times New Roman" w:hAnsi="Times New Roman" w:cs="Times New Roman"/>
          <w:sz w:val="24"/>
          <w:szCs w:val="24"/>
        </w:rPr>
        <w:t xml:space="preserve">scoping review. </w:t>
      </w:r>
      <w:r w:rsidRPr="00E45F89">
        <w:rPr>
          <w:rStyle w:val="Emphasis"/>
          <w:rFonts w:ascii="Times New Roman" w:hAnsi="Times New Roman" w:cs="Times New Roman"/>
          <w:sz w:val="24"/>
          <w:szCs w:val="24"/>
        </w:rPr>
        <w:t>Translational Animal Science, 4</w:t>
      </w:r>
      <w:r w:rsidRPr="00E45F89">
        <w:rPr>
          <w:rFonts w:ascii="Times New Roman" w:hAnsi="Times New Roman" w:cs="Times New Roman"/>
          <w:sz w:val="24"/>
          <w:szCs w:val="24"/>
        </w:rPr>
        <w:t>(4).</w:t>
      </w:r>
      <w:r w:rsidRPr="00E45F89">
        <w:rPr>
          <w:rFonts w:ascii="Times New Roman" w:hAnsi="Times New Roman" w:cs="Times New Roman"/>
          <w:sz w:val="24"/>
          <w:szCs w:val="24"/>
          <w:u w:val="single"/>
        </w:rPr>
        <w:t xml:space="preserve"> </w:t>
      </w:r>
      <w:hyperlink r:id="rId13" w:history="1">
        <w:r w:rsidR="00B52132" w:rsidRPr="00E45F89">
          <w:rPr>
            <w:rStyle w:val="Hyperlink"/>
            <w:rFonts w:ascii="Times New Roman" w:hAnsi="Times New Roman" w:cs="Times New Roman"/>
            <w:color w:val="auto"/>
            <w:sz w:val="24"/>
            <w:szCs w:val="24"/>
          </w:rPr>
          <w:t>https://doi.org/10.1093/TAS/TXAA202</w:t>
        </w:r>
      </w:hyperlink>
    </w:p>
    <w:p w14:paraId="27CF96DE" w14:textId="72E05883" w:rsidR="00E845C2" w:rsidRPr="00C70A73" w:rsidRDefault="00E845C2" w:rsidP="000B1FF1">
      <w:pPr>
        <w:pStyle w:val="NormalWeb"/>
        <w:numPr>
          <w:ilvl w:val="0"/>
          <w:numId w:val="4"/>
        </w:numPr>
        <w:spacing w:before="240" w:beforeAutospacing="0" w:after="240" w:afterAutospacing="0"/>
        <w:jc w:val="both"/>
      </w:pPr>
      <w:r w:rsidRPr="00C70A73">
        <w:t xml:space="preserve">Gisip, J., Ibrahim, N., Ratim, S., &amp; Abdul Ghani, F. S. (2024). Open educational resources (OER) in e-learning for higher education. </w:t>
      </w:r>
      <w:r w:rsidRPr="00C70A73">
        <w:rPr>
          <w:rStyle w:val="Emphasis"/>
        </w:rPr>
        <w:t xml:space="preserve">International Journal on E-Learning and </w:t>
      </w:r>
      <w:r w:rsidR="00CB2B69" w:rsidRPr="00C70A73">
        <w:rPr>
          <w:rStyle w:val="Emphasis"/>
        </w:rPr>
        <w:tab/>
      </w:r>
      <w:r w:rsidRPr="00C70A73">
        <w:rPr>
          <w:rStyle w:val="Emphasis"/>
        </w:rPr>
        <w:t>Higher Education, 19</w:t>
      </w:r>
      <w:r w:rsidRPr="00C70A73">
        <w:t xml:space="preserve">(2), 449–467. </w:t>
      </w:r>
      <w:hyperlink r:id="rId14" w:tgtFrame="_new" w:history="1">
        <w:r w:rsidRPr="000B1FF1">
          <w:rPr>
            <w:rStyle w:val="Hyperlink"/>
            <w:color w:val="auto"/>
          </w:rPr>
          <w:t>https://doi.org/10.24191/ijelhe.v19n2.19227</w:t>
        </w:r>
      </w:hyperlink>
    </w:p>
    <w:p w14:paraId="61DB8136" w14:textId="23B09D17" w:rsidR="00E845C2" w:rsidRPr="00C70A73" w:rsidRDefault="00E845C2" w:rsidP="000B1FF1">
      <w:pPr>
        <w:pStyle w:val="NormalWeb"/>
        <w:numPr>
          <w:ilvl w:val="0"/>
          <w:numId w:val="4"/>
        </w:numPr>
        <w:spacing w:before="240" w:beforeAutospacing="0" w:after="240" w:afterAutospacing="0"/>
        <w:jc w:val="both"/>
      </w:pPr>
      <w:r w:rsidRPr="00C70A73">
        <w:t xml:space="preserve">Kolb, D. A. (1984). </w:t>
      </w:r>
      <w:r w:rsidRPr="00C70A73">
        <w:rPr>
          <w:rStyle w:val="Emphasis"/>
        </w:rPr>
        <w:t>Experiential learning: Experience as the source of learning and development.</w:t>
      </w:r>
      <w:r w:rsidRPr="00C70A73">
        <w:t xml:space="preserve"> Englewood Cliffs, NJ: Prentice-Hall.</w:t>
      </w:r>
    </w:p>
    <w:p w14:paraId="3CF8E828" w14:textId="225121DF" w:rsidR="00E845C2" w:rsidRPr="00C70A73" w:rsidRDefault="00E845C2" w:rsidP="000B1FF1">
      <w:pPr>
        <w:pStyle w:val="NormalWeb"/>
        <w:numPr>
          <w:ilvl w:val="0"/>
          <w:numId w:val="4"/>
        </w:numPr>
        <w:spacing w:before="240" w:beforeAutospacing="0" w:after="240" w:afterAutospacing="0"/>
        <w:jc w:val="both"/>
      </w:pPr>
      <w:r w:rsidRPr="00C70A73">
        <w:t xml:space="preserve">Lazaro, J. M. V., &amp; Paglinawan, J. L. (2025). Laboratory resource availability and students’ engagement in science. </w:t>
      </w:r>
      <w:r w:rsidRPr="00C70A73">
        <w:rPr>
          <w:rStyle w:val="Emphasis"/>
        </w:rPr>
        <w:t xml:space="preserve">International Journal of Research and Innovation in Applied Science, </w:t>
      </w:r>
      <w:r w:rsidR="000B1FF1">
        <w:rPr>
          <w:rFonts w:ascii="Arial" w:hAnsi="Arial" w:cs="Arial"/>
          <w:i/>
          <w:iCs/>
        </w:rPr>
        <w:t>9</w:t>
      </w:r>
      <w:r w:rsidR="000B1FF1" w:rsidRPr="00171517">
        <w:rPr>
          <w:rFonts w:ascii="Arial" w:hAnsi="Arial" w:cs="Arial"/>
        </w:rPr>
        <w:t>(</w:t>
      </w:r>
      <w:r w:rsidR="000B1FF1">
        <w:rPr>
          <w:rFonts w:ascii="Arial" w:hAnsi="Arial" w:cs="Arial"/>
        </w:rPr>
        <w:t>12</w:t>
      </w:r>
      <w:r w:rsidR="000B1FF1" w:rsidRPr="00171517">
        <w:rPr>
          <w:rFonts w:ascii="Arial" w:hAnsi="Arial" w:cs="Arial"/>
        </w:rPr>
        <w:t>),</w:t>
      </w:r>
      <w:r w:rsidRPr="00C70A73">
        <w:t xml:space="preserve"> 146–153. </w:t>
      </w:r>
      <w:hyperlink r:id="rId15" w:history="1">
        <w:r w:rsidR="00B52132" w:rsidRPr="000B1FF1">
          <w:rPr>
            <w:rStyle w:val="Hyperlink"/>
            <w:color w:val="auto"/>
          </w:rPr>
          <w:t>https://doi.org/10.51584/ijrias.2024.912015</w:t>
        </w:r>
      </w:hyperlink>
    </w:p>
    <w:p w14:paraId="33EF23D1" w14:textId="61703DB0" w:rsidR="00E845C2" w:rsidRPr="000B1FF1" w:rsidRDefault="00E845C2" w:rsidP="000B1FF1">
      <w:pPr>
        <w:pStyle w:val="NormalWeb"/>
        <w:numPr>
          <w:ilvl w:val="0"/>
          <w:numId w:val="4"/>
        </w:numPr>
        <w:spacing w:before="240" w:beforeAutospacing="0" w:after="240" w:afterAutospacing="0"/>
        <w:jc w:val="both"/>
        <w:rPr>
          <w:u w:val="single"/>
        </w:rPr>
      </w:pPr>
      <w:r w:rsidRPr="00C70A73">
        <w:t xml:space="preserve">Mara, E.-L., &amp; Morar, L.-L. (2024). Mentor and mentored person: Relationships and perspectives. </w:t>
      </w:r>
      <w:r w:rsidRPr="00C70A73">
        <w:rPr>
          <w:rStyle w:val="Emphasis"/>
        </w:rPr>
        <w:t>KBO, 30,</w:t>
      </w:r>
      <w:r w:rsidRPr="00C70A73">
        <w:t xml:space="preserve"> 1–7. </w:t>
      </w:r>
      <w:hyperlink r:id="rId16" w:tgtFrame="_new" w:history="1">
        <w:r w:rsidRPr="000B1FF1">
          <w:rPr>
            <w:rStyle w:val="Hyperlink"/>
            <w:color w:val="auto"/>
          </w:rPr>
          <w:t>https://doi.org/10.2478/kbo-2024-0066</w:t>
        </w:r>
      </w:hyperlink>
    </w:p>
    <w:p w14:paraId="783DE83B" w14:textId="1D8D3C4F" w:rsidR="00E845C2" w:rsidRPr="000B1FF1" w:rsidRDefault="00E845C2" w:rsidP="000B1FF1">
      <w:pPr>
        <w:pStyle w:val="NormalWeb"/>
        <w:numPr>
          <w:ilvl w:val="0"/>
          <w:numId w:val="4"/>
        </w:numPr>
        <w:spacing w:before="240" w:beforeAutospacing="0" w:after="240" w:afterAutospacing="0"/>
        <w:jc w:val="both"/>
        <w:rPr>
          <w:u w:val="single"/>
        </w:rPr>
      </w:pPr>
      <w:r w:rsidRPr="00C70A73">
        <w:t xml:space="preserve">Mustika, B., &amp; Hamidah, A. (2025). Facilities and infrastructure in improving learning </w:t>
      </w:r>
      <w:r w:rsidR="00CB2B69" w:rsidRPr="00C70A73">
        <w:tab/>
      </w:r>
      <w:r w:rsidRPr="00C70A73">
        <w:t xml:space="preserve">quality based on </w:t>
      </w:r>
      <w:r w:rsidRPr="00B52132">
        <w:t xml:space="preserve">recent literature review 2020–2025: A systematic literature review (SLR). </w:t>
      </w:r>
      <w:r w:rsidRPr="00B52132">
        <w:rPr>
          <w:rStyle w:val="Emphasis"/>
        </w:rPr>
        <w:t>Jurnal Pendidikan MIPA, 15</w:t>
      </w:r>
      <w:r w:rsidRPr="00B52132">
        <w:t xml:space="preserve">(2), 562–568. </w:t>
      </w:r>
      <w:hyperlink r:id="rId17" w:history="1">
        <w:r w:rsidR="00B52132" w:rsidRPr="000B1FF1">
          <w:rPr>
            <w:rStyle w:val="Hyperlink"/>
            <w:color w:val="auto"/>
          </w:rPr>
          <w:t>https://doi.org/10.37630/jpm.v15i2.2637</w:t>
        </w:r>
      </w:hyperlink>
    </w:p>
    <w:p w14:paraId="7A03216E" w14:textId="78324291" w:rsidR="00E845C2" w:rsidRPr="000B1FF1" w:rsidRDefault="00E845C2" w:rsidP="000B1FF1">
      <w:pPr>
        <w:pStyle w:val="NormalWeb"/>
        <w:numPr>
          <w:ilvl w:val="0"/>
          <w:numId w:val="4"/>
        </w:numPr>
        <w:spacing w:before="240" w:beforeAutospacing="0" w:after="240" w:afterAutospacing="0"/>
        <w:jc w:val="both"/>
        <w:rPr>
          <w:u w:val="single"/>
        </w:rPr>
      </w:pPr>
      <w:r w:rsidRPr="00B52132">
        <w:t>Odili, N., Adetona, C. O., &amp; Eneh, A. E. (2020). Online resources for e-learning in educational</w:t>
      </w:r>
      <w:r w:rsidR="00B52132" w:rsidRPr="00B52132">
        <w:t xml:space="preserve"> </w:t>
      </w:r>
      <w:r w:rsidRPr="00B52132">
        <w:t xml:space="preserve">institutions: A case of Covid-19 era. </w:t>
      </w:r>
      <w:r w:rsidRPr="00B52132">
        <w:rPr>
          <w:rStyle w:val="Emphasis"/>
        </w:rPr>
        <w:t xml:space="preserve">International Journal of Research, </w:t>
      </w:r>
      <w:r w:rsidR="00CB2B69" w:rsidRPr="00B52132">
        <w:rPr>
          <w:rStyle w:val="Emphasis"/>
        </w:rPr>
        <w:tab/>
      </w:r>
      <w:r w:rsidRPr="00B52132">
        <w:rPr>
          <w:rStyle w:val="Emphasis"/>
        </w:rPr>
        <w:t>7</w:t>
      </w:r>
      <w:r w:rsidRPr="00B52132">
        <w:t>(10)</w:t>
      </w:r>
      <w:proofErr w:type="gramStart"/>
      <w:r w:rsidRPr="00B52132">
        <w:t>,95</w:t>
      </w:r>
      <w:proofErr w:type="gramEnd"/>
      <w:r w:rsidRPr="00B52132">
        <w:t xml:space="preserve">–102. </w:t>
      </w:r>
      <w:hyperlink r:id="rId18" w:history="1">
        <w:r w:rsidR="00B52132" w:rsidRPr="000B1FF1">
          <w:rPr>
            <w:rStyle w:val="Hyperlink"/>
            <w:color w:val="auto"/>
          </w:rPr>
          <w:t>https://www.ijrrjournal.com/IJRR_Vol.7_Issue.10_Oct2020/IJRR0013.pdf</w:t>
        </w:r>
      </w:hyperlink>
    </w:p>
    <w:p w14:paraId="65267EDB" w14:textId="19D25B44" w:rsidR="00E845C2" w:rsidRPr="000B1FF1" w:rsidRDefault="00E845C2" w:rsidP="000B1FF1">
      <w:pPr>
        <w:pStyle w:val="NormalWeb"/>
        <w:numPr>
          <w:ilvl w:val="0"/>
          <w:numId w:val="4"/>
        </w:numPr>
        <w:spacing w:before="240" w:beforeAutospacing="0" w:after="240" w:afterAutospacing="0"/>
        <w:jc w:val="both"/>
        <w:rPr>
          <w:u w:val="single"/>
        </w:rPr>
      </w:pPr>
      <w:r w:rsidRPr="00C70A73">
        <w:t xml:space="preserve">Pommerening, A. (2021). </w:t>
      </w:r>
      <w:r w:rsidRPr="00C70A73">
        <w:rPr>
          <w:rStyle w:val="Emphasis"/>
        </w:rPr>
        <w:t>Empowering researchers: Academic mentoring</w:t>
      </w:r>
      <w:r w:rsidRPr="00C70A73">
        <w:t xml:space="preserve"> (pp. 121). </w:t>
      </w:r>
      <w:r w:rsidRPr="000B1FF1">
        <w:rPr>
          <w:i/>
        </w:rPr>
        <w:t>Springer</w:t>
      </w:r>
      <w:r w:rsidR="000B1FF1" w:rsidRPr="000B1FF1">
        <w:rPr>
          <w:i/>
        </w:rPr>
        <w:t xml:space="preserve"> Nature Link</w:t>
      </w:r>
      <w:r w:rsidR="000B1FF1">
        <w:t xml:space="preserve">, 1-21. </w:t>
      </w:r>
      <w:hyperlink r:id="rId19" w:tgtFrame="_new" w:history="1">
        <w:r w:rsidRPr="000B1FF1">
          <w:rPr>
            <w:u w:val="single"/>
          </w:rPr>
          <w:t>https://doi.org/10.1007/978-3-030-65467-2_1</w:t>
        </w:r>
      </w:hyperlink>
    </w:p>
    <w:p w14:paraId="6994A48C" w14:textId="665FF8E9" w:rsidR="000B1FF1" w:rsidRDefault="000B1FF1" w:rsidP="000B1FF1">
      <w:pPr>
        <w:pStyle w:val="NormalWeb"/>
        <w:numPr>
          <w:ilvl w:val="0"/>
          <w:numId w:val="4"/>
        </w:numPr>
        <w:spacing w:before="240" w:beforeAutospacing="0" w:after="240" w:afterAutospacing="0"/>
        <w:jc w:val="both"/>
      </w:pPr>
      <w:r w:rsidRPr="000B1FF1">
        <w:t xml:space="preserve">Putri, A. S., Radandima, G. U. E., &amp; Setiawan, A. (2024). Analysis of the </w:t>
      </w:r>
      <w:r w:rsidRPr="000B1FF1">
        <w:tab/>
        <w:t xml:space="preserve">constructivist approach in the learning process of public policy. </w:t>
      </w:r>
      <w:r w:rsidRPr="000B1FF1">
        <w:rPr>
          <w:i/>
        </w:rPr>
        <w:t>Jejaring Administrasi Publik</w:t>
      </w:r>
      <w:r w:rsidRPr="000B1FF1">
        <w:t>, 162), 115–130.</w:t>
      </w:r>
      <w:r>
        <w:t xml:space="preserve"> </w:t>
      </w:r>
      <w:r w:rsidRPr="000B1FF1">
        <w:rPr>
          <w:u w:val="single"/>
        </w:rPr>
        <w:t>https://doi.org/10.20473/jap.v16i2.53461</w:t>
      </w:r>
    </w:p>
    <w:p w14:paraId="188CF9F0" w14:textId="476849E2" w:rsidR="000B1FF1" w:rsidRPr="000B1FF1" w:rsidRDefault="000B1FF1" w:rsidP="000B1FF1">
      <w:pPr>
        <w:pStyle w:val="NormalWeb"/>
        <w:numPr>
          <w:ilvl w:val="0"/>
          <w:numId w:val="4"/>
        </w:numPr>
        <w:spacing w:before="240" w:beforeAutospacing="0" w:after="240" w:afterAutospacing="0"/>
        <w:jc w:val="both"/>
      </w:pPr>
      <w:r w:rsidRPr="000B1FF1">
        <w:t>Ragland, E. C., &amp; Karcher, E. (2023). The implementation of inquiry-based learning activities in an introductory animal science course. NACTA Journal,</w:t>
      </w:r>
      <w:r>
        <w:t xml:space="preserve"> </w:t>
      </w:r>
      <w:r w:rsidRPr="000B1FF1">
        <w:t>66(1).</w:t>
      </w:r>
      <w:r>
        <w:t xml:space="preserve"> </w:t>
      </w:r>
      <w:hyperlink r:id="rId20" w:history="1">
        <w:r w:rsidRPr="000B1FF1">
          <w:rPr>
            <w:rStyle w:val="Hyperlink"/>
            <w:color w:val="auto"/>
          </w:rPr>
          <w:t>https://doi.org/10.56103/nactaj.v66i1.66</w:t>
        </w:r>
      </w:hyperlink>
    </w:p>
    <w:p w14:paraId="54C9603B" w14:textId="65521217" w:rsidR="00E845C2" w:rsidRPr="00A536B7" w:rsidRDefault="00E845C2" w:rsidP="000B1FF1">
      <w:pPr>
        <w:pStyle w:val="NormalWeb"/>
        <w:numPr>
          <w:ilvl w:val="0"/>
          <w:numId w:val="4"/>
        </w:numPr>
        <w:spacing w:before="240" w:beforeAutospacing="0" w:after="240" w:afterAutospacing="0"/>
        <w:jc w:val="both"/>
        <w:rPr>
          <w:u w:val="single"/>
        </w:rPr>
      </w:pPr>
      <w:r w:rsidRPr="000B1FF1">
        <w:t xml:space="preserve">Rayment, S. J., Evans, J., Coffey, M., Kirk, S. H., Sivasubramaniam, S., &amp; Moss, K. (2023). The role of technology in undergraduate bioscience laboratory learning: Bridging the gap between theory and practice. </w:t>
      </w:r>
      <w:r w:rsidRPr="000B1FF1">
        <w:rPr>
          <w:rStyle w:val="Emphasis"/>
        </w:rPr>
        <w:t>Education Sciences, 13</w:t>
      </w:r>
      <w:r w:rsidRPr="000B1FF1">
        <w:t xml:space="preserve">(8), 766. </w:t>
      </w:r>
      <w:hyperlink r:id="rId21" w:history="1">
        <w:r w:rsidR="00B52132" w:rsidRPr="00A536B7">
          <w:rPr>
            <w:rStyle w:val="Hyperlink"/>
            <w:color w:val="auto"/>
          </w:rPr>
          <w:t>https://doi.org/10.3390/educsci13080766</w:t>
        </w:r>
      </w:hyperlink>
    </w:p>
    <w:p w14:paraId="4C7DAD25" w14:textId="69AB3395" w:rsidR="00E845C2" w:rsidRPr="000B1FF1" w:rsidRDefault="00E845C2" w:rsidP="000B1FF1">
      <w:pPr>
        <w:pStyle w:val="NormalWeb"/>
        <w:numPr>
          <w:ilvl w:val="0"/>
          <w:numId w:val="4"/>
        </w:numPr>
        <w:spacing w:before="240" w:beforeAutospacing="0" w:after="240" w:afterAutospacing="0"/>
        <w:jc w:val="both"/>
      </w:pPr>
      <w:r w:rsidRPr="000B1FF1">
        <w:t>Scott, J., Rubenstein, E. D., &amp; Pringle, T. D. (2023). Examining the impact of experiential learning activities on student performance in an introductory animal science course.</w:t>
      </w:r>
      <w:r w:rsidR="00B52132" w:rsidRPr="000B1FF1">
        <w:t xml:space="preserve"> </w:t>
      </w:r>
      <w:r w:rsidRPr="000B1FF1">
        <w:rPr>
          <w:rStyle w:val="Emphasis"/>
        </w:rPr>
        <w:t>NACTA Journal, 67</w:t>
      </w:r>
      <w:r w:rsidRPr="000B1FF1">
        <w:t xml:space="preserve">(1). </w:t>
      </w:r>
      <w:hyperlink r:id="rId22" w:tgtFrame="_new" w:history="1">
        <w:r w:rsidRPr="00A536B7">
          <w:rPr>
            <w:rStyle w:val="Hyperlink"/>
            <w:color w:val="auto"/>
          </w:rPr>
          <w:t>https://doi.org/10.56103/nactaj.v67i1.125</w:t>
        </w:r>
      </w:hyperlink>
    </w:p>
    <w:p w14:paraId="77C24069" w14:textId="397244FC" w:rsidR="00A536B7" w:rsidRPr="00A536B7" w:rsidRDefault="00A536B7" w:rsidP="00A536B7">
      <w:pPr>
        <w:pStyle w:val="NormalWeb"/>
        <w:numPr>
          <w:ilvl w:val="0"/>
          <w:numId w:val="4"/>
        </w:numPr>
        <w:spacing w:before="240" w:beforeAutospacing="0" w:after="240" w:afterAutospacing="0"/>
        <w:jc w:val="both"/>
      </w:pPr>
      <w:r w:rsidRPr="00A536B7">
        <w:t xml:space="preserve">Stwalley, R. (2023). Creating agricultural technology lessons for high school </w:t>
      </w:r>
      <w:r w:rsidRPr="00A536B7">
        <w:tab/>
        <w:t xml:space="preserve">students to stimulate interest in long-term career possibilities and </w:t>
      </w:r>
      <w:r w:rsidRPr="00A536B7">
        <w:tab/>
        <w:t xml:space="preserve">collegiate ABE and ASM matriculation.  ASEE Annual Conference &amp; </w:t>
      </w:r>
      <w:r w:rsidRPr="00A536B7">
        <w:tab/>
        <w:t xml:space="preserve">Exposition. </w:t>
      </w:r>
      <w:hyperlink r:id="rId23" w:history="1">
        <w:r w:rsidRPr="00A536B7">
          <w:rPr>
            <w:rStyle w:val="Hyperlink"/>
            <w:color w:val="auto"/>
          </w:rPr>
          <w:t>https://doi.org/10.18260/1-242796</w:t>
        </w:r>
      </w:hyperlink>
    </w:p>
    <w:p w14:paraId="18382A2A" w14:textId="2343B6A3" w:rsidR="00E845C2" w:rsidRPr="000B1FF1" w:rsidRDefault="00E845C2" w:rsidP="00A536B7">
      <w:pPr>
        <w:pStyle w:val="NormalWeb"/>
        <w:numPr>
          <w:ilvl w:val="0"/>
          <w:numId w:val="4"/>
        </w:numPr>
        <w:spacing w:before="240" w:beforeAutospacing="0" w:after="240" w:afterAutospacing="0"/>
        <w:jc w:val="both"/>
      </w:pPr>
      <w:r w:rsidRPr="000B1FF1">
        <w:t xml:space="preserve">Wang, F. (2024). The relationship between students and teachers and its implications. </w:t>
      </w:r>
      <w:r w:rsidRPr="000B1FF1">
        <w:rPr>
          <w:rStyle w:val="Emphasis"/>
        </w:rPr>
        <w:t>Journal of Education, Humanities and Social Sciences.</w:t>
      </w:r>
      <w:r w:rsidRPr="000B1FF1">
        <w:t xml:space="preserve"> </w:t>
      </w:r>
      <w:hyperlink r:id="rId24" w:history="1">
        <w:r w:rsidR="000B1FF1" w:rsidRPr="00A536B7">
          <w:rPr>
            <w:rStyle w:val="Hyperlink"/>
            <w:color w:val="auto"/>
          </w:rPr>
          <w:t>https://doi.org/10.54097/rzvpb402</w:t>
        </w:r>
      </w:hyperlink>
    </w:p>
    <w:p w14:paraId="547BAF2E" w14:textId="704E24DB" w:rsidR="00B260DD" w:rsidRPr="000B1FF1" w:rsidRDefault="00E845C2" w:rsidP="000B1FF1">
      <w:pPr>
        <w:pStyle w:val="NormalWeb"/>
        <w:numPr>
          <w:ilvl w:val="0"/>
          <w:numId w:val="4"/>
        </w:numPr>
        <w:spacing w:before="240" w:beforeAutospacing="0" w:after="240" w:afterAutospacing="0"/>
        <w:jc w:val="both"/>
      </w:pPr>
      <w:r w:rsidRPr="000B1FF1">
        <w:t xml:space="preserve">Ye, R., Kodo, T., Hirooka, Y., Sanara, H., Soben, K., Kobayashi, S., &amp; Homma, K. (2022). Educational trials to quantify agronomic information in interdisciplinary fieldwork in </w:t>
      </w:r>
      <w:r w:rsidR="00CB2B69" w:rsidRPr="000B1FF1">
        <w:tab/>
      </w:r>
      <w:r w:rsidRPr="000B1FF1">
        <w:t xml:space="preserve">Pursat Province, Cambodia. </w:t>
      </w:r>
      <w:r w:rsidRPr="000B1FF1">
        <w:rPr>
          <w:rStyle w:val="Emphasis"/>
        </w:rPr>
        <w:t>Sustainability, 14</w:t>
      </w:r>
      <w:r w:rsidRPr="000B1FF1">
        <w:t xml:space="preserve">(16), 10007. </w:t>
      </w:r>
      <w:hyperlink r:id="rId25" w:history="1">
        <w:r w:rsidR="000B1FF1" w:rsidRPr="009A308F">
          <w:rPr>
            <w:rStyle w:val="Hyperlink"/>
            <w:color w:val="auto"/>
          </w:rPr>
          <w:t>https://doi.org/10.3390/su141610007</w:t>
        </w:r>
      </w:hyperlink>
    </w:p>
    <w:sectPr w:rsidR="00B260DD" w:rsidRPr="000B1FF1" w:rsidSect="00C70A73">
      <w:footerReference w:type="default" r:id="rId26"/>
      <w:pgSz w:w="11906" w:h="16838" w:code="9"/>
      <w:pgMar w:top="1080" w:right="605" w:bottom="605" w:left="605" w:header="346"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A35F5" w14:textId="77777777" w:rsidR="00DC786B" w:rsidRDefault="00DC786B">
      <w:pPr>
        <w:spacing w:after="0" w:line="240" w:lineRule="auto"/>
      </w:pPr>
      <w:r>
        <w:separator/>
      </w:r>
    </w:p>
  </w:endnote>
  <w:endnote w:type="continuationSeparator" w:id="0">
    <w:p w14:paraId="762D61B9" w14:textId="77777777" w:rsidR="00DC786B" w:rsidRDefault="00DC786B">
      <w:pPr>
        <w:spacing w:after="0" w:line="240" w:lineRule="auto"/>
      </w:pPr>
      <w:r>
        <w:continuationSeparator/>
      </w:r>
    </w:p>
  </w:endnote>
  <w:endnote w:type="continuationNotice" w:id="1">
    <w:p w14:paraId="2C349C22" w14:textId="77777777" w:rsidR="00DC786B" w:rsidRDefault="00DC7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744431"/>
      <w:docPartObj>
        <w:docPartGallery w:val="Page Numbers (Bottom of Page)"/>
        <w:docPartUnique/>
      </w:docPartObj>
    </w:sdtPr>
    <w:sdtEndPr>
      <w:rPr>
        <w:noProof/>
      </w:rPr>
    </w:sdtEndPr>
    <w:sdtContent>
      <w:p w14:paraId="5285E6A1" w14:textId="77777777" w:rsidR="00A536B7" w:rsidRDefault="00A536B7">
        <w:pPr>
          <w:pStyle w:val="Footer"/>
          <w:jc w:val="center"/>
        </w:pPr>
        <w:r>
          <w:fldChar w:fldCharType="begin"/>
        </w:r>
        <w:r>
          <w:instrText xml:space="preserve"> PAGE   \* MERGEFORMAT </w:instrText>
        </w:r>
        <w:r>
          <w:fldChar w:fldCharType="separate"/>
        </w:r>
        <w:r w:rsidR="00F674BB">
          <w:rPr>
            <w:noProof/>
          </w:rPr>
          <w:t>2</w:t>
        </w:r>
        <w:r>
          <w:rPr>
            <w:noProof/>
          </w:rPr>
          <w:fldChar w:fldCharType="end"/>
        </w:r>
      </w:p>
    </w:sdtContent>
  </w:sdt>
  <w:p w14:paraId="75ED9C1B" w14:textId="77777777" w:rsidR="00A536B7" w:rsidRDefault="00A53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F231C" w14:textId="77777777" w:rsidR="00DC786B" w:rsidRDefault="00DC786B">
      <w:pPr>
        <w:spacing w:after="0" w:line="240" w:lineRule="auto"/>
      </w:pPr>
      <w:r>
        <w:separator/>
      </w:r>
    </w:p>
  </w:footnote>
  <w:footnote w:type="continuationSeparator" w:id="0">
    <w:p w14:paraId="0959D36B" w14:textId="77777777" w:rsidR="00DC786B" w:rsidRDefault="00DC786B">
      <w:pPr>
        <w:spacing w:after="0" w:line="240" w:lineRule="auto"/>
      </w:pPr>
      <w:r>
        <w:continuationSeparator/>
      </w:r>
    </w:p>
  </w:footnote>
  <w:footnote w:type="continuationNotice" w:id="1">
    <w:p w14:paraId="4DD71DF8" w14:textId="77777777" w:rsidR="00DC786B" w:rsidRDefault="00DC786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56D7"/>
    <w:multiLevelType w:val="hybridMultilevel"/>
    <w:tmpl w:val="8E9207F2"/>
    <w:lvl w:ilvl="0" w:tplc="86142B54">
      <w:start w:val="3"/>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147C8"/>
    <w:multiLevelType w:val="hybridMultilevel"/>
    <w:tmpl w:val="23DC2F96"/>
    <w:lvl w:ilvl="0" w:tplc="23166CB0">
      <w:start w:val="1"/>
      <w:numFmt w:val="decimal"/>
      <w:lvlText w:val="%1."/>
      <w:lvlJc w:val="left"/>
      <w:pPr>
        <w:ind w:left="720" w:hanging="360"/>
      </w:pPr>
      <w:rPr>
        <w:rFonts w:hint="default"/>
        <w:spacing w:val="0"/>
        <w:position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3A2317AA"/>
    <w:multiLevelType w:val="hybridMultilevel"/>
    <w:tmpl w:val="D4C29152"/>
    <w:lvl w:ilvl="0" w:tplc="E012D2B4">
      <w:numFmt w:val="bullet"/>
      <w:lvlText w:val=""/>
      <w:lvlJc w:val="left"/>
      <w:pPr>
        <w:ind w:left="502" w:hanging="360"/>
      </w:pPr>
      <w:rPr>
        <w:rFonts w:ascii="Symbol" w:eastAsiaTheme="minorEastAsia" w:hAnsi="Symbol"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5CFE3E45"/>
    <w:multiLevelType w:val="hybridMultilevel"/>
    <w:tmpl w:val="1E68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B0"/>
    <w:rsid w:val="0003409E"/>
    <w:rsid w:val="000804F8"/>
    <w:rsid w:val="00083E78"/>
    <w:rsid w:val="00097AFA"/>
    <w:rsid w:val="000A1205"/>
    <w:rsid w:val="000A2BC6"/>
    <w:rsid w:val="000B0144"/>
    <w:rsid w:val="000B1FF1"/>
    <w:rsid w:val="000C1754"/>
    <w:rsid w:val="000D37F7"/>
    <w:rsid w:val="000D79B2"/>
    <w:rsid w:val="00114B98"/>
    <w:rsid w:val="00120A2C"/>
    <w:rsid w:val="00130137"/>
    <w:rsid w:val="00137CAA"/>
    <w:rsid w:val="00165EC9"/>
    <w:rsid w:val="00186341"/>
    <w:rsid w:val="001A41B1"/>
    <w:rsid w:val="001B3134"/>
    <w:rsid w:val="001B7005"/>
    <w:rsid w:val="001C4A77"/>
    <w:rsid w:val="001E76AA"/>
    <w:rsid w:val="001F4875"/>
    <w:rsid w:val="001F6C0C"/>
    <w:rsid w:val="001F6F79"/>
    <w:rsid w:val="002121DB"/>
    <w:rsid w:val="00223E2D"/>
    <w:rsid w:val="00230FF6"/>
    <w:rsid w:val="00275613"/>
    <w:rsid w:val="002A2537"/>
    <w:rsid w:val="002A77DE"/>
    <w:rsid w:val="002C6DFA"/>
    <w:rsid w:val="002F040D"/>
    <w:rsid w:val="00314761"/>
    <w:rsid w:val="00333530"/>
    <w:rsid w:val="00381703"/>
    <w:rsid w:val="0038360F"/>
    <w:rsid w:val="003849CE"/>
    <w:rsid w:val="003C422A"/>
    <w:rsid w:val="003E70DD"/>
    <w:rsid w:val="004141D3"/>
    <w:rsid w:val="00420D18"/>
    <w:rsid w:val="00425E5B"/>
    <w:rsid w:val="0044024B"/>
    <w:rsid w:val="00440800"/>
    <w:rsid w:val="004454EC"/>
    <w:rsid w:val="00455993"/>
    <w:rsid w:val="004646B1"/>
    <w:rsid w:val="0047395A"/>
    <w:rsid w:val="00474DCA"/>
    <w:rsid w:val="00480BB2"/>
    <w:rsid w:val="0048652C"/>
    <w:rsid w:val="0048780F"/>
    <w:rsid w:val="00487963"/>
    <w:rsid w:val="00497976"/>
    <w:rsid w:val="004B5256"/>
    <w:rsid w:val="004B73AD"/>
    <w:rsid w:val="004D5012"/>
    <w:rsid w:val="0050370A"/>
    <w:rsid w:val="0051670A"/>
    <w:rsid w:val="00516F09"/>
    <w:rsid w:val="00521904"/>
    <w:rsid w:val="00525B2F"/>
    <w:rsid w:val="005410A7"/>
    <w:rsid w:val="0054398D"/>
    <w:rsid w:val="005914BB"/>
    <w:rsid w:val="005923C9"/>
    <w:rsid w:val="00593988"/>
    <w:rsid w:val="00595723"/>
    <w:rsid w:val="00595848"/>
    <w:rsid w:val="005A3090"/>
    <w:rsid w:val="005A4B87"/>
    <w:rsid w:val="005B15B0"/>
    <w:rsid w:val="005C585F"/>
    <w:rsid w:val="0060353C"/>
    <w:rsid w:val="0062025B"/>
    <w:rsid w:val="006356A6"/>
    <w:rsid w:val="00655A7E"/>
    <w:rsid w:val="0066198D"/>
    <w:rsid w:val="006B5E98"/>
    <w:rsid w:val="006C3ADD"/>
    <w:rsid w:val="006D11BE"/>
    <w:rsid w:val="006E11E2"/>
    <w:rsid w:val="006F2722"/>
    <w:rsid w:val="006F31A3"/>
    <w:rsid w:val="00714E81"/>
    <w:rsid w:val="00727179"/>
    <w:rsid w:val="00730634"/>
    <w:rsid w:val="00737BFA"/>
    <w:rsid w:val="00747A4B"/>
    <w:rsid w:val="007707C1"/>
    <w:rsid w:val="00774A5D"/>
    <w:rsid w:val="00791D82"/>
    <w:rsid w:val="007F09EB"/>
    <w:rsid w:val="007F1794"/>
    <w:rsid w:val="007F21A6"/>
    <w:rsid w:val="008014CE"/>
    <w:rsid w:val="008070F0"/>
    <w:rsid w:val="0081010B"/>
    <w:rsid w:val="008110F4"/>
    <w:rsid w:val="00843FF5"/>
    <w:rsid w:val="008560B5"/>
    <w:rsid w:val="00865163"/>
    <w:rsid w:val="00881E9B"/>
    <w:rsid w:val="008918C1"/>
    <w:rsid w:val="0089368B"/>
    <w:rsid w:val="008B5B40"/>
    <w:rsid w:val="008D6549"/>
    <w:rsid w:val="008F3488"/>
    <w:rsid w:val="00967820"/>
    <w:rsid w:val="00992083"/>
    <w:rsid w:val="00992526"/>
    <w:rsid w:val="009A154A"/>
    <w:rsid w:val="009A308F"/>
    <w:rsid w:val="009B24A9"/>
    <w:rsid w:val="009B6747"/>
    <w:rsid w:val="009B6DE4"/>
    <w:rsid w:val="00A14F93"/>
    <w:rsid w:val="00A377B2"/>
    <w:rsid w:val="00A517AF"/>
    <w:rsid w:val="00A536B7"/>
    <w:rsid w:val="00A57123"/>
    <w:rsid w:val="00A67E5D"/>
    <w:rsid w:val="00A74691"/>
    <w:rsid w:val="00A755DB"/>
    <w:rsid w:val="00A869A4"/>
    <w:rsid w:val="00AB08B1"/>
    <w:rsid w:val="00AD5155"/>
    <w:rsid w:val="00AD5827"/>
    <w:rsid w:val="00AF0B38"/>
    <w:rsid w:val="00B10480"/>
    <w:rsid w:val="00B11449"/>
    <w:rsid w:val="00B146BD"/>
    <w:rsid w:val="00B228A4"/>
    <w:rsid w:val="00B25990"/>
    <w:rsid w:val="00B260DD"/>
    <w:rsid w:val="00B416A2"/>
    <w:rsid w:val="00B52132"/>
    <w:rsid w:val="00B60C1B"/>
    <w:rsid w:val="00B72614"/>
    <w:rsid w:val="00B82198"/>
    <w:rsid w:val="00B826A6"/>
    <w:rsid w:val="00BB1E63"/>
    <w:rsid w:val="00BC7C11"/>
    <w:rsid w:val="00BD0667"/>
    <w:rsid w:val="00BE2F4B"/>
    <w:rsid w:val="00C14A6C"/>
    <w:rsid w:val="00C31634"/>
    <w:rsid w:val="00C32F65"/>
    <w:rsid w:val="00C34DB6"/>
    <w:rsid w:val="00C34DE5"/>
    <w:rsid w:val="00C426DB"/>
    <w:rsid w:val="00C51B83"/>
    <w:rsid w:val="00C641CD"/>
    <w:rsid w:val="00C652B9"/>
    <w:rsid w:val="00C70A73"/>
    <w:rsid w:val="00C84299"/>
    <w:rsid w:val="00CB2B69"/>
    <w:rsid w:val="00CC3BDB"/>
    <w:rsid w:val="00CC7C1C"/>
    <w:rsid w:val="00CD7B28"/>
    <w:rsid w:val="00CF1C45"/>
    <w:rsid w:val="00D2305A"/>
    <w:rsid w:val="00D34446"/>
    <w:rsid w:val="00D66DE1"/>
    <w:rsid w:val="00D776B9"/>
    <w:rsid w:val="00D96D34"/>
    <w:rsid w:val="00DC786B"/>
    <w:rsid w:val="00DF1CEF"/>
    <w:rsid w:val="00E0532E"/>
    <w:rsid w:val="00E164A3"/>
    <w:rsid w:val="00E45F89"/>
    <w:rsid w:val="00E46F4E"/>
    <w:rsid w:val="00E54F70"/>
    <w:rsid w:val="00E57A40"/>
    <w:rsid w:val="00E60CFC"/>
    <w:rsid w:val="00E81D87"/>
    <w:rsid w:val="00E8438C"/>
    <w:rsid w:val="00E845C2"/>
    <w:rsid w:val="00E87A04"/>
    <w:rsid w:val="00E9492B"/>
    <w:rsid w:val="00ED7189"/>
    <w:rsid w:val="00EF5D72"/>
    <w:rsid w:val="00F25445"/>
    <w:rsid w:val="00F4216B"/>
    <w:rsid w:val="00F444A0"/>
    <w:rsid w:val="00F445BD"/>
    <w:rsid w:val="00F465A3"/>
    <w:rsid w:val="00F674BB"/>
    <w:rsid w:val="00F96B75"/>
    <w:rsid w:val="00FD6678"/>
    <w:rsid w:val="00FD67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B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B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15B0"/>
    <w:pPr>
      <w:spacing w:after="0" w:line="240" w:lineRule="auto"/>
    </w:pPr>
    <w:rPr>
      <w:lang w:val="en-US"/>
    </w:rPr>
  </w:style>
  <w:style w:type="character" w:customStyle="1" w:styleId="NoSpacingChar">
    <w:name w:val="No Spacing Char"/>
    <w:link w:val="NoSpacing"/>
    <w:uiPriority w:val="1"/>
    <w:locked/>
    <w:rsid w:val="005B15B0"/>
    <w:rPr>
      <w:lang w:val="en-US"/>
    </w:rPr>
  </w:style>
  <w:style w:type="character" w:styleId="Hyperlink">
    <w:name w:val="Hyperlink"/>
    <w:basedOn w:val="DefaultParagraphFont"/>
    <w:uiPriority w:val="99"/>
    <w:unhideWhenUsed/>
    <w:rsid w:val="005B15B0"/>
    <w:rPr>
      <w:color w:val="0000FF"/>
      <w:u w:val="single"/>
    </w:rPr>
  </w:style>
  <w:style w:type="character" w:customStyle="1" w:styleId="apple-converted-space">
    <w:name w:val="apple-converted-space"/>
    <w:basedOn w:val="DefaultParagraphFont"/>
    <w:rsid w:val="005B15B0"/>
  </w:style>
  <w:style w:type="paragraph" w:styleId="BalloonText">
    <w:name w:val="Balloon Text"/>
    <w:basedOn w:val="Normal"/>
    <w:link w:val="BalloonTextChar"/>
    <w:uiPriority w:val="99"/>
    <w:semiHidden/>
    <w:unhideWhenUsed/>
    <w:rsid w:val="005B1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5B0"/>
    <w:rPr>
      <w:rFonts w:ascii="Tahoma" w:hAnsi="Tahoma" w:cs="Tahoma"/>
      <w:sz w:val="16"/>
      <w:szCs w:val="16"/>
      <w:lang w:val="en-US"/>
    </w:rPr>
  </w:style>
  <w:style w:type="paragraph" w:styleId="Header">
    <w:name w:val="header"/>
    <w:basedOn w:val="Normal"/>
    <w:link w:val="HeaderChar"/>
    <w:uiPriority w:val="99"/>
    <w:unhideWhenUsed/>
    <w:rsid w:val="005B1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B0"/>
    <w:rPr>
      <w:lang w:val="en-US"/>
    </w:rPr>
  </w:style>
  <w:style w:type="paragraph" w:styleId="Footer">
    <w:name w:val="footer"/>
    <w:basedOn w:val="Normal"/>
    <w:link w:val="FooterChar"/>
    <w:uiPriority w:val="99"/>
    <w:unhideWhenUsed/>
    <w:rsid w:val="005B1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B0"/>
    <w:rPr>
      <w:lang w:val="en-US"/>
    </w:rPr>
  </w:style>
  <w:style w:type="table" w:styleId="TableGrid">
    <w:name w:val="Table Grid"/>
    <w:basedOn w:val="TableNormal"/>
    <w:uiPriority w:val="39"/>
    <w:qFormat/>
    <w:rsid w:val="0066198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5EC9"/>
    <w:pPr>
      <w:spacing w:after="160" w:line="259" w:lineRule="auto"/>
      <w:ind w:left="720"/>
      <w:contextualSpacing/>
    </w:pPr>
    <w:rPr>
      <w:lang w:val="en-PH"/>
    </w:rPr>
  </w:style>
  <w:style w:type="character" w:customStyle="1" w:styleId="UnresolvedMention">
    <w:name w:val="Unresolved Mention"/>
    <w:basedOn w:val="DefaultParagraphFont"/>
    <w:uiPriority w:val="99"/>
    <w:semiHidden/>
    <w:unhideWhenUsed/>
    <w:rsid w:val="00ED7189"/>
    <w:rPr>
      <w:color w:val="605E5C"/>
      <w:shd w:val="clear" w:color="auto" w:fill="E1DFDD"/>
    </w:rPr>
  </w:style>
  <w:style w:type="paragraph" w:styleId="BodyText">
    <w:name w:val="Body Text"/>
    <w:basedOn w:val="Normal"/>
    <w:link w:val="BodyTextChar"/>
    <w:uiPriority w:val="1"/>
    <w:qFormat/>
    <w:rsid w:val="00B60C1B"/>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B60C1B"/>
    <w:rPr>
      <w:rFonts w:ascii="Arial MT" w:eastAsia="Arial MT" w:hAnsi="Arial MT" w:cs="Arial MT"/>
      <w:lang w:val="en-US"/>
    </w:rPr>
  </w:style>
  <w:style w:type="character" w:customStyle="1" w:styleId="cf01">
    <w:name w:val="cf01"/>
    <w:basedOn w:val="DefaultParagraphFont"/>
    <w:qFormat/>
    <w:rsid w:val="00230FF6"/>
    <w:rPr>
      <w:rFonts w:ascii="Segoe UI" w:hAnsi="Segoe UI" w:cs="Segoe UI" w:hint="default"/>
      <w:sz w:val="18"/>
      <w:szCs w:val="18"/>
    </w:rPr>
  </w:style>
  <w:style w:type="paragraph" w:customStyle="1" w:styleId="pf0">
    <w:name w:val="pf0"/>
    <w:basedOn w:val="Normal"/>
    <w:qFormat/>
    <w:rsid w:val="00E57A40"/>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bzpyqfadein">
    <w:name w:val="bz_pyq_fadein"/>
    <w:basedOn w:val="DefaultParagraphFont"/>
    <w:rsid w:val="00881E9B"/>
  </w:style>
  <w:style w:type="character" w:styleId="Emphasis">
    <w:name w:val="Emphasis"/>
    <w:basedOn w:val="DefaultParagraphFont"/>
    <w:uiPriority w:val="20"/>
    <w:qFormat/>
    <w:rsid w:val="00D34446"/>
    <w:rPr>
      <w:i/>
      <w:iCs/>
    </w:rPr>
  </w:style>
  <w:style w:type="paragraph" w:styleId="NormalWeb">
    <w:name w:val="Normal (Web)"/>
    <w:basedOn w:val="Normal"/>
    <w:uiPriority w:val="99"/>
    <w:unhideWhenUsed/>
    <w:rsid w:val="00B228A4"/>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B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15B0"/>
    <w:pPr>
      <w:spacing w:after="0" w:line="240" w:lineRule="auto"/>
    </w:pPr>
    <w:rPr>
      <w:lang w:val="en-US"/>
    </w:rPr>
  </w:style>
  <w:style w:type="character" w:customStyle="1" w:styleId="NoSpacingChar">
    <w:name w:val="No Spacing Char"/>
    <w:link w:val="NoSpacing"/>
    <w:uiPriority w:val="1"/>
    <w:locked/>
    <w:rsid w:val="005B15B0"/>
    <w:rPr>
      <w:lang w:val="en-US"/>
    </w:rPr>
  </w:style>
  <w:style w:type="character" w:styleId="Hyperlink">
    <w:name w:val="Hyperlink"/>
    <w:basedOn w:val="DefaultParagraphFont"/>
    <w:uiPriority w:val="99"/>
    <w:unhideWhenUsed/>
    <w:rsid w:val="005B15B0"/>
    <w:rPr>
      <w:color w:val="0000FF"/>
      <w:u w:val="single"/>
    </w:rPr>
  </w:style>
  <w:style w:type="character" w:customStyle="1" w:styleId="apple-converted-space">
    <w:name w:val="apple-converted-space"/>
    <w:basedOn w:val="DefaultParagraphFont"/>
    <w:rsid w:val="005B15B0"/>
  </w:style>
  <w:style w:type="paragraph" w:styleId="BalloonText">
    <w:name w:val="Balloon Text"/>
    <w:basedOn w:val="Normal"/>
    <w:link w:val="BalloonTextChar"/>
    <w:uiPriority w:val="99"/>
    <w:semiHidden/>
    <w:unhideWhenUsed/>
    <w:rsid w:val="005B1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5B0"/>
    <w:rPr>
      <w:rFonts w:ascii="Tahoma" w:hAnsi="Tahoma" w:cs="Tahoma"/>
      <w:sz w:val="16"/>
      <w:szCs w:val="16"/>
      <w:lang w:val="en-US"/>
    </w:rPr>
  </w:style>
  <w:style w:type="paragraph" w:styleId="Header">
    <w:name w:val="header"/>
    <w:basedOn w:val="Normal"/>
    <w:link w:val="HeaderChar"/>
    <w:uiPriority w:val="99"/>
    <w:unhideWhenUsed/>
    <w:rsid w:val="005B1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B0"/>
    <w:rPr>
      <w:lang w:val="en-US"/>
    </w:rPr>
  </w:style>
  <w:style w:type="paragraph" w:styleId="Footer">
    <w:name w:val="footer"/>
    <w:basedOn w:val="Normal"/>
    <w:link w:val="FooterChar"/>
    <w:uiPriority w:val="99"/>
    <w:unhideWhenUsed/>
    <w:rsid w:val="005B1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B0"/>
    <w:rPr>
      <w:lang w:val="en-US"/>
    </w:rPr>
  </w:style>
  <w:style w:type="table" w:styleId="TableGrid">
    <w:name w:val="Table Grid"/>
    <w:basedOn w:val="TableNormal"/>
    <w:uiPriority w:val="39"/>
    <w:qFormat/>
    <w:rsid w:val="0066198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5EC9"/>
    <w:pPr>
      <w:spacing w:after="160" w:line="259" w:lineRule="auto"/>
      <w:ind w:left="720"/>
      <w:contextualSpacing/>
    </w:pPr>
    <w:rPr>
      <w:lang w:val="en-PH"/>
    </w:rPr>
  </w:style>
  <w:style w:type="character" w:customStyle="1" w:styleId="UnresolvedMention">
    <w:name w:val="Unresolved Mention"/>
    <w:basedOn w:val="DefaultParagraphFont"/>
    <w:uiPriority w:val="99"/>
    <w:semiHidden/>
    <w:unhideWhenUsed/>
    <w:rsid w:val="00ED7189"/>
    <w:rPr>
      <w:color w:val="605E5C"/>
      <w:shd w:val="clear" w:color="auto" w:fill="E1DFDD"/>
    </w:rPr>
  </w:style>
  <w:style w:type="paragraph" w:styleId="BodyText">
    <w:name w:val="Body Text"/>
    <w:basedOn w:val="Normal"/>
    <w:link w:val="BodyTextChar"/>
    <w:uiPriority w:val="1"/>
    <w:qFormat/>
    <w:rsid w:val="00B60C1B"/>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B60C1B"/>
    <w:rPr>
      <w:rFonts w:ascii="Arial MT" w:eastAsia="Arial MT" w:hAnsi="Arial MT" w:cs="Arial MT"/>
      <w:lang w:val="en-US"/>
    </w:rPr>
  </w:style>
  <w:style w:type="character" w:customStyle="1" w:styleId="cf01">
    <w:name w:val="cf01"/>
    <w:basedOn w:val="DefaultParagraphFont"/>
    <w:qFormat/>
    <w:rsid w:val="00230FF6"/>
    <w:rPr>
      <w:rFonts w:ascii="Segoe UI" w:hAnsi="Segoe UI" w:cs="Segoe UI" w:hint="default"/>
      <w:sz w:val="18"/>
      <w:szCs w:val="18"/>
    </w:rPr>
  </w:style>
  <w:style w:type="paragraph" w:customStyle="1" w:styleId="pf0">
    <w:name w:val="pf0"/>
    <w:basedOn w:val="Normal"/>
    <w:qFormat/>
    <w:rsid w:val="00E57A40"/>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bzpyqfadein">
    <w:name w:val="bz_pyq_fadein"/>
    <w:basedOn w:val="DefaultParagraphFont"/>
    <w:rsid w:val="00881E9B"/>
  </w:style>
  <w:style w:type="character" w:styleId="Emphasis">
    <w:name w:val="Emphasis"/>
    <w:basedOn w:val="DefaultParagraphFont"/>
    <w:uiPriority w:val="20"/>
    <w:qFormat/>
    <w:rsid w:val="00D34446"/>
    <w:rPr>
      <w:i/>
      <w:iCs/>
    </w:rPr>
  </w:style>
  <w:style w:type="paragraph" w:styleId="NormalWeb">
    <w:name w:val="Normal (Web)"/>
    <w:basedOn w:val="Normal"/>
    <w:uiPriority w:val="99"/>
    <w:unhideWhenUsed/>
    <w:rsid w:val="00B228A4"/>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6228">
      <w:bodyDiv w:val="1"/>
      <w:marLeft w:val="0"/>
      <w:marRight w:val="0"/>
      <w:marTop w:val="0"/>
      <w:marBottom w:val="0"/>
      <w:divBdr>
        <w:top w:val="none" w:sz="0" w:space="0" w:color="auto"/>
        <w:left w:val="none" w:sz="0" w:space="0" w:color="auto"/>
        <w:bottom w:val="none" w:sz="0" w:space="0" w:color="auto"/>
        <w:right w:val="none" w:sz="0" w:space="0" w:color="auto"/>
      </w:divBdr>
    </w:div>
    <w:div w:id="187257012">
      <w:bodyDiv w:val="1"/>
      <w:marLeft w:val="0"/>
      <w:marRight w:val="0"/>
      <w:marTop w:val="0"/>
      <w:marBottom w:val="0"/>
      <w:divBdr>
        <w:top w:val="none" w:sz="0" w:space="0" w:color="auto"/>
        <w:left w:val="none" w:sz="0" w:space="0" w:color="auto"/>
        <w:bottom w:val="none" w:sz="0" w:space="0" w:color="auto"/>
        <w:right w:val="none" w:sz="0" w:space="0" w:color="auto"/>
      </w:divBdr>
    </w:div>
    <w:div w:id="244605783">
      <w:bodyDiv w:val="1"/>
      <w:marLeft w:val="0"/>
      <w:marRight w:val="0"/>
      <w:marTop w:val="0"/>
      <w:marBottom w:val="0"/>
      <w:divBdr>
        <w:top w:val="none" w:sz="0" w:space="0" w:color="auto"/>
        <w:left w:val="none" w:sz="0" w:space="0" w:color="auto"/>
        <w:bottom w:val="none" w:sz="0" w:space="0" w:color="auto"/>
        <w:right w:val="none" w:sz="0" w:space="0" w:color="auto"/>
      </w:divBdr>
      <w:divsChild>
        <w:div w:id="119500861">
          <w:marLeft w:val="0"/>
          <w:marRight w:val="0"/>
          <w:marTop w:val="0"/>
          <w:marBottom w:val="0"/>
          <w:divBdr>
            <w:top w:val="none" w:sz="0" w:space="0" w:color="auto"/>
            <w:left w:val="none" w:sz="0" w:space="0" w:color="auto"/>
            <w:bottom w:val="none" w:sz="0" w:space="0" w:color="auto"/>
            <w:right w:val="none" w:sz="0" w:space="0" w:color="auto"/>
          </w:divBdr>
        </w:div>
      </w:divsChild>
    </w:div>
    <w:div w:id="298849629">
      <w:bodyDiv w:val="1"/>
      <w:marLeft w:val="0"/>
      <w:marRight w:val="0"/>
      <w:marTop w:val="0"/>
      <w:marBottom w:val="0"/>
      <w:divBdr>
        <w:top w:val="none" w:sz="0" w:space="0" w:color="auto"/>
        <w:left w:val="none" w:sz="0" w:space="0" w:color="auto"/>
        <w:bottom w:val="none" w:sz="0" w:space="0" w:color="auto"/>
        <w:right w:val="none" w:sz="0" w:space="0" w:color="auto"/>
      </w:divBdr>
    </w:div>
    <w:div w:id="446043034">
      <w:bodyDiv w:val="1"/>
      <w:marLeft w:val="0"/>
      <w:marRight w:val="0"/>
      <w:marTop w:val="0"/>
      <w:marBottom w:val="0"/>
      <w:divBdr>
        <w:top w:val="none" w:sz="0" w:space="0" w:color="auto"/>
        <w:left w:val="none" w:sz="0" w:space="0" w:color="auto"/>
        <w:bottom w:val="none" w:sz="0" w:space="0" w:color="auto"/>
        <w:right w:val="none" w:sz="0" w:space="0" w:color="auto"/>
      </w:divBdr>
    </w:div>
    <w:div w:id="684136042">
      <w:bodyDiv w:val="1"/>
      <w:marLeft w:val="0"/>
      <w:marRight w:val="0"/>
      <w:marTop w:val="0"/>
      <w:marBottom w:val="0"/>
      <w:divBdr>
        <w:top w:val="none" w:sz="0" w:space="0" w:color="auto"/>
        <w:left w:val="none" w:sz="0" w:space="0" w:color="auto"/>
        <w:bottom w:val="none" w:sz="0" w:space="0" w:color="auto"/>
        <w:right w:val="none" w:sz="0" w:space="0" w:color="auto"/>
      </w:divBdr>
    </w:div>
    <w:div w:id="741217012">
      <w:bodyDiv w:val="1"/>
      <w:marLeft w:val="0"/>
      <w:marRight w:val="0"/>
      <w:marTop w:val="0"/>
      <w:marBottom w:val="0"/>
      <w:divBdr>
        <w:top w:val="none" w:sz="0" w:space="0" w:color="auto"/>
        <w:left w:val="none" w:sz="0" w:space="0" w:color="auto"/>
        <w:bottom w:val="none" w:sz="0" w:space="0" w:color="auto"/>
        <w:right w:val="none" w:sz="0" w:space="0" w:color="auto"/>
      </w:divBdr>
      <w:divsChild>
        <w:div w:id="529338367">
          <w:marLeft w:val="0"/>
          <w:marRight w:val="0"/>
          <w:marTop w:val="0"/>
          <w:marBottom w:val="0"/>
          <w:divBdr>
            <w:top w:val="none" w:sz="0" w:space="0" w:color="auto"/>
            <w:left w:val="none" w:sz="0" w:space="0" w:color="auto"/>
            <w:bottom w:val="none" w:sz="0" w:space="0" w:color="auto"/>
            <w:right w:val="none" w:sz="0" w:space="0" w:color="auto"/>
          </w:divBdr>
        </w:div>
      </w:divsChild>
    </w:div>
    <w:div w:id="745806592">
      <w:bodyDiv w:val="1"/>
      <w:marLeft w:val="0"/>
      <w:marRight w:val="0"/>
      <w:marTop w:val="0"/>
      <w:marBottom w:val="0"/>
      <w:divBdr>
        <w:top w:val="none" w:sz="0" w:space="0" w:color="auto"/>
        <w:left w:val="none" w:sz="0" w:space="0" w:color="auto"/>
        <w:bottom w:val="none" w:sz="0" w:space="0" w:color="auto"/>
        <w:right w:val="none" w:sz="0" w:space="0" w:color="auto"/>
      </w:divBdr>
    </w:div>
    <w:div w:id="752314883">
      <w:bodyDiv w:val="1"/>
      <w:marLeft w:val="0"/>
      <w:marRight w:val="0"/>
      <w:marTop w:val="0"/>
      <w:marBottom w:val="0"/>
      <w:divBdr>
        <w:top w:val="none" w:sz="0" w:space="0" w:color="auto"/>
        <w:left w:val="none" w:sz="0" w:space="0" w:color="auto"/>
        <w:bottom w:val="none" w:sz="0" w:space="0" w:color="auto"/>
        <w:right w:val="none" w:sz="0" w:space="0" w:color="auto"/>
      </w:divBdr>
    </w:div>
    <w:div w:id="788086079">
      <w:bodyDiv w:val="1"/>
      <w:marLeft w:val="0"/>
      <w:marRight w:val="0"/>
      <w:marTop w:val="0"/>
      <w:marBottom w:val="0"/>
      <w:divBdr>
        <w:top w:val="none" w:sz="0" w:space="0" w:color="auto"/>
        <w:left w:val="none" w:sz="0" w:space="0" w:color="auto"/>
        <w:bottom w:val="none" w:sz="0" w:space="0" w:color="auto"/>
        <w:right w:val="none" w:sz="0" w:space="0" w:color="auto"/>
      </w:divBdr>
      <w:divsChild>
        <w:div w:id="129830234">
          <w:marLeft w:val="0"/>
          <w:marRight w:val="0"/>
          <w:marTop w:val="0"/>
          <w:marBottom w:val="0"/>
          <w:divBdr>
            <w:top w:val="none" w:sz="0" w:space="0" w:color="auto"/>
            <w:left w:val="none" w:sz="0" w:space="0" w:color="auto"/>
            <w:bottom w:val="none" w:sz="0" w:space="0" w:color="auto"/>
            <w:right w:val="none" w:sz="0" w:space="0" w:color="auto"/>
          </w:divBdr>
        </w:div>
      </w:divsChild>
    </w:div>
    <w:div w:id="1384598439">
      <w:bodyDiv w:val="1"/>
      <w:marLeft w:val="0"/>
      <w:marRight w:val="0"/>
      <w:marTop w:val="0"/>
      <w:marBottom w:val="0"/>
      <w:divBdr>
        <w:top w:val="none" w:sz="0" w:space="0" w:color="auto"/>
        <w:left w:val="none" w:sz="0" w:space="0" w:color="auto"/>
        <w:bottom w:val="none" w:sz="0" w:space="0" w:color="auto"/>
        <w:right w:val="none" w:sz="0" w:space="0" w:color="auto"/>
      </w:divBdr>
    </w:div>
    <w:div w:id="19503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nvironsciproc2022015028" TargetMode="External"/><Relationship Id="rId13" Type="http://schemas.openxmlformats.org/officeDocument/2006/relationships/hyperlink" Target="https://doi.org/10.1093/TAS/TXAA202" TargetMode="External"/><Relationship Id="rId18" Type="http://schemas.openxmlformats.org/officeDocument/2006/relationships/hyperlink" Target="https://www.ijrrjournal.com/IJRR_Vol.7_Issue.10_Oct2020/IJRR0013.pdf"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doi.org/10.3390/educsci13080766" TargetMode="External"/><Relationship Id="rId7" Type="http://schemas.openxmlformats.org/officeDocument/2006/relationships/endnotes" Target="endnotes.xml"/><Relationship Id="rId12" Type="http://schemas.openxmlformats.org/officeDocument/2006/relationships/hyperlink" Target="https://doi.org/10.4324/9781138609877ree32-1" TargetMode="External"/><Relationship Id="rId17" Type="http://schemas.openxmlformats.org/officeDocument/2006/relationships/hyperlink" Target="https://doi.org/10.37630/jpm.v15i2.2637" TargetMode="External"/><Relationship Id="rId25" Type="http://schemas.openxmlformats.org/officeDocument/2006/relationships/hyperlink" Target="https://doi.org/10.3390/su141610007" TargetMode="External"/><Relationship Id="rId2" Type="http://schemas.openxmlformats.org/officeDocument/2006/relationships/styles" Target="styles.xml"/><Relationship Id="rId16" Type="http://schemas.openxmlformats.org/officeDocument/2006/relationships/hyperlink" Target="https://doi.org/10.2478/kbo-2024-0066" TargetMode="External"/><Relationship Id="rId20" Type="http://schemas.openxmlformats.org/officeDocument/2006/relationships/hyperlink" Target="https://doi.org/10.56103/nactaj.v66i1.6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6803/IJLTER.20.9.8" TargetMode="External"/><Relationship Id="rId24" Type="http://schemas.openxmlformats.org/officeDocument/2006/relationships/hyperlink" Target="https://doi.org/10.54097/rzvpb402" TargetMode="External"/><Relationship Id="rId5" Type="http://schemas.openxmlformats.org/officeDocument/2006/relationships/webSettings" Target="webSettings.xml"/><Relationship Id="rId15" Type="http://schemas.openxmlformats.org/officeDocument/2006/relationships/hyperlink" Target="https://doi.org/10.51584/ijrias.2024.912015" TargetMode="External"/><Relationship Id="rId23" Type="http://schemas.openxmlformats.org/officeDocument/2006/relationships/hyperlink" Target="https://doi.org/10.18260/1-242796" TargetMode="External"/><Relationship Id="rId28" Type="http://schemas.openxmlformats.org/officeDocument/2006/relationships/theme" Target="theme/theme1.xml"/><Relationship Id="rId10" Type="http://schemas.openxmlformats.org/officeDocument/2006/relationships/hyperlink" Target="https://doi.org/10.48175/ijarsct-12924" TargetMode="External"/><Relationship Id="rId19" Type="http://schemas.openxmlformats.org/officeDocument/2006/relationships/hyperlink" Target="https://doi.org/10.1007/978-3-030-65467-2_1" TargetMode="External"/><Relationship Id="rId4" Type="http://schemas.openxmlformats.org/officeDocument/2006/relationships/settings" Target="settings.xml"/><Relationship Id="rId9" Type="http://schemas.openxmlformats.org/officeDocument/2006/relationships/hyperlink" Target="https://doi.org/10.6007/ijarped/v12-i2/17482" TargetMode="External"/><Relationship Id="rId14" Type="http://schemas.openxmlformats.org/officeDocument/2006/relationships/hyperlink" Target="https://doi.org/10.24191/ijelhe.v19n2.19227" TargetMode="External"/><Relationship Id="rId22" Type="http://schemas.openxmlformats.org/officeDocument/2006/relationships/hyperlink" Target="https://doi.org/10.56103/nactaj.v67i1.12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5693</Words>
  <Characters>32452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Lizbeth Jill Palomar</dc:creator>
  <cp:keywords/>
  <dc:description/>
  <cp:lastModifiedBy>qwert</cp:lastModifiedBy>
  <cp:revision>6</cp:revision>
  <cp:lastPrinted>2026-03-23T11:56:00Z</cp:lastPrinted>
  <dcterms:created xsi:type="dcterms:W3CDTF">2026-03-28T16:43:00Z</dcterms:created>
  <dcterms:modified xsi:type="dcterms:W3CDTF">2026-03-30T09:27:00Z</dcterms:modified>
</cp:coreProperties>
</file>