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F0" w:rsidRDefault="00C35EF0" w:rsidP="00B356EB">
      <w:pPr>
        <w:spacing w:after="100" w:line="360" w:lineRule="auto"/>
        <w:jc w:val="center"/>
        <w:rPr>
          <w:rFonts w:ascii="Times New Roman" w:hAnsi="Times New Roman" w:cs="Times New Roman"/>
          <w:b/>
          <w:sz w:val="28"/>
          <w:szCs w:val="24"/>
        </w:rPr>
      </w:pPr>
      <w:r w:rsidRPr="00C35EF0">
        <w:rPr>
          <w:rFonts w:ascii="Times New Roman" w:hAnsi="Times New Roman" w:cs="Times New Roman"/>
          <w:b/>
          <w:sz w:val="28"/>
          <w:szCs w:val="24"/>
        </w:rPr>
        <w:t>An Overview of Digital Financial Inclusion and Exclusion</w:t>
      </w:r>
    </w:p>
    <w:p w:rsidR="00B356EB" w:rsidRPr="00B06BD8" w:rsidRDefault="00B356EB">
      <w:pPr>
        <w:rPr>
          <w:rFonts w:ascii="Times New Roman" w:hAnsi="Times New Roman" w:cs="Times New Roman"/>
        </w:rPr>
      </w:pPr>
      <w:bookmarkStart w:id="0" w:name="_GoBack"/>
      <w:bookmarkEnd w:id="0"/>
    </w:p>
    <w:p w:rsidR="00B356EB" w:rsidRDefault="00B356EB" w:rsidP="00B356EB">
      <w:pPr>
        <w:spacing w:after="0" w:line="360" w:lineRule="auto"/>
        <w:jc w:val="both"/>
        <w:rPr>
          <w:rStyle w:val="Hyperlink"/>
          <w:rFonts w:ascii="Times New Roman" w:hAnsi="Times New Roman" w:cs="Times New Roman"/>
          <w:b/>
          <w:color w:val="auto"/>
          <w:sz w:val="24"/>
          <w:szCs w:val="24"/>
          <w:u w:val="none"/>
        </w:rPr>
      </w:pPr>
      <w:r w:rsidRPr="00B06BD8">
        <w:rPr>
          <w:rStyle w:val="Hyperlink"/>
          <w:rFonts w:ascii="Times New Roman" w:hAnsi="Times New Roman" w:cs="Times New Roman"/>
          <w:b/>
          <w:color w:val="auto"/>
          <w:sz w:val="24"/>
          <w:szCs w:val="24"/>
          <w:u w:val="none"/>
        </w:rPr>
        <w:t>Abstract:</w:t>
      </w:r>
    </w:p>
    <w:p w:rsidR="00A3035F" w:rsidRDefault="00A3035F" w:rsidP="00A3035F">
      <w:pPr>
        <w:spacing w:after="0" w:line="360" w:lineRule="auto"/>
        <w:jc w:val="both"/>
        <w:rPr>
          <w:rStyle w:val="Hyperlink"/>
          <w:rFonts w:ascii="Times New Roman" w:hAnsi="Times New Roman" w:cs="Times New Roman"/>
          <w:color w:val="auto"/>
          <w:sz w:val="24"/>
          <w:szCs w:val="24"/>
          <w:u w:val="none"/>
        </w:rPr>
      </w:pPr>
      <w:r w:rsidRPr="00A3035F">
        <w:rPr>
          <w:rStyle w:val="Hyperlink"/>
          <w:rFonts w:ascii="Times New Roman" w:hAnsi="Times New Roman" w:cs="Times New Roman"/>
          <w:color w:val="auto"/>
          <w:sz w:val="24"/>
          <w:szCs w:val="24"/>
          <w:u w:val="none"/>
        </w:rPr>
        <w:t>In recent years, digital financial services have been a major driver of financial inclusion. While there is evidence that traditional financial inclusion has a pos</w:t>
      </w:r>
      <w:r>
        <w:rPr>
          <w:rStyle w:val="Hyperlink"/>
          <w:rFonts w:ascii="Times New Roman" w:hAnsi="Times New Roman" w:cs="Times New Roman"/>
          <w:color w:val="auto"/>
          <w:sz w:val="24"/>
          <w:szCs w:val="24"/>
          <w:u w:val="none"/>
        </w:rPr>
        <w:t xml:space="preserve">itive impact on economic growth. </w:t>
      </w:r>
      <w:r w:rsidRPr="00A3035F">
        <w:rPr>
          <w:rStyle w:val="Hyperlink"/>
          <w:rFonts w:ascii="Times New Roman" w:hAnsi="Times New Roman" w:cs="Times New Roman"/>
          <w:color w:val="auto"/>
          <w:sz w:val="24"/>
          <w:szCs w:val="24"/>
          <w:u w:val="none"/>
        </w:rPr>
        <w:t>Any country's economic development is built on the foundation of digital financial services. Mobile banking and mobile money are two new concepts that are transforming bulk services into personalised services. This has resulted in the creation of digital financial inclusion, which fosters efficient interconnection among participants in economic activity.</w:t>
      </w:r>
      <w:r w:rsidRPr="00A3035F">
        <w:t xml:space="preserve"> </w:t>
      </w:r>
      <w:r w:rsidRPr="00A3035F">
        <w:rPr>
          <w:rStyle w:val="Hyperlink"/>
          <w:rFonts w:ascii="Times New Roman" w:hAnsi="Times New Roman" w:cs="Times New Roman"/>
          <w:color w:val="auto"/>
          <w:sz w:val="24"/>
          <w:szCs w:val="24"/>
          <w:u w:val="none"/>
        </w:rPr>
        <w:t xml:space="preserve">When a poor, </w:t>
      </w:r>
      <w:proofErr w:type="gramStart"/>
      <w:r w:rsidRPr="00A3035F">
        <w:rPr>
          <w:rStyle w:val="Hyperlink"/>
          <w:rFonts w:ascii="Times New Roman" w:hAnsi="Times New Roman" w:cs="Times New Roman"/>
          <w:color w:val="auto"/>
          <w:sz w:val="24"/>
          <w:szCs w:val="24"/>
          <w:u w:val="none"/>
        </w:rPr>
        <w:t>previously</w:t>
      </w:r>
      <w:proofErr w:type="gramEnd"/>
      <w:r w:rsidRPr="00A3035F">
        <w:rPr>
          <w:rStyle w:val="Hyperlink"/>
          <w:rFonts w:ascii="Times New Roman" w:hAnsi="Times New Roman" w:cs="Times New Roman"/>
          <w:color w:val="auto"/>
          <w:sz w:val="24"/>
          <w:szCs w:val="24"/>
          <w:u w:val="none"/>
        </w:rPr>
        <w:t xml:space="preserve"> unbanked consumer begins to transact digitally with his or her family and friends, formal banking and financial institutions, and utility companies, it is called a success.</w:t>
      </w:r>
      <w:r>
        <w:rPr>
          <w:rStyle w:val="Hyperlink"/>
          <w:rFonts w:ascii="Times New Roman" w:hAnsi="Times New Roman" w:cs="Times New Roman"/>
          <w:color w:val="auto"/>
          <w:sz w:val="24"/>
          <w:szCs w:val="24"/>
          <w:u w:val="none"/>
        </w:rPr>
        <w:t xml:space="preserve"> This paper attempts to identify the preliminary concepts of digital financial inclusion, status in India and Tumakuru District and reasons for digital financial exclusions. </w:t>
      </w:r>
    </w:p>
    <w:p w:rsidR="00A3035F" w:rsidRDefault="00A3035F" w:rsidP="00A3035F">
      <w:pPr>
        <w:spacing w:after="0" w:line="360" w:lineRule="auto"/>
        <w:jc w:val="both"/>
        <w:rPr>
          <w:rStyle w:val="Hyperlink"/>
          <w:rFonts w:ascii="Times New Roman" w:hAnsi="Times New Roman" w:cs="Times New Roman"/>
          <w:color w:val="auto"/>
          <w:sz w:val="24"/>
          <w:szCs w:val="24"/>
          <w:u w:val="none"/>
        </w:rPr>
      </w:pPr>
    </w:p>
    <w:p w:rsidR="00B356EB" w:rsidRDefault="00B356EB" w:rsidP="00A3035F">
      <w:pPr>
        <w:spacing w:after="0" w:line="360" w:lineRule="auto"/>
        <w:jc w:val="both"/>
        <w:rPr>
          <w:rStyle w:val="Hyperlink"/>
          <w:rFonts w:ascii="Times New Roman" w:hAnsi="Times New Roman" w:cs="Times New Roman"/>
          <w:i/>
          <w:color w:val="auto"/>
          <w:sz w:val="24"/>
          <w:szCs w:val="24"/>
          <w:u w:val="none"/>
        </w:rPr>
      </w:pPr>
      <w:r w:rsidRPr="00B06BD8">
        <w:rPr>
          <w:rStyle w:val="Hyperlink"/>
          <w:rFonts w:ascii="Times New Roman" w:hAnsi="Times New Roman" w:cs="Times New Roman"/>
          <w:b/>
          <w:color w:val="auto"/>
          <w:sz w:val="24"/>
          <w:szCs w:val="24"/>
          <w:u w:val="none"/>
        </w:rPr>
        <w:t>Key Words:</w:t>
      </w:r>
      <w:r w:rsidR="00294EC4" w:rsidRPr="00B06BD8">
        <w:rPr>
          <w:rStyle w:val="Hyperlink"/>
          <w:rFonts w:ascii="Times New Roman" w:hAnsi="Times New Roman" w:cs="Times New Roman"/>
          <w:b/>
          <w:color w:val="auto"/>
          <w:sz w:val="24"/>
          <w:szCs w:val="24"/>
          <w:u w:val="none"/>
        </w:rPr>
        <w:t xml:space="preserve"> </w:t>
      </w:r>
      <w:r w:rsidR="00A3035F" w:rsidRPr="00A3035F">
        <w:rPr>
          <w:rStyle w:val="Hyperlink"/>
          <w:rFonts w:ascii="Times New Roman" w:hAnsi="Times New Roman" w:cs="Times New Roman"/>
          <w:i/>
          <w:color w:val="auto"/>
          <w:sz w:val="24"/>
          <w:szCs w:val="24"/>
          <w:u w:val="none"/>
        </w:rPr>
        <w:t>Financial Inclusion,</w:t>
      </w:r>
      <w:r w:rsidR="00A3035F">
        <w:rPr>
          <w:rStyle w:val="Hyperlink"/>
          <w:rFonts w:ascii="Times New Roman" w:hAnsi="Times New Roman" w:cs="Times New Roman"/>
          <w:b/>
          <w:color w:val="auto"/>
          <w:sz w:val="24"/>
          <w:szCs w:val="24"/>
          <w:u w:val="none"/>
        </w:rPr>
        <w:t xml:space="preserve"> </w:t>
      </w:r>
      <w:r w:rsidR="00294EC4" w:rsidRPr="00B06BD8">
        <w:rPr>
          <w:rStyle w:val="Hyperlink"/>
          <w:rFonts w:ascii="Times New Roman" w:hAnsi="Times New Roman" w:cs="Times New Roman"/>
          <w:i/>
          <w:color w:val="auto"/>
          <w:sz w:val="24"/>
          <w:szCs w:val="24"/>
          <w:u w:val="none"/>
        </w:rPr>
        <w:t xml:space="preserve">Digital </w:t>
      </w:r>
      <w:r w:rsidR="00224B8C" w:rsidRPr="00B06BD8">
        <w:rPr>
          <w:rStyle w:val="Hyperlink"/>
          <w:rFonts w:ascii="Times New Roman" w:hAnsi="Times New Roman" w:cs="Times New Roman"/>
          <w:i/>
          <w:color w:val="auto"/>
          <w:sz w:val="24"/>
          <w:szCs w:val="24"/>
          <w:u w:val="none"/>
        </w:rPr>
        <w:t xml:space="preserve">Financial Inclusion, Digital Financial Exclusion </w:t>
      </w:r>
      <w:r w:rsidR="00A3035F">
        <w:rPr>
          <w:rStyle w:val="Hyperlink"/>
          <w:rFonts w:ascii="Times New Roman" w:hAnsi="Times New Roman" w:cs="Times New Roman"/>
          <w:i/>
          <w:color w:val="auto"/>
          <w:sz w:val="24"/>
          <w:szCs w:val="24"/>
          <w:u w:val="none"/>
        </w:rPr>
        <w:t>Challenges</w:t>
      </w:r>
    </w:p>
    <w:p w:rsidR="00A3035F" w:rsidRPr="00B06BD8" w:rsidRDefault="00A3035F" w:rsidP="00A3035F">
      <w:pPr>
        <w:spacing w:after="0" w:line="360" w:lineRule="auto"/>
        <w:jc w:val="both"/>
        <w:rPr>
          <w:rStyle w:val="Hyperlink"/>
          <w:rFonts w:ascii="Times New Roman" w:hAnsi="Times New Roman" w:cs="Times New Roman"/>
          <w:i/>
          <w:color w:val="auto"/>
          <w:sz w:val="24"/>
          <w:szCs w:val="24"/>
          <w:u w:val="none"/>
        </w:rPr>
      </w:pPr>
    </w:p>
    <w:p w:rsidR="00B356EB" w:rsidRDefault="00B356EB" w:rsidP="00B356EB">
      <w:pPr>
        <w:spacing w:after="0" w:line="360" w:lineRule="auto"/>
        <w:jc w:val="both"/>
        <w:rPr>
          <w:rStyle w:val="Hyperlink"/>
          <w:rFonts w:ascii="Times New Roman" w:hAnsi="Times New Roman" w:cs="Times New Roman"/>
          <w:b/>
          <w:color w:val="auto"/>
          <w:sz w:val="24"/>
          <w:szCs w:val="24"/>
          <w:u w:val="none"/>
        </w:rPr>
      </w:pPr>
      <w:r w:rsidRPr="00B06BD8">
        <w:rPr>
          <w:rStyle w:val="Hyperlink"/>
          <w:rFonts w:ascii="Times New Roman" w:hAnsi="Times New Roman" w:cs="Times New Roman"/>
          <w:b/>
          <w:color w:val="auto"/>
          <w:sz w:val="24"/>
          <w:szCs w:val="24"/>
          <w:u w:val="none"/>
        </w:rPr>
        <w:t>Introduction:</w:t>
      </w:r>
    </w:p>
    <w:p w:rsidR="009D256B" w:rsidRDefault="009D256B" w:rsidP="00B356EB">
      <w:pPr>
        <w:spacing w:after="0" w:line="360" w:lineRule="auto"/>
        <w:jc w:val="both"/>
        <w:rPr>
          <w:rStyle w:val="Hyperlink"/>
          <w:rFonts w:ascii="Times New Roman" w:hAnsi="Times New Roman" w:cs="Times New Roman"/>
          <w:color w:val="auto"/>
          <w:sz w:val="24"/>
          <w:szCs w:val="24"/>
          <w:u w:val="none"/>
        </w:rPr>
      </w:pPr>
      <w:r w:rsidRPr="009D256B">
        <w:rPr>
          <w:rStyle w:val="Hyperlink"/>
          <w:rFonts w:ascii="Times New Roman" w:hAnsi="Times New Roman" w:cs="Times New Roman"/>
          <w:color w:val="auto"/>
          <w:sz w:val="24"/>
          <w:szCs w:val="24"/>
          <w:u w:val="none"/>
        </w:rPr>
        <w:t>A new notion termed digital financial inclusion has emerged because of the digital dimension of financial inclusion. There are two components to digital financial inclusion. The first is to use digital methods to link banked individuals, and the second is to use digital mechanisms to bring banks to people's doorsteps. Digital financial inclusion made it possible for the public to open bank accounts and receive high-quality banking services.</w:t>
      </w:r>
      <w:r>
        <w:rPr>
          <w:rStyle w:val="Hyperlink"/>
          <w:rFonts w:ascii="Times New Roman" w:hAnsi="Times New Roman" w:cs="Times New Roman"/>
          <w:color w:val="auto"/>
          <w:sz w:val="24"/>
          <w:szCs w:val="24"/>
          <w:u w:val="none"/>
        </w:rPr>
        <w:t xml:space="preserve"> </w:t>
      </w:r>
      <w:r w:rsidRPr="009D256B">
        <w:rPr>
          <w:rStyle w:val="Hyperlink"/>
          <w:rFonts w:ascii="Times New Roman" w:hAnsi="Times New Roman" w:cs="Times New Roman"/>
          <w:color w:val="auto"/>
          <w:sz w:val="24"/>
          <w:szCs w:val="24"/>
          <w:u w:val="none"/>
        </w:rPr>
        <w:t>Customers like the effectiveness, low cost, and convenience of digital financial services. Banks, on the other hand, are ready to use technology to reach out to their customers. Digital financial inclusion has emerged as a powerful tool for reaching people who lack access to physical infrastructure or live in remote areas. Virtual banking has superseded all other traditional banking channels. Banks were able to give fast and high-quality financial services thanks to digital financial inclusion.</w:t>
      </w:r>
    </w:p>
    <w:p w:rsidR="009D256B" w:rsidRPr="009D256B" w:rsidRDefault="009D256B" w:rsidP="00B356EB">
      <w:pPr>
        <w:spacing w:after="0" w:line="360" w:lineRule="auto"/>
        <w:jc w:val="both"/>
        <w:rPr>
          <w:rStyle w:val="Hyperlink"/>
          <w:rFonts w:ascii="Times New Roman" w:hAnsi="Times New Roman" w:cs="Times New Roman"/>
          <w:color w:val="auto"/>
          <w:sz w:val="24"/>
          <w:szCs w:val="24"/>
          <w:u w:val="none"/>
        </w:rPr>
      </w:pPr>
    </w:p>
    <w:p w:rsidR="00B356EB" w:rsidRPr="00B06BD8" w:rsidRDefault="00B356EB" w:rsidP="00B356EB">
      <w:pPr>
        <w:spacing w:after="0"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Literature Review:</w:t>
      </w:r>
    </w:p>
    <w:p w:rsidR="00B62853" w:rsidRPr="00B06BD8" w:rsidRDefault="00B62853" w:rsidP="00B356EB">
      <w:pPr>
        <w:spacing w:after="0" w:line="360" w:lineRule="auto"/>
        <w:jc w:val="both"/>
        <w:rPr>
          <w:rFonts w:ascii="Times New Roman" w:hAnsi="Times New Roman" w:cs="Times New Roman"/>
          <w:b/>
          <w:sz w:val="24"/>
          <w:szCs w:val="24"/>
        </w:rPr>
      </w:pPr>
    </w:p>
    <w:p w:rsidR="00F156BB" w:rsidRDefault="00B62853" w:rsidP="00B356EB">
      <w:pPr>
        <w:spacing w:after="0" w:line="360" w:lineRule="auto"/>
        <w:jc w:val="both"/>
        <w:rPr>
          <w:rFonts w:ascii="Times New Roman" w:hAnsi="Times New Roman" w:cs="Times New Roman"/>
          <w:sz w:val="24"/>
          <w:szCs w:val="24"/>
        </w:rPr>
      </w:pPr>
      <w:r w:rsidRPr="00B06BD8">
        <w:rPr>
          <w:rFonts w:ascii="Times New Roman" w:hAnsi="Times New Roman" w:cs="Times New Roman"/>
          <w:sz w:val="24"/>
          <w:szCs w:val="24"/>
        </w:rPr>
        <w:lastRenderedPageBreak/>
        <w:t>In India, digital financial inclusion is still in its infancy. Digital banking has the potential to remove barriers to financial services accessibility, use, and availability. Digital financing that is both affordable and viable can help to keep the financial inclusion effort going.</w:t>
      </w:r>
      <w:r w:rsidR="00B06BD8" w:rsidRPr="00B06BD8">
        <w:rPr>
          <w:rFonts w:ascii="Times New Roman" w:hAnsi="Times New Roman" w:cs="Times New Roman"/>
          <w:sz w:val="24"/>
          <w:szCs w:val="24"/>
        </w:rPr>
        <w:t xml:space="preserve"> (Angelin Prema, </w:t>
      </w:r>
      <w:r w:rsidRPr="00B06BD8">
        <w:rPr>
          <w:rFonts w:ascii="Times New Roman" w:hAnsi="Times New Roman" w:cs="Times New Roman"/>
          <w:sz w:val="24"/>
          <w:szCs w:val="24"/>
        </w:rPr>
        <w:t>2020)</w:t>
      </w:r>
      <w:r w:rsidR="00B06BD8" w:rsidRPr="00B06BD8">
        <w:rPr>
          <w:rStyle w:val="FootnoteReference"/>
          <w:rFonts w:ascii="Times New Roman" w:hAnsi="Times New Roman" w:cs="Times New Roman"/>
          <w:sz w:val="24"/>
          <w:szCs w:val="24"/>
        </w:rPr>
        <w:footnoteReference w:id="1"/>
      </w:r>
      <w:r w:rsidR="00B06BD8" w:rsidRPr="00B06BD8">
        <w:rPr>
          <w:rFonts w:ascii="Times New Roman" w:hAnsi="Times New Roman" w:cs="Times New Roman"/>
          <w:sz w:val="24"/>
          <w:szCs w:val="24"/>
        </w:rPr>
        <w:t xml:space="preserve">. </w:t>
      </w:r>
      <w:proofErr w:type="gramStart"/>
      <w:r w:rsidR="00B06BD8" w:rsidRPr="00B06BD8">
        <w:rPr>
          <w:rFonts w:ascii="Times New Roman" w:hAnsi="Times New Roman" w:cs="Times New Roman"/>
          <w:sz w:val="24"/>
          <w:szCs w:val="24"/>
        </w:rPr>
        <w:t>financial</w:t>
      </w:r>
      <w:proofErr w:type="gramEnd"/>
      <w:r w:rsidR="00B06BD8" w:rsidRPr="00B06BD8">
        <w:rPr>
          <w:rFonts w:ascii="Times New Roman" w:hAnsi="Times New Roman" w:cs="Times New Roman"/>
          <w:sz w:val="24"/>
          <w:szCs w:val="24"/>
        </w:rPr>
        <w:t xml:space="preserve"> inclusion and the influence of digital finance Digital finance has evolved into a new tool for financial inclusion. The banking business has been changed by the digital revolution, and banks are eager to reach out to their clients via digital channels. Despite the fact digital money has security and affordability concerns, consumers want to use it to obtain financial services. Usage, convenience, and time have a positive impact on mobile banking, whereas accessibility and safety have a negligible impact on digital finance (</w:t>
      </w:r>
      <w:r w:rsidR="00B06BD8" w:rsidRPr="00B06BD8">
        <w:rPr>
          <w:rFonts w:ascii="Times New Roman" w:hAnsi="Times New Roman" w:cs="Times New Roman"/>
        </w:rPr>
        <w:t>Tabitha Durai &amp; Stella, 2019)</w:t>
      </w:r>
      <w:r w:rsidR="00B06BD8" w:rsidRPr="00B06BD8">
        <w:rPr>
          <w:rStyle w:val="FootnoteReference"/>
          <w:rFonts w:ascii="Times New Roman" w:hAnsi="Times New Roman" w:cs="Times New Roman"/>
        </w:rPr>
        <w:footnoteReference w:id="2"/>
      </w:r>
      <w:r w:rsidR="00B06BD8" w:rsidRPr="00B06BD8">
        <w:rPr>
          <w:rFonts w:ascii="Times New Roman" w:hAnsi="Times New Roman" w:cs="Times New Roman"/>
        </w:rPr>
        <w:t xml:space="preserve">. </w:t>
      </w:r>
      <w:r w:rsidR="00B06BD8" w:rsidRPr="00B06BD8">
        <w:rPr>
          <w:rFonts w:ascii="Times New Roman" w:hAnsi="Times New Roman" w:cs="Times New Roman"/>
          <w:sz w:val="24"/>
          <w:szCs w:val="24"/>
        </w:rPr>
        <w:t>Financial inclusion provides critical financial services to the most vulnerable members of society and equips them to access a growing number of banking services. Digital India is a groundbreaking initiative by the Indian government to deliver services electronically. Digital initiatives can assist reach out to the unbanked (</w:t>
      </w:r>
      <w:r w:rsidR="00B06BD8" w:rsidRPr="00B06BD8">
        <w:rPr>
          <w:rFonts w:ascii="Times New Roman" w:eastAsia="Times New Roman" w:hAnsi="Times New Roman" w:cs="Times New Roman"/>
        </w:rPr>
        <w:t>Gurpreet Kaur, 2015)</w:t>
      </w:r>
      <w:r w:rsidR="00B06BD8" w:rsidRPr="00B06BD8">
        <w:rPr>
          <w:rStyle w:val="FootnoteReference"/>
          <w:rFonts w:ascii="Times New Roman" w:eastAsia="Times New Roman" w:hAnsi="Times New Roman" w:cs="Times New Roman"/>
        </w:rPr>
        <w:footnoteReference w:id="3"/>
      </w:r>
      <w:r w:rsidR="00B06BD8" w:rsidRPr="00B06BD8">
        <w:rPr>
          <w:rFonts w:ascii="Times New Roman" w:eastAsia="Times New Roman" w:hAnsi="Times New Roman" w:cs="Times New Roman"/>
        </w:rPr>
        <w:t xml:space="preserve">. </w:t>
      </w:r>
      <w:r w:rsidR="00B06BD8" w:rsidRPr="00B06BD8">
        <w:rPr>
          <w:rFonts w:ascii="Times New Roman" w:hAnsi="Times New Roman" w:cs="Times New Roman"/>
          <w:sz w:val="24"/>
          <w:szCs w:val="24"/>
        </w:rPr>
        <w:t>Both suppliers and purchasers may benefit from electronic payment. E-payment is a way for avoiding the problems associated with physical cash transactions. E-payments are also associated with security and privacy concerns. Digital payment is apprehensive because of shady transactions and the worry of personal data being stolen. Consumers prefer to utilize a more secure and convenient payment system (</w:t>
      </w:r>
      <w:r w:rsidR="00B06BD8" w:rsidRPr="00B06BD8">
        <w:rPr>
          <w:rFonts w:ascii="Times New Roman" w:hAnsi="Times New Roman" w:cs="Times New Roman"/>
        </w:rPr>
        <w:t>Mamta et al., 2016)</w:t>
      </w:r>
      <w:r w:rsidR="00B06BD8" w:rsidRPr="00B06BD8">
        <w:rPr>
          <w:rStyle w:val="FootnoteReference"/>
          <w:rFonts w:ascii="Times New Roman" w:hAnsi="Times New Roman" w:cs="Times New Roman"/>
        </w:rPr>
        <w:footnoteReference w:id="4"/>
      </w:r>
    </w:p>
    <w:p w:rsidR="00A3035F" w:rsidRPr="00A3035F" w:rsidRDefault="00A3035F" w:rsidP="00B356EB">
      <w:pPr>
        <w:spacing w:after="0" w:line="360" w:lineRule="auto"/>
        <w:jc w:val="both"/>
        <w:rPr>
          <w:rFonts w:ascii="Times New Roman" w:hAnsi="Times New Roman" w:cs="Times New Roman"/>
          <w:sz w:val="24"/>
          <w:szCs w:val="24"/>
        </w:rPr>
      </w:pPr>
    </w:p>
    <w:p w:rsidR="00B356EB" w:rsidRPr="00B06BD8" w:rsidRDefault="00B356EB" w:rsidP="00D80AB2">
      <w:pPr>
        <w:spacing w:after="0"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Objectives:</w:t>
      </w:r>
    </w:p>
    <w:p w:rsidR="00D80AB2" w:rsidRPr="00B06BD8" w:rsidRDefault="00D80AB2" w:rsidP="00D80AB2">
      <w:pPr>
        <w:numPr>
          <w:ilvl w:val="0"/>
          <w:numId w:val="5"/>
        </w:numPr>
        <w:spacing w:after="0" w:line="360" w:lineRule="auto"/>
        <w:contextualSpacing/>
        <w:jc w:val="both"/>
        <w:rPr>
          <w:rFonts w:ascii="Times New Roman" w:hAnsi="Times New Roman" w:cs="Times New Roman"/>
          <w:sz w:val="24"/>
          <w:szCs w:val="24"/>
        </w:rPr>
      </w:pPr>
      <w:r w:rsidRPr="00B06BD8">
        <w:rPr>
          <w:rFonts w:ascii="Times New Roman" w:hAnsi="Times New Roman" w:cs="Times New Roman"/>
          <w:sz w:val="24"/>
          <w:szCs w:val="24"/>
        </w:rPr>
        <w:t xml:space="preserve">To </w:t>
      </w:r>
      <w:r w:rsidR="009D256B">
        <w:rPr>
          <w:rFonts w:ascii="Times New Roman" w:hAnsi="Times New Roman" w:cs="Times New Roman"/>
          <w:sz w:val="24"/>
          <w:szCs w:val="24"/>
        </w:rPr>
        <w:t>understand</w:t>
      </w:r>
      <w:r w:rsidR="000F2EAD">
        <w:rPr>
          <w:rFonts w:ascii="Times New Roman" w:hAnsi="Times New Roman" w:cs="Times New Roman"/>
          <w:sz w:val="24"/>
          <w:szCs w:val="24"/>
        </w:rPr>
        <w:t xml:space="preserve"> the concept of financial inclusion &amp; </w:t>
      </w:r>
      <w:r w:rsidR="009D256B">
        <w:rPr>
          <w:rFonts w:ascii="Times New Roman" w:hAnsi="Times New Roman" w:cs="Times New Roman"/>
          <w:sz w:val="24"/>
          <w:szCs w:val="24"/>
        </w:rPr>
        <w:t xml:space="preserve">digital financial inclusion </w:t>
      </w:r>
    </w:p>
    <w:p w:rsidR="00D80AB2" w:rsidRDefault="00D80AB2" w:rsidP="00D80AB2">
      <w:pPr>
        <w:pStyle w:val="ListParagraph"/>
        <w:numPr>
          <w:ilvl w:val="0"/>
          <w:numId w:val="5"/>
        </w:numPr>
        <w:spacing w:after="0" w:line="360" w:lineRule="auto"/>
        <w:jc w:val="both"/>
        <w:rPr>
          <w:rFonts w:ascii="Times New Roman" w:hAnsi="Times New Roman" w:cs="Times New Roman"/>
          <w:sz w:val="24"/>
          <w:szCs w:val="24"/>
        </w:rPr>
      </w:pPr>
      <w:r w:rsidRPr="00B06BD8">
        <w:rPr>
          <w:rFonts w:ascii="Times New Roman" w:hAnsi="Times New Roman" w:cs="Times New Roman"/>
          <w:sz w:val="24"/>
          <w:szCs w:val="24"/>
        </w:rPr>
        <w:t xml:space="preserve">To evaluate </w:t>
      </w:r>
      <w:r w:rsidR="009D256B">
        <w:rPr>
          <w:rFonts w:ascii="Times New Roman" w:hAnsi="Times New Roman" w:cs="Times New Roman"/>
          <w:sz w:val="24"/>
          <w:szCs w:val="24"/>
        </w:rPr>
        <w:t xml:space="preserve">status of digital financial inclusion in Tumakuru, Karnataka </w:t>
      </w:r>
    </w:p>
    <w:p w:rsidR="00A3035F" w:rsidRPr="00A47E57" w:rsidRDefault="009D256B" w:rsidP="00B356E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know the reasons for digital financial exclusion </w:t>
      </w:r>
    </w:p>
    <w:p w:rsidR="00B356EB" w:rsidRPr="00B06BD8" w:rsidRDefault="00B356EB" w:rsidP="00B356EB">
      <w:pPr>
        <w:spacing w:after="0"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Research Methodology:</w:t>
      </w:r>
    </w:p>
    <w:p w:rsidR="00BD52EA" w:rsidRDefault="00013A79" w:rsidP="00D80AB2">
      <w:pPr>
        <w:spacing w:line="360" w:lineRule="auto"/>
        <w:contextualSpacing/>
        <w:jc w:val="both"/>
        <w:rPr>
          <w:rFonts w:ascii="Times New Roman" w:hAnsi="Times New Roman" w:cs="Times New Roman"/>
          <w:sz w:val="24"/>
          <w:szCs w:val="24"/>
        </w:rPr>
      </w:pPr>
      <w:r w:rsidRPr="00B06BD8">
        <w:rPr>
          <w:rFonts w:ascii="Times New Roman" w:hAnsi="Times New Roman" w:cs="Times New Roman"/>
          <w:sz w:val="24"/>
          <w:szCs w:val="24"/>
        </w:rPr>
        <w:lastRenderedPageBreak/>
        <w:t>The study is based on Descriptive research. Descriptive research is a study designed to depict the par</w:t>
      </w:r>
      <w:r w:rsidR="00D80AB2" w:rsidRPr="00B06BD8">
        <w:rPr>
          <w:rFonts w:ascii="Times New Roman" w:hAnsi="Times New Roman" w:cs="Times New Roman"/>
          <w:sz w:val="24"/>
          <w:szCs w:val="24"/>
        </w:rPr>
        <w:t>ticipants through survey method. 60</w:t>
      </w:r>
      <w:r w:rsidR="009D256B">
        <w:rPr>
          <w:rFonts w:ascii="Times New Roman" w:hAnsi="Times New Roman" w:cs="Times New Roman"/>
          <w:sz w:val="24"/>
          <w:szCs w:val="24"/>
        </w:rPr>
        <w:t>0</w:t>
      </w:r>
      <w:r w:rsidR="00D80AB2" w:rsidRPr="00B06BD8">
        <w:rPr>
          <w:rFonts w:ascii="Times New Roman" w:hAnsi="Times New Roman" w:cs="Times New Roman"/>
          <w:sz w:val="24"/>
          <w:szCs w:val="24"/>
        </w:rPr>
        <w:t xml:space="preserve"> </w:t>
      </w:r>
      <w:r w:rsidR="00A3035F">
        <w:rPr>
          <w:rFonts w:ascii="Times New Roman" w:hAnsi="Times New Roman" w:cs="Times New Roman"/>
          <w:sz w:val="24"/>
          <w:szCs w:val="24"/>
        </w:rPr>
        <w:t>respondents of</w:t>
      </w:r>
      <w:r w:rsidR="00D80AB2" w:rsidRPr="00B06BD8">
        <w:rPr>
          <w:rFonts w:ascii="Times New Roman" w:hAnsi="Times New Roman" w:cs="Times New Roman"/>
          <w:sz w:val="24"/>
          <w:szCs w:val="24"/>
        </w:rPr>
        <w:t xml:space="preserve"> different age group, qualification, </w:t>
      </w:r>
      <w:r w:rsidR="009D256B" w:rsidRPr="00B06BD8">
        <w:rPr>
          <w:rFonts w:ascii="Times New Roman" w:hAnsi="Times New Roman" w:cs="Times New Roman"/>
          <w:sz w:val="24"/>
          <w:szCs w:val="24"/>
        </w:rPr>
        <w:t>occupation,</w:t>
      </w:r>
      <w:r w:rsidR="00D80AB2" w:rsidRPr="00B06BD8">
        <w:rPr>
          <w:rFonts w:ascii="Times New Roman" w:hAnsi="Times New Roman" w:cs="Times New Roman"/>
          <w:sz w:val="24"/>
          <w:szCs w:val="24"/>
        </w:rPr>
        <w:t xml:space="preserve"> and income level are surveyed. Stratified and Judgemental sampling adopted to collect data from target customers. The Primary data is collected through structured questionnaires and personal interaction with consumers. The Secondary data shall be collected from various books, research papers, journals, websites etc. and annual reports from the Government bodies like Reserve Bank of India.</w:t>
      </w:r>
      <w:r w:rsidR="009D256B">
        <w:rPr>
          <w:rFonts w:ascii="Times New Roman" w:hAnsi="Times New Roman" w:cs="Times New Roman"/>
          <w:sz w:val="24"/>
          <w:szCs w:val="24"/>
        </w:rPr>
        <w:t xml:space="preserve"> Averages and </w:t>
      </w:r>
      <w:r w:rsidR="009D256B" w:rsidRPr="00B06BD8">
        <w:rPr>
          <w:rFonts w:ascii="Times New Roman" w:hAnsi="Times New Roman" w:cs="Times New Roman"/>
          <w:sz w:val="24"/>
          <w:szCs w:val="24"/>
        </w:rPr>
        <w:t>percentiles</w:t>
      </w:r>
      <w:r w:rsidR="009D256B">
        <w:rPr>
          <w:rFonts w:ascii="Times New Roman" w:hAnsi="Times New Roman" w:cs="Times New Roman"/>
          <w:sz w:val="24"/>
          <w:szCs w:val="24"/>
        </w:rPr>
        <w:t xml:space="preserve"> are used in the study. </w:t>
      </w:r>
    </w:p>
    <w:p w:rsidR="009D256B" w:rsidRPr="00B06BD8" w:rsidRDefault="009D256B" w:rsidP="00D80AB2">
      <w:pPr>
        <w:spacing w:line="360" w:lineRule="auto"/>
        <w:contextualSpacing/>
        <w:jc w:val="both"/>
        <w:rPr>
          <w:rFonts w:ascii="Times New Roman" w:hAnsi="Times New Roman" w:cs="Times New Roman"/>
          <w:sz w:val="24"/>
          <w:szCs w:val="24"/>
        </w:rPr>
      </w:pPr>
    </w:p>
    <w:p w:rsidR="00BD52EA" w:rsidRDefault="009D256B" w:rsidP="00D80AB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Defining</w:t>
      </w:r>
      <w:r w:rsidR="00BD52EA" w:rsidRPr="00B06BD8">
        <w:rPr>
          <w:rFonts w:ascii="Times New Roman" w:hAnsi="Times New Roman" w:cs="Times New Roman"/>
          <w:b/>
          <w:sz w:val="24"/>
          <w:szCs w:val="24"/>
        </w:rPr>
        <w:t xml:space="preserve"> </w:t>
      </w:r>
      <w:r>
        <w:rPr>
          <w:rFonts w:ascii="Times New Roman" w:hAnsi="Times New Roman" w:cs="Times New Roman"/>
          <w:b/>
          <w:sz w:val="24"/>
          <w:szCs w:val="24"/>
        </w:rPr>
        <w:t>Financial Inclusion</w:t>
      </w:r>
      <w:r w:rsidR="00BD52EA" w:rsidRPr="00B06BD8">
        <w:rPr>
          <w:rFonts w:ascii="Times New Roman" w:hAnsi="Times New Roman" w:cs="Times New Roman"/>
          <w:b/>
          <w:sz w:val="24"/>
          <w:szCs w:val="24"/>
        </w:rPr>
        <w:t>:</w:t>
      </w:r>
    </w:p>
    <w:p w:rsidR="000F2EAD" w:rsidRPr="000F2EAD" w:rsidRDefault="000F2EAD" w:rsidP="00D80AB2">
      <w:pPr>
        <w:spacing w:line="360" w:lineRule="auto"/>
        <w:contextualSpacing/>
        <w:jc w:val="both"/>
        <w:rPr>
          <w:rFonts w:ascii="Times New Roman" w:hAnsi="Times New Roman" w:cs="Times New Roman"/>
          <w:sz w:val="24"/>
          <w:szCs w:val="24"/>
        </w:rPr>
      </w:pPr>
      <w:r w:rsidRPr="000F2EAD">
        <w:rPr>
          <w:rFonts w:ascii="Times New Roman" w:hAnsi="Times New Roman" w:cs="Times New Roman"/>
          <w:sz w:val="24"/>
          <w:szCs w:val="24"/>
        </w:rPr>
        <w:t>The term "financial inclusion" is a bit of a misnomer. A number of authors, scholars, and economists have defined financial inclusion. There is no consensus among economists on how to define financial inclusion because of its enormous breadth and unlimited function. There are several ways to look at and define financial inclusion. To better comprehend the concept of financial inclusion, we'll look at the perspectives of many authors, economists, and institutions.</w:t>
      </w:r>
    </w:p>
    <w:p w:rsidR="009D256B" w:rsidRDefault="009D256B" w:rsidP="009D256B">
      <w:pPr>
        <w:pStyle w:val="Default"/>
        <w:spacing w:after="120" w:line="360" w:lineRule="auto"/>
        <w:jc w:val="both"/>
        <w:rPr>
          <w:color w:val="auto"/>
        </w:rPr>
      </w:pPr>
      <w:r w:rsidRPr="004E0E79">
        <w:rPr>
          <w:color w:val="auto"/>
        </w:rPr>
        <w:t>Leeladhar (2006)</w:t>
      </w:r>
      <w:r w:rsidRPr="004E0E79">
        <w:rPr>
          <w:rStyle w:val="FootnoteReference"/>
          <w:color w:val="auto"/>
        </w:rPr>
        <w:footnoteReference w:id="5"/>
      </w:r>
      <w:r w:rsidRPr="004F2223">
        <w:rPr>
          <w:color w:val="auto"/>
        </w:rPr>
        <w:t xml:space="preserve"> “Financial Inclusion is the liberation of banking services at an affordable cost to the vast sections of the disadvantaged and low income groups”.</w:t>
      </w:r>
    </w:p>
    <w:p w:rsidR="000F2EAD" w:rsidRDefault="009D256B" w:rsidP="009D256B">
      <w:pPr>
        <w:pStyle w:val="Default"/>
        <w:spacing w:after="120" w:line="360" w:lineRule="auto"/>
        <w:jc w:val="both"/>
        <w:rPr>
          <w:iCs/>
          <w:color w:val="auto"/>
        </w:rPr>
      </w:pPr>
      <w:r w:rsidRPr="004E0E79">
        <w:rPr>
          <w:color w:val="auto"/>
        </w:rPr>
        <w:t>Rangarajan’s Committee (2008)</w:t>
      </w:r>
      <w:r w:rsidRPr="004E0E79">
        <w:rPr>
          <w:rStyle w:val="FootnoteReference"/>
          <w:color w:val="auto"/>
        </w:rPr>
        <w:footnoteReference w:id="6"/>
      </w:r>
      <w:r w:rsidRPr="004F2223">
        <w:rPr>
          <w:color w:val="auto"/>
        </w:rPr>
        <w:t xml:space="preserve"> “</w:t>
      </w:r>
      <w:r w:rsidRPr="004F2223">
        <w:rPr>
          <w:iCs/>
          <w:color w:val="auto"/>
        </w:rPr>
        <w:t>Financial inclusion may be defined as the process of ensuring access to financial services and timely and adequate credit where needed by vulnerable groups such as weaker sections and low incom</w:t>
      </w:r>
      <w:r w:rsidR="000F2EAD">
        <w:rPr>
          <w:iCs/>
          <w:color w:val="auto"/>
        </w:rPr>
        <w:t>e groups at an affordable cost”.</w:t>
      </w:r>
    </w:p>
    <w:p w:rsidR="00A47E57" w:rsidRDefault="00A47E57" w:rsidP="009D256B">
      <w:pPr>
        <w:pStyle w:val="Default"/>
        <w:spacing w:after="120" w:line="360" w:lineRule="auto"/>
        <w:jc w:val="both"/>
        <w:rPr>
          <w:iCs/>
          <w:color w:val="auto"/>
        </w:rPr>
      </w:pPr>
    </w:p>
    <w:p w:rsidR="00A47E57" w:rsidRDefault="00A47E57" w:rsidP="009D256B">
      <w:pPr>
        <w:pStyle w:val="Default"/>
        <w:spacing w:after="120" w:line="360" w:lineRule="auto"/>
        <w:jc w:val="both"/>
        <w:rPr>
          <w:iCs/>
          <w:color w:val="auto"/>
        </w:rPr>
      </w:pPr>
    </w:p>
    <w:p w:rsidR="000F2EAD" w:rsidRDefault="000F2EAD" w:rsidP="000F2EA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Digital Financial Inclusion</w:t>
      </w:r>
      <w:r w:rsidRPr="00B06BD8">
        <w:rPr>
          <w:rFonts w:ascii="Times New Roman" w:hAnsi="Times New Roman" w:cs="Times New Roman"/>
          <w:b/>
          <w:sz w:val="24"/>
          <w:szCs w:val="24"/>
        </w:rPr>
        <w:t>:</w:t>
      </w:r>
    </w:p>
    <w:p w:rsidR="000F2EAD" w:rsidRDefault="000F2EAD" w:rsidP="009D256B">
      <w:pPr>
        <w:pStyle w:val="Default"/>
        <w:spacing w:after="120" w:line="360" w:lineRule="auto"/>
        <w:jc w:val="both"/>
        <w:rPr>
          <w:iCs/>
          <w:color w:val="auto"/>
        </w:rPr>
      </w:pPr>
      <w:r w:rsidRPr="000F2EAD">
        <w:rPr>
          <w:iCs/>
          <w:color w:val="auto"/>
        </w:rPr>
        <w:t>Digital Financial Inclusion refers to ensuring inexpensive, suitable, and convenient digital access to vital financial services, especially for those who are financially disadvantaged. Digital Financial Inclusion relies on three key elements: a digital platform, retail agents, and a device.</w:t>
      </w:r>
    </w:p>
    <w:p w:rsidR="000F2EAD" w:rsidRDefault="000F2EAD" w:rsidP="000F2EAD">
      <w:pPr>
        <w:spacing w:after="0" w:line="360" w:lineRule="auto"/>
        <w:jc w:val="both"/>
        <w:rPr>
          <w:rFonts w:ascii="Times New Roman" w:hAnsi="Times New Roman" w:cs="Times New Roman"/>
          <w:sz w:val="24"/>
          <w:szCs w:val="24"/>
        </w:rPr>
      </w:pPr>
      <w:r w:rsidRPr="004E0E79">
        <w:rPr>
          <w:rFonts w:ascii="Times New Roman" w:hAnsi="Times New Roman" w:cs="Times New Roman"/>
          <w:sz w:val="24"/>
          <w:szCs w:val="24"/>
        </w:rPr>
        <w:lastRenderedPageBreak/>
        <w:t>Jim Yong Kim, The President of World Bank Group:</w:t>
      </w:r>
      <w:r w:rsidRPr="006D66C5">
        <w:rPr>
          <w:rFonts w:ascii="Times New Roman" w:hAnsi="Times New Roman" w:cs="Times New Roman"/>
          <w:sz w:val="24"/>
          <w:szCs w:val="24"/>
        </w:rPr>
        <w:t xml:space="preserve"> “Digital Financial Inclusion involves the deployment of the cost-saving digital means to reach currently financially excluded and underserved populations with a range of formal financial services suited to their needs that are responsibly delivered at a cost affordable to customers and sustainable for providers”</w:t>
      </w:r>
      <w:r>
        <w:rPr>
          <w:rFonts w:ascii="Times New Roman" w:hAnsi="Times New Roman" w:cs="Times New Roman"/>
          <w:sz w:val="24"/>
          <w:szCs w:val="24"/>
        </w:rPr>
        <w:t xml:space="preserve"> </w:t>
      </w:r>
    </w:p>
    <w:p w:rsidR="004E0E79" w:rsidRDefault="004E0E79" w:rsidP="000F2EAD">
      <w:pPr>
        <w:spacing w:after="0" w:line="360" w:lineRule="auto"/>
        <w:jc w:val="both"/>
        <w:rPr>
          <w:rFonts w:ascii="Times New Roman" w:hAnsi="Times New Roman" w:cs="Times New Roman"/>
          <w:sz w:val="24"/>
          <w:szCs w:val="24"/>
        </w:rPr>
      </w:pPr>
    </w:p>
    <w:p w:rsidR="004E0E79" w:rsidRDefault="004E0E79" w:rsidP="000F2E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Status of Digital Financial Inclusion in I</w:t>
      </w:r>
      <w:r w:rsidRPr="00175AE7">
        <w:rPr>
          <w:rFonts w:ascii="Times New Roman" w:hAnsi="Times New Roman" w:cs="Times New Roman"/>
          <w:b/>
          <w:sz w:val="24"/>
          <w:szCs w:val="24"/>
        </w:rPr>
        <w:t>ndia</w:t>
      </w:r>
      <w:r>
        <w:rPr>
          <w:rFonts w:ascii="Times New Roman" w:hAnsi="Times New Roman" w:cs="Times New Roman"/>
          <w:b/>
          <w:sz w:val="24"/>
          <w:szCs w:val="24"/>
        </w:rPr>
        <w:t>:</w:t>
      </w:r>
    </w:p>
    <w:p w:rsidR="004E0E79" w:rsidRDefault="004E0E79" w:rsidP="000F2EAD">
      <w:pPr>
        <w:spacing w:after="0" w:line="360" w:lineRule="auto"/>
        <w:jc w:val="both"/>
        <w:rPr>
          <w:rFonts w:ascii="Times New Roman" w:hAnsi="Times New Roman" w:cs="Times New Roman"/>
          <w:sz w:val="24"/>
          <w:szCs w:val="24"/>
        </w:rPr>
      </w:pPr>
      <w:r w:rsidRPr="004E0E79">
        <w:rPr>
          <w:rFonts w:ascii="Times New Roman" w:hAnsi="Times New Roman" w:cs="Times New Roman"/>
          <w:sz w:val="24"/>
          <w:szCs w:val="24"/>
        </w:rPr>
        <w:t>Mobile banking penetration and the volume of digital payments, which are detailed below, can be used to assess the state of digital financial inclusion.</w:t>
      </w:r>
    </w:p>
    <w:p w:rsidR="004E0E79" w:rsidRPr="004E0E79" w:rsidRDefault="004E0E79" w:rsidP="004E0E79">
      <w:pPr>
        <w:pStyle w:val="Default"/>
        <w:spacing w:after="120" w:line="360" w:lineRule="auto"/>
        <w:jc w:val="both"/>
        <w:rPr>
          <w:iCs/>
          <w:color w:val="auto"/>
        </w:rPr>
      </w:pPr>
      <w:r>
        <w:rPr>
          <w:rFonts w:eastAsia="Times New Roman"/>
          <w:b/>
        </w:rPr>
        <w:t>Mobile Banking Forecast</w:t>
      </w:r>
    </w:p>
    <w:p w:rsidR="004E0E79" w:rsidRDefault="004E0E79" w:rsidP="000F2EAD">
      <w:pPr>
        <w:spacing w:after="0" w:line="360" w:lineRule="auto"/>
        <w:jc w:val="both"/>
        <w:rPr>
          <w:rFonts w:ascii="Times New Roman" w:hAnsi="Times New Roman" w:cs="Times New Roman"/>
          <w:sz w:val="24"/>
          <w:szCs w:val="24"/>
        </w:rPr>
      </w:pPr>
      <w:r w:rsidRPr="004E0E79">
        <w:rPr>
          <w:rFonts w:ascii="Times New Roman" w:hAnsi="Times New Roman" w:cs="Times New Roman"/>
          <w:sz w:val="24"/>
          <w:szCs w:val="24"/>
        </w:rPr>
        <w:t xml:space="preserve">The most common device for digital banking is a mobile phone. It allows financial organisations to reach out to the unbanked population more readily, as well as provide better banking services to existing consumers. Data from mobile phone users represents a country's digital infrastructure. The following </w:t>
      </w:r>
      <w:r>
        <w:rPr>
          <w:rFonts w:ascii="Times New Roman" w:hAnsi="Times New Roman" w:cs="Times New Roman"/>
          <w:sz w:val="24"/>
          <w:szCs w:val="24"/>
        </w:rPr>
        <w:t>figure</w:t>
      </w:r>
      <w:r w:rsidRPr="004E0E79">
        <w:rPr>
          <w:rFonts w:ascii="Times New Roman" w:hAnsi="Times New Roman" w:cs="Times New Roman"/>
          <w:sz w:val="24"/>
          <w:szCs w:val="24"/>
        </w:rPr>
        <w:t xml:space="preserve"> shows how far mobile banking has progressed.</w:t>
      </w:r>
    </w:p>
    <w:p w:rsidR="004E0E79" w:rsidRDefault="004E0E79" w:rsidP="004E0E79">
      <w:pPr>
        <w:spacing w:after="120" w:line="240" w:lineRule="auto"/>
        <w:jc w:val="center"/>
        <w:rPr>
          <w:rFonts w:ascii="Times New Roman" w:eastAsia="Times New Roman" w:hAnsi="Times New Roman" w:cs="Times New Roman"/>
          <w:b/>
          <w:sz w:val="24"/>
          <w:szCs w:val="24"/>
        </w:rPr>
      </w:pPr>
    </w:p>
    <w:p w:rsidR="004E0E79" w:rsidRDefault="004E0E79" w:rsidP="004E0E79">
      <w:pPr>
        <w:spacing w:after="120" w:line="240" w:lineRule="auto"/>
        <w:jc w:val="center"/>
        <w:rPr>
          <w:rFonts w:ascii="Times New Roman" w:eastAsia="Times New Roman" w:hAnsi="Times New Roman" w:cs="Times New Roman"/>
          <w:b/>
          <w:sz w:val="24"/>
          <w:szCs w:val="24"/>
        </w:rPr>
      </w:pPr>
    </w:p>
    <w:p w:rsidR="004E0E79" w:rsidRPr="00175AE7" w:rsidRDefault="004E0E79" w:rsidP="004E0E79">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No 01</w:t>
      </w:r>
      <w:r w:rsidRPr="00175AE7">
        <w:rPr>
          <w:rFonts w:ascii="Times New Roman" w:eastAsia="Times New Roman" w:hAnsi="Times New Roman" w:cs="Times New Roman"/>
          <w:b/>
          <w:sz w:val="24"/>
          <w:szCs w:val="24"/>
        </w:rPr>
        <w:t>: Growth of Mobile Banking</w:t>
      </w:r>
    </w:p>
    <w:p w:rsidR="004E0E79" w:rsidRPr="00175AE7" w:rsidRDefault="004E0E79" w:rsidP="004E0E79">
      <w:pPr>
        <w:spacing w:after="0" w:line="360" w:lineRule="auto"/>
        <w:ind w:right="20" w:firstLine="72"/>
        <w:jc w:val="center"/>
        <w:rPr>
          <w:rFonts w:ascii="Times New Roman" w:eastAsia="Times New Roman" w:hAnsi="Times New Roman" w:cs="Times New Roman"/>
          <w:sz w:val="24"/>
          <w:szCs w:val="24"/>
        </w:rPr>
      </w:pPr>
      <w:r w:rsidRPr="00175AE7">
        <w:rPr>
          <w:rFonts w:ascii="Times New Roman" w:hAnsi="Times New Roman" w:cs="Times New Roman"/>
          <w:b/>
          <w:noProof/>
          <w:sz w:val="24"/>
          <w:szCs w:val="24"/>
          <w:lang w:val="en-IN" w:eastAsia="en-IN"/>
        </w:rPr>
        <w:drawing>
          <wp:inline distT="0" distB="0" distL="0" distR="0" wp14:anchorId="190D9208" wp14:editId="38A7F614">
            <wp:extent cx="5010150" cy="2352675"/>
            <wp:effectExtent l="0" t="0" r="1905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0E79" w:rsidRDefault="004E0E79" w:rsidP="004E0E79">
      <w:pPr>
        <w:spacing w:after="120" w:line="240" w:lineRule="auto"/>
        <w:ind w:left="72"/>
        <w:jc w:val="both"/>
        <w:rPr>
          <w:rFonts w:ascii="Times New Roman" w:hAnsi="Times New Roman" w:cs="Times New Roman"/>
          <w:sz w:val="24"/>
          <w:szCs w:val="24"/>
        </w:rPr>
      </w:pPr>
      <w:r>
        <w:rPr>
          <w:rFonts w:ascii="Times New Roman" w:hAnsi="Times New Roman" w:cs="Times New Roman"/>
          <w:i/>
          <w:sz w:val="20"/>
          <w:szCs w:val="24"/>
        </w:rPr>
        <w:t xml:space="preserve">         </w:t>
      </w:r>
      <w:r w:rsidR="005A2C73">
        <w:rPr>
          <w:rFonts w:ascii="Times New Roman" w:hAnsi="Times New Roman" w:cs="Times New Roman"/>
          <w:i/>
          <w:sz w:val="20"/>
          <w:szCs w:val="24"/>
        </w:rPr>
        <w:t xml:space="preserve">  </w:t>
      </w:r>
      <w:r>
        <w:rPr>
          <w:rFonts w:ascii="Times New Roman" w:hAnsi="Times New Roman" w:cs="Times New Roman"/>
          <w:i/>
          <w:sz w:val="20"/>
          <w:szCs w:val="24"/>
        </w:rPr>
        <w:t xml:space="preserve"> </w:t>
      </w:r>
      <w:r w:rsidRPr="0004743C">
        <w:rPr>
          <w:rFonts w:ascii="Times New Roman" w:hAnsi="Times New Roman" w:cs="Times New Roman"/>
          <w:i/>
          <w:sz w:val="20"/>
          <w:szCs w:val="24"/>
        </w:rPr>
        <w:t>Source:</w:t>
      </w:r>
      <w:r w:rsidRPr="0004743C">
        <w:rPr>
          <w:rFonts w:ascii="Times New Roman" w:hAnsi="Times New Roman" w:cs="Times New Roman"/>
          <w:sz w:val="20"/>
          <w:szCs w:val="24"/>
        </w:rPr>
        <w:t xml:space="preserve"> Reserve Bank of India</w:t>
      </w:r>
    </w:p>
    <w:p w:rsidR="004E0E79" w:rsidRDefault="004E0E79" w:rsidP="009D256B">
      <w:pPr>
        <w:pStyle w:val="Default"/>
        <w:spacing w:after="120" w:line="360" w:lineRule="auto"/>
        <w:jc w:val="both"/>
        <w:rPr>
          <w:iCs/>
          <w:color w:val="auto"/>
        </w:rPr>
      </w:pPr>
      <w:r>
        <w:rPr>
          <w:b/>
        </w:rPr>
        <w:t>Digital Payments</w:t>
      </w:r>
      <w:r w:rsidRPr="004E0E79">
        <w:rPr>
          <w:iCs/>
          <w:color w:val="auto"/>
        </w:rPr>
        <w:t xml:space="preserve"> </w:t>
      </w:r>
    </w:p>
    <w:p w:rsidR="000F2EAD" w:rsidRDefault="004E0E79" w:rsidP="009D256B">
      <w:pPr>
        <w:pStyle w:val="Default"/>
        <w:spacing w:after="120" w:line="360" w:lineRule="auto"/>
        <w:jc w:val="both"/>
        <w:rPr>
          <w:iCs/>
          <w:color w:val="auto"/>
        </w:rPr>
      </w:pPr>
      <w:r w:rsidRPr="004E0E79">
        <w:rPr>
          <w:iCs/>
          <w:color w:val="auto"/>
        </w:rPr>
        <w:t xml:space="preserve">The Indian economy is heavily reliant on currency. Consumers made about 78 percent of their payments in cash. In India, cash is the most common form of payment. The cash-to-GDP ratio of India is 12.04 percent, which is quite high. Because of these factors, there is a great need for digital payments. </w:t>
      </w:r>
      <w:proofErr w:type="gramStart"/>
      <w:r w:rsidRPr="004E0E79">
        <w:rPr>
          <w:iCs/>
          <w:color w:val="auto"/>
        </w:rPr>
        <w:t xml:space="preserve">Cash trading costs.21, 000 crores in printing currency, currency chest costs, </w:t>
      </w:r>
      <w:r w:rsidRPr="004E0E79">
        <w:rPr>
          <w:iCs/>
          <w:color w:val="auto"/>
        </w:rPr>
        <w:lastRenderedPageBreak/>
        <w:t>money supply to ATMs costs, and so on.</w:t>
      </w:r>
      <w:proofErr w:type="gramEnd"/>
      <w:r w:rsidRPr="004E0E79">
        <w:rPr>
          <w:iCs/>
          <w:color w:val="auto"/>
        </w:rPr>
        <w:t xml:space="preserve"> The following are the most important arguments for using </w:t>
      </w:r>
      <w:r>
        <w:rPr>
          <w:iCs/>
          <w:color w:val="auto"/>
        </w:rPr>
        <w:t>digital payments</w:t>
      </w:r>
    </w:p>
    <w:p w:rsidR="004E0E79" w:rsidRDefault="004E0E79" w:rsidP="004E0E79">
      <w:pPr>
        <w:spacing w:line="360" w:lineRule="auto"/>
        <w:rPr>
          <w:rFonts w:ascii="Times New Roman" w:hAnsi="Times New Roman" w:cs="Times New Roman"/>
          <w:b/>
          <w:sz w:val="24"/>
          <w:szCs w:val="24"/>
        </w:rPr>
      </w:pPr>
      <w:r w:rsidRPr="004E0E79">
        <w:rPr>
          <w:rFonts w:ascii="Times New Roman" w:hAnsi="Times New Roman" w:cs="Times New Roman"/>
          <w:b/>
          <w:sz w:val="24"/>
          <w:szCs w:val="24"/>
        </w:rPr>
        <w:t xml:space="preserve">Status of Digital Financial Inclusion in Tumakuru </w:t>
      </w:r>
    </w:p>
    <w:p w:rsidR="004E0E79" w:rsidRDefault="004E0E79" w:rsidP="004E0E79">
      <w:pPr>
        <w:spacing w:line="360" w:lineRule="auto"/>
        <w:jc w:val="both"/>
        <w:rPr>
          <w:rFonts w:ascii="Times New Roman" w:hAnsi="Times New Roman" w:cs="Times New Roman"/>
          <w:sz w:val="24"/>
          <w:szCs w:val="24"/>
        </w:rPr>
      </w:pPr>
      <w:r>
        <w:rPr>
          <w:rFonts w:ascii="Times New Roman" w:hAnsi="Times New Roman" w:cs="Times New Roman"/>
          <w:sz w:val="24"/>
          <w:szCs w:val="24"/>
        </w:rPr>
        <w:t>Table No 01</w:t>
      </w:r>
      <w:r w:rsidRPr="004E0E79">
        <w:rPr>
          <w:rFonts w:ascii="Times New Roman" w:hAnsi="Times New Roman" w:cs="Times New Roman"/>
          <w:sz w:val="24"/>
          <w:szCs w:val="24"/>
        </w:rPr>
        <w:t xml:space="preserve"> demonstrates that 296 (47.8%) of the 600 responses are in the digital financial inclusion category, while the remaining 304 (50.7%) are not using any digital methods for banking operations.</w:t>
      </w:r>
    </w:p>
    <w:p w:rsidR="004E0E79" w:rsidRPr="008164D1" w:rsidRDefault="004E0E79" w:rsidP="004E0E79">
      <w:pPr>
        <w:pStyle w:val="NoSpacing"/>
        <w:spacing w:after="120"/>
        <w:jc w:val="center"/>
        <w:rPr>
          <w:rFonts w:ascii="Times New Roman" w:hAnsi="Times New Roman" w:cs="Times New Roman"/>
          <w:b/>
          <w:sz w:val="24"/>
        </w:rPr>
      </w:pPr>
      <w:r w:rsidRPr="008164D1">
        <w:rPr>
          <w:rFonts w:ascii="Times New Roman" w:hAnsi="Times New Roman" w:cs="Times New Roman"/>
          <w:b/>
          <w:sz w:val="24"/>
        </w:rPr>
        <w:t>Table</w:t>
      </w:r>
      <w:r>
        <w:rPr>
          <w:rFonts w:ascii="Times New Roman" w:hAnsi="Times New Roman" w:cs="Times New Roman"/>
          <w:b/>
          <w:sz w:val="24"/>
        </w:rPr>
        <w:t xml:space="preserve"> No 01</w:t>
      </w:r>
      <w:r w:rsidRPr="008164D1">
        <w:rPr>
          <w:rFonts w:ascii="Times New Roman" w:hAnsi="Times New Roman" w:cs="Times New Roman"/>
          <w:b/>
          <w:sz w:val="24"/>
        </w:rPr>
        <w:t xml:space="preserve">: </w:t>
      </w:r>
      <w:r>
        <w:rPr>
          <w:rFonts w:ascii="Times New Roman" w:hAnsi="Times New Roman" w:cs="Times New Roman"/>
          <w:b/>
          <w:sz w:val="24"/>
        </w:rPr>
        <w:t>Status of Digital Financial Inclusion in Tumakuru</w:t>
      </w:r>
    </w:p>
    <w:tbl>
      <w:tblPr>
        <w:tblStyle w:val="TableGrid"/>
        <w:tblW w:w="8295" w:type="dxa"/>
        <w:jc w:val="center"/>
        <w:tblLook w:val="04A0" w:firstRow="1" w:lastRow="0" w:firstColumn="1" w:lastColumn="0" w:noHBand="0" w:noVBand="1"/>
      </w:tblPr>
      <w:tblGrid>
        <w:gridCol w:w="2263"/>
        <w:gridCol w:w="1843"/>
        <w:gridCol w:w="1850"/>
        <w:gridCol w:w="2339"/>
      </w:tblGrid>
      <w:tr w:rsidR="004E0E79" w:rsidRPr="00514BE4" w:rsidTr="0011607D">
        <w:trPr>
          <w:trHeight w:val="279"/>
          <w:jc w:val="center"/>
        </w:trPr>
        <w:tc>
          <w:tcPr>
            <w:tcW w:w="2263" w:type="dxa"/>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Monthly Income</w:t>
            </w:r>
          </w:p>
        </w:tc>
        <w:tc>
          <w:tcPr>
            <w:tcW w:w="1843" w:type="dxa"/>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Frequency</w:t>
            </w:r>
          </w:p>
        </w:tc>
        <w:tc>
          <w:tcPr>
            <w:tcW w:w="1850" w:type="dxa"/>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Percent</w:t>
            </w:r>
          </w:p>
        </w:tc>
        <w:tc>
          <w:tcPr>
            <w:tcW w:w="2339" w:type="dxa"/>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Cumulative Percent</w:t>
            </w:r>
          </w:p>
        </w:tc>
      </w:tr>
      <w:tr w:rsidR="004E0E79" w:rsidRPr="00514BE4" w:rsidTr="0011607D">
        <w:trPr>
          <w:trHeight w:val="140"/>
          <w:jc w:val="center"/>
        </w:trPr>
        <w:tc>
          <w:tcPr>
            <w:tcW w:w="2263" w:type="dxa"/>
            <w:hideMark/>
          </w:tcPr>
          <w:p w:rsidR="004E0E79" w:rsidRPr="006A3F56" w:rsidRDefault="004E0E79" w:rsidP="0011607D">
            <w:pPr>
              <w:jc w:val="center"/>
              <w:rPr>
                <w:rFonts w:ascii="Times New Roman" w:eastAsia="Times New Roman" w:hAnsi="Times New Roman" w:cs="Times New Roman"/>
                <w:b/>
                <w:sz w:val="24"/>
                <w:szCs w:val="24"/>
              </w:rPr>
            </w:pPr>
            <w:r>
              <w:rPr>
                <w:rFonts w:ascii="Times New Roman" w:hAnsi="Times New Roman" w:cs="Times New Roman"/>
                <w:b/>
                <w:sz w:val="24"/>
                <w:szCs w:val="24"/>
              </w:rPr>
              <w:t>Yes</w:t>
            </w:r>
          </w:p>
        </w:tc>
        <w:tc>
          <w:tcPr>
            <w:tcW w:w="1843"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tc>
        <w:tc>
          <w:tcPr>
            <w:tcW w:w="1850"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2339"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r>
      <w:tr w:rsidR="004E0E79" w:rsidRPr="00514BE4" w:rsidTr="0011607D">
        <w:trPr>
          <w:trHeight w:val="140"/>
          <w:jc w:val="center"/>
        </w:trPr>
        <w:tc>
          <w:tcPr>
            <w:tcW w:w="2263" w:type="dxa"/>
            <w:hideMark/>
          </w:tcPr>
          <w:p w:rsidR="004E0E79" w:rsidRPr="003F1C4F" w:rsidRDefault="004E0E79" w:rsidP="0011607D">
            <w:pPr>
              <w:jc w:val="center"/>
              <w:rPr>
                <w:rFonts w:ascii="Times New Roman" w:eastAsia="Times New Roman" w:hAnsi="Times New Roman" w:cs="Times New Roman"/>
                <w:b/>
                <w:sz w:val="24"/>
                <w:szCs w:val="24"/>
              </w:rPr>
            </w:pPr>
            <w:r w:rsidRPr="003F1C4F">
              <w:rPr>
                <w:rFonts w:ascii="Times New Roman" w:hAnsi="Times New Roman" w:cs="Times New Roman"/>
                <w:b/>
                <w:sz w:val="24"/>
                <w:szCs w:val="24"/>
              </w:rPr>
              <w:t>No</w:t>
            </w:r>
          </w:p>
        </w:tc>
        <w:tc>
          <w:tcPr>
            <w:tcW w:w="1843"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c>
          <w:tcPr>
            <w:tcW w:w="1850"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w:t>
            </w:r>
          </w:p>
        </w:tc>
        <w:tc>
          <w:tcPr>
            <w:tcW w:w="2339"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E0E79" w:rsidRPr="00514BE4" w:rsidTr="0011607D">
        <w:trPr>
          <w:trHeight w:val="140"/>
          <w:jc w:val="center"/>
        </w:trPr>
        <w:tc>
          <w:tcPr>
            <w:tcW w:w="2263" w:type="dxa"/>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Total</w:t>
            </w:r>
          </w:p>
        </w:tc>
        <w:tc>
          <w:tcPr>
            <w:tcW w:w="1843" w:type="dxa"/>
            <w:noWrap/>
            <w:hideMark/>
          </w:tcPr>
          <w:p w:rsidR="004E0E79" w:rsidRPr="00514BE4" w:rsidRDefault="004E0E79" w:rsidP="001160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600</w:t>
            </w:r>
          </w:p>
        </w:tc>
        <w:tc>
          <w:tcPr>
            <w:tcW w:w="1850" w:type="dxa"/>
            <w:noWrap/>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100.0</w:t>
            </w:r>
          </w:p>
        </w:tc>
        <w:tc>
          <w:tcPr>
            <w:tcW w:w="2339" w:type="dxa"/>
            <w:hideMark/>
          </w:tcPr>
          <w:p w:rsidR="004E0E79" w:rsidRPr="00514BE4" w:rsidRDefault="004E0E79" w:rsidP="0011607D">
            <w:pPr>
              <w:jc w:val="center"/>
              <w:rPr>
                <w:rFonts w:ascii="Times New Roman" w:eastAsia="Times New Roman" w:hAnsi="Times New Roman" w:cs="Times New Roman"/>
                <w:sz w:val="24"/>
                <w:szCs w:val="24"/>
              </w:rPr>
            </w:pPr>
          </w:p>
        </w:tc>
      </w:tr>
    </w:tbl>
    <w:p w:rsidR="004E0E79" w:rsidRDefault="004E0E79" w:rsidP="004E0E79">
      <w:pPr>
        <w:pStyle w:val="NoSpacing"/>
        <w:rPr>
          <w:rFonts w:ascii="Times New Roman" w:hAnsi="Times New Roman" w:cs="Times New Roman"/>
          <w:sz w:val="20"/>
        </w:rPr>
      </w:pPr>
      <w:r>
        <w:rPr>
          <w:rFonts w:ascii="Times New Roman" w:hAnsi="Times New Roman" w:cs="Times New Roman"/>
          <w:i/>
          <w:sz w:val="20"/>
        </w:rPr>
        <w:t xml:space="preserve">         </w:t>
      </w:r>
      <w:r w:rsidRPr="00547AE6">
        <w:rPr>
          <w:rFonts w:ascii="Times New Roman" w:hAnsi="Times New Roman" w:cs="Times New Roman"/>
          <w:i/>
          <w:sz w:val="20"/>
        </w:rPr>
        <w:t>Source:</w:t>
      </w:r>
      <w:r w:rsidRPr="00547AE6">
        <w:rPr>
          <w:rFonts w:ascii="Times New Roman" w:hAnsi="Times New Roman" w:cs="Times New Roman"/>
          <w:sz w:val="20"/>
        </w:rPr>
        <w:t xml:space="preserve"> </w:t>
      </w:r>
      <w:r>
        <w:rPr>
          <w:rFonts w:ascii="Times New Roman" w:hAnsi="Times New Roman" w:cs="Times New Roman"/>
          <w:sz w:val="20"/>
        </w:rPr>
        <w:t>Primary Data</w:t>
      </w:r>
    </w:p>
    <w:p w:rsidR="004E0E79" w:rsidRDefault="004E0E79" w:rsidP="00A3035F">
      <w:pPr>
        <w:pStyle w:val="NoSpacing"/>
        <w:spacing w:after="120"/>
        <w:rPr>
          <w:rFonts w:ascii="Times New Roman" w:eastAsia="Times New Roman" w:hAnsi="Times New Roman" w:cs="Times New Roman"/>
          <w:b/>
          <w:sz w:val="24"/>
          <w:szCs w:val="24"/>
        </w:rPr>
      </w:pPr>
    </w:p>
    <w:p w:rsidR="004E0E79" w:rsidRPr="00000847" w:rsidRDefault="004E0E79" w:rsidP="004E0E79">
      <w:pPr>
        <w:pStyle w:val="NoSpacing"/>
        <w:spacing w:after="120"/>
        <w:jc w:val="center"/>
        <w:rPr>
          <w:rFonts w:ascii="Times New Roman" w:hAnsi="Times New Roman" w:cs="Times New Roman"/>
          <w:b/>
          <w:sz w:val="24"/>
        </w:rPr>
      </w:pPr>
      <w:r>
        <w:rPr>
          <w:rFonts w:ascii="Times New Roman" w:eastAsia="Times New Roman" w:hAnsi="Times New Roman" w:cs="Times New Roman"/>
          <w:b/>
          <w:sz w:val="24"/>
          <w:szCs w:val="24"/>
        </w:rPr>
        <w:t xml:space="preserve">Figure No 02: </w:t>
      </w:r>
      <w:r>
        <w:rPr>
          <w:rFonts w:ascii="Times New Roman" w:hAnsi="Times New Roman" w:cs="Times New Roman"/>
          <w:b/>
          <w:sz w:val="24"/>
        </w:rPr>
        <w:t>Status of Digital Financial Inclusion in Tumakuru</w:t>
      </w:r>
    </w:p>
    <w:p w:rsidR="004E0E79" w:rsidRDefault="004E0E79" w:rsidP="004E0E79">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IN" w:eastAsia="en-IN"/>
        </w:rPr>
        <w:drawing>
          <wp:inline distT="0" distB="0" distL="0" distR="0" wp14:anchorId="364FCC38" wp14:editId="2E5A455B">
            <wp:extent cx="4552950" cy="204787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E0E79" w:rsidRDefault="004E0E79" w:rsidP="004E0E79">
      <w:pPr>
        <w:spacing w:after="0" w:line="240" w:lineRule="auto"/>
        <w:rPr>
          <w:rFonts w:ascii="Times New Roman" w:hAnsi="Times New Roman" w:cs="Times New Roman"/>
          <w:b/>
          <w:sz w:val="28"/>
          <w:szCs w:val="28"/>
        </w:rPr>
      </w:pPr>
      <w:r>
        <w:rPr>
          <w:rFonts w:ascii="Times New Roman" w:hAnsi="Times New Roman" w:cs="Times New Roman"/>
          <w:i/>
          <w:sz w:val="20"/>
        </w:rPr>
        <w:t xml:space="preserve">                    </w:t>
      </w:r>
      <w:r w:rsidRPr="00547AE6">
        <w:rPr>
          <w:rFonts w:ascii="Times New Roman" w:hAnsi="Times New Roman" w:cs="Times New Roman"/>
          <w:i/>
          <w:sz w:val="20"/>
        </w:rPr>
        <w:t>Source:</w:t>
      </w:r>
      <w:r w:rsidRPr="00547AE6">
        <w:rPr>
          <w:rFonts w:ascii="Times New Roman" w:hAnsi="Times New Roman" w:cs="Times New Roman"/>
          <w:sz w:val="20"/>
        </w:rPr>
        <w:t xml:space="preserve"> </w:t>
      </w:r>
      <w:r>
        <w:rPr>
          <w:rFonts w:ascii="Times New Roman" w:hAnsi="Times New Roman" w:cs="Times New Roman"/>
          <w:sz w:val="20"/>
        </w:rPr>
        <w:t>Primary Data</w:t>
      </w:r>
    </w:p>
    <w:p w:rsidR="004E0E79" w:rsidRDefault="004E0E79" w:rsidP="004E0E79">
      <w:pPr>
        <w:spacing w:after="0" w:line="240" w:lineRule="auto"/>
        <w:rPr>
          <w:rFonts w:ascii="Times New Roman" w:hAnsi="Times New Roman" w:cs="Times New Roman"/>
          <w:b/>
          <w:sz w:val="28"/>
          <w:szCs w:val="28"/>
        </w:rPr>
      </w:pPr>
    </w:p>
    <w:p w:rsidR="004E0E79" w:rsidRPr="004E0E79" w:rsidRDefault="004E0E79" w:rsidP="004E0E79">
      <w:pPr>
        <w:spacing w:after="0" w:line="240" w:lineRule="auto"/>
        <w:rPr>
          <w:rFonts w:ascii="Times New Roman" w:hAnsi="Times New Roman" w:cs="Times New Roman"/>
          <w:b/>
          <w:sz w:val="28"/>
          <w:szCs w:val="28"/>
        </w:rPr>
      </w:pPr>
      <w:r>
        <w:rPr>
          <w:rFonts w:ascii="Times New Roman" w:hAnsi="Times New Roman" w:cs="Times New Roman"/>
          <w:b/>
          <w:sz w:val="24"/>
          <w:szCs w:val="24"/>
        </w:rPr>
        <w:t>Causes of Digital Financial E</w:t>
      </w:r>
      <w:r w:rsidRPr="004E0E79">
        <w:rPr>
          <w:rFonts w:ascii="Times New Roman" w:hAnsi="Times New Roman" w:cs="Times New Roman"/>
          <w:b/>
          <w:sz w:val="24"/>
          <w:szCs w:val="24"/>
        </w:rPr>
        <w:t>xclusion</w:t>
      </w:r>
      <w:r w:rsidRPr="004E0E79">
        <w:rPr>
          <w:rFonts w:ascii="Times New Roman" w:hAnsi="Times New Roman" w:cs="Times New Roman"/>
          <w:sz w:val="24"/>
          <w:szCs w:val="24"/>
        </w:rPr>
        <w:t xml:space="preserve"> </w:t>
      </w:r>
    </w:p>
    <w:p w:rsidR="004E0E79" w:rsidRPr="00795A4B" w:rsidRDefault="004E0E79" w:rsidP="004E0E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Digital Financial Exclusion is a status where in financially included population deprived of digital access to basic banking services. The </w:t>
      </w:r>
      <w:r w:rsidRPr="004E0E79">
        <w:rPr>
          <w:rFonts w:ascii="Times New Roman" w:hAnsi="Times New Roman" w:cs="Times New Roman"/>
          <w:sz w:val="24"/>
          <w:szCs w:val="24"/>
        </w:rPr>
        <w:t>Table No 02</w:t>
      </w:r>
      <w:r>
        <w:rPr>
          <w:rFonts w:ascii="Times New Roman" w:hAnsi="Times New Roman" w:cs="Times New Roman"/>
          <w:sz w:val="24"/>
          <w:szCs w:val="24"/>
        </w:rPr>
        <w:t xml:space="preserve"> discusses the reasons for digital financial exclusion.</w:t>
      </w:r>
    </w:p>
    <w:p w:rsidR="004E0E79" w:rsidRPr="004D4B08" w:rsidRDefault="004E0E79" w:rsidP="004E0E79">
      <w:pPr>
        <w:pStyle w:val="NoSpacing"/>
        <w:spacing w:after="120"/>
        <w:jc w:val="center"/>
        <w:rPr>
          <w:rFonts w:ascii="Times New Roman" w:hAnsi="Times New Roman" w:cs="Times New Roman"/>
          <w:b/>
          <w:sz w:val="24"/>
        </w:rPr>
      </w:pPr>
      <w:r w:rsidRPr="008164D1">
        <w:rPr>
          <w:rFonts w:ascii="Times New Roman" w:hAnsi="Times New Roman" w:cs="Times New Roman"/>
          <w:b/>
          <w:sz w:val="24"/>
        </w:rPr>
        <w:t>Table</w:t>
      </w:r>
      <w:r>
        <w:rPr>
          <w:rFonts w:ascii="Times New Roman" w:hAnsi="Times New Roman" w:cs="Times New Roman"/>
          <w:b/>
          <w:sz w:val="24"/>
        </w:rPr>
        <w:t xml:space="preserve"> 5.9</w:t>
      </w:r>
      <w:r w:rsidRPr="008164D1">
        <w:rPr>
          <w:rFonts w:ascii="Times New Roman" w:hAnsi="Times New Roman" w:cs="Times New Roman"/>
          <w:b/>
          <w:sz w:val="24"/>
        </w:rPr>
        <w:t xml:space="preserve">: </w:t>
      </w:r>
      <w:r>
        <w:rPr>
          <w:rFonts w:ascii="Times New Roman" w:hAnsi="Times New Roman" w:cs="Times New Roman"/>
          <w:b/>
          <w:sz w:val="24"/>
        </w:rPr>
        <w:t>Opinion on Determinants of Digital Financial Exclusion</w:t>
      </w:r>
    </w:p>
    <w:tbl>
      <w:tblPr>
        <w:tblW w:w="9360" w:type="dxa"/>
        <w:tblInd w:w="108" w:type="dxa"/>
        <w:tblLayout w:type="fixed"/>
        <w:tblLook w:val="04A0" w:firstRow="1" w:lastRow="0" w:firstColumn="1" w:lastColumn="0" w:noHBand="0" w:noVBand="1"/>
      </w:tblPr>
      <w:tblGrid>
        <w:gridCol w:w="2790"/>
        <w:gridCol w:w="1170"/>
        <w:gridCol w:w="1170"/>
        <w:gridCol w:w="1170"/>
        <w:gridCol w:w="1080"/>
        <w:gridCol w:w="1170"/>
        <w:gridCol w:w="810"/>
      </w:tblGrid>
      <w:tr w:rsidR="004E0E79" w:rsidRPr="003A1E26" w:rsidTr="0011607D">
        <w:trPr>
          <w:trHeight w:val="311"/>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Dete</w:t>
            </w:r>
            <w:r>
              <w:rPr>
                <w:rFonts w:ascii="Times New Roman" w:eastAsia="Times New Roman" w:hAnsi="Times New Roman" w:cs="Times New Roman"/>
                <w:b/>
                <w:bCs/>
                <w:color w:val="000000"/>
                <w:sz w:val="24"/>
                <w:szCs w:val="24"/>
                <w:lang w:eastAsia="en-IN"/>
              </w:rPr>
              <w:t>r</w:t>
            </w:r>
            <w:r w:rsidRPr="003A1E26">
              <w:rPr>
                <w:rFonts w:ascii="Times New Roman" w:eastAsia="Times New Roman" w:hAnsi="Times New Roman" w:cs="Times New Roman"/>
                <w:b/>
                <w:bCs/>
                <w:color w:val="000000"/>
                <w:sz w:val="24"/>
                <w:szCs w:val="24"/>
                <w:lang w:eastAsia="en-IN"/>
              </w:rPr>
              <w:t>minants</w:t>
            </w:r>
          </w:p>
        </w:tc>
        <w:tc>
          <w:tcPr>
            <w:tcW w:w="5760" w:type="dxa"/>
            <w:gridSpan w:val="5"/>
            <w:tcBorders>
              <w:top w:val="single" w:sz="4" w:space="0" w:color="auto"/>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Opinion on Digital Exclusion</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Total</w:t>
            </w:r>
          </w:p>
        </w:tc>
      </w:tr>
      <w:tr w:rsidR="004E0E79" w:rsidRPr="003A1E26" w:rsidTr="0011607D">
        <w:trPr>
          <w:trHeight w:val="936"/>
        </w:trPr>
        <w:tc>
          <w:tcPr>
            <w:tcW w:w="2790" w:type="dxa"/>
            <w:vMerge/>
            <w:tcBorders>
              <w:top w:val="single" w:sz="4" w:space="0" w:color="auto"/>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Strongly Disagree</w:t>
            </w:r>
          </w:p>
        </w:tc>
        <w:tc>
          <w:tcPr>
            <w:tcW w:w="1170" w:type="dxa"/>
            <w:tcBorders>
              <w:top w:val="nil"/>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Disagree</w:t>
            </w:r>
          </w:p>
        </w:tc>
        <w:tc>
          <w:tcPr>
            <w:tcW w:w="1170" w:type="dxa"/>
            <w:tcBorders>
              <w:top w:val="nil"/>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 xml:space="preserve">Neither Agree or </w:t>
            </w:r>
            <w:r w:rsidRPr="003A1E26">
              <w:rPr>
                <w:rFonts w:ascii="Times New Roman" w:eastAsia="Times New Roman" w:hAnsi="Times New Roman" w:cs="Times New Roman"/>
                <w:b/>
                <w:bCs/>
                <w:color w:val="000000"/>
                <w:sz w:val="24"/>
                <w:szCs w:val="24"/>
                <w:lang w:eastAsia="en-IN"/>
              </w:rPr>
              <w:lastRenderedPageBreak/>
              <w:t>Disagree</w:t>
            </w:r>
          </w:p>
        </w:tc>
        <w:tc>
          <w:tcPr>
            <w:tcW w:w="1080" w:type="dxa"/>
            <w:tcBorders>
              <w:top w:val="nil"/>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lastRenderedPageBreak/>
              <w:t>Agree</w:t>
            </w:r>
          </w:p>
        </w:tc>
        <w:tc>
          <w:tcPr>
            <w:tcW w:w="1170" w:type="dxa"/>
            <w:tcBorders>
              <w:top w:val="nil"/>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Strongly Agree</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lastRenderedPageBreak/>
              <w:t>I do not want to have a digital bank account</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83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146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48</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27.3%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48.0%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0.0%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8.9%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15.8%</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I am not aware of e-banking services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185</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16</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15.1%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17.4%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60.9%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5.3%</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No proper security for e-transactions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5</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78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175</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9.2%</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5.9%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1.6%</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25.7%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57.6%</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Bank charges are high for e-banking services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74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11.8%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42.8%</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24.3%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18.8%</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Opening digital bank account is lengthy process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224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9.2%</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73.7%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12.2%</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I do not have access to digital banking channels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161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14</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44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75</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3.3%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53.0%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4.6%</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14.5%</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24.7%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I am not techno savvy</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150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65</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8.9%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49.3%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4.3%</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16.1%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21.4%</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I do not have trust on e-banking channels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17</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226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0.0%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5.6%</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74.3%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18.8%</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Possibility of misuse of personal information</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91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203</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29.9%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66.8%</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 xml:space="preserve">I do not have </w:t>
            </w:r>
            <w:r>
              <w:rPr>
                <w:rFonts w:ascii="Times New Roman" w:eastAsia="Times New Roman" w:hAnsi="Times New Roman" w:cs="Times New Roman"/>
                <w:b/>
                <w:bCs/>
                <w:color w:val="000000"/>
                <w:sz w:val="24"/>
                <w:szCs w:val="24"/>
                <w:lang w:eastAsia="en-IN"/>
              </w:rPr>
              <w:t xml:space="preserve">smart </w:t>
            </w:r>
            <w:r w:rsidRPr="003A1E26">
              <w:rPr>
                <w:rFonts w:ascii="Times New Roman" w:eastAsia="Times New Roman" w:hAnsi="Times New Roman" w:cs="Times New Roman"/>
                <w:b/>
                <w:bCs/>
                <w:color w:val="000000"/>
                <w:sz w:val="24"/>
                <w:szCs w:val="24"/>
                <w:lang w:eastAsia="en-IN"/>
              </w:rPr>
              <w:t>phones for mobile banking</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178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60</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58.6%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1.6%</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16.8%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19.7%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No proper banking services in case of emergency</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224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70</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3.3%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73.7%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23%</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Cash/offline transactions are secure and convenient</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5</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77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222</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25.3%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73.0%</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lastRenderedPageBreak/>
              <w:t>Total</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413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608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192</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1350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1085</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3648</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11.3%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16.7%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5.3%</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29.7%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bl>
    <w:p w:rsidR="004E0E79" w:rsidRDefault="004E0E79" w:rsidP="004E0E79">
      <w:pPr>
        <w:rPr>
          <w:rFonts w:ascii="Times New Roman" w:hAnsi="Times New Roman" w:cs="Times New Roman"/>
          <w:sz w:val="20"/>
        </w:rPr>
      </w:pPr>
      <w:r w:rsidRPr="00547AE6">
        <w:rPr>
          <w:rFonts w:ascii="Times New Roman" w:hAnsi="Times New Roman" w:cs="Times New Roman"/>
          <w:i/>
          <w:sz w:val="20"/>
        </w:rPr>
        <w:t>Source:</w:t>
      </w:r>
      <w:r w:rsidRPr="00547AE6">
        <w:rPr>
          <w:rFonts w:ascii="Times New Roman" w:hAnsi="Times New Roman" w:cs="Times New Roman"/>
          <w:sz w:val="20"/>
        </w:rPr>
        <w:t xml:space="preserve"> </w:t>
      </w:r>
      <w:r>
        <w:rPr>
          <w:rFonts w:ascii="Times New Roman" w:hAnsi="Times New Roman" w:cs="Times New Roman"/>
          <w:sz w:val="20"/>
        </w:rPr>
        <w:t>Primary Data</w:t>
      </w:r>
    </w:p>
    <w:p w:rsidR="004E0E79" w:rsidRPr="005F3A81" w:rsidRDefault="004E0E79" w:rsidP="005F3A81">
      <w:pPr>
        <w:pStyle w:val="NoSpacing"/>
        <w:spacing w:after="120" w:line="360" w:lineRule="auto"/>
        <w:jc w:val="both"/>
        <w:rPr>
          <w:rFonts w:ascii="Times New Roman" w:hAnsi="Times New Roman" w:cs="Times New Roman"/>
          <w:sz w:val="24"/>
        </w:rPr>
      </w:pPr>
      <w:r w:rsidRPr="004E0E79">
        <w:rPr>
          <w:rFonts w:ascii="Times New Roman" w:hAnsi="Times New Roman" w:cs="Times New Roman"/>
          <w:sz w:val="24"/>
        </w:rPr>
        <w:t>According to the findings, 48.0 percent of total digital financial excluded respondents want a digital bank account, 60.9 percent of total digital financial excluded respondents are unaware of e-banking services, and 57.6% of total digital financial excluded respondents agree that e-banking services lack proper security. 73.7 percent of total digital financial excluded respondents believe that opening a digital bank account is a time-consuming process, while 53.0 percent of total digital financial excluded respondents have access to digital banking channels and 74.3 percent do not trust e-banking channels. 66.8% of total digital financial excluded respondents are concerned about the prospect of information misuse. 73.7 percent of total digital financial excluded respondents agreed that there is no adequate banking service in the event of an emergency, and 73.0 percent strongly agreed that cash transactions are more secure and convenient.</w:t>
      </w:r>
    </w:p>
    <w:p w:rsidR="00B356EB" w:rsidRPr="00B06BD8" w:rsidRDefault="00B356EB" w:rsidP="00B356EB">
      <w:pPr>
        <w:spacing w:after="0"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Limitation of the Study:</w:t>
      </w:r>
    </w:p>
    <w:p w:rsidR="00013A79" w:rsidRPr="00B06BD8" w:rsidRDefault="00013A79" w:rsidP="00013A79">
      <w:pPr>
        <w:pStyle w:val="ListParagraph"/>
        <w:numPr>
          <w:ilvl w:val="0"/>
          <w:numId w:val="1"/>
        </w:numPr>
        <w:spacing w:after="0" w:line="360" w:lineRule="auto"/>
        <w:jc w:val="both"/>
        <w:rPr>
          <w:rFonts w:ascii="Times New Roman" w:hAnsi="Times New Roman" w:cs="Times New Roman"/>
          <w:sz w:val="24"/>
          <w:szCs w:val="24"/>
        </w:rPr>
      </w:pPr>
      <w:r w:rsidRPr="00B06BD8">
        <w:rPr>
          <w:rFonts w:ascii="Times New Roman" w:hAnsi="Times New Roman" w:cs="Times New Roman"/>
          <w:sz w:val="24"/>
          <w:szCs w:val="24"/>
        </w:rPr>
        <w:t xml:space="preserve">The Study is geographically limited to </w:t>
      </w:r>
      <w:r w:rsidR="005F3A81">
        <w:rPr>
          <w:rFonts w:ascii="Times New Roman" w:hAnsi="Times New Roman" w:cs="Times New Roman"/>
          <w:sz w:val="24"/>
          <w:szCs w:val="24"/>
        </w:rPr>
        <w:t xml:space="preserve">Tumakuru District </w:t>
      </w:r>
      <w:r w:rsidRPr="00B06BD8">
        <w:rPr>
          <w:rFonts w:ascii="Times New Roman" w:hAnsi="Times New Roman" w:cs="Times New Roman"/>
          <w:sz w:val="24"/>
          <w:szCs w:val="24"/>
        </w:rPr>
        <w:t>of Karnataka.</w:t>
      </w:r>
    </w:p>
    <w:p w:rsidR="00013A79" w:rsidRPr="00B06BD8" w:rsidRDefault="00013A79" w:rsidP="00013A79">
      <w:pPr>
        <w:pStyle w:val="ListParagraph"/>
        <w:numPr>
          <w:ilvl w:val="0"/>
          <w:numId w:val="1"/>
        </w:numPr>
        <w:spacing w:after="0" w:line="360" w:lineRule="auto"/>
        <w:jc w:val="both"/>
        <w:rPr>
          <w:rFonts w:ascii="Times New Roman" w:hAnsi="Times New Roman" w:cs="Times New Roman"/>
          <w:sz w:val="24"/>
          <w:szCs w:val="24"/>
        </w:rPr>
      </w:pPr>
      <w:r w:rsidRPr="00B06BD8">
        <w:rPr>
          <w:rFonts w:ascii="Times New Roman" w:hAnsi="Times New Roman" w:cs="Times New Roman"/>
          <w:sz w:val="24"/>
          <w:szCs w:val="24"/>
        </w:rPr>
        <w:t xml:space="preserve">The study is completely relies on the opinion of respondents. </w:t>
      </w:r>
    </w:p>
    <w:p w:rsidR="005F3A81" w:rsidRPr="005A2C73" w:rsidRDefault="00013A79" w:rsidP="00B356EB">
      <w:pPr>
        <w:numPr>
          <w:ilvl w:val="0"/>
          <w:numId w:val="1"/>
        </w:numPr>
        <w:spacing w:line="360" w:lineRule="auto"/>
        <w:contextualSpacing/>
        <w:jc w:val="both"/>
        <w:rPr>
          <w:rFonts w:ascii="Times New Roman" w:hAnsi="Times New Roman" w:cs="Times New Roman"/>
          <w:sz w:val="24"/>
          <w:szCs w:val="24"/>
        </w:rPr>
      </w:pPr>
      <w:r w:rsidRPr="00B06BD8">
        <w:rPr>
          <w:rFonts w:ascii="Times New Roman" w:hAnsi="Times New Roman" w:cs="Times New Roman"/>
          <w:sz w:val="24"/>
          <w:szCs w:val="24"/>
        </w:rPr>
        <w:t>A detailed study could not be undertaken as a result of time constraint</w:t>
      </w:r>
    </w:p>
    <w:p w:rsidR="00B356EB" w:rsidRPr="00B06BD8" w:rsidRDefault="00B356EB" w:rsidP="00B356EB">
      <w:pPr>
        <w:spacing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Scope for Further Research:</w:t>
      </w:r>
    </w:p>
    <w:p w:rsidR="00F156BB" w:rsidRPr="00B06BD8" w:rsidRDefault="00F156BB" w:rsidP="00B356EB">
      <w:pPr>
        <w:spacing w:line="360" w:lineRule="auto"/>
        <w:jc w:val="both"/>
        <w:rPr>
          <w:rFonts w:ascii="Times New Roman" w:hAnsi="Times New Roman" w:cs="Times New Roman"/>
          <w:sz w:val="24"/>
          <w:szCs w:val="24"/>
        </w:rPr>
      </w:pPr>
      <w:r w:rsidRPr="00B06BD8">
        <w:rPr>
          <w:rFonts w:ascii="Times New Roman" w:hAnsi="Times New Roman" w:cs="Times New Roman"/>
          <w:sz w:val="24"/>
          <w:szCs w:val="24"/>
        </w:rPr>
        <w:t xml:space="preserve">The study confined to </w:t>
      </w:r>
      <w:r w:rsidR="005F3A81">
        <w:rPr>
          <w:rFonts w:ascii="Times New Roman" w:hAnsi="Times New Roman" w:cs="Times New Roman"/>
          <w:sz w:val="24"/>
          <w:szCs w:val="24"/>
        </w:rPr>
        <w:t xml:space="preserve">Tumakuru District </w:t>
      </w:r>
      <w:r w:rsidR="005F3A81" w:rsidRPr="00B06BD8">
        <w:rPr>
          <w:rFonts w:ascii="Times New Roman" w:hAnsi="Times New Roman" w:cs="Times New Roman"/>
          <w:sz w:val="24"/>
          <w:szCs w:val="24"/>
        </w:rPr>
        <w:t>of Karnataka</w:t>
      </w:r>
      <w:r w:rsidRPr="00B06BD8">
        <w:rPr>
          <w:rFonts w:ascii="Times New Roman" w:hAnsi="Times New Roman" w:cs="Times New Roman"/>
          <w:sz w:val="24"/>
          <w:szCs w:val="24"/>
        </w:rPr>
        <w:t xml:space="preserve">. The study can be conducted in other parts of </w:t>
      </w:r>
      <w:r w:rsidR="00C353F4" w:rsidRPr="00B06BD8">
        <w:rPr>
          <w:rFonts w:ascii="Times New Roman" w:hAnsi="Times New Roman" w:cs="Times New Roman"/>
          <w:sz w:val="24"/>
          <w:szCs w:val="24"/>
        </w:rPr>
        <w:t>India,</w:t>
      </w:r>
      <w:r w:rsidRPr="00B06BD8">
        <w:rPr>
          <w:rFonts w:ascii="Times New Roman" w:hAnsi="Times New Roman" w:cs="Times New Roman"/>
          <w:sz w:val="24"/>
          <w:szCs w:val="24"/>
        </w:rPr>
        <w:t xml:space="preserve"> as socio-economic </w:t>
      </w:r>
      <w:r w:rsidR="00C353F4" w:rsidRPr="00B06BD8">
        <w:rPr>
          <w:rFonts w:ascii="Times New Roman" w:hAnsi="Times New Roman" w:cs="Times New Roman"/>
          <w:sz w:val="24"/>
          <w:szCs w:val="24"/>
        </w:rPr>
        <w:t>profile of respondents is</w:t>
      </w:r>
      <w:r w:rsidRPr="00B06BD8">
        <w:rPr>
          <w:rFonts w:ascii="Times New Roman" w:hAnsi="Times New Roman" w:cs="Times New Roman"/>
          <w:sz w:val="24"/>
          <w:szCs w:val="24"/>
        </w:rPr>
        <w:t xml:space="preserve"> very much similar. The study is open for identifying new </w:t>
      </w:r>
      <w:r w:rsidR="00C353F4" w:rsidRPr="00B06BD8">
        <w:rPr>
          <w:rFonts w:ascii="Times New Roman" w:hAnsi="Times New Roman" w:cs="Times New Roman"/>
          <w:sz w:val="24"/>
          <w:szCs w:val="24"/>
        </w:rPr>
        <w:t>variables</w:t>
      </w:r>
      <w:r w:rsidRPr="00B06BD8">
        <w:rPr>
          <w:rFonts w:ascii="Times New Roman" w:hAnsi="Times New Roman" w:cs="Times New Roman"/>
          <w:sz w:val="24"/>
          <w:szCs w:val="24"/>
        </w:rPr>
        <w:t xml:space="preserve"> and factors that influences the </w:t>
      </w:r>
      <w:r w:rsidR="005F3A81">
        <w:rPr>
          <w:rFonts w:ascii="Times New Roman" w:hAnsi="Times New Roman" w:cs="Times New Roman"/>
          <w:sz w:val="24"/>
          <w:szCs w:val="24"/>
        </w:rPr>
        <w:t>digital financial inclusion and exclusion</w:t>
      </w:r>
      <w:r w:rsidRPr="00B06BD8">
        <w:rPr>
          <w:rFonts w:ascii="Times New Roman" w:hAnsi="Times New Roman" w:cs="Times New Roman"/>
          <w:sz w:val="24"/>
          <w:szCs w:val="24"/>
        </w:rPr>
        <w:t xml:space="preserve">. </w:t>
      </w:r>
      <w:r w:rsidR="005F3A81">
        <w:rPr>
          <w:rFonts w:ascii="Times New Roman" w:hAnsi="Times New Roman" w:cs="Times New Roman"/>
          <w:sz w:val="24"/>
          <w:szCs w:val="24"/>
        </w:rPr>
        <w:t>An</w:t>
      </w:r>
      <w:r w:rsidR="00C353F4" w:rsidRPr="00B06BD8">
        <w:rPr>
          <w:rFonts w:ascii="Times New Roman" w:hAnsi="Times New Roman" w:cs="Times New Roman"/>
          <w:sz w:val="24"/>
          <w:szCs w:val="24"/>
        </w:rPr>
        <w:t xml:space="preserve"> extensive research more respondents can be undertaken to get gain more concrete results which helps the </w:t>
      </w:r>
      <w:r w:rsidR="005F3A81" w:rsidRPr="00B06BD8">
        <w:rPr>
          <w:rFonts w:ascii="Times New Roman" w:hAnsi="Times New Roman" w:cs="Times New Roman"/>
          <w:sz w:val="24"/>
          <w:szCs w:val="24"/>
        </w:rPr>
        <w:t>stakeholders</w:t>
      </w:r>
      <w:r w:rsidR="00C353F4" w:rsidRPr="00B06BD8">
        <w:rPr>
          <w:rFonts w:ascii="Times New Roman" w:hAnsi="Times New Roman" w:cs="Times New Roman"/>
          <w:sz w:val="24"/>
          <w:szCs w:val="24"/>
        </w:rPr>
        <w:t xml:space="preserve"> in redesigning policies. </w:t>
      </w:r>
    </w:p>
    <w:p w:rsidR="00B356EB" w:rsidRPr="00B06BD8" w:rsidRDefault="00B356EB" w:rsidP="00B356EB">
      <w:pPr>
        <w:spacing w:after="0"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Conclusion:</w:t>
      </w:r>
    </w:p>
    <w:p w:rsidR="00D75E24" w:rsidRPr="00B06BD8" w:rsidRDefault="005A2C73" w:rsidP="00C353F4">
      <w:pPr>
        <w:tabs>
          <w:tab w:val="left" w:pos="656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Digital financial inclusion has given a different momentum to the aim of financial inclusion. Financial exclusion becomes common due to geographical and infrastructural issues. Timing of the services was also became a reason for financial exclusion. Digital financial inclusion has provided a timely and easily accessible platform to provide the better banking services. Financial inclusion emerged in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electronic way to reach the unreached. </w:t>
      </w:r>
      <w:r w:rsidR="0052718A">
        <w:rPr>
          <w:rFonts w:ascii="Times New Roman" w:hAnsi="Times New Roman" w:cs="Times New Roman"/>
          <w:sz w:val="24"/>
          <w:szCs w:val="24"/>
        </w:rPr>
        <w:t xml:space="preserve">Digital financial inclusion is </w:t>
      </w:r>
      <w:r w:rsidR="0052718A">
        <w:rPr>
          <w:rFonts w:ascii="Times New Roman" w:hAnsi="Times New Roman" w:cs="Times New Roman"/>
          <w:sz w:val="24"/>
          <w:szCs w:val="24"/>
        </w:rPr>
        <w:lastRenderedPageBreak/>
        <w:t xml:space="preserve">playing a significant role in </w:t>
      </w:r>
      <w:r w:rsidR="00A46447">
        <w:rPr>
          <w:rFonts w:ascii="Times New Roman" w:hAnsi="Times New Roman" w:cs="Times New Roman"/>
          <w:sz w:val="24"/>
          <w:szCs w:val="24"/>
        </w:rPr>
        <w:t>achieving</w:t>
      </w:r>
      <w:r w:rsidR="0052718A">
        <w:rPr>
          <w:rFonts w:ascii="Times New Roman" w:hAnsi="Times New Roman" w:cs="Times New Roman"/>
          <w:sz w:val="24"/>
          <w:szCs w:val="24"/>
        </w:rPr>
        <w:t xml:space="preserve"> the goal of financial inclusion. Due to infrastructure, financial literacy, ignorance, security issues or prejudices of the customers preventing them from opt</w:t>
      </w:r>
      <w:r w:rsidR="00A46447">
        <w:rPr>
          <w:rFonts w:ascii="Times New Roman" w:hAnsi="Times New Roman" w:cs="Times New Roman"/>
          <w:sz w:val="24"/>
          <w:szCs w:val="24"/>
        </w:rPr>
        <w:t xml:space="preserve">ing digital means of financial inclusion. </w:t>
      </w:r>
      <w:r w:rsidR="0011607D">
        <w:rPr>
          <w:rFonts w:ascii="Times New Roman" w:hAnsi="Times New Roman" w:cs="Times New Roman"/>
          <w:sz w:val="24"/>
          <w:szCs w:val="24"/>
        </w:rPr>
        <w:t xml:space="preserve">The Government and Central Bank of the country must consider this as a priority and shall take steps to resolves the challenges of digital financial inclusion for comprehensive financial inclusion. </w:t>
      </w:r>
    </w:p>
    <w:p w:rsidR="00576A87" w:rsidRPr="00B06BD8" w:rsidRDefault="00B356EB" w:rsidP="00B356EB">
      <w:pPr>
        <w:spacing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Reference:</w:t>
      </w:r>
    </w:p>
    <w:p w:rsidR="0011607D" w:rsidRPr="002E3E99" w:rsidRDefault="0011607D" w:rsidP="002E3E99">
      <w:pPr>
        <w:spacing w:after="0" w:line="360" w:lineRule="auto"/>
        <w:jc w:val="both"/>
        <w:rPr>
          <w:rFonts w:ascii="Times New Roman" w:hAnsi="Times New Roman" w:cs="Times New Roman"/>
          <w:sz w:val="24"/>
          <w:szCs w:val="24"/>
        </w:rPr>
      </w:pPr>
      <w:proofErr w:type="gramStart"/>
      <w:r w:rsidRPr="002E3E99">
        <w:rPr>
          <w:rFonts w:ascii="Times New Roman" w:hAnsi="Times New Roman" w:cs="Times New Roman"/>
          <w:sz w:val="24"/>
          <w:szCs w:val="24"/>
        </w:rPr>
        <w:t>Durai, T., &amp; Stella, G. (2019).</w:t>
      </w:r>
      <w:proofErr w:type="gramEnd"/>
      <w:r w:rsidRPr="002E3E99">
        <w:rPr>
          <w:rFonts w:ascii="Times New Roman" w:hAnsi="Times New Roman" w:cs="Times New Roman"/>
          <w:sz w:val="24"/>
          <w:szCs w:val="24"/>
        </w:rPr>
        <w:t xml:space="preserve"> </w:t>
      </w:r>
      <w:proofErr w:type="gramStart"/>
      <w:r w:rsidRPr="002E3E99">
        <w:rPr>
          <w:rFonts w:ascii="Times New Roman" w:hAnsi="Times New Roman" w:cs="Times New Roman"/>
          <w:sz w:val="24"/>
          <w:szCs w:val="24"/>
        </w:rPr>
        <w:t>Digital finance and its impact on financial inclusion.</w:t>
      </w:r>
      <w:proofErr w:type="gramEnd"/>
      <w:r w:rsidRPr="002E3E99">
        <w:rPr>
          <w:rFonts w:ascii="Times New Roman" w:hAnsi="Times New Roman" w:cs="Times New Roman"/>
          <w:sz w:val="24"/>
          <w:szCs w:val="24"/>
        </w:rPr>
        <w:t xml:space="preserve"> </w:t>
      </w:r>
      <w:proofErr w:type="gramStart"/>
      <w:r w:rsidRPr="002E3E99">
        <w:rPr>
          <w:rFonts w:ascii="Times New Roman" w:hAnsi="Times New Roman" w:cs="Times New Roman"/>
          <w:i/>
          <w:sz w:val="24"/>
          <w:szCs w:val="24"/>
        </w:rPr>
        <w:t>Journal of Emerging Technologies and Innovative Research, 6</w:t>
      </w:r>
      <w:r w:rsidRPr="002E3E99">
        <w:rPr>
          <w:rFonts w:ascii="Times New Roman" w:hAnsi="Times New Roman" w:cs="Times New Roman"/>
          <w:sz w:val="24"/>
          <w:szCs w:val="24"/>
        </w:rPr>
        <w:t>(1), 122-127.</w:t>
      </w:r>
      <w:proofErr w:type="gramEnd"/>
    </w:p>
    <w:p w:rsidR="0011607D" w:rsidRPr="002E3E99" w:rsidRDefault="0011607D" w:rsidP="002E3E99">
      <w:pPr>
        <w:pStyle w:val="FootnoteText"/>
        <w:spacing w:before="0" w:line="360" w:lineRule="auto"/>
        <w:rPr>
          <w:rFonts w:eastAsia="Times New Roman" w:cs="Times New Roman"/>
          <w:sz w:val="24"/>
          <w:szCs w:val="24"/>
        </w:rPr>
      </w:pPr>
      <w:r w:rsidRPr="002E3E99">
        <w:rPr>
          <w:rFonts w:eastAsia="Times New Roman" w:cs="Times New Roman"/>
          <w:sz w:val="24"/>
          <w:szCs w:val="24"/>
        </w:rPr>
        <w:t xml:space="preserve">Kaur, G. (2015). </w:t>
      </w:r>
      <w:proofErr w:type="gramStart"/>
      <w:r w:rsidRPr="002E3E99">
        <w:rPr>
          <w:rFonts w:eastAsia="Times New Roman" w:cs="Times New Roman"/>
          <w:sz w:val="24"/>
          <w:szCs w:val="24"/>
        </w:rPr>
        <w:t>Financial inclusion and digital India.</w:t>
      </w:r>
      <w:proofErr w:type="gramEnd"/>
      <w:r w:rsidRPr="002E3E99">
        <w:rPr>
          <w:rFonts w:eastAsia="Times New Roman" w:cs="Times New Roman"/>
          <w:sz w:val="24"/>
          <w:szCs w:val="24"/>
        </w:rPr>
        <w:t xml:space="preserve"> </w:t>
      </w:r>
      <w:r w:rsidRPr="002E3E99">
        <w:rPr>
          <w:rFonts w:eastAsia="Times New Roman" w:cs="Times New Roman"/>
          <w:i/>
          <w:sz w:val="24"/>
          <w:szCs w:val="24"/>
        </w:rPr>
        <w:t>International Journal of Business Management, 2</w:t>
      </w:r>
      <w:r w:rsidRPr="002E3E99">
        <w:rPr>
          <w:rFonts w:eastAsia="Times New Roman" w:cs="Times New Roman"/>
          <w:sz w:val="24"/>
          <w:szCs w:val="24"/>
        </w:rPr>
        <w:t>(2), 1251-1258.</w:t>
      </w:r>
    </w:p>
    <w:p w:rsidR="002E3E99" w:rsidRPr="002E3E99" w:rsidRDefault="002E3E99" w:rsidP="002E3E99">
      <w:pPr>
        <w:pStyle w:val="NormalWeb"/>
        <w:shd w:val="clear" w:color="auto" w:fill="FFFFFF"/>
        <w:spacing w:before="0" w:beforeAutospacing="0" w:after="0" w:afterAutospacing="0" w:line="360" w:lineRule="auto"/>
        <w:ind w:right="75"/>
        <w:jc w:val="both"/>
        <w:rPr>
          <w:color w:val="000000"/>
        </w:rPr>
      </w:pPr>
      <w:proofErr w:type="gramStart"/>
      <w:r w:rsidRPr="002E3E99">
        <w:rPr>
          <w:color w:val="000000"/>
        </w:rPr>
        <w:t>Leeladhar, V. (2016).</w:t>
      </w:r>
      <w:proofErr w:type="gramEnd"/>
      <w:r w:rsidRPr="002E3E99">
        <w:rPr>
          <w:color w:val="000000"/>
        </w:rPr>
        <w:t> </w:t>
      </w:r>
      <w:proofErr w:type="gramStart"/>
      <w:r w:rsidRPr="002E3E99">
        <w:rPr>
          <w:rStyle w:val="Emphasis"/>
          <w:color w:val="000000"/>
        </w:rPr>
        <w:t>Financial Inclusion and Millennium Development Goals</w:t>
      </w:r>
      <w:r w:rsidRPr="002E3E99">
        <w:rPr>
          <w:color w:val="000000"/>
        </w:rPr>
        <w:t>.</w:t>
      </w:r>
      <w:proofErr w:type="gramEnd"/>
      <w:r w:rsidRPr="002E3E99">
        <w:rPr>
          <w:color w:val="000000"/>
        </w:rPr>
        <w:t xml:space="preserve"> </w:t>
      </w:r>
      <w:proofErr w:type="gramStart"/>
      <w:r w:rsidRPr="002E3E99">
        <w:rPr>
          <w:color w:val="000000"/>
        </w:rPr>
        <w:t>Reserve Bank of India.</w:t>
      </w:r>
      <w:proofErr w:type="gramEnd"/>
    </w:p>
    <w:p w:rsidR="0011607D" w:rsidRPr="002E3E99" w:rsidRDefault="0011607D" w:rsidP="002E3E99">
      <w:pPr>
        <w:spacing w:after="0" w:line="360" w:lineRule="auto"/>
        <w:jc w:val="both"/>
        <w:rPr>
          <w:rFonts w:ascii="Times New Roman" w:hAnsi="Times New Roman" w:cs="Times New Roman"/>
          <w:sz w:val="24"/>
          <w:szCs w:val="24"/>
        </w:rPr>
      </w:pPr>
      <w:proofErr w:type="gramStart"/>
      <w:r w:rsidRPr="002E3E99">
        <w:rPr>
          <w:rFonts w:ascii="Times New Roman" w:hAnsi="Times New Roman" w:cs="Times New Roman"/>
          <w:sz w:val="24"/>
          <w:szCs w:val="24"/>
        </w:rPr>
        <w:t>Mamta.,</w:t>
      </w:r>
      <w:proofErr w:type="gramEnd"/>
      <w:r w:rsidRPr="002E3E99">
        <w:rPr>
          <w:rFonts w:ascii="Times New Roman" w:hAnsi="Times New Roman" w:cs="Times New Roman"/>
          <w:sz w:val="24"/>
          <w:szCs w:val="24"/>
        </w:rPr>
        <w:t xml:space="preserve"> Tyagi, T., &amp; Shukla, A. (2016). </w:t>
      </w:r>
      <w:proofErr w:type="gramStart"/>
      <w:r w:rsidRPr="002E3E99">
        <w:rPr>
          <w:rFonts w:ascii="Times New Roman" w:hAnsi="Times New Roman" w:cs="Times New Roman"/>
          <w:sz w:val="24"/>
          <w:szCs w:val="24"/>
        </w:rPr>
        <w:t>The study of electronic payment systems.</w:t>
      </w:r>
      <w:proofErr w:type="gramEnd"/>
      <w:r w:rsidRPr="002E3E99">
        <w:rPr>
          <w:rFonts w:ascii="Times New Roman" w:hAnsi="Times New Roman" w:cs="Times New Roman"/>
          <w:sz w:val="24"/>
          <w:szCs w:val="24"/>
        </w:rPr>
        <w:t xml:space="preserve"> </w:t>
      </w:r>
      <w:r w:rsidRPr="002E3E99">
        <w:rPr>
          <w:rFonts w:ascii="Times New Roman" w:hAnsi="Times New Roman" w:cs="Times New Roman"/>
          <w:i/>
          <w:sz w:val="24"/>
          <w:szCs w:val="24"/>
        </w:rPr>
        <w:t>International Journal of Advanced Research in Computer Sciences and Software Engineering, 6</w:t>
      </w:r>
      <w:r w:rsidRPr="002E3E99">
        <w:rPr>
          <w:rFonts w:ascii="Times New Roman" w:hAnsi="Times New Roman" w:cs="Times New Roman"/>
          <w:sz w:val="24"/>
          <w:szCs w:val="24"/>
        </w:rPr>
        <w:t>(7), 297-300.</w:t>
      </w:r>
    </w:p>
    <w:p w:rsidR="002E3E99" w:rsidRPr="002E3E99" w:rsidRDefault="002E3E99" w:rsidP="002E3E99">
      <w:pPr>
        <w:pStyle w:val="FootnoteText"/>
        <w:spacing w:before="0" w:line="360" w:lineRule="auto"/>
        <w:rPr>
          <w:rFonts w:cs="Times New Roman"/>
          <w:sz w:val="24"/>
          <w:szCs w:val="24"/>
          <w:lang w:val="en-US"/>
        </w:rPr>
      </w:pPr>
      <w:r w:rsidRPr="002E3E99">
        <w:rPr>
          <w:rFonts w:cs="Times New Roman"/>
          <w:sz w:val="24"/>
          <w:szCs w:val="24"/>
        </w:rPr>
        <w:t xml:space="preserve">Prema, A. (2020). </w:t>
      </w:r>
      <w:proofErr w:type="gramStart"/>
      <w:r w:rsidRPr="002E3E99">
        <w:rPr>
          <w:rFonts w:cs="Times New Roman"/>
          <w:sz w:val="24"/>
          <w:szCs w:val="24"/>
        </w:rPr>
        <w:t>A study on digital finance and its impact on financial inclusion.</w:t>
      </w:r>
      <w:proofErr w:type="gramEnd"/>
      <w:r w:rsidRPr="002E3E99">
        <w:rPr>
          <w:rFonts w:cs="Times New Roman"/>
          <w:sz w:val="24"/>
          <w:szCs w:val="24"/>
        </w:rPr>
        <w:t xml:space="preserve"> </w:t>
      </w:r>
      <w:r w:rsidRPr="002E3E99">
        <w:rPr>
          <w:rFonts w:cs="Times New Roman"/>
          <w:i/>
          <w:sz w:val="24"/>
          <w:szCs w:val="24"/>
        </w:rPr>
        <w:t>Our Heritage, 68</w:t>
      </w:r>
      <w:r w:rsidRPr="002E3E99">
        <w:rPr>
          <w:rFonts w:cs="Times New Roman"/>
          <w:sz w:val="24"/>
          <w:szCs w:val="24"/>
        </w:rPr>
        <w:t>(2), 529-534.</w:t>
      </w:r>
    </w:p>
    <w:p w:rsidR="0011607D" w:rsidRPr="002E3E99" w:rsidRDefault="0011607D" w:rsidP="002E3E99">
      <w:pPr>
        <w:pStyle w:val="FootnoteText"/>
        <w:spacing w:before="0" w:line="360" w:lineRule="auto"/>
        <w:rPr>
          <w:rFonts w:cs="Times New Roman"/>
          <w:sz w:val="24"/>
          <w:szCs w:val="24"/>
        </w:rPr>
      </w:pPr>
      <w:r w:rsidRPr="002E3E99">
        <w:rPr>
          <w:rFonts w:cs="Times New Roman"/>
          <w:color w:val="000000"/>
          <w:sz w:val="24"/>
          <w:szCs w:val="24"/>
          <w:shd w:val="clear" w:color="auto" w:fill="FFFFFF"/>
        </w:rPr>
        <w:t>Vijaybhaskar, P. (2013). </w:t>
      </w:r>
      <w:proofErr w:type="gramStart"/>
      <w:r w:rsidRPr="002E3E99">
        <w:rPr>
          <w:rStyle w:val="Emphasis"/>
          <w:rFonts w:cs="Times New Roman"/>
          <w:color w:val="000000"/>
          <w:sz w:val="24"/>
          <w:szCs w:val="24"/>
          <w:shd w:val="clear" w:color="auto" w:fill="FFFFFF"/>
        </w:rPr>
        <w:t>Financial Inclusion in India – An Assesment</w:t>
      </w:r>
      <w:r w:rsidRPr="002E3E99">
        <w:rPr>
          <w:rFonts w:cs="Times New Roman"/>
          <w:color w:val="000000"/>
          <w:sz w:val="24"/>
          <w:szCs w:val="24"/>
          <w:shd w:val="clear" w:color="auto" w:fill="FFFFFF"/>
        </w:rPr>
        <w:t> [PDF].</w:t>
      </w:r>
      <w:proofErr w:type="gramEnd"/>
      <w:r w:rsidRPr="002E3E99">
        <w:rPr>
          <w:rFonts w:cs="Times New Roman"/>
          <w:color w:val="000000"/>
          <w:sz w:val="24"/>
          <w:szCs w:val="24"/>
          <w:shd w:val="clear" w:color="auto" w:fill="FFFFFF"/>
        </w:rPr>
        <w:t xml:space="preserve"> Retrieved from https://www.rbi.org.in/scripts/BS_SpeechesView.aspx?Id=862</w:t>
      </w:r>
    </w:p>
    <w:p w:rsidR="0011607D" w:rsidRPr="002E3E99" w:rsidRDefault="0011607D" w:rsidP="002E3E99">
      <w:pPr>
        <w:jc w:val="both"/>
        <w:rPr>
          <w:rFonts w:cs="Times New Roman"/>
          <w:sz w:val="24"/>
          <w:szCs w:val="24"/>
        </w:rPr>
      </w:pPr>
    </w:p>
    <w:p w:rsidR="00B356EB" w:rsidRPr="002E3E99" w:rsidRDefault="00B356EB" w:rsidP="002E3E99">
      <w:pPr>
        <w:jc w:val="both"/>
        <w:rPr>
          <w:rFonts w:ascii="Times New Roman" w:hAnsi="Times New Roman" w:cs="Times New Roman"/>
          <w:sz w:val="24"/>
          <w:szCs w:val="24"/>
        </w:rPr>
      </w:pPr>
    </w:p>
    <w:sectPr w:rsidR="00B356EB" w:rsidRPr="002E3E9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0D6" w:rsidRDefault="009E30D6" w:rsidP="00C353F4">
      <w:pPr>
        <w:spacing w:after="0" w:line="240" w:lineRule="auto"/>
      </w:pPr>
      <w:r>
        <w:separator/>
      </w:r>
    </w:p>
  </w:endnote>
  <w:endnote w:type="continuationSeparator" w:id="0">
    <w:p w:rsidR="009E30D6" w:rsidRDefault="009E30D6" w:rsidP="00C3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Gothic"/>
    <w:charset w:val="8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968378"/>
      <w:docPartObj>
        <w:docPartGallery w:val="Page Numbers (Bottom of Page)"/>
        <w:docPartUnique/>
      </w:docPartObj>
    </w:sdtPr>
    <w:sdtEndPr>
      <w:rPr>
        <w:noProof/>
      </w:rPr>
    </w:sdtEndPr>
    <w:sdtContent>
      <w:p w:rsidR="0011607D" w:rsidRDefault="0011607D">
        <w:pPr>
          <w:pStyle w:val="Footer"/>
          <w:jc w:val="right"/>
        </w:pPr>
        <w:r>
          <w:fldChar w:fldCharType="begin"/>
        </w:r>
        <w:r>
          <w:instrText xml:space="preserve"> PAGE   \* MERGEFORMAT </w:instrText>
        </w:r>
        <w:r>
          <w:fldChar w:fldCharType="separate"/>
        </w:r>
        <w:r w:rsidR="00B8334E">
          <w:rPr>
            <w:noProof/>
          </w:rPr>
          <w:t>8</w:t>
        </w:r>
        <w:r>
          <w:rPr>
            <w:noProof/>
          </w:rPr>
          <w:fldChar w:fldCharType="end"/>
        </w:r>
      </w:p>
    </w:sdtContent>
  </w:sdt>
  <w:p w:rsidR="0011607D" w:rsidRDefault="00116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0D6" w:rsidRDefault="009E30D6" w:rsidP="00C353F4">
      <w:pPr>
        <w:spacing w:after="0" w:line="240" w:lineRule="auto"/>
      </w:pPr>
      <w:r>
        <w:separator/>
      </w:r>
    </w:p>
  </w:footnote>
  <w:footnote w:type="continuationSeparator" w:id="0">
    <w:p w:rsidR="009E30D6" w:rsidRDefault="009E30D6" w:rsidP="00C353F4">
      <w:pPr>
        <w:spacing w:after="0" w:line="240" w:lineRule="auto"/>
      </w:pPr>
      <w:r>
        <w:continuationSeparator/>
      </w:r>
    </w:p>
  </w:footnote>
  <w:footnote w:id="1">
    <w:p w:rsidR="0011607D" w:rsidRPr="00B06BD8" w:rsidRDefault="0011607D" w:rsidP="00B06BD8">
      <w:pPr>
        <w:pStyle w:val="FootnoteText"/>
        <w:rPr>
          <w:rFonts w:cs="Times New Roman"/>
          <w:lang w:val="en-US"/>
        </w:rPr>
      </w:pPr>
      <w:r w:rsidRPr="00B06BD8">
        <w:rPr>
          <w:rStyle w:val="FootnoteReference"/>
          <w:rFonts w:cs="Times New Roman"/>
        </w:rPr>
        <w:footnoteRef/>
      </w:r>
      <w:r w:rsidRPr="00B06BD8">
        <w:rPr>
          <w:rFonts w:cs="Times New Roman"/>
        </w:rPr>
        <w:t xml:space="preserve"> Prema, A. (2020). </w:t>
      </w:r>
      <w:proofErr w:type="gramStart"/>
      <w:r w:rsidRPr="00B06BD8">
        <w:rPr>
          <w:rFonts w:cs="Times New Roman"/>
        </w:rPr>
        <w:t>A study on digital finance and its impact on financial inclusion.</w:t>
      </w:r>
      <w:proofErr w:type="gramEnd"/>
      <w:r w:rsidRPr="00B06BD8">
        <w:rPr>
          <w:rFonts w:cs="Times New Roman"/>
        </w:rPr>
        <w:t xml:space="preserve"> </w:t>
      </w:r>
      <w:r w:rsidRPr="00B06BD8">
        <w:rPr>
          <w:rFonts w:cs="Times New Roman"/>
          <w:i/>
        </w:rPr>
        <w:t>Our Heritage, 68</w:t>
      </w:r>
      <w:r w:rsidRPr="00B06BD8">
        <w:rPr>
          <w:rFonts w:cs="Times New Roman"/>
        </w:rPr>
        <w:t>(2), 529-534.</w:t>
      </w:r>
    </w:p>
  </w:footnote>
  <w:footnote w:id="2">
    <w:p w:rsidR="0011607D" w:rsidRPr="00B06BD8" w:rsidRDefault="0011607D" w:rsidP="00B06BD8">
      <w:pPr>
        <w:jc w:val="both"/>
        <w:rPr>
          <w:rFonts w:ascii="Times New Roman" w:hAnsi="Times New Roman" w:cs="Times New Roman"/>
          <w:sz w:val="20"/>
        </w:rPr>
      </w:pPr>
      <w:r w:rsidRPr="00B06BD8">
        <w:rPr>
          <w:rStyle w:val="FootnoteReference"/>
          <w:rFonts w:ascii="Times New Roman" w:hAnsi="Times New Roman" w:cs="Times New Roman"/>
          <w:sz w:val="20"/>
        </w:rPr>
        <w:footnoteRef/>
      </w:r>
      <w:r w:rsidRPr="00B06BD8">
        <w:rPr>
          <w:rFonts w:ascii="Times New Roman" w:hAnsi="Times New Roman" w:cs="Times New Roman"/>
          <w:sz w:val="20"/>
        </w:rPr>
        <w:t xml:space="preserve"> </w:t>
      </w:r>
      <w:proofErr w:type="gramStart"/>
      <w:r w:rsidRPr="00B06BD8">
        <w:rPr>
          <w:rFonts w:ascii="Times New Roman" w:hAnsi="Times New Roman" w:cs="Times New Roman"/>
          <w:sz w:val="20"/>
        </w:rPr>
        <w:t>Durai, T., &amp; Stella, G. (2019).</w:t>
      </w:r>
      <w:proofErr w:type="gramEnd"/>
      <w:r w:rsidRPr="00B06BD8">
        <w:rPr>
          <w:rFonts w:ascii="Times New Roman" w:hAnsi="Times New Roman" w:cs="Times New Roman"/>
          <w:sz w:val="20"/>
        </w:rPr>
        <w:t xml:space="preserve"> </w:t>
      </w:r>
      <w:proofErr w:type="gramStart"/>
      <w:r w:rsidRPr="00B06BD8">
        <w:rPr>
          <w:rFonts w:ascii="Times New Roman" w:hAnsi="Times New Roman" w:cs="Times New Roman"/>
          <w:sz w:val="20"/>
        </w:rPr>
        <w:t>Digital finance and its impact on financial inclusion.</w:t>
      </w:r>
      <w:proofErr w:type="gramEnd"/>
      <w:r w:rsidRPr="00B06BD8">
        <w:rPr>
          <w:rFonts w:ascii="Times New Roman" w:hAnsi="Times New Roman" w:cs="Times New Roman"/>
          <w:sz w:val="20"/>
        </w:rPr>
        <w:t xml:space="preserve"> </w:t>
      </w:r>
      <w:proofErr w:type="gramStart"/>
      <w:r w:rsidRPr="00B06BD8">
        <w:rPr>
          <w:rFonts w:ascii="Times New Roman" w:hAnsi="Times New Roman" w:cs="Times New Roman"/>
          <w:i/>
          <w:sz w:val="20"/>
        </w:rPr>
        <w:t>Journal of Emerging Technologies and Innovative Research, 6</w:t>
      </w:r>
      <w:r w:rsidRPr="00B06BD8">
        <w:rPr>
          <w:rFonts w:ascii="Times New Roman" w:hAnsi="Times New Roman" w:cs="Times New Roman"/>
          <w:sz w:val="20"/>
        </w:rPr>
        <w:t>(1), 122-127.</w:t>
      </w:r>
      <w:proofErr w:type="gramEnd"/>
    </w:p>
  </w:footnote>
  <w:footnote w:id="3">
    <w:p w:rsidR="0011607D" w:rsidRPr="00B06BD8" w:rsidRDefault="0011607D" w:rsidP="00B06BD8">
      <w:pPr>
        <w:pStyle w:val="FootnoteText"/>
        <w:rPr>
          <w:rFonts w:cs="Times New Roman"/>
          <w:sz w:val="16"/>
          <w:lang w:val="en-US"/>
        </w:rPr>
      </w:pPr>
      <w:r w:rsidRPr="00B06BD8">
        <w:rPr>
          <w:rStyle w:val="FootnoteReference"/>
          <w:rFonts w:cs="Times New Roman"/>
        </w:rPr>
        <w:footnoteRef/>
      </w:r>
      <w:r w:rsidRPr="00B06BD8">
        <w:rPr>
          <w:rFonts w:cs="Times New Roman"/>
        </w:rPr>
        <w:t xml:space="preserve"> </w:t>
      </w:r>
      <w:r w:rsidRPr="00B06BD8">
        <w:rPr>
          <w:rFonts w:eastAsia="Times New Roman" w:cs="Times New Roman"/>
        </w:rPr>
        <w:t xml:space="preserve">Kaur, G. (2015). </w:t>
      </w:r>
      <w:proofErr w:type="gramStart"/>
      <w:r w:rsidRPr="00B06BD8">
        <w:rPr>
          <w:rFonts w:eastAsia="Times New Roman" w:cs="Times New Roman"/>
        </w:rPr>
        <w:t>Financial inclusion and digital India.</w:t>
      </w:r>
      <w:proofErr w:type="gramEnd"/>
      <w:r w:rsidRPr="00B06BD8">
        <w:rPr>
          <w:rFonts w:eastAsia="Times New Roman" w:cs="Times New Roman"/>
        </w:rPr>
        <w:t xml:space="preserve"> </w:t>
      </w:r>
      <w:r w:rsidRPr="00B06BD8">
        <w:rPr>
          <w:rFonts w:eastAsia="Times New Roman" w:cs="Times New Roman"/>
          <w:i/>
        </w:rPr>
        <w:t>International Journal of Business Management, 2</w:t>
      </w:r>
      <w:r w:rsidRPr="00B06BD8">
        <w:rPr>
          <w:rFonts w:eastAsia="Times New Roman" w:cs="Times New Roman"/>
        </w:rPr>
        <w:t>(2), 1251-1258.</w:t>
      </w:r>
    </w:p>
  </w:footnote>
  <w:footnote w:id="4">
    <w:p w:rsidR="0011607D" w:rsidRPr="006D1FCC" w:rsidRDefault="0011607D" w:rsidP="00B06BD8">
      <w:pPr>
        <w:jc w:val="both"/>
        <w:rPr>
          <w:rFonts w:cs="Times New Roman"/>
          <w:sz w:val="20"/>
        </w:rPr>
      </w:pPr>
      <w:r w:rsidRPr="00B06BD8">
        <w:rPr>
          <w:rStyle w:val="FootnoteReference"/>
          <w:rFonts w:ascii="Times New Roman" w:hAnsi="Times New Roman" w:cs="Times New Roman"/>
          <w:sz w:val="20"/>
        </w:rPr>
        <w:footnoteRef/>
      </w:r>
      <w:r w:rsidRPr="00B06BD8">
        <w:rPr>
          <w:rFonts w:ascii="Times New Roman" w:hAnsi="Times New Roman" w:cs="Times New Roman"/>
          <w:sz w:val="20"/>
        </w:rPr>
        <w:t xml:space="preserve"> </w:t>
      </w:r>
      <w:proofErr w:type="gramStart"/>
      <w:r w:rsidRPr="00B06BD8">
        <w:rPr>
          <w:rFonts w:ascii="Times New Roman" w:hAnsi="Times New Roman" w:cs="Times New Roman"/>
          <w:sz w:val="20"/>
        </w:rPr>
        <w:t>Mamta.,</w:t>
      </w:r>
      <w:proofErr w:type="gramEnd"/>
      <w:r w:rsidRPr="00B06BD8">
        <w:rPr>
          <w:rFonts w:ascii="Times New Roman" w:hAnsi="Times New Roman" w:cs="Times New Roman"/>
          <w:sz w:val="20"/>
        </w:rPr>
        <w:t xml:space="preserve"> Tyagi, T., &amp; Shukla, A. (2016). </w:t>
      </w:r>
      <w:proofErr w:type="gramStart"/>
      <w:r w:rsidRPr="00B06BD8">
        <w:rPr>
          <w:rFonts w:ascii="Times New Roman" w:hAnsi="Times New Roman" w:cs="Times New Roman"/>
          <w:sz w:val="20"/>
        </w:rPr>
        <w:t>The study of electronic payment systems.</w:t>
      </w:r>
      <w:proofErr w:type="gramEnd"/>
      <w:r w:rsidRPr="00B06BD8">
        <w:rPr>
          <w:rFonts w:ascii="Times New Roman" w:hAnsi="Times New Roman" w:cs="Times New Roman"/>
          <w:sz w:val="20"/>
        </w:rPr>
        <w:t xml:space="preserve"> </w:t>
      </w:r>
      <w:r w:rsidRPr="00B06BD8">
        <w:rPr>
          <w:rFonts w:ascii="Times New Roman" w:hAnsi="Times New Roman" w:cs="Times New Roman"/>
          <w:i/>
          <w:sz w:val="20"/>
        </w:rPr>
        <w:t>International Journal of Advanced Research in Computer Sciences and Software Engineering, 6</w:t>
      </w:r>
      <w:r w:rsidRPr="00B06BD8">
        <w:rPr>
          <w:rFonts w:ascii="Times New Roman" w:hAnsi="Times New Roman" w:cs="Times New Roman"/>
          <w:sz w:val="20"/>
        </w:rPr>
        <w:t>(7), 297-300.</w:t>
      </w:r>
    </w:p>
  </w:footnote>
  <w:footnote w:id="5">
    <w:p w:rsidR="0011607D" w:rsidRPr="00E03916" w:rsidRDefault="0011607D" w:rsidP="009D256B">
      <w:pPr>
        <w:pStyle w:val="NormalWeb"/>
        <w:shd w:val="clear" w:color="auto" w:fill="FFFFFF"/>
        <w:spacing w:before="0" w:beforeAutospacing="0" w:after="120" w:afterAutospacing="0"/>
        <w:ind w:left="720" w:right="75" w:hanging="720"/>
        <w:rPr>
          <w:color w:val="000000"/>
          <w:sz w:val="20"/>
        </w:rPr>
      </w:pPr>
      <w:r w:rsidRPr="00467694">
        <w:rPr>
          <w:rStyle w:val="FootnoteReference"/>
          <w:sz w:val="20"/>
          <w:szCs w:val="20"/>
        </w:rPr>
        <w:footnoteRef/>
      </w:r>
      <w:r>
        <w:rPr>
          <w:sz w:val="20"/>
          <w:szCs w:val="20"/>
        </w:rPr>
        <w:t xml:space="preserve"> </w:t>
      </w:r>
      <w:proofErr w:type="gramStart"/>
      <w:r w:rsidRPr="00E03916">
        <w:rPr>
          <w:color w:val="000000"/>
          <w:sz w:val="20"/>
        </w:rPr>
        <w:t>Leeladhar, V. (2016).</w:t>
      </w:r>
      <w:proofErr w:type="gramEnd"/>
      <w:r w:rsidRPr="00E03916">
        <w:rPr>
          <w:color w:val="000000"/>
          <w:sz w:val="20"/>
        </w:rPr>
        <w:t> </w:t>
      </w:r>
      <w:proofErr w:type="gramStart"/>
      <w:r w:rsidRPr="00E03916">
        <w:rPr>
          <w:rStyle w:val="Emphasis"/>
          <w:color w:val="000000"/>
          <w:sz w:val="20"/>
        </w:rPr>
        <w:t>Financial Inclusion and Millennium Development Goals</w:t>
      </w:r>
      <w:r w:rsidRPr="00E03916">
        <w:rPr>
          <w:color w:val="000000"/>
          <w:sz w:val="20"/>
        </w:rPr>
        <w:t>.</w:t>
      </w:r>
      <w:proofErr w:type="gramEnd"/>
      <w:r w:rsidRPr="00E03916">
        <w:rPr>
          <w:color w:val="000000"/>
          <w:sz w:val="20"/>
        </w:rPr>
        <w:t xml:space="preserve"> </w:t>
      </w:r>
      <w:proofErr w:type="gramStart"/>
      <w:r w:rsidRPr="00E03916">
        <w:rPr>
          <w:color w:val="000000"/>
          <w:sz w:val="20"/>
        </w:rPr>
        <w:t>Reserve Bank of India.</w:t>
      </w:r>
      <w:proofErr w:type="gramEnd"/>
    </w:p>
  </w:footnote>
  <w:footnote w:id="6">
    <w:p w:rsidR="0011607D" w:rsidRPr="00467694" w:rsidRDefault="0011607D" w:rsidP="009D256B">
      <w:pPr>
        <w:pStyle w:val="FootnoteText"/>
        <w:spacing w:after="120"/>
        <w:rPr>
          <w:rFonts w:cs="Times New Roman"/>
        </w:rPr>
      </w:pPr>
      <w:r w:rsidRPr="00E03916">
        <w:rPr>
          <w:rStyle w:val="FootnoteReference"/>
          <w:rFonts w:cs="Times New Roman"/>
        </w:rPr>
        <w:footnoteRef/>
      </w:r>
      <w:r>
        <w:rPr>
          <w:rFonts w:cs="Times New Roman"/>
        </w:rPr>
        <w:t xml:space="preserve"> </w:t>
      </w:r>
      <w:r w:rsidRPr="00E03916">
        <w:rPr>
          <w:rFonts w:cs="Times New Roman"/>
          <w:color w:val="000000"/>
          <w:shd w:val="clear" w:color="auto" w:fill="FFFFFF"/>
        </w:rPr>
        <w:t>Vijaybhaskar, P. (2013). </w:t>
      </w:r>
      <w:proofErr w:type="gramStart"/>
      <w:r w:rsidRPr="00E03916">
        <w:rPr>
          <w:rStyle w:val="Emphasis"/>
          <w:rFonts w:cs="Times New Roman"/>
          <w:color w:val="000000"/>
          <w:shd w:val="clear" w:color="auto" w:fill="FFFFFF"/>
        </w:rPr>
        <w:t>Financial Inclusion in India – An Assesment</w:t>
      </w:r>
      <w:r w:rsidRPr="00E03916">
        <w:rPr>
          <w:rFonts w:cs="Times New Roman"/>
          <w:color w:val="000000"/>
          <w:shd w:val="clear" w:color="auto" w:fill="FFFFFF"/>
        </w:rPr>
        <w:t> [PDF].</w:t>
      </w:r>
      <w:proofErr w:type="gramEnd"/>
      <w:r w:rsidRPr="00E03916">
        <w:rPr>
          <w:rFonts w:cs="Times New Roman"/>
          <w:color w:val="000000"/>
          <w:shd w:val="clear" w:color="auto" w:fill="FFFFFF"/>
        </w:rPr>
        <w:t xml:space="preserve"> Retrieved from https://www.rbi.org.in/scripts/BS_SpeechesView.aspx?Id=862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70180"/>
    <w:multiLevelType w:val="multilevel"/>
    <w:tmpl w:val="64023988"/>
    <w:lvl w:ilvl="0">
      <w:start w:val="5"/>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36132FF6"/>
    <w:multiLevelType w:val="multilevel"/>
    <w:tmpl w:val="771E4E0C"/>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FCC42E6"/>
    <w:multiLevelType w:val="hybridMultilevel"/>
    <w:tmpl w:val="882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123905"/>
    <w:multiLevelType w:val="hybridMultilevel"/>
    <w:tmpl w:val="74F4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295C87"/>
    <w:multiLevelType w:val="hybridMultilevel"/>
    <w:tmpl w:val="92DEB7DA"/>
    <w:lvl w:ilvl="0" w:tplc="6D66682A">
      <w:start w:val="5"/>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616945FB"/>
    <w:multiLevelType w:val="hybridMultilevel"/>
    <w:tmpl w:val="EDFA255A"/>
    <w:lvl w:ilvl="0" w:tplc="04090017">
      <w:start w:val="1"/>
      <w:numFmt w:val="lowerLetter"/>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6">
    <w:nsid w:val="68735715"/>
    <w:multiLevelType w:val="hybridMultilevel"/>
    <w:tmpl w:val="2C78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9E3026"/>
    <w:multiLevelType w:val="hybridMultilevel"/>
    <w:tmpl w:val="BF46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1B4C5B"/>
    <w:multiLevelType w:val="hybridMultilevel"/>
    <w:tmpl w:val="1D28E2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03F92"/>
    <w:multiLevelType w:val="hybridMultilevel"/>
    <w:tmpl w:val="E946CA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6"/>
  </w:num>
  <w:num w:numId="6">
    <w:abstractNumId w:val="7"/>
  </w:num>
  <w:num w:numId="7">
    <w:abstractNumId w:val="8"/>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08B"/>
    <w:rsid w:val="00013A79"/>
    <w:rsid w:val="00087958"/>
    <w:rsid w:val="000F2EAD"/>
    <w:rsid w:val="000F4293"/>
    <w:rsid w:val="001003DF"/>
    <w:rsid w:val="0011607D"/>
    <w:rsid w:val="001F13B3"/>
    <w:rsid w:val="0020009A"/>
    <w:rsid w:val="00212213"/>
    <w:rsid w:val="00224B8C"/>
    <w:rsid w:val="00294EC4"/>
    <w:rsid w:val="002E3E99"/>
    <w:rsid w:val="003252D0"/>
    <w:rsid w:val="003B6108"/>
    <w:rsid w:val="004B0EF8"/>
    <w:rsid w:val="004E0E79"/>
    <w:rsid w:val="0052718A"/>
    <w:rsid w:val="00576A87"/>
    <w:rsid w:val="005A2C73"/>
    <w:rsid w:val="005F3A81"/>
    <w:rsid w:val="006C0744"/>
    <w:rsid w:val="009D256B"/>
    <w:rsid w:val="009E30D6"/>
    <w:rsid w:val="00A259D3"/>
    <w:rsid w:val="00A3035F"/>
    <w:rsid w:val="00A400A0"/>
    <w:rsid w:val="00A4300B"/>
    <w:rsid w:val="00A46447"/>
    <w:rsid w:val="00A47E57"/>
    <w:rsid w:val="00A50A76"/>
    <w:rsid w:val="00B06BD8"/>
    <w:rsid w:val="00B356EB"/>
    <w:rsid w:val="00B62853"/>
    <w:rsid w:val="00B8334E"/>
    <w:rsid w:val="00BD52EA"/>
    <w:rsid w:val="00BF16F2"/>
    <w:rsid w:val="00C353F4"/>
    <w:rsid w:val="00C35EF0"/>
    <w:rsid w:val="00D007D2"/>
    <w:rsid w:val="00D75E24"/>
    <w:rsid w:val="00D80AB2"/>
    <w:rsid w:val="00E2578E"/>
    <w:rsid w:val="00EF108B"/>
    <w:rsid w:val="00F156BB"/>
    <w:rsid w:val="00F4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6EB"/>
    <w:rPr>
      <w:color w:val="0000FF" w:themeColor="hyperlink"/>
      <w:u w:val="single"/>
    </w:rPr>
  </w:style>
  <w:style w:type="table" w:styleId="TableGrid">
    <w:name w:val="Table Grid"/>
    <w:basedOn w:val="TableNormal"/>
    <w:uiPriority w:val="59"/>
    <w:rsid w:val="00D00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0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7D2"/>
    <w:rPr>
      <w:rFonts w:ascii="Tahoma" w:hAnsi="Tahoma" w:cs="Tahoma"/>
      <w:sz w:val="16"/>
      <w:szCs w:val="16"/>
    </w:rPr>
  </w:style>
  <w:style w:type="paragraph" w:styleId="ListParagraph">
    <w:name w:val="List Paragraph"/>
    <w:basedOn w:val="Normal"/>
    <w:uiPriority w:val="34"/>
    <w:qFormat/>
    <w:rsid w:val="00013A79"/>
    <w:pPr>
      <w:ind w:left="720"/>
      <w:contextualSpacing/>
    </w:pPr>
  </w:style>
  <w:style w:type="paragraph" w:styleId="NormalWeb">
    <w:name w:val="Normal (Web)"/>
    <w:basedOn w:val="Normal"/>
    <w:uiPriority w:val="99"/>
    <w:unhideWhenUsed/>
    <w:rsid w:val="00BD52E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C353F4"/>
    <w:pPr>
      <w:spacing w:before="120" w:after="0" w:line="240" w:lineRule="auto"/>
      <w:jc w:val="both"/>
    </w:pPr>
    <w:rPr>
      <w:rFonts w:ascii="Times New Roman" w:eastAsia="DejaVu Sans" w:hAnsi="Times New Roman" w:cs="Mangal"/>
      <w:kern w:val="1"/>
      <w:sz w:val="20"/>
      <w:szCs w:val="18"/>
      <w:lang w:val="en-IN" w:eastAsia="hi-IN" w:bidi="hi-IN"/>
    </w:rPr>
  </w:style>
  <w:style w:type="character" w:customStyle="1" w:styleId="FootnoteTextChar">
    <w:name w:val="Footnote Text Char"/>
    <w:basedOn w:val="DefaultParagraphFont"/>
    <w:link w:val="FootnoteText"/>
    <w:uiPriority w:val="99"/>
    <w:rsid w:val="00C353F4"/>
    <w:rPr>
      <w:rFonts w:ascii="Times New Roman" w:eastAsia="DejaVu Sans" w:hAnsi="Times New Roman" w:cs="Mangal"/>
      <w:kern w:val="1"/>
      <w:sz w:val="20"/>
      <w:szCs w:val="18"/>
      <w:lang w:val="en-IN" w:eastAsia="hi-IN" w:bidi="hi-IN"/>
    </w:rPr>
  </w:style>
  <w:style w:type="character" w:styleId="FootnoteReference">
    <w:name w:val="footnote reference"/>
    <w:basedOn w:val="DefaultParagraphFont"/>
    <w:uiPriority w:val="99"/>
    <w:semiHidden/>
    <w:unhideWhenUsed/>
    <w:rsid w:val="00C353F4"/>
    <w:rPr>
      <w:vertAlign w:val="superscript"/>
    </w:rPr>
  </w:style>
  <w:style w:type="paragraph" w:styleId="Header">
    <w:name w:val="header"/>
    <w:basedOn w:val="Normal"/>
    <w:link w:val="HeaderChar"/>
    <w:uiPriority w:val="99"/>
    <w:unhideWhenUsed/>
    <w:rsid w:val="00C35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3F4"/>
  </w:style>
  <w:style w:type="paragraph" w:styleId="Footer">
    <w:name w:val="footer"/>
    <w:basedOn w:val="Normal"/>
    <w:link w:val="FooterChar"/>
    <w:uiPriority w:val="99"/>
    <w:unhideWhenUsed/>
    <w:rsid w:val="00C35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3F4"/>
  </w:style>
  <w:style w:type="paragraph" w:styleId="EndnoteText">
    <w:name w:val="endnote text"/>
    <w:basedOn w:val="Normal"/>
    <w:link w:val="EndnoteTextChar"/>
    <w:uiPriority w:val="99"/>
    <w:semiHidden/>
    <w:unhideWhenUsed/>
    <w:rsid w:val="00B628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2853"/>
    <w:rPr>
      <w:sz w:val="20"/>
      <w:szCs w:val="20"/>
    </w:rPr>
  </w:style>
  <w:style w:type="character" w:styleId="EndnoteReference">
    <w:name w:val="endnote reference"/>
    <w:basedOn w:val="DefaultParagraphFont"/>
    <w:uiPriority w:val="99"/>
    <w:semiHidden/>
    <w:unhideWhenUsed/>
    <w:rsid w:val="00B62853"/>
    <w:rPr>
      <w:vertAlign w:val="superscript"/>
    </w:rPr>
  </w:style>
  <w:style w:type="paragraph" w:customStyle="1" w:styleId="Default">
    <w:name w:val="Default"/>
    <w:rsid w:val="009D256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9D256B"/>
    <w:rPr>
      <w:i/>
      <w:iCs/>
    </w:rPr>
  </w:style>
  <w:style w:type="paragraph" w:styleId="NoSpacing">
    <w:name w:val="No Spacing"/>
    <w:uiPriority w:val="1"/>
    <w:qFormat/>
    <w:rsid w:val="004E0E79"/>
    <w:pPr>
      <w:spacing w:after="0" w:line="240" w:lineRule="auto"/>
    </w:pPr>
    <w:rPr>
      <w:rFonts w:eastAsiaTheme="minorEastAsia"/>
      <w:lang w:eastAsia="ja-JP" w:bidi="k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6EB"/>
    <w:rPr>
      <w:color w:val="0000FF" w:themeColor="hyperlink"/>
      <w:u w:val="single"/>
    </w:rPr>
  </w:style>
  <w:style w:type="table" w:styleId="TableGrid">
    <w:name w:val="Table Grid"/>
    <w:basedOn w:val="TableNormal"/>
    <w:uiPriority w:val="59"/>
    <w:rsid w:val="00D00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0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7D2"/>
    <w:rPr>
      <w:rFonts w:ascii="Tahoma" w:hAnsi="Tahoma" w:cs="Tahoma"/>
      <w:sz w:val="16"/>
      <w:szCs w:val="16"/>
    </w:rPr>
  </w:style>
  <w:style w:type="paragraph" w:styleId="ListParagraph">
    <w:name w:val="List Paragraph"/>
    <w:basedOn w:val="Normal"/>
    <w:uiPriority w:val="34"/>
    <w:qFormat/>
    <w:rsid w:val="00013A79"/>
    <w:pPr>
      <w:ind w:left="720"/>
      <w:contextualSpacing/>
    </w:pPr>
  </w:style>
  <w:style w:type="paragraph" w:styleId="NormalWeb">
    <w:name w:val="Normal (Web)"/>
    <w:basedOn w:val="Normal"/>
    <w:uiPriority w:val="99"/>
    <w:unhideWhenUsed/>
    <w:rsid w:val="00BD52E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C353F4"/>
    <w:pPr>
      <w:spacing w:before="120" w:after="0" w:line="240" w:lineRule="auto"/>
      <w:jc w:val="both"/>
    </w:pPr>
    <w:rPr>
      <w:rFonts w:ascii="Times New Roman" w:eastAsia="DejaVu Sans" w:hAnsi="Times New Roman" w:cs="Mangal"/>
      <w:kern w:val="1"/>
      <w:sz w:val="20"/>
      <w:szCs w:val="18"/>
      <w:lang w:val="en-IN" w:eastAsia="hi-IN" w:bidi="hi-IN"/>
    </w:rPr>
  </w:style>
  <w:style w:type="character" w:customStyle="1" w:styleId="FootnoteTextChar">
    <w:name w:val="Footnote Text Char"/>
    <w:basedOn w:val="DefaultParagraphFont"/>
    <w:link w:val="FootnoteText"/>
    <w:uiPriority w:val="99"/>
    <w:rsid w:val="00C353F4"/>
    <w:rPr>
      <w:rFonts w:ascii="Times New Roman" w:eastAsia="DejaVu Sans" w:hAnsi="Times New Roman" w:cs="Mangal"/>
      <w:kern w:val="1"/>
      <w:sz w:val="20"/>
      <w:szCs w:val="18"/>
      <w:lang w:val="en-IN" w:eastAsia="hi-IN" w:bidi="hi-IN"/>
    </w:rPr>
  </w:style>
  <w:style w:type="character" w:styleId="FootnoteReference">
    <w:name w:val="footnote reference"/>
    <w:basedOn w:val="DefaultParagraphFont"/>
    <w:uiPriority w:val="99"/>
    <w:semiHidden/>
    <w:unhideWhenUsed/>
    <w:rsid w:val="00C353F4"/>
    <w:rPr>
      <w:vertAlign w:val="superscript"/>
    </w:rPr>
  </w:style>
  <w:style w:type="paragraph" w:styleId="Header">
    <w:name w:val="header"/>
    <w:basedOn w:val="Normal"/>
    <w:link w:val="HeaderChar"/>
    <w:uiPriority w:val="99"/>
    <w:unhideWhenUsed/>
    <w:rsid w:val="00C35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3F4"/>
  </w:style>
  <w:style w:type="paragraph" w:styleId="Footer">
    <w:name w:val="footer"/>
    <w:basedOn w:val="Normal"/>
    <w:link w:val="FooterChar"/>
    <w:uiPriority w:val="99"/>
    <w:unhideWhenUsed/>
    <w:rsid w:val="00C35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3F4"/>
  </w:style>
  <w:style w:type="paragraph" w:styleId="EndnoteText">
    <w:name w:val="endnote text"/>
    <w:basedOn w:val="Normal"/>
    <w:link w:val="EndnoteTextChar"/>
    <w:uiPriority w:val="99"/>
    <w:semiHidden/>
    <w:unhideWhenUsed/>
    <w:rsid w:val="00B628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2853"/>
    <w:rPr>
      <w:sz w:val="20"/>
      <w:szCs w:val="20"/>
    </w:rPr>
  </w:style>
  <w:style w:type="character" w:styleId="EndnoteReference">
    <w:name w:val="endnote reference"/>
    <w:basedOn w:val="DefaultParagraphFont"/>
    <w:uiPriority w:val="99"/>
    <w:semiHidden/>
    <w:unhideWhenUsed/>
    <w:rsid w:val="00B62853"/>
    <w:rPr>
      <w:vertAlign w:val="superscript"/>
    </w:rPr>
  </w:style>
  <w:style w:type="paragraph" w:customStyle="1" w:styleId="Default">
    <w:name w:val="Default"/>
    <w:rsid w:val="009D256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9D256B"/>
    <w:rPr>
      <w:i/>
      <w:iCs/>
    </w:rPr>
  </w:style>
  <w:style w:type="paragraph" w:styleId="NoSpacing">
    <w:name w:val="No Spacing"/>
    <w:uiPriority w:val="1"/>
    <w:qFormat/>
    <w:rsid w:val="004E0E79"/>
    <w:pPr>
      <w:spacing w:after="0" w:line="240" w:lineRule="auto"/>
    </w:pPr>
    <w:rPr>
      <w:rFonts w:eastAsiaTheme="minorEastAsia"/>
      <w:lang w:eastAsia="ja-JP"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Growth</a:t>
            </a:r>
            <a:r>
              <a:rPr lang="en-US" baseline="0">
                <a:latin typeface="Times New Roman" pitchFamily="18" charset="0"/>
                <a:cs typeface="Times New Roman" pitchFamily="18" charset="0"/>
              </a:rPr>
              <a:t> of </a:t>
            </a:r>
            <a:r>
              <a:rPr lang="en-US">
                <a:latin typeface="Times New Roman" pitchFamily="18" charset="0"/>
                <a:cs typeface="Times New Roman" pitchFamily="18" charset="0"/>
              </a:rPr>
              <a:t>Mobile</a:t>
            </a:r>
            <a:r>
              <a:rPr lang="en-US" baseline="0">
                <a:latin typeface="Times New Roman" pitchFamily="18" charset="0"/>
                <a:cs typeface="Times New Roman" pitchFamily="18" charset="0"/>
              </a:rPr>
              <a:t> Banking </a:t>
            </a:r>
            <a:r>
              <a:rPr lang="en-US" sz="1200" baseline="0">
                <a:latin typeface="Times New Roman" pitchFamily="18" charset="0"/>
                <a:cs typeface="Times New Roman" pitchFamily="18" charset="0"/>
              </a:rPr>
              <a:t>(₹ in million) </a:t>
            </a:r>
            <a:endParaRPr lang="en-US">
              <a:latin typeface="Times New Roman" pitchFamily="18" charset="0"/>
              <a:cs typeface="Times New Roman" pitchFamily="18" charset="0"/>
            </a:endParaRPr>
          </a:p>
        </c:rich>
      </c:tx>
      <c:layout>
        <c:manualLayout>
          <c:xMode val="edge"/>
          <c:yMode val="edge"/>
          <c:x val="0.15292132763847324"/>
          <c:y val="4.5977011494252873E-2"/>
        </c:manualLayout>
      </c:layout>
      <c:overlay val="0"/>
    </c:title>
    <c:autoTitleDeleted val="0"/>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FY 14</c:v>
                </c:pt>
                <c:pt idx="1">
                  <c:v>FY 15</c:v>
                </c:pt>
                <c:pt idx="2">
                  <c:v>FY 16</c:v>
                </c:pt>
                <c:pt idx="3">
                  <c:v>FY 17</c:v>
                </c:pt>
                <c:pt idx="4">
                  <c:v>FY 18</c:v>
                </c:pt>
                <c:pt idx="5">
                  <c:v>FY 19</c:v>
                </c:pt>
                <c:pt idx="6">
                  <c:v>FY 20</c:v>
                </c:pt>
                <c:pt idx="7">
                  <c:v>FY 21</c:v>
                </c:pt>
              </c:strCache>
            </c:strRef>
          </c:cat>
          <c:val>
            <c:numRef>
              <c:f>Sheet1!$B$2:$B$9</c:f>
              <c:numCache>
                <c:formatCode>General</c:formatCode>
                <c:ptCount val="8"/>
                <c:pt idx="0">
                  <c:v>36</c:v>
                </c:pt>
                <c:pt idx="1">
                  <c:v>60</c:v>
                </c:pt>
                <c:pt idx="2">
                  <c:v>100</c:v>
                </c:pt>
                <c:pt idx="3">
                  <c:v>140</c:v>
                </c:pt>
                <c:pt idx="4">
                  <c:v>170</c:v>
                </c:pt>
                <c:pt idx="5">
                  <c:v>230</c:v>
                </c:pt>
                <c:pt idx="6">
                  <c:v>257</c:v>
                </c:pt>
                <c:pt idx="7">
                  <c:v>272</c:v>
                </c:pt>
              </c:numCache>
            </c:numRef>
          </c:val>
          <c:extLst xmlns:c16r2="http://schemas.microsoft.com/office/drawing/2015/06/chart">
            <c:ext xmlns:c16="http://schemas.microsoft.com/office/drawing/2014/chart" uri="{C3380CC4-5D6E-409C-BE32-E72D297353CC}">
              <c16:uniqueId val="{00000000-F9AE-4228-9011-33C52484F2A4}"/>
            </c:ext>
          </c:extLst>
        </c:ser>
        <c:dLbls>
          <c:showLegendKey val="0"/>
          <c:showVal val="1"/>
          <c:showCatName val="0"/>
          <c:showSerName val="0"/>
          <c:showPercent val="0"/>
          <c:showBubbleSize val="0"/>
        </c:dLbls>
        <c:gapWidth val="150"/>
        <c:overlap val="-25"/>
        <c:axId val="311574528"/>
        <c:axId val="217196224"/>
      </c:barChart>
      <c:catAx>
        <c:axId val="311574528"/>
        <c:scaling>
          <c:orientation val="minMax"/>
        </c:scaling>
        <c:delete val="0"/>
        <c:axPos val="b"/>
        <c:numFmt formatCode="General" sourceLinked="0"/>
        <c:majorTickMark val="none"/>
        <c:minorTickMark val="none"/>
        <c:tickLblPos val="nextTo"/>
        <c:crossAx val="217196224"/>
        <c:crosses val="autoZero"/>
        <c:auto val="1"/>
        <c:lblAlgn val="ctr"/>
        <c:lblOffset val="100"/>
        <c:noMultiLvlLbl val="0"/>
      </c:catAx>
      <c:valAx>
        <c:axId val="217196224"/>
        <c:scaling>
          <c:orientation val="minMax"/>
        </c:scaling>
        <c:delete val="1"/>
        <c:axPos val="l"/>
        <c:numFmt formatCode="General" sourceLinked="1"/>
        <c:majorTickMark val="none"/>
        <c:minorTickMark val="none"/>
        <c:tickLblPos val="nextTo"/>
        <c:crossAx val="31157452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23"/>
    </mc:Choice>
    <mc:Fallback>
      <c:style val="23"/>
    </mc:Fallback>
  </mc:AlternateContent>
  <c:chart>
    <c:title>
      <c:overlay val="0"/>
    </c:title>
    <c:autoTitleDeleted val="0"/>
    <c:plotArea>
      <c:layout>
        <c:manualLayout>
          <c:layoutTarget val="inner"/>
          <c:xMode val="edge"/>
          <c:yMode val="edge"/>
          <c:x val="0.32825327364244006"/>
          <c:y val="0.27094328262730599"/>
          <c:w val="0.37030637166697861"/>
          <c:h val="0.72601285054421971"/>
        </c:manualLayout>
      </c:layout>
      <c:pieChart>
        <c:varyColors val="1"/>
        <c:ser>
          <c:idx val="0"/>
          <c:order val="0"/>
          <c:tx>
            <c:strRef>
              <c:f>Sheet1!$B$1</c:f>
              <c:strCache>
                <c:ptCount val="1"/>
                <c:pt idx="0">
                  <c:v>Digital Financial Inclusion</c:v>
                </c:pt>
              </c:strCache>
            </c:strRef>
          </c:tx>
          <c:dLbls>
            <c:dLbl>
              <c:idx val="0"/>
              <c:layout>
                <c:manualLayout>
                  <c:x val="5.6633414424659438E-3"/>
                  <c:y val="-2.2208675528462167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ABC-4BB1-AD85-DF5B359DC4F3}"/>
                </c:ext>
              </c:extLst>
            </c:dLbl>
            <c:dLbl>
              <c:idx val="1"/>
              <c:layout>
                <c:manualLayout>
                  <c:x val="-1.3989933159634753E-3"/>
                  <c:y val="2.7690947233746318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ABC-4BB1-AD85-DF5B359DC4F3}"/>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49.3</c:v>
                </c:pt>
                <c:pt idx="1">
                  <c:v>50.7</c:v>
                </c:pt>
              </c:numCache>
            </c:numRef>
          </c:val>
          <c:extLst xmlns:c16r2="http://schemas.microsoft.com/office/drawing/2015/06/chart">
            <c:ext xmlns:c16="http://schemas.microsoft.com/office/drawing/2014/chart" uri="{C3380CC4-5D6E-409C-BE32-E72D297353CC}">
              <c16:uniqueId val="{00000002-8ABC-4BB1-AD85-DF5B359DC4F3}"/>
            </c:ext>
          </c:extLst>
        </c:ser>
        <c:dLbls>
          <c:showLegendKey val="0"/>
          <c:showVal val="0"/>
          <c:showCatName val="0"/>
          <c:showSerName val="0"/>
          <c:showPercent val="1"/>
          <c:showBubbleSize val="0"/>
          <c:showLeaderLines val="1"/>
        </c:dLbls>
        <c:firstSliceAng val="0"/>
      </c:pieChart>
    </c:plotArea>
    <c:legend>
      <c:legendPos val="t"/>
      <c:layout>
        <c:manualLayout>
          <c:xMode val="edge"/>
          <c:yMode val="edge"/>
          <c:x val="0.43084281131525226"/>
          <c:y val="0.16655423139675107"/>
          <c:w val="0.16988693353221557"/>
          <c:h val="9.4968078314535007E-2"/>
        </c:manualLayout>
      </c:layout>
      <c:overlay val="0"/>
    </c:legend>
    <c:plotVisOnly val="1"/>
    <c:dispBlanksAs val="gap"/>
    <c:showDLblsOverMax val="0"/>
  </c:chart>
  <c:spPr>
    <a:solidFill>
      <a:schemeClr val="bg1">
        <a:lumMod val="85000"/>
      </a:schemeClr>
    </a:solidFill>
    <a:ln w="1905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FA513-F408-4D96-96CD-DAE1AC3CF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dc:creator>
  <cp:keywords/>
  <dc:description/>
  <cp:lastModifiedBy>qwert</cp:lastModifiedBy>
  <cp:revision>3</cp:revision>
  <dcterms:created xsi:type="dcterms:W3CDTF">2026-03-30T05:17:00Z</dcterms:created>
  <dcterms:modified xsi:type="dcterms:W3CDTF">2026-03-31T10:55:00Z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3577abce-2152-3a24-8452-8693e78cf57c</vt:lpwstr>
  </property>
</Properties>
</file>