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7DE26" w14:textId="43533745" w:rsidR="008F4952" w:rsidRPr="00A95946" w:rsidRDefault="00240A5E" w:rsidP="00240A5E">
      <w:pPr>
        <w:jc w:val="center"/>
        <w:rPr>
          <w:b/>
          <w:bCs/>
          <w:sz w:val="28"/>
          <w:szCs w:val="28"/>
        </w:rPr>
      </w:pPr>
      <w:r w:rsidRPr="00240A5E">
        <w:rPr>
          <w:b/>
          <w:bCs/>
          <w:sz w:val="28"/>
          <w:szCs w:val="28"/>
        </w:rPr>
        <w:t>Leveraging Text Analytics to Evaluate ESG Metrics' Influence on Corporate Sustainability Frameworks</w:t>
      </w:r>
    </w:p>
    <w:p w14:paraId="2B66154E" w14:textId="36DE1640" w:rsidR="004759EF" w:rsidRPr="00A95946" w:rsidRDefault="005C168A" w:rsidP="00FE6BF7">
      <w:pPr>
        <w:spacing w:after="120" w:line="240" w:lineRule="auto"/>
        <w:jc w:val="both"/>
        <w:rPr>
          <w:rFonts w:ascii="Times New Roman" w:hAnsi="Times New Roman" w:cs="Times New Roman"/>
          <w:b/>
          <w:bCs/>
          <w:sz w:val="24"/>
          <w:szCs w:val="24"/>
        </w:rPr>
      </w:pPr>
      <w:bookmarkStart w:id="0" w:name="_GoBack"/>
      <w:bookmarkEnd w:id="0"/>
      <w:r w:rsidRPr="00A95946">
        <w:rPr>
          <w:rFonts w:ascii="Times New Roman" w:hAnsi="Times New Roman" w:cs="Times New Roman"/>
          <w:b/>
          <w:bCs/>
          <w:sz w:val="24"/>
          <w:szCs w:val="24"/>
        </w:rPr>
        <w:t>Abstract</w:t>
      </w:r>
    </w:p>
    <w:p w14:paraId="2C238053" w14:textId="084BF382" w:rsidR="005D0ED7" w:rsidRPr="00A95946" w:rsidRDefault="007F5BFA"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Companies achieving sustainable business practices through Environmental Social and Governance (ESG) metrics integration now drive transparency and stakeholder involvement effectively. Electing qualitative research methods allows this investigation to study ESG metrics' effects on corporate sustainability strategy development through text analysis performed using both Latent Dirichlet Allocation (LDA) and Correspondence Analysis (CA) on ESG reports, regulatory texts, and academic publications. ESG metrics demonstrate essential importance in both corporate governance structures and regulatory conformity, as well as stakeholder commitment and financial planning applications. Future sustainability trends, together with corporate accountability, social impacts, and risk management, formed ten main themes that emerged from this analysis. The remaining themes were environmental practices with credibility, ESG reporting standardization, strategic ESG initiatives, and ESG disclosure communication and investor influence, followed by regulatory compliance and climate risk management and financial reporting with ESG risk analysis. The research objectives align well with the identified themes according to thematic mapping and CA results, which together create an extensive framework for ESG metric assessment in corporate sustainability strategies. A thorough analysis demonstrates that organizations must prioritize disclosure of ESG metrics together with sound governance systems while allowing investors to play a role and follow regulations in order to advance sustainability. Corporate decision-makers need to understand the essential implications that emerge from these findings because they demonstrate why structured ESG implementation methods are vital. Research must continue to analyze the developing ESG reporting environment and emerging regulatory changes and technological advancements that improve corporate accountability and governance transparency.</w:t>
      </w:r>
    </w:p>
    <w:p w14:paraId="42B3D87E" w14:textId="78CC7737" w:rsidR="00371C48" w:rsidRPr="00A95946" w:rsidRDefault="00371C48"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Keywords:</w:t>
      </w:r>
      <w:r w:rsidRPr="00A95946">
        <w:rPr>
          <w:rFonts w:ascii="Times New Roman" w:hAnsi="Times New Roman" w:cs="Times New Roman"/>
          <w:sz w:val="24"/>
          <w:szCs w:val="24"/>
        </w:rPr>
        <w:t xml:space="preserve">  ESG </w:t>
      </w:r>
      <w:r w:rsidR="00D85B2E" w:rsidRPr="00A95946">
        <w:rPr>
          <w:rFonts w:ascii="Times New Roman" w:hAnsi="Times New Roman" w:cs="Times New Roman"/>
          <w:sz w:val="24"/>
          <w:szCs w:val="24"/>
        </w:rPr>
        <w:t>metrics, Corporate</w:t>
      </w:r>
      <w:r w:rsidRPr="00A95946">
        <w:rPr>
          <w:rFonts w:ascii="Times New Roman" w:hAnsi="Times New Roman" w:cs="Times New Roman"/>
          <w:sz w:val="24"/>
          <w:szCs w:val="24"/>
        </w:rPr>
        <w:t xml:space="preserve"> sustainability strategies ,  ESG reporting ,  Regulatory compliance,  ,  Text analytics ,  Text analysis , Text mining</w:t>
      </w:r>
    </w:p>
    <w:p w14:paraId="1DE2B89F" w14:textId="25C43FE3" w:rsidR="00783403" w:rsidRPr="00A95946" w:rsidRDefault="00783403" w:rsidP="00FE6BF7">
      <w:pPr>
        <w:pStyle w:val="ListParagraph"/>
        <w:numPr>
          <w:ilvl w:val="0"/>
          <w:numId w:val="2"/>
        </w:numPr>
        <w:spacing w:after="120" w:line="240" w:lineRule="auto"/>
        <w:jc w:val="both"/>
        <w:rPr>
          <w:b/>
          <w:bCs/>
          <w:sz w:val="24"/>
          <w:szCs w:val="24"/>
        </w:rPr>
      </w:pPr>
      <w:r w:rsidRPr="00A95946">
        <w:rPr>
          <w:b/>
          <w:bCs/>
          <w:sz w:val="24"/>
          <w:szCs w:val="24"/>
        </w:rPr>
        <w:t xml:space="preserve">Introduction </w:t>
      </w:r>
    </w:p>
    <w:p w14:paraId="5BF57D6E" w14:textId="77777777" w:rsidR="003E1B6D" w:rsidRPr="00A95946" w:rsidRDefault="003E1B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Businesses use Environmental Social Governance (ESG) metrics to develop sustainable strategies because environmental challenges meet social responsibility standards, and governance requires strict oversight. ESG metrics function as essential indicators to evaluate corporate effectiveness, and they affect investor faith and regulatory needs while promoting extended worth creation. The integration of ESG principles into corporate decision-making represents both a strategic corporate requirement and a powerful mechanism to accomplish sustainable ethical business expansion.</w:t>
      </w:r>
    </w:p>
    <w:p w14:paraId="73D9CF5B" w14:textId="77777777" w:rsidR="003E1B6D" w:rsidRPr="00A95946" w:rsidRDefault="003E1B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Multiple theoretical models have directed academic studies about ESG metrics affecting corporate sustainability approaches. Stakeholder theory (Freeman, 1984) reinforced business accountability by revealing shareholders were accompanied by multiple stakeholder groups such as employees, customers, regulators, and communities, thus leading to ESG integration in corporate decision-making. According to legitimacy theory (Suchman, 1995), organizations chose ESG practices because they needed to match societal expectations, boost transparency, and maintain public trust, especially when facing regulatory oversight. Organizations adopt ESG norms through institutional pressures, which include coercive, mimetic, and normative elements to secure future sustainability and market leadership. Resource-based view (RBV) theory (Barney, 1991) demonstrated that ESG practices operate as strategic assets because they generate distinctive capabilities, which include better brand </w:t>
      </w:r>
      <w:r w:rsidRPr="00A95946">
        <w:rPr>
          <w:rFonts w:ascii="Times New Roman" w:hAnsi="Times New Roman" w:cs="Times New Roman"/>
          <w:sz w:val="24"/>
          <w:szCs w:val="24"/>
        </w:rPr>
        <w:lastRenderedPageBreak/>
        <w:t>reputation, stronger risk management, and increased stakeholder devotion. Through the Signaling theory (Spence, 1973), firms disclosed ESG information to demonstrate their dedication to sustainability, which helped them obtain investors while decreasing market financial uncertainty. The merger of various theories highlights the essential role that ESG metrics play in developing sustainability strategies and increasing business survivability while generating lasting value.</w:t>
      </w:r>
    </w:p>
    <w:p w14:paraId="05F4D391" w14:textId="77777777" w:rsidR="003E1B6D" w:rsidRPr="00A95946" w:rsidRDefault="003E1B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reporting systems started to receive increased oversight from regulators as different jurisdictions adopted standardized reporting methods. The Corporate Sustainability Reporting Directive (CSRD) of the EU, together with the International Sustainability Standards Board (ISSB), established formatted reporting conditions that drive ESG reporting compliance (Shakeri, 2025; Bruhati, 2024). The implementation of AI with blockchain technologies developed proper ESG data acquisition methods, which produced accurate results while providing more transparency between companies and investors (Iris Business, 2025). ESG metrics became complicated because rating providers did not use standardized criteria, which resulted in inconsistent evaluation methods (McKinsey, n.d.). Businesses faced the dual task of meeting stakeholder needs alongside regulatory compliance requirements as one of their major hurdles (Greenmyna, 2024). The collection and quality maintenance of ESG data remained problematic because well-organized reporting platforms were not available to guarantee accurate data consistency (Greenmyna, 2024). The enforcement of ESG regulations presented a major challenge for businesses because they needed to adjust their operations to complex evolving rules, which required extensive time and financial investments (Bedford Consulting, 2023).</w:t>
      </w:r>
    </w:p>
    <w:p w14:paraId="046E7714" w14:textId="1C651EBF" w:rsidR="007661BD" w:rsidRPr="00A95946" w:rsidRDefault="003E1B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metrics have become increasingly important globally for companies, yet organizations face substantial difficulties when it comes to incorporating them into operational decision-making. The goal of ESG frameworks is to increase clear reporting, sustainable operations, and long-term performance, but measurement standards alongside data reliability and compliance requirements act as barriers to complete implementation. Numerous companies encounter difficulties in linking ESG reporting to their strategic sustainability goals because they face challenges, including greenwashing stakeholder doubts and regulatory differences. The absence of a standardized ESG measure leads to different opinions about corporate sustainability performance, which makes it hard for investors and policymakers to determine the effectiveness of sustainable impact measures. This research investigates the degree to which ESG metrics impact business sustainability approaches together with executive choices and sustainable value generation because regulators, investors, and consumers demand real ESG commitments from companies. This study works to solve these obstacles in order to offer business insights about ESG metrics as strategic sustainability tools and risk management instruments and competitive advantages that lead to both academic understanding and corporate governance enhancements.</w:t>
      </w:r>
    </w:p>
    <w:p w14:paraId="1DCF4580" w14:textId="0243C78D" w:rsidR="00151B44" w:rsidRPr="00A95946" w:rsidRDefault="00151B44" w:rsidP="00FE6BF7">
      <w:pPr>
        <w:pStyle w:val="ListParagraph"/>
        <w:numPr>
          <w:ilvl w:val="0"/>
          <w:numId w:val="2"/>
        </w:numPr>
        <w:spacing w:after="120" w:line="240" w:lineRule="auto"/>
        <w:jc w:val="both"/>
        <w:rPr>
          <w:b/>
          <w:bCs/>
          <w:sz w:val="24"/>
          <w:szCs w:val="24"/>
        </w:rPr>
      </w:pPr>
      <w:r w:rsidRPr="00A95946">
        <w:rPr>
          <w:b/>
          <w:bCs/>
          <w:sz w:val="24"/>
          <w:szCs w:val="24"/>
        </w:rPr>
        <w:t xml:space="preserve">Objective of the study </w:t>
      </w:r>
    </w:p>
    <w:p w14:paraId="081693E5" w14:textId="5782DEC0" w:rsidR="00151B44" w:rsidRPr="00A95946" w:rsidRDefault="00151B44" w:rsidP="00FE6BF7">
      <w:pPr>
        <w:spacing w:after="120" w:line="240" w:lineRule="auto"/>
        <w:jc w:val="both"/>
      </w:pPr>
      <w:r w:rsidRPr="00A95946">
        <w:t xml:space="preserve">Following </w:t>
      </w:r>
      <w:r w:rsidR="00AC5401" w:rsidRPr="00A95946">
        <w:t>are</w:t>
      </w:r>
      <w:r w:rsidRPr="00A95946">
        <w:t xml:space="preserve"> objective</w:t>
      </w:r>
      <w:r w:rsidR="00AC5401" w:rsidRPr="00A95946">
        <w:t>s</w:t>
      </w:r>
      <w:r w:rsidRPr="00A95946">
        <w:t xml:space="preserve"> </w:t>
      </w:r>
      <w:r w:rsidR="00AC5401" w:rsidRPr="00A95946">
        <w:t>of the</w:t>
      </w:r>
      <w:r w:rsidRPr="00A95946">
        <w:t xml:space="preserve"> study </w:t>
      </w:r>
    </w:p>
    <w:p w14:paraId="1D6D495E" w14:textId="4A75D100" w:rsidR="00151B44" w:rsidRPr="00A95946" w:rsidRDefault="00151B44" w:rsidP="00FE6BF7">
      <w:pPr>
        <w:pStyle w:val="ListParagraph"/>
        <w:numPr>
          <w:ilvl w:val="0"/>
          <w:numId w:val="1"/>
        </w:num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To explore ESG metrics in corporate sustainability strategies using text analytics.</w:t>
      </w:r>
    </w:p>
    <w:p w14:paraId="332BEAF7" w14:textId="5DF26260" w:rsidR="00151B44" w:rsidRPr="00A95946" w:rsidRDefault="00151B44" w:rsidP="00FE6BF7">
      <w:pPr>
        <w:pStyle w:val="ListParagraph"/>
        <w:numPr>
          <w:ilvl w:val="0"/>
          <w:numId w:val="1"/>
        </w:num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To analyze stakeholder narratives on ESG decisions through text analysis.</w:t>
      </w:r>
    </w:p>
    <w:p w14:paraId="0F149AB4" w14:textId="525EBEFF" w:rsidR="00151B44" w:rsidRPr="00A95946" w:rsidRDefault="00151B44" w:rsidP="00FE6BF7">
      <w:pPr>
        <w:pStyle w:val="ListParagraph"/>
        <w:numPr>
          <w:ilvl w:val="0"/>
          <w:numId w:val="1"/>
        </w:num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To investigate regulatory challenges in ESG reporting using text mining.</w:t>
      </w:r>
    </w:p>
    <w:p w14:paraId="4D550F76" w14:textId="73BA80B6" w:rsidR="00151B44" w:rsidRPr="00A95946" w:rsidRDefault="00151B44" w:rsidP="00FE6BF7">
      <w:pPr>
        <w:pStyle w:val="ListParagraph"/>
        <w:numPr>
          <w:ilvl w:val="0"/>
          <w:numId w:val="1"/>
        </w:num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To examine technological innovation in ESG-related corporate communications.</w:t>
      </w:r>
    </w:p>
    <w:p w14:paraId="31A467EE" w14:textId="7F0D608D" w:rsidR="00151B44" w:rsidRPr="00A95946" w:rsidRDefault="00151B44" w:rsidP="00FE6BF7">
      <w:pPr>
        <w:pStyle w:val="ListParagraph"/>
        <w:numPr>
          <w:ilvl w:val="0"/>
          <w:numId w:val="1"/>
        </w:numPr>
        <w:spacing w:after="120" w:line="240" w:lineRule="auto"/>
        <w:jc w:val="both"/>
      </w:pPr>
      <w:r w:rsidRPr="00A95946">
        <w:rPr>
          <w:rFonts w:ascii="Times New Roman" w:hAnsi="Times New Roman" w:cs="Times New Roman"/>
          <w:sz w:val="24"/>
          <w:szCs w:val="24"/>
        </w:rPr>
        <w:t>To develop a framework for assessing ESG metrics from textual data</w:t>
      </w:r>
      <w:r w:rsidRPr="00A95946">
        <w:t>.</w:t>
      </w:r>
    </w:p>
    <w:p w14:paraId="4368D86D" w14:textId="4B68654C" w:rsidR="000244C5" w:rsidRPr="00A95946" w:rsidRDefault="006764CD" w:rsidP="00FE6BF7">
      <w:pPr>
        <w:spacing w:after="120" w:line="240" w:lineRule="auto"/>
        <w:jc w:val="both"/>
        <w:rPr>
          <w:b/>
          <w:bCs/>
        </w:rPr>
      </w:pPr>
      <w:r w:rsidRPr="00A95946">
        <w:rPr>
          <w:rFonts w:ascii="Times New Roman" w:hAnsi="Times New Roman" w:cs="Times New Roman"/>
          <w:sz w:val="24"/>
          <w:szCs w:val="24"/>
        </w:rPr>
        <w:t xml:space="preserve">Studies connected to ESG metrics and their effects on corporate sustainability planning require in-depth knowledge about current standards, together with emerging patterns and operational obstacles. The research must establish its position within academic and industry </w:t>
      </w:r>
      <w:r w:rsidRPr="00A95946">
        <w:rPr>
          <w:rFonts w:ascii="Times New Roman" w:hAnsi="Times New Roman" w:cs="Times New Roman"/>
          <w:sz w:val="24"/>
          <w:szCs w:val="24"/>
        </w:rPr>
        <w:lastRenderedPageBreak/>
        <w:t>discussions about ESG reporting, qualitative data analysis, and corporate decision-making because text analytics tools increasingly process sustainability disclosures and stakeholder and regulatory texts. A literature review analyzes fundamental theoretical bases and existing investigations regarding ESG execution methods and evaluation, as well as technological advancements in sustainability research assessment. The review provides an essential theoretical background that helps contextualize the exploratory design of the study and directs both the identification of research gaps and the development of the methodology.</w:t>
      </w:r>
    </w:p>
    <w:p w14:paraId="592B4EE4" w14:textId="17063EEC" w:rsidR="000244C5" w:rsidRPr="00A95946" w:rsidRDefault="000244C5" w:rsidP="00FE6BF7">
      <w:pPr>
        <w:pStyle w:val="ListParagraph"/>
        <w:numPr>
          <w:ilvl w:val="0"/>
          <w:numId w:val="2"/>
        </w:num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Literature review</w:t>
      </w:r>
    </w:p>
    <w:p w14:paraId="4D96128A"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metrics serve as vital aspects of corporate sustainability reports because they allow organizations to show their sustainable business practices and accountability, foster transparency to regulators and investors, and help manage operational risks (Suttipun et al., 2025). Standardization issues persist, along with accuracy and comparability difficulties when it comes to ESG disclosures, because ESG reporting does not have a globally standardized framework like financial reporting standards like GAAP or IFRS (Rahman et al., 2025). The global disclosure frameworks GRI, TCFD, and ESRS have developed to increase consistency, yet structural differences among them continue to be a critical issue, according to Magli and Amaduzzi (2025). ESG metrics provide sustainability benchmarks through which organizations measure their performance in environmental aspects and social factors and governance elements that include board composition and anti-corruption measures (Suttipun et al., 2025). ESG metrics, which appear in corporate sustainability reports, establish both investor transparency and ethical interest through the rising utilization of blockchain technology in preventing greenwashing and validating ESG disclosure contents (Emmanuel, 2025). Evidence indicates that organizations with higher ESG scores receive increased sustainable investor interest while lowering their risk profile (Suta et al., 2025). Strategic ESG reporting enables organizations to achieve better internal control systems, which concurrently enhances financial governance and speeds up the completion of audit reports (Jizi &amp; Thomas, 2025). The EU's CSRD regulation, together with similar rules like the CSRD, force companies to reveal sustainability-related risks while presenting opportunities resulting in advanced and transparent disclosure practices (Rana et al., 2025; Jarboui et al., 2025). Future ESG reporting will incorporate NLP and AI methodologies for better data evaluation. At the same time, fintech solutions will help standardize datasets and expand their accessibility (Roy &amp; Vasa, 2025; Sahu &amp; Debata, 2025). Companies need standard ESG reporting criteria to improve both corporate responsibility and sustainable business practices despite the advancement of ESG disclosures toward transparency and compliance objectives.</w:t>
      </w:r>
    </w:p>
    <w:p w14:paraId="1614FD49"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ESG metrics function as essential elements in corporate sustainability reports to show sustainable business practice dedication as well as transparency and accountability while providing vital risk management tools for companies and investors and regulatory compliance frameworks (Suttipun et al., 2025). Many experts debate the accuracy and standardization issues of ESG reporting because it operates without a standard framework like financial reporting systems that utilize GAAP or IFRS (Rahman et al., 2025). The GRI TCF, D, and ESRS frameworks serve as global ESG disclosure systems that resolve the current reporting issues while enhancing comparability between companies (Magli &amp; Amaduzzi, 2025). The ESG metrics serve as performance evaluation standards for sustainability assessments, which combine environmental results with social practices alongside governance systems (Suttipun et al., 2025). Companies add sustainability metrics to their reports for better transparency and earn ethical investors through enhanced disclosure reliability by using blockchain technology, which reduces potential greenwashing occurrences (Emmanuel, 2025). Studies show that that ESG disclosure activities produce </w:t>
      </w:r>
      <w:r w:rsidRPr="00A95946">
        <w:rPr>
          <w:rFonts w:ascii="Times New Roman" w:hAnsi="Times New Roman" w:cs="Times New Roman"/>
          <w:sz w:val="24"/>
          <w:szCs w:val="24"/>
        </w:rPr>
        <w:lastRenderedPageBreak/>
        <w:t xml:space="preserve">positive financial outcomes because organizations that display superior ESG performance records deliver better return on assets (ROA) together with enhanced stock market performance (Suta et al., 2025). Sustainability reporting enhances financial governance systems and establishes strong internal controls, which shortens audit reporting periods, leading to higher organizational transparency (Jizi &amp; Thomas, 2025). International governments perform stringent sustainability reporting requirements which alter ESG disclosures through mandates like the EU's CSRD that compel businesses to reveal sustainability-based risks and opportunities, thus resulting in more exposed and transparent reporting (Rana et al., 2025; Jarboui et al., 2025). The upcoming era of ESG reporting will receive its direction from AI and NLP-enabled data analysis systems combined with fintech improvements for data consistency and better analytics of climate risks across organizations (Roy &amp; Vasa, 2025; Sahu &amp; Debata, 2025). </w:t>
      </w:r>
    </w:p>
    <w:p w14:paraId="0E305973"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Businesses now make ESG strategies fundamental to their corporate stories because these strategies help improve their reputation while reducing risks and generating lasting economic value (Jamil &amp; Wahyuni, 2024). ESG narratives center on transparency and accountability because organizations use direct sustainability communication to show their goals and performance measurements and risk evaluations to build trust and credibility (Whelan, Eckerle, &amp; Tomlinson, 2020). The practice of clear ESG disclosure creates trust with investors and social groups by fighting against greenwashing practices (Jamil &amp; Wahyuni, 2024). The discussion on ESG emphasizes risk management and organizational resilience through which companies use their ESG initiatives to face financial, rational, and reputational threats, particularly when dealing with climate-related financial risks (Biswas, Das, &amp; Mitra, 2024). Firms that implement properly organized ESG strategies demonstrate better financial performance, which indicates that ESG compliance operates as both a regulatory obligation and a performance-enhancing element (Rana et al., 2024). The theme of ESG-driven innovation emphasizes the business use of ESG principles to create sustainable financial approaches with green tech and moral supply chains that boost operational outcomes while setting organizations apart from the competition and attracting investors (Bonfanti, 2024; Sahu &amp; Debata, 2025). Stakeholder engagement, along with social responsibility, operate as essential components of ESG narratives through which businesses present sustainability initiatives as joint projects that generate shared worth for workers, customers, investors, and local communities (Ani &amp; Solissa, 2024). Many companies exhibit Corporate Social Responsibility (CSR) initiatives with diversity, equity and inclusion programs which they showcase through their ESG commitments (Wang &amp; Phillips-Fein, 2023). ESG disclosure frameworks like the Global Reporting Initiative (GRI) and Task Force on Climate-related Financial Disclosures (TCFD), together with European Sustainability Reporting Standards (ESRS), receive top priority from companies within regulatory compliance (Jang &amp; Kang, 2023). ESG strategies receive mostly positive attention, but ongoing challenges like greenwashing and ESG doubt exist, and certain businesses encounter criticism for empty ESG statements (Jamil &amp; Wahyuni, 2024). Unjustified ESG statements threaten corporate trustworthiness, thus prompting regulators to monitor companies, which requires companies to implement transparent ESG reporting systems that maintain stakeholder honesty (Tan et al., 2025).</w:t>
      </w:r>
    </w:p>
    <w:p w14:paraId="6FE442E7"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Corporate communications now focus on ESG initiatives because companies use stakeholder perceptions to build reputation while linking sustainability and ethical governance to their strategies (McCall, 2024). Stakeholder trust relies heavily on transparent ESG reporting because it enables public disclosure verification to prevent sustainability-related skepticism and avoid or reduce misrepresentation of environmental efforts (Usman, 2024). Some organizations present their ESG successes to the public but conceal their difficulties, which </w:t>
      </w:r>
      <w:r w:rsidRPr="00A95946">
        <w:rPr>
          <w:rFonts w:ascii="Times New Roman" w:hAnsi="Times New Roman" w:cs="Times New Roman"/>
          <w:sz w:val="24"/>
          <w:szCs w:val="24"/>
        </w:rPr>
        <w:lastRenderedPageBreak/>
        <w:t>creates credibility gaps (Casalegno, Chiaudano, &amp; Tamiazzo, 2024). The ESG initiatives of companies receive distinct interpretations from investors who assess them as risk management while consumers focus on ESG messaging and social-environmental outcomes (Koch, 2025; Hartwig, 2024). Strong ESG credentials enable firms to draw sustainable investments because ESG factors have become important factors in financial decision-making, according to Beckert &amp; Koch (2025). Social platforms have become essential for ESG communication because companies can use them to connect with stakeholders, deliver updates, and address concerns; interactive ESG content on these platforms enhances brand support and organizational responsibility (Sung, Tao, &amp; Lee, 2025). The failure of influencer partnerships to match corporate ESG principles creates enduring risks of misinformation, which frequently results in stakeholder backlash, according to Zhang, Xu, and Chen (2024). ESG communication influences internal stakeholders through effective messaging, which improves employee commitment and business partnership commitment (Theron, Cant, &amp; Wiid, 2024). The perception of ESG initiatives remains uncertain because these programs seem superficial or do not match company policies, particularly in terms of diversity and inclusion (Moyeen &amp; Mehjabeen, 2024). The rising focus on ESG reporting creates obstacles for companies to connect with multiple stakeholders, including emerging market participants, because ESG messages are viewed as deceptive public relations instead of authentic sustainability promises (Badr, Ibrahim, &amp; Hussainey, 2024; Dadhich &amp; Saini, 2024). The solution lies in businesses needing to prove their tangible ESG advancement with sustained sustainability messaging since this creates enduring trust from their stakeholders.</w:t>
      </w:r>
    </w:p>
    <w:p w14:paraId="26FDAEE1"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commitments now form the core element of sustainability narratives that direct business interactions with stakeholders who participate in shaping corporate strategy development and stakeholder perception (Ahmaro, Aljebrini, &amp; Dogruyol, 2025). ESG discourse puts continuous emphasis on transparency and trust because stakeholders need to verify ESG information in order to understand corporate sustainability initiatives effectively, and data-driven transparency enhances stakeholder confidence (McCall, 2024; Junaedi, 2024). Through social media, companies can now spread information quickly while molding public discussions about ESG topics, but such practices create potential reputational hazards when corporate ESG statements do not match actual operational results (Jayadatta, 2023; Zhang, Xu, &amp; Chen, 2024). The discussion about ESG relies heavily on ethical standards and corporate responsibility because stakeholders push for standardized reporting to maintain ethical conduct while impact investors evaluate corporate legitimacy through ESG dialogue (Yunus &amp; Nanda, 2024; Lehner &amp; Harrer, 2019). Employee and social activist groups now recognize diversity equity and inclusion (DEI) as a vital ESG commitment component because they want ESG strategies to contain DEI principles to build inclusive workplace environments (Amanifar &amp; Rahat, 2024). Stakeholders form their opinions about ESG commitments based on evolving regulatory frameworks as companies modify their strategies to comply with changing standards, according to Nielsen &amp; Villadsen, 2023, and Mbhalati and Masehela, 2024. Businesses encounter substantial difficulties from greenwashing when their sustainability promises do not match real operations, which leads stakeholders to distrust them. This problem shows how important it is for companies to showcase ESG performance through tangible verified actions to gain public confidence (Crosby, 2024).</w:t>
      </w:r>
    </w:p>
    <w:p w14:paraId="6D2AB538"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ESG information disclosure has become mandatory for companies through regulation, but organizations face difficulties stemming from inconsistent ESG standards and changing rules, as well as the challenges of text analysis when producing ESG reports (Suta et al., 2025). Organizations face various regulatory requirements that include GRI reporting TCF, D guidelines, and ESRS standards, which cause ESG disclosure inconsistencies (Amanifar &amp; Rahat, 2024). Businesses within the Central and Eastern European region experience </w:t>
      </w:r>
      <w:r w:rsidRPr="00A95946">
        <w:rPr>
          <w:rFonts w:ascii="Times New Roman" w:hAnsi="Times New Roman" w:cs="Times New Roman"/>
          <w:sz w:val="24"/>
          <w:szCs w:val="24"/>
        </w:rPr>
        <w:lastRenderedPageBreak/>
        <w:t>difficulties meeting ESRS standards because text analytics reported numerous shortcomings in sustainability disclosure, according to Suta et al. (2025). ESG reports face two main compliance challenges:e complicated language that creates barriers to understanding between stakeholders, and some sustainability statements are vague enough to risk being classified as greenwashing (Parfentieva, 2024). The evaluation of ESG disclosure clarity heavily depends on text analysis because many companies do not supply measurable indicators to support their sustainability promises (Amanifar &amp; Rahat, 2024). Sentiment analysis enables ESG disclosure assessment by identifying optimistic statements that attract regulatory attention and neutral language in mandatory reports that promote better compliance acceptance (Suta et al., 2025). ESG data verification represents a key problem because many reports lack either independent audits or external verification checks, which makes text analysis powered by AI essential to finding inconsistent findings while enhancing report reliability (Amanifar &amp; Rahat, 2024). Companies solve ESG compliance problems by adopting automated text analysis and natural language processing tools, enabling them to monitor compliance and create better readings of ESG material and regulatory-aligned messaging, according to Parfentieva (2024). The accuracy of ESG claims is enhanced by the application of AI-driven data validation technology, which guarantees that sustainable corporate reports meet current compliance requirements (Suta et al., 2025).</w:t>
      </w:r>
    </w:p>
    <w:p w14:paraId="63CC2CF0"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The high demand from stakeholders for transparent ESG information has driven companies to use AI with big data analytics and blockchain, as well as digital platforms to improve their sustainability report transparency, according to Magli and Amaduzzi (2025). AI and big data analytics systems help improve ESG reporting through instant data collection and emotional analysis and sustainability report inconsistency detection, which results in better disclosure reliability and consistency (Li &amp; Zhang, 2024; Faccia &amp; Petratos, 2024). Blockchain technology represents a crucial instrument that verifies ESG data by establishing immovable records while stopping data tampering to enhance business reputation through "GPT4ESG" and its related AI-based blockchain model (Makridis, Beck, &amp; Louca, 2025; Lin et al., 2024). Through digital communication of ESG metrics, stakeholders now engage with companies through corporate sites and social media platforms as well as interactive dashboards, which improves regulatory compliance and ensures transparency, according to Carabelli (2025) and Dathe (2024). AI and automated systems for ESG monitoring help businesses monitor regulatory changes while ensuring global reporting standards, thus reducing compliance risks and enhancing transparency (Rajput, Sharma, &amp; Garg, 2024; Chen, 2024). Green innovation represents a major technological advancement in ESG disclosures because it allows companies to use digitalization to incorporate green technologies into their ESG strategies, which strengthens their environmental commitments while drawing investors who invest in sustainable and social responsibility (Ijomah et al., 2024; Nodhiva et al., 2024). ESG data integrity will continue to benefit from advancing technological solutions as regulatory developments occur, thus creating better compliance and sustainable business practices.</w:t>
      </w:r>
    </w:p>
    <w:p w14:paraId="29661704"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Corporates adopt Emerging technologies to improve Environmental Social Governance disclosure through transparency enhancements com, appliance management, and stakeholder relationships by leveraging Artificial intelligence and Big data analytics together with Digital platforms to gain better ESG reporting, er greenwashing exposure, and build investor trust (Veloso, 2024). The analysis of ESG disclosures through AI natural language processing (NLP) enables companies to achieve regulatory compliance, and the AI sentiment analysis allows them to monitor public discussions to adjust their ESG communication properly (Veloso, 2024). AI scoring systems help investors implement data-based investments via the examination of financial data and corporate reports and social media interaction, which diminishes subjectivity in sustainability assessment procedures. The secure blockchain </w:t>
      </w:r>
      <w:r w:rsidRPr="00A95946">
        <w:rPr>
          <w:rFonts w:ascii="Times New Roman" w:hAnsi="Times New Roman" w:cs="Times New Roman"/>
          <w:sz w:val="24"/>
          <w:szCs w:val="24"/>
        </w:rPr>
        <w:lastRenderedPageBreak/>
        <w:t>database preserves unalterable sustainability records, which allows for the real-time review of supply chains, carbon tracking, and ethical procurement practices to protect against sustainability fraud (Veloso, 2024). The analysis of large data volumes helps businesses monitor ESG metrics in real time and predict sustainability risks through the presentation of performance data (Veloso, 2024). The digitalization of platforms through sustainability dashboards and investor communication portals enables demonstrative ESG stakeholder engagement because companies present ESG information honestly and enhance public and investor empowerment through interactive sustainability metrics (Veloso, 2024). The tightening of ESG disclosure standards by regulatory authorities depends on technology that uses AI fact-checkers to expose ESG report inconsistencies while blockchain keeps data from being manipulated (Veloso, 2024). Businesses benefit from automated compliance tools together with ESG software, which aids in standard alignment and risk reduction for accurate sustainability reporting (Veloso, 2024). Efforts to develop ESG compliance software together with ESRS and TCFD standards improve decision-making transparency and provide better-reporting integrity to fulfill investor demands regarding sustainable business operations.</w:t>
      </w:r>
    </w:p>
    <w:p w14:paraId="53D34279" w14:textId="4C8DB125" w:rsidR="00D80E2B"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The evaluation of Environmental Social Governance (ESG) performance necessitates numerical objective assessment points from carbon emissions to diversity ratios along with governance scores combined with interpretive textual data about corporate sustainability declarations (Sun &amp; Long, 2024). The evaluation of ESG narratives and stakeholder perceptions, together with transparency levels, is done through Natural language processing (NLP) sen, timing analysis, and discourse analysis tools. The analysis of emotional content in corporate ESG performance relies on automated text analysis of sustainability reports and investor briefings, and social media and news ESG-related passages to spot ESG communication inconsistencies versus public reactions and identify greenwashing risks (Sun &amp; Long, 2024). Studies show that transparent ESG information disclosure manifests as simple text with straightforward language, which leads to clear accountability, yet difficult language tends to hide weak sustainability results (Sun &amp; Long, 2024). The analysis of ESG textual information allows investors to identify main sustainability topics like carbon neutrality and diversity and inclusion together with governance integrity, which helps differentiate meaningful ESG promises from empty gestures, but authentic sustainability engagement demonstrates companies using specific targets and progress metrics (Sun &amp; Long, 2024). The analysis of stakeholder discourse provides qualitative information through monitoring social media inv, ester calls emp, employee reviews, and regulatory reports, which enables investors and analysts to evaluate sustainability risks and regulatory scrutiny (Sun &amp; Long, 2024). The use of different ESG-related words throughout reports indicates deep sustainability commitment since detailed descriptions accompany extensive terminology usage (Sun &amp; Long, 2024). The assessment of corporate ESG performance receives additional support through advanced NLP techniques because these methods track relevant ESG narrative patterns and extract meaningful keywords to produce more accurate sustainability assessments.</w:t>
      </w:r>
    </w:p>
    <w:p w14:paraId="54508421" w14:textId="1AB238E8" w:rsidR="00653D14" w:rsidRPr="00A95946" w:rsidRDefault="00653D14" w:rsidP="00FE6BF7">
      <w:pPr>
        <w:pStyle w:val="ListParagraph"/>
        <w:numPr>
          <w:ilvl w:val="0"/>
          <w:numId w:val="2"/>
        </w:num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Methodology</w:t>
      </w:r>
    </w:p>
    <w:p w14:paraId="2FE9CAFE" w14:textId="189AC915" w:rsidR="00653D14"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4.1 </w:t>
      </w:r>
      <w:r w:rsidR="00653D14" w:rsidRPr="00A95946">
        <w:rPr>
          <w:rFonts w:ascii="Times New Roman" w:hAnsi="Times New Roman" w:cs="Times New Roman"/>
          <w:b/>
          <w:bCs/>
          <w:sz w:val="24"/>
          <w:szCs w:val="24"/>
        </w:rPr>
        <w:t>Research Design</w:t>
      </w:r>
    </w:p>
    <w:p w14:paraId="4CD247F9" w14:textId="77777777" w:rsidR="001439DE" w:rsidRPr="00A95946"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This study employs a qualitative research design to explore the role of Environmental, Social, and Governance (ESG) metrics in shaping corporate sustainability strategies. Given the complexity and multidimensional nature of ESG metrics, a qualitative approach allows for an in-depth examination of existing literature, corporate disclosures, and regulatory frameworks. The study focuses on thematic analysis using topic modeling to uncover latent themes within </w:t>
      </w:r>
      <w:r w:rsidRPr="00A95946">
        <w:rPr>
          <w:rFonts w:ascii="Times New Roman" w:hAnsi="Times New Roman" w:cs="Times New Roman"/>
          <w:sz w:val="24"/>
          <w:szCs w:val="24"/>
        </w:rPr>
        <w:lastRenderedPageBreak/>
        <w:t>ESG discourse, providing structured insights into how these metrics guide corporate decision-making.</w:t>
      </w:r>
    </w:p>
    <w:p w14:paraId="3A1FEE54" w14:textId="50714F70" w:rsidR="001439DE"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4.2 </w:t>
      </w:r>
      <w:r w:rsidR="001439DE" w:rsidRPr="00A95946">
        <w:rPr>
          <w:rFonts w:ascii="Times New Roman" w:hAnsi="Times New Roman" w:cs="Times New Roman"/>
          <w:b/>
          <w:bCs/>
          <w:sz w:val="24"/>
          <w:szCs w:val="24"/>
        </w:rPr>
        <w:t>Research Approach</w:t>
      </w:r>
    </w:p>
    <w:p w14:paraId="7606E24E" w14:textId="77777777" w:rsidR="001439DE" w:rsidRPr="00A95946"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A qualitative, exploratory approach is adopted to analyze textual data from ESG reports, regulatory documents, and academic literature. This approach enables a comprehensive understanding of ESG frameworks, stakeholder narratives, and regulatory challenges. By leveraging natural language processing (NLP) techniques, specifically Latent Dirichlet Allocation (LDA), the study systematically extracts and categorizes key themes in ESG-related discourse. Correspondence Analysis (CA) is further employed to visualize term relationships, reinforcing the robustness of topic modeling findings.</w:t>
      </w:r>
    </w:p>
    <w:p w14:paraId="0124C9B8" w14:textId="3DF10479" w:rsidR="001439DE"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4.3 </w:t>
      </w:r>
      <w:r w:rsidR="001439DE" w:rsidRPr="00A95946">
        <w:rPr>
          <w:rFonts w:ascii="Times New Roman" w:hAnsi="Times New Roman" w:cs="Times New Roman"/>
          <w:b/>
          <w:bCs/>
          <w:sz w:val="24"/>
          <w:szCs w:val="24"/>
        </w:rPr>
        <w:t>Research Philosophy</w:t>
      </w:r>
    </w:p>
    <w:p w14:paraId="7B5B4339" w14:textId="77777777" w:rsidR="001439DE" w:rsidRPr="00A95946"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The research is grounded in an interpretive philosophy, emphasizing the subjective and evolving nature of ESG discourse. Interpretivism allows for a nuanced analysis of corporate sustainability strategies by recognizing the contextual influences of regulatory developments, investor expectations, and corporate governance practices. The study also integrates aspects of constructivism, acknowledging that ESG narratives are shaped by stakeholder interactions, regulatory shifts, and evolving sustainability frameworks.</w:t>
      </w:r>
    </w:p>
    <w:p w14:paraId="772EE86D" w14:textId="0FDBB0A2" w:rsidR="001439DE"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4.4 </w:t>
      </w:r>
      <w:r w:rsidR="001439DE" w:rsidRPr="00A95946">
        <w:rPr>
          <w:rFonts w:ascii="Times New Roman" w:hAnsi="Times New Roman" w:cs="Times New Roman"/>
          <w:b/>
          <w:bCs/>
          <w:sz w:val="24"/>
          <w:szCs w:val="24"/>
        </w:rPr>
        <w:t>Data Collection</w:t>
      </w:r>
    </w:p>
    <w:p w14:paraId="5D97999A" w14:textId="77777777" w:rsidR="001439DE" w:rsidRPr="00A95946"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The study relies on secondary data sources, including ESG reports from corporations across various industries, Regulatory guidelines and sustainability disclosure frameworks (e.g., GRI, TCFD, CSRD, ISSB), Academic literature on ESG integration, corporate governance, and sustainability metrics, Industry reports and white papers analyzing ESG trends and regulatory developments. These textual datasets provide a rich source of qualitative information, enabling the identification of key themes and patterns in ESG-related decision-making. Text mining techniques are applied to extract relevant ESG terms, corporate commitments, and sustainability performance indicators.</w:t>
      </w:r>
    </w:p>
    <w:p w14:paraId="1BEC9A77" w14:textId="615196CC" w:rsidR="001439DE"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4.5 </w:t>
      </w:r>
      <w:r w:rsidR="001439DE" w:rsidRPr="00A95946">
        <w:rPr>
          <w:rFonts w:ascii="Times New Roman" w:hAnsi="Times New Roman" w:cs="Times New Roman"/>
          <w:b/>
          <w:bCs/>
          <w:sz w:val="24"/>
          <w:szCs w:val="24"/>
        </w:rPr>
        <w:t>Data Analysis Methods</w:t>
      </w:r>
    </w:p>
    <w:p w14:paraId="5EEE81D3" w14:textId="77777777" w:rsidR="001439DE"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The study employs a combination of Latent Dirichlet Allocation (LDA) and Correspondence Analysis (CA) to analyze the collected data:</w:t>
      </w:r>
    </w:p>
    <w:p w14:paraId="7EF75723" w14:textId="1B7BA5F7" w:rsidR="001439DE" w:rsidRDefault="00AA6AF8"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4.5.1 </w:t>
      </w:r>
      <w:r w:rsidR="001439DE" w:rsidRPr="00A95946">
        <w:rPr>
          <w:rFonts w:ascii="Times New Roman" w:hAnsi="Times New Roman" w:cs="Times New Roman"/>
          <w:b/>
          <w:bCs/>
          <w:sz w:val="24"/>
          <w:szCs w:val="24"/>
        </w:rPr>
        <w:t>Latent Dirichlet Allocation (LDA)</w:t>
      </w:r>
      <w:r w:rsidR="001439DE" w:rsidRPr="00A95946">
        <w:rPr>
          <w:rFonts w:ascii="Times New Roman" w:hAnsi="Times New Roman" w:cs="Times New Roman"/>
          <w:sz w:val="24"/>
          <w:szCs w:val="24"/>
        </w:rPr>
        <w:t>: LDA is used to uncover latent topics within ESG reports and sustainability literature. It enables the identification of recurring themes, such as governance integrity, environmental responsibility, and social impact. Dynamic topic modeling allows for the exploration of evolving ESG discourse, particularly trends projected for 2025 and beyond.</w:t>
      </w:r>
    </w:p>
    <w:p w14:paraId="61DFA7F1" w14:textId="77777777" w:rsidR="007A5DC8" w:rsidRPr="00A95946" w:rsidRDefault="007A5DC8" w:rsidP="00FE6BF7">
      <w:pPr>
        <w:spacing w:after="120" w:line="240" w:lineRule="auto"/>
        <w:jc w:val="both"/>
        <w:rPr>
          <w:rFonts w:ascii="Times New Roman" w:hAnsi="Times New Roman" w:cs="Times New Roman"/>
          <w:sz w:val="24"/>
          <w:szCs w:val="24"/>
        </w:rPr>
      </w:pPr>
    </w:p>
    <w:p w14:paraId="71D6D199" w14:textId="214E336B" w:rsidR="001439DE" w:rsidRPr="00A95946" w:rsidRDefault="00AA6AF8"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4.5.2 </w:t>
      </w:r>
      <w:r w:rsidR="001439DE" w:rsidRPr="00A95946">
        <w:rPr>
          <w:rFonts w:ascii="Times New Roman" w:hAnsi="Times New Roman" w:cs="Times New Roman"/>
          <w:b/>
          <w:bCs/>
          <w:sz w:val="24"/>
          <w:szCs w:val="24"/>
        </w:rPr>
        <w:t xml:space="preserve">Correspondence Analysis (CA): </w:t>
      </w:r>
      <w:r w:rsidR="001439DE" w:rsidRPr="00A95946">
        <w:rPr>
          <w:rFonts w:ascii="Times New Roman" w:hAnsi="Times New Roman" w:cs="Times New Roman"/>
          <w:sz w:val="24"/>
          <w:szCs w:val="24"/>
        </w:rPr>
        <w:t>CA provides a visual representation of term associations within ESG discourse. It highlights the relationships between key ESG terms, differentiating core sustainability themes from emerging topics. The method enhances topic modeling results by validating clusters of ESG-related terms and identifying gaps or synergies in corporate sustainability strategies. By integrating LDA and CA, the study ensures a comprehensive and systematic examination of ESG narratives, enhancing the understanding of how corporations leverage ESG metrics for sustainability-driven decision-making.</w:t>
      </w:r>
    </w:p>
    <w:p w14:paraId="27C2FA73" w14:textId="77777777" w:rsidR="00FE6BF7" w:rsidRDefault="00FE6BF7" w:rsidP="00FE6BF7">
      <w:pPr>
        <w:spacing w:after="120" w:line="240" w:lineRule="auto"/>
        <w:jc w:val="both"/>
        <w:rPr>
          <w:b/>
          <w:bCs/>
          <w:sz w:val="24"/>
          <w:szCs w:val="24"/>
        </w:rPr>
      </w:pPr>
    </w:p>
    <w:p w14:paraId="1C4010ED" w14:textId="77777777" w:rsidR="00FE6BF7" w:rsidRDefault="00FE6BF7" w:rsidP="00FE6BF7">
      <w:pPr>
        <w:spacing w:after="120" w:line="240" w:lineRule="auto"/>
        <w:jc w:val="both"/>
        <w:rPr>
          <w:b/>
          <w:bCs/>
          <w:sz w:val="24"/>
          <w:szCs w:val="24"/>
        </w:rPr>
      </w:pPr>
    </w:p>
    <w:p w14:paraId="1D2DDC6B" w14:textId="77777777" w:rsidR="007A5DC8" w:rsidRDefault="007A5DC8" w:rsidP="00FE6BF7">
      <w:pPr>
        <w:spacing w:after="120" w:line="240" w:lineRule="auto"/>
        <w:jc w:val="both"/>
        <w:rPr>
          <w:b/>
          <w:bCs/>
          <w:sz w:val="24"/>
          <w:szCs w:val="24"/>
        </w:rPr>
      </w:pPr>
    </w:p>
    <w:p w14:paraId="233BD4D9" w14:textId="77777777" w:rsidR="007A5DC8" w:rsidRDefault="007A5DC8" w:rsidP="00FE6BF7">
      <w:pPr>
        <w:spacing w:after="120" w:line="240" w:lineRule="auto"/>
        <w:jc w:val="both"/>
        <w:rPr>
          <w:b/>
          <w:bCs/>
          <w:sz w:val="24"/>
          <w:szCs w:val="24"/>
        </w:rPr>
      </w:pPr>
    </w:p>
    <w:p w14:paraId="1CAEC26E" w14:textId="7E0EE3A4" w:rsidR="00FA2FFC" w:rsidRPr="00A95946" w:rsidRDefault="004C3457" w:rsidP="00FE6BF7">
      <w:pPr>
        <w:spacing w:after="120" w:line="240" w:lineRule="auto"/>
        <w:jc w:val="both"/>
        <w:rPr>
          <w:b/>
          <w:bCs/>
          <w:sz w:val="24"/>
          <w:szCs w:val="24"/>
        </w:rPr>
      </w:pPr>
      <w:r w:rsidRPr="00A95946">
        <w:rPr>
          <w:b/>
          <w:bCs/>
          <w:sz w:val="24"/>
          <w:szCs w:val="24"/>
        </w:rPr>
        <w:t xml:space="preserve">5. </w:t>
      </w:r>
      <w:r w:rsidR="00FA2FFC" w:rsidRPr="00A95946">
        <w:rPr>
          <w:b/>
          <w:bCs/>
          <w:sz w:val="24"/>
          <w:szCs w:val="24"/>
        </w:rPr>
        <w:t xml:space="preserve">Result </w:t>
      </w:r>
    </w:p>
    <w:p w14:paraId="2B0727A3" w14:textId="4221B1DB" w:rsidR="00E4268F" w:rsidRPr="00A95946" w:rsidRDefault="004C3457"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5.1 </w:t>
      </w:r>
      <w:r w:rsidR="00E4268F" w:rsidRPr="00A95946">
        <w:rPr>
          <w:rFonts w:ascii="Times New Roman" w:hAnsi="Times New Roman" w:cs="Times New Roman"/>
          <w:b/>
          <w:bCs/>
          <w:sz w:val="24"/>
          <w:szCs w:val="24"/>
        </w:rPr>
        <w:t>Topic modelling using LDA</w:t>
      </w:r>
    </w:p>
    <w:p w14:paraId="73308F7F" w14:textId="21CCD857" w:rsidR="00FA2FFC" w:rsidRPr="00A95946" w:rsidRDefault="003C2442" w:rsidP="00CA1E09">
      <w:pPr>
        <w:jc w:val="both"/>
        <w:rPr>
          <w:rFonts w:ascii="Times New Roman" w:hAnsi="Times New Roman" w:cs="Times New Roman"/>
          <w:sz w:val="24"/>
          <w:szCs w:val="24"/>
        </w:rPr>
      </w:pPr>
      <w:r w:rsidRPr="00A95946">
        <w:rPr>
          <w:rFonts w:ascii="Times New Roman" w:hAnsi="Times New Roman" w:cs="Times New Roman"/>
          <w:noProof/>
          <w:sz w:val="24"/>
          <w:szCs w:val="24"/>
          <w:lang w:eastAsia="en-IN"/>
        </w:rPr>
        <w:drawing>
          <wp:inline distT="0" distB="0" distL="0" distR="0" wp14:anchorId="4A9442CB" wp14:editId="41E97DEC">
            <wp:extent cx="5730240" cy="2887579"/>
            <wp:effectExtent l="0" t="0" r="3810" b="8255"/>
            <wp:docPr id="436063022" name="Picture 1" descr="A colorful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63022" name="Picture 1" descr="A colorful rectangular boxes with text&#10;&#10;AI-generated content may be incorrect."/>
                    <pic:cNvPicPr/>
                  </pic:nvPicPr>
                  <pic:blipFill>
                    <a:blip r:embed="rId6"/>
                    <a:stretch>
                      <a:fillRect/>
                    </a:stretch>
                  </pic:blipFill>
                  <pic:spPr>
                    <a:xfrm>
                      <a:off x="0" y="0"/>
                      <a:ext cx="5741872" cy="2893440"/>
                    </a:xfrm>
                    <a:prstGeom prst="rect">
                      <a:avLst/>
                    </a:prstGeom>
                  </pic:spPr>
                </pic:pic>
              </a:graphicData>
            </a:graphic>
          </wp:inline>
        </w:drawing>
      </w:r>
    </w:p>
    <w:p w14:paraId="2AF054CC" w14:textId="310C630F" w:rsidR="00E0592E" w:rsidRPr="00A95946" w:rsidRDefault="00E0592E" w:rsidP="00E0592E">
      <w:pPr>
        <w:jc w:val="center"/>
        <w:rPr>
          <w:rFonts w:ascii="Times New Roman" w:hAnsi="Times New Roman" w:cs="Times New Roman"/>
          <w:sz w:val="20"/>
          <w:szCs w:val="20"/>
        </w:rPr>
      </w:pPr>
      <w:r w:rsidRPr="00A95946">
        <w:rPr>
          <w:rFonts w:ascii="Times New Roman" w:hAnsi="Times New Roman" w:cs="Times New Roman"/>
          <w:sz w:val="20"/>
          <w:szCs w:val="20"/>
        </w:rPr>
        <w:t>Fig 1: Topic modelling</w:t>
      </w:r>
    </w:p>
    <w:p w14:paraId="23E8C577" w14:textId="77777777" w:rsidR="008F0777" w:rsidRPr="00A95946" w:rsidRDefault="008F0777"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The interpretation of topic modeling data shows excellent compatibility with the research topic while demonstrating different ways ESG metrics affect corporate sustainability strategies. The future sustainability trends center on transparency development of leadership and diversity because they demonstrate how ESG metrics direct business adaptation toward 2025 and beyond. The role of ESG in promoting corporate integrity becomes stronger through corporate governance and accountability systems that emphasize transparency and risk reduction related to greenwashing. ESG demonstrates its importance through social performance measurement and risk management, together with innovation development. Companies achieve better investor relationships by sharing ESG information because ESG disclosures guide the way both investors view businesses and corporations make their strategic decisions. The section focuses on corporate environmental initiatives while investigating decision-making frameworks through which ESG drives enhanced credibility. ESG reporting, along with standardized procedures and carbon footprint assessment tools, strives to achieve precise measurement of sustainability as well as direct stakeholder collaboration and carbon footprint assessment precision for maintaining sustainability assessment consistency. The implementation of Strategic ESG initiatives and internal performance tracking systems enable accessibility to organizational sustainability programs and internal performance measurement across corporate operations. This research field studies investor actions after structured ESG disclosure release as well as their effects on business financial outcomes. The necessity of ESG in compliance becomes evident through regulatory compliance and climate risk because it shows how ESG regulations and climate-related disclosures interact with policy frameworks. Financial reporting and ESG risk </w:t>
      </w:r>
      <w:r w:rsidRPr="00A95946">
        <w:rPr>
          <w:rFonts w:ascii="Times New Roman" w:hAnsi="Times New Roman" w:cs="Times New Roman"/>
          <w:sz w:val="24"/>
          <w:szCs w:val="24"/>
        </w:rPr>
        <w:lastRenderedPageBreak/>
        <w:t>analysis show how ESG elements get incorporated into financial documentation while improving their importance in financial evaluations. The research's practical and forward-looking evaluation of ESG metrics for sustainability strategies receives support from the complete set of topics, which cover governance, social impact, environmental performance, reporting, investor engagement, and regulatory compliance.</w:t>
      </w:r>
    </w:p>
    <w:p w14:paraId="200F2D8D" w14:textId="3B1F74A6" w:rsidR="002E46FD" w:rsidRPr="00A95946" w:rsidRDefault="00312EEE"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5.2 </w:t>
      </w:r>
      <w:r w:rsidR="002E46FD" w:rsidRPr="00A95946">
        <w:rPr>
          <w:rFonts w:ascii="Times New Roman" w:hAnsi="Times New Roman" w:cs="Times New Roman"/>
          <w:b/>
          <w:bCs/>
          <w:sz w:val="24"/>
          <w:szCs w:val="24"/>
        </w:rPr>
        <w:t>ESG metrics for sustainability strategies.</w:t>
      </w:r>
    </w:p>
    <w:p w14:paraId="573ED21B" w14:textId="77777777" w:rsidR="002E46FD" w:rsidRPr="00A95946" w:rsidRDefault="002E46FD" w:rsidP="00CA1E09">
      <w:pPr>
        <w:jc w:val="both"/>
        <w:rPr>
          <w:rFonts w:ascii="Times New Roman" w:hAnsi="Times New Roman" w:cs="Times New Roman"/>
          <w:sz w:val="24"/>
          <w:szCs w:val="24"/>
        </w:rPr>
      </w:pPr>
    </w:p>
    <w:p w14:paraId="6D31B5FF" w14:textId="4D5C810E" w:rsidR="00A44E4E" w:rsidRPr="00A95946" w:rsidRDefault="00A76AA2" w:rsidP="00CA1E09">
      <w:pPr>
        <w:jc w:val="both"/>
        <w:rPr>
          <w:rFonts w:ascii="Times New Roman" w:hAnsi="Times New Roman" w:cs="Times New Roman"/>
          <w:sz w:val="24"/>
          <w:szCs w:val="24"/>
        </w:rPr>
      </w:pPr>
      <w:r w:rsidRPr="00A95946">
        <w:rPr>
          <w:rFonts w:ascii="Times New Roman" w:hAnsi="Times New Roman" w:cs="Times New Roman"/>
          <w:noProof/>
          <w:sz w:val="24"/>
          <w:szCs w:val="24"/>
          <w:lang w:eastAsia="en-IN"/>
        </w:rPr>
        <w:drawing>
          <wp:inline distT="0" distB="0" distL="0" distR="0" wp14:anchorId="70CFC4C2" wp14:editId="7D4972DB">
            <wp:extent cx="5731510" cy="797126"/>
            <wp:effectExtent l="0" t="0" r="2540" b="3175"/>
            <wp:docPr id="332498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5247" cy="799036"/>
                    </a:xfrm>
                    <a:prstGeom prst="rect">
                      <a:avLst/>
                    </a:prstGeom>
                    <a:noFill/>
                    <a:ln>
                      <a:noFill/>
                    </a:ln>
                  </pic:spPr>
                </pic:pic>
              </a:graphicData>
            </a:graphic>
          </wp:inline>
        </w:drawing>
      </w:r>
    </w:p>
    <w:p w14:paraId="4A5B7C92" w14:textId="0C9623AF" w:rsidR="00E0592E" w:rsidRPr="00A95946" w:rsidRDefault="00E0592E" w:rsidP="00E0592E">
      <w:pPr>
        <w:jc w:val="center"/>
        <w:rPr>
          <w:rFonts w:ascii="Times New Roman" w:hAnsi="Times New Roman" w:cs="Times New Roman"/>
          <w:sz w:val="20"/>
          <w:szCs w:val="20"/>
        </w:rPr>
      </w:pPr>
      <w:r w:rsidRPr="00A95946">
        <w:rPr>
          <w:rFonts w:ascii="Times New Roman" w:hAnsi="Times New Roman" w:cs="Times New Roman"/>
          <w:sz w:val="20"/>
          <w:szCs w:val="20"/>
        </w:rPr>
        <w:t>Fig 2: ESG metrics for sustainability strategies</w:t>
      </w:r>
    </w:p>
    <w:p w14:paraId="0096D559" w14:textId="77777777" w:rsidR="0038183B" w:rsidRPr="00A95946" w:rsidRDefault="0038183B" w:rsidP="00CA1E09">
      <w:pPr>
        <w:jc w:val="both"/>
        <w:rPr>
          <w:rFonts w:ascii="Times New Roman" w:hAnsi="Times New Roman" w:cs="Times New Roman"/>
          <w:sz w:val="24"/>
          <w:szCs w:val="24"/>
        </w:rPr>
      </w:pPr>
      <w:r w:rsidRPr="00A95946">
        <w:rPr>
          <w:rFonts w:ascii="Times New Roman" w:hAnsi="Times New Roman" w:cs="Times New Roman"/>
          <w:sz w:val="24"/>
          <w:szCs w:val="24"/>
        </w:rPr>
        <w:t> The thematic map shows in an easy-to-understand format which of the ten topics affect your main research inquiry about "The Role of ESG Metrics in Shaping Corporate Sustainability Strategies." Through the use of purple-colored trends, the map demonstrates future sustainability practices that focus on transparency alongside leadership and diversity, highlighting the essential function of ESG metrics in corporate governance and greenwashing prevention (Green). ESG metrics link to three essential areas, which include social impact and risk management alongside innovation (Pink), investor communication with transparency (Black), and environmental practices and credibility (Light Blue). The implementation of ESG reporting standards and carbon measurement and related practical uses (Orange) appear together with benefits for strategic sustainability plans and internal organization development (Light Green). The integration of ESG disclosures along with investor influence forms a vital connection that shows structured reporting has an impact on financial outcomes (Yellow). The regulatory and financial aspects of ESG metrics find support through themes that encompass regulatory compliance and two specific disclosure types related to climate (Pink) and financial risk assessment (Dark Blue). The thematic map proves through visual evidence that the research title perfectly matches key themes, presenting a structured and easily understood framework that displays how ESG metrics affect corporate sustainability strategies. </w:t>
      </w:r>
    </w:p>
    <w:p w14:paraId="7E57EEB1" w14:textId="66624A7D" w:rsidR="00796A32" w:rsidRPr="00A95946" w:rsidRDefault="00312EEE"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5.3 </w:t>
      </w:r>
      <w:r w:rsidR="00CA5E61" w:rsidRPr="00A95946">
        <w:rPr>
          <w:rFonts w:ascii="Times New Roman" w:hAnsi="Times New Roman" w:cs="Times New Roman"/>
          <w:b/>
          <w:bCs/>
          <w:sz w:val="24"/>
          <w:szCs w:val="24"/>
        </w:rPr>
        <w:t>Correspondence Analysis (CA)</w:t>
      </w:r>
    </w:p>
    <w:p w14:paraId="0E6CFB62" w14:textId="77777777" w:rsidR="00796A32" w:rsidRPr="00A95946" w:rsidRDefault="00796A32" w:rsidP="00CA1E09">
      <w:pPr>
        <w:jc w:val="both"/>
        <w:rPr>
          <w:rFonts w:ascii="Times New Roman" w:hAnsi="Times New Roman" w:cs="Times New Roman"/>
          <w:sz w:val="24"/>
          <w:szCs w:val="24"/>
        </w:rPr>
      </w:pPr>
      <w:r w:rsidRPr="00A95946">
        <w:rPr>
          <w:rFonts w:ascii="Times New Roman" w:hAnsi="Times New Roman" w:cs="Times New Roman"/>
          <w:noProof/>
          <w:sz w:val="24"/>
          <w:szCs w:val="24"/>
          <w:lang w:eastAsia="en-IN"/>
        </w:rPr>
        <w:lastRenderedPageBreak/>
        <w:drawing>
          <wp:inline distT="0" distB="0" distL="0" distR="0" wp14:anchorId="3C6D3F14" wp14:editId="1B93D4EE">
            <wp:extent cx="5454316" cy="3225092"/>
            <wp:effectExtent l="0" t="0" r="0" b="0"/>
            <wp:docPr id="330808630" name="Picture 1" descr="A white background with text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08630" name="Picture 1" descr="A white background with text and dots&#10;&#10;AI-generated content may be incorrect."/>
                    <pic:cNvPicPr/>
                  </pic:nvPicPr>
                  <pic:blipFill>
                    <a:blip r:embed="rId8"/>
                    <a:stretch>
                      <a:fillRect/>
                    </a:stretch>
                  </pic:blipFill>
                  <pic:spPr>
                    <a:xfrm>
                      <a:off x="0" y="0"/>
                      <a:ext cx="5461295" cy="3229219"/>
                    </a:xfrm>
                    <a:prstGeom prst="rect">
                      <a:avLst/>
                    </a:prstGeom>
                  </pic:spPr>
                </pic:pic>
              </a:graphicData>
            </a:graphic>
          </wp:inline>
        </w:drawing>
      </w:r>
    </w:p>
    <w:p w14:paraId="6C361A00" w14:textId="53016A9A" w:rsidR="0074417B" w:rsidRPr="00A95946" w:rsidRDefault="0074417B" w:rsidP="0074417B">
      <w:pPr>
        <w:jc w:val="center"/>
        <w:rPr>
          <w:rFonts w:ascii="Times New Roman" w:hAnsi="Times New Roman" w:cs="Times New Roman"/>
          <w:sz w:val="20"/>
          <w:szCs w:val="20"/>
        </w:rPr>
      </w:pPr>
      <w:r w:rsidRPr="00A95946">
        <w:rPr>
          <w:rFonts w:ascii="Times New Roman" w:hAnsi="Times New Roman" w:cs="Times New Roman"/>
          <w:sz w:val="20"/>
          <w:szCs w:val="20"/>
        </w:rPr>
        <w:t>Fig 3: Correspondence Analysis</w:t>
      </w:r>
    </w:p>
    <w:p w14:paraId="68201B2E" w14:textId="77777777" w:rsidR="0074417B" w:rsidRPr="00A95946" w:rsidRDefault="0074417B" w:rsidP="00CA1E09">
      <w:pPr>
        <w:jc w:val="both"/>
        <w:rPr>
          <w:rFonts w:ascii="Times New Roman" w:hAnsi="Times New Roman" w:cs="Times New Roman"/>
          <w:sz w:val="24"/>
          <w:szCs w:val="24"/>
        </w:rPr>
      </w:pPr>
    </w:p>
    <w:p w14:paraId="0D0B2E9D" w14:textId="77777777" w:rsidR="009970CD" w:rsidRPr="00A95946" w:rsidRDefault="009970CD" w:rsidP="00CA1E09">
      <w:pPr>
        <w:jc w:val="both"/>
        <w:rPr>
          <w:rFonts w:ascii="Times New Roman" w:hAnsi="Times New Roman" w:cs="Times New Roman"/>
          <w:sz w:val="24"/>
          <w:szCs w:val="24"/>
        </w:rPr>
      </w:pPr>
      <w:r w:rsidRPr="00A95946">
        <w:rPr>
          <w:rFonts w:ascii="Times New Roman" w:hAnsi="Times New Roman" w:cs="Times New Roman"/>
          <w:sz w:val="24"/>
          <w:szCs w:val="24"/>
        </w:rPr>
        <w:t>Research investigators use Correspondence Analysis (CA) as a statistical tool to create visual representations of categorical variable relationships, which reveal the associations among ESG-related terms throughout the research framework. The X-axis dimension holds 33.16% of the total variance, followed by the Y-axis at 22.61%, and color coding at 12.35%, which explains 68.12% of the total variability. The ESG discourse shows strong connections between its main concepts, "governance," "environmental," "compliance," and "investors," since these terms appear in the central area of the analysis. The peripheral terms "metrics," "2025," "risk," and "commitments" represent specialized aspects within the data set. The central ESG concepts group together in Cluster 4, while other clusters separate reporting from strategy and stakeholder interaction and regulatory requirements. The research indicates that practical ESG aspects used for reporting purposes appear on the right side X-axis, whereas strategic themes exist on the left side X-axis. Similarly, data-driven analysis resides at the top Y-axis, while implementation-focused engagement lies at the bottom Y-axis. The structured distribution system demonstrates that the study effectively reveals how ESG metrics affect sustainability strategy development by focusing on governance, risk, stakeholder influence, reporting, and strategic decision-making. </w:t>
      </w:r>
    </w:p>
    <w:p w14:paraId="4FBDC0F2" w14:textId="2FE161F3" w:rsidR="00312EEE" w:rsidRPr="00A95946" w:rsidRDefault="00312EEE" w:rsidP="00312EEE">
      <w:pPr>
        <w:pStyle w:val="ListParagraph"/>
        <w:numPr>
          <w:ilvl w:val="0"/>
          <w:numId w:val="4"/>
        </w:num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Discussion </w:t>
      </w:r>
    </w:p>
    <w:p w14:paraId="0107EA12" w14:textId="63D078F8" w:rsidR="009970CD" w:rsidRPr="00A95946" w:rsidRDefault="009970CD"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The research utilized LDA as its primary method because it delivers essential capabilities for finding hidden patterns, framework planning, and future trend tracking. The ten identified themes, including governance and regulatory compliance, served as a system to explore ESG metrics. The dynamic nature of LDA allowed researchers to visualize changes in ESG discourse because it supported tracking future trends with a specific focus on 2025 projections. The selected approach delivered optimal results for exploring ESG metrics as well as stakeholder narratives regarding regulatory challenges and framework development. The analysis tool Correspondence Analysis (CA) acted alongside LDA to show relationships </w:t>
      </w:r>
      <w:r w:rsidRPr="00A95946">
        <w:rPr>
          <w:rFonts w:ascii="Times New Roman" w:hAnsi="Times New Roman" w:cs="Times New Roman"/>
          <w:sz w:val="24"/>
          <w:szCs w:val="24"/>
        </w:rPr>
        <w:lastRenderedPageBreak/>
        <w:t>between terms, identify specific versus fundamental themes, and support the LDA findings. The cluster patterns of terms "governance," "risk," and "investors" that came to light through CA analysis enabled researchers to determine if ESG strategies showed overlapping points or distinct strategic areas. The approach helped detect emerging subjects together with underprioritized topics within ESG dialogues, particularly "metrics" and "2025."</w:t>
      </w:r>
    </w:p>
    <w:p w14:paraId="27AB6E63" w14:textId="77777777" w:rsidR="009970CD" w:rsidRPr="00A95946" w:rsidRDefault="009970CD" w:rsidP="00CA1E09">
      <w:pPr>
        <w:jc w:val="both"/>
        <w:rPr>
          <w:rFonts w:ascii="Times New Roman" w:hAnsi="Times New Roman" w:cs="Times New Roman"/>
          <w:sz w:val="24"/>
          <w:szCs w:val="24"/>
        </w:rPr>
      </w:pPr>
      <w:r w:rsidRPr="00A95946">
        <w:rPr>
          <w:rFonts w:ascii="Times New Roman" w:hAnsi="Times New Roman" w:cs="Times New Roman"/>
          <w:sz w:val="24"/>
          <w:szCs w:val="24"/>
        </w:rPr>
        <w:t>The research utilized LDA and CA in combination to provide a comprehensive understanding of the data. LDA established thematic pillars through its usage, but CA functioned to analyze metric interactions with stakeholders and regulatory elements and improve the framework development process. The analysis conducted by LDA uncovered data-driven analysis as a technological innovation topic, while CA demonstrated that AI combined with blockchain and carbon tracking technologies relate to ESG metrics. Through the application of CA, the regulatory themes identified by LDA received additional definitions, which revealed that compliance and greenwashing existed as opposing forces. The proposed research agenda involves using dynamic LDA for monitoring ESG theme evolution imp, lamenting CA for stakeholder investigations, and conducting machine learning assessments, which include sentiment analysis and network evaluation. The core method used for this research was LDA because it matched the project goals, but the CA addition allowed further examination of term connections and verification of LDA results. The combination of these methods created an extensive adaptable system to evaluate ESG metrics effectively.</w:t>
      </w:r>
    </w:p>
    <w:p w14:paraId="0B25411A" w14:textId="77777777" w:rsidR="009970CD" w:rsidRPr="00A95946" w:rsidRDefault="009970CD" w:rsidP="00CA1E09">
      <w:pPr>
        <w:jc w:val="both"/>
        <w:rPr>
          <w:rFonts w:ascii="Times New Roman" w:hAnsi="Times New Roman" w:cs="Times New Roman"/>
          <w:sz w:val="24"/>
          <w:szCs w:val="24"/>
        </w:rPr>
      </w:pPr>
      <w:r w:rsidRPr="00A95946">
        <w:rPr>
          <w:rFonts w:ascii="Times New Roman" w:hAnsi="Times New Roman" w:cs="Times New Roman"/>
          <w:sz w:val="24"/>
          <w:szCs w:val="24"/>
        </w:rPr>
        <w:t>The analysis of Correspondence Analysis (CA) delivered different results to LDA since it examined term relationships instead of discovering hidden themes. LDA organized ESG metrics into various topics, but CA created visual clusters to show term interrelationships for analysis of ESG strategic gaps and synergies. The analysis performed by LDA concentrated on ESG discourse classification, yet CA used its method to showcase different types of topics that exposed new emerging concepts such as "metrics" and "2025." The team at CA used topic cluster cross-checks to confirm the LDA analysis results and thus strengthen the thematic validity. The LDA framework development and thematic evolution assessment functioned better than the CA method, which delivered superior analysis for refining regulatory and stakeholder requirements through sequential term associations and context-based relationships. </w:t>
      </w:r>
    </w:p>
    <w:p w14:paraId="299AC5ED" w14:textId="2E451546" w:rsidR="006366F6" w:rsidRPr="00A95946" w:rsidRDefault="006366F6" w:rsidP="00DE40A3">
      <w:pPr>
        <w:pStyle w:val="ListParagraph"/>
        <w:numPr>
          <w:ilvl w:val="0"/>
          <w:numId w:val="4"/>
        </w:numPr>
        <w:jc w:val="both"/>
        <w:rPr>
          <w:rFonts w:ascii="Times New Roman" w:hAnsi="Times New Roman" w:cs="Times New Roman"/>
          <w:sz w:val="24"/>
          <w:szCs w:val="24"/>
        </w:rPr>
      </w:pPr>
      <w:r w:rsidRPr="00A95946">
        <w:rPr>
          <w:rFonts w:ascii="Times New Roman" w:hAnsi="Times New Roman" w:cs="Times New Roman"/>
          <w:b/>
          <w:bCs/>
          <w:sz w:val="24"/>
          <w:szCs w:val="24"/>
        </w:rPr>
        <w:t>Conclusion</w:t>
      </w:r>
    </w:p>
    <w:p w14:paraId="3A652E00" w14:textId="77777777"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The research investigates how environmental social governance metrics impact corporate sustainability methods through qualitative analysis, which uses latent Dirichlet Allocation (LDA) and correspondence analysis (CA). Company success depends heavily on ESG metrics because they drive corporate governance along with regulatory compliance, stakeholder relationships, and financial procedures. Through extensive ESG disclosure analysis, sustainability report evaluation, and thematic mapping research, it aims to fulfill its four objectives about ESG metrics alongside stakeholder narratives and regulatory challenges alongside technological innovations. According to the discussion, ESG transparency, governance integrity, investor influence, and regulatory compliance have been shown to guide the creation of corporate sustainability strategies.</w:t>
      </w:r>
    </w:p>
    <w:p w14:paraId="56A29396" w14:textId="09E38B1E" w:rsidR="00534A4B" w:rsidRPr="00A95946" w:rsidRDefault="00DE40A3"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7.1 </w:t>
      </w:r>
      <w:r w:rsidR="00534A4B" w:rsidRPr="00A95946">
        <w:rPr>
          <w:rFonts w:ascii="Times New Roman" w:hAnsi="Times New Roman" w:cs="Times New Roman"/>
          <w:b/>
          <w:bCs/>
          <w:sz w:val="24"/>
          <w:szCs w:val="24"/>
        </w:rPr>
        <w:t>Managerial Implications</w:t>
      </w:r>
    </w:p>
    <w:p w14:paraId="3604B650" w14:textId="77777777"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lastRenderedPageBreak/>
        <w:t>Through this research, corporate decision-makers gain important insights that stress the necessity of adopting an organized approach to ESG implementation. Businesses need to embed ESG metrics across their prolonged corporate planning to guarantee sustainability operations synchronize with market trends, investor demands, and legal needs. ESG reporting that uses standards and clear transparency helps businesses build trustworthiness, reduce greenwashing risks, and create investor trust. The integration of artificial intelligence with blockchain for ESG disclosures extends information reliability while eliminating regulatory_floor_ issues and reinforcing businesses' sustainability performance.</w:t>
      </w:r>
    </w:p>
    <w:p w14:paraId="6DD2E637" w14:textId="595D8A1B" w:rsidR="00534A4B" w:rsidRPr="00A95946" w:rsidRDefault="00DE40A3"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7.2 </w:t>
      </w:r>
      <w:r w:rsidR="00534A4B" w:rsidRPr="00A95946">
        <w:rPr>
          <w:rFonts w:ascii="Times New Roman" w:hAnsi="Times New Roman" w:cs="Times New Roman"/>
          <w:b/>
          <w:bCs/>
          <w:sz w:val="24"/>
          <w:szCs w:val="24"/>
        </w:rPr>
        <w:t>Research Implications</w:t>
      </w:r>
    </w:p>
    <w:p w14:paraId="4ED6ACF0" w14:textId="77777777"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This study contributes information about corporate sustainability to academic research about ESG integration. By using LDA and CA to analyze ESG discourse, researchers can confirm that analytical methods used for text research successfully reveal underlying themes and validate classifying concepts. The research creates an analytic linkage between human-based ESG stories and systematic thematic examination to establish a research method for upcoming ESG discourse investigations. Scientists should adopt methods from machine learning to analyze stakeholder opinions and regulatory progress through sentiment evaluation and network examination systems.</w:t>
      </w:r>
    </w:p>
    <w:p w14:paraId="1CB54ED4" w14:textId="56B22673" w:rsidR="00534A4B" w:rsidRPr="00A95946" w:rsidRDefault="00DE40A3"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7.3 </w:t>
      </w:r>
      <w:r w:rsidR="00534A4B" w:rsidRPr="00A95946">
        <w:rPr>
          <w:rFonts w:ascii="Times New Roman" w:hAnsi="Times New Roman" w:cs="Times New Roman"/>
          <w:b/>
          <w:bCs/>
          <w:sz w:val="24"/>
          <w:szCs w:val="24"/>
        </w:rPr>
        <w:t>Societal Implications</w:t>
      </w:r>
    </w:p>
    <w:p w14:paraId="729DD41C" w14:textId="77777777"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This research demonstrates how ESG integration affects society through business strategies. Companies that prioritize ESG principles work to sustain the environment while promoting fair social practices and ethical leadership, thus creating beneficial transformations in society. By increasing ESG disclosure transparency, consumers and investors receive better information to choose businesses that practice accountability and responsible business operations. According to the research, standards from regulatory bodies contribute to ESG reporting consistency, which makes it possible to achieve quantifiable positive societal outcomes from corporate sustainability promises.</w:t>
      </w:r>
    </w:p>
    <w:p w14:paraId="2BDF1FBF" w14:textId="7A9D47DC" w:rsidR="00534A4B" w:rsidRPr="00A95946" w:rsidRDefault="00DE40A3"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7.4 </w:t>
      </w:r>
      <w:r w:rsidR="00534A4B" w:rsidRPr="00A95946">
        <w:rPr>
          <w:rFonts w:ascii="Times New Roman" w:hAnsi="Times New Roman" w:cs="Times New Roman"/>
          <w:b/>
          <w:bCs/>
          <w:sz w:val="24"/>
          <w:szCs w:val="24"/>
        </w:rPr>
        <w:t>Future Directions</w:t>
      </w:r>
    </w:p>
    <w:p w14:paraId="6DCD1323" w14:textId="099CA439"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 The next phase of ESG reporting research should inspect how the new CSRD and ISSB framework standards influence the current reporting practices. Dynamic topic modeling tracks the evolution of ESG discourse over time, which helps organizations understand their sustainability strategy adjustments in response to regulatory updates. The combination of sentiment analysis and stakeholder network analysis produces a better understanding of both investor sentiment and ESG narrative contents. Future investigation should explore how ESG metrics integrate with emerging sustainable reporting technology, including artificial intelligence for sustainability analytics and blockchain-powered ESG verification platforms, to ensure greater firm accountability standards.</w:t>
      </w:r>
    </w:p>
    <w:p w14:paraId="5112ABAA" w14:textId="23D18C0B" w:rsidR="00653D14" w:rsidRPr="00A95946" w:rsidRDefault="006D1B4D"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Reference </w:t>
      </w:r>
    </w:p>
    <w:p w14:paraId="1095A028"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Ahmaro, M., Aljebrini, M., &amp; Dogruyol, H. (2025). Corporate sustainability narratives and stakeholder engagement: Shaping business strategies through ESG commitments. </w:t>
      </w:r>
      <w:r w:rsidRPr="00050087">
        <w:rPr>
          <w:rFonts w:ascii="Times New Roman" w:hAnsi="Times New Roman" w:cs="Times New Roman"/>
          <w:i/>
          <w:iCs/>
          <w:sz w:val="24"/>
          <w:szCs w:val="24"/>
        </w:rPr>
        <w:t>Journal of Business Strategy and Sustainability</w:t>
      </w:r>
      <w:r w:rsidRPr="00050087">
        <w:rPr>
          <w:rFonts w:ascii="Times New Roman" w:hAnsi="Times New Roman" w:cs="Times New Roman"/>
          <w:sz w:val="24"/>
          <w:szCs w:val="24"/>
        </w:rPr>
        <w:t>, 19(2), 88–104.</w:t>
      </w:r>
    </w:p>
    <w:p w14:paraId="572DCAF6"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lastRenderedPageBreak/>
        <w:t xml:space="preserve">Amanifar, F., &amp; Rahat, M. (2024). Challenges in ESG reporting: Addressing readability, compliance, and verification through text analysis. </w:t>
      </w:r>
      <w:r w:rsidRPr="00534087">
        <w:rPr>
          <w:rFonts w:ascii="Times New Roman" w:hAnsi="Times New Roman" w:cs="Times New Roman"/>
          <w:i/>
          <w:iCs/>
          <w:sz w:val="24"/>
          <w:szCs w:val="24"/>
        </w:rPr>
        <w:t>Journal of Corporate Social Responsibility and Environmental Management</w:t>
      </w:r>
      <w:r w:rsidRPr="00534087">
        <w:rPr>
          <w:rFonts w:ascii="Times New Roman" w:hAnsi="Times New Roman" w:cs="Times New Roman"/>
          <w:sz w:val="24"/>
          <w:szCs w:val="24"/>
        </w:rPr>
        <w:t>, 22(2), 115–130.</w:t>
      </w:r>
    </w:p>
    <w:p w14:paraId="12D0348F"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Ani, M., &amp; Solissa, A. (2024). Stakeholder engagement and the creation of shared value in ESG initiatives. </w:t>
      </w:r>
      <w:r w:rsidRPr="00633D54">
        <w:rPr>
          <w:rFonts w:ascii="Times New Roman" w:hAnsi="Times New Roman" w:cs="Times New Roman"/>
          <w:i/>
          <w:iCs/>
          <w:sz w:val="24"/>
          <w:szCs w:val="24"/>
        </w:rPr>
        <w:t>Journal of Corporate Social Responsibility</w:t>
      </w:r>
      <w:r w:rsidRPr="00633D54">
        <w:rPr>
          <w:rFonts w:ascii="Times New Roman" w:hAnsi="Times New Roman" w:cs="Times New Roman"/>
          <w:sz w:val="24"/>
          <w:szCs w:val="24"/>
        </w:rPr>
        <w:t>, 19(2), 233–245.</w:t>
      </w:r>
    </w:p>
    <w:p w14:paraId="587D08B8"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Badr, H., Ibrahim, M., &amp; Hussainey, K. (2024). ESG communication challenges in emerging markets: Perception management and stakeholder trust. </w:t>
      </w:r>
      <w:r w:rsidRPr="00050087">
        <w:rPr>
          <w:rFonts w:ascii="Times New Roman" w:hAnsi="Times New Roman" w:cs="Times New Roman"/>
          <w:i/>
          <w:iCs/>
          <w:sz w:val="24"/>
          <w:szCs w:val="24"/>
        </w:rPr>
        <w:t>International Journal of Emerging Markets</w:t>
      </w:r>
      <w:r w:rsidRPr="00050087">
        <w:rPr>
          <w:rFonts w:ascii="Times New Roman" w:hAnsi="Times New Roman" w:cs="Times New Roman"/>
          <w:sz w:val="24"/>
          <w:szCs w:val="24"/>
        </w:rPr>
        <w:t>, 9(1), 55–71.</w:t>
      </w:r>
    </w:p>
    <w:p w14:paraId="4FC47294"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Barney, J. B. (1991). </w:t>
      </w:r>
      <w:r w:rsidRPr="00FA6E7C">
        <w:rPr>
          <w:rFonts w:ascii="Times New Roman" w:hAnsi="Times New Roman" w:cs="Times New Roman"/>
          <w:i/>
          <w:iCs/>
          <w:sz w:val="24"/>
          <w:szCs w:val="24"/>
        </w:rPr>
        <w:t>Firm resources and sustained competitive advantage</w:t>
      </w:r>
      <w:r w:rsidRPr="00FA6E7C">
        <w:rPr>
          <w:rFonts w:ascii="Times New Roman" w:hAnsi="Times New Roman" w:cs="Times New Roman"/>
          <w:sz w:val="24"/>
          <w:szCs w:val="24"/>
        </w:rPr>
        <w:t>. Journal of Management, 17(1), 99-120. https://doi.org/10.1177/014920639101700108</w:t>
      </w:r>
    </w:p>
    <w:p w14:paraId="3E6C7BA5"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Beckert, J., &amp; Koch, D. (2025). ESG performance as a driver of sustainable investments: The role of long-term financial stability. </w:t>
      </w:r>
      <w:r w:rsidRPr="00050087">
        <w:rPr>
          <w:rFonts w:ascii="Times New Roman" w:hAnsi="Times New Roman" w:cs="Times New Roman"/>
          <w:i/>
          <w:iCs/>
          <w:sz w:val="24"/>
          <w:szCs w:val="24"/>
        </w:rPr>
        <w:t>Sustainable Finance Journal</w:t>
      </w:r>
      <w:r w:rsidRPr="00050087">
        <w:rPr>
          <w:rFonts w:ascii="Times New Roman" w:hAnsi="Times New Roman" w:cs="Times New Roman"/>
          <w:sz w:val="24"/>
          <w:szCs w:val="24"/>
        </w:rPr>
        <w:t>, 12(2), 142–156.</w:t>
      </w:r>
    </w:p>
    <w:p w14:paraId="62D047A6"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Bedford Consulting. (2023). The 5 main challenges of ESG reporting and best practice. Retrieved from </w:t>
      </w:r>
      <w:hyperlink r:id="rId9" w:tgtFrame="_blank" w:history="1">
        <w:r w:rsidRPr="00F53A9A">
          <w:rPr>
            <w:rStyle w:val="Hyperlink"/>
            <w:rFonts w:ascii="Times New Roman" w:hAnsi="Times New Roman" w:cs="Times New Roman"/>
            <w:color w:val="auto"/>
            <w:sz w:val="24"/>
            <w:szCs w:val="24"/>
            <w:u w:val="none"/>
          </w:rPr>
          <w:t>https://bedfordconsulting.com/the-5-main-challenges-of-esg-reporting-and-best-practice/</w:t>
        </w:r>
      </w:hyperlink>
    </w:p>
    <w:p w14:paraId="6B599BEB"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Biswas, P., Das, S., &amp; Mitra, S. (2024). Risk management and resilience: The role of ESG strategies in mitigating climate-related financial challenges. </w:t>
      </w:r>
      <w:r w:rsidRPr="00633D54">
        <w:rPr>
          <w:rFonts w:ascii="Times New Roman" w:hAnsi="Times New Roman" w:cs="Times New Roman"/>
          <w:i/>
          <w:iCs/>
          <w:sz w:val="24"/>
          <w:szCs w:val="24"/>
        </w:rPr>
        <w:t>Environmental Economics and Sustainability</w:t>
      </w:r>
      <w:r w:rsidRPr="00633D54">
        <w:rPr>
          <w:rFonts w:ascii="Times New Roman" w:hAnsi="Times New Roman" w:cs="Times New Roman"/>
          <w:sz w:val="24"/>
          <w:szCs w:val="24"/>
        </w:rPr>
        <w:t>, 15(1), 98–112.</w:t>
      </w:r>
    </w:p>
    <w:p w14:paraId="67BF86CC"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Bonfanti, F. (2024). ESG-driven innovation: Advancing sustainable finance and green technology. </w:t>
      </w:r>
      <w:r w:rsidRPr="00633D54">
        <w:rPr>
          <w:rFonts w:ascii="Times New Roman" w:hAnsi="Times New Roman" w:cs="Times New Roman"/>
          <w:i/>
          <w:iCs/>
          <w:sz w:val="24"/>
          <w:szCs w:val="24"/>
        </w:rPr>
        <w:t>Journal of Sustainable Finance and Investment</w:t>
      </w:r>
      <w:r w:rsidRPr="00633D54">
        <w:rPr>
          <w:rFonts w:ascii="Times New Roman" w:hAnsi="Times New Roman" w:cs="Times New Roman"/>
          <w:sz w:val="24"/>
          <w:szCs w:val="24"/>
        </w:rPr>
        <w:t>, 21(4), 287–303.</w:t>
      </w:r>
    </w:p>
    <w:p w14:paraId="39A326D6"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Bruhati. (2024). The rise of ESG metrics: Understanding the impact on corporate performance. LinkedIn Pulse. Retrieved from </w:t>
      </w:r>
      <w:hyperlink r:id="rId10" w:tgtFrame="_blank" w:history="1">
        <w:r w:rsidRPr="00F53A9A">
          <w:rPr>
            <w:rStyle w:val="Hyperlink"/>
            <w:rFonts w:ascii="Times New Roman" w:hAnsi="Times New Roman" w:cs="Times New Roman"/>
            <w:color w:val="auto"/>
            <w:sz w:val="24"/>
            <w:szCs w:val="24"/>
            <w:u w:val="none"/>
          </w:rPr>
          <w:t>https://www.linkedin.com/pulse/rise-esg-metrics-understanding-impact-corporate-performance-bruhati-idnle</w:t>
        </w:r>
      </w:hyperlink>
    </w:p>
    <w:p w14:paraId="4315BAB5"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Carabelli, A. (2025). The digitalization of ESG communications: Using interactive platforms to improve transparency and engagement. </w:t>
      </w:r>
      <w:r w:rsidRPr="00534087">
        <w:rPr>
          <w:rFonts w:ascii="Times New Roman" w:hAnsi="Times New Roman" w:cs="Times New Roman"/>
          <w:i/>
          <w:iCs/>
          <w:sz w:val="24"/>
          <w:szCs w:val="24"/>
        </w:rPr>
        <w:t>Sustainability and Governance Review</w:t>
      </w:r>
      <w:r w:rsidRPr="00534087">
        <w:rPr>
          <w:rFonts w:ascii="Times New Roman" w:hAnsi="Times New Roman" w:cs="Times New Roman"/>
          <w:sz w:val="24"/>
          <w:szCs w:val="24"/>
        </w:rPr>
        <w:t>, 19(3), 190–205.</w:t>
      </w:r>
    </w:p>
    <w:p w14:paraId="33A878DD"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Casalegno, M., Chiaudano, S., &amp; Tamiazzo, F. (2024). Selective ESG disclosures and their impact on corporate credibility. </w:t>
      </w:r>
      <w:r w:rsidRPr="00050087">
        <w:rPr>
          <w:rFonts w:ascii="Times New Roman" w:hAnsi="Times New Roman" w:cs="Times New Roman"/>
          <w:i/>
          <w:iCs/>
          <w:sz w:val="24"/>
          <w:szCs w:val="24"/>
        </w:rPr>
        <w:t>Corporate Governance and Sustainability Review</w:t>
      </w:r>
      <w:r w:rsidRPr="00050087">
        <w:rPr>
          <w:rFonts w:ascii="Times New Roman" w:hAnsi="Times New Roman" w:cs="Times New Roman"/>
          <w:sz w:val="24"/>
          <w:szCs w:val="24"/>
        </w:rPr>
        <w:t>, 23(4), 157–172.</w:t>
      </w:r>
    </w:p>
    <w:p w14:paraId="61317838"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Chen, X. (2024). Automated ESG monitoring systems: Enhancing compliance and reducing risks. </w:t>
      </w:r>
      <w:r w:rsidRPr="00534087">
        <w:rPr>
          <w:rFonts w:ascii="Times New Roman" w:hAnsi="Times New Roman" w:cs="Times New Roman"/>
          <w:i/>
          <w:iCs/>
          <w:sz w:val="24"/>
          <w:szCs w:val="24"/>
        </w:rPr>
        <w:t>Journal of Regulatory Technology</w:t>
      </w:r>
      <w:r w:rsidRPr="00534087">
        <w:rPr>
          <w:rFonts w:ascii="Times New Roman" w:hAnsi="Times New Roman" w:cs="Times New Roman"/>
          <w:sz w:val="24"/>
          <w:szCs w:val="24"/>
        </w:rPr>
        <w:t>, 12(1), 80–92.</w:t>
      </w:r>
    </w:p>
    <w:p w14:paraId="41DDF68D"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Crosby, R. (2024). Greenwashing and corporate sustainability: Eroding trust through inconsistency. </w:t>
      </w:r>
      <w:r w:rsidRPr="00050087">
        <w:rPr>
          <w:rFonts w:ascii="Times New Roman" w:hAnsi="Times New Roman" w:cs="Times New Roman"/>
          <w:i/>
          <w:iCs/>
          <w:sz w:val="24"/>
          <w:szCs w:val="24"/>
        </w:rPr>
        <w:t>Journal of Business Ethics</w:t>
      </w:r>
      <w:r w:rsidRPr="00050087">
        <w:rPr>
          <w:rFonts w:ascii="Times New Roman" w:hAnsi="Times New Roman" w:cs="Times New Roman"/>
          <w:sz w:val="24"/>
          <w:szCs w:val="24"/>
        </w:rPr>
        <w:t>, 17(2), 89–103.</w:t>
      </w:r>
    </w:p>
    <w:p w14:paraId="7B4862E0"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Dadhich, S., &amp; Saini, S. (2024). Perceptions of ESG as impression management: Challenges in emerging markets. </w:t>
      </w:r>
      <w:r w:rsidRPr="00050087">
        <w:rPr>
          <w:rFonts w:ascii="Times New Roman" w:hAnsi="Times New Roman" w:cs="Times New Roman"/>
          <w:i/>
          <w:iCs/>
          <w:sz w:val="24"/>
          <w:szCs w:val="24"/>
        </w:rPr>
        <w:t>Global Business and Organizational Excellence</w:t>
      </w:r>
      <w:r w:rsidRPr="00050087">
        <w:rPr>
          <w:rFonts w:ascii="Times New Roman" w:hAnsi="Times New Roman" w:cs="Times New Roman"/>
          <w:sz w:val="24"/>
          <w:szCs w:val="24"/>
        </w:rPr>
        <w:t>, 34(1), 45–60.</w:t>
      </w:r>
    </w:p>
    <w:p w14:paraId="23061B8B"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Dathe, L. (2024). Digital tools for ESG communication: Leveraging websites and social media for greater accessibility and alignment. </w:t>
      </w:r>
      <w:r w:rsidRPr="00534087">
        <w:rPr>
          <w:rFonts w:ascii="Times New Roman" w:hAnsi="Times New Roman" w:cs="Times New Roman"/>
          <w:i/>
          <w:iCs/>
          <w:sz w:val="24"/>
          <w:szCs w:val="24"/>
        </w:rPr>
        <w:t>Corporate Communication Journal</w:t>
      </w:r>
      <w:r w:rsidRPr="00534087">
        <w:rPr>
          <w:rFonts w:ascii="Times New Roman" w:hAnsi="Times New Roman" w:cs="Times New Roman"/>
          <w:sz w:val="24"/>
          <w:szCs w:val="24"/>
        </w:rPr>
        <w:t>, 29(2), 135–147.</w:t>
      </w:r>
    </w:p>
    <w:p w14:paraId="3C5B7A30"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DiMaggio, P. J., &amp; Powell, W. W. (1983). </w:t>
      </w:r>
      <w:r w:rsidRPr="00FA6E7C">
        <w:rPr>
          <w:rFonts w:ascii="Times New Roman" w:hAnsi="Times New Roman" w:cs="Times New Roman"/>
          <w:i/>
          <w:iCs/>
          <w:sz w:val="24"/>
          <w:szCs w:val="24"/>
        </w:rPr>
        <w:t>The iron cage revisited: Institutional isomorphism and collective rationality in organizational fields</w:t>
      </w:r>
      <w:r w:rsidRPr="00FA6E7C">
        <w:rPr>
          <w:rFonts w:ascii="Times New Roman" w:hAnsi="Times New Roman" w:cs="Times New Roman"/>
          <w:sz w:val="24"/>
          <w:szCs w:val="24"/>
        </w:rPr>
        <w:t>. American Sociological Review, 48(2), 147-160. https://doi.org/10.2307/2095101</w:t>
      </w:r>
    </w:p>
    <w:p w14:paraId="1C6B6359"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Emmanuel, S. (2025). Blockchain technology and ESG disclosures: Enhancing credibility and mitigating greenwashing. </w:t>
      </w:r>
      <w:r w:rsidRPr="00536850">
        <w:rPr>
          <w:rFonts w:ascii="Times New Roman" w:hAnsi="Times New Roman" w:cs="Times New Roman"/>
          <w:i/>
          <w:iCs/>
          <w:sz w:val="24"/>
          <w:szCs w:val="24"/>
        </w:rPr>
        <w:t>Journal of Corporate Sustainability</w:t>
      </w:r>
      <w:r w:rsidRPr="00536850">
        <w:rPr>
          <w:rFonts w:ascii="Times New Roman" w:hAnsi="Times New Roman" w:cs="Times New Roman"/>
          <w:sz w:val="24"/>
          <w:szCs w:val="24"/>
        </w:rPr>
        <w:t>, 34(2), 105–120.</w:t>
      </w:r>
    </w:p>
    <w:p w14:paraId="5ECF13FD"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lastRenderedPageBreak/>
        <w:t xml:space="preserve">Faccia, A., &amp; Petratos, P. (2024). Big data analytics and AI in ESG reporting: Enhancing reporting accuracy and regulatory alignment. </w:t>
      </w:r>
      <w:r w:rsidRPr="00534087">
        <w:rPr>
          <w:rFonts w:ascii="Times New Roman" w:hAnsi="Times New Roman" w:cs="Times New Roman"/>
          <w:i/>
          <w:iCs/>
          <w:sz w:val="24"/>
          <w:szCs w:val="24"/>
        </w:rPr>
        <w:t>International Journal of Business and Technology</w:t>
      </w:r>
      <w:r w:rsidRPr="00534087">
        <w:rPr>
          <w:rFonts w:ascii="Times New Roman" w:hAnsi="Times New Roman" w:cs="Times New Roman"/>
          <w:sz w:val="24"/>
          <w:szCs w:val="24"/>
        </w:rPr>
        <w:t>, 33(4), 244–259.</w:t>
      </w:r>
    </w:p>
    <w:p w14:paraId="493EB5C3"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Freeman, R. E. (1984). </w:t>
      </w:r>
      <w:r w:rsidRPr="00FA6E7C">
        <w:rPr>
          <w:rFonts w:ascii="Times New Roman" w:hAnsi="Times New Roman" w:cs="Times New Roman"/>
          <w:i/>
          <w:iCs/>
          <w:sz w:val="24"/>
          <w:szCs w:val="24"/>
        </w:rPr>
        <w:t>Strategic management: A stakeholder approach</w:t>
      </w:r>
      <w:r w:rsidRPr="00FA6E7C">
        <w:rPr>
          <w:rFonts w:ascii="Times New Roman" w:hAnsi="Times New Roman" w:cs="Times New Roman"/>
          <w:sz w:val="24"/>
          <w:szCs w:val="24"/>
        </w:rPr>
        <w:t>. Pitman.</w:t>
      </w:r>
    </w:p>
    <w:p w14:paraId="05CFE66A"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Greenmyna. (2024). Top Challenges in ESG Reporting and How to Overcome Them. Retrieved from </w:t>
      </w:r>
      <w:hyperlink r:id="rId11" w:tgtFrame="_blank" w:history="1">
        <w:r w:rsidRPr="00F53A9A">
          <w:rPr>
            <w:rStyle w:val="Hyperlink"/>
            <w:rFonts w:ascii="Times New Roman" w:hAnsi="Times New Roman" w:cs="Times New Roman"/>
            <w:color w:val="auto"/>
            <w:sz w:val="24"/>
            <w:szCs w:val="24"/>
            <w:u w:val="none"/>
          </w:rPr>
          <w:t>https://www.greenmyna.com/top-challenges-in-esg-reporting-and-how-to-overcome-them-1</w:t>
        </w:r>
      </w:hyperlink>
    </w:p>
    <w:p w14:paraId="13C72B8E"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Hartwig, A. (2024). The role of consumer priorities in shaping corporate ESG messaging. </w:t>
      </w:r>
      <w:r w:rsidRPr="00050087">
        <w:rPr>
          <w:rFonts w:ascii="Times New Roman" w:hAnsi="Times New Roman" w:cs="Times New Roman"/>
          <w:i/>
          <w:iCs/>
          <w:sz w:val="24"/>
          <w:szCs w:val="24"/>
        </w:rPr>
        <w:t>Journal of Marketing and Consumer Behavior</w:t>
      </w:r>
      <w:r w:rsidRPr="00050087">
        <w:rPr>
          <w:rFonts w:ascii="Times New Roman" w:hAnsi="Times New Roman" w:cs="Times New Roman"/>
          <w:sz w:val="24"/>
          <w:szCs w:val="24"/>
        </w:rPr>
        <w:t>, 18(3), 134–148.</w:t>
      </w:r>
    </w:p>
    <w:p w14:paraId="5ADE9F28"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Ijomah, W., Nodhiva, M., &amp; Makridis, G. (2024). Green innovation through digitalization: Leveraging technology to enhance ESG disclosures. </w:t>
      </w:r>
      <w:r w:rsidRPr="00534087">
        <w:rPr>
          <w:rFonts w:ascii="Times New Roman" w:hAnsi="Times New Roman" w:cs="Times New Roman"/>
          <w:i/>
          <w:iCs/>
          <w:sz w:val="24"/>
          <w:szCs w:val="24"/>
        </w:rPr>
        <w:t>Sustainable Business Innovation Journal</w:t>
      </w:r>
      <w:r w:rsidRPr="00534087">
        <w:rPr>
          <w:rFonts w:ascii="Times New Roman" w:hAnsi="Times New Roman" w:cs="Times New Roman"/>
          <w:sz w:val="24"/>
          <w:szCs w:val="24"/>
        </w:rPr>
        <w:t>, 25(3), 167–182.</w:t>
      </w:r>
    </w:p>
    <w:p w14:paraId="298CA0B1"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Iris Business. (2025). Top ESG Trends in 2025: Shaping the Future of Sustainability and Corporate Responsibility. Retrieved from </w:t>
      </w:r>
      <w:hyperlink r:id="rId12" w:tgtFrame="_blank" w:history="1">
        <w:r w:rsidRPr="00F53A9A">
          <w:rPr>
            <w:rStyle w:val="Hyperlink"/>
            <w:rFonts w:ascii="Times New Roman" w:hAnsi="Times New Roman" w:cs="Times New Roman"/>
            <w:color w:val="auto"/>
            <w:sz w:val="24"/>
            <w:szCs w:val="24"/>
            <w:u w:val="none"/>
          </w:rPr>
          <w:t>https://www.irisbusiness.com/top-esg-trends-to-watch-in-2025-to-the-future-of-sustainability-and-corporate-responsibility/</w:t>
        </w:r>
      </w:hyperlink>
    </w:p>
    <w:p w14:paraId="12FD7401"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Jamil, S., &amp; Wahyuni, S. (2024). The role of transparency and accountability in ESG strategies. </w:t>
      </w:r>
      <w:r w:rsidRPr="00633D54">
        <w:rPr>
          <w:rFonts w:ascii="Times New Roman" w:hAnsi="Times New Roman" w:cs="Times New Roman"/>
          <w:i/>
          <w:iCs/>
          <w:sz w:val="24"/>
          <w:szCs w:val="24"/>
        </w:rPr>
        <w:t>Journal of Business Ethics</w:t>
      </w:r>
      <w:r w:rsidRPr="00633D54">
        <w:rPr>
          <w:rFonts w:ascii="Times New Roman" w:hAnsi="Times New Roman" w:cs="Times New Roman"/>
          <w:sz w:val="24"/>
          <w:szCs w:val="24"/>
        </w:rPr>
        <w:t>, 28(3), 145–158.</w:t>
      </w:r>
    </w:p>
    <w:p w14:paraId="20580BB4"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Jang, Y., &amp; Kang, D. (2023). Regulatory compliance and ESG disclosures: Aligning with global standards. </w:t>
      </w:r>
      <w:r w:rsidRPr="00633D54">
        <w:rPr>
          <w:rFonts w:ascii="Times New Roman" w:hAnsi="Times New Roman" w:cs="Times New Roman"/>
          <w:i/>
          <w:iCs/>
          <w:sz w:val="24"/>
          <w:szCs w:val="24"/>
        </w:rPr>
        <w:t>International Journal of Environmental Sustainability</w:t>
      </w:r>
      <w:r w:rsidRPr="00633D54">
        <w:rPr>
          <w:rFonts w:ascii="Times New Roman" w:hAnsi="Times New Roman" w:cs="Times New Roman"/>
          <w:sz w:val="24"/>
          <w:szCs w:val="24"/>
        </w:rPr>
        <w:t>, 19(2), 211–224.</w:t>
      </w:r>
    </w:p>
    <w:p w14:paraId="6CC5BADA"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Jarboui, A., Rana, J., &amp; Thomas, P. (2025). Regulatory frameworks and corporate sustainability: The role of ESG disclosures. </w:t>
      </w:r>
      <w:r w:rsidRPr="00536850">
        <w:rPr>
          <w:rFonts w:ascii="Times New Roman" w:hAnsi="Times New Roman" w:cs="Times New Roman"/>
          <w:i/>
          <w:iCs/>
          <w:sz w:val="24"/>
          <w:szCs w:val="24"/>
        </w:rPr>
        <w:t>International Journal of Business Ethics</w:t>
      </w:r>
      <w:r w:rsidRPr="00536850">
        <w:rPr>
          <w:rFonts w:ascii="Times New Roman" w:hAnsi="Times New Roman" w:cs="Times New Roman"/>
          <w:sz w:val="24"/>
          <w:szCs w:val="24"/>
        </w:rPr>
        <w:t>, 42(3), 250–265.</w:t>
      </w:r>
    </w:p>
    <w:p w14:paraId="789E1B74"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Jayadatta, T. (2023). The transformation of ESG stakeholder engagement through social media. </w:t>
      </w:r>
      <w:r w:rsidRPr="00050087">
        <w:rPr>
          <w:rFonts w:ascii="Times New Roman" w:hAnsi="Times New Roman" w:cs="Times New Roman"/>
          <w:i/>
          <w:iCs/>
          <w:sz w:val="24"/>
          <w:szCs w:val="24"/>
        </w:rPr>
        <w:t>Journal of Communication in Business</w:t>
      </w:r>
      <w:r w:rsidRPr="00050087">
        <w:rPr>
          <w:rFonts w:ascii="Times New Roman" w:hAnsi="Times New Roman" w:cs="Times New Roman"/>
          <w:sz w:val="24"/>
          <w:szCs w:val="24"/>
        </w:rPr>
        <w:t>, 26(4), 203–215.</w:t>
      </w:r>
    </w:p>
    <w:p w14:paraId="64901E76"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Jizi, M. I., &amp; Thomas, H. (2025). The impact of ESG reporting on financial governance and audit delays. </w:t>
      </w:r>
      <w:r w:rsidRPr="00536850">
        <w:rPr>
          <w:rFonts w:ascii="Times New Roman" w:hAnsi="Times New Roman" w:cs="Times New Roman"/>
          <w:i/>
          <w:iCs/>
          <w:sz w:val="24"/>
          <w:szCs w:val="24"/>
        </w:rPr>
        <w:t>Journal of Business Ethics</w:t>
      </w:r>
      <w:r w:rsidRPr="00536850">
        <w:rPr>
          <w:rFonts w:ascii="Times New Roman" w:hAnsi="Times New Roman" w:cs="Times New Roman"/>
          <w:sz w:val="24"/>
          <w:szCs w:val="24"/>
        </w:rPr>
        <w:t>, 121(4), 310–325.</w:t>
      </w:r>
    </w:p>
    <w:p w14:paraId="07ED6F4F"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Junaedi, P. (2024). Transparency in ESG reporting: Strengthening stakeholder trust with clear disclosures. </w:t>
      </w:r>
      <w:r w:rsidRPr="00050087">
        <w:rPr>
          <w:rFonts w:ascii="Times New Roman" w:hAnsi="Times New Roman" w:cs="Times New Roman"/>
          <w:i/>
          <w:iCs/>
          <w:sz w:val="24"/>
          <w:szCs w:val="24"/>
        </w:rPr>
        <w:t>Journal of Corporate Governance</w:t>
      </w:r>
      <w:r w:rsidRPr="00050087">
        <w:rPr>
          <w:rFonts w:ascii="Times New Roman" w:hAnsi="Times New Roman" w:cs="Times New Roman"/>
          <w:sz w:val="24"/>
          <w:szCs w:val="24"/>
        </w:rPr>
        <w:t>, 25(1), 38–52.</w:t>
      </w:r>
    </w:p>
    <w:p w14:paraId="3AD3E664"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Koch, D. (2025). ESG factors in financial decision-making: The growing influence of sustainability on investments. </w:t>
      </w:r>
      <w:r w:rsidRPr="00050087">
        <w:rPr>
          <w:rFonts w:ascii="Times New Roman" w:hAnsi="Times New Roman" w:cs="Times New Roman"/>
          <w:i/>
          <w:iCs/>
          <w:sz w:val="24"/>
          <w:szCs w:val="24"/>
        </w:rPr>
        <w:t>Journal of Finance and Sustainable Development</w:t>
      </w:r>
      <w:r w:rsidRPr="00050087">
        <w:rPr>
          <w:rFonts w:ascii="Times New Roman" w:hAnsi="Times New Roman" w:cs="Times New Roman"/>
          <w:sz w:val="24"/>
          <w:szCs w:val="24"/>
        </w:rPr>
        <w:t>, 19(1), 77–92.</w:t>
      </w:r>
    </w:p>
    <w:p w14:paraId="6E3A691C"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Lehner, O., &amp; Harrer, S. (2019). Corporate accountability and ethical expectations in ESG discussions. </w:t>
      </w:r>
      <w:r w:rsidRPr="00050087">
        <w:rPr>
          <w:rFonts w:ascii="Times New Roman" w:hAnsi="Times New Roman" w:cs="Times New Roman"/>
          <w:i/>
          <w:iCs/>
          <w:sz w:val="24"/>
          <w:szCs w:val="24"/>
        </w:rPr>
        <w:t>Business Ethics Quarterly</w:t>
      </w:r>
      <w:r w:rsidRPr="00050087">
        <w:rPr>
          <w:rFonts w:ascii="Times New Roman" w:hAnsi="Times New Roman" w:cs="Times New Roman"/>
          <w:sz w:val="24"/>
          <w:szCs w:val="24"/>
        </w:rPr>
        <w:t>, 24(3), 215–231.</w:t>
      </w:r>
    </w:p>
    <w:p w14:paraId="51DF4EC2"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Lin, M., Beck, K., &amp; Louca, L. (2024). Blockchain for ESG data verification: Enhancing credibility and mitigating greenwashing risks. </w:t>
      </w:r>
      <w:r w:rsidRPr="00534087">
        <w:rPr>
          <w:rFonts w:ascii="Times New Roman" w:hAnsi="Times New Roman" w:cs="Times New Roman"/>
          <w:i/>
          <w:iCs/>
          <w:sz w:val="24"/>
          <w:szCs w:val="24"/>
        </w:rPr>
        <w:t>Journal of Digital Sustainability</w:t>
      </w:r>
      <w:r w:rsidRPr="00534087">
        <w:rPr>
          <w:rFonts w:ascii="Times New Roman" w:hAnsi="Times New Roman" w:cs="Times New Roman"/>
          <w:sz w:val="24"/>
          <w:szCs w:val="24"/>
        </w:rPr>
        <w:t>, 22(1), 75–88.</w:t>
      </w:r>
    </w:p>
    <w:p w14:paraId="7EDD3E6A"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Magli, M., &amp; Amaduzzi, A. (2025). Global disclosure frameworks: A comparative analysis of GRI, TCFD, and ESRS. </w:t>
      </w:r>
      <w:r w:rsidRPr="00536850">
        <w:rPr>
          <w:rFonts w:ascii="Times New Roman" w:hAnsi="Times New Roman" w:cs="Times New Roman"/>
          <w:i/>
          <w:iCs/>
          <w:sz w:val="24"/>
          <w:szCs w:val="24"/>
        </w:rPr>
        <w:t>Sustainability Accounting, Management and Policy Journal</w:t>
      </w:r>
      <w:r w:rsidRPr="00536850">
        <w:rPr>
          <w:rFonts w:ascii="Times New Roman" w:hAnsi="Times New Roman" w:cs="Times New Roman"/>
          <w:sz w:val="24"/>
          <w:szCs w:val="24"/>
        </w:rPr>
        <w:t>, 17(1), 77–94.</w:t>
      </w:r>
    </w:p>
    <w:p w14:paraId="08B075D4"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Magli, M., &amp; Amaduzzi, A. (2025). The impact of AI and blockchain on ESG reporting: Revolutionizing transparency and compliance. </w:t>
      </w:r>
      <w:r w:rsidRPr="00534087">
        <w:rPr>
          <w:rFonts w:ascii="Times New Roman" w:hAnsi="Times New Roman" w:cs="Times New Roman"/>
          <w:i/>
          <w:iCs/>
          <w:sz w:val="24"/>
          <w:szCs w:val="24"/>
        </w:rPr>
        <w:t>International Journal of Environmental Sustainability</w:t>
      </w:r>
      <w:r w:rsidRPr="00534087">
        <w:rPr>
          <w:rFonts w:ascii="Times New Roman" w:hAnsi="Times New Roman" w:cs="Times New Roman"/>
          <w:sz w:val="24"/>
          <w:szCs w:val="24"/>
        </w:rPr>
        <w:t>, 14(2), 134–149.</w:t>
      </w:r>
    </w:p>
    <w:p w14:paraId="74A4E94E"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Makridis, G., Beck, K., &amp; Louca, L. (2025). Blockchain-integrated AI models for real-time ESG monitoring. </w:t>
      </w:r>
      <w:r w:rsidRPr="00534087">
        <w:rPr>
          <w:rFonts w:ascii="Times New Roman" w:hAnsi="Times New Roman" w:cs="Times New Roman"/>
          <w:i/>
          <w:iCs/>
          <w:sz w:val="24"/>
          <w:szCs w:val="24"/>
        </w:rPr>
        <w:t>Journal of Corporate Governance and Innovation</w:t>
      </w:r>
      <w:r w:rsidRPr="00534087">
        <w:rPr>
          <w:rFonts w:ascii="Times New Roman" w:hAnsi="Times New Roman" w:cs="Times New Roman"/>
          <w:sz w:val="24"/>
          <w:szCs w:val="24"/>
        </w:rPr>
        <w:t>, 18(2), 99–113.</w:t>
      </w:r>
    </w:p>
    <w:p w14:paraId="75974460"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lastRenderedPageBreak/>
        <w:t xml:space="preserve">Mbhalati, M., &amp; Masehela, I. (2024). Regulatory pressures and ESG transparency: Enhancing stakeholder engagement. </w:t>
      </w:r>
      <w:r w:rsidRPr="00050087">
        <w:rPr>
          <w:rFonts w:ascii="Times New Roman" w:hAnsi="Times New Roman" w:cs="Times New Roman"/>
          <w:i/>
          <w:iCs/>
          <w:sz w:val="24"/>
          <w:szCs w:val="24"/>
        </w:rPr>
        <w:t>Journal of Business Law and Ethics</w:t>
      </w:r>
      <w:r w:rsidRPr="00050087">
        <w:rPr>
          <w:rFonts w:ascii="Times New Roman" w:hAnsi="Times New Roman" w:cs="Times New Roman"/>
          <w:sz w:val="24"/>
          <w:szCs w:val="24"/>
        </w:rPr>
        <w:t>, 12(2), 95–108.</w:t>
      </w:r>
    </w:p>
    <w:p w14:paraId="47271E92"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McCall, T. (2024). Stakeholder perceptions and their impact on corporate ESG strategies. </w:t>
      </w:r>
      <w:r w:rsidRPr="00050087">
        <w:rPr>
          <w:rFonts w:ascii="Times New Roman" w:hAnsi="Times New Roman" w:cs="Times New Roman"/>
          <w:i/>
          <w:iCs/>
          <w:sz w:val="24"/>
          <w:szCs w:val="24"/>
        </w:rPr>
        <w:t>Corporate Social Responsibility and Environmental Management</w:t>
      </w:r>
      <w:r w:rsidRPr="00050087">
        <w:rPr>
          <w:rFonts w:ascii="Times New Roman" w:hAnsi="Times New Roman" w:cs="Times New Roman"/>
          <w:sz w:val="24"/>
          <w:szCs w:val="24"/>
        </w:rPr>
        <w:t>, 22(3), 177–189.</w:t>
      </w:r>
    </w:p>
    <w:p w14:paraId="42CC9F14"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McKinsey &amp; Company. (n.d.). Does ESG really matter—and why? Retrieved from </w:t>
      </w:r>
      <w:hyperlink r:id="rId13" w:tgtFrame="_blank" w:history="1">
        <w:r w:rsidRPr="00F53A9A">
          <w:rPr>
            <w:rStyle w:val="Hyperlink"/>
            <w:rFonts w:ascii="Times New Roman" w:hAnsi="Times New Roman" w:cs="Times New Roman"/>
            <w:color w:val="auto"/>
            <w:sz w:val="24"/>
            <w:szCs w:val="24"/>
            <w:u w:val="none"/>
          </w:rPr>
          <w:t>https://www.mckinsey.com/capabilities/sustainability/our-insights/does-esg-really-matter-and-why</w:t>
        </w:r>
      </w:hyperlink>
    </w:p>
    <w:p w14:paraId="3EFFAC84"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Moyeen, S., &amp; Mehjabeen, S. (2024). The influence of internal ESG communication on employee engagement. </w:t>
      </w:r>
      <w:r w:rsidRPr="00534087">
        <w:rPr>
          <w:rFonts w:ascii="Times New Roman" w:hAnsi="Times New Roman" w:cs="Times New Roman"/>
          <w:i/>
          <w:iCs/>
          <w:sz w:val="24"/>
          <w:szCs w:val="24"/>
        </w:rPr>
        <w:t>Journal of Corporate Responsibility</w:t>
      </w:r>
      <w:r w:rsidRPr="00534087">
        <w:rPr>
          <w:rFonts w:ascii="Times New Roman" w:hAnsi="Times New Roman" w:cs="Times New Roman"/>
          <w:sz w:val="24"/>
          <w:szCs w:val="24"/>
        </w:rPr>
        <w:t>, 30(2), 142–156.</w:t>
      </w:r>
    </w:p>
    <w:p w14:paraId="718A0D28"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Nielsen, K., &amp; Villadsen, A. (2023). ESG transparency and regulatory frameworks: Enhancing stakeholder trust. </w:t>
      </w:r>
      <w:r w:rsidRPr="00050087">
        <w:rPr>
          <w:rFonts w:ascii="Times New Roman" w:hAnsi="Times New Roman" w:cs="Times New Roman"/>
          <w:i/>
          <w:iCs/>
          <w:sz w:val="24"/>
          <w:szCs w:val="24"/>
        </w:rPr>
        <w:t>Business Strategy and Environmental Policy</w:t>
      </w:r>
      <w:r w:rsidRPr="00050087">
        <w:rPr>
          <w:rFonts w:ascii="Times New Roman" w:hAnsi="Times New Roman" w:cs="Times New Roman"/>
          <w:sz w:val="24"/>
          <w:szCs w:val="24"/>
        </w:rPr>
        <w:t>, 31(1), 89–104.</w:t>
      </w:r>
    </w:p>
    <w:p w14:paraId="5827A321"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Nodhiva, M., Ijomah, W., &amp; Makridis, G. (2024). ESG reporting and green technologies: Advancing sustainability and attracting socially responsible investments. </w:t>
      </w:r>
      <w:r w:rsidRPr="00534087">
        <w:rPr>
          <w:rFonts w:ascii="Times New Roman" w:hAnsi="Times New Roman" w:cs="Times New Roman"/>
          <w:i/>
          <w:iCs/>
          <w:sz w:val="24"/>
          <w:szCs w:val="24"/>
        </w:rPr>
        <w:t>Journal of Business Ethics and Innovation</w:t>
      </w:r>
      <w:r w:rsidRPr="00534087">
        <w:rPr>
          <w:rFonts w:ascii="Times New Roman" w:hAnsi="Times New Roman" w:cs="Times New Roman"/>
          <w:sz w:val="24"/>
          <w:szCs w:val="24"/>
        </w:rPr>
        <w:t>, 27(3), 201–215.</w:t>
      </w:r>
    </w:p>
    <w:p w14:paraId="03A9FC8A"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Parfentieva, M. (2024). The role of readability and accessibility in ESG compliance: Overcoming greenwashing risks. </w:t>
      </w:r>
      <w:r w:rsidRPr="00534087">
        <w:rPr>
          <w:rFonts w:ascii="Times New Roman" w:hAnsi="Times New Roman" w:cs="Times New Roman"/>
          <w:i/>
          <w:iCs/>
          <w:sz w:val="24"/>
          <w:szCs w:val="24"/>
        </w:rPr>
        <w:t>Business and Environment Journal</w:t>
      </w:r>
      <w:r w:rsidRPr="00534087">
        <w:rPr>
          <w:rFonts w:ascii="Times New Roman" w:hAnsi="Times New Roman" w:cs="Times New Roman"/>
          <w:sz w:val="24"/>
          <w:szCs w:val="24"/>
        </w:rPr>
        <w:t>, 21(1), 57–70.</w:t>
      </w:r>
    </w:p>
    <w:p w14:paraId="2B49DB8D"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Rahman, S., Suta, D., &amp; Debata, B. (2025). The challenges of standardizing ESG disclosures: A global perspective. </w:t>
      </w:r>
      <w:r w:rsidRPr="00536850">
        <w:rPr>
          <w:rFonts w:ascii="Times New Roman" w:hAnsi="Times New Roman" w:cs="Times New Roman"/>
          <w:i/>
          <w:iCs/>
          <w:sz w:val="24"/>
          <w:szCs w:val="24"/>
        </w:rPr>
        <w:t>Journal of Financial Reporting and Accounting</w:t>
      </w:r>
      <w:r w:rsidRPr="00536850">
        <w:rPr>
          <w:rFonts w:ascii="Times New Roman" w:hAnsi="Times New Roman" w:cs="Times New Roman"/>
          <w:sz w:val="24"/>
          <w:szCs w:val="24"/>
        </w:rPr>
        <w:t>, 19(4), 439–455.</w:t>
      </w:r>
    </w:p>
    <w:p w14:paraId="4B788A83"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Rajput, M., Sharma, N., &amp; Garg, A. (2024). AI and automated ESG monitoring: Tools for improving compliance and governance. </w:t>
      </w:r>
      <w:r w:rsidRPr="00534087">
        <w:rPr>
          <w:rFonts w:ascii="Times New Roman" w:hAnsi="Times New Roman" w:cs="Times New Roman"/>
          <w:i/>
          <w:iCs/>
          <w:sz w:val="24"/>
          <w:szCs w:val="24"/>
        </w:rPr>
        <w:t>Corporate Regulation and Ethics Journal</w:t>
      </w:r>
      <w:r w:rsidRPr="00534087">
        <w:rPr>
          <w:rFonts w:ascii="Times New Roman" w:hAnsi="Times New Roman" w:cs="Times New Roman"/>
          <w:sz w:val="24"/>
          <w:szCs w:val="24"/>
        </w:rPr>
        <w:t>, 16(4), 202–218.</w:t>
      </w:r>
    </w:p>
    <w:p w14:paraId="6A6698B5"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Rana, J., Jarboui, A., &amp; Thomas, P. (2025). Regulatory compliance and its impact on ESG disclosures. </w:t>
      </w:r>
      <w:r w:rsidRPr="00633D54">
        <w:rPr>
          <w:rFonts w:ascii="Times New Roman" w:hAnsi="Times New Roman" w:cs="Times New Roman"/>
          <w:i/>
          <w:iCs/>
          <w:sz w:val="24"/>
          <w:szCs w:val="24"/>
        </w:rPr>
        <w:t>Corporate Social Responsibility and Environmental Management</w:t>
      </w:r>
      <w:r w:rsidRPr="00633D54">
        <w:rPr>
          <w:rFonts w:ascii="Times New Roman" w:hAnsi="Times New Roman" w:cs="Times New Roman"/>
          <w:sz w:val="24"/>
          <w:szCs w:val="24"/>
        </w:rPr>
        <w:t>, 22(1), 58–75.</w:t>
      </w:r>
    </w:p>
    <w:p w14:paraId="7CFD3EC7"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Roy, S., &amp; Vasa, R. (2025). The role of AI and NLP in ESG reporting: Future trends in data analysis. </w:t>
      </w:r>
      <w:r w:rsidRPr="00536850">
        <w:rPr>
          <w:rFonts w:ascii="Times New Roman" w:hAnsi="Times New Roman" w:cs="Times New Roman"/>
          <w:i/>
          <w:iCs/>
          <w:sz w:val="24"/>
          <w:szCs w:val="24"/>
        </w:rPr>
        <w:t>Journal of Technology in Business</w:t>
      </w:r>
      <w:r w:rsidRPr="00536850">
        <w:rPr>
          <w:rFonts w:ascii="Times New Roman" w:hAnsi="Times New Roman" w:cs="Times New Roman"/>
          <w:sz w:val="24"/>
          <w:szCs w:val="24"/>
        </w:rPr>
        <w:t>, 16(3), 212–227.</w:t>
      </w:r>
    </w:p>
    <w:p w14:paraId="1A5E4F22"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Sahu, R., &amp; Debata, B. (2025). Fintech innovations and the future of ESG data standardization. </w:t>
      </w:r>
      <w:r w:rsidRPr="00536850">
        <w:rPr>
          <w:rFonts w:ascii="Times New Roman" w:hAnsi="Times New Roman" w:cs="Times New Roman"/>
          <w:i/>
          <w:iCs/>
          <w:sz w:val="24"/>
          <w:szCs w:val="24"/>
        </w:rPr>
        <w:t>Finance and Technology Journal</w:t>
      </w:r>
      <w:r w:rsidRPr="00536850">
        <w:rPr>
          <w:rFonts w:ascii="Times New Roman" w:hAnsi="Times New Roman" w:cs="Times New Roman"/>
          <w:sz w:val="24"/>
          <w:szCs w:val="24"/>
        </w:rPr>
        <w:t>, 27(2), 180–198.</w:t>
      </w:r>
    </w:p>
    <w:p w14:paraId="2F0E8220"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Shakeri. (2025). The Future of Sustainability: Key ESG Trends and Predictions for 2025. LinkedIn Pulse. Retrieved from </w:t>
      </w:r>
      <w:hyperlink r:id="rId14" w:tgtFrame="_blank" w:history="1">
        <w:r w:rsidRPr="00F53A9A">
          <w:rPr>
            <w:rStyle w:val="Hyperlink"/>
            <w:rFonts w:ascii="Times New Roman" w:hAnsi="Times New Roman" w:cs="Times New Roman"/>
            <w:color w:val="auto"/>
            <w:sz w:val="24"/>
            <w:szCs w:val="24"/>
            <w:u w:val="none"/>
          </w:rPr>
          <w:t>https://www.linkedin.com/pulse/future-sustainability-key-esg-trends-predictions-2025-shakeri-dba-rlcrf</w:t>
        </w:r>
      </w:hyperlink>
    </w:p>
    <w:p w14:paraId="5AA2D6FF"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Spence, M. (1973). </w:t>
      </w:r>
      <w:r w:rsidRPr="00FA6E7C">
        <w:rPr>
          <w:rFonts w:ascii="Times New Roman" w:hAnsi="Times New Roman" w:cs="Times New Roman"/>
          <w:i/>
          <w:iCs/>
          <w:sz w:val="24"/>
          <w:szCs w:val="24"/>
        </w:rPr>
        <w:t>Job market signaling</w:t>
      </w:r>
      <w:r w:rsidRPr="00FA6E7C">
        <w:rPr>
          <w:rFonts w:ascii="Times New Roman" w:hAnsi="Times New Roman" w:cs="Times New Roman"/>
          <w:sz w:val="24"/>
          <w:szCs w:val="24"/>
        </w:rPr>
        <w:t>. Quarterly Journal of Economics, 87(3), 355-374. https://doi.org/10.2307/1882010</w:t>
      </w:r>
    </w:p>
    <w:p w14:paraId="341ED884"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Suchman, M. C. (1995). </w:t>
      </w:r>
      <w:r w:rsidRPr="00FA6E7C">
        <w:rPr>
          <w:rFonts w:ascii="Times New Roman" w:hAnsi="Times New Roman" w:cs="Times New Roman"/>
          <w:i/>
          <w:iCs/>
          <w:sz w:val="24"/>
          <w:szCs w:val="24"/>
        </w:rPr>
        <w:t>Managing legitimacy: Strategic and institutional approaches</w:t>
      </w:r>
      <w:r w:rsidRPr="00FA6E7C">
        <w:rPr>
          <w:rFonts w:ascii="Times New Roman" w:hAnsi="Times New Roman" w:cs="Times New Roman"/>
          <w:sz w:val="24"/>
          <w:szCs w:val="24"/>
        </w:rPr>
        <w:t>. Academy of Management Review, 20(3), 571-610. https://doi.org/10.5465/amr.1995.9508080331</w:t>
      </w:r>
    </w:p>
    <w:p w14:paraId="1E651EAA" w14:textId="77777777" w:rsidR="006D1B4D" w:rsidRPr="00A95946" w:rsidRDefault="006D1B4D" w:rsidP="00CA1E09">
      <w:pPr>
        <w:spacing w:before="120" w:after="0" w:line="240" w:lineRule="auto"/>
        <w:jc w:val="both"/>
        <w:rPr>
          <w:rFonts w:ascii="Times New Roman" w:hAnsi="Times New Roman" w:cs="Times New Roman"/>
          <w:sz w:val="24"/>
          <w:szCs w:val="24"/>
          <w:lang w:val="en-US"/>
        </w:rPr>
      </w:pPr>
      <w:r w:rsidRPr="00A95946">
        <w:rPr>
          <w:rFonts w:ascii="Times New Roman" w:hAnsi="Times New Roman" w:cs="Times New Roman"/>
          <w:sz w:val="24"/>
          <w:szCs w:val="24"/>
        </w:rPr>
        <w:t xml:space="preserve">Sun, H., &amp; Long, Y. (2024). Evaluating corporate ESG performance through quantitative and qualitative measures: The role of natural language processing and sentiment analysis. </w:t>
      </w:r>
      <w:r w:rsidRPr="00A95946">
        <w:rPr>
          <w:rFonts w:ascii="Times New Roman" w:hAnsi="Times New Roman" w:cs="Times New Roman"/>
          <w:i/>
          <w:iCs/>
          <w:sz w:val="24"/>
          <w:szCs w:val="24"/>
        </w:rPr>
        <w:t>Journal of Corporate Sustainability and Innovation</w:t>
      </w:r>
      <w:r w:rsidRPr="00A95946">
        <w:rPr>
          <w:rFonts w:ascii="Times New Roman" w:hAnsi="Times New Roman" w:cs="Times New Roman"/>
          <w:sz w:val="24"/>
          <w:szCs w:val="24"/>
        </w:rPr>
        <w:t>, 22(3), 145–160.</w:t>
      </w:r>
    </w:p>
    <w:p w14:paraId="28562A03"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Sung, Y., Tao, C., &amp; Lee, M. (2025). The role of social media in enhancing corporate ESG communication and engagement. </w:t>
      </w:r>
      <w:r w:rsidRPr="00050087">
        <w:rPr>
          <w:rFonts w:ascii="Times New Roman" w:hAnsi="Times New Roman" w:cs="Times New Roman"/>
          <w:i/>
          <w:iCs/>
          <w:sz w:val="24"/>
          <w:szCs w:val="24"/>
        </w:rPr>
        <w:t>Journal of Public Relations and Corporate Communications</w:t>
      </w:r>
      <w:r w:rsidRPr="00050087">
        <w:rPr>
          <w:rFonts w:ascii="Times New Roman" w:hAnsi="Times New Roman" w:cs="Times New Roman"/>
          <w:sz w:val="24"/>
          <w:szCs w:val="24"/>
        </w:rPr>
        <w:t>, 17(2), 108–122.</w:t>
      </w:r>
    </w:p>
    <w:p w14:paraId="0C968F28"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Suta, D., Rahman, S., &amp; Debata, B. (2025). The role of AI-driven text analysis in improving ESG reporting compliance. </w:t>
      </w:r>
      <w:r w:rsidRPr="00534087">
        <w:rPr>
          <w:rFonts w:ascii="Times New Roman" w:hAnsi="Times New Roman" w:cs="Times New Roman"/>
          <w:i/>
          <w:iCs/>
          <w:sz w:val="24"/>
          <w:szCs w:val="24"/>
        </w:rPr>
        <w:t>Journal of Financial Reporting and Accounting</w:t>
      </w:r>
      <w:r w:rsidRPr="00534087">
        <w:rPr>
          <w:rFonts w:ascii="Times New Roman" w:hAnsi="Times New Roman" w:cs="Times New Roman"/>
          <w:sz w:val="24"/>
          <w:szCs w:val="24"/>
        </w:rPr>
        <w:t>, 19(4), 439–455.</w:t>
      </w:r>
    </w:p>
    <w:p w14:paraId="06FEB1C0"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lastRenderedPageBreak/>
        <w:t xml:space="preserve">Suta, D., Rahman, S., &amp; Magli, M. (2025). The relationship between ESG scores and financial performance: A global analysis. </w:t>
      </w:r>
      <w:r w:rsidRPr="00633D54">
        <w:rPr>
          <w:rFonts w:ascii="Times New Roman" w:hAnsi="Times New Roman" w:cs="Times New Roman"/>
          <w:i/>
          <w:iCs/>
          <w:sz w:val="24"/>
          <w:szCs w:val="24"/>
        </w:rPr>
        <w:t>Financial Sustainability Review</w:t>
      </w:r>
      <w:r w:rsidRPr="00633D54">
        <w:rPr>
          <w:rFonts w:ascii="Times New Roman" w:hAnsi="Times New Roman" w:cs="Times New Roman"/>
          <w:sz w:val="24"/>
          <w:szCs w:val="24"/>
        </w:rPr>
        <w:t>, 11(2), 102–115.</w:t>
      </w:r>
    </w:p>
    <w:p w14:paraId="73F5B969"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Sutta, D., Rahman, S., &amp; Magli, M. (2025). The relationship between ESG scores and financial performance: A global analysis. </w:t>
      </w:r>
      <w:r w:rsidRPr="00536850">
        <w:rPr>
          <w:rFonts w:ascii="Times New Roman" w:hAnsi="Times New Roman" w:cs="Times New Roman"/>
          <w:i/>
          <w:iCs/>
          <w:sz w:val="24"/>
          <w:szCs w:val="24"/>
        </w:rPr>
        <w:t>Financial Sustainability Review</w:t>
      </w:r>
      <w:r w:rsidRPr="00536850">
        <w:rPr>
          <w:rFonts w:ascii="Times New Roman" w:hAnsi="Times New Roman" w:cs="Times New Roman"/>
          <w:sz w:val="24"/>
          <w:szCs w:val="24"/>
        </w:rPr>
        <w:t>, 11(2), 102–115.</w:t>
      </w:r>
    </w:p>
    <w:p w14:paraId="34D6E6DC"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Suttipun, M., Emmanuel, S., &amp; Suta, D. (2025). ESG metrics: Enhancing transparency and promoting sustainability. </w:t>
      </w:r>
      <w:r w:rsidRPr="00536850">
        <w:rPr>
          <w:rFonts w:ascii="Times New Roman" w:hAnsi="Times New Roman" w:cs="Times New Roman"/>
          <w:i/>
          <w:iCs/>
          <w:sz w:val="24"/>
          <w:szCs w:val="24"/>
        </w:rPr>
        <w:t>Journal of Corporate Governance</w:t>
      </w:r>
      <w:r w:rsidRPr="00536850">
        <w:rPr>
          <w:rFonts w:ascii="Times New Roman" w:hAnsi="Times New Roman" w:cs="Times New Roman"/>
          <w:sz w:val="24"/>
          <w:szCs w:val="24"/>
        </w:rPr>
        <w:t>, 29(1), 50–63.</w:t>
      </w:r>
    </w:p>
    <w:p w14:paraId="3363472F"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Tan, K., Wang, Y., &amp; Phillips-Fein, L. (2025). Greenwashing and ESG skepticism: Addressing unsubstantiated claims. </w:t>
      </w:r>
      <w:r w:rsidRPr="00633D54">
        <w:rPr>
          <w:rFonts w:ascii="Times New Roman" w:hAnsi="Times New Roman" w:cs="Times New Roman"/>
          <w:i/>
          <w:iCs/>
          <w:sz w:val="24"/>
          <w:szCs w:val="24"/>
        </w:rPr>
        <w:t>Journal of Business Ethics</w:t>
      </w:r>
      <w:r w:rsidRPr="00633D54">
        <w:rPr>
          <w:rFonts w:ascii="Times New Roman" w:hAnsi="Times New Roman" w:cs="Times New Roman"/>
          <w:sz w:val="24"/>
          <w:szCs w:val="24"/>
        </w:rPr>
        <w:t>, 30(1), 140–155.</w:t>
      </w:r>
    </w:p>
    <w:p w14:paraId="02AEB7EF"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Theron, R., Cant, M., &amp; Wiid, J. (2024). The influence of internal ESG communication on employee engagement. </w:t>
      </w:r>
      <w:r w:rsidRPr="00050087">
        <w:rPr>
          <w:rFonts w:ascii="Times New Roman" w:hAnsi="Times New Roman" w:cs="Times New Roman"/>
          <w:i/>
          <w:iCs/>
          <w:sz w:val="24"/>
          <w:szCs w:val="24"/>
        </w:rPr>
        <w:t>Journal of Business Communication</w:t>
      </w:r>
      <w:r w:rsidRPr="00050087">
        <w:rPr>
          <w:rFonts w:ascii="Times New Roman" w:hAnsi="Times New Roman" w:cs="Times New Roman"/>
          <w:sz w:val="24"/>
          <w:szCs w:val="24"/>
        </w:rPr>
        <w:t>, 41(1), 47–63.</w:t>
      </w:r>
    </w:p>
    <w:p w14:paraId="03D307D9"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Usman, A. (2024). Transparency in ESG reporting: Building stakeholder trust and mitigating greenwashing risks. </w:t>
      </w:r>
      <w:r w:rsidRPr="00050087">
        <w:rPr>
          <w:rFonts w:ascii="Times New Roman" w:hAnsi="Times New Roman" w:cs="Times New Roman"/>
          <w:i/>
          <w:iCs/>
          <w:sz w:val="24"/>
          <w:szCs w:val="24"/>
        </w:rPr>
        <w:t>Sustainability and Governance Journal</w:t>
      </w:r>
      <w:r w:rsidRPr="00050087">
        <w:rPr>
          <w:rFonts w:ascii="Times New Roman" w:hAnsi="Times New Roman" w:cs="Times New Roman"/>
          <w:sz w:val="24"/>
          <w:szCs w:val="24"/>
        </w:rPr>
        <w:t>, 18(2), 144–160.</w:t>
      </w:r>
    </w:p>
    <w:p w14:paraId="51E0AFE7"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Veloso, C. (2024). Emerging technologies in ESG reporting: AI, blockchain, and big data analytics transforming corporate sustainability. </w:t>
      </w:r>
      <w:r w:rsidRPr="00534087">
        <w:rPr>
          <w:rFonts w:ascii="Times New Roman" w:hAnsi="Times New Roman" w:cs="Times New Roman"/>
          <w:i/>
          <w:iCs/>
          <w:sz w:val="24"/>
          <w:szCs w:val="24"/>
        </w:rPr>
        <w:t>Journal of Corporate Sustainability</w:t>
      </w:r>
      <w:r w:rsidRPr="00534087">
        <w:rPr>
          <w:rFonts w:ascii="Times New Roman" w:hAnsi="Times New Roman" w:cs="Times New Roman"/>
          <w:sz w:val="24"/>
          <w:szCs w:val="24"/>
        </w:rPr>
        <w:t>, 24(2), 98–112.</w:t>
      </w:r>
    </w:p>
    <w:p w14:paraId="33C917DC"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Wang, Y., &amp; Phillips-Fein, L. (2023). Diversity, equity, and inclusion initiatives within corporate ESG frameworks. </w:t>
      </w:r>
      <w:r w:rsidRPr="00633D54">
        <w:rPr>
          <w:rFonts w:ascii="Times New Roman" w:hAnsi="Times New Roman" w:cs="Times New Roman"/>
          <w:i/>
          <w:iCs/>
          <w:sz w:val="24"/>
          <w:szCs w:val="24"/>
        </w:rPr>
        <w:t>Journal of Corporate Social Responsibility</w:t>
      </w:r>
      <w:r w:rsidRPr="00633D54">
        <w:rPr>
          <w:rFonts w:ascii="Times New Roman" w:hAnsi="Times New Roman" w:cs="Times New Roman"/>
          <w:sz w:val="24"/>
          <w:szCs w:val="24"/>
        </w:rPr>
        <w:t>, 17(4), 321–335.</w:t>
      </w:r>
    </w:p>
    <w:p w14:paraId="44A53381"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Whelan, P., Eckerle, K., &amp; Tomlinson, B. (2020). The importance of transparent ESG disclosures for investor confidence. </w:t>
      </w:r>
      <w:r w:rsidRPr="00633D54">
        <w:rPr>
          <w:rFonts w:ascii="Times New Roman" w:hAnsi="Times New Roman" w:cs="Times New Roman"/>
          <w:i/>
          <w:iCs/>
          <w:sz w:val="24"/>
          <w:szCs w:val="24"/>
        </w:rPr>
        <w:t>Journal of Financial Regulation and Compliance</w:t>
      </w:r>
      <w:r w:rsidRPr="00633D54">
        <w:rPr>
          <w:rFonts w:ascii="Times New Roman" w:hAnsi="Times New Roman" w:cs="Times New Roman"/>
          <w:sz w:val="24"/>
          <w:szCs w:val="24"/>
        </w:rPr>
        <w:t>, 28(3), 110–121.</w:t>
      </w:r>
    </w:p>
    <w:p w14:paraId="10B5BAE0"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Yunus, M., &amp; Nanda, S. (2024). The role of ethical expectations in ESG accountability. </w:t>
      </w:r>
      <w:r w:rsidRPr="00050087">
        <w:rPr>
          <w:rFonts w:ascii="Times New Roman" w:hAnsi="Times New Roman" w:cs="Times New Roman"/>
          <w:i/>
          <w:iCs/>
          <w:sz w:val="24"/>
          <w:szCs w:val="24"/>
        </w:rPr>
        <w:t>Business Ethics and Corporate Responsibility</w:t>
      </w:r>
      <w:r w:rsidRPr="00050087">
        <w:rPr>
          <w:rFonts w:ascii="Times New Roman" w:hAnsi="Times New Roman" w:cs="Times New Roman"/>
          <w:sz w:val="24"/>
          <w:szCs w:val="24"/>
        </w:rPr>
        <w:t>, 28(3), 209–224.</w:t>
      </w:r>
    </w:p>
    <w:p w14:paraId="26CEE324"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Zhang, X., Xu, J., &amp; Chen, L. (2024). Blockchain and big data in ESG transparency: Securing sustainability claims. </w:t>
      </w:r>
      <w:r w:rsidRPr="00534087">
        <w:rPr>
          <w:rFonts w:ascii="Times New Roman" w:hAnsi="Times New Roman" w:cs="Times New Roman"/>
          <w:i/>
          <w:iCs/>
          <w:sz w:val="24"/>
          <w:szCs w:val="24"/>
        </w:rPr>
        <w:t>Journal of Corporate Innovation</w:t>
      </w:r>
      <w:r w:rsidRPr="00534087">
        <w:rPr>
          <w:rFonts w:ascii="Times New Roman" w:hAnsi="Times New Roman" w:cs="Times New Roman"/>
          <w:sz w:val="24"/>
          <w:szCs w:val="24"/>
        </w:rPr>
        <w:t>, 17(3), 145–160.</w:t>
      </w:r>
    </w:p>
    <w:p w14:paraId="69ECA5A8"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Zhang, Z., Xu, J., &amp; Chen, L. (2024). Misinformation and reputational risks in ESG communication: The role of influencer partnerships. </w:t>
      </w:r>
      <w:r w:rsidRPr="00050087">
        <w:rPr>
          <w:rFonts w:ascii="Times New Roman" w:hAnsi="Times New Roman" w:cs="Times New Roman"/>
          <w:i/>
          <w:iCs/>
          <w:sz w:val="24"/>
          <w:szCs w:val="24"/>
        </w:rPr>
        <w:t>Journal of Corporate Communication</w:t>
      </w:r>
      <w:r w:rsidRPr="00050087">
        <w:rPr>
          <w:rFonts w:ascii="Times New Roman" w:hAnsi="Times New Roman" w:cs="Times New Roman"/>
          <w:sz w:val="24"/>
          <w:szCs w:val="24"/>
        </w:rPr>
        <w:t>, 21(3), 186–200.</w:t>
      </w:r>
    </w:p>
    <w:p w14:paraId="5ADDF890" w14:textId="77777777" w:rsidR="006D1B4D" w:rsidRPr="00A95946" w:rsidRDefault="006D1B4D" w:rsidP="00CA1E09">
      <w:pPr>
        <w:jc w:val="both"/>
        <w:rPr>
          <w:rFonts w:ascii="Times New Roman" w:hAnsi="Times New Roman" w:cs="Times New Roman"/>
          <w:sz w:val="24"/>
          <w:szCs w:val="24"/>
        </w:rPr>
      </w:pPr>
    </w:p>
    <w:sectPr w:rsidR="006D1B4D" w:rsidRPr="00A95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460B3"/>
    <w:multiLevelType w:val="hybridMultilevel"/>
    <w:tmpl w:val="F9106F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F1B68FE"/>
    <w:multiLevelType w:val="hybridMultilevel"/>
    <w:tmpl w:val="9FAAD930"/>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62D13B43"/>
    <w:multiLevelType w:val="hybridMultilevel"/>
    <w:tmpl w:val="B5D8D546"/>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64F40DD"/>
    <w:multiLevelType w:val="hybridMultilevel"/>
    <w:tmpl w:val="475C2C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52"/>
    <w:rsid w:val="00012122"/>
    <w:rsid w:val="000244C5"/>
    <w:rsid w:val="00052250"/>
    <w:rsid w:val="000F5F56"/>
    <w:rsid w:val="001108DF"/>
    <w:rsid w:val="00115D50"/>
    <w:rsid w:val="00127020"/>
    <w:rsid w:val="001439DE"/>
    <w:rsid w:val="00150793"/>
    <w:rsid w:val="00151592"/>
    <w:rsid w:val="00151B44"/>
    <w:rsid w:val="00214B5D"/>
    <w:rsid w:val="00240A5E"/>
    <w:rsid w:val="00252893"/>
    <w:rsid w:val="002B2CD6"/>
    <w:rsid w:val="002E46FD"/>
    <w:rsid w:val="00312EEE"/>
    <w:rsid w:val="003507D3"/>
    <w:rsid w:val="003549D1"/>
    <w:rsid w:val="00354B98"/>
    <w:rsid w:val="00371C48"/>
    <w:rsid w:val="0038183B"/>
    <w:rsid w:val="003916DA"/>
    <w:rsid w:val="003A4629"/>
    <w:rsid w:val="003C2442"/>
    <w:rsid w:val="003E1B6D"/>
    <w:rsid w:val="003F5B53"/>
    <w:rsid w:val="003F699C"/>
    <w:rsid w:val="00435F60"/>
    <w:rsid w:val="00443A47"/>
    <w:rsid w:val="004759EF"/>
    <w:rsid w:val="004C3457"/>
    <w:rsid w:val="004D2B58"/>
    <w:rsid w:val="0051184E"/>
    <w:rsid w:val="00534A4B"/>
    <w:rsid w:val="00564525"/>
    <w:rsid w:val="005B6752"/>
    <w:rsid w:val="005C168A"/>
    <w:rsid w:val="005D0ED7"/>
    <w:rsid w:val="00611094"/>
    <w:rsid w:val="006366F6"/>
    <w:rsid w:val="00653D14"/>
    <w:rsid w:val="00664D15"/>
    <w:rsid w:val="006764CD"/>
    <w:rsid w:val="006A780F"/>
    <w:rsid w:val="006B2B1C"/>
    <w:rsid w:val="006D1B4D"/>
    <w:rsid w:val="006D540A"/>
    <w:rsid w:val="006F2BDE"/>
    <w:rsid w:val="007349F6"/>
    <w:rsid w:val="0074417B"/>
    <w:rsid w:val="007661BD"/>
    <w:rsid w:val="00783403"/>
    <w:rsid w:val="0078566C"/>
    <w:rsid w:val="0079485A"/>
    <w:rsid w:val="00795462"/>
    <w:rsid w:val="00796A32"/>
    <w:rsid w:val="007A5DC8"/>
    <w:rsid w:val="007D02B6"/>
    <w:rsid w:val="007D7DF2"/>
    <w:rsid w:val="007F5BFA"/>
    <w:rsid w:val="008113A7"/>
    <w:rsid w:val="0087360C"/>
    <w:rsid w:val="0088492D"/>
    <w:rsid w:val="008D286D"/>
    <w:rsid w:val="008F0777"/>
    <w:rsid w:val="008F4952"/>
    <w:rsid w:val="00901508"/>
    <w:rsid w:val="009267ED"/>
    <w:rsid w:val="009958B0"/>
    <w:rsid w:val="009970CD"/>
    <w:rsid w:val="009A46C0"/>
    <w:rsid w:val="009B542A"/>
    <w:rsid w:val="009C30FF"/>
    <w:rsid w:val="009E79C1"/>
    <w:rsid w:val="00A02D83"/>
    <w:rsid w:val="00A44E4E"/>
    <w:rsid w:val="00A70F1A"/>
    <w:rsid w:val="00A76AA2"/>
    <w:rsid w:val="00A849D6"/>
    <w:rsid w:val="00A95946"/>
    <w:rsid w:val="00AA6AF8"/>
    <w:rsid w:val="00AB08CE"/>
    <w:rsid w:val="00AC5401"/>
    <w:rsid w:val="00AD12DA"/>
    <w:rsid w:val="00B234BF"/>
    <w:rsid w:val="00B54505"/>
    <w:rsid w:val="00BD4D2C"/>
    <w:rsid w:val="00BE1677"/>
    <w:rsid w:val="00C16719"/>
    <w:rsid w:val="00CA1E09"/>
    <w:rsid w:val="00CA5E61"/>
    <w:rsid w:val="00D03BAE"/>
    <w:rsid w:val="00D63990"/>
    <w:rsid w:val="00D80E2B"/>
    <w:rsid w:val="00D85B2E"/>
    <w:rsid w:val="00DA491D"/>
    <w:rsid w:val="00DE40A3"/>
    <w:rsid w:val="00DF4A9D"/>
    <w:rsid w:val="00E0592E"/>
    <w:rsid w:val="00E21A77"/>
    <w:rsid w:val="00E4268F"/>
    <w:rsid w:val="00E515A0"/>
    <w:rsid w:val="00E536E6"/>
    <w:rsid w:val="00E93FA3"/>
    <w:rsid w:val="00EC12B5"/>
    <w:rsid w:val="00EE0BCF"/>
    <w:rsid w:val="00FA2FFC"/>
    <w:rsid w:val="00FC67FD"/>
    <w:rsid w:val="00FE6B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952"/>
    <w:rPr>
      <w:rFonts w:eastAsiaTheme="majorEastAsia" w:cstheme="majorBidi"/>
      <w:color w:val="272727" w:themeColor="text1" w:themeTint="D8"/>
    </w:rPr>
  </w:style>
  <w:style w:type="paragraph" w:styleId="Title">
    <w:name w:val="Title"/>
    <w:basedOn w:val="Normal"/>
    <w:next w:val="Normal"/>
    <w:link w:val="TitleChar"/>
    <w:uiPriority w:val="10"/>
    <w:qFormat/>
    <w:rsid w:val="008F4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952"/>
    <w:pPr>
      <w:spacing w:before="160"/>
      <w:jc w:val="center"/>
    </w:pPr>
    <w:rPr>
      <w:i/>
      <w:iCs/>
      <w:color w:val="404040" w:themeColor="text1" w:themeTint="BF"/>
    </w:rPr>
  </w:style>
  <w:style w:type="character" w:customStyle="1" w:styleId="QuoteChar">
    <w:name w:val="Quote Char"/>
    <w:basedOn w:val="DefaultParagraphFont"/>
    <w:link w:val="Quote"/>
    <w:uiPriority w:val="29"/>
    <w:rsid w:val="008F4952"/>
    <w:rPr>
      <w:i/>
      <w:iCs/>
      <w:color w:val="404040" w:themeColor="text1" w:themeTint="BF"/>
    </w:rPr>
  </w:style>
  <w:style w:type="paragraph" w:styleId="ListParagraph">
    <w:name w:val="List Paragraph"/>
    <w:basedOn w:val="Normal"/>
    <w:uiPriority w:val="34"/>
    <w:qFormat/>
    <w:rsid w:val="008F4952"/>
    <w:pPr>
      <w:ind w:left="720"/>
      <w:contextualSpacing/>
    </w:pPr>
  </w:style>
  <w:style w:type="character" w:styleId="IntenseEmphasis">
    <w:name w:val="Intense Emphasis"/>
    <w:basedOn w:val="DefaultParagraphFont"/>
    <w:uiPriority w:val="21"/>
    <w:qFormat/>
    <w:rsid w:val="008F4952"/>
    <w:rPr>
      <w:i/>
      <w:iCs/>
      <w:color w:val="0F4761" w:themeColor="accent1" w:themeShade="BF"/>
    </w:rPr>
  </w:style>
  <w:style w:type="paragraph" w:styleId="IntenseQuote">
    <w:name w:val="Intense Quote"/>
    <w:basedOn w:val="Normal"/>
    <w:next w:val="Normal"/>
    <w:link w:val="IntenseQuoteChar"/>
    <w:uiPriority w:val="30"/>
    <w:qFormat/>
    <w:rsid w:val="008F4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952"/>
    <w:rPr>
      <w:i/>
      <w:iCs/>
      <w:color w:val="0F4761" w:themeColor="accent1" w:themeShade="BF"/>
    </w:rPr>
  </w:style>
  <w:style w:type="character" w:styleId="IntenseReference">
    <w:name w:val="Intense Reference"/>
    <w:basedOn w:val="DefaultParagraphFont"/>
    <w:uiPriority w:val="32"/>
    <w:qFormat/>
    <w:rsid w:val="008F4952"/>
    <w:rPr>
      <w:b/>
      <w:bCs/>
      <w:smallCaps/>
      <w:color w:val="0F4761" w:themeColor="accent1" w:themeShade="BF"/>
      <w:spacing w:val="5"/>
    </w:rPr>
  </w:style>
  <w:style w:type="paragraph" w:styleId="NormalWeb">
    <w:name w:val="Normal (Web)"/>
    <w:basedOn w:val="Normal"/>
    <w:uiPriority w:val="99"/>
    <w:semiHidden/>
    <w:unhideWhenUsed/>
    <w:rsid w:val="008F4952"/>
    <w:rPr>
      <w:rFonts w:ascii="Times New Roman" w:hAnsi="Times New Roman" w:cs="Times New Roman"/>
      <w:sz w:val="24"/>
      <w:szCs w:val="24"/>
    </w:rPr>
  </w:style>
  <w:style w:type="character" w:styleId="Hyperlink">
    <w:name w:val="Hyperlink"/>
    <w:basedOn w:val="DefaultParagraphFont"/>
    <w:uiPriority w:val="99"/>
    <w:unhideWhenUsed/>
    <w:rsid w:val="006D1B4D"/>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952"/>
    <w:rPr>
      <w:rFonts w:eastAsiaTheme="majorEastAsia" w:cstheme="majorBidi"/>
      <w:color w:val="272727" w:themeColor="text1" w:themeTint="D8"/>
    </w:rPr>
  </w:style>
  <w:style w:type="paragraph" w:styleId="Title">
    <w:name w:val="Title"/>
    <w:basedOn w:val="Normal"/>
    <w:next w:val="Normal"/>
    <w:link w:val="TitleChar"/>
    <w:uiPriority w:val="10"/>
    <w:qFormat/>
    <w:rsid w:val="008F4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952"/>
    <w:pPr>
      <w:spacing w:before="160"/>
      <w:jc w:val="center"/>
    </w:pPr>
    <w:rPr>
      <w:i/>
      <w:iCs/>
      <w:color w:val="404040" w:themeColor="text1" w:themeTint="BF"/>
    </w:rPr>
  </w:style>
  <w:style w:type="character" w:customStyle="1" w:styleId="QuoteChar">
    <w:name w:val="Quote Char"/>
    <w:basedOn w:val="DefaultParagraphFont"/>
    <w:link w:val="Quote"/>
    <w:uiPriority w:val="29"/>
    <w:rsid w:val="008F4952"/>
    <w:rPr>
      <w:i/>
      <w:iCs/>
      <w:color w:val="404040" w:themeColor="text1" w:themeTint="BF"/>
    </w:rPr>
  </w:style>
  <w:style w:type="paragraph" w:styleId="ListParagraph">
    <w:name w:val="List Paragraph"/>
    <w:basedOn w:val="Normal"/>
    <w:uiPriority w:val="34"/>
    <w:qFormat/>
    <w:rsid w:val="008F4952"/>
    <w:pPr>
      <w:ind w:left="720"/>
      <w:contextualSpacing/>
    </w:pPr>
  </w:style>
  <w:style w:type="character" w:styleId="IntenseEmphasis">
    <w:name w:val="Intense Emphasis"/>
    <w:basedOn w:val="DefaultParagraphFont"/>
    <w:uiPriority w:val="21"/>
    <w:qFormat/>
    <w:rsid w:val="008F4952"/>
    <w:rPr>
      <w:i/>
      <w:iCs/>
      <w:color w:val="0F4761" w:themeColor="accent1" w:themeShade="BF"/>
    </w:rPr>
  </w:style>
  <w:style w:type="paragraph" w:styleId="IntenseQuote">
    <w:name w:val="Intense Quote"/>
    <w:basedOn w:val="Normal"/>
    <w:next w:val="Normal"/>
    <w:link w:val="IntenseQuoteChar"/>
    <w:uiPriority w:val="30"/>
    <w:qFormat/>
    <w:rsid w:val="008F4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952"/>
    <w:rPr>
      <w:i/>
      <w:iCs/>
      <w:color w:val="0F4761" w:themeColor="accent1" w:themeShade="BF"/>
    </w:rPr>
  </w:style>
  <w:style w:type="character" w:styleId="IntenseReference">
    <w:name w:val="Intense Reference"/>
    <w:basedOn w:val="DefaultParagraphFont"/>
    <w:uiPriority w:val="32"/>
    <w:qFormat/>
    <w:rsid w:val="008F4952"/>
    <w:rPr>
      <w:b/>
      <w:bCs/>
      <w:smallCaps/>
      <w:color w:val="0F4761" w:themeColor="accent1" w:themeShade="BF"/>
      <w:spacing w:val="5"/>
    </w:rPr>
  </w:style>
  <w:style w:type="paragraph" w:styleId="NormalWeb">
    <w:name w:val="Normal (Web)"/>
    <w:basedOn w:val="Normal"/>
    <w:uiPriority w:val="99"/>
    <w:semiHidden/>
    <w:unhideWhenUsed/>
    <w:rsid w:val="008F4952"/>
    <w:rPr>
      <w:rFonts w:ascii="Times New Roman" w:hAnsi="Times New Roman" w:cs="Times New Roman"/>
      <w:sz w:val="24"/>
      <w:szCs w:val="24"/>
    </w:rPr>
  </w:style>
  <w:style w:type="character" w:styleId="Hyperlink">
    <w:name w:val="Hyperlink"/>
    <w:basedOn w:val="DefaultParagraphFont"/>
    <w:uiPriority w:val="99"/>
    <w:unhideWhenUsed/>
    <w:rsid w:val="006D1B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92363">
      <w:bodyDiv w:val="1"/>
      <w:marLeft w:val="0"/>
      <w:marRight w:val="0"/>
      <w:marTop w:val="0"/>
      <w:marBottom w:val="0"/>
      <w:divBdr>
        <w:top w:val="none" w:sz="0" w:space="0" w:color="auto"/>
        <w:left w:val="none" w:sz="0" w:space="0" w:color="auto"/>
        <w:bottom w:val="none" w:sz="0" w:space="0" w:color="auto"/>
        <w:right w:val="none" w:sz="0" w:space="0" w:color="auto"/>
      </w:divBdr>
    </w:div>
    <w:div w:id="878006053">
      <w:bodyDiv w:val="1"/>
      <w:marLeft w:val="0"/>
      <w:marRight w:val="0"/>
      <w:marTop w:val="0"/>
      <w:marBottom w:val="0"/>
      <w:divBdr>
        <w:top w:val="none" w:sz="0" w:space="0" w:color="auto"/>
        <w:left w:val="none" w:sz="0" w:space="0" w:color="auto"/>
        <w:bottom w:val="none" w:sz="0" w:space="0" w:color="auto"/>
        <w:right w:val="none" w:sz="0" w:space="0" w:color="auto"/>
      </w:divBdr>
    </w:div>
    <w:div w:id="929696360">
      <w:bodyDiv w:val="1"/>
      <w:marLeft w:val="0"/>
      <w:marRight w:val="0"/>
      <w:marTop w:val="0"/>
      <w:marBottom w:val="0"/>
      <w:divBdr>
        <w:top w:val="none" w:sz="0" w:space="0" w:color="auto"/>
        <w:left w:val="none" w:sz="0" w:space="0" w:color="auto"/>
        <w:bottom w:val="none" w:sz="0" w:space="0" w:color="auto"/>
        <w:right w:val="none" w:sz="0" w:space="0" w:color="auto"/>
      </w:divBdr>
    </w:div>
    <w:div w:id="1486164089">
      <w:bodyDiv w:val="1"/>
      <w:marLeft w:val="0"/>
      <w:marRight w:val="0"/>
      <w:marTop w:val="0"/>
      <w:marBottom w:val="0"/>
      <w:divBdr>
        <w:top w:val="none" w:sz="0" w:space="0" w:color="auto"/>
        <w:left w:val="none" w:sz="0" w:space="0" w:color="auto"/>
        <w:bottom w:val="none" w:sz="0" w:space="0" w:color="auto"/>
        <w:right w:val="none" w:sz="0" w:space="0" w:color="auto"/>
      </w:divBdr>
    </w:div>
    <w:div w:id="1564104358">
      <w:bodyDiv w:val="1"/>
      <w:marLeft w:val="0"/>
      <w:marRight w:val="0"/>
      <w:marTop w:val="0"/>
      <w:marBottom w:val="0"/>
      <w:divBdr>
        <w:top w:val="none" w:sz="0" w:space="0" w:color="auto"/>
        <w:left w:val="none" w:sz="0" w:space="0" w:color="auto"/>
        <w:bottom w:val="none" w:sz="0" w:space="0" w:color="auto"/>
        <w:right w:val="none" w:sz="0" w:space="0" w:color="auto"/>
      </w:divBdr>
    </w:div>
    <w:div w:id="19099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ckinsey.com/capabilities/sustainability/our-insights/does-esg-really-matter-and-why"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irisbusiness.com/top-esg-trends-to-watch-in-2025-to-the-future-of-sustainability-and-corporate-responsibi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reenmyna.com/top-challenges-in-esg-reporting-and-how-to-overcome-them-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pulse/rise-esg-metrics-understanding-impact-corporate-performance-bruhati-idnle" TargetMode="External"/><Relationship Id="rId4" Type="http://schemas.openxmlformats.org/officeDocument/2006/relationships/settings" Target="settings.xml"/><Relationship Id="rId9" Type="http://schemas.openxmlformats.org/officeDocument/2006/relationships/hyperlink" Target="https://bedfordconsulting.com/the-5-main-challenges-of-esg-reporting-and-best-practice/" TargetMode="External"/><Relationship Id="rId14" Type="http://schemas.openxmlformats.org/officeDocument/2006/relationships/hyperlink" Target="https://www.linkedin.com/pulse/future-sustainability-key-esg-trends-predictions-2025-shakeri-dba-rlc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0EC61B-E584-4AB5-A736-7A1DEC6AF359}">
  <we:reference id="wa200005107" version="1.1.0.0" store="en-US" storeType="OMEX"/>
  <we:alternateReferences>
    <we:reference id="WA200005107"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87</TotalTime>
  <Pages>17</Pages>
  <Words>8475</Words>
  <Characters>48309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Any1</dc:creator>
  <cp:keywords/>
  <dc:description/>
  <cp:lastModifiedBy>qwert</cp:lastModifiedBy>
  <cp:revision>95</cp:revision>
  <dcterms:created xsi:type="dcterms:W3CDTF">2025-03-09T18:36:00Z</dcterms:created>
  <dcterms:modified xsi:type="dcterms:W3CDTF">2026-03-31T12:53:00Z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2025-03-09T10:48:27Z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6f156ad8-c2da-4d61-bec1-fb0fb29c6544</vt:lpwstr>
  </property>
  <property fmtid="{D5CDD505-2E9C-101B-9397-08002B2CF9AE}" pid="7" name="MSIP_Label_defa4170-0d19-0005-0004-bc88714345d2_ActionId">
    <vt:lpwstr>9265f465-b8f6-4961-a457-efa3888dc06c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