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9E22" w14:textId="5E90F384" w:rsidR="00FB7E78" w:rsidRPr="00C03231" w:rsidRDefault="00000000" w:rsidP="00C03231">
      <w:pPr>
        <w:jc w:val="center"/>
        <w:rPr>
          <w:rFonts w:cs="Times New Roman"/>
          <w:bCs/>
          <w:color w:val="000000" w:themeColor="text1"/>
        </w:rPr>
      </w:pPr>
      <w:r w:rsidRPr="00C03231">
        <w:rPr>
          <w:rFonts w:cs="Times New Roman"/>
          <w:bCs/>
          <w:color w:val="000000" w:themeColor="text1"/>
          <w:sz w:val="36"/>
        </w:rPr>
        <w:t xml:space="preserve">Energy-Efficient Deep Learning Models for Edge AI: </w:t>
      </w:r>
      <w:r w:rsidR="001E5B22">
        <w:rPr>
          <w:rFonts w:cs="Times New Roman"/>
          <w:bCs/>
          <w:color w:val="000000" w:themeColor="text1"/>
          <w:sz w:val="36"/>
        </w:rPr>
        <w:t xml:space="preserve">       </w:t>
      </w:r>
      <w:r w:rsidRPr="00C03231">
        <w:rPr>
          <w:rFonts w:cs="Times New Roman"/>
          <w:bCs/>
          <w:color w:val="000000" w:themeColor="text1"/>
          <w:sz w:val="36"/>
        </w:rPr>
        <w:t>A Comprehensive Review</w:t>
      </w:r>
    </w:p>
    <w:p w14:paraId="5EAB3DA2" w14:textId="77777777" w:rsidR="001E5B22" w:rsidRDefault="001E5B22" w:rsidP="00C03231">
      <w:pPr>
        <w:pStyle w:val="Heading1"/>
        <w:jc w:val="both"/>
        <w:rPr>
          <w:rFonts w:ascii="Times New Roman" w:hAnsi="Times New Roman" w:cs="Times New Roman"/>
          <w:b w:val="0"/>
          <w:color w:val="000000" w:themeColor="text1"/>
        </w:rPr>
        <w:sectPr w:rsidR="001E5B22">
          <w:pgSz w:w="12240" w:h="15840"/>
          <w:pgMar w:top="1440" w:right="1800" w:bottom="1440" w:left="1800" w:header="720" w:footer="720" w:gutter="0"/>
          <w:cols w:space="720"/>
          <w:docGrid w:linePitch="360"/>
        </w:sectPr>
      </w:pPr>
    </w:p>
    <w:p w14:paraId="4C7C2843" w14:textId="60468CB7" w:rsidR="00FB7E78" w:rsidRPr="001E5B22" w:rsidRDefault="00000000" w:rsidP="001E5B22">
      <w:pPr>
        <w:pStyle w:val="Heading1"/>
        <w:jc w:val="both"/>
        <w:rPr>
          <w:rFonts w:ascii="Times New Roman" w:hAnsi="Times New Roman" w:cs="Times New Roman"/>
          <w:bCs w:val="0"/>
          <w:i/>
          <w:iCs/>
          <w:color w:val="000000" w:themeColor="text1"/>
          <w:sz w:val="18"/>
          <w:szCs w:val="18"/>
        </w:rPr>
      </w:pPr>
      <w:r w:rsidRPr="001E5B22">
        <w:rPr>
          <w:rFonts w:ascii="Times New Roman" w:hAnsi="Times New Roman" w:cs="Times New Roman"/>
          <w:bCs w:val="0"/>
          <w:i/>
          <w:iCs/>
          <w:color w:val="000000" w:themeColor="text1"/>
          <w:sz w:val="18"/>
          <w:szCs w:val="18"/>
        </w:rPr>
        <w:t>Abstract</w:t>
      </w:r>
      <w:r w:rsidR="001E5B22">
        <w:rPr>
          <w:rFonts w:ascii="Times New Roman" w:hAnsi="Times New Roman" w:cs="Times New Roman"/>
          <w:bCs w:val="0"/>
          <w:i/>
          <w:iCs/>
          <w:color w:val="000000" w:themeColor="text1"/>
          <w:sz w:val="18"/>
          <w:szCs w:val="18"/>
        </w:rPr>
        <w:t xml:space="preserve"> -</w:t>
      </w:r>
      <w:r w:rsidR="001E5B22" w:rsidRPr="001E5B22">
        <w:rPr>
          <w:rFonts w:ascii="Times New Roman" w:hAnsi="Times New Roman" w:cs="Times New Roman"/>
          <w:bCs w:val="0"/>
          <w:i/>
          <w:iCs/>
          <w:color w:val="000000" w:themeColor="text1"/>
          <w:sz w:val="18"/>
          <w:szCs w:val="18"/>
        </w:rPr>
        <w:t xml:space="preserve"> </w:t>
      </w:r>
      <w:r w:rsidRPr="001E5B22">
        <w:rPr>
          <w:rFonts w:ascii="Times New Roman" w:hAnsi="Times New Roman" w:cs="Times New Roman"/>
          <w:bCs w:val="0"/>
          <w:i/>
          <w:iCs/>
          <w:color w:val="000000" w:themeColor="text1"/>
          <w:sz w:val="18"/>
          <w:szCs w:val="18"/>
        </w:rPr>
        <w:t>This review presents a comprehensive analysis of energy-efficient deep learning techniques for Edge Artificial Intelligence (Edge AI). The rapid expansion of IoT devices requires intelligent processing directly on resource-constrained hardware. This paper surveys compression techniques including pruning, quantization, knowledge distillation, neural architecture search (NAS), and federated learning integration. Comparative analysis highlights trade-offs between accuracy, latency, and energy consumption. Key research gaps and future directions toward sustainable Edge AI systems are discussed.</w:t>
      </w:r>
    </w:p>
    <w:p w14:paraId="788A7505" w14:textId="48F0EC77" w:rsidR="001E5B22" w:rsidRPr="001E5B22" w:rsidRDefault="00000000" w:rsidP="001E5B22">
      <w:pPr>
        <w:pStyle w:val="Heading1"/>
        <w:jc w:val="both"/>
        <w:rPr>
          <w:rFonts w:ascii="Times New Roman" w:hAnsi="Times New Roman" w:cs="Times New Roman"/>
          <w:bCs w:val="0"/>
          <w:i/>
          <w:iCs/>
          <w:color w:val="000000" w:themeColor="text1"/>
          <w:sz w:val="18"/>
          <w:szCs w:val="18"/>
        </w:rPr>
      </w:pPr>
      <w:r w:rsidRPr="001E5B22">
        <w:rPr>
          <w:rFonts w:ascii="Times New Roman" w:hAnsi="Times New Roman" w:cs="Times New Roman"/>
          <w:bCs w:val="0"/>
          <w:i/>
          <w:iCs/>
          <w:color w:val="000000" w:themeColor="text1"/>
          <w:sz w:val="18"/>
          <w:szCs w:val="18"/>
        </w:rPr>
        <w:t>Keywords</w:t>
      </w:r>
      <w:r w:rsidR="001E5B22" w:rsidRPr="001E5B22">
        <w:rPr>
          <w:rFonts w:ascii="Times New Roman" w:hAnsi="Times New Roman" w:cs="Times New Roman"/>
          <w:bCs w:val="0"/>
          <w:i/>
          <w:iCs/>
          <w:color w:val="000000" w:themeColor="text1"/>
          <w:sz w:val="18"/>
          <w:szCs w:val="18"/>
        </w:rPr>
        <w:t xml:space="preserve"> - </w:t>
      </w:r>
      <w:r w:rsidRPr="001E5B22">
        <w:rPr>
          <w:rFonts w:ascii="Times New Roman" w:hAnsi="Times New Roman" w:cs="Times New Roman"/>
          <w:bCs w:val="0"/>
          <w:i/>
          <w:iCs/>
          <w:color w:val="000000" w:themeColor="text1"/>
          <w:sz w:val="18"/>
          <w:szCs w:val="18"/>
        </w:rPr>
        <w:t>Edge AI, Energy Efficiency, Model Compression, Quantization, TinyML, Federated Learning, Neural Architecture Sear</w:t>
      </w:r>
      <w:r w:rsidR="001E5B22" w:rsidRPr="001E5B22">
        <w:rPr>
          <w:rFonts w:cs="Times New Roman"/>
          <w:bCs w:val="0"/>
          <w:i/>
          <w:iCs/>
          <w:color w:val="000000" w:themeColor="text1"/>
          <w:sz w:val="18"/>
          <w:szCs w:val="18"/>
        </w:rPr>
        <w:t>ch.</w:t>
      </w:r>
    </w:p>
    <w:p w14:paraId="20897B3D" w14:textId="77777777" w:rsidR="001E5B22" w:rsidRDefault="001E5B22" w:rsidP="00C03231">
      <w:pPr>
        <w:jc w:val="both"/>
        <w:rPr>
          <w:rFonts w:cs="Times New Roman"/>
          <w:bCs/>
          <w:color w:val="000000" w:themeColor="text1"/>
        </w:rPr>
      </w:pPr>
    </w:p>
    <w:p w14:paraId="5549A176"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1. INTRODUCTION</w:t>
      </w:r>
    </w:p>
    <w:p w14:paraId="04C3FE9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Edge AI enables real-time processing directly on embedded and IoT devices, reducing dependency on cloud infrastructure. However, deep neural networks are computationally expensive and energy-intensive. Balancing model accuracy with limited computational resources is a major research challenge. This review systematically analyzes recent contributions addressing energy efficiency in edge-deployed deep learning models. The primary contributions include structured categorization of optimization techniques, comparative evaluation, and identification of research gaps.</w:t>
      </w:r>
    </w:p>
    <w:p w14:paraId="6E0AAEB6"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2. BACKGROUND AND FUNDAMENTALS</w:t>
      </w:r>
    </w:p>
    <w:p w14:paraId="2ADD5D60"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Edge computing shifts computation closer to data sources, reducing latency and bandwidth consumption. Energy efficiency is critical due to battery-powered devices and thermal limitations. Pruning removes redundant weights, quantization reduces numerical precision, and knowledge distillation transfers knowledge from </w:t>
      </w:r>
      <w:r w:rsidRPr="00C03231">
        <w:rPr>
          <w:rFonts w:cs="Times New Roman"/>
          <w:bCs/>
          <w:color w:val="000000" w:themeColor="text1"/>
        </w:rPr>
        <w:t>large teacher models to compact student models. NAS automatically searches lightweight architectures optimized for hardware constraints.</w:t>
      </w:r>
    </w:p>
    <w:p w14:paraId="0953FD07"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3. REVIEW METHODOLOGY</w:t>
      </w:r>
    </w:p>
    <w:p w14:paraId="761E9E27"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This review considered peer-reviewed publications from 2017–2026 indexed in IEEE Xplore, Springer, ScienceDirect, and MDPI. Keywords included 'Edge AI', 'Energy Efficient Deep Learning', 'Quantization', and '</w:t>
      </w:r>
      <w:proofErr w:type="spellStart"/>
      <w:r w:rsidRPr="00C03231">
        <w:rPr>
          <w:rFonts w:cs="Times New Roman"/>
          <w:bCs/>
          <w:color w:val="000000" w:themeColor="text1"/>
        </w:rPr>
        <w:t>TinyML</w:t>
      </w:r>
      <w:proofErr w:type="spellEnd"/>
      <w:r w:rsidRPr="00C03231">
        <w:rPr>
          <w:rFonts w:cs="Times New Roman"/>
          <w:bCs/>
          <w:color w:val="000000" w:themeColor="text1"/>
        </w:rPr>
        <w:t>'. Inclusion criteria focused on energy optimization for on-device inference. Ten representative high-impact studies were selected for structured comparative analysis.</w:t>
      </w:r>
    </w:p>
    <w:p w14:paraId="0FA6293E"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4. LITERATURE REVIEW AND COMPARATIVE ANALYSIS</w:t>
      </w:r>
    </w:p>
    <w:p w14:paraId="7488F8BA" w14:textId="5DAC73E9" w:rsidR="001E5B22" w:rsidRDefault="001E5B22" w:rsidP="001E5B22">
      <w:pPr>
        <w:jc w:val="both"/>
        <w:rPr>
          <w:rFonts w:cs="Times New Roman"/>
          <w:bCs/>
          <w:color w:val="000000" w:themeColor="text1"/>
        </w:rPr>
      </w:pPr>
      <w:r w:rsidRPr="00C03231">
        <w:rPr>
          <w:rFonts w:cs="Times New Roman"/>
          <w:bCs/>
          <w:color w:val="000000" w:themeColor="text1"/>
        </w:rPr>
        <w:t>Quantization-based methods significantly reduce computational cost by lowering numerical precision. Pruning techniques decrease model size while maintaining acceptable accuracy. Federated learning reduces communication energy costs by enabling distributed training. Survey papers emphasize the absence of standardized benchmarking across heterogeneous hardware platforms.</w:t>
      </w:r>
    </w:p>
    <w:p w14:paraId="3BE793F3" w14:textId="3E23B71B" w:rsidR="001E5B22" w:rsidRDefault="001E5B22" w:rsidP="001E5B22">
      <w:pPr>
        <w:jc w:val="both"/>
        <w:rPr>
          <w:rFonts w:cs="Times New Roman"/>
          <w:bCs/>
          <w:color w:val="000000" w:themeColor="text1"/>
        </w:rPr>
      </w:pPr>
    </w:p>
    <w:p w14:paraId="7B345AE0" w14:textId="1C958F1A" w:rsidR="001E5B22" w:rsidRDefault="001E5B22" w:rsidP="001E5B22">
      <w:pPr>
        <w:jc w:val="both"/>
        <w:rPr>
          <w:rFonts w:cs="Times New Roman"/>
          <w:bCs/>
          <w:color w:val="000000" w:themeColor="text1"/>
        </w:rPr>
      </w:pPr>
    </w:p>
    <w:p w14:paraId="309FA2B3" w14:textId="77777777" w:rsidR="001E5B22" w:rsidRDefault="001E5B22" w:rsidP="001E5B22">
      <w:pPr>
        <w:jc w:val="both"/>
        <w:rPr>
          <w:rFonts w:cs="Times New Roman"/>
          <w:bCs/>
          <w:color w:val="000000" w:themeColor="text1"/>
        </w:rPr>
      </w:pPr>
    </w:p>
    <w:p w14:paraId="6BFB23B4" w14:textId="77777777" w:rsidR="001E5B22" w:rsidRPr="00C03231" w:rsidRDefault="001E5B22" w:rsidP="001E5B22">
      <w:pPr>
        <w:jc w:val="both"/>
        <w:rPr>
          <w:rFonts w:cs="Times New Roman"/>
          <w:bCs/>
          <w:color w:val="000000" w:themeColor="text1"/>
        </w:rPr>
      </w:pPr>
    </w:p>
    <w:p w14:paraId="45BAE32B" w14:textId="77777777" w:rsidR="001E5B22" w:rsidRPr="001E5B22" w:rsidRDefault="001E5B22" w:rsidP="001E5B22">
      <w:pPr>
        <w:pStyle w:val="Heading2"/>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TABLE I: Comparative Analysis of Energy-Efficient Edge AI Models</w:t>
      </w:r>
    </w:p>
    <w:tbl>
      <w:tblPr>
        <w:tblStyle w:val="TableGrid"/>
        <w:tblW w:w="0" w:type="auto"/>
        <w:tblLook w:val="04A0" w:firstRow="1" w:lastRow="0" w:firstColumn="1" w:lastColumn="0" w:noHBand="0" w:noVBand="1"/>
      </w:tblPr>
      <w:tblGrid>
        <w:gridCol w:w="359"/>
        <w:gridCol w:w="123"/>
        <w:gridCol w:w="866"/>
        <w:gridCol w:w="882"/>
        <w:gridCol w:w="1008"/>
        <w:gridCol w:w="938"/>
      </w:tblGrid>
      <w:tr w:rsidR="001E5B22" w:rsidRPr="00C03231" w14:paraId="2EF9B01B" w14:textId="77777777" w:rsidTr="00DA2DF2">
        <w:tc>
          <w:tcPr>
            <w:tcW w:w="359" w:type="dxa"/>
          </w:tcPr>
          <w:p w14:paraId="2DA9BC2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Sr.</w:t>
            </w:r>
          </w:p>
        </w:tc>
        <w:tc>
          <w:tcPr>
            <w:tcW w:w="989" w:type="dxa"/>
            <w:gridSpan w:val="2"/>
          </w:tcPr>
          <w:p w14:paraId="63A4856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Title</w:t>
            </w:r>
          </w:p>
        </w:tc>
        <w:tc>
          <w:tcPr>
            <w:tcW w:w="882" w:type="dxa"/>
          </w:tcPr>
          <w:p w14:paraId="399E9AB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Technique</w:t>
            </w:r>
          </w:p>
        </w:tc>
        <w:tc>
          <w:tcPr>
            <w:tcW w:w="1008" w:type="dxa"/>
          </w:tcPr>
          <w:p w14:paraId="14A1E6E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Benefit</w:t>
            </w:r>
          </w:p>
        </w:tc>
        <w:tc>
          <w:tcPr>
            <w:tcW w:w="938" w:type="dxa"/>
          </w:tcPr>
          <w:p w14:paraId="2222E00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Limitation</w:t>
            </w:r>
          </w:p>
        </w:tc>
      </w:tr>
      <w:tr w:rsidR="001E5B22" w:rsidRPr="00C03231" w14:paraId="45EA0BCC" w14:textId="77777777" w:rsidTr="00DA2DF2">
        <w:tc>
          <w:tcPr>
            <w:tcW w:w="359" w:type="dxa"/>
          </w:tcPr>
          <w:p w14:paraId="3BE5D8C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1</w:t>
            </w:r>
          </w:p>
        </w:tc>
        <w:tc>
          <w:tcPr>
            <w:tcW w:w="989" w:type="dxa"/>
            <w:gridSpan w:val="2"/>
          </w:tcPr>
          <w:p w14:paraId="7BBACD8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 xml:space="preserve">Quantization-Optimized Transformers </w:t>
            </w:r>
            <w:r w:rsidRPr="00C03231">
              <w:rPr>
                <w:rFonts w:cs="Times New Roman"/>
                <w:bCs/>
                <w:color w:val="000000" w:themeColor="text1"/>
              </w:rPr>
              <w:lastRenderedPageBreak/>
              <w:t>(2026)</w:t>
            </w:r>
          </w:p>
        </w:tc>
        <w:tc>
          <w:tcPr>
            <w:tcW w:w="882" w:type="dxa"/>
          </w:tcPr>
          <w:p w14:paraId="486C399E"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lastRenderedPageBreak/>
              <w:t>Quantization + Distillation</w:t>
            </w:r>
          </w:p>
        </w:tc>
        <w:tc>
          <w:tcPr>
            <w:tcW w:w="1008" w:type="dxa"/>
          </w:tcPr>
          <w:p w14:paraId="7AEB406E"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Lower compute cost</w:t>
            </w:r>
          </w:p>
        </w:tc>
        <w:tc>
          <w:tcPr>
            <w:tcW w:w="938" w:type="dxa"/>
          </w:tcPr>
          <w:p w14:paraId="2E13BA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Domain-specific testing</w:t>
            </w:r>
          </w:p>
        </w:tc>
      </w:tr>
      <w:tr w:rsidR="001E5B22" w:rsidRPr="00C03231" w14:paraId="557FE3C6" w14:textId="77777777" w:rsidTr="00DA2DF2">
        <w:tc>
          <w:tcPr>
            <w:tcW w:w="359" w:type="dxa"/>
          </w:tcPr>
          <w:p w14:paraId="3ED35BE3"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2</w:t>
            </w:r>
          </w:p>
        </w:tc>
        <w:tc>
          <w:tcPr>
            <w:tcW w:w="989" w:type="dxa"/>
            <w:gridSpan w:val="2"/>
          </w:tcPr>
          <w:p w14:paraId="4D78F7F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Energy-Aware Generative AI (2025)</w:t>
            </w:r>
          </w:p>
        </w:tc>
        <w:tc>
          <w:tcPr>
            <w:tcW w:w="882" w:type="dxa"/>
          </w:tcPr>
          <w:p w14:paraId="34CCC8A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Adaptive Scheduling</w:t>
            </w:r>
          </w:p>
        </w:tc>
        <w:tc>
          <w:tcPr>
            <w:tcW w:w="1008" w:type="dxa"/>
          </w:tcPr>
          <w:p w14:paraId="2F3A31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Energy-aware inference</w:t>
            </w:r>
          </w:p>
        </w:tc>
        <w:tc>
          <w:tcPr>
            <w:tcW w:w="938" w:type="dxa"/>
          </w:tcPr>
          <w:p w14:paraId="668D4AE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Hardware dependency</w:t>
            </w:r>
          </w:p>
        </w:tc>
      </w:tr>
      <w:tr w:rsidR="001E5B22" w:rsidRPr="00C03231" w14:paraId="534908B3" w14:textId="77777777" w:rsidTr="00DA2DF2">
        <w:tc>
          <w:tcPr>
            <w:tcW w:w="359" w:type="dxa"/>
          </w:tcPr>
          <w:p w14:paraId="26520AE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3</w:t>
            </w:r>
          </w:p>
        </w:tc>
        <w:tc>
          <w:tcPr>
            <w:tcW w:w="989" w:type="dxa"/>
            <w:gridSpan w:val="2"/>
          </w:tcPr>
          <w:p w14:paraId="347A2AC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Lightweight DL Survey (2025)</w:t>
            </w:r>
          </w:p>
        </w:tc>
        <w:tc>
          <w:tcPr>
            <w:tcW w:w="882" w:type="dxa"/>
          </w:tcPr>
          <w:p w14:paraId="4DC8A1E2"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Survey</w:t>
            </w:r>
          </w:p>
        </w:tc>
        <w:tc>
          <w:tcPr>
            <w:tcW w:w="1008" w:type="dxa"/>
          </w:tcPr>
          <w:p w14:paraId="24F749C6"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Comprehensive taxonomy</w:t>
            </w:r>
          </w:p>
        </w:tc>
        <w:tc>
          <w:tcPr>
            <w:tcW w:w="938" w:type="dxa"/>
          </w:tcPr>
          <w:p w14:paraId="3DD5EF4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experimental benchmarking</w:t>
            </w:r>
          </w:p>
        </w:tc>
      </w:tr>
      <w:tr w:rsidR="001E5B22" w:rsidRPr="00C03231" w14:paraId="4DDBD3A8" w14:textId="77777777" w:rsidTr="00DA2DF2">
        <w:tc>
          <w:tcPr>
            <w:tcW w:w="359" w:type="dxa"/>
          </w:tcPr>
          <w:p w14:paraId="33DFA4AD"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4</w:t>
            </w:r>
          </w:p>
        </w:tc>
        <w:tc>
          <w:tcPr>
            <w:tcW w:w="989" w:type="dxa"/>
            <w:gridSpan w:val="2"/>
          </w:tcPr>
          <w:p w14:paraId="25BD5F0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Green Edge AI (2025)</w:t>
            </w:r>
          </w:p>
        </w:tc>
        <w:tc>
          <w:tcPr>
            <w:tcW w:w="882" w:type="dxa"/>
          </w:tcPr>
          <w:p w14:paraId="6CF39C1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Pruning + NAS</w:t>
            </w:r>
          </w:p>
        </w:tc>
        <w:tc>
          <w:tcPr>
            <w:tcW w:w="1008" w:type="dxa"/>
          </w:tcPr>
          <w:p w14:paraId="58B8AEB8"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Reduced power usage</w:t>
            </w:r>
          </w:p>
        </w:tc>
        <w:tc>
          <w:tcPr>
            <w:tcW w:w="938" w:type="dxa"/>
          </w:tcPr>
          <w:p w14:paraId="4013ACE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Limited real-world deployment</w:t>
            </w:r>
          </w:p>
        </w:tc>
      </w:tr>
      <w:tr w:rsidR="001E5B22" w:rsidRPr="00C03231" w14:paraId="57DDAE10" w14:textId="77777777" w:rsidTr="00DA2DF2">
        <w:tc>
          <w:tcPr>
            <w:tcW w:w="359" w:type="dxa"/>
          </w:tcPr>
          <w:p w14:paraId="0553BC6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5</w:t>
            </w:r>
          </w:p>
        </w:tc>
        <w:tc>
          <w:tcPr>
            <w:tcW w:w="989" w:type="dxa"/>
            <w:gridSpan w:val="2"/>
          </w:tcPr>
          <w:p w14:paraId="786FBC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Efficient DL for Edge (2025)</w:t>
            </w:r>
          </w:p>
        </w:tc>
        <w:tc>
          <w:tcPr>
            <w:tcW w:w="882" w:type="dxa"/>
          </w:tcPr>
          <w:p w14:paraId="71A2F2C0" w14:textId="77777777" w:rsidR="001E5B22" w:rsidRPr="00C03231" w:rsidRDefault="001E5B22" w:rsidP="005347ED">
            <w:pPr>
              <w:jc w:val="both"/>
              <w:rPr>
                <w:rFonts w:cs="Times New Roman"/>
                <w:bCs/>
                <w:color w:val="000000" w:themeColor="text1"/>
              </w:rPr>
            </w:pPr>
            <w:proofErr w:type="spellStart"/>
            <w:r w:rsidRPr="00C03231">
              <w:rPr>
                <w:rFonts w:cs="Times New Roman"/>
                <w:bCs/>
                <w:color w:val="000000" w:themeColor="text1"/>
              </w:rPr>
              <w:t>TinyML</w:t>
            </w:r>
            <w:proofErr w:type="spellEnd"/>
            <w:r w:rsidRPr="00C03231">
              <w:rPr>
                <w:rFonts w:cs="Times New Roman"/>
                <w:bCs/>
                <w:color w:val="000000" w:themeColor="text1"/>
              </w:rPr>
              <w:t xml:space="preserve"> + Compression</w:t>
            </w:r>
          </w:p>
        </w:tc>
        <w:tc>
          <w:tcPr>
            <w:tcW w:w="1008" w:type="dxa"/>
          </w:tcPr>
          <w:p w14:paraId="1347A05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 memory footprint</w:t>
            </w:r>
          </w:p>
        </w:tc>
        <w:tc>
          <w:tcPr>
            <w:tcW w:w="938" w:type="dxa"/>
          </w:tcPr>
          <w:p w14:paraId="3DE0104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unified framework</w:t>
            </w:r>
          </w:p>
        </w:tc>
      </w:tr>
      <w:tr w:rsidR="001E5B22" w:rsidRPr="00C03231" w14:paraId="41FF43ED" w14:textId="77777777" w:rsidTr="00DA2DF2">
        <w:tc>
          <w:tcPr>
            <w:tcW w:w="359" w:type="dxa"/>
          </w:tcPr>
          <w:p w14:paraId="6E6B8B1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6</w:t>
            </w:r>
          </w:p>
        </w:tc>
        <w:tc>
          <w:tcPr>
            <w:tcW w:w="989" w:type="dxa"/>
            <w:gridSpan w:val="2"/>
          </w:tcPr>
          <w:p w14:paraId="2EC3745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Power Efficient IoT Deployment (2023)</w:t>
            </w:r>
          </w:p>
        </w:tc>
        <w:tc>
          <w:tcPr>
            <w:tcW w:w="882" w:type="dxa"/>
          </w:tcPr>
          <w:p w14:paraId="1B5384B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Model Optimization</w:t>
            </w:r>
          </w:p>
        </w:tc>
        <w:tc>
          <w:tcPr>
            <w:tcW w:w="1008" w:type="dxa"/>
          </w:tcPr>
          <w:p w14:paraId="6E1799D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Practical deployment</w:t>
            </w:r>
          </w:p>
        </w:tc>
        <w:tc>
          <w:tcPr>
            <w:tcW w:w="938" w:type="dxa"/>
          </w:tcPr>
          <w:p w14:paraId="1A762893"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Scalability limits</w:t>
            </w:r>
          </w:p>
        </w:tc>
      </w:tr>
      <w:tr w:rsidR="001E5B22" w:rsidRPr="00C03231" w14:paraId="3BB19CA0" w14:textId="77777777" w:rsidTr="00DA2DF2">
        <w:tc>
          <w:tcPr>
            <w:tcW w:w="359" w:type="dxa"/>
          </w:tcPr>
          <w:p w14:paraId="78DDC19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7</w:t>
            </w:r>
          </w:p>
        </w:tc>
        <w:tc>
          <w:tcPr>
            <w:tcW w:w="989" w:type="dxa"/>
            <w:gridSpan w:val="2"/>
          </w:tcPr>
          <w:p w14:paraId="6E58F70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Low-Bit Quantization Survey (2023)</w:t>
            </w:r>
          </w:p>
        </w:tc>
        <w:tc>
          <w:tcPr>
            <w:tcW w:w="882" w:type="dxa"/>
          </w:tcPr>
          <w:p w14:paraId="6608B4E8"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Quantization</w:t>
            </w:r>
          </w:p>
        </w:tc>
        <w:tc>
          <w:tcPr>
            <w:tcW w:w="1008" w:type="dxa"/>
          </w:tcPr>
          <w:p w14:paraId="7711167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Memory reduction</w:t>
            </w:r>
          </w:p>
        </w:tc>
        <w:tc>
          <w:tcPr>
            <w:tcW w:w="938" w:type="dxa"/>
          </w:tcPr>
          <w:p w14:paraId="65990DC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Accuracy trade-offs</w:t>
            </w:r>
          </w:p>
        </w:tc>
      </w:tr>
      <w:tr w:rsidR="001E5B22" w:rsidRPr="00C03231" w14:paraId="2FEC60F9" w14:textId="77777777" w:rsidTr="00DA2DF2">
        <w:tc>
          <w:tcPr>
            <w:tcW w:w="359" w:type="dxa"/>
          </w:tcPr>
          <w:p w14:paraId="27D2751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8</w:t>
            </w:r>
          </w:p>
        </w:tc>
        <w:tc>
          <w:tcPr>
            <w:tcW w:w="989" w:type="dxa"/>
            <w:gridSpan w:val="2"/>
          </w:tcPr>
          <w:p w14:paraId="4FE32B2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Integer Quantization (2019)</w:t>
            </w:r>
          </w:p>
        </w:tc>
        <w:tc>
          <w:tcPr>
            <w:tcW w:w="882" w:type="dxa"/>
          </w:tcPr>
          <w:p w14:paraId="58FB66A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Integer-only inference</w:t>
            </w:r>
          </w:p>
        </w:tc>
        <w:tc>
          <w:tcPr>
            <w:tcW w:w="1008" w:type="dxa"/>
          </w:tcPr>
          <w:p w14:paraId="3F9E4606"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 latency</w:t>
            </w:r>
          </w:p>
        </w:tc>
        <w:tc>
          <w:tcPr>
            <w:tcW w:w="938" w:type="dxa"/>
          </w:tcPr>
          <w:p w14:paraId="35F12BD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hybrid integration</w:t>
            </w:r>
          </w:p>
          <w:p w14:paraId="002BEB3E" w14:textId="77777777" w:rsidR="001E5B22" w:rsidRPr="00C03231" w:rsidRDefault="001E5B22" w:rsidP="005347ED">
            <w:pPr>
              <w:jc w:val="both"/>
              <w:rPr>
                <w:rFonts w:cs="Times New Roman"/>
                <w:bCs/>
                <w:color w:val="000000" w:themeColor="text1"/>
              </w:rPr>
            </w:pPr>
          </w:p>
        </w:tc>
      </w:tr>
      <w:tr w:rsidR="001E5B22" w:rsidRPr="00C03231" w14:paraId="2A656C48" w14:textId="77777777" w:rsidTr="00DA2DF2">
        <w:tc>
          <w:tcPr>
            <w:tcW w:w="359" w:type="dxa"/>
          </w:tcPr>
          <w:p w14:paraId="1A50F3D2"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9</w:t>
            </w:r>
          </w:p>
        </w:tc>
        <w:tc>
          <w:tcPr>
            <w:tcW w:w="989" w:type="dxa"/>
            <w:gridSpan w:val="2"/>
          </w:tcPr>
          <w:p w14:paraId="2EA68C7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On-Device DL (2020)</w:t>
            </w:r>
          </w:p>
        </w:tc>
        <w:tc>
          <w:tcPr>
            <w:tcW w:w="882" w:type="dxa"/>
          </w:tcPr>
          <w:p w14:paraId="46678E8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Local inference</w:t>
            </w:r>
          </w:p>
        </w:tc>
        <w:tc>
          <w:tcPr>
            <w:tcW w:w="1008" w:type="dxa"/>
          </w:tcPr>
          <w:p w14:paraId="0DD33D4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Reduced bandwidth</w:t>
            </w:r>
          </w:p>
        </w:tc>
        <w:tc>
          <w:tcPr>
            <w:tcW w:w="938" w:type="dxa"/>
          </w:tcPr>
          <w:p w14:paraId="7BE20EF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Wireless-specific focus</w:t>
            </w:r>
          </w:p>
        </w:tc>
      </w:tr>
      <w:tr w:rsidR="001E5B22" w:rsidRPr="00C03231" w14:paraId="54D13026" w14:textId="77777777" w:rsidTr="00DA2DF2">
        <w:tc>
          <w:tcPr>
            <w:tcW w:w="480" w:type="dxa"/>
            <w:gridSpan w:val="2"/>
          </w:tcPr>
          <w:p w14:paraId="0FF7C98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10</w:t>
            </w:r>
          </w:p>
        </w:tc>
        <w:tc>
          <w:tcPr>
            <w:tcW w:w="868" w:type="dxa"/>
          </w:tcPr>
          <w:p w14:paraId="2FFAB21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Wisdom Framework (2020)</w:t>
            </w:r>
          </w:p>
        </w:tc>
        <w:tc>
          <w:tcPr>
            <w:tcW w:w="882" w:type="dxa"/>
          </w:tcPr>
          <w:p w14:paraId="3F8F97E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Context-aware optimization</w:t>
            </w:r>
          </w:p>
        </w:tc>
        <w:tc>
          <w:tcPr>
            <w:tcW w:w="1008" w:type="dxa"/>
          </w:tcPr>
          <w:p w14:paraId="02C2D6C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Adaptive sensing</w:t>
            </w:r>
          </w:p>
        </w:tc>
        <w:tc>
          <w:tcPr>
            <w:tcW w:w="938" w:type="dxa"/>
          </w:tcPr>
          <w:p w14:paraId="07B5643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Limited environment validation</w:t>
            </w:r>
          </w:p>
        </w:tc>
      </w:tr>
    </w:tbl>
    <w:p w14:paraId="783100CD" w14:textId="421863EF" w:rsidR="001E5B22" w:rsidRPr="00631916" w:rsidRDefault="001E5B22" w:rsidP="001E5B22">
      <w:pPr>
        <w:pStyle w:val="Heading1"/>
        <w:jc w:val="center"/>
        <w:rPr>
          <w:rFonts w:ascii="Times New Roman" w:hAnsi="Times New Roman" w:cs="Times New Roman"/>
          <w:b w:val="0"/>
          <w:color w:val="000000" w:themeColor="text1"/>
          <w:sz w:val="20"/>
          <w:szCs w:val="20"/>
        </w:rPr>
      </w:pPr>
      <w:r w:rsidRPr="00631916">
        <w:rPr>
          <w:rFonts w:ascii="Times New Roman" w:hAnsi="Times New Roman" w:cs="Times New Roman"/>
          <w:b w:val="0"/>
          <w:color w:val="000000" w:themeColor="text1"/>
          <w:sz w:val="20"/>
          <w:szCs w:val="20"/>
        </w:rPr>
        <w:t>5. RESEARCH GAPS AND OPEN CHALLENGES</w:t>
      </w:r>
    </w:p>
    <w:p w14:paraId="0AF8B5AE"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Current literature lacks unified adaptive frameworks integrating pruning, quantization, NAS, and federated learning. Benchmarking across heterogeneous edge hardware remains inconsistent. Dynamic runtime adaptation and </w:t>
      </w:r>
      <w:r w:rsidRPr="00C03231">
        <w:rPr>
          <w:rFonts w:cs="Times New Roman"/>
          <w:bCs/>
          <w:color w:val="000000" w:themeColor="text1"/>
        </w:rPr>
        <w:t>real-world validation under varying workloads require further investigation.</w:t>
      </w:r>
    </w:p>
    <w:p w14:paraId="025E9BC6" w14:textId="76641E69"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6. FUTURE RESEARCH DIRECTIONS</w:t>
      </w:r>
    </w:p>
    <w:p w14:paraId="028A99F4"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Future research should focus on multi-objective optimization balancing accuracy, latency, and energy simultaneously. Hardware-aware </w:t>
      </w:r>
      <w:proofErr w:type="spellStart"/>
      <w:r w:rsidRPr="00C03231">
        <w:rPr>
          <w:rFonts w:cs="Times New Roman"/>
          <w:bCs/>
          <w:color w:val="000000" w:themeColor="text1"/>
        </w:rPr>
        <w:t>AutoML</w:t>
      </w:r>
      <w:proofErr w:type="spellEnd"/>
      <w:r w:rsidRPr="00C03231">
        <w:rPr>
          <w:rFonts w:cs="Times New Roman"/>
          <w:bCs/>
          <w:color w:val="000000" w:themeColor="text1"/>
        </w:rPr>
        <w:t xml:space="preserve"> can further optimize architecture design. Federated learning integrated with compression techniques will enhance scalability. Sustainable AI benchmarking frameworks are essential for green computing.</w:t>
      </w:r>
    </w:p>
    <w:p w14:paraId="1A40E0C4" w14:textId="7AA3F186"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7. CONCLUSION</w:t>
      </w:r>
    </w:p>
    <w:p w14:paraId="45FB6F61"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This review summarized advancements in energy-efficient Edge AI models and highlighted critical open challenges. Addressing these gaps will enable scalable, intelligent, and sustainable edge computing systems.</w:t>
      </w:r>
    </w:p>
    <w:p w14:paraId="59ECA696" w14:textId="7E7D5320"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REFERENCES</w:t>
      </w:r>
    </w:p>
    <w:p w14:paraId="66BFA1A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[1] D. Maulana and R. K. Ramasamy, 'Systematic Review of Quantization-Optimized Lightweight Transformer Architectures for Real-Time Fruit Ripeness Detection on Edge Devices,' Computers, 2026.</w:t>
      </w:r>
    </w:p>
    <w:p w14:paraId="60A989B7"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[2] Y. Xie and Q. Fang, 'An Energy-Aware Generative AI Edge Inference Framework for Low-Power IoT Devices,' Electronics, 2025.</w:t>
      </w:r>
    </w:p>
    <w:p w14:paraId="6315099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[3] A. Musa et al., 'Lightweight Deep Learning Models for Edge Devices—A Survey,' 2025.</w:t>
      </w:r>
    </w:p>
    <w:p w14:paraId="391DFD70"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[4] Nidhi et al., 'Energy-Efficient Deep Learning Models for Edge AI: A Green Computing Perspective,' IJARSCT, 2025.</w:t>
      </w:r>
    </w:p>
    <w:p w14:paraId="4E9076C5"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[5] R. Rani and R. Sharma, 'Efficient Deep Learning for Edge Devices,' IJFMR, 2025.</w:t>
      </w:r>
    </w:p>
    <w:p w14:paraId="17294F8A"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[6] A. </w:t>
      </w:r>
      <w:proofErr w:type="spellStart"/>
      <w:r w:rsidRPr="00C03231">
        <w:rPr>
          <w:rFonts w:cs="Times New Roman"/>
          <w:bCs/>
          <w:color w:val="000000" w:themeColor="text1"/>
        </w:rPr>
        <w:t>Fanariotis</w:t>
      </w:r>
      <w:proofErr w:type="spellEnd"/>
      <w:r w:rsidRPr="00C03231">
        <w:rPr>
          <w:rFonts w:cs="Times New Roman"/>
          <w:bCs/>
          <w:color w:val="000000" w:themeColor="text1"/>
        </w:rPr>
        <w:t xml:space="preserve"> et al., 'Power Efficient Machine Learning Models Deployment on Edge IoT Devices,' Sensors, 2023.</w:t>
      </w:r>
    </w:p>
    <w:p w14:paraId="26DD312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[7] K. Liu et al., 'Low-Bit Model Quantization for Deep Neural Networks: A Survey,' 2023.</w:t>
      </w:r>
    </w:p>
    <w:p w14:paraId="0EB3A513"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lastRenderedPageBreak/>
        <w:t>[8] H. Wu et al., 'Integer Quantization for Deep Learning Inference,' 2019.</w:t>
      </w:r>
    </w:p>
    <w:p w14:paraId="1CD07FB4"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[9] M. Lenka and A. Chakraborty, 'On-Device Deep Learning for IoT-Based Wireless Sensing Applications,' 2020.</w:t>
      </w:r>
    </w:p>
    <w:p w14:paraId="2712EE79" w14:textId="3C8CC846" w:rsidR="001E5B22" w:rsidRDefault="001E5B22" w:rsidP="00C03231">
      <w:pPr>
        <w:jc w:val="both"/>
        <w:rPr>
          <w:rFonts w:cs="Times New Roman"/>
          <w:bCs/>
          <w:color w:val="000000" w:themeColor="text1"/>
        </w:rPr>
        <w:sectPr w:rsidR="001E5B22" w:rsidSect="001E5B22">
          <w:type w:val="continuous"/>
          <w:pgSz w:w="12240" w:h="15840"/>
          <w:pgMar w:top="1440" w:right="1800" w:bottom="1440" w:left="1800" w:header="720" w:footer="720" w:gutter="0"/>
          <w:cols w:num="2" w:space="720"/>
          <w:docGrid w:linePitch="360"/>
        </w:sectPr>
      </w:pPr>
      <w:r w:rsidRPr="00C03231">
        <w:rPr>
          <w:rFonts w:cs="Times New Roman"/>
          <w:bCs/>
          <w:color w:val="000000" w:themeColor="text1"/>
        </w:rPr>
        <w:t>[10] M. Lenka and A. Chakraborty, 'Wisdom: A Context-Aware Deep Learning Framework for On-Device Wi-Fi Sensing,' IEEE INFOCOM Workshops</w:t>
      </w:r>
    </w:p>
    <w:p w14:paraId="48D3A510" w14:textId="671EE3B8" w:rsidR="00FB7E78" w:rsidRPr="00C03231" w:rsidRDefault="00FB7E78" w:rsidP="00C03231">
      <w:pPr>
        <w:jc w:val="both"/>
        <w:rPr>
          <w:rFonts w:cs="Times New Roman"/>
          <w:bCs/>
          <w:color w:val="000000" w:themeColor="text1"/>
        </w:rPr>
        <w:sectPr w:rsidR="00FB7E78" w:rsidRPr="00C03231" w:rsidSect="001E5B22">
          <w:type w:val="continuous"/>
          <w:pgSz w:w="12240" w:h="15840"/>
          <w:pgMar w:top="1440" w:right="1800" w:bottom="1440" w:left="1800" w:header="720" w:footer="720" w:gutter="0"/>
          <w:cols w:num="2" w:space="720"/>
          <w:docGrid w:linePitch="360"/>
        </w:sectPr>
      </w:pPr>
    </w:p>
    <w:p w14:paraId="04296B9E" w14:textId="584482D5" w:rsidR="00FB7E78" w:rsidRPr="00C03231" w:rsidRDefault="00FB7E78" w:rsidP="00C03231">
      <w:pPr>
        <w:jc w:val="both"/>
        <w:rPr>
          <w:rFonts w:cs="Times New Roman"/>
          <w:bCs/>
          <w:color w:val="000000" w:themeColor="text1"/>
        </w:rPr>
      </w:pPr>
    </w:p>
    <w:sectPr w:rsidR="00FB7E78" w:rsidRPr="00C03231" w:rsidSect="00034616">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3886351">
    <w:abstractNumId w:val="8"/>
  </w:num>
  <w:num w:numId="2" w16cid:durableId="990332450">
    <w:abstractNumId w:val="6"/>
  </w:num>
  <w:num w:numId="3" w16cid:durableId="1888563539">
    <w:abstractNumId w:val="5"/>
  </w:num>
  <w:num w:numId="4" w16cid:durableId="267932831">
    <w:abstractNumId w:val="4"/>
  </w:num>
  <w:num w:numId="5" w16cid:durableId="1190878515">
    <w:abstractNumId w:val="7"/>
  </w:num>
  <w:num w:numId="6" w16cid:durableId="1259556735">
    <w:abstractNumId w:val="3"/>
  </w:num>
  <w:num w:numId="7" w16cid:durableId="1546720758">
    <w:abstractNumId w:val="2"/>
  </w:num>
  <w:num w:numId="8" w16cid:durableId="1339503014">
    <w:abstractNumId w:val="1"/>
  </w:num>
  <w:num w:numId="9" w16cid:durableId="84386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351"/>
    <w:rsid w:val="0015074B"/>
    <w:rsid w:val="001E5B22"/>
    <w:rsid w:val="0029639D"/>
    <w:rsid w:val="00326F90"/>
    <w:rsid w:val="00631916"/>
    <w:rsid w:val="00722B45"/>
    <w:rsid w:val="008D1B24"/>
    <w:rsid w:val="00AA1D8D"/>
    <w:rsid w:val="00AD2922"/>
    <w:rsid w:val="00B47730"/>
    <w:rsid w:val="00BE6858"/>
    <w:rsid w:val="00C03231"/>
    <w:rsid w:val="00CB0664"/>
    <w:rsid w:val="00DA2DF2"/>
    <w:rsid w:val="00FB7E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E7F03"/>
  <w14:defaultImageDpi w14:val="300"/>
  <w15:docId w15:val="{4A333B7E-F3F9-EE44-A4A3-83EFC04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6</cp:revision>
  <dcterms:created xsi:type="dcterms:W3CDTF">2013-12-23T23:15:00Z</dcterms:created>
  <dcterms:modified xsi:type="dcterms:W3CDTF">2026-04-01T07:26:00Z</dcterms:modified>
  <cp:category/>
</cp:coreProperties>
</file>