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C4D" w:rsidRDefault="00F76665">
      <w:pPr>
        <w:jc w:val="center"/>
        <w:rPr>
          <w:rFonts w:ascii="Times New Roman" w:hAnsi="Times New Roman" w:cs="Times New Roman"/>
          <w:b/>
          <w:bCs/>
          <w:sz w:val="36"/>
          <w:szCs w:val="36"/>
        </w:rPr>
      </w:pPr>
      <w:r>
        <w:rPr>
          <w:rFonts w:ascii="Times New Roman" w:hAnsi="Times New Roman" w:cs="Times New Roman"/>
          <w:b/>
          <w:bCs/>
          <w:sz w:val="36"/>
          <w:szCs w:val="36"/>
        </w:rPr>
        <w:t>Determinants of Modern Family Planning Commodity Distribution in Public Health Facilities in Imo State, Nigeria: A Cross-Sectional Analytical Study</w:t>
      </w:r>
    </w:p>
    <w:p w:rsidR="00E33C4D" w:rsidRDefault="00E33C4D">
      <w:pPr>
        <w:rPr>
          <w:rFonts w:ascii="Times New Roman" w:hAnsi="Times New Roman" w:cs="Times New Roman"/>
          <w:sz w:val="24"/>
          <w:szCs w:val="24"/>
        </w:rPr>
      </w:pPr>
    </w:p>
    <w:p w:rsidR="00E33C4D" w:rsidRDefault="00F76665">
      <w:pPr>
        <w:pStyle w:val="Heading2"/>
        <w:rPr>
          <w:rFonts w:ascii="Times New Roman" w:hAnsi="Times New Roman" w:hint="default"/>
          <w:sz w:val="24"/>
          <w:szCs w:val="24"/>
        </w:rPr>
      </w:pPr>
      <w:bookmarkStart w:id="0" w:name="_GoBack"/>
      <w:bookmarkEnd w:id="0"/>
      <w:r>
        <w:rPr>
          <w:rFonts w:ascii="Times New Roman" w:hAnsi="Times New Roman" w:hint="default"/>
          <w:sz w:val="24"/>
          <w:szCs w:val="24"/>
        </w:rPr>
        <w:t>Abstract</w:t>
      </w:r>
    </w:p>
    <w:p w:rsidR="00E33C4D" w:rsidRDefault="00F76665">
      <w:pPr>
        <w:pStyle w:val="NormalWeb"/>
      </w:pPr>
      <w:r>
        <w:rPr>
          <w:rStyle w:val="Strong"/>
        </w:rPr>
        <w:t>Background:</w:t>
      </w:r>
      <w:r>
        <w:br/>
        <w:t xml:space="preserve">Effective distribution of modern family planning commodities is essential for improving contraceptive access and advancing reproductive health outcomes. Despite policy commitments to increase contraceptive prevalence in Nigeria, </w:t>
      </w:r>
      <w:r>
        <w:t>distribution inefficiencies persist, particularly at subnational levels. This study assessed the influence of quality of management decisions (QOD), facility operational practices (FOP), and distribution constraints (DC) on the performance of modern family</w:t>
      </w:r>
      <w:r>
        <w:t xml:space="preserve"> planning commodity distribution in public health facilities in Imo State, Nigeria.</w:t>
      </w:r>
    </w:p>
    <w:p w:rsidR="00E33C4D" w:rsidRDefault="00F76665">
      <w:pPr>
        <w:pStyle w:val="NormalWeb"/>
      </w:pPr>
      <w:r>
        <w:rPr>
          <w:rStyle w:val="Strong"/>
        </w:rPr>
        <w:t>Methods:</w:t>
      </w:r>
      <w:r>
        <w:br/>
        <w:t>A facility-based cross-sectional analytical study was conducted among 130 family planning service providers across 70 public health facilities in the 27 Local Gove</w:t>
      </w:r>
      <w:r>
        <w:t>rnment Areas of Imo State, selected using a multistage sampling technique. Data were collected using a pre-tested, semi-structured interviewer-administered questionnaire. Key management decision domains included procurement (P), product selection (PS), pro</w:t>
      </w:r>
      <w:r>
        <w:t>duct range (PR), and cost-burden responsibility (CBR). Data were analyzed using Multiple Regression and Correlation Analysis (MRCA). Associations between categorical variables were tested using Chi-square at 5% significance level.</w:t>
      </w:r>
    </w:p>
    <w:p w:rsidR="00E33C4D" w:rsidRDefault="00F76665">
      <w:pPr>
        <w:pStyle w:val="NormalWeb"/>
      </w:pPr>
      <w:r>
        <w:rPr>
          <w:rStyle w:val="Strong"/>
        </w:rPr>
        <w:t>Results:</w:t>
      </w:r>
      <w:r>
        <w:br/>
        <w:t>The quality of m</w:t>
      </w:r>
      <w:r>
        <w:t>anagement decisions on procurement, product range, and cost-burden responsibility demonstrated significant linear influence</w:t>
      </w:r>
      <w:r>
        <w:t xml:space="preserve"> </w:t>
      </w:r>
      <w:r>
        <w:t>both individually and collectively</w:t>
      </w:r>
      <w:r>
        <w:t xml:space="preserve"> </w:t>
      </w:r>
      <w:r>
        <w:t xml:space="preserve">on family planning commodity distribution performance (p &lt; 0.05). Facility operational practices </w:t>
      </w:r>
      <w:r>
        <w:t>were suboptimal: limited brand utilization (23.7%), high stock expiry rates (63%), low personnel productivity (&lt;2 hours/day dedicated to FP services), low client service coverage (&lt;30%), prescription compliance index of 0.68, and high product delivery time</w:t>
      </w:r>
      <w:r>
        <w:t xml:space="preserve"> and cost. Distribution constraints exerted a significant negative effect on commodity distribution performance (p &lt; 0.05).</w:t>
      </w:r>
    </w:p>
    <w:p w:rsidR="00E33C4D" w:rsidRDefault="00F76665">
      <w:pPr>
        <w:pStyle w:val="NormalWeb"/>
      </w:pPr>
      <w:r>
        <w:rPr>
          <w:rStyle w:val="Strong"/>
        </w:rPr>
        <w:t>Conclusion:</w:t>
      </w:r>
      <w:r>
        <w:br/>
        <w:t>Distribution performance of modern family planning commodities in Imo State is significantly influenced by the quality o</w:t>
      </w:r>
      <w:r>
        <w:t>f policy and management decisions, efficiency of facility-level operational practices, and prevailing systemic constraints. Strengthening evidence-based procurement planning, optimizing product range decisions, clarifying cost-burden responsibilities, impr</w:t>
      </w:r>
      <w:r>
        <w:t>oving facility productivity, and addressing distribution bottlenecks are critical for enhancing contraceptive security and reproductive health outcomes.</w:t>
      </w:r>
    </w:p>
    <w:p w:rsidR="00E33C4D" w:rsidRDefault="00F76665">
      <w:pPr>
        <w:pStyle w:val="NormalWeb"/>
      </w:pPr>
      <w:r>
        <w:rPr>
          <w:rStyle w:val="Strong"/>
        </w:rPr>
        <w:t>Keywords:</w:t>
      </w:r>
      <w:r>
        <w:t xml:space="preserve"> Modern family planning commodities; distribution performance; procurement; facility operation</w:t>
      </w:r>
      <w:r>
        <w:t>al practices; contraceptive security; Nigeria.</w:t>
      </w:r>
    </w:p>
    <w:p w:rsidR="00E33C4D" w:rsidRDefault="00E33C4D">
      <w:pPr>
        <w:rPr>
          <w:rFonts w:ascii="Times New Roman" w:hAnsi="Times New Roman" w:cs="Times New Roman"/>
          <w:sz w:val="24"/>
          <w:szCs w:val="24"/>
        </w:rPr>
      </w:pPr>
    </w:p>
    <w:p w:rsidR="00E33C4D" w:rsidRDefault="00E33C4D">
      <w:pPr>
        <w:rPr>
          <w:rFonts w:ascii="Times New Roman" w:hAnsi="Times New Roman" w:cs="Times New Roman"/>
          <w:sz w:val="24"/>
          <w:szCs w:val="24"/>
        </w:rPr>
      </w:pPr>
    </w:p>
    <w:p w:rsidR="00E33C4D" w:rsidRDefault="00E33C4D">
      <w:pPr>
        <w:rPr>
          <w:rFonts w:ascii="Times New Roman" w:hAnsi="Times New Roman" w:cs="Times New Roman"/>
          <w:sz w:val="24"/>
          <w:szCs w:val="24"/>
        </w:rPr>
      </w:pPr>
    </w:p>
    <w:p w:rsidR="00E33C4D" w:rsidRDefault="00F76665">
      <w:pPr>
        <w:pStyle w:val="Heading1"/>
        <w:rPr>
          <w:rFonts w:ascii="Times New Roman" w:hAnsi="Times New Roman" w:hint="default"/>
          <w:sz w:val="24"/>
          <w:szCs w:val="24"/>
        </w:rPr>
      </w:pPr>
      <w:r>
        <w:rPr>
          <w:rFonts w:ascii="Times New Roman" w:hAnsi="Times New Roman" w:hint="default"/>
          <w:sz w:val="28"/>
          <w:szCs w:val="28"/>
        </w:rPr>
        <w:t>1. Introduction</w:t>
      </w:r>
    </w:p>
    <w:p w:rsidR="00E33C4D" w:rsidRDefault="00F76665">
      <w:pPr>
        <w:pStyle w:val="NormalWeb"/>
      </w:pPr>
      <w:r>
        <w:t>Access to modern family planning (FP) commodities is a cornerstone of reproductive health, maternal survival, and socioeconomic development. Contraceptive use reduces unintended pregnancies,</w:t>
      </w:r>
      <w:r>
        <w:t xml:space="preserve"> unsafe abortions, and short birth intervals associated with adverse maternal and neonatal outcomes (Rutstein, 2008; Singh &amp; Darroch, 2012). Globally, investments in contraceptive services yield substantial health and economic returns, making commodity sec</w:t>
      </w:r>
      <w:r>
        <w:t>urity a critical public health priority (Darroch et al., 2011; UNFPA, 2011).</w:t>
      </w:r>
    </w:p>
    <w:p w:rsidR="00E33C4D" w:rsidRDefault="00F76665">
      <w:pPr>
        <w:pStyle w:val="NormalWeb"/>
      </w:pPr>
      <w:r>
        <w:t>Despite progress in many low- and middle-income countries (LMICs), sub-Saharan Africa continues to experience comparatively low contraceptive prevalence and high unmet need (UNFPA</w:t>
      </w:r>
      <w:r>
        <w:t>, 2012). Nigeria, the most populous country in Africa (Worldometer, 2021), faces persistent reproductive health challenges characterized by high fertility rates and uneven contraceptive uptake (National Population Commission [NPC], 2008; NPC, 2010). Nation</w:t>
      </w:r>
      <w:r>
        <w:t>al demographic data indicate modest improvements in contraceptive use over time, yet utilization remains below global and regional targets (Atoyebi et al., 2025; Duru et al., 2018). These gaps underscore systemic weaknesses in both demand-generation and su</w:t>
      </w:r>
      <w:r>
        <w:t>pply chain performance.</w:t>
      </w:r>
    </w:p>
    <w:p w:rsidR="00E33C4D" w:rsidRDefault="00F76665">
      <w:pPr>
        <w:pStyle w:val="NormalWeb"/>
      </w:pPr>
      <w:r>
        <w:t>Family planning commodity security</w:t>
      </w:r>
      <w:r>
        <w:t xml:space="preserve"> </w:t>
      </w:r>
      <w:r>
        <w:t>defined as the consistent availability of quality contraceptive products to meet client needs</w:t>
      </w:r>
      <w:r>
        <w:t xml:space="preserve"> </w:t>
      </w:r>
      <w:r>
        <w:t xml:space="preserve">depends on effective forecasting, procurement, warehousing, distribution, and service delivery systems </w:t>
      </w:r>
      <w:r>
        <w:t>(UNFPA, 2012; USAID/DELIVER PROJECT, 2011a). Weaknesses in selection, quantification, and inventory control within Nigeria’s public health sector have been previously documented (Auta &amp; Banwat, 2011). Similarly, assessments of Nigeria’s contraceptive logis</w:t>
      </w:r>
      <w:r>
        <w:t>tics management system identified forecasting inaccuracies, transportation inefficiencies, and fragmented distribution structures as key constraints to commodity availability (Kolapo et al., 2007; USAID/DELIVER PROJECT, 2011b).</w:t>
      </w:r>
    </w:p>
    <w:p w:rsidR="00E33C4D" w:rsidRDefault="00F76665">
      <w:pPr>
        <w:pStyle w:val="NormalWeb"/>
      </w:pPr>
      <w:r>
        <w:t>Beyond technical supply chai</w:t>
      </w:r>
      <w:r>
        <w:t>n components, management decision quality plays a critical role in shaping distribution outcomes. Decisions regarding procurement timing, product selection, method mix (product range), and cost-burden responsibility influence both supply stability and acce</w:t>
      </w:r>
      <w:r>
        <w:t>ssibility. Global longitudinal analyses demonstrate that national policies supporting broader contraceptive method mix are positively associated with improvements in contraceptive prevalence (Cohen et al., 2024). Conversely, narrow product range or poor al</w:t>
      </w:r>
      <w:r>
        <w:t>ignment between supply and user preferences may suppress uptake even when commodities are physically available (Singh &amp; Darroch, 2012).</w:t>
      </w:r>
    </w:p>
    <w:p w:rsidR="00E33C4D" w:rsidRDefault="00F76665">
      <w:pPr>
        <w:pStyle w:val="NormalWeb"/>
      </w:pPr>
      <w:r>
        <w:t>Financing sustainability remains another structural determinant of commodity distribution. Nigeria’s FP commodity procur</w:t>
      </w:r>
      <w:r>
        <w:t>ement has historically relied on donor funding, raising concerns about long-term sustainability (Adewoyin, 2021). Recent analyses highlight weak subnational commitment and inconsistent domestic allocations as ongoing barriers to achieving FP2030 goals (Sch</w:t>
      </w:r>
      <w:r>
        <w:t xml:space="preserve">midt et al., 2025; Nigeria Health Watch, 2025). Fragmented cost-sharing responsibilities across federal, </w:t>
      </w:r>
      <w:r>
        <w:lastRenderedPageBreak/>
        <w:t>state, and local government levels may delay procurement cycles and compromise distribution continuity (The African Network for Strategic Communication</w:t>
      </w:r>
      <w:r>
        <w:t xml:space="preserve"> on Health and Development, 2013).</w:t>
      </w:r>
    </w:p>
    <w:p w:rsidR="00E33C4D" w:rsidRDefault="00F76665">
      <w:pPr>
        <w:pStyle w:val="NormalWeb"/>
      </w:pPr>
      <w:r>
        <w:t>Operational efficiency at the facility level further mediates distribution effectiveness. Evidence shows that commodity availability alone does not guarantee service utilization; provider productivity, counseling quality,</w:t>
      </w:r>
      <w:r>
        <w:t xml:space="preserve"> inventory management, and prescription compliance are critical determinants of client uptake (Assaf et al., 2015; Acre et al., 2022). In Nigeria, variations in service delivery modalities</w:t>
      </w:r>
      <w:r>
        <w:t xml:space="preserve"> </w:t>
      </w:r>
      <w:r>
        <w:t>facility-based versus community-based</w:t>
      </w:r>
      <w:r>
        <w:t xml:space="preserve"> </w:t>
      </w:r>
      <w:r>
        <w:t>have demonstrated differentia</w:t>
      </w:r>
      <w:r>
        <w:t>l impacts on contraceptive utilization (Osaro et al., 2018). Provider bias and inadequate counseling can also constrain method choice, limiting effective use of available commodities (Solo &amp; Festin, 2019).</w:t>
      </w:r>
    </w:p>
    <w:p w:rsidR="00E33C4D" w:rsidRDefault="00F76665">
      <w:pPr>
        <w:pStyle w:val="NormalWeb"/>
      </w:pPr>
      <w:r>
        <w:t>Logistical and infrastructural constraints compoun</w:t>
      </w:r>
      <w:r>
        <w:t>d these challenges. Transportation inefficiencies and high distribution costs have been documented as major impediments to contraceptive commodity flow in Nigeria (O’Hearn &amp; Healy, 2003). Broader logistics literature affirms that warehouse management pract</w:t>
      </w:r>
      <w:r>
        <w:t>ices, capacity utilization, and distribution coordination directly affect supply chain performance (Rushton &amp; Oxley, 1991; Disabantino, 2025). Where these systems are weak, stock expiries and service interruptions become more frequent.</w:t>
      </w:r>
    </w:p>
    <w:p w:rsidR="00E33C4D" w:rsidRDefault="00F76665">
      <w:pPr>
        <w:pStyle w:val="NormalWeb"/>
      </w:pPr>
      <w:r>
        <w:t>Imo State, located i</w:t>
      </w:r>
      <w:r>
        <w:t>n southeastern Nigeria, operates within a decentralized public health framework that places significant responsibility for service delivery at the local government level (Survey, 2009). Although prior studies have examined contraceptive utilization pattern</w:t>
      </w:r>
      <w:r>
        <w:t>s and socio-demographic determinants within the state (Duru et al., 2018; Azubuike, 2023), empirical evidence examining the performance of FP commodity distribution systems and the influence of management decisions remains limited.</w:t>
      </w:r>
    </w:p>
    <w:p w:rsidR="00E33C4D" w:rsidRDefault="00F76665">
      <w:pPr>
        <w:pStyle w:val="NormalWeb"/>
      </w:pPr>
      <w:r>
        <w:t>While earlier research i</w:t>
      </w:r>
      <w:r>
        <w:t>n Nigeria has explored barriers to contraceptive distribution (Abdul-Azeez et al., 2009) and the role of alternative delivery channels such as patent medicine vendors (Hadiza Alhamdu et al., 2011; Corroon et al., 2016; Akila et al., 2024), few studies have</w:t>
      </w:r>
      <w:r>
        <w:t xml:space="preserve"> quantitatively modeled the combined effects of procurement decision quality, method mix, financing responsibility, facility operational practices, and distribution constraints on commodity distribution performance at subnational level.</w:t>
      </w:r>
    </w:p>
    <w:p w:rsidR="00E33C4D" w:rsidRDefault="00F76665">
      <w:pPr>
        <w:pStyle w:val="NormalWeb"/>
      </w:pPr>
      <w:r>
        <w:t xml:space="preserve">Given Nigeria’s </w:t>
      </w:r>
      <w:r>
        <w:t xml:space="preserve">renewed commitments under FP2030 and growing emphasis on domestic resource mobilization (Justin Ngong, 2024; Schmidt et al., 2025), understanding how management and operational determinants interact to influence distribution outcomes is essential. Without </w:t>
      </w:r>
      <w:r>
        <w:t>strengthening the decision architecture underpinning supply systems, improvements in contraceptive access may remain constrained.</w:t>
      </w:r>
    </w:p>
    <w:p w:rsidR="00E33C4D" w:rsidRDefault="00F76665">
      <w:pPr>
        <w:pStyle w:val="NormalWeb"/>
      </w:pPr>
      <w:r>
        <w:t>This study therefore assesses the effect of key management decisions</w:t>
      </w:r>
      <w:r>
        <w:t xml:space="preserve"> such as </w:t>
      </w:r>
      <w:r>
        <w:t>procurement, product selection, product range, an</w:t>
      </w:r>
      <w:r>
        <w:t>d cost-burden responsibility</w:t>
      </w:r>
      <w:r>
        <w:t xml:space="preserve"> </w:t>
      </w:r>
      <w:r>
        <w:t>on modern family planning commodity distribution in public health facilities in Imo State. It further evaluates facility operational practices and distribution constraints influencing performance. By applying multivariate analy</w:t>
      </w:r>
      <w:r>
        <w:t xml:space="preserve">tical modeling within a </w:t>
      </w:r>
      <w:r>
        <w:lastRenderedPageBreak/>
        <w:t>cross-sectional framework (Bangdiwala, 2019; Onwasigwe, 2010), the study contributes empirical evidence to inform policy refinement, strengthen subnational supply chain governance, and enhance contraceptive security in Nigeria.</w:t>
      </w:r>
    </w:p>
    <w:p w:rsidR="00E33C4D" w:rsidRDefault="00F76665">
      <w:pPr>
        <w:pStyle w:val="Heading1"/>
        <w:rPr>
          <w:rFonts w:ascii="Times New Roman" w:hAnsi="Times New Roman" w:hint="default"/>
          <w:sz w:val="24"/>
          <w:szCs w:val="24"/>
        </w:rPr>
      </w:pPr>
      <w:r>
        <w:rPr>
          <w:rFonts w:ascii="Times New Roman" w:hAnsi="Times New Roman" w:hint="default"/>
          <w:sz w:val="24"/>
          <w:szCs w:val="24"/>
        </w:rPr>
        <w:t xml:space="preserve">2. </w:t>
      </w:r>
      <w:r>
        <w:rPr>
          <w:rFonts w:ascii="Times New Roman" w:hAnsi="Times New Roman" w:hint="default"/>
          <w:sz w:val="28"/>
          <w:szCs w:val="28"/>
        </w:rPr>
        <w:t>M</w:t>
      </w:r>
      <w:r>
        <w:rPr>
          <w:rFonts w:ascii="Times New Roman" w:hAnsi="Times New Roman" w:hint="default"/>
          <w:sz w:val="28"/>
          <w:szCs w:val="28"/>
        </w:rPr>
        <w:t>ethods</w:t>
      </w:r>
    </w:p>
    <w:p w:rsidR="00E33C4D" w:rsidRDefault="00F76665">
      <w:pPr>
        <w:pStyle w:val="Heading2"/>
        <w:rPr>
          <w:rFonts w:ascii="Times New Roman" w:hAnsi="Times New Roman" w:hint="default"/>
          <w:sz w:val="24"/>
          <w:szCs w:val="24"/>
        </w:rPr>
      </w:pPr>
      <w:r>
        <w:rPr>
          <w:rFonts w:ascii="Times New Roman" w:hAnsi="Times New Roman" w:hint="default"/>
          <w:sz w:val="24"/>
          <w:szCs w:val="24"/>
        </w:rPr>
        <w:t>2.1 Study Design</w:t>
      </w:r>
    </w:p>
    <w:p w:rsidR="00E33C4D" w:rsidRDefault="00F76665">
      <w:pPr>
        <w:pStyle w:val="NormalWeb"/>
      </w:pPr>
      <w:r>
        <w:t xml:space="preserve">This study employed a </w:t>
      </w:r>
      <w:r>
        <w:rPr>
          <w:rStyle w:val="Strong"/>
          <w:b w:val="0"/>
          <w:bCs w:val="0"/>
        </w:rPr>
        <w:t>facility-based cross-sectional analytical design</w:t>
      </w:r>
      <w:r>
        <w:t xml:space="preserve"> to assess the influence of management decision quality, facility operational practices, and distribution constraints on modern family planning commodity distribution in public health facilities in Imo State, Nigeria. The design enabled quantitative evalua</w:t>
      </w:r>
      <w:r>
        <w:t>tion of associations between independent decision variables and distribution performance outcomes at a single point in time.</w:t>
      </w:r>
    </w:p>
    <w:p w:rsidR="00E33C4D" w:rsidRDefault="00F76665">
      <w:pPr>
        <w:pStyle w:val="Heading2"/>
        <w:rPr>
          <w:rFonts w:ascii="Times New Roman" w:hAnsi="Times New Roman" w:hint="default"/>
          <w:sz w:val="24"/>
          <w:szCs w:val="24"/>
        </w:rPr>
      </w:pPr>
      <w:r>
        <w:rPr>
          <w:rFonts w:ascii="Times New Roman" w:hAnsi="Times New Roman" w:hint="default"/>
          <w:sz w:val="24"/>
          <w:szCs w:val="24"/>
        </w:rPr>
        <w:t>2.2 Study Area</w:t>
      </w:r>
    </w:p>
    <w:p w:rsidR="00E33C4D" w:rsidRDefault="00F76665">
      <w:pPr>
        <w:pStyle w:val="NormalWeb"/>
      </w:pPr>
      <w:r>
        <w:t>The study was conducted in Imo State, located in South-East Nigeria. The state comprises 27 Local Government Areas (</w:t>
      </w:r>
      <w:r>
        <w:t>LGAs) and operates a decentralized public health system consisting of primary and secondary public health facilities under the oversight of the State Ministry of Health and Local Government Health Authorities. Public health facilities serve as major distri</w:t>
      </w:r>
      <w:r>
        <w:t>bution points for modern family planning commodities, particularly at the primary healthcare level.</w:t>
      </w:r>
    </w:p>
    <w:p w:rsidR="00E33C4D" w:rsidRDefault="00F76665">
      <w:pPr>
        <w:pStyle w:val="Heading2"/>
        <w:rPr>
          <w:rFonts w:ascii="Times New Roman" w:hAnsi="Times New Roman" w:hint="default"/>
          <w:sz w:val="24"/>
          <w:szCs w:val="24"/>
        </w:rPr>
      </w:pPr>
      <w:r>
        <w:rPr>
          <w:rFonts w:ascii="Times New Roman" w:hAnsi="Times New Roman" w:hint="default"/>
          <w:sz w:val="24"/>
          <w:szCs w:val="24"/>
        </w:rPr>
        <w:t>2.3 Study Population</w:t>
      </w:r>
    </w:p>
    <w:p w:rsidR="00E33C4D" w:rsidRDefault="00F76665">
      <w:pPr>
        <w:pStyle w:val="NormalWeb"/>
      </w:pPr>
      <w:r>
        <w:t xml:space="preserve">The study population consisted of family planning (FP) service providers working in public health facilities across the 27 LGAs of Imo </w:t>
      </w:r>
      <w:r>
        <w:t>State. Eligible participants included</w:t>
      </w:r>
      <w:r>
        <w:t xml:space="preserve"> </w:t>
      </w:r>
      <w:r>
        <w:t>Nurses and midwives</w:t>
      </w:r>
      <w:r>
        <w:t xml:space="preserve">; </w:t>
      </w:r>
      <w:r>
        <w:t>Community Health Officers (CHOs)</w:t>
      </w:r>
      <w:r>
        <w:t xml:space="preserve">; </w:t>
      </w:r>
      <w:r>
        <w:t>Community Health Extension Workers (CHEWs)</w:t>
      </w:r>
      <w:r>
        <w:t xml:space="preserve">; </w:t>
      </w:r>
      <w:r>
        <w:t>Pharmacists and pharmacy technicians involved in FP commodity management</w:t>
      </w:r>
      <w:r>
        <w:t>.</w:t>
      </w:r>
    </w:p>
    <w:p w:rsidR="00E33C4D" w:rsidRDefault="00F76665">
      <w:pPr>
        <w:pStyle w:val="NormalWeb"/>
      </w:pPr>
      <w:r>
        <w:t>Participants were required to have been direc</w:t>
      </w:r>
      <w:r>
        <w:t>tly involved in family planning service delivery or commodity handling for at least six months prior to the study.</w:t>
      </w:r>
    </w:p>
    <w:p w:rsidR="00E33C4D" w:rsidRDefault="00F76665">
      <w:pPr>
        <w:pStyle w:val="Heading2"/>
        <w:rPr>
          <w:rFonts w:ascii="Times New Roman" w:hAnsi="Times New Roman" w:hint="default"/>
          <w:sz w:val="24"/>
          <w:szCs w:val="24"/>
        </w:rPr>
      </w:pPr>
      <w:r>
        <w:rPr>
          <w:rFonts w:ascii="Times New Roman" w:hAnsi="Times New Roman" w:hint="default"/>
          <w:sz w:val="24"/>
          <w:szCs w:val="24"/>
        </w:rPr>
        <w:t>2.4 Sample Size Determination</w:t>
      </w:r>
    </w:p>
    <w:p w:rsidR="00E33C4D" w:rsidRDefault="00F76665">
      <w:pPr>
        <w:pStyle w:val="NormalWeb"/>
      </w:pPr>
      <w:r>
        <w:t xml:space="preserve">A total of </w:t>
      </w:r>
      <w:r>
        <w:rPr>
          <w:rStyle w:val="Strong"/>
          <w:b w:val="0"/>
          <w:bCs w:val="0"/>
        </w:rPr>
        <w:t>130 family planning service providers</w:t>
      </w:r>
      <w:r>
        <w:t xml:space="preserve"> were included in the study across </w:t>
      </w:r>
      <w:r>
        <w:rPr>
          <w:rStyle w:val="Strong"/>
          <w:b w:val="0"/>
          <w:bCs w:val="0"/>
        </w:rPr>
        <w:t>70 public health facilities</w:t>
      </w:r>
      <w:r>
        <w:t>.</w:t>
      </w:r>
      <w:r>
        <w:t xml:space="preserve"> Sample size adequacy was determined to provide sufficient power for multivariate regression modeling, following the rule of thumb for multiple regression requiring a minimum of 10–15 observations per predictor variable to ensure statistical stability.</w:t>
      </w:r>
    </w:p>
    <w:p w:rsidR="00E33C4D" w:rsidRDefault="00F76665">
      <w:pPr>
        <w:pStyle w:val="Heading2"/>
        <w:rPr>
          <w:rFonts w:ascii="Times New Roman" w:hAnsi="Times New Roman" w:hint="default"/>
          <w:sz w:val="24"/>
          <w:szCs w:val="24"/>
        </w:rPr>
      </w:pPr>
      <w:r>
        <w:rPr>
          <w:rFonts w:ascii="Times New Roman" w:hAnsi="Times New Roman" w:hint="default"/>
          <w:sz w:val="24"/>
          <w:szCs w:val="24"/>
        </w:rPr>
        <w:t>2.5</w:t>
      </w:r>
      <w:r>
        <w:rPr>
          <w:rFonts w:ascii="Times New Roman" w:hAnsi="Times New Roman" w:hint="default"/>
          <w:sz w:val="24"/>
          <w:szCs w:val="24"/>
        </w:rPr>
        <w:t xml:space="preserve"> Sampling Technique</w:t>
      </w:r>
    </w:p>
    <w:p w:rsidR="00E33C4D" w:rsidRDefault="00F76665">
      <w:pPr>
        <w:pStyle w:val="NormalWeb"/>
      </w:pPr>
      <w:r>
        <w:t xml:space="preserve">A </w:t>
      </w:r>
      <w:r>
        <w:rPr>
          <w:rStyle w:val="Strong"/>
          <w:b w:val="0"/>
          <w:bCs w:val="0"/>
        </w:rPr>
        <w:t>multistage sampling technique</w:t>
      </w:r>
      <w:r>
        <w:t xml:space="preserve"> w</w:t>
      </w:r>
      <w:r>
        <w:t>as employed:</w:t>
      </w:r>
    </w:p>
    <w:p w:rsidR="00E33C4D" w:rsidRDefault="00F76665">
      <w:pPr>
        <w:pStyle w:val="NormalWeb"/>
      </w:pPr>
      <w:r>
        <w:rPr>
          <w:rStyle w:val="Strong"/>
          <w:b w:val="0"/>
          <w:bCs w:val="0"/>
        </w:rPr>
        <w:t>Stage 1 – LGA Inclusion:</w:t>
      </w:r>
      <w:r>
        <w:rPr>
          <w:rStyle w:val="Strong"/>
        </w:rPr>
        <w:t xml:space="preserve"> </w:t>
      </w:r>
      <w:r>
        <w:t>All 27 LGAs in Imo State were included to ensure statewide representation.</w:t>
      </w:r>
    </w:p>
    <w:p w:rsidR="00E33C4D" w:rsidRDefault="00F76665">
      <w:pPr>
        <w:pStyle w:val="NormalWeb"/>
      </w:pPr>
      <w:r>
        <w:rPr>
          <w:rStyle w:val="Strong"/>
          <w:b w:val="0"/>
          <w:bCs w:val="0"/>
        </w:rPr>
        <w:lastRenderedPageBreak/>
        <w:t>Stage 2 – Facility Selection:</w:t>
      </w:r>
      <w:r>
        <w:rPr>
          <w:rStyle w:val="Strong"/>
          <w:b w:val="0"/>
          <w:bCs w:val="0"/>
        </w:rPr>
        <w:t xml:space="preserve"> </w:t>
      </w:r>
      <w:r>
        <w:t>Public health facilities offering family planning services w</w:t>
      </w:r>
      <w:r>
        <w:t>ere listed within each LGA. Facilities were proportionately selected using simple random sampling to ensure equitable representation across LGAs.</w:t>
      </w:r>
    </w:p>
    <w:p w:rsidR="00E33C4D" w:rsidRDefault="00F76665">
      <w:pPr>
        <w:pStyle w:val="NormalWeb"/>
      </w:pPr>
      <w:r>
        <w:rPr>
          <w:rStyle w:val="Strong"/>
          <w:b w:val="0"/>
          <w:bCs w:val="0"/>
        </w:rPr>
        <w:t>Stage 3 – Respondent Selection:</w:t>
      </w:r>
      <w:r>
        <w:rPr>
          <w:rStyle w:val="Strong"/>
          <w:b w:val="0"/>
          <w:bCs w:val="0"/>
        </w:rPr>
        <w:t xml:space="preserve"> </w:t>
      </w:r>
      <w:r>
        <w:t>Within selected facilities, eligible FP service providers were identified. Whe</w:t>
      </w:r>
      <w:r>
        <w:t>re more than one eligible provider was available, simple random sampling was applied to select participants.</w:t>
      </w:r>
    </w:p>
    <w:p w:rsidR="00E33C4D" w:rsidRDefault="00F76665">
      <w:pPr>
        <w:pStyle w:val="Heading2"/>
        <w:rPr>
          <w:rFonts w:ascii="Times New Roman" w:hAnsi="Times New Roman" w:hint="default"/>
          <w:sz w:val="24"/>
          <w:szCs w:val="24"/>
        </w:rPr>
      </w:pPr>
      <w:r>
        <w:rPr>
          <w:rFonts w:ascii="Times New Roman" w:hAnsi="Times New Roman" w:hint="default"/>
          <w:sz w:val="24"/>
          <w:szCs w:val="24"/>
        </w:rPr>
        <w:t>2.6 Data Collection Instrument</w:t>
      </w:r>
    </w:p>
    <w:p w:rsidR="00E33C4D" w:rsidRDefault="00F76665">
      <w:pPr>
        <w:pStyle w:val="NormalWeb"/>
      </w:pPr>
      <w:r>
        <w:t xml:space="preserve">Data were collected using a </w:t>
      </w:r>
      <w:r>
        <w:rPr>
          <w:rStyle w:val="Strong"/>
          <w:b w:val="0"/>
          <w:bCs w:val="0"/>
        </w:rPr>
        <w:t>pre-tested, semi-structured, interviewer-administered questionnaire</w:t>
      </w:r>
      <w:r>
        <w:t xml:space="preserve"> </w:t>
      </w:r>
      <w:r>
        <w:t>developed specifical</w:t>
      </w:r>
      <w:r>
        <w:t>ly for this study.</w:t>
      </w:r>
      <w:r>
        <w:t xml:space="preserve"> </w:t>
      </w:r>
      <w:r>
        <w:t>The instrument comprised five sections:</w:t>
      </w:r>
      <w:r>
        <w:t xml:space="preserve"> </w:t>
      </w:r>
      <w:r>
        <w:rPr>
          <w:rStyle w:val="Strong"/>
          <w:b w:val="0"/>
          <w:bCs w:val="0"/>
        </w:rPr>
        <w:t>Socio-demographic characteristics</w:t>
      </w:r>
      <w:r>
        <w:rPr>
          <w:rStyle w:val="Strong"/>
          <w:b w:val="0"/>
          <w:bCs w:val="0"/>
        </w:rPr>
        <w:t xml:space="preserve">; </w:t>
      </w:r>
      <w:r>
        <w:rPr>
          <w:rStyle w:val="Strong"/>
          <w:b w:val="0"/>
          <w:bCs w:val="0"/>
        </w:rPr>
        <w:t>Key Management Decisions (KMD) domains</w:t>
      </w:r>
      <w:r>
        <w:rPr>
          <w:rStyle w:val="Strong"/>
          <w:b w:val="0"/>
          <w:bCs w:val="0"/>
        </w:rPr>
        <w:t xml:space="preserve"> [</w:t>
      </w:r>
      <w:r>
        <w:t>Procurement (P)</w:t>
      </w:r>
      <w:r>
        <w:t xml:space="preserve">, </w:t>
      </w:r>
      <w:r>
        <w:t>Product Selection (PS)</w:t>
      </w:r>
      <w:r>
        <w:t xml:space="preserve">, </w:t>
      </w:r>
      <w:r>
        <w:t>Product Range (PR)</w:t>
      </w:r>
      <w:r>
        <w:t xml:space="preserve">, </w:t>
      </w:r>
      <w:r>
        <w:t>Cost-Burden Responsibility (CBR)</w:t>
      </w:r>
      <w:r>
        <w:t xml:space="preserve">]; </w:t>
      </w:r>
      <w:r>
        <w:rPr>
          <w:rStyle w:val="Strong"/>
          <w:b w:val="0"/>
          <w:bCs w:val="0"/>
        </w:rPr>
        <w:t xml:space="preserve">Facility Operational </w:t>
      </w:r>
      <w:r>
        <w:rPr>
          <w:rStyle w:val="Strong"/>
          <w:b w:val="0"/>
          <w:bCs w:val="0"/>
        </w:rPr>
        <w:t>Practices (FOP)</w:t>
      </w:r>
      <w:r>
        <w:rPr>
          <w:rStyle w:val="Strong"/>
          <w:b w:val="0"/>
          <w:bCs w:val="0"/>
        </w:rPr>
        <w:t xml:space="preserve">; </w:t>
      </w:r>
      <w:r>
        <w:rPr>
          <w:rStyle w:val="Strong"/>
          <w:b w:val="0"/>
          <w:bCs w:val="0"/>
        </w:rPr>
        <w:t>Distribution Constraints (DC)</w:t>
      </w:r>
      <w:r>
        <w:rPr>
          <w:rStyle w:val="Strong"/>
          <w:b w:val="0"/>
          <w:bCs w:val="0"/>
        </w:rPr>
        <w:t xml:space="preserve">; </w:t>
      </w:r>
      <w:r>
        <w:rPr>
          <w:rStyle w:val="Strong"/>
          <w:b w:val="0"/>
          <w:bCs w:val="0"/>
        </w:rPr>
        <w:t>Distribution Performance Indicators</w:t>
      </w:r>
      <w:r>
        <w:rPr>
          <w:rStyle w:val="Strong"/>
          <w:b w:val="0"/>
          <w:bCs w:val="0"/>
        </w:rPr>
        <w:t>.</w:t>
      </w:r>
    </w:p>
    <w:p w:rsidR="00E33C4D" w:rsidRDefault="00F76665">
      <w:pPr>
        <w:pStyle w:val="NormalWeb"/>
      </w:pPr>
      <w:r>
        <w:t>The questionnaire was pre-tested in public health facilities outside the sampled LGAs to assess clarity, reliability, and internal consistency. Necessary modifications wer</w:t>
      </w:r>
      <w:r>
        <w:t>e made prior to final data collection.</w:t>
      </w:r>
    </w:p>
    <w:p w:rsidR="00E33C4D" w:rsidRDefault="00F76665">
      <w:pPr>
        <w:pStyle w:val="Heading2"/>
        <w:rPr>
          <w:rFonts w:ascii="Times New Roman" w:hAnsi="Times New Roman" w:hint="default"/>
          <w:sz w:val="24"/>
          <w:szCs w:val="24"/>
        </w:rPr>
      </w:pPr>
      <w:r>
        <w:rPr>
          <w:rFonts w:ascii="Times New Roman" w:hAnsi="Times New Roman" w:hint="default"/>
          <w:sz w:val="24"/>
          <w:szCs w:val="24"/>
        </w:rPr>
        <w:t>2.7 Study Variables and Operational Definitions</w:t>
      </w:r>
    </w:p>
    <w:p w:rsidR="00E33C4D" w:rsidRDefault="00F76665">
      <w:pPr>
        <w:pStyle w:val="Heading3"/>
        <w:rPr>
          <w:rFonts w:ascii="Times New Roman" w:hAnsi="Times New Roman" w:hint="default"/>
          <w:sz w:val="24"/>
          <w:szCs w:val="24"/>
        </w:rPr>
      </w:pPr>
      <w:r>
        <w:rPr>
          <w:rFonts w:ascii="Times New Roman" w:hAnsi="Times New Roman" w:hint="default"/>
          <w:b w:val="0"/>
          <w:bCs w:val="0"/>
          <w:sz w:val="24"/>
          <w:szCs w:val="24"/>
        </w:rPr>
        <w:t xml:space="preserve">2.7.1 </w:t>
      </w:r>
      <w:r>
        <w:rPr>
          <w:rFonts w:ascii="Times New Roman" w:hAnsi="Times New Roman" w:hint="default"/>
          <w:b w:val="0"/>
          <w:bCs w:val="0"/>
          <w:sz w:val="24"/>
          <w:szCs w:val="24"/>
        </w:rPr>
        <w:t>The d</w:t>
      </w:r>
      <w:r>
        <w:rPr>
          <w:rFonts w:ascii="Times New Roman" w:hAnsi="Times New Roman" w:hint="default"/>
          <w:b w:val="0"/>
          <w:bCs w:val="0"/>
          <w:sz w:val="24"/>
          <w:szCs w:val="24"/>
        </w:rPr>
        <w:t xml:space="preserve">ependent </w:t>
      </w:r>
      <w:r>
        <w:rPr>
          <w:rFonts w:ascii="Times New Roman" w:hAnsi="Times New Roman" w:hint="default"/>
          <w:b w:val="0"/>
          <w:bCs w:val="0"/>
          <w:sz w:val="24"/>
          <w:szCs w:val="24"/>
        </w:rPr>
        <w:t>v</w:t>
      </w:r>
      <w:r>
        <w:rPr>
          <w:rFonts w:ascii="Times New Roman" w:hAnsi="Times New Roman" w:hint="default"/>
          <w:b w:val="0"/>
          <w:bCs w:val="0"/>
          <w:sz w:val="24"/>
          <w:szCs w:val="24"/>
        </w:rPr>
        <w:t>ariable</w:t>
      </w:r>
      <w:r>
        <w:rPr>
          <w:rFonts w:ascii="Times New Roman" w:hAnsi="Times New Roman" w:hint="default"/>
          <w:b w:val="0"/>
          <w:bCs w:val="0"/>
          <w:sz w:val="24"/>
          <w:szCs w:val="24"/>
        </w:rPr>
        <w:t xml:space="preserve"> was </w:t>
      </w:r>
      <w:r>
        <w:rPr>
          <w:rStyle w:val="Strong"/>
          <w:rFonts w:ascii="Times New Roman" w:hAnsi="Times New Roman" w:hint="default"/>
          <w:sz w:val="24"/>
          <w:szCs w:val="24"/>
        </w:rPr>
        <w:t>Family Planning Commodity Distribution Performance (FPCDP)</w:t>
      </w:r>
      <w:r>
        <w:rPr>
          <w:rStyle w:val="Strong"/>
          <w:rFonts w:ascii="Times New Roman" w:hAnsi="Times New Roman" w:hint="default"/>
          <w:sz w:val="24"/>
          <w:szCs w:val="24"/>
        </w:rPr>
        <w:t xml:space="preserve"> which</w:t>
      </w:r>
      <w:r>
        <w:rPr>
          <w:rFonts w:ascii="Times New Roman" w:hAnsi="Times New Roman" w:hint="default"/>
          <w:b w:val="0"/>
          <w:bCs w:val="0"/>
          <w:sz w:val="24"/>
          <w:szCs w:val="24"/>
        </w:rPr>
        <w:t xml:space="preserve"> was assessed using composite indicators including:</w:t>
      </w:r>
      <w:r>
        <w:rPr>
          <w:rFonts w:ascii="Times New Roman" w:hAnsi="Times New Roman" w:hint="default"/>
          <w:b w:val="0"/>
          <w:bCs w:val="0"/>
          <w:sz w:val="24"/>
          <w:szCs w:val="24"/>
        </w:rPr>
        <w:t xml:space="preserve"> </w:t>
      </w:r>
      <w:r>
        <w:rPr>
          <w:rFonts w:ascii="Times New Roman" w:hAnsi="Times New Roman" w:hint="default"/>
          <w:b w:val="0"/>
          <w:bCs w:val="0"/>
          <w:sz w:val="24"/>
          <w:szCs w:val="24"/>
        </w:rPr>
        <w:t>Brand utilization ra</w:t>
      </w:r>
      <w:r>
        <w:rPr>
          <w:rFonts w:ascii="Times New Roman" w:hAnsi="Times New Roman" w:hint="default"/>
          <w:b w:val="0"/>
          <w:bCs w:val="0"/>
          <w:sz w:val="24"/>
          <w:szCs w:val="24"/>
        </w:rPr>
        <w:t>te</w:t>
      </w:r>
      <w:r>
        <w:rPr>
          <w:rFonts w:ascii="Times New Roman" w:hAnsi="Times New Roman" w:hint="default"/>
          <w:b w:val="0"/>
          <w:bCs w:val="0"/>
          <w:sz w:val="24"/>
          <w:szCs w:val="24"/>
        </w:rPr>
        <w:t xml:space="preserve">; </w:t>
      </w:r>
      <w:r>
        <w:rPr>
          <w:rFonts w:ascii="Times New Roman" w:hAnsi="Times New Roman" w:hint="default"/>
          <w:b w:val="0"/>
          <w:bCs w:val="0"/>
          <w:sz w:val="24"/>
          <w:szCs w:val="24"/>
        </w:rPr>
        <w:t>Stock expiry rate</w:t>
      </w:r>
      <w:r>
        <w:rPr>
          <w:rFonts w:ascii="Times New Roman" w:hAnsi="Times New Roman" w:hint="default"/>
          <w:b w:val="0"/>
          <w:bCs w:val="0"/>
          <w:sz w:val="24"/>
          <w:szCs w:val="24"/>
        </w:rPr>
        <w:t xml:space="preserve">; </w:t>
      </w:r>
      <w:r>
        <w:rPr>
          <w:rFonts w:ascii="Times New Roman" w:hAnsi="Times New Roman" w:hint="default"/>
          <w:b w:val="0"/>
          <w:bCs w:val="0"/>
          <w:sz w:val="24"/>
          <w:szCs w:val="24"/>
        </w:rPr>
        <w:t>Personnel productivity (hours/day dedicated to FP services)</w:t>
      </w:r>
      <w:r>
        <w:rPr>
          <w:rFonts w:ascii="Times New Roman" w:hAnsi="Times New Roman" w:hint="default"/>
          <w:b w:val="0"/>
          <w:bCs w:val="0"/>
          <w:sz w:val="24"/>
          <w:szCs w:val="24"/>
        </w:rPr>
        <w:t xml:space="preserve">; </w:t>
      </w:r>
      <w:r>
        <w:rPr>
          <w:rFonts w:ascii="Times New Roman" w:hAnsi="Times New Roman" w:hint="default"/>
          <w:b w:val="0"/>
          <w:bCs w:val="0"/>
          <w:sz w:val="24"/>
          <w:szCs w:val="24"/>
        </w:rPr>
        <w:t>Average client service coverage</w:t>
      </w:r>
      <w:r>
        <w:rPr>
          <w:rFonts w:ascii="Times New Roman" w:hAnsi="Times New Roman" w:hint="default"/>
          <w:b w:val="0"/>
          <w:bCs w:val="0"/>
          <w:sz w:val="24"/>
          <w:szCs w:val="24"/>
        </w:rPr>
        <w:t xml:space="preserve">; </w:t>
      </w:r>
      <w:r>
        <w:rPr>
          <w:rFonts w:ascii="Times New Roman" w:hAnsi="Times New Roman" w:hint="default"/>
          <w:b w:val="0"/>
          <w:bCs w:val="0"/>
          <w:sz w:val="24"/>
          <w:szCs w:val="24"/>
        </w:rPr>
        <w:t>Prescription compliance index</w:t>
      </w:r>
      <w:r>
        <w:rPr>
          <w:rFonts w:ascii="Times New Roman" w:hAnsi="Times New Roman" w:hint="default"/>
          <w:b w:val="0"/>
          <w:bCs w:val="0"/>
          <w:sz w:val="24"/>
          <w:szCs w:val="24"/>
        </w:rPr>
        <w:t xml:space="preserve">; </w:t>
      </w:r>
      <w:r>
        <w:rPr>
          <w:rFonts w:ascii="Times New Roman" w:hAnsi="Times New Roman" w:hint="default"/>
          <w:b w:val="0"/>
          <w:bCs w:val="0"/>
          <w:sz w:val="24"/>
          <w:szCs w:val="24"/>
        </w:rPr>
        <w:t>Delivery time and cost indicators</w:t>
      </w:r>
      <w:r>
        <w:rPr>
          <w:rFonts w:ascii="Times New Roman" w:hAnsi="Times New Roman" w:hint="default"/>
          <w:b w:val="0"/>
          <w:bCs w:val="0"/>
          <w:sz w:val="24"/>
          <w:szCs w:val="24"/>
        </w:rPr>
        <w:t>.</w:t>
      </w:r>
    </w:p>
    <w:p w:rsidR="00E33C4D" w:rsidRDefault="00F76665">
      <w:pPr>
        <w:pStyle w:val="NormalWeb"/>
      </w:pPr>
      <w:r>
        <w:t>A composite performance index was generated to quantify overall distribut</w:t>
      </w:r>
      <w:r>
        <w:t>ion effectiveness.</w:t>
      </w:r>
    </w:p>
    <w:p w:rsidR="00E33C4D" w:rsidRDefault="00F76665">
      <w:pPr>
        <w:pStyle w:val="Heading3"/>
        <w:rPr>
          <w:rFonts w:ascii="Times New Roman" w:hAnsi="Times New Roman" w:hint="default"/>
          <w:sz w:val="24"/>
          <w:szCs w:val="24"/>
        </w:rPr>
      </w:pPr>
      <w:r>
        <w:rPr>
          <w:rFonts w:ascii="Times New Roman" w:hAnsi="Times New Roman" w:hint="default"/>
          <w:b w:val="0"/>
          <w:bCs w:val="0"/>
          <w:sz w:val="24"/>
          <w:szCs w:val="24"/>
        </w:rPr>
        <w:t xml:space="preserve">2.7.2 </w:t>
      </w:r>
      <w:r>
        <w:rPr>
          <w:rFonts w:ascii="Times New Roman" w:hAnsi="Times New Roman" w:hint="default"/>
          <w:b w:val="0"/>
          <w:bCs w:val="0"/>
          <w:sz w:val="24"/>
          <w:szCs w:val="24"/>
        </w:rPr>
        <w:t>The i</w:t>
      </w:r>
      <w:r>
        <w:rPr>
          <w:rFonts w:ascii="Times New Roman" w:hAnsi="Times New Roman" w:hint="default"/>
          <w:b w:val="0"/>
          <w:bCs w:val="0"/>
          <w:sz w:val="24"/>
          <w:szCs w:val="24"/>
        </w:rPr>
        <w:t xml:space="preserve">ndependent </w:t>
      </w:r>
      <w:r>
        <w:rPr>
          <w:rFonts w:ascii="Times New Roman" w:hAnsi="Times New Roman" w:hint="default"/>
          <w:b w:val="0"/>
          <w:bCs w:val="0"/>
          <w:sz w:val="24"/>
          <w:szCs w:val="24"/>
        </w:rPr>
        <w:t>v</w:t>
      </w:r>
      <w:r>
        <w:rPr>
          <w:rFonts w:ascii="Times New Roman" w:hAnsi="Times New Roman" w:hint="default"/>
          <w:b w:val="0"/>
          <w:bCs w:val="0"/>
          <w:sz w:val="24"/>
          <w:szCs w:val="24"/>
        </w:rPr>
        <w:t>ariables</w:t>
      </w:r>
      <w:r>
        <w:rPr>
          <w:rFonts w:ascii="Times New Roman" w:hAnsi="Times New Roman" w:hint="default"/>
          <w:b w:val="0"/>
          <w:bCs w:val="0"/>
          <w:sz w:val="24"/>
          <w:szCs w:val="24"/>
        </w:rPr>
        <w:t xml:space="preserve"> were</w:t>
      </w:r>
      <w:r>
        <w:rPr>
          <w:rFonts w:ascii="Times New Roman" w:hAnsi="Times New Roman" w:hint="default"/>
          <w:sz w:val="24"/>
          <w:szCs w:val="24"/>
        </w:rPr>
        <w:t xml:space="preserve"> </w:t>
      </w:r>
    </w:p>
    <w:p w:rsidR="00E33C4D" w:rsidRDefault="00F76665">
      <w:pPr>
        <w:pStyle w:val="Heading3"/>
        <w:rPr>
          <w:rFonts w:ascii="Times New Roman" w:hAnsi="Times New Roman" w:hint="default"/>
          <w:b w:val="0"/>
          <w:bCs w:val="0"/>
          <w:sz w:val="24"/>
          <w:szCs w:val="24"/>
        </w:rPr>
      </w:pPr>
      <w:r>
        <w:rPr>
          <w:rFonts w:ascii="Times New Roman" w:hAnsi="Times New Roman" w:hint="default"/>
          <w:b w:val="0"/>
          <w:bCs w:val="0"/>
          <w:sz w:val="24"/>
          <w:szCs w:val="24"/>
        </w:rPr>
        <w:t xml:space="preserve">1) </w:t>
      </w:r>
      <w:r>
        <w:rPr>
          <w:rFonts w:ascii="Times New Roman" w:hAnsi="Times New Roman" w:hint="default"/>
          <w:b w:val="0"/>
          <w:bCs w:val="0"/>
          <w:sz w:val="24"/>
          <w:szCs w:val="24"/>
        </w:rPr>
        <w:t>Key Management Decisions (KMD)</w:t>
      </w:r>
      <w:r>
        <w:rPr>
          <w:rFonts w:ascii="Times New Roman" w:hAnsi="Times New Roman" w:hint="default"/>
          <w:b w:val="0"/>
          <w:bCs w:val="0"/>
          <w:sz w:val="24"/>
          <w:szCs w:val="24"/>
        </w:rPr>
        <w:t xml:space="preserve"> such as: </w:t>
      </w:r>
    </w:p>
    <w:p w:rsidR="00E33C4D" w:rsidRDefault="00F76665">
      <w:pPr>
        <w:pStyle w:val="Heading3"/>
        <w:numPr>
          <w:ilvl w:val="0"/>
          <w:numId w:val="1"/>
        </w:numPr>
        <w:rPr>
          <w:rFonts w:ascii="Times New Roman" w:hAnsi="Times New Roman" w:hint="default"/>
          <w:b w:val="0"/>
          <w:bCs w:val="0"/>
          <w:sz w:val="24"/>
          <w:szCs w:val="24"/>
        </w:rPr>
      </w:pPr>
      <w:r>
        <w:rPr>
          <w:rStyle w:val="Strong"/>
          <w:rFonts w:ascii="Times New Roman" w:hAnsi="Times New Roman" w:hint="default"/>
          <w:sz w:val="24"/>
          <w:szCs w:val="24"/>
        </w:rPr>
        <w:t>Procurement (P):</w:t>
      </w:r>
      <w:r>
        <w:rPr>
          <w:rStyle w:val="Strong"/>
          <w:rFonts w:ascii="Times New Roman" w:hAnsi="Times New Roman" w:hint="default"/>
          <w:sz w:val="24"/>
          <w:szCs w:val="24"/>
        </w:rPr>
        <w:t xml:space="preserve"> </w:t>
      </w:r>
      <w:r>
        <w:rPr>
          <w:rFonts w:ascii="Times New Roman" w:hAnsi="Times New Roman" w:hint="default"/>
          <w:b w:val="0"/>
          <w:bCs w:val="0"/>
          <w:sz w:val="24"/>
          <w:szCs w:val="24"/>
        </w:rPr>
        <w:t>Decisions relating to forecasting, quantity determination, sourcing, and</w:t>
      </w:r>
      <w:r>
        <w:rPr>
          <w:rFonts w:ascii="Times New Roman" w:hAnsi="Times New Roman" w:hint="default"/>
          <w:b w:val="0"/>
          <w:bCs w:val="0"/>
          <w:sz w:val="24"/>
          <w:szCs w:val="24"/>
        </w:rPr>
        <w:t xml:space="preserve"> </w:t>
      </w:r>
      <w:r>
        <w:rPr>
          <w:rFonts w:ascii="Times New Roman" w:hAnsi="Times New Roman" w:hint="default"/>
          <w:b w:val="0"/>
          <w:bCs w:val="0"/>
          <w:sz w:val="24"/>
          <w:szCs w:val="24"/>
        </w:rPr>
        <w:t>procurement cycles.</w:t>
      </w:r>
    </w:p>
    <w:p w:rsidR="00E33C4D" w:rsidRDefault="00F76665">
      <w:pPr>
        <w:pStyle w:val="NormalWeb"/>
        <w:numPr>
          <w:ilvl w:val="0"/>
          <w:numId w:val="1"/>
        </w:numPr>
      </w:pPr>
      <w:r>
        <w:rPr>
          <w:rStyle w:val="Strong"/>
          <w:b w:val="0"/>
          <w:bCs w:val="0"/>
        </w:rPr>
        <w:t>Product Selection (PS):</w:t>
      </w:r>
      <w:r>
        <w:rPr>
          <w:rStyle w:val="Strong"/>
          <w:b w:val="0"/>
          <w:bCs w:val="0"/>
        </w:rPr>
        <w:t xml:space="preserve"> </w:t>
      </w:r>
      <w:r>
        <w:t xml:space="preserve">Criteria guiding </w:t>
      </w:r>
      <w:r>
        <w:t>selection of contraceptive brands and methods.</w:t>
      </w:r>
    </w:p>
    <w:p w:rsidR="00E33C4D" w:rsidRDefault="00F76665">
      <w:pPr>
        <w:pStyle w:val="NormalWeb"/>
        <w:numPr>
          <w:ilvl w:val="0"/>
          <w:numId w:val="1"/>
        </w:numPr>
      </w:pPr>
      <w:r>
        <w:rPr>
          <w:rStyle w:val="Strong"/>
          <w:b w:val="0"/>
          <w:bCs w:val="0"/>
        </w:rPr>
        <w:t>Product Range (PR):</w:t>
      </w:r>
      <w:r>
        <w:rPr>
          <w:rStyle w:val="Strong"/>
          <w:b w:val="0"/>
          <w:bCs w:val="0"/>
        </w:rPr>
        <w:t xml:space="preserve"> </w:t>
      </w:r>
      <w:r>
        <w:t>Breadth of contraceptive method mix available at facility level.</w:t>
      </w:r>
    </w:p>
    <w:p w:rsidR="00E33C4D" w:rsidRDefault="00F76665">
      <w:pPr>
        <w:pStyle w:val="NormalWeb"/>
        <w:numPr>
          <w:ilvl w:val="0"/>
          <w:numId w:val="1"/>
        </w:numPr>
      </w:pPr>
      <w:r>
        <w:rPr>
          <w:rStyle w:val="Strong"/>
          <w:b w:val="0"/>
          <w:bCs w:val="0"/>
        </w:rPr>
        <w:t>Cost-Burden Responsibility (CBR):</w:t>
      </w:r>
      <w:r>
        <w:br/>
        <w:t xml:space="preserve">Clarity and allocation of financial responsibility for commodity procurement, </w:t>
      </w:r>
      <w:r>
        <w:t>distribution, and client-level payment.</w:t>
      </w:r>
    </w:p>
    <w:p w:rsidR="00E33C4D" w:rsidRDefault="00F76665">
      <w:pPr>
        <w:pStyle w:val="NormalWeb"/>
      </w:pPr>
      <w:r>
        <w:t xml:space="preserve">A </w:t>
      </w:r>
      <w:r>
        <w:rPr>
          <w:rStyle w:val="Strong"/>
          <w:b w:val="0"/>
          <w:bCs w:val="0"/>
        </w:rPr>
        <w:t>Quality of Decision (QOD)</w:t>
      </w:r>
      <w:r>
        <w:t xml:space="preserve"> score was constructed to assess the effectiveness, consistency, and evidence-basis of decisions within each domain.</w:t>
      </w:r>
    </w:p>
    <w:p w:rsidR="00E33C4D" w:rsidRDefault="00F76665">
      <w:pPr>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 xml:space="preserve"> Facility Operational Practices (FOP)</w:t>
      </w:r>
      <w:r>
        <w:rPr>
          <w:rFonts w:ascii="Times New Roman" w:hAnsi="Times New Roman" w:cs="Times New Roman"/>
          <w:sz w:val="24"/>
          <w:szCs w:val="24"/>
        </w:rPr>
        <w:t xml:space="preserve"> m</w:t>
      </w:r>
      <w:r>
        <w:rPr>
          <w:rFonts w:ascii="Times New Roman" w:hAnsi="Times New Roman" w:cs="Times New Roman"/>
          <w:sz w:val="24"/>
          <w:szCs w:val="24"/>
        </w:rPr>
        <w:t>easured indicators included:</w:t>
      </w:r>
      <w:r>
        <w:rPr>
          <w:rFonts w:ascii="Times New Roman" w:hAnsi="Times New Roman" w:cs="Times New Roman"/>
          <w:sz w:val="24"/>
          <w:szCs w:val="24"/>
        </w:rPr>
        <w:t xml:space="preserve"> </w:t>
      </w:r>
      <w:r>
        <w:rPr>
          <w:rFonts w:ascii="Times New Roman" w:hAnsi="Times New Roman" w:cs="Times New Roman"/>
          <w:sz w:val="24"/>
          <w:szCs w:val="24"/>
        </w:rPr>
        <w:t>Ti</w:t>
      </w:r>
      <w:r>
        <w:rPr>
          <w:rFonts w:ascii="Times New Roman" w:hAnsi="Times New Roman" w:cs="Times New Roman"/>
          <w:sz w:val="24"/>
          <w:szCs w:val="24"/>
        </w:rPr>
        <w:t>me allocation to FP services</w:t>
      </w:r>
      <w:r>
        <w:rPr>
          <w:rFonts w:ascii="Times New Roman" w:hAnsi="Times New Roman" w:cs="Times New Roman"/>
          <w:sz w:val="24"/>
          <w:szCs w:val="24"/>
        </w:rPr>
        <w:t xml:space="preserve">; </w:t>
      </w:r>
      <w:r>
        <w:rPr>
          <w:rFonts w:ascii="Times New Roman" w:hAnsi="Times New Roman" w:cs="Times New Roman"/>
          <w:sz w:val="24"/>
          <w:szCs w:val="24"/>
        </w:rPr>
        <w:t>Personnel productivity</w:t>
      </w:r>
      <w:r>
        <w:rPr>
          <w:rFonts w:ascii="Times New Roman" w:hAnsi="Times New Roman" w:cs="Times New Roman"/>
          <w:sz w:val="24"/>
          <w:szCs w:val="24"/>
        </w:rPr>
        <w:t xml:space="preserve">; </w:t>
      </w:r>
      <w:r>
        <w:rPr>
          <w:rFonts w:ascii="Times New Roman" w:hAnsi="Times New Roman" w:cs="Times New Roman"/>
          <w:sz w:val="24"/>
          <w:szCs w:val="24"/>
        </w:rPr>
        <w:t>Inventory management practices</w:t>
      </w:r>
      <w:r>
        <w:rPr>
          <w:rFonts w:ascii="Times New Roman" w:hAnsi="Times New Roman" w:cs="Times New Roman"/>
          <w:sz w:val="24"/>
          <w:szCs w:val="24"/>
        </w:rPr>
        <w:t xml:space="preserve">; </w:t>
      </w:r>
      <w:r>
        <w:rPr>
          <w:rFonts w:ascii="Times New Roman" w:hAnsi="Times New Roman" w:cs="Times New Roman"/>
          <w:sz w:val="24"/>
          <w:szCs w:val="24"/>
        </w:rPr>
        <w:t>Compliance with prescription protocols</w:t>
      </w:r>
      <w:r>
        <w:rPr>
          <w:rFonts w:ascii="Times New Roman" w:hAnsi="Times New Roman" w:cs="Times New Roman"/>
          <w:sz w:val="24"/>
          <w:szCs w:val="24"/>
        </w:rPr>
        <w:t xml:space="preserve">; and </w:t>
      </w:r>
      <w:r>
        <w:rPr>
          <w:rFonts w:ascii="Times New Roman" w:hAnsi="Times New Roman" w:cs="Times New Roman"/>
          <w:sz w:val="24"/>
          <w:szCs w:val="24"/>
        </w:rPr>
        <w:t>Client service coverage</w:t>
      </w:r>
    </w:p>
    <w:p w:rsidR="00E33C4D" w:rsidRDefault="00F76665">
      <w:pPr>
        <w:pStyle w:val="Heading4"/>
        <w:rPr>
          <w:rFonts w:ascii="Times New Roman" w:hAnsi="Times New Roman" w:hint="default"/>
          <w:b w:val="0"/>
          <w:bCs w:val="0"/>
        </w:rPr>
      </w:pPr>
      <w:r>
        <w:rPr>
          <w:rFonts w:ascii="Times New Roman" w:hAnsi="Times New Roman" w:hint="default"/>
          <w:b w:val="0"/>
          <w:bCs w:val="0"/>
        </w:rPr>
        <w:t>3)</w:t>
      </w:r>
      <w:r>
        <w:rPr>
          <w:rFonts w:ascii="Times New Roman" w:hAnsi="Times New Roman" w:hint="default"/>
          <w:b w:val="0"/>
          <w:bCs w:val="0"/>
        </w:rPr>
        <w:t xml:space="preserve"> Distribution Constraints (DC)</w:t>
      </w:r>
      <w:r>
        <w:rPr>
          <w:rFonts w:ascii="Times New Roman" w:hAnsi="Times New Roman" w:hint="default"/>
          <w:b w:val="0"/>
          <w:bCs w:val="0"/>
        </w:rPr>
        <w:t xml:space="preserve"> a</w:t>
      </w:r>
      <w:r>
        <w:rPr>
          <w:rFonts w:ascii="Times New Roman" w:hAnsi="Times New Roman" w:hint="default"/>
          <w:b w:val="0"/>
          <w:bCs w:val="0"/>
        </w:rPr>
        <w:t xml:space="preserve">ssessed barriers </w:t>
      </w:r>
      <w:r>
        <w:rPr>
          <w:rFonts w:ascii="Times New Roman" w:hAnsi="Times New Roman" w:hint="default"/>
          <w:b w:val="0"/>
          <w:bCs w:val="0"/>
        </w:rPr>
        <w:t>such as</w:t>
      </w:r>
      <w:r>
        <w:rPr>
          <w:rFonts w:ascii="Times New Roman" w:hAnsi="Times New Roman" w:hint="default"/>
          <w:b w:val="0"/>
          <w:bCs w:val="0"/>
        </w:rPr>
        <w:t>:</w:t>
      </w:r>
      <w:r>
        <w:rPr>
          <w:rFonts w:ascii="Times New Roman" w:hAnsi="Times New Roman" w:hint="default"/>
          <w:b w:val="0"/>
          <w:bCs w:val="0"/>
        </w:rPr>
        <w:t xml:space="preserve"> </w:t>
      </w:r>
      <w:r>
        <w:rPr>
          <w:rFonts w:ascii="Times New Roman" w:hAnsi="Times New Roman" w:hint="default"/>
          <w:b w:val="0"/>
          <w:bCs w:val="0"/>
        </w:rPr>
        <w:t>High delivery cost</w:t>
      </w:r>
      <w:r>
        <w:rPr>
          <w:rFonts w:ascii="Times New Roman" w:hAnsi="Times New Roman" w:hint="default"/>
          <w:b w:val="0"/>
          <w:bCs w:val="0"/>
        </w:rPr>
        <w:t xml:space="preserve">; </w:t>
      </w:r>
      <w:r>
        <w:rPr>
          <w:rFonts w:ascii="Times New Roman" w:hAnsi="Times New Roman" w:hint="default"/>
          <w:b w:val="0"/>
          <w:bCs w:val="0"/>
        </w:rPr>
        <w:t>Transportation delays</w:t>
      </w:r>
      <w:r>
        <w:rPr>
          <w:rFonts w:ascii="Times New Roman" w:hAnsi="Times New Roman" w:hint="default"/>
          <w:b w:val="0"/>
          <w:bCs w:val="0"/>
        </w:rPr>
        <w:t>;</w:t>
      </w:r>
      <w:r>
        <w:rPr>
          <w:rFonts w:ascii="Times New Roman" w:hAnsi="Times New Roman" w:hint="default"/>
          <w:b w:val="0"/>
          <w:bCs w:val="0"/>
        </w:rPr>
        <w:t xml:space="preserve"> </w:t>
      </w:r>
      <w:r>
        <w:rPr>
          <w:rFonts w:ascii="Times New Roman" w:hAnsi="Times New Roman" w:hint="default"/>
          <w:b w:val="0"/>
          <w:bCs w:val="0"/>
        </w:rPr>
        <w:t>Stock management challenges</w:t>
      </w:r>
      <w:r>
        <w:rPr>
          <w:rFonts w:ascii="Times New Roman" w:hAnsi="Times New Roman" w:hint="default"/>
          <w:b w:val="0"/>
          <w:bCs w:val="0"/>
        </w:rPr>
        <w:t xml:space="preserve">; </w:t>
      </w:r>
      <w:r>
        <w:rPr>
          <w:rFonts w:ascii="Times New Roman" w:hAnsi="Times New Roman" w:hint="default"/>
          <w:b w:val="0"/>
          <w:bCs w:val="0"/>
        </w:rPr>
        <w:t>Bureaucratic bottlenecks</w:t>
      </w:r>
      <w:r>
        <w:rPr>
          <w:rFonts w:ascii="Times New Roman" w:hAnsi="Times New Roman" w:hint="default"/>
          <w:b w:val="0"/>
          <w:bCs w:val="0"/>
        </w:rPr>
        <w:t xml:space="preserve">; and </w:t>
      </w:r>
      <w:r>
        <w:rPr>
          <w:rFonts w:ascii="Times New Roman" w:hAnsi="Times New Roman" w:hint="default"/>
          <w:b w:val="0"/>
          <w:bCs w:val="0"/>
        </w:rPr>
        <w:t>Infrastructure limitations</w:t>
      </w:r>
      <w:r>
        <w:rPr>
          <w:rFonts w:ascii="Times New Roman" w:hAnsi="Times New Roman" w:hint="default"/>
          <w:b w:val="0"/>
          <w:bCs w:val="0"/>
        </w:rPr>
        <w:t>.</w:t>
      </w:r>
    </w:p>
    <w:p w:rsidR="00E33C4D" w:rsidRDefault="00F76665">
      <w:pPr>
        <w:pStyle w:val="Heading2"/>
        <w:rPr>
          <w:rFonts w:ascii="Times New Roman" w:hAnsi="Times New Roman" w:hint="default"/>
          <w:sz w:val="24"/>
          <w:szCs w:val="24"/>
        </w:rPr>
      </w:pPr>
      <w:r>
        <w:rPr>
          <w:rFonts w:ascii="Times New Roman" w:hAnsi="Times New Roman" w:hint="default"/>
          <w:sz w:val="24"/>
          <w:szCs w:val="24"/>
        </w:rPr>
        <w:t>2.8 Data Management and Statistical Analysis</w:t>
      </w:r>
    </w:p>
    <w:p w:rsidR="00E33C4D" w:rsidRDefault="00F76665">
      <w:pPr>
        <w:pStyle w:val="NormalWeb"/>
      </w:pPr>
      <w:r>
        <w:t xml:space="preserve">Data were coded and entered into </w:t>
      </w:r>
      <w:r>
        <w:t>SPSS version 23</w:t>
      </w:r>
      <w:r>
        <w:t xml:space="preserve"> for analysis.</w:t>
      </w:r>
      <w:r>
        <w:t xml:space="preserve"> </w:t>
      </w:r>
      <w:r>
        <w:t xml:space="preserve">Frequencies and percentages were computed for categorical </w:t>
      </w:r>
      <w:r>
        <w:t>variables.</w:t>
      </w:r>
      <w:r>
        <w:t xml:space="preserve"> </w:t>
      </w:r>
      <w:r>
        <w:t>Means and standard deviations were calculated for continuous variables.</w:t>
      </w:r>
      <w:r>
        <w:t xml:space="preserve"> </w:t>
      </w:r>
      <w:r>
        <w:t>Associations between categorical variables were tested using the Chi-square (χ²) test at a 5% level of significance.</w:t>
      </w:r>
    </w:p>
    <w:p w:rsidR="00E33C4D" w:rsidRDefault="00F76665">
      <w:pPr>
        <w:pStyle w:val="NormalWeb"/>
      </w:pPr>
      <w:r>
        <w:t xml:space="preserve">To determine the collective and individual influence of </w:t>
      </w:r>
      <w:r>
        <w:t>independent variables on distribution performanc</w:t>
      </w:r>
      <w:r>
        <w:t xml:space="preserve">e, </w:t>
      </w:r>
      <w:r>
        <w:rPr>
          <w:rStyle w:val="Strong"/>
          <w:b w:val="0"/>
          <w:bCs w:val="0"/>
        </w:rPr>
        <w:t>Multiple Regression and Correlation Analysis (MRCA)</w:t>
      </w:r>
      <w:r>
        <w:t xml:space="preserve"> </w:t>
      </w:r>
      <w:r>
        <w:t>was conducted.</w:t>
      </w:r>
    </w:p>
    <w:p w:rsidR="00E33C4D" w:rsidRDefault="00F76665">
      <w:pPr>
        <w:pStyle w:val="NormalWeb"/>
      </w:pPr>
      <w:r>
        <w:t>The regression model was specified as:</w:t>
      </w:r>
    </w:p>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FPCDP=β0+β1(P)+β2(PS)+β3(PR)+β4(CBR)+β5(FOP)+β6(DC)+εFPCDP = β₀ + β₁(P) + β₂(PS) + β₃(PR) + β₄(CBR)</w:t>
      </w:r>
      <w:r>
        <w:rPr>
          <w:rFonts w:ascii="Times New Roman" w:eastAsia="SimSun" w:hAnsi="Times New Roman" w:cs="Times New Roman"/>
          <w:sz w:val="24"/>
          <w:szCs w:val="24"/>
          <w:lang w:bidi="ar"/>
        </w:rPr>
        <w:t xml:space="preserve"> + β₅(FOP) + β₆(DC) + εFPCDP=β0​+β1​(P)+β2​(PS)+β3​(PR)+β4​(CBR)+β5​(FOP)+β6​(DC)+ε </w:t>
      </w:r>
    </w:p>
    <w:p w:rsidR="00E33C4D" w:rsidRDefault="00F76665">
      <w:pPr>
        <w:pStyle w:val="NormalWeb"/>
      </w:pPr>
      <w:r>
        <w:t>Where:</w:t>
      </w:r>
    </w:p>
    <w:p w:rsidR="00E33C4D" w:rsidRDefault="00F76665">
      <w:pPr>
        <w:pStyle w:val="NormalWeb"/>
      </w:pPr>
      <w:r>
        <w:t>FPCDP = Family Planning Commodity Distribution Performance</w:t>
      </w:r>
    </w:p>
    <w:p w:rsidR="00E33C4D" w:rsidRDefault="00F76665">
      <w:pPr>
        <w:pStyle w:val="NormalWeb"/>
      </w:pPr>
      <w:r>
        <w:t>P = Procurement decision quality</w:t>
      </w:r>
    </w:p>
    <w:p w:rsidR="00E33C4D" w:rsidRDefault="00F76665">
      <w:pPr>
        <w:pStyle w:val="NormalWeb"/>
      </w:pPr>
      <w:r>
        <w:t>PS = Product Selection decision quality</w:t>
      </w:r>
    </w:p>
    <w:p w:rsidR="00E33C4D" w:rsidRDefault="00F76665">
      <w:pPr>
        <w:pStyle w:val="NormalWeb"/>
      </w:pPr>
      <w:r>
        <w:t>PR = Product Range decision qual</w:t>
      </w:r>
      <w:r>
        <w:t>ity</w:t>
      </w:r>
    </w:p>
    <w:p w:rsidR="00E33C4D" w:rsidRDefault="00F76665">
      <w:pPr>
        <w:pStyle w:val="NormalWeb"/>
      </w:pPr>
      <w:r>
        <w:t>CBR = Cost-Burden Responsibility decision quality</w:t>
      </w:r>
    </w:p>
    <w:p w:rsidR="00E33C4D" w:rsidRDefault="00F76665">
      <w:pPr>
        <w:pStyle w:val="NormalWeb"/>
      </w:pPr>
      <w:r>
        <w:t>FOP = Facility Operational Practices</w:t>
      </w:r>
    </w:p>
    <w:p w:rsidR="00E33C4D" w:rsidRDefault="00F76665">
      <w:pPr>
        <w:pStyle w:val="NormalWeb"/>
      </w:pPr>
      <w:r>
        <w:t>DC = Distribution Constraints</w:t>
      </w:r>
    </w:p>
    <w:p w:rsidR="00E33C4D" w:rsidRDefault="00F76665">
      <w:pPr>
        <w:pStyle w:val="NormalWeb"/>
      </w:pPr>
      <w:r>
        <w:t>β₀ = Intercept</w:t>
      </w:r>
    </w:p>
    <w:p w:rsidR="00E33C4D" w:rsidRDefault="00F76665">
      <w:pPr>
        <w:pStyle w:val="NormalWeb"/>
      </w:pPr>
      <w:r>
        <w:t>β₁–β₆ = Regression coefficients</w:t>
      </w:r>
    </w:p>
    <w:p w:rsidR="00E33C4D" w:rsidRDefault="00F76665">
      <w:pPr>
        <w:pStyle w:val="NormalWeb"/>
      </w:pPr>
      <w:r>
        <w:t>ε = Error term</w:t>
      </w:r>
    </w:p>
    <w:p w:rsidR="00E33C4D" w:rsidRDefault="00F76665">
      <w:pPr>
        <w:pStyle w:val="NormalWeb"/>
      </w:pPr>
      <w:r>
        <w:t xml:space="preserve">Statistical significance was set at </w:t>
      </w:r>
      <w:r>
        <w:rPr>
          <w:rStyle w:val="Strong"/>
        </w:rPr>
        <w:t>p &lt; 0.05</w:t>
      </w:r>
      <w:r>
        <w:t>.</w:t>
      </w:r>
      <w:r>
        <w:t xml:space="preserve"> </w:t>
      </w:r>
      <w:r>
        <w:t xml:space="preserve">Model fitness was assessed </w:t>
      </w:r>
      <w:r>
        <w:t>using</w:t>
      </w:r>
      <w:r>
        <w:t xml:space="preserve"> </w:t>
      </w:r>
      <w:r>
        <w:t>R and R² statistics</w:t>
      </w:r>
      <w:r>
        <w:t xml:space="preserve">; </w:t>
      </w:r>
      <w:r>
        <w:t>Adjusted R²</w:t>
      </w:r>
      <w:r>
        <w:t xml:space="preserve"> and </w:t>
      </w:r>
      <w:r>
        <w:t>F-statistic</w:t>
      </w:r>
      <w:r>
        <w:t xml:space="preserve">. </w:t>
      </w:r>
      <w:r>
        <w:t>Multicollinearity diagnostics were conducted to ensure independence among predictor variables.</w:t>
      </w:r>
    </w:p>
    <w:p w:rsidR="00E33C4D" w:rsidRDefault="00F76665">
      <w:pPr>
        <w:pStyle w:val="Heading2"/>
        <w:rPr>
          <w:rFonts w:ascii="Times New Roman" w:hAnsi="Times New Roman" w:hint="default"/>
          <w:sz w:val="24"/>
          <w:szCs w:val="24"/>
        </w:rPr>
      </w:pPr>
      <w:r>
        <w:rPr>
          <w:rFonts w:ascii="Times New Roman" w:hAnsi="Times New Roman" w:hint="default"/>
          <w:sz w:val="24"/>
          <w:szCs w:val="24"/>
        </w:rPr>
        <w:lastRenderedPageBreak/>
        <w:t>2.9 Ethical Considerations</w:t>
      </w:r>
    </w:p>
    <w:p w:rsidR="00E33C4D" w:rsidRDefault="00F76665">
      <w:pPr>
        <w:pStyle w:val="NormalWeb"/>
      </w:pPr>
      <w:r>
        <w:t xml:space="preserve">Ethical approval was obtained from the State Health Research Ethics Committee </w:t>
      </w:r>
      <w:r>
        <w:t>prior to commencement of the study. Permission was also secured from the Imo State Ministry of Health and relevant Local Government Health Authorities.</w:t>
      </w:r>
      <w:r>
        <w:t xml:space="preserve"> </w:t>
      </w:r>
      <w:r>
        <w:t>Participation was voluntary. Written informed consent was obtained from all respondents. Confidentiality</w:t>
      </w:r>
      <w:r>
        <w:t xml:space="preserve"> and anonymity were strictly maintained throughout data collection, analysis, and reporting.</w:t>
      </w:r>
    </w:p>
    <w:p w:rsidR="00E33C4D" w:rsidRDefault="00F76665">
      <w:pPr>
        <w:pStyle w:val="Heading1"/>
        <w:rPr>
          <w:rFonts w:ascii="Times New Roman" w:hAnsi="Times New Roman" w:hint="default"/>
          <w:sz w:val="24"/>
          <w:szCs w:val="24"/>
        </w:rPr>
      </w:pPr>
      <w:r>
        <w:rPr>
          <w:rFonts w:ascii="Times New Roman" w:hAnsi="Times New Roman" w:hint="default"/>
          <w:sz w:val="24"/>
          <w:szCs w:val="24"/>
        </w:rPr>
        <w:t xml:space="preserve">3. </w:t>
      </w:r>
      <w:r>
        <w:rPr>
          <w:rFonts w:ascii="Times New Roman" w:hAnsi="Times New Roman" w:hint="default"/>
          <w:sz w:val="28"/>
          <w:szCs w:val="28"/>
        </w:rPr>
        <w:t>Results</w:t>
      </w:r>
    </w:p>
    <w:p w:rsidR="00E33C4D" w:rsidRDefault="00F76665">
      <w:pPr>
        <w:pStyle w:val="Heading2"/>
        <w:rPr>
          <w:rFonts w:ascii="Times New Roman" w:hAnsi="Times New Roman" w:hint="default"/>
          <w:sz w:val="24"/>
          <w:szCs w:val="24"/>
        </w:rPr>
      </w:pPr>
      <w:r>
        <w:rPr>
          <w:rFonts w:ascii="Times New Roman" w:hAnsi="Times New Roman" w:hint="default"/>
          <w:sz w:val="24"/>
          <w:szCs w:val="24"/>
        </w:rPr>
        <w:t>3.1 Socio-Demographic Characteristics of Respondents</w:t>
      </w:r>
    </w:p>
    <w:p w:rsidR="00E33C4D" w:rsidRDefault="00F76665">
      <w:pPr>
        <w:pStyle w:val="NormalWeb"/>
      </w:pPr>
      <w:r>
        <w:t>A total of 130 family planning service providers from 70 public health facilities across 27 Local G</w:t>
      </w:r>
      <w:r>
        <w:t>overnment Areas participated in the study. All respondents were female. The majority were aged 40–49 years (33.8%), followed by 50–59 years (29.2%) and 30–39 years (27.7%). Nurses constituted 78.5% of respondents, while 20.0% were Community Health Extensio</w:t>
      </w:r>
      <w:r>
        <w:t>n Workers (CHEWs) or other cadres. Most respondents (90.0%) had tertiary education, and 76.2% occupied senior-level positions</w:t>
      </w:r>
      <w:r>
        <w:t xml:space="preserve"> (see Table 1)</w:t>
      </w:r>
      <w:r>
        <w:t>.</w:t>
      </w:r>
    </w:p>
    <w:p w:rsidR="00E33C4D" w:rsidRDefault="00F76665">
      <w:pPr>
        <w:pStyle w:val="Heading3"/>
        <w:rPr>
          <w:rFonts w:ascii="Times New Roman" w:hAnsi="Times New Roman" w:hint="default"/>
          <w:sz w:val="24"/>
          <w:szCs w:val="24"/>
        </w:rPr>
      </w:pPr>
      <w:r>
        <w:rPr>
          <w:rStyle w:val="Strong"/>
          <w:rFonts w:ascii="Times New Roman" w:hAnsi="Times New Roman" w:hint="default"/>
          <w:b/>
          <w:bCs/>
          <w:sz w:val="24"/>
          <w:szCs w:val="24"/>
        </w:rPr>
        <w:t>Table 1. Socio-Demographic Characteristics of Respondents</w:t>
      </w:r>
    </w:p>
    <w:tbl>
      <w:tblPr>
        <w:tblW w:w="4998" w:type="pct"/>
        <w:tblCellSpacing w:w="15" w:type="dxa"/>
        <w:tblCellMar>
          <w:top w:w="15" w:type="dxa"/>
          <w:left w:w="15" w:type="dxa"/>
          <w:bottom w:w="15" w:type="dxa"/>
          <w:right w:w="15" w:type="dxa"/>
        </w:tblCellMar>
        <w:tblLook w:val="04A0" w:firstRow="1" w:lastRow="0" w:firstColumn="1" w:lastColumn="0" w:noHBand="0" w:noVBand="1"/>
      </w:tblPr>
      <w:tblGrid>
        <w:gridCol w:w="2650"/>
        <w:gridCol w:w="3989"/>
        <w:gridCol w:w="1079"/>
        <w:gridCol w:w="675"/>
      </w:tblGrid>
      <w:tr w:rsidR="00E33C4D">
        <w:trPr>
          <w:tblHeader/>
          <w:tblCellSpacing w:w="15" w:type="dxa"/>
        </w:trPr>
        <w:tc>
          <w:tcPr>
            <w:tcW w:w="1552"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Variable</w:t>
            </w:r>
          </w:p>
        </w:tc>
        <w:tc>
          <w:tcPr>
            <w:tcW w:w="2358"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Category</w:t>
            </w:r>
          </w:p>
        </w:tc>
        <w:tc>
          <w:tcPr>
            <w:tcW w:w="624"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 = 130</w:t>
            </w:r>
          </w:p>
        </w:tc>
        <w:tc>
          <w:tcPr>
            <w:tcW w:w="375"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w:t>
            </w:r>
          </w:p>
        </w:tc>
      </w:tr>
      <w:tr w:rsidR="00E33C4D">
        <w:trPr>
          <w:tblCellSpacing w:w="15" w:type="dxa"/>
        </w:trPr>
        <w:tc>
          <w:tcPr>
            <w:tcW w:w="1552" w:type="pct"/>
            <w:shd w:val="clear" w:color="auto" w:fill="auto"/>
            <w:vAlign w:val="center"/>
          </w:tcPr>
          <w:p w:rsidR="00E33C4D" w:rsidRDefault="00F76665">
            <w:pPr>
              <w:rPr>
                <w:rFonts w:ascii="Times New Roman" w:hAnsi="Times New Roman" w:cs="Times New Roman"/>
                <w:sz w:val="24"/>
                <w:szCs w:val="24"/>
              </w:rPr>
            </w:pPr>
            <w:r>
              <w:rPr>
                <w:rStyle w:val="Strong"/>
                <w:rFonts w:ascii="Times New Roman" w:eastAsia="SimSun" w:hAnsi="Times New Roman" w:cs="Times New Roman"/>
                <w:sz w:val="24"/>
                <w:szCs w:val="24"/>
                <w:lang w:bidi="ar"/>
              </w:rPr>
              <w:t>Gender</w:t>
            </w:r>
          </w:p>
        </w:tc>
        <w:tc>
          <w:tcPr>
            <w:tcW w:w="2358"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Female</w:t>
            </w:r>
          </w:p>
        </w:tc>
        <w:tc>
          <w:tcPr>
            <w:tcW w:w="624"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130</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100</w:t>
            </w:r>
          </w:p>
        </w:tc>
      </w:tr>
      <w:tr w:rsidR="00E33C4D">
        <w:trPr>
          <w:tblCellSpacing w:w="15" w:type="dxa"/>
        </w:trPr>
        <w:tc>
          <w:tcPr>
            <w:tcW w:w="1552" w:type="pct"/>
            <w:shd w:val="clear" w:color="auto" w:fill="auto"/>
            <w:vAlign w:val="center"/>
          </w:tcPr>
          <w:p w:rsidR="00E33C4D" w:rsidRDefault="00E33C4D">
            <w:pPr>
              <w:rPr>
                <w:rFonts w:ascii="Times New Roman" w:hAnsi="Times New Roman" w:cs="Times New Roman"/>
                <w:sz w:val="24"/>
                <w:szCs w:val="24"/>
              </w:rPr>
            </w:pPr>
          </w:p>
        </w:tc>
        <w:tc>
          <w:tcPr>
            <w:tcW w:w="2358"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Male</w:t>
            </w:r>
          </w:p>
        </w:tc>
        <w:tc>
          <w:tcPr>
            <w:tcW w:w="624"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w:t>
            </w:r>
          </w:p>
        </w:tc>
      </w:tr>
      <w:tr w:rsidR="00E33C4D">
        <w:trPr>
          <w:tblCellSpacing w:w="15" w:type="dxa"/>
        </w:trPr>
        <w:tc>
          <w:tcPr>
            <w:tcW w:w="1552" w:type="pct"/>
            <w:shd w:val="clear" w:color="auto" w:fill="auto"/>
            <w:vAlign w:val="center"/>
          </w:tcPr>
          <w:p w:rsidR="00E33C4D" w:rsidRDefault="00F76665">
            <w:pPr>
              <w:rPr>
                <w:rFonts w:ascii="Times New Roman" w:hAnsi="Times New Roman" w:cs="Times New Roman"/>
                <w:sz w:val="24"/>
                <w:szCs w:val="24"/>
              </w:rPr>
            </w:pPr>
            <w:r>
              <w:rPr>
                <w:rStyle w:val="Strong"/>
                <w:rFonts w:ascii="Times New Roman" w:eastAsia="SimSun" w:hAnsi="Times New Roman" w:cs="Times New Roman"/>
                <w:sz w:val="24"/>
                <w:szCs w:val="24"/>
                <w:lang w:bidi="ar"/>
              </w:rPr>
              <w:t>Age (years)</w:t>
            </w:r>
          </w:p>
        </w:tc>
        <w:tc>
          <w:tcPr>
            <w:tcW w:w="2358"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20–29</w:t>
            </w:r>
          </w:p>
        </w:tc>
        <w:tc>
          <w:tcPr>
            <w:tcW w:w="624"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12</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9.2</w:t>
            </w:r>
          </w:p>
        </w:tc>
      </w:tr>
      <w:tr w:rsidR="00E33C4D">
        <w:trPr>
          <w:tblCellSpacing w:w="15" w:type="dxa"/>
        </w:trPr>
        <w:tc>
          <w:tcPr>
            <w:tcW w:w="1552" w:type="pct"/>
            <w:shd w:val="clear" w:color="auto" w:fill="auto"/>
            <w:vAlign w:val="center"/>
          </w:tcPr>
          <w:p w:rsidR="00E33C4D" w:rsidRDefault="00E33C4D">
            <w:pPr>
              <w:rPr>
                <w:rFonts w:ascii="Times New Roman" w:hAnsi="Times New Roman" w:cs="Times New Roman"/>
                <w:sz w:val="24"/>
                <w:szCs w:val="24"/>
              </w:rPr>
            </w:pPr>
          </w:p>
        </w:tc>
        <w:tc>
          <w:tcPr>
            <w:tcW w:w="2358"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30–39</w:t>
            </w:r>
          </w:p>
        </w:tc>
        <w:tc>
          <w:tcPr>
            <w:tcW w:w="624"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36</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27.7</w:t>
            </w:r>
          </w:p>
        </w:tc>
      </w:tr>
      <w:tr w:rsidR="00E33C4D">
        <w:trPr>
          <w:tblCellSpacing w:w="15" w:type="dxa"/>
        </w:trPr>
        <w:tc>
          <w:tcPr>
            <w:tcW w:w="1552" w:type="pct"/>
            <w:shd w:val="clear" w:color="auto" w:fill="auto"/>
            <w:vAlign w:val="center"/>
          </w:tcPr>
          <w:p w:rsidR="00E33C4D" w:rsidRDefault="00E33C4D">
            <w:pPr>
              <w:rPr>
                <w:rFonts w:ascii="Times New Roman" w:hAnsi="Times New Roman" w:cs="Times New Roman"/>
                <w:sz w:val="24"/>
                <w:szCs w:val="24"/>
              </w:rPr>
            </w:pPr>
          </w:p>
        </w:tc>
        <w:tc>
          <w:tcPr>
            <w:tcW w:w="2358"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40–49</w:t>
            </w:r>
          </w:p>
        </w:tc>
        <w:tc>
          <w:tcPr>
            <w:tcW w:w="624"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44</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33.8</w:t>
            </w:r>
          </w:p>
        </w:tc>
      </w:tr>
      <w:tr w:rsidR="00E33C4D">
        <w:trPr>
          <w:tblCellSpacing w:w="15" w:type="dxa"/>
        </w:trPr>
        <w:tc>
          <w:tcPr>
            <w:tcW w:w="1552" w:type="pct"/>
            <w:shd w:val="clear" w:color="auto" w:fill="auto"/>
            <w:vAlign w:val="center"/>
          </w:tcPr>
          <w:p w:rsidR="00E33C4D" w:rsidRDefault="00E33C4D">
            <w:pPr>
              <w:rPr>
                <w:rFonts w:ascii="Times New Roman" w:hAnsi="Times New Roman" w:cs="Times New Roman"/>
                <w:sz w:val="24"/>
                <w:szCs w:val="24"/>
              </w:rPr>
            </w:pPr>
          </w:p>
        </w:tc>
        <w:tc>
          <w:tcPr>
            <w:tcW w:w="2358"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50–59</w:t>
            </w:r>
          </w:p>
        </w:tc>
        <w:tc>
          <w:tcPr>
            <w:tcW w:w="624"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38</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29.2</w:t>
            </w:r>
          </w:p>
        </w:tc>
      </w:tr>
      <w:tr w:rsidR="00E33C4D">
        <w:trPr>
          <w:tblCellSpacing w:w="15" w:type="dxa"/>
        </w:trPr>
        <w:tc>
          <w:tcPr>
            <w:tcW w:w="1552" w:type="pct"/>
            <w:shd w:val="clear" w:color="auto" w:fill="auto"/>
            <w:vAlign w:val="center"/>
          </w:tcPr>
          <w:p w:rsidR="00E33C4D" w:rsidRDefault="00F76665">
            <w:pPr>
              <w:rPr>
                <w:rFonts w:ascii="Times New Roman" w:hAnsi="Times New Roman" w:cs="Times New Roman"/>
                <w:sz w:val="24"/>
                <w:szCs w:val="24"/>
              </w:rPr>
            </w:pPr>
            <w:r>
              <w:rPr>
                <w:rStyle w:val="Strong"/>
                <w:rFonts w:ascii="Times New Roman" w:eastAsia="SimSun" w:hAnsi="Times New Roman" w:cs="Times New Roman"/>
                <w:sz w:val="24"/>
                <w:szCs w:val="24"/>
                <w:lang w:bidi="ar"/>
              </w:rPr>
              <w:t>Occupation</w:t>
            </w:r>
          </w:p>
        </w:tc>
        <w:tc>
          <w:tcPr>
            <w:tcW w:w="2358"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Physician</w:t>
            </w:r>
          </w:p>
        </w:tc>
        <w:tc>
          <w:tcPr>
            <w:tcW w:w="624"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2</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1.5</w:t>
            </w:r>
          </w:p>
        </w:tc>
      </w:tr>
      <w:tr w:rsidR="00E33C4D">
        <w:trPr>
          <w:tblCellSpacing w:w="15" w:type="dxa"/>
        </w:trPr>
        <w:tc>
          <w:tcPr>
            <w:tcW w:w="1552" w:type="pct"/>
            <w:shd w:val="clear" w:color="auto" w:fill="auto"/>
            <w:vAlign w:val="center"/>
          </w:tcPr>
          <w:p w:rsidR="00E33C4D" w:rsidRDefault="00E33C4D">
            <w:pPr>
              <w:rPr>
                <w:rFonts w:ascii="Times New Roman" w:hAnsi="Times New Roman" w:cs="Times New Roman"/>
                <w:sz w:val="24"/>
                <w:szCs w:val="24"/>
              </w:rPr>
            </w:pPr>
          </w:p>
        </w:tc>
        <w:tc>
          <w:tcPr>
            <w:tcW w:w="2358"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Nurse</w:t>
            </w:r>
          </w:p>
        </w:tc>
        <w:tc>
          <w:tcPr>
            <w:tcW w:w="624"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102</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78.5</w:t>
            </w:r>
          </w:p>
        </w:tc>
      </w:tr>
      <w:tr w:rsidR="00E33C4D">
        <w:trPr>
          <w:tblCellSpacing w:w="15" w:type="dxa"/>
        </w:trPr>
        <w:tc>
          <w:tcPr>
            <w:tcW w:w="1552" w:type="pct"/>
            <w:shd w:val="clear" w:color="auto" w:fill="auto"/>
            <w:vAlign w:val="center"/>
          </w:tcPr>
          <w:p w:rsidR="00E33C4D" w:rsidRDefault="00E33C4D">
            <w:pPr>
              <w:rPr>
                <w:rFonts w:ascii="Times New Roman" w:hAnsi="Times New Roman" w:cs="Times New Roman"/>
                <w:sz w:val="24"/>
                <w:szCs w:val="24"/>
              </w:rPr>
            </w:pPr>
          </w:p>
        </w:tc>
        <w:tc>
          <w:tcPr>
            <w:tcW w:w="2358"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CHEW/others</w:t>
            </w:r>
          </w:p>
        </w:tc>
        <w:tc>
          <w:tcPr>
            <w:tcW w:w="624"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26</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20.0</w:t>
            </w:r>
          </w:p>
        </w:tc>
      </w:tr>
      <w:tr w:rsidR="00E33C4D">
        <w:trPr>
          <w:tblCellSpacing w:w="15" w:type="dxa"/>
        </w:trPr>
        <w:tc>
          <w:tcPr>
            <w:tcW w:w="1552" w:type="pct"/>
            <w:shd w:val="clear" w:color="auto" w:fill="auto"/>
            <w:vAlign w:val="center"/>
          </w:tcPr>
          <w:p w:rsidR="00E33C4D" w:rsidRDefault="00E33C4D">
            <w:pPr>
              <w:rPr>
                <w:rFonts w:ascii="Times New Roman" w:hAnsi="Times New Roman" w:cs="Times New Roman"/>
                <w:sz w:val="24"/>
                <w:szCs w:val="24"/>
              </w:rPr>
            </w:pPr>
          </w:p>
        </w:tc>
        <w:tc>
          <w:tcPr>
            <w:tcW w:w="2358"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Pharmacist/Pharmacy Technician</w:t>
            </w:r>
          </w:p>
        </w:tc>
        <w:tc>
          <w:tcPr>
            <w:tcW w:w="624"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w:t>
            </w:r>
          </w:p>
        </w:tc>
      </w:tr>
      <w:tr w:rsidR="00E33C4D">
        <w:trPr>
          <w:tblCellSpacing w:w="15" w:type="dxa"/>
        </w:trPr>
        <w:tc>
          <w:tcPr>
            <w:tcW w:w="1552" w:type="pct"/>
            <w:shd w:val="clear" w:color="auto" w:fill="auto"/>
            <w:vAlign w:val="center"/>
          </w:tcPr>
          <w:p w:rsidR="00E33C4D" w:rsidRDefault="00F76665">
            <w:pPr>
              <w:rPr>
                <w:rFonts w:ascii="Times New Roman" w:hAnsi="Times New Roman" w:cs="Times New Roman"/>
                <w:sz w:val="24"/>
                <w:szCs w:val="24"/>
              </w:rPr>
            </w:pPr>
            <w:r>
              <w:rPr>
                <w:rStyle w:val="Strong"/>
                <w:rFonts w:ascii="Times New Roman" w:eastAsia="SimSun" w:hAnsi="Times New Roman" w:cs="Times New Roman"/>
                <w:sz w:val="24"/>
                <w:szCs w:val="24"/>
                <w:lang w:bidi="ar"/>
              </w:rPr>
              <w:t>Educational Level</w:t>
            </w:r>
          </w:p>
        </w:tc>
        <w:tc>
          <w:tcPr>
            <w:tcW w:w="2358"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Secondary</w:t>
            </w:r>
          </w:p>
        </w:tc>
        <w:tc>
          <w:tcPr>
            <w:tcW w:w="624"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13</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10.0</w:t>
            </w:r>
          </w:p>
        </w:tc>
      </w:tr>
      <w:tr w:rsidR="00E33C4D">
        <w:trPr>
          <w:tblCellSpacing w:w="15" w:type="dxa"/>
        </w:trPr>
        <w:tc>
          <w:tcPr>
            <w:tcW w:w="1552" w:type="pct"/>
            <w:shd w:val="clear" w:color="auto" w:fill="auto"/>
            <w:vAlign w:val="center"/>
          </w:tcPr>
          <w:p w:rsidR="00E33C4D" w:rsidRDefault="00E33C4D">
            <w:pPr>
              <w:rPr>
                <w:rFonts w:ascii="Times New Roman" w:hAnsi="Times New Roman" w:cs="Times New Roman"/>
                <w:sz w:val="24"/>
                <w:szCs w:val="24"/>
              </w:rPr>
            </w:pPr>
          </w:p>
        </w:tc>
        <w:tc>
          <w:tcPr>
            <w:tcW w:w="2358"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Tertiary</w:t>
            </w:r>
          </w:p>
        </w:tc>
        <w:tc>
          <w:tcPr>
            <w:tcW w:w="624"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117</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90.0</w:t>
            </w:r>
          </w:p>
        </w:tc>
      </w:tr>
      <w:tr w:rsidR="00E33C4D">
        <w:trPr>
          <w:tblCellSpacing w:w="15" w:type="dxa"/>
        </w:trPr>
        <w:tc>
          <w:tcPr>
            <w:tcW w:w="1552" w:type="pct"/>
            <w:shd w:val="clear" w:color="auto" w:fill="auto"/>
            <w:vAlign w:val="center"/>
          </w:tcPr>
          <w:p w:rsidR="00E33C4D" w:rsidRDefault="00F76665">
            <w:pPr>
              <w:rPr>
                <w:rFonts w:ascii="Times New Roman" w:hAnsi="Times New Roman" w:cs="Times New Roman"/>
                <w:sz w:val="24"/>
                <w:szCs w:val="24"/>
              </w:rPr>
            </w:pPr>
            <w:r>
              <w:rPr>
                <w:rStyle w:val="Strong"/>
                <w:rFonts w:ascii="Times New Roman" w:eastAsia="SimSun" w:hAnsi="Times New Roman" w:cs="Times New Roman"/>
                <w:sz w:val="24"/>
                <w:szCs w:val="24"/>
                <w:lang w:bidi="ar"/>
              </w:rPr>
              <w:t>Position Level</w:t>
            </w:r>
          </w:p>
        </w:tc>
        <w:tc>
          <w:tcPr>
            <w:tcW w:w="2358"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Junior</w:t>
            </w:r>
          </w:p>
        </w:tc>
        <w:tc>
          <w:tcPr>
            <w:tcW w:w="624"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9</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6.9</w:t>
            </w:r>
          </w:p>
        </w:tc>
      </w:tr>
      <w:tr w:rsidR="00E33C4D">
        <w:trPr>
          <w:tblCellSpacing w:w="15" w:type="dxa"/>
        </w:trPr>
        <w:tc>
          <w:tcPr>
            <w:tcW w:w="1552" w:type="pct"/>
            <w:shd w:val="clear" w:color="auto" w:fill="auto"/>
            <w:vAlign w:val="center"/>
          </w:tcPr>
          <w:p w:rsidR="00E33C4D" w:rsidRDefault="00E33C4D">
            <w:pPr>
              <w:rPr>
                <w:rFonts w:ascii="Times New Roman" w:hAnsi="Times New Roman" w:cs="Times New Roman"/>
                <w:sz w:val="24"/>
                <w:szCs w:val="24"/>
              </w:rPr>
            </w:pPr>
          </w:p>
        </w:tc>
        <w:tc>
          <w:tcPr>
            <w:tcW w:w="2358"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Middle</w:t>
            </w:r>
          </w:p>
        </w:tc>
        <w:tc>
          <w:tcPr>
            <w:tcW w:w="624"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22</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16.9</w:t>
            </w:r>
          </w:p>
        </w:tc>
      </w:tr>
      <w:tr w:rsidR="00E33C4D">
        <w:trPr>
          <w:tblCellSpacing w:w="15" w:type="dxa"/>
        </w:trPr>
        <w:tc>
          <w:tcPr>
            <w:tcW w:w="1552" w:type="pct"/>
            <w:shd w:val="clear" w:color="auto" w:fill="auto"/>
            <w:vAlign w:val="center"/>
          </w:tcPr>
          <w:p w:rsidR="00E33C4D" w:rsidRDefault="00E33C4D">
            <w:pPr>
              <w:rPr>
                <w:rFonts w:ascii="Times New Roman" w:hAnsi="Times New Roman" w:cs="Times New Roman"/>
                <w:sz w:val="24"/>
                <w:szCs w:val="24"/>
              </w:rPr>
            </w:pPr>
          </w:p>
        </w:tc>
        <w:tc>
          <w:tcPr>
            <w:tcW w:w="2358"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Senior</w:t>
            </w:r>
          </w:p>
        </w:tc>
        <w:tc>
          <w:tcPr>
            <w:tcW w:w="624"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99</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76.2</w:t>
            </w:r>
          </w:p>
        </w:tc>
      </w:tr>
    </w:tbl>
    <w:p w:rsidR="00E33C4D" w:rsidRDefault="00E33C4D">
      <w:pPr>
        <w:rPr>
          <w:rFonts w:ascii="Times New Roman" w:hAnsi="Times New Roman" w:cs="Times New Roman"/>
          <w:sz w:val="24"/>
          <w:szCs w:val="24"/>
        </w:rPr>
      </w:pPr>
    </w:p>
    <w:p w:rsidR="00E33C4D" w:rsidRDefault="00F76665">
      <w:pPr>
        <w:pStyle w:val="Heading2"/>
        <w:rPr>
          <w:rFonts w:ascii="Times New Roman" w:hAnsi="Times New Roman" w:hint="default"/>
          <w:sz w:val="24"/>
          <w:szCs w:val="24"/>
        </w:rPr>
      </w:pPr>
      <w:r>
        <w:rPr>
          <w:rFonts w:ascii="Times New Roman" w:hAnsi="Times New Roman" w:hint="default"/>
          <w:sz w:val="24"/>
          <w:szCs w:val="24"/>
        </w:rPr>
        <w:t>3.2 Descriptive Statistics and Correlation Analysis</w:t>
      </w:r>
    </w:p>
    <w:p w:rsidR="00E33C4D" w:rsidRDefault="00F76665">
      <w:pPr>
        <w:pStyle w:val="NormalWeb"/>
      </w:pPr>
      <w:r>
        <w:t xml:space="preserve">Table 2 presents descriptive statistics and Pearson correlation coefficients for distribution performance (Y) and key management decision variables </w:t>
      </w:r>
      <w:r>
        <w:t xml:space="preserve">(X1–X4). The mean distribution performance score was 34.75 (SD = 2.58). Procurement decision </w:t>
      </w:r>
      <w:r>
        <w:lastRenderedPageBreak/>
        <w:t xml:space="preserve">(X1) recorded the highest mean score (22.69 ± 2.08), while product selection (X2), product range (X3), and cost burden responsibility (X4) recorded mean scores of </w:t>
      </w:r>
      <w:r>
        <w:t>18.52 ± 3.80, 19.15 ± 3.20, and 19.17 ± 3.40, respectively.</w:t>
      </w:r>
      <w:r>
        <w:t xml:space="preserve"> </w:t>
      </w:r>
      <w:r>
        <w:t xml:space="preserve">All </w:t>
      </w:r>
      <w:r>
        <w:t>key management decision</w:t>
      </w:r>
      <w:r>
        <w:t xml:space="preserve"> variables demonstrated positive and statistically significant correlations with distribution performance (p &lt; 0.05).</w:t>
      </w:r>
      <w:r>
        <w:t xml:space="preserve"> </w:t>
      </w:r>
      <w:r>
        <w:t>Procurement decision demonstrated the strongest cor</w:t>
      </w:r>
      <w:r>
        <w:t>relation (r = 0.824).</w:t>
      </w:r>
    </w:p>
    <w:p w:rsidR="00E33C4D" w:rsidRDefault="00F76665">
      <w:pPr>
        <w:pStyle w:val="Heading3"/>
        <w:rPr>
          <w:rFonts w:ascii="Times New Roman" w:hAnsi="Times New Roman" w:hint="default"/>
          <w:sz w:val="24"/>
          <w:szCs w:val="24"/>
        </w:rPr>
      </w:pPr>
      <w:r>
        <w:rPr>
          <w:rStyle w:val="Strong"/>
          <w:rFonts w:ascii="Times New Roman" w:hAnsi="Times New Roman" w:hint="default"/>
          <w:b/>
          <w:bCs/>
          <w:sz w:val="24"/>
          <w:szCs w:val="24"/>
        </w:rPr>
        <w:t>Table 2. Descriptive Statistics and Pearson Correlation Matrix (N = 130)</w:t>
      </w:r>
    </w:p>
    <w:tbl>
      <w:tblPr>
        <w:tblW w:w="4997" w:type="pct"/>
        <w:tblCellSpacing w:w="15" w:type="dxa"/>
        <w:tblCellMar>
          <w:top w:w="15" w:type="dxa"/>
          <w:left w:w="15" w:type="dxa"/>
          <w:bottom w:w="15" w:type="dxa"/>
          <w:right w:w="15" w:type="dxa"/>
        </w:tblCellMar>
        <w:tblLook w:val="04A0" w:firstRow="1" w:lastRow="0" w:firstColumn="1" w:lastColumn="0" w:noHBand="0" w:noVBand="1"/>
      </w:tblPr>
      <w:tblGrid>
        <w:gridCol w:w="3835"/>
        <w:gridCol w:w="712"/>
        <w:gridCol w:w="527"/>
        <w:gridCol w:w="660"/>
        <w:gridCol w:w="660"/>
        <w:gridCol w:w="660"/>
        <w:gridCol w:w="660"/>
        <w:gridCol w:w="677"/>
      </w:tblGrid>
      <w:tr w:rsidR="00E33C4D">
        <w:trPr>
          <w:tblHeader/>
          <w:tblCellSpacing w:w="15" w:type="dxa"/>
        </w:trPr>
        <w:tc>
          <w:tcPr>
            <w:tcW w:w="2257"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Variable</w:t>
            </w:r>
          </w:p>
        </w:tc>
        <w:tc>
          <w:tcPr>
            <w:tcW w:w="406"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Mean</w:t>
            </w:r>
          </w:p>
        </w:tc>
        <w:tc>
          <w:tcPr>
            <w:tcW w:w="296"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SD</w:t>
            </w:r>
          </w:p>
        </w:tc>
        <w:tc>
          <w:tcPr>
            <w:tcW w:w="375"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1</w:t>
            </w:r>
          </w:p>
        </w:tc>
        <w:tc>
          <w:tcPr>
            <w:tcW w:w="375"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2</w:t>
            </w:r>
          </w:p>
        </w:tc>
        <w:tc>
          <w:tcPr>
            <w:tcW w:w="375"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3</w:t>
            </w:r>
          </w:p>
        </w:tc>
        <w:tc>
          <w:tcPr>
            <w:tcW w:w="375"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4</w:t>
            </w:r>
          </w:p>
        </w:tc>
        <w:tc>
          <w:tcPr>
            <w:tcW w:w="376"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5</w:t>
            </w:r>
          </w:p>
        </w:tc>
      </w:tr>
      <w:tr w:rsidR="00E33C4D">
        <w:trPr>
          <w:tblCellSpacing w:w="15" w:type="dxa"/>
        </w:trPr>
        <w:tc>
          <w:tcPr>
            <w:tcW w:w="2257"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 Y (Distribution Performance)</w:t>
            </w:r>
          </w:p>
        </w:tc>
        <w:tc>
          <w:tcPr>
            <w:tcW w:w="40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34.75</w:t>
            </w:r>
          </w:p>
        </w:tc>
        <w:tc>
          <w:tcPr>
            <w:tcW w:w="29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2.58</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1.000</w:t>
            </w:r>
          </w:p>
        </w:tc>
        <w:tc>
          <w:tcPr>
            <w:tcW w:w="375" w:type="pct"/>
            <w:shd w:val="clear" w:color="auto" w:fill="auto"/>
            <w:vAlign w:val="center"/>
          </w:tcPr>
          <w:p w:rsidR="00E33C4D" w:rsidRDefault="00E33C4D">
            <w:pPr>
              <w:rPr>
                <w:rFonts w:ascii="Times New Roman" w:hAnsi="Times New Roman" w:cs="Times New Roman"/>
                <w:sz w:val="24"/>
                <w:szCs w:val="24"/>
              </w:rPr>
            </w:pPr>
          </w:p>
        </w:tc>
        <w:tc>
          <w:tcPr>
            <w:tcW w:w="375" w:type="pct"/>
            <w:shd w:val="clear" w:color="auto" w:fill="auto"/>
            <w:vAlign w:val="center"/>
          </w:tcPr>
          <w:p w:rsidR="00E33C4D" w:rsidRDefault="00E33C4D">
            <w:pPr>
              <w:rPr>
                <w:rFonts w:ascii="Times New Roman" w:hAnsi="Times New Roman" w:cs="Times New Roman"/>
                <w:sz w:val="24"/>
                <w:szCs w:val="24"/>
              </w:rPr>
            </w:pPr>
          </w:p>
        </w:tc>
        <w:tc>
          <w:tcPr>
            <w:tcW w:w="375" w:type="pct"/>
            <w:shd w:val="clear" w:color="auto" w:fill="auto"/>
            <w:vAlign w:val="center"/>
          </w:tcPr>
          <w:p w:rsidR="00E33C4D" w:rsidRDefault="00E33C4D">
            <w:pPr>
              <w:rPr>
                <w:rFonts w:ascii="Times New Roman" w:hAnsi="Times New Roman" w:cs="Times New Roman"/>
                <w:sz w:val="24"/>
                <w:szCs w:val="24"/>
              </w:rPr>
            </w:pPr>
          </w:p>
        </w:tc>
        <w:tc>
          <w:tcPr>
            <w:tcW w:w="376" w:type="pct"/>
            <w:shd w:val="clear" w:color="auto" w:fill="auto"/>
            <w:vAlign w:val="center"/>
          </w:tcPr>
          <w:p w:rsidR="00E33C4D" w:rsidRDefault="00E33C4D">
            <w:pPr>
              <w:rPr>
                <w:rFonts w:ascii="Times New Roman" w:hAnsi="Times New Roman" w:cs="Times New Roman"/>
                <w:sz w:val="24"/>
                <w:szCs w:val="24"/>
              </w:rPr>
            </w:pPr>
          </w:p>
        </w:tc>
      </w:tr>
      <w:tr w:rsidR="00E33C4D">
        <w:trPr>
          <w:tblCellSpacing w:w="15" w:type="dxa"/>
        </w:trPr>
        <w:tc>
          <w:tcPr>
            <w:tcW w:w="2257"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2. X1 (Procurement Decision)</w:t>
            </w:r>
          </w:p>
        </w:tc>
        <w:tc>
          <w:tcPr>
            <w:tcW w:w="40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22.69</w:t>
            </w:r>
          </w:p>
        </w:tc>
        <w:tc>
          <w:tcPr>
            <w:tcW w:w="29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2.08</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.824*</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1.000</w:t>
            </w:r>
          </w:p>
        </w:tc>
        <w:tc>
          <w:tcPr>
            <w:tcW w:w="375" w:type="pct"/>
            <w:shd w:val="clear" w:color="auto" w:fill="auto"/>
            <w:vAlign w:val="center"/>
          </w:tcPr>
          <w:p w:rsidR="00E33C4D" w:rsidRDefault="00E33C4D">
            <w:pPr>
              <w:rPr>
                <w:rFonts w:ascii="Times New Roman" w:hAnsi="Times New Roman" w:cs="Times New Roman"/>
                <w:sz w:val="24"/>
                <w:szCs w:val="24"/>
              </w:rPr>
            </w:pPr>
          </w:p>
        </w:tc>
        <w:tc>
          <w:tcPr>
            <w:tcW w:w="375" w:type="pct"/>
            <w:shd w:val="clear" w:color="auto" w:fill="auto"/>
            <w:vAlign w:val="center"/>
          </w:tcPr>
          <w:p w:rsidR="00E33C4D" w:rsidRDefault="00E33C4D">
            <w:pPr>
              <w:rPr>
                <w:rFonts w:ascii="Times New Roman" w:hAnsi="Times New Roman" w:cs="Times New Roman"/>
                <w:sz w:val="24"/>
                <w:szCs w:val="24"/>
              </w:rPr>
            </w:pPr>
          </w:p>
        </w:tc>
        <w:tc>
          <w:tcPr>
            <w:tcW w:w="376" w:type="pct"/>
            <w:shd w:val="clear" w:color="auto" w:fill="auto"/>
            <w:vAlign w:val="center"/>
          </w:tcPr>
          <w:p w:rsidR="00E33C4D" w:rsidRDefault="00E33C4D">
            <w:pPr>
              <w:rPr>
                <w:rFonts w:ascii="Times New Roman" w:hAnsi="Times New Roman" w:cs="Times New Roman"/>
                <w:sz w:val="24"/>
                <w:szCs w:val="24"/>
              </w:rPr>
            </w:pPr>
          </w:p>
        </w:tc>
      </w:tr>
      <w:tr w:rsidR="00E33C4D">
        <w:trPr>
          <w:tblCellSpacing w:w="15" w:type="dxa"/>
        </w:trPr>
        <w:tc>
          <w:tcPr>
            <w:tcW w:w="2257"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 xml:space="preserve">3. X2 (Product </w:t>
            </w:r>
            <w:r>
              <w:rPr>
                <w:rFonts w:ascii="Times New Roman" w:eastAsia="SimSun" w:hAnsi="Times New Roman" w:cs="Times New Roman"/>
                <w:sz w:val="24"/>
                <w:szCs w:val="24"/>
                <w:lang w:bidi="ar"/>
              </w:rPr>
              <w:t>Selection)</w:t>
            </w:r>
          </w:p>
        </w:tc>
        <w:tc>
          <w:tcPr>
            <w:tcW w:w="40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18.52</w:t>
            </w:r>
          </w:p>
        </w:tc>
        <w:tc>
          <w:tcPr>
            <w:tcW w:w="29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3.80</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.732*</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.251*</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1.000</w:t>
            </w:r>
          </w:p>
        </w:tc>
        <w:tc>
          <w:tcPr>
            <w:tcW w:w="375" w:type="pct"/>
            <w:shd w:val="clear" w:color="auto" w:fill="auto"/>
            <w:vAlign w:val="center"/>
          </w:tcPr>
          <w:p w:rsidR="00E33C4D" w:rsidRDefault="00E33C4D">
            <w:pPr>
              <w:rPr>
                <w:rFonts w:ascii="Times New Roman" w:hAnsi="Times New Roman" w:cs="Times New Roman"/>
                <w:sz w:val="24"/>
                <w:szCs w:val="24"/>
              </w:rPr>
            </w:pPr>
          </w:p>
        </w:tc>
        <w:tc>
          <w:tcPr>
            <w:tcW w:w="376" w:type="pct"/>
            <w:shd w:val="clear" w:color="auto" w:fill="auto"/>
            <w:vAlign w:val="center"/>
          </w:tcPr>
          <w:p w:rsidR="00E33C4D" w:rsidRDefault="00E33C4D">
            <w:pPr>
              <w:rPr>
                <w:rFonts w:ascii="Times New Roman" w:hAnsi="Times New Roman" w:cs="Times New Roman"/>
                <w:sz w:val="24"/>
                <w:szCs w:val="24"/>
              </w:rPr>
            </w:pPr>
          </w:p>
        </w:tc>
      </w:tr>
      <w:tr w:rsidR="00E33C4D">
        <w:trPr>
          <w:tblCellSpacing w:w="15" w:type="dxa"/>
        </w:trPr>
        <w:tc>
          <w:tcPr>
            <w:tcW w:w="2257"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4. X3 (Product Range)</w:t>
            </w:r>
          </w:p>
        </w:tc>
        <w:tc>
          <w:tcPr>
            <w:tcW w:w="40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19.15</w:t>
            </w:r>
          </w:p>
        </w:tc>
        <w:tc>
          <w:tcPr>
            <w:tcW w:w="29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3.20</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.313*</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.235*</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.598*</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1.000</w:t>
            </w:r>
          </w:p>
        </w:tc>
        <w:tc>
          <w:tcPr>
            <w:tcW w:w="376" w:type="pct"/>
            <w:shd w:val="clear" w:color="auto" w:fill="auto"/>
            <w:vAlign w:val="center"/>
          </w:tcPr>
          <w:p w:rsidR="00E33C4D" w:rsidRDefault="00E33C4D">
            <w:pPr>
              <w:rPr>
                <w:rFonts w:ascii="Times New Roman" w:hAnsi="Times New Roman" w:cs="Times New Roman"/>
                <w:sz w:val="24"/>
                <w:szCs w:val="24"/>
              </w:rPr>
            </w:pPr>
          </w:p>
        </w:tc>
      </w:tr>
      <w:tr w:rsidR="00E33C4D">
        <w:trPr>
          <w:tblCellSpacing w:w="15" w:type="dxa"/>
        </w:trPr>
        <w:tc>
          <w:tcPr>
            <w:tcW w:w="2257"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5. X4 (Cost Burden Responsibility)</w:t>
            </w:r>
          </w:p>
        </w:tc>
        <w:tc>
          <w:tcPr>
            <w:tcW w:w="40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19.17</w:t>
            </w:r>
          </w:p>
        </w:tc>
        <w:tc>
          <w:tcPr>
            <w:tcW w:w="29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3.40</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.538*</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.253*</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.524*</w:t>
            </w:r>
          </w:p>
        </w:tc>
        <w:tc>
          <w:tcPr>
            <w:tcW w:w="37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.523*</w:t>
            </w:r>
          </w:p>
        </w:tc>
        <w:tc>
          <w:tcPr>
            <w:tcW w:w="37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1.000</w:t>
            </w:r>
          </w:p>
        </w:tc>
      </w:tr>
    </w:tbl>
    <w:p w:rsidR="00E33C4D" w:rsidRDefault="00F76665">
      <w:pPr>
        <w:pStyle w:val="NormalWeb"/>
      </w:pPr>
      <w:r>
        <w:rPr>
          <w:rStyle w:val="Emphasis"/>
        </w:rPr>
        <w:t>All correlations significant at p &lt; 0.05 (1-tailed).</w:t>
      </w:r>
    </w:p>
    <w:p w:rsidR="00E33C4D" w:rsidRDefault="00F76665">
      <w:pPr>
        <w:pStyle w:val="Heading2"/>
        <w:rPr>
          <w:rFonts w:ascii="Times New Roman" w:hAnsi="Times New Roman" w:hint="default"/>
          <w:sz w:val="24"/>
          <w:szCs w:val="24"/>
        </w:rPr>
      </w:pPr>
      <w:r>
        <w:rPr>
          <w:rFonts w:ascii="Times New Roman" w:hAnsi="Times New Roman" w:hint="default"/>
          <w:sz w:val="24"/>
          <w:szCs w:val="24"/>
        </w:rPr>
        <w:t xml:space="preserve">3.3 Multiple Linear </w:t>
      </w:r>
      <w:r>
        <w:rPr>
          <w:rFonts w:ascii="Times New Roman" w:hAnsi="Times New Roman" w:hint="default"/>
          <w:sz w:val="24"/>
          <w:szCs w:val="24"/>
        </w:rPr>
        <w:t>Regression Analysis</w:t>
      </w:r>
    </w:p>
    <w:p w:rsidR="00E33C4D" w:rsidRDefault="00F76665">
      <w:pPr>
        <w:pStyle w:val="NormalWeb"/>
      </w:pPr>
      <w:r>
        <w:t>All four key management decision variables were entered simultaneously into the regression model to determine their combined and individual contributions to distribution performance</w:t>
      </w:r>
      <w:r>
        <w:t xml:space="preserve"> (Table 3)</w:t>
      </w:r>
      <w:r>
        <w:t>.</w:t>
      </w:r>
      <w:r>
        <w:t xml:space="preserve"> </w:t>
      </w:r>
      <w:r>
        <w:t>The model explained 73.7% of the variance i</w:t>
      </w:r>
      <w:r>
        <w:t xml:space="preserve">n distribution performance (R² = 0.737). The overall regression model was statistically significant (F = 19.619, p &lt; 0.001). All </w:t>
      </w:r>
      <w:r>
        <w:t xml:space="preserve">four </w:t>
      </w:r>
      <w:r>
        <w:t xml:space="preserve">predictors were statistically significant contributors (p &lt; 0.01). Procurement decision had the highest standardized beta </w:t>
      </w:r>
      <w:r>
        <w:t>coefficient (β = 0.314), followed by product selection (β = 0.250), cost burden responsibility (β = 0.240), and product range (β = 0.146).</w:t>
      </w:r>
    </w:p>
    <w:p w:rsidR="00E33C4D" w:rsidRDefault="00F76665">
      <w:pPr>
        <w:pStyle w:val="Heading3"/>
        <w:rPr>
          <w:rFonts w:ascii="Times New Roman" w:hAnsi="Times New Roman" w:hint="default"/>
          <w:sz w:val="24"/>
          <w:szCs w:val="24"/>
        </w:rPr>
      </w:pPr>
      <w:r>
        <w:rPr>
          <w:rStyle w:val="Strong"/>
          <w:rFonts w:ascii="Times New Roman" w:hAnsi="Times New Roman" w:hint="default"/>
          <w:b/>
          <w:bCs/>
          <w:sz w:val="24"/>
          <w:szCs w:val="24"/>
        </w:rPr>
        <w:t>Table 3. Multiple Linear Regression Model for Distribution Performance (Y)</w:t>
      </w:r>
    </w:p>
    <w:p w:rsidR="00E33C4D" w:rsidRDefault="00F76665">
      <w:pPr>
        <w:pStyle w:val="NormalWeb"/>
      </w:pPr>
      <w:r>
        <w:rPr>
          <w:rStyle w:val="Strong"/>
        </w:rPr>
        <w:t>Model Summary</w:t>
      </w:r>
    </w:p>
    <w:tbl>
      <w:tblPr>
        <w:tblW w:w="4998" w:type="pct"/>
        <w:tblCellSpacing w:w="15" w:type="dxa"/>
        <w:tblCellMar>
          <w:top w:w="15" w:type="dxa"/>
          <w:left w:w="15" w:type="dxa"/>
          <w:bottom w:w="15" w:type="dxa"/>
          <w:right w:w="15" w:type="dxa"/>
        </w:tblCellMar>
        <w:tblLook w:val="04A0" w:firstRow="1" w:lastRow="0" w:firstColumn="1" w:lastColumn="0" w:noHBand="0" w:noVBand="1"/>
      </w:tblPr>
      <w:tblGrid>
        <w:gridCol w:w="967"/>
        <w:gridCol w:w="946"/>
        <w:gridCol w:w="2046"/>
        <w:gridCol w:w="1774"/>
        <w:gridCol w:w="2660"/>
      </w:tblGrid>
      <w:tr w:rsidR="00E33C4D">
        <w:trPr>
          <w:tblHeader/>
          <w:tblCellSpacing w:w="15" w:type="dxa"/>
        </w:trPr>
        <w:tc>
          <w:tcPr>
            <w:tcW w:w="549"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R</w:t>
            </w:r>
          </w:p>
        </w:tc>
        <w:tc>
          <w:tcPr>
            <w:tcW w:w="545"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R²</w:t>
            </w:r>
          </w:p>
        </w:tc>
        <w:tc>
          <w:tcPr>
            <w:tcW w:w="1200"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Adjusted R²</w:t>
            </w:r>
          </w:p>
        </w:tc>
        <w:tc>
          <w:tcPr>
            <w:tcW w:w="1039"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Std. Error</w:t>
            </w:r>
          </w:p>
        </w:tc>
        <w:tc>
          <w:tcPr>
            <w:tcW w:w="1557"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Durbin-Watson</w:t>
            </w:r>
          </w:p>
        </w:tc>
      </w:tr>
      <w:tr w:rsidR="00E33C4D">
        <w:trPr>
          <w:tblCellSpacing w:w="15" w:type="dxa"/>
        </w:trPr>
        <w:tc>
          <w:tcPr>
            <w:tcW w:w="549"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0.920</w:t>
            </w:r>
          </w:p>
        </w:tc>
        <w:tc>
          <w:tcPr>
            <w:tcW w:w="545"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0.737</w:t>
            </w:r>
          </w:p>
        </w:tc>
        <w:tc>
          <w:tcPr>
            <w:tcW w:w="1200"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0.806</w:t>
            </w:r>
          </w:p>
        </w:tc>
        <w:tc>
          <w:tcPr>
            <w:tcW w:w="1039"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0.574</w:t>
            </w:r>
          </w:p>
        </w:tc>
        <w:tc>
          <w:tcPr>
            <w:tcW w:w="1557"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4.420</w:t>
            </w:r>
          </w:p>
        </w:tc>
      </w:tr>
    </w:tbl>
    <w:p w:rsidR="00E33C4D" w:rsidRDefault="00F76665">
      <w:pPr>
        <w:pStyle w:val="NormalWeb"/>
      </w:pPr>
      <w:r>
        <w:rPr>
          <w:rStyle w:val="Strong"/>
        </w:rPr>
        <w:t>ANOVA</w:t>
      </w:r>
    </w:p>
    <w:tbl>
      <w:tblPr>
        <w:tblW w:w="4998" w:type="pct"/>
        <w:tblCellSpacing w:w="15" w:type="dxa"/>
        <w:tblCellMar>
          <w:top w:w="15" w:type="dxa"/>
          <w:left w:w="15" w:type="dxa"/>
          <w:bottom w:w="15" w:type="dxa"/>
          <w:right w:w="15" w:type="dxa"/>
        </w:tblCellMar>
        <w:tblLook w:val="04A0" w:firstRow="1" w:lastRow="0" w:firstColumn="1" w:lastColumn="0" w:noHBand="0" w:noVBand="1"/>
      </w:tblPr>
      <w:tblGrid>
        <w:gridCol w:w="2211"/>
        <w:gridCol w:w="1627"/>
        <w:gridCol w:w="812"/>
        <w:gridCol w:w="1393"/>
        <w:gridCol w:w="1393"/>
        <w:gridCol w:w="957"/>
      </w:tblGrid>
      <w:tr w:rsidR="00E33C4D">
        <w:trPr>
          <w:tblHeader/>
          <w:tblCellSpacing w:w="15" w:type="dxa"/>
        </w:trPr>
        <w:tc>
          <w:tcPr>
            <w:tcW w:w="1289"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Source</w:t>
            </w:r>
          </w:p>
        </w:tc>
        <w:tc>
          <w:tcPr>
            <w:tcW w:w="950"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SS</w:t>
            </w:r>
          </w:p>
        </w:tc>
        <w:tc>
          <w:tcPr>
            <w:tcW w:w="466"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df</w:t>
            </w:r>
          </w:p>
        </w:tc>
        <w:tc>
          <w:tcPr>
            <w:tcW w:w="811"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MS</w:t>
            </w:r>
          </w:p>
        </w:tc>
        <w:tc>
          <w:tcPr>
            <w:tcW w:w="811"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F</w:t>
            </w:r>
          </w:p>
        </w:tc>
        <w:tc>
          <w:tcPr>
            <w:tcW w:w="543"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w:t>
            </w:r>
          </w:p>
        </w:tc>
      </w:tr>
      <w:tr w:rsidR="00E33C4D">
        <w:trPr>
          <w:tblCellSpacing w:w="15" w:type="dxa"/>
        </w:trPr>
        <w:tc>
          <w:tcPr>
            <w:tcW w:w="1289"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Regression</w:t>
            </w:r>
          </w:p>
        </w:tc>
        <w:tc>
          <w:tcPr>
            <w:tcW w:w="950"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331.720</w:t>
            </w:r>
          </w:p>
        </w:tc>
        <w:tc>
          <w:tcPr>
            <w:tcW w:w="46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4</w:t>
            </w:r>
          </w:p>
        </w:tc>
        <w:tc>
          <w:tcPr>
            <w:tcW w:w="81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82.930</w:t>
            </w:r>
          </w:p>
        </w:tc>
        <w:tc>
          <w:tcPr>
            <w:tcW w:w="81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19.619</w:t>
            </w:r>
          </w:p>
        </w:tc>
        <w:tc>
          <w:tcPr>
            <w:tcW w:w="543"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.000</w:t>
            </w:r>
          </w:p>
        </w:tc>
      </w:tr>
      <w:tr w:rsidR="00E33C4D">
        <w:trPr>
          <w:tblCellSpacing w:w="15" w:type="dxa"/>
        </w:trPr>
        <w:tc>
          <w:tcPr>
            <w:tcW w:w="1289"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Residual</w:t>
            </w:r>
          </w:p>
        </w:tc>
        <w:tc>
          <w:tcPr>
            <w:tcW w:w="950"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528.404</w:t>
            </w:r>
          </w:p>
        </w:tc>
        <w:tc>
          <w:tcPr>
            <w:tcW w:w="46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125</w:t>
            </w:r>
          </w:p>
        </w:tc>
        <w:tc>
          <w:tcPr>
            <w:tcW w:w="81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4.227</w:t>
            </w:r>
          </w:p>
        </w:tc>
        <w:tc>
          <w:tcPr>
            <w:tcW w:w="811" w:type="pct"/>
            <w:shd w:val="clear" w:color="auto" w:fill="auto"/>
            <w:vAlign w:val="center"/>
          </w:tcPr>
          <w:p w:rsidR="00E33C4D" w:rsidRDefault="00E33C4D">
            <w:pPr>
              <w:rPr>
                <w:rFonts w:ascii="Times New Roman" w:hAnsi="Times New Roman" w:cs="Times New Roman"/>
                <w:sz w:val="24"/>
                <w:szCs w:val="24"/>
              </w:rPr>
            </w:pPr>
          </w:p>
        </w:tc>
        <w:tc>
          <w:tcPr>
            <w:tcW w:w="543" w:type="pct"/>
            <w:shd w:val="clear" w:color="auto" w:fill="auto"/>
            <w:vAlign w:val="center"/>
          </w:tcPr>
          <w:p w:rsidR="00E33C4D" w:rsidRDefault="00E33C4D">
            <w:pPr>
              <w:rPr>
                <w:rFonts w:ascii="Times New Roman" w:hAnsi="Times New Roman" w:cs="Times New Roman"/>
                <w:sz w:val="24"/>
                <w:szCs w:val="24"/>
              </w:rPr>
            </w:pPr>
          </w:p>
        </w:tc>
      </w:tr>
      <w:tr w:rsidR="00E33C4D">
        <w:trPr>
          <w:tblCellSpacing w:w="15" w:type="dxa"/>
        </w:trPr>
        <w:tc>
          <w:tcPr>
            <w:tcW w:w="1289"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Total</w:t>
            </w:r>
          </w:p>
        </w:tc>
        <w:tc>
          <w:tcPr>
            <w:tcW w:w="950"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860.123</w:t>
            </w:r>
          </w:p>
        </w:tc>
        <w:tc>
          <w:tcPr>
            <w:tcW w:w="46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129</w:t>
            </w:r>
          </w:p>
        </w:tc>
        <w:tc>
          <w:tcPr>
            <w:tcW w:w="811" w:type="pct"/>
            <w:shd w:val="clear" w:color="auto" w:fill="auto"/>
            <w:vAlign w:val="center"/>
          </w:tcPr>
          <w:p w:rsidR="00E33C4D" w:rsidRDefault="00E33C4D">
            <w:pPr>
              <w:rPr>
                <w:rFonts w:ascii="Times New Roman" w:hAnsi="Times New Roman" w:cs="Times New Roman"/>
                <w:sz w:val="24"/>
                <w:szCs w:val="24"/>
              </w:rPr>
            </w:pPr>
          </w:p>
        </w:tc>
        <w:tc>
          <w:tcPr>
            <w:tcW w:w="811" w:type="pct"/>
            <w:shd w:val="clear" w:color="auto" w:fill="auto"/>
            <w:vAlign w:val="center"/>
          </w:tcPr>
          <w:p w:rsidR="00E33C4D" w:rsidRDefault="00E33C4D">
            <w:pPr>
              <w:rPr>
                <w:rFonts w:ascii="Times New Roman" w:hAnsi="Times New Roman" w:cs="Times New Roman"/>
                <w:sz w:val="24"/>
                <w:szCs w:val="24"/>
              </w:rPr>
            </w:pPr>
          </w:p>
        </w:tc>
        <w:tc>
          <w:tcPr>
            <w:tcW w:w="543" w:type="pct"/>
            <w:shd w:val="clear" w:color="auto" w:fill="auto"/>
            <w:vAlign w:val="center"/>
          </w:tcPr>
          <w:p w:rsidR="00E33C4D" w:rsidRDefault="00E33C4D">
            <w:pPr>
              <w:rPr>
                <w:rFonts w:ascii="Times New Roman" w:hAnsi="Times New Roman" w:cs="Times New Roman"/>
                <w:sz w:val="24"/>
                <w:szCs w:val="24"/>
              </w:rPr>
            </w:pPr>
          </w:p>
        </w:tc>
      </w:tr>
    </w:tbl>
    <w:p w:rsidR="00E33C4D" w:rsidRDefault="00F76665">
      <w:pPr>
        <w:pStyle w:val="NormalWeb"/>
      </w:pPr>
      <w:r>
        <w:rPr>
          <w:rStyle w:val="Strong"/>
        </w:rPr>
        <w:t>Regression Coefficients</w:t>
      </w:r>
    </w:p>
    <w:tbl>
      <w:tblPr>
        <w:tblW w:w="4997" w:type="pct"/>
        <w:tblCellSpacing w:w="15" w:type="dxa"/>
        <w:tblCellMar>
          <w:top w:w="15" w:type="dxa"/>
          <w:left w:w="15" w:type="dxa"/>
          <w:bottom w:w="15" w:type="dxa"/>
          <w:right w:w="15" w:type="dxa"/>
        </w:tblCellMar>
        <w:tblLook w:val="04A0" w:firstRow="1" w:lastRow="0" w:firstColumn="1" w:lastColumn="0" w:noHBand="0" w:noVBand="1"/>
      </w:tblPr>
      <w:tblGrid>
        <w:gridCol w:w="4271"/>
        <w:gridCol w:w="946"/>
        <w:gridCol w:w="789"/>
        <w:gridCol w:w="789"/>
        <w:gridCol w:w="946"/>
        <w:gridCol w:w="650"/>
      </w:tblGrid>
      <w:tr w:rsidR="00E33C4D">
        <w:trPr>
          <w:tblHeader/>
          <w:tblCellSpacing w:w="15" w:type="dxa"/>
        </w:trPr>
        <w:tc>
          <w:tcPr>
            <w:tcW w:w="2516"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Variable</w:t>
            </w:r>
          </w:p>
        </w:tc>
        <w:tc>
          <w:tcPr>
            <w:tcW w:w="546"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B</w:t>
            </w:r>
          </w:p>
        </w:tc>
        <w:tc>
          <w:tcPr>
            <w:tcW w:w="452"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SE</w:t>
            </w:r>
          </w:p>
        </w:tc>
        <w:tc>
          <w:tcPr>
            <w:tcW w:w="452"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Beta</w:t>
            </w:r>
          </w:p>
        </w:tc>
        <w:tc>
          <w:tcPr>
            <w:tcW w:w="546"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t</w:t>
            </w:r>
          </w:p>
        </w:tc>
        <w:tc>
          <w:tcPr>
            <w:tcW w:w="361"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p</w:t>
            </w:r>
          </w:p>
        </w:tc>
      </w:tr>
      <w:tr w:rsidR="00E33C4D">
        <w:trPr>
          <w:tblCellSpacing w:w="15" w:type="dxa"/>
        </w:trPr>
        <w:tc>
          <w:tcPr>
            <w:tcW w:w="251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lastRenderedPageBreak/>
              <w:t>Constant</w:t>
            </w:r>
          </w:p>
        </w:tc>
        <w:tc>
          <w:tcPr>
            <w:tcW w:w="54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26.013</w:t>
            </w:r>
          </w:p>
        </w:tc>
        <w:tc>
          <w:tcPr>
            <w:tcW w:w="4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0.629</w:t>
            </w:r>
          </w:p>
        </w:tc>
        <w:tc>
          <w:tcPr>
            <w:tcW w:w="4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w:t>
            </w:r>
          </w:p>
        </w:tc>
        <w:tc>
          <w:tcPr>
            <w:tcW w:w="54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13.700</w:t>
            </w:r>
          </w:p>
        </w:tc>
        <w:tc>
          <w:tcPr>
            <w:tcW w:w="36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.000</w:t>
            </w:r>
          </w:p>
        </w:tc>
      </w:tr>
      <w:tr w:rsidR="00E33C4D">
        <w:trPr>
          <w:tblCellSpacing w:w="15" w:type="dxa"/>
        </w:trPr>
        <w:tc>
          <w:tcPr>
            <w:tcW w:w="251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 xml:space="preserve">X1 </w:t>
            </w:r>
            <w:r>
              <w:rPr>
                <w:rFonts w:ascii="Times New Roman" w:eastAsia="SimSun" w:hAnsi="Times New Roman" w:cs="Times New Roman"/>
                <w:sz w:val="24"/>
                <w:szCs w:val="24"/>
                <w:lang w:bidi="ar"/>
              </w:rPr>
              <w:t>(Procurement)</w:t>
            </w:r>
          </w:p>
        </w:tc>
        <w:tc>
          <w:tcPr>
            <w:tcW w:w="54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0.618</w:t>
            </w:r>
          </w:p>
        </w:tc>
        <w:tc>
          <w:tcPr>
            <w:tcW w:w="4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0.014</w:t>
            </w:r>
          </w:p>
        </w:tc>
        <w:tc>
          <w:tcPr>
            <w:tcW w:w="4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0.314</w:t>
            </w:r>
          </w:p>
        </w:tc>
        <w:tc>
          <w:tcPr>
            <w:tcW w:w="54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11.154</w:t>
            </w:r>
          </w:p>
        </w:tc>
        <w:tc>
          <w:tcPr>
            <w:tcW w:w="36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.000</w:t>
            </w:r>
          </w:p>
        </w:tc>
      </w:tr>
      <w:tr w:rsidR="00E33C4D">
        <w:trPr>
          <w:tblCellSpacing w:w="15" w:type="dxa"/>
        </w:trPr>
        <w:tc>
          <w:tcPr>
            <w:tcW w:w="251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X2 (Product Selection)</w:t>
            </w:r>
          </w:p>
        </w:tc>
        <w:tc>
          <w:tcPr>
            <w:tcW w:w="54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0.602</w:t>
            </w:r>
          </w:p>
        </w:tc>
        <w:tc>
          <w:tcPr>
            <w:tcW w:w="4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0.079</w:t>
            </w:r>
          </w:p>
        </w:tc>
        <w:tc>
          <w:tcPr>
            <w:tcW w:w="4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0.250</w:t>
            </w:r>
          </w:p>
        </w:tc>
        <w:tc>
          <w:tcPr>
            <w:tcW w:w="54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7.299</w:t>
            </w:r>
          </w:p>
        </w:tc>
        <w:tc>
          <w:tcPr>
            <w:tcW w:w="36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.000</w:t>
            </w:r>
          </w:p>
        </w:tc>
      </w:tr>
      <w:tr w:rsidR="00E33C4D">
        <w:trPr>
          <w:tblCellSpacing w:w="15" w:type="dxa"/>
        </w:trPr>
        <w:tc>
          <w:tcPr>
            <w:tcW w:w="251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X3 (Product Range)</w:t>
            </w:r>
          </w:p>
        </w:tc>
        <w:tc>
          <w:tcPr>
            <w:tcW w:w="54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0.318</w:t>
            </w:r>
          </w:p>
        </w:tc>
        <w:tc>
          <w:tcPr>
            <w:tcW w:w="4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0.093</w:t>
            </w:r>
          </w:p>
        </w:tc>
        <w:tc>
          <w:tcPr>
            <w:tcW w:w="4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0.146</w:t>
            </w:r>
          </w:p>
        </w:tc>
        <w:tc>
          <w:tcPr>
            <w:tcW w:w="54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5.269</w:t>
            </w:r>
          </w:p>
        </w:tc>
        <w:tc>
          <w:tcPr>
            <w:tcW w:w="36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.008</w:t>
            </w:r>
          </w:p>
        </w:tc>
      </w:tr>
      <w:tr w:rsidR="00E33C4D">
        <w:trPr>
          <w:tblCellSpacing w:w="15" w:type="dxa"/>
        </w:trPr>
        <w:tc>
          <w:tcPr>
            <w:tcW w:w="251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X4 (Cost Burden Responsibility)</w:t>
            </w:r>
          </w:p>
        </w:tc>
        <w:tc>
          <w:tcPr>
            <w:tcW w:w="54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0.406</w:t>
            </w:r>
          </w:p>
        </w:tc>
        <w:tc>
          <w:tcPr>
            <w:tcW w:w="4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0.083</w:t>
            </w:r>
          </w:p>
        </w:tc>
        <w:tc>
          <w:tcPr>
            <w:tcW w:w="4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0.240</w:t>
            </w:r>
          </w:p>
        </w:tc>
        <w:tc>
          <w:tcPr>
            <w:tcW w:w="546"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6.279</w:t>
            </w:r>
          </w:p>
        </w:tc>
        <w:tc>
          <w:tcPr>
            <w:tcW w:w="36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.001</w:t>
            </w:r>
          </w:p>
        </w:tc>
      </w:tr>
    </w:tbl>
    <w:p w:rsidR="00E33C4D" w:rsidRDefault="00E33C4D">
      <w:pPr>
        <w:rPr>
          <w:rFonts w:ascii="Times New Roman" w:hAnsi="Times New Roman" w:cs="Times New Roman"/>
          <w:sz w:val="24"/>
          <w:szCs w:val="24"/>
        </w:rPr>
      </w:pPr>
    </w:p>
    <w:p w:rsidR="00E33C4D" w:rsidRDefault="00F76665">
      <w:pPr>
        <w:pStyle w:val="Heading2"/>
        <w:rPr>
          <w:rFonts w:ascii="Times New Roman" w:hAnsi="Times New Roman" w:hint="default"/>
          <w:sz w:val="24"/>
          <w:szCs w:val="24"/>
        </w:rPr>
      </w:pPr>
      <w:r>
        <w:rPr>
          <w:rFonts w:ascii="Times New Roman" w:hAnsi="Times New Roman" w:hint="default"/>
          <w:sz w:val="24"/>
          <w:szCs w:val="24"/>
        </w:rPr>
        <w:t>3.4 Key Management Decision Domains</w:t>
      </w:r>
    </w:p>
    <w:p w:rsidR="00E33C4D" w:rsidRDefault="00F76665">
      <w:pPr>
        <w:pStyle w:val="NormalWeb"/>
      </w:pPr>
      <w:r>
        <w:t xml:space="preserve">Table 4 </w:t>
      </w:r>
      <w:r>
        <w:t>presents mean scores for decision components across procurement, product selection, product range, and cost burden responsibility domains. Within procurement, donor willingness (mean = 4.98) and regulatory agency operations (mean = 4.91) recorded the highe</w:t>
      </w:r>
      <w:r>
        <w:t>st scores. Within product selection, user preference (mean = 4.53) recorded the highest score. Government responsibility (mean = 4.74) had the highest mean under cost burden responsibility.</w:t>
      </w:r>
    </w:p>
    <w:p w:rsidR="00E33C4D" w:rsidRDefault="00F76665">
      <w:pPr>
        <w:pStyle w:val="Heading3"/>
        <w:rPr>
          <w:rFonts w:ascii="Times New Roman" w:hAnsi="Times New Roman" w:hint="default"/>
          <w:sz w:val="24"/>
          <w:szCs w:val="24"/>
        </w:rPr>
      </w:pPr>
      <w:r>
        <w:rPr>
          <w:rStyle w:val="Strong"/>
          <w:rFonts w:ascii="Times New Roman" w:hAnsi="Times New Roman" w:hint="default"/>
          <w:b/>
          <w:bCs/>
          <w:sz w:val="24"/>
          <w:szCs w:val="24"/>
        </w:rPr>
        <w:t>Table 4. Mean Scores of Decision Factors</w:t>
      </w:r>
    </w:p>
    <w:tbl>
      <w:tblPr>
        <w:tblW w:w="4999" w:type="pct"/>
        <w:tblCellSpacing w:w="15" w:type="dxa"/>
        <w:tblCellMar>
          <w:top w:w="15" w:type="dxa"/>
          <w:left w:w="15" w:type="dxa"/>
          <w:bottom w:w="15" w:type="dxa"/>
          <w:right w:w="15" w:type="dxa"/>
        </w:tblCellMar>
        <w:tblLook w:val="04A0" w:firstRow="1" w:lastRow="0" w:firstColumn="1" w:lastColumn="0" w:noHBand="0" w:noVBand="1"/>
      </w:tblPr>
      <w:tblGrid>
        <w:gridCol w:w="3747"/>
        <w:gridCol w:w="3222"/>
        <w:gridCol w:w="1425"/>
      </w:tblGrid>
      <w:tr w:rsidR="00E33C4D">
        <w:trPr>
          <w:tblHeader/>
          <w:tblCellSpacing w:w="15" w:type="dxa"/>
        </w:trPr>
        <w:tc>
          <w:tcPr>
            <w:tcW w:w="2204"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Decision Domain</w:t>
            </w:r>
          </w:p>
        </w:tc>
        <w:tc>
          <w:tcPr>
            <w:tcW w:w="1901"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 xml:space="preserve">Decision </w:t>
            </w:r>
            <w:r>
              <w:rPr>
                <w:rFonts w:ascii="Times New Roman" w:eastAsia="SimSun" w:hAnsi="Times New Roman" w:cs="Times New Roman"/>
                <w:b/>
                <w:bCs/>
                <w:sz w:val="24"/>
                <w:szCs w:val="24"/>
                <w:lang w:bidi="ar"/>
              </w:rPr>
              <w:t>Factor</w:t>
            </w:r>
          </w:p>
        </w:tc>
        <w:tc>
          <w:tcPr>
            <w:tcW w:w="822"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Mean Score</w:t>
            </w:r>
          </w:p>
        </w:tc>
      </w:tr>
      <w:tr w:rsidR="00E33C4D">
        <w:trPr>
          <w:tblCellSpacing w:w="15" w:type="dxa"/>
        </w:trPr>
        <w:tc>
          <w:tcPr>
            <w:tcW w:w="2204" w:type="pct"/>
            <w:shd w:val="clear" w:color="auto" w:fill="auto"/>
            <w:vAlign w:val="center"/>
          </w:tcPr>
          <w:p w:rsidR="00E33C4D" w:rsidRDefault="00F76665">
            <w:pPr>
              <w:rPr>
                <w:rFonts w:ascii="Times New Roman" w:hAnsi="Times New Roman" w:cs="Times New Roman"/>
                <w:sz w:val="24"/>
                <w:szCs w:val="24"/>
              </w:rPr>
            </w:pPr>
            <w:r>
              <w:rPr>
                <w:rStyle w:val="Strong"/>
                <w:rFonts w:ascii="Times New Roman" w:eastAsia="SimSun" w:hAnsi="Times New Roman" w:cs="Times New Roman"/>
                <w:sz w:val="24"/>
                <w:szCs w:val="24"/>
                <w:lang w:bidi="ar"/>
              </w:rPr>
              <w:t>Procurement (X1)</w:t>
            </w:r>
          </w:p>
        </w:tc>
        <w:tc>
          <w:tcPr>
            <w:tcW w:w="190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Donor willingness</w:t>
            </w:r>
          </w:p>
        </w:tc>
        <w:tc>
          <w:tcPr>
            <w:tcW w:w="82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4.98</w:t>
            </w:r>
          </w:p>
        </w:tc>
      </w:tr>
      <w:tr w:rsidR="00E33C4D">
        <w:trPr>
          <w:tblCellSpacing w:w="15" w:type="dxa"/>
        </w:trPr>
        <w:tc>
          <w:tcPr>
            <w:tcW w:w="2204" w:type="pct"/>
            <w:shd w:val="clear" w:color="auto" w:fill="auto"/>
            <w:vAlign w:val="center"/>
          </w:tcPr>
          <w:p w:rsidR="00E33C4D" w:rsidRDefault="00E33C4D">
            <w:pPr>
              <w:rPr>
                <w:rFonts w:ascii="Times New Roman" w:hAnsi="Times New Roman" w:cs="Times New Roman"/>
                <w:sz w:val="24"/>
                <w:szCs w:val="24"/>
              </w:rPr>
            </w:pPr>
          </w:p>
        </w:tc>
        <w:tc>
          <w:tcPr>
            <w:tcW w:w="190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Regulatory agency operations</w:t>
            </w:r>
          </w:p>
        </w:tc>
        <w:tc>
          <w:tcPr>
            <w:tcW w:w="82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4.91</w:t>
            </w:r>
          </w:p>
        </w:tc>
      </w:tr>
      <w:tr w:rsidR="00E33C4D">
        <w:trPr>
          <w:tblCellSpacing w:w="15" w:type="dxa"/>
        </w:trPr>
        <w:tc>
          <w:tcPr>
            <w:tcW w:w="2204" w:type="pct"/>
            <w:shd w:val="clear" w:color="auto" w:fill="auto"/>
            <w:vAlign w:val="center"/>
          </w:tcPr>
          <w:p w:rsidR="00E33C4D" w:rsidRDefault="00E33C4D">
            <w:pPr>
              <w:rPr>
                <w:rFonts w:ascii="Times New Roman" w:hAnsi="Times New Roman" w:cs="Times New Roman"/>
                <w:sz w:val="24"/>
                <w:szCs w:val="24"/>
              </w:rPr>
            </w:pPr>
          </w:p>
        </w:tc>
        <w:tc>
          <w:tcPr>
            <w:tcW w:w="190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Forecasted FP needs</w:t>
            </w:r>
          </w:p>
        </w:tc>
        <w:tc>
          <w:tcPr>
            <w:tcW w:w="82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4.61</w:t>
            </w:r>
          </w:p>
        </w:tc>
      </w:tr>
      <w:tr w:rsidR="00E33C4D">
        <w:trPr>
          <w:tblCellSpacing w:w="15" w:type="dxa"/>
        </w:trPr>
        <w:tc>
          <w:tcPr>
            <w:tcW w:w="2204" w:type="pct"/>
            <w:shd w:val="clear" w:color="auto" w:fill="auto"/>
            <w:vAlign w:val="center"/>
          </w:tcPr>
          <w:p w:rsidR="00E33C4D" w:rsidRDefault="00E33C4D">
            <w:pPr>
              <w:rPr>
                <w:rFonts w:ascii="Times New Roman" w:hAnsi="Times New Roman" w:cs="Times New Roman"/>
                <w:sz w:val="24"/>
                <w:szCs w:val="24"/>
              </w:rPr>
            </w:pPr>
          </w:p>
        </w:tc>
        <w:tc>
          <w:tcPr>
            <w:tcW w:w="190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Market availability</w:t>
            </w:r>
          </w:p>
        </w:tc>
        <w:tc>
          <w:tcPr>
            <w:tcW w:w="82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4.42</w:t>
            </w:r>
          </w:p>
        </w:tc>
      </w:tr>
      <w:tr w:rsidR="00E33C4D">
        <w:trPr>
          <w:tblCellSpacing w:w="15" w:type="dxa"/>
        </w:trPr>
        <w:tc>
          <w:tcPr>
            <w:tcW w:w="2204" w:type="pct"/>
            <w:shd w:val="clear" w:color="auto" w:fill="auto"/>
            <w:vAlign w:val="center"/>
          </w:tcPr>
          <w:p w:rsidR="00E33C4D" w:rsidRDefault="00E33C4D">
            <w:pPr>
              <w:rPr>
                <w:rFonts w:ascii="Times New Roman" w:hAnsi="Times New Roman" w:cs="Times New Roman"/>
                <w:sz w:val="24"/>
                <w:szCs w:val="24"/>
              </w:rPr>
            </w:pPr>
          </w:p>
        </w:tc>
        <w:tc>
          <w:tcPr>
            <w:tcW w:w="190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Storage facility status</w:t>
            </w:r>
          </w:p>
        </w:tc>
        <w:tc>
          <w:tcPr>
            <w:tcW w:w="82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3.78</w:t>
            </w:r>
          </w:p>
        </w:tc>
      </w:tr>
      <w:tr w:rsidR="00E33C4D">
        <w:trPr>
          <w:tblCellSpacing w:w="15" w:type="dxa"/>
        </w:trPr>
        <w:tc>
          <w:tcPr>
            <w:tcW w:w="2204" w:type="pct"/>
            <w:shd w:val="clear" w:color="auto" w:fill="auto"/>
            <w:vAlign w:val="center"/>
          </w:tcPr>
          <w:p w:rsidR="00E33C4D" w:rsidRDefault="00F76665">
            <w:pPr>
              <w:rPr>
                <w:rFonts w:ascii="Times New Roman" w:hAnsi="Times New Roman" w:cs="Times New Roman"/>
                <w:sz w:val="24"/>
                <w:szCs w:val="24"/>
              </w:rPr>
            </w:pPr>
            <w:r>
              <w:rPr>
                <w:rStyle w:val="Strong"/>
                <w:rFonts w:ascii="Times New Roman" w:eastAsia="SimSun" w:hAnsi="Times New Roman" w:cs="Times New Roman"/>
                <w:sz w:val="24"/>
                <w:szCs w:val="24"/>
                <w:lang w:bidi="ar"/>
              </w:rPr>
              <w:t>Product Selection (X2)</w:t>
            </w:r>
          </w:p>
        </w:tc>
        <w:tc>
          <w:tcPr>
            <w:tcW w:w="190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Method mix</w:t>
            </w:r>
          </w:p>
        </w:tc>
        <w:tc>
          <w:tcPr>
            <w:tcW w:w="82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3.00</w:t>
            </w:r>
          </w:p>
        </w:tc>
      </w:tr>
      <w:tr w:rsidR="00E33C4D">
        <w:trPr>
          <w:tblCellSpacing w:w="15" w:type="dxa"/>
        </w:trPr>
        <w:tc>
          <w:tcPr>
            <w:tcW w:w="2204" w:type="pct"/>
            <w:shd w:val="clear" w:color="auto" w:fill="auto"/>
            <w:vAlign w:val="center"/>
          </w:tcPr>
          <w:p w:rsidR="00E33C4D" w:rsidRDefault="00E33C4D">
            <w:pPr>
              <w:rPr>
                <w:rFonts w:ascii="Times New Roman" w:hAnsi="Times New Roman" w:cs="Times New Roman"/>
                <w:sz w:val="24"/>
                <w:szCs w:val="24"/>
              </w:rPr>
            </w:pPr>
          </w:p>
        </w:tc>
        <w:tc>
          <w:tcPr>
            <w:tcW w:w="190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Product brand</w:t>
            </w:r>
          </w:p>
        </w:tc>
        <w:tc>
          <w:tcPr>
            <w:tcW w:w="82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3.19</w:t>
            </w:r>
          </w:p>
        </w:tc>
      </w:tr>
      <w:tr w:rsidR="00E33C4D">
        <w:trPr>
          <w:tblCellSpacing w:w="15" w:type="dxa"/>
        </w:trPr>
        <w:tc>
          <w:tcPr>
            <w:tcW w:w="2204" w:type="pct"/>
            <w:shd w:val="clear" w:color="auto" w:fill="auto"/>
            <w:vAlign w:val="center"/>
          </w:tcPr>
          <w:p w:rsidR="00E33C4D" w:rsidRDefault="00E33C4D">
            <w:pPr>
              <w:rPr>
                <w:rFonts w:ascii="Times New Roman" w:hAnsi="Times New Roman" w:cs="Times New Roman"/>
                <w:sz w:val="24"/>
                <w:szCs w:val="24"/>
              </w:rPr>
            </w:pPr>
          </w:p>
        </w:tc>
        <w:tc>
          <w:tcPr>
            <w:tcW w:w="190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 xml:space="preserve">User </w:t>
            </w:r>
            <w:r>
              <w:rPr>
                <w:rFonts w:ascii="Times New Roman" w:eastAsia="SimSun" w:hAnsi="Times New Roman" w:cs="Times New Roman"/>
                <w:sz w:val="24"/>
                <w:szCs w:val="24"/>
                <w:lang w:bidi="ar"/>
              </w:rPr>
              <w:t>preference</w:t>
            </w:r>
          </w:p>
        </w:tc>
        <w:tc>
          <w:tcPr>
            <w:tcW w:w="82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4.53</w:t>
            </w:r>
          </w:p>
        </w:tc>
      </w:tr>
      <w:tr w:rsidR="00E33C4D">
        <w:trPr>
          <w:tblCellSpacing w:w="15" w:type="dxa"/>
        </w:trPr>
        <w:tc>
          <w:tcPr>
            <w:tcW w:w="2204" w:type="pct"/>
            <w:shd w:val="clear" w:color="auto" w:fill="auto"/>
            <w:vAlign w:val="center"/>
          </w:tcPr>
          <w:p w:rsidR="00E33C4D" w:rsidRDefault="00E33C4D">
            <w:pPr>
              <w:rPr>
                <w:rFonts w:ascii="Times New Roman" w:hAnsi="Times New Roman" w:cs="Times New Roman"/>
                <w:sz w:val="24"/>
                <w:szCs w:val="24"/>
              </w:rPr>
            </w:pPr>
          </w:p>
        </w:tc>
        <w:tc>
          <w:tcPr>
            <w:tcW w:w="190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Price-cost competitiveness</w:t>
            </w:r>
          </w:p>
        </w:tc>
        <w:tc>
          <w:tcPr>
            <w:tcW w:w="82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2.75</w:t>
            </w:r>
          </w:p>
        </w:tc>
      </w:tr>
      <w:tr w:rsidR="00E33C4D">
        <w:trPr>
          <w:tblCellSpacing w:w="15" w:type="dxa"/>
        </w:trPr>
        <w:tc>
          <w:tcPr>
            <w:tcW w:w="2204" w:type="pct"/>
            <w:shd w:val="clear" w:color="auto" w:fill="auto"/>
            <w:vAlign w:val="center"/>
          </w:tcPr>
          <w:p w:rsidR="00E33C4D" w:rsidRDefault="00E33C4D">
            <w:pPr>
              <w:rPr>
                <w:rFonts w:ascii="Times New Roman" w:hAnsi="Times New Roman" w:cs="Times New Roman"/>
                <w:sz w:val="24"/>
                <w:szCs w:val="24"/>
              </w:rPr>
            </w:pPr>
          </w:p>
        </w:tc>
        <w:tc>
          <w:tcPr>
            <w:tcW w:w="190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Policy issues</w:t>
            </w:r>
          </w:p>
        </w:tc>
        <w:tc>
          <w:tcPr>
            <w:tcW w:w="82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3.81</w:t>
            </w:r>
          </w:p>
        </w:tc>
      </w:tr>
      <w:tr w:rsidR="00E33C4D">
        <w:trPr>
          <w:tblCellSpacing w:w="15" w:type="dxa"/>
        </w:trPr>
        <w:tc>
          <w:tcPr>
            <w:tcW w:w="2204" w:type="pct"/>
            <w:shd w:val="clear" w:color="auto" w:fill="auto"/>
            <w:vAlign w:val="center"/>
          </w:tcPr>
          <w:p w:rsidR="00E33C4D" w:rsidRDefault="00F76665">
            <w:pPr>
              <w:rPr>
                <w:rFonts w:ascii="Times New Roman" w:hAnsi="Times New Roman" w:cs="Times New Roman"/>
                <w:sz w:val="24"/>
                <w:szCs w:val="24"/>
              </w:rPr>
            </w:pPr>
            <w:r>
              <w:rPr>
                <w:rStyle w:val="Strong"/>
                <w:rFonts w:ascii="Times New Roman" w:eastAsia="SimSun" w:hAnsi="Times New Roman" w:cs="Times New Roman"/>
                <w:sz w:val="24"/>
                <w:szCs w:val="24"/>
                <w:lang w:bidi="ar"/>
              </w:rPr>
              <w:t>Product Range (X3)</w:t>
            </w:r>
          </w:p>
        </w:tc>
        <w:tc>
          <w:tcPr>
            <w:tcW w:w="190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Complete FP portfolio</w:t>
            </w:r>
          </w:p>
        </w:tc>
        <w:tc>
          <w:tcPr>
            <w:tcW w:w="82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4.39</w:t>
            </w:r>
          </w:p>
        </w:tc>
      </w:tr>
      <w:tr w:rsidR="00E33C4D">
        <w:trPr>
          <w:tblCellSpacing w:w="15" w:type="dxa"/>
        </w:trPr>
        <w:tc>
          <w:tcPr>
            <w:tcW w:w="2204" w:type="pct"/>
            <w:shd w:val="clear" w:color="auto" w:fill="auto"/>
            <w:vAlign w:val="center"/>
          </w:tcPr>
          <w:p w:rsidR="00E33C4D" w:rsidRDefault="00E33C4D">
            <w:pPr>
              <w:rPr>
                <w:rFonts w:ascii="Times New Roman" w:hAnsi="Times New Roman" w:cs="Times New Roman"/>
                <w:sz w:val="24"/>
                <w:szCs w:val="24"/>
              </w:rPr>
            </w:pPr>
          </w:p>
        </w:tc>
        <w:tc>
          <w:tcPr>
            <w:tcW w:w="190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Community involvement</w:t>
            </w:r>
          </w:p>
        </w:tc>
        <w:tc>
          <w:tcPr>
            <w:tcW w:w="82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4.05</w:t>
            </w:r>
          </w:p>
        </w:tc>
      </w:tr>
      <w:tr w:rsidR="00E33C4D">
        <w:trPr>
          <w:tblCellSpacing w:w="15" w:type="dxa"/>
        </w:trPr>
        <w:tc>
          <w:tcPr>
            <w:tcW w:w="2204" w:type="pct"/>
            <w:shd w:val="clear" w:color="auto" w:fill="auto"/>
            <w:vAlign w:val="center"/>
          </w:tcPr>
          <w:p w:rsidR="00E33C4D" w:rsidRDefault="00E33C4D">
            <w:pPr>
              <w:rPr>
                <w:rFonts w:ascii="Times New Roman" w:hAnsi="Times New Roman" w:cs="Times New Roman"/>
                <w:sz w:val="24"/>
                <w:szCs w:val="24"/>
              </w:rPr>
            </w:pPr>
          </w:p>
        </w:tc>
        <w:tc>
          <w:tcPr>
            <w:tcW w:w="190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Clinic care operation</w:t>
            </w:r>
          </w:p>
        </w:tc>
        <w:tc>
          <w:tcPr>
            <w:tcW w:w="82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3.86</w:t>
            </w:r>
          </w:p>
        </w:tc>
      </w:tr>
      <w:tr w:rsidR="00E33C4D">
        <w:trPr>
          <w:tblCellSpacing w:w="15" w:type="dxa"/>
        </w:trPr>
        <w:tc>
          <w:tcPr>
            <w:tcW w:w="2204" w:type="pct"/>
            <w:shd w:val="clear" w:color="auto" w:fill="auto"/>
            <w:vAlign w:val="center"/>
          </w:tcPr>
          <w:p w:rsidR="00E33C4D" w:rsidRDefault="00E33C4D">
            <w:pPr>
              <w:rPr>
                <w:rFonts w:ascii="Times New Roman" w:hAnsi="Times New Roman" w:cs="Times New Roman"/>
                <w:sz w:val="24"/>
                <w:szCs w:val="24"/>
              </w:rPr>
            </w:pPr>
          </w:p>
        </w:tc>
        <w:tc>
          <w:tcPr>
            <w:tcW w:w="190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Product quality availability</w:t>
            </w:r>
          </w:p>
        </w:tc>
        <w:tc>
          <w:tcPr>
            <w:tcW w:w="82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3.54</w:t>
            </w:r>
          </w:p>
        </w:tc>
      </w:tr>
      <w:tr w:rsidR="00E33C4D">
        <w:trPr>
          <w:tblCellSpacing w:w="15" w:type="dxa"/>
        </w:trPr>
        <w:tc>
          <w:tcPr>
            <w:tcW w:w="2204" w:type="pct"/>
            <w:shd w:val="clear" w:color="auto" w:fill="auto"/>
            <w:vAlign w:val="center"/>
          </w:tcPr>
          <w:p w:rsidR="00E33C4D" w:rsidRDefault="00E33C4D">
            <w:pPr>
              <w:rPr>
                <w:rFonts w:ascii="Times New Roman" w:hAnsi="Times New Roman" w:cs="Times New Roman"/>
                <w:sz w:val="24"/>
                <w:szCs w:val="24"/>
              </w:rPr>
            </w:pPr>
          </w:p>
        </w:tc>
        <w:tc>
          <w:tcPr>
            <w:tcW w:w="190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Product quantity availability</w:t>
            </w:r>
          </w:p>
        </w:tc>
        <w:tc>
          <w:tcPr>
            <w:tcW w:w="82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3.32</w:t>
            </w:r>
          </w:p>
        </w:tc>
      </w:tr>
      <w:tr w:rsidR="00E33C4D">
        <w:trPr>
          <w:tblCellSpacing w:w="15" w:type="dxa"/>
        </w:trPr>
        <w:tc>
          <w:tcPr>
            <w:tcW w:w="2204" w:type="pct"/>
            <w:shd w:val="clear" w:color="auto" w:fill="auto"/>
            <w:vAlign w:val="center"/>
          </w:tcPr>
          <w:p w:rsidR="00E33C4D" w:rsidRDefault="00F76665">
            <w:pPr>
              <w:rPr>
                <w:rFonts w:ascii="Times New Roman" w:hAnsi="Times New Roman" w:cs="Times New Roman"/>
                <w:sz w:val="24"/>
                <w:szCs w:val="24"/>
              </w:rPr>
            </w:pPr>
            <w:r>
              <w:rPr>
                <w:rStyle w:val="Strong"/>
                <w:rFonts w:ascii="Times New Roman" w:eastAsia="SimSun" w:hAnsi="Times New Roman" w:cs="Times New Roman"/>
                <w:sz w:val="24"/>
                <w:szCs w:val="24"/>
                <w:lang w:bidi="ar"/>
              </w:rPr>
              <w:t xml:space="preserve">Cost </w:t>
            </w:r>
            <w:r>
              <w:rPr>
                <w:rStyle w:val="Strong"/>
                <w:rFonts w:ascii="Times New Roman" w:eastAsia="SimSun" w:hAnsi="Times New Roman" w:cs="Times New Roman"/>
                <w:sz w:val="24"/>
                <w:szCs w:val="24"/>
                <w:lang w:bidi="ar"/>
              </w:rPr>
              <w:t>Burden Responsibility (X4)</w:t>
            </w:r>
          </w:p>
        </w:tc>
        <w:tc>
          <w:tcPr>
            <w:tcW w:w="190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On patients</w:t>
            </w:r>
          </w:p>
        </w:tc>
        <w:tc>
          <w:tcPr>
            <w:tcW w:w="82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3.75</w:t>
            </w:r>
          </w:p>
        </w:tc>
      </w:tr>
      <w:tr w:rsidR="00E33C4D">
        <w:trPr>
          <w:tblCellSpacing w:w="15" w:type="dxa"/>
        </w:trPr>
        <w:tc>
          <w:tcPr>
            <w:tcW w:w="2204" w:type="pct"/>
            <w:shd w:val="clear" w:color="auto" w:fill="auto"/>
            <w:vAlign w:val="center"/>
          </w:tcPr>
          <w:p w:rsidR="00E33C4D" w:rsidRDefault="00E33C4D">
            <w:pPr>
              <w:rPr>
                <w:rFonts w:ascii="Times New Roman" w:hAnsi="Times New Roman" w:cs="Times New Roman"/>
                <w:sz w:val="24"/>
                <w:szCs w:val="24"/>
              </w:rPr>
            </w:pPr>
          </w:p>
        </w:tc>
        <w:tc>
          <w:tcPr>
            <w:tcW w:w="190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On government</w:t>
            </w:r>
          </w:p>
        </w:tc>
        <w:tc>
          <w:tcPr>
            <w:tcW w:w="82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4.74</w:t>
            </w:r>
          </w:p>
        </w:tc>
      </w:tr>
      <w:tr w:rsidR="00E33C4D">
        <w:trPr>
          <w:tblCellSpacing w:w="15" w:type="dxa"/>
        </w:trPr>
        <w:tc>
          <w:tcPr>
            <w:tcW w:w="2204" w:type="pct"/>
            <w:shd w:val="clear" w:color="auto" w:fill="auto"/>
            <w:vAlign w:val="center"/>
          </w:tcPr>
          <w:p w:rsidR="00E33C4D" w:rsidRDefault="00E33C4D">
            <w:pPr>
              <w:rPr>
                <w:rFonts w:ascii="Times New Roman" w:hAnsi="Times New Roman" w:cs="Times New Roman"/>
                <w:sz w:val="24"/>
                <w:szCs w:val="24"/>
              </w:rPr>
            </w:pPr>
          </w:p>
        </w:tc>
        <w:tc>
          <w:tcPr>
            <w:tcW w:w="190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On suppliers</w:t>
            </w:r>
          </w:p>
        </w:tc>
        <w:tc>
          <w:tcPr>
            <w:tcW w:w="82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3.35</w:t>
            </w:r>
          </w:p>
        </w:tc>
      </w:tr>
      <w:tr w:rsidR="00E33C4D">
        <w:trPr>
          <w:tblCellSpacing w:w="15" w:type="dxa"/>
        </w:trPr>
        <w:tc>
          <w:tcPr>
            <w:tcW w:w="2204" w:type="pct"/>
            <w:shd w:val="clear" w:color="auto" w:fill="auto"/>
            <w:vAlign w:val="center"/>
          </w:tcPr>
          <w:p w:rsidR="00E33C4D" w:rsidRDefault="00E33C4D">
            <w:pPr>
              <w:rPr>
                <w:rFonts w:ascii="Times New Roman" w:hAnsi="Times New Roman" w:cs="Times New Roman"/>
                <w:sz w:val="24"/>
                <w:szCs w:val="24"/>
              </w:rPr>
            </w:pPr>
          </w:p>
        </w:tc>
        <w:tc>
          <w:tcPr>
            <w:tcW w:w="190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On private investment</w:t>
            </w:r>
          </w:p>
        </w:tc>
        <w:tc>
          <w:tcPr>
            <w:tcW w:w="82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2.94</w:t>
            </w:r>
          </w:p>
        </w:tc>
      </w:tr>
      <w:tr w:rsidR="00E33C4D">
        <w:trPr>
          <w:tblCellSpacing w:w="15" w:type="dxa"/>
        </w:trPr>
        <w:tc>
          <w:tcPr>
            <w:tcW w:w="2204" w:type="pct"/>
            <w:shd w:val="clear" w:color="auto" w:fill="auto"/>
            <w:vAlign w:val="center"/>
          </w:tcPr>
          <w:p w:rsidR="00E33C4D" w:rsidRDefault="00E33C4D">
            <w:pPr>
              <w:rPr>
                <w:rFonts w:ascii="Times New Roman" w:hAnsi="Times New Roman" w:cs="Times New Roman"/>
                <w:sz w:val="24"/>
                <w:szCs w:val="24"/>
              </w:rPr>
            </w:pPr>
          </w:p>
        </w:tc>
        <w:tc>
          <w:tcPr>
            <w:tcW w:w="1901"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Specified by policy</w:t>
            </w:r>
          </w:p>
        </w:tc>
        <w:tc>
          <w:tcPr>
            <w:tcW w:w="82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4.39</w:t>
            </w:r>
          </w:p>
        </w:tc>
      </w:tr>
    </w:tbl>
    <w:p w:rsidR="00E33C4D" w:rsidRDefault="00E33C4D">
      <w:pPr>
        <w:rPr>
          <w:rFonts w:ascii="Times New Roman" w:hAnsi="Times New Roman" w:cs="Times New Roman"/>
          <w:sz w:val="24"/>
          <w:szCs w:val="24"/>
        </w:rPr>
      </w:pPr>
    </w:p>
    <w:p w:rsidR="00E33C4D" w:rsidRDefault="00F76665">
      <w:pPr>
        <w:pStyle w:val="Heading2"/>
        <w:rPr>
          <w:rFonts w:ascii="Times New Roman" w:hAnsi="Times New Roman" w:hint="default"/>
          <w:sz w:val="24"/>
          <w:szCs w:val="24"/>
        </w:rPr>
      </w:pPr>
      <w:r>
        <w:rPr>
          <w:rFonts w:ascii="Times New Roman" w:hAnsi="Times New Roman" w:hint="default"/>
          <w:sz w:val="24"/>
          <w:szCs w:val="24"/>
        </w:rPr>
        <w:t>3.5 Facility Operational Indicators and Service Output</w:t>
      </w:r>
    </w:p>
    <w:p w:rsidR="00E33C4D" w:rsidRDefault="00F76665">
      <w:pPr>
        <w:pStyle w:val="NormalWeb"/>
      </w:pPr>
      <w:r>
        <w:lastRenderedPageBreak/>
        <w:t xml:space="preserve">Barrier, oral, and injectable contraceptives were </w:t>
      </w:r>
      <w:r>
        <w:t>dispensed in 98.5% of facilities. Implants were dispensed in 10.8% of facilities, IUDs in 29.2%, and emergency methods in 3.1%. Stock expiry was reported by 63.1% of facilities, while 6.9% reported stock-outs.</w:t>
      </w:r>
    </w:p>
    <w:p w:rsidR="00E33C4D" w:rsidRDefault="00F76665">
      <w:pPr>
        <w:pStyle w:val="NormalWeb"/>
      </w:pPr>
      <w:r>
        <w:t>Operational performance indicators are summari</w:t>
      </w:r>
      <w:r>
        <w:t>zed in Table 5A. Mean stock arrival time was 5.47 hours, and order processing time averaged 6.97 hours. Facilities reported an average of 9.6 patient visits per day and 57 patients per month. The clinic care operations management index was −0.68.</w:t>
      </w:r>
    </w:p>
    <w:p w:rsidR="00E33C4D" w:rsidRDefault="00F76665">
      <w:pPr>
        <w:pStyle w:val="Heading3"/>
        <w:rPr>
          <w:rFonts w:ascii="Times New Roman" w:hAnsi="Times New Roman" w:hint="default"/>
          <w:sz w:val="24"/>
          <w:szCs w:val="24"/>
        </w:rPr>
      </w:pPr>
      <w:r>
        <w:rPr>
          <w:rStyle w:val="Strong"/>
          <w:rFonts w:ascii="Times New Roman" w:hAnsi="Times New Roman" w:hint="default"/>
          <w:b/>
          <w:bCs/>
          <w:sz w:val="24"/>
          <w:szCs w:val="24"/>
        </w:rPr>
        <w:t>Table 5A.</w:t>
      </w:r>
      <w:r>
        <w:rPr>
          <w:rStyle w:val="Strong"/>
          <w:rFonts w:ascii="Times New Roman" w:hAnsi="Times New Roman" w:hint="default"/>
          <w:b/>
          <w:bCs/>
          <w:sz w:val="24"/>
          <w:szCs w:val="24"/>
        </w:rPr>
        <w:t xml:space="preserve"> Facility Operational and Service Output Indicators (N = 130)</w:t>
      </w:r>
    </w:p>
    <w:tbl>
      <w:tblPr>
        <w:tblW w:w="4999" w:type="pct"/>
        <w:tblCellSpacing w:w="15" w:type="dxa"/>
        <w:tblCellMar>
          <w:top w:w="15" w:type="dxa"/>
          <w:left w:w="15" w:type="dxa"/>
          <w:bottom w:w="15" w:type="dxa"/>
          <w:right w:w="15" w:type="dxa"/>
        </w:tblCellMar>
        <w:tblLook w:val="04A0" w:firstRow="1" w:lastRow="0" w:firstColumn="1" w:lastColumn="0" w:noHBand="0" w:noVBand="1"/>
      </w:tblPr>
      <w:tblGrid>
        <w:gridCol w:w="6750"/>
        <w:gridCol w:w="1644"/>
      </w:tblGrid>
      <w:tr w:rsidR="00E33C4D">
        <w:trPr>
          <w:tblHeader/>
          <w:tblCellSpacing w:w="15" w:type="dxa"/>
        </w:trPr>
        <w:tc>
          <w:tcPr>
            <w:tcW w:w="3993"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Indicator</w:t>
            </w:r>
          </w:p>
        </w:tc>
        <w:tc>
          <w:tcPr>
            <w:tcW w:w="952" w:type="pct"/>
            <w:shd w:val="clear" w:color="auto" w:fill="auto"/>
            <w:vAlign w:val="center"/>
          </w:tcPr>
          <w:p w:rsidR="00E33C4D" w:rsidRDefault="00F76665">
            <w:pPr>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Mean / %</w:t>
            </w:r>
          </w:p>
        </w:tc>
      </w:tr>
      <w:tr w:rsidR="00E33C4D">
        <w:trPr>
          <w:tblCellSpacing w:w="15" w:type="dxa"/>
        </w:trPr>
        <w:tc>
          <w:tcPr>
            <w:tcW w:w="3993"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Stock arrival time (hrs)</w:t>
            </w:r>
          </w:p>
        </w:tc>
        <w:tc>
          <w:tcPr>
            <w:tcW w:w="9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5.47</w:t>
            </w:r>
          </w:p>
        </w:tc>
      </w:tr>
      <w:tr w:rsidR="00E33C4D">
        <w:trPr>
          <w:tblCellSpacing w:w="15" w:type="dxa"/>
        </w:trPr>
        <w:tc>
          <w:tcPr>
            <w:tcW w:w="3993"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Stock sorting time (hrs)</w:t>
            </w:r>
          </w:p>
        </w:tc>
        <w:tc>
          <w:tcPr>
            <w:tcW w:w="9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4.32</w:t>
            </w:r>
          </w:p>
        </w:tc>
      </w:tr>
      <w:tr w:rsidR="00E33C4D">
        <w:trPr>
          <w:tblCellSpacing w:w="15" w:type="dxa"/>
        </w:trPr>
        <w:tc>
          <w:tcPr>
            <w:tcW w:w="3993"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Order processing time (hrs)</w:t>
            </w:r>
          </w:p>
        </w:tc>
        <w:tc>
          <w:tcPr>
            <w:tcW w:w="9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6.97</w:t>
            </w:r>
          </w:p>
        </w:tc>
      </w:tr>
      <w:tr w:rsidR="00E33C4D">
        <w:trPr>
          <w:tblCellSpacing w:w="15" w:type="dxa"/>
        </w:trPr>
        <w:tc>
          <w:tcPr>
            <w:tcW w:w="3993"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Delivery distance (km)</w:t>
            </w:r>
          </w:p>
        </w:tc>
        <w:tc>
          <w:tcPr>
            <w:tcW w:w="9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32</w:t>
            </w:r>
          </w:p>
        </w:tc>
      </w:tr>
      <w:tr w:rsidR="00E33C4D">
        <w:trPr>
          <w:tblCellSpacing w:w="15" w:type="dxa"/>
        </w:trPr>
        <w:tc>
          <w:tcPr>
            <w:tcW w:w="3993"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Cost per trip (₦)</w:t>
            </w:r>
          </w:p>
        </w:tc>
        <w:tc>
          <w:tcPr>
            <w:tcW w:w="9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2,100</w:t>
            </w:r>
          </w:p>
        </w:tc>
      </w:tr>
      <w:tr w:rsidR="00E33C4D">
        <w:trPr>
          <w:tblCellSpacing w:w="15" w:type="dxa"/>
        </w:trPr>
        <w:tc>
          <w:tcPr>
            <w:tcW w:w="3993"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 xml:space="preserve">Alternate dispensing </w:t>
            </w:r>
            <w:r>
              <w:rPr>
                <w:rFonts w:ascii="Times New Roman" w:eastAsia="SimSun" w:hAnsi="Times New Roman" w:cs="Times New Roman"/>
                <w:sz w:val="24"/>
                <w:szCs w:val="24"/>
                <w:lang w:bidi="ar"/>
              </w:rPr>
              <w:t>outlets served</w:t>
            </w:r>
          </w:p>
        </w:tc>
        <w:tc>
          <w:tcPr>
            <w:tcW w:w="9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1.6</w:t>
            </w:r>
          </w:p>
        </w:tc>
      </w:tr>
      <w:tr w:rsidR="00E33C4D">
        <w:trPr>
          <w:tblCellSpacing w:w="15" w:type="dxa"/>
        </w:trPr>
        <w:tc>
          <w:tcPr>
            <w:tcW w:w="3993"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Personnel per day</w:t>
            </w:r>
          </w:p>
        </w:tc>
        <w:tc>
          <w:tcPr>
            <w:tcW w:w="9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2.2</w:t>
            </w:r>
          </w:p>
        </w:tc>
      </w:tr>
      <w:tr w:rsidR="00E33C4D">
        <w:trPr>
          <w:tblCellSpacing w:w="15" w:type="dxa"/>
        </w:trPr>
        <w:tc>
          <w:tcPr>
            <w:tcW w:w="3993"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Patient visits per day</w:t>
            </w:r>
          </w:p>
        </w:tc>
        <w:tc>
          <w:tcPr>
            <w:tcW w:w="9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9.6</w:t>
            </w:r>
          </w:p>
        </w:tc>
      </w:tr>
      <w:tr w:rsidR="00E33C4D">
        <w:trPr>
          <w:tblCellSpacing w:w="15" w:type="dxa"/>
        </w:trPr>
        <w:tc>
          <w:tcPr>
            <w:tcW w:w="3993"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Patients per month</w:t>
            </w:r>
          </w:p>
        </w:tc>
        <w:tc>
          <w:tcPr>
            <w:tcW w:w="9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57</w:t>
            </w:r>
          </w:p>
        </w:tc>
      </w:tr>
      <w:tr w:rsidR="00E33C4D">
        <w:trPr>
          <w:tblCellSpacing w:w="15" w:type="dxa"/>
        </w:trPr>
        <w:tc>
          <w:tcPr>
            <w:tcW w:w="3993"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Service time per patient (mins)</w:t>
            </w:r>
          </w:p>
        </w:tc>
        <w:tc>
          <w:tcPr>
            <w:tcW w:w="9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21</w:t>
            </w:r>
          </w:p>
        </w:tc>
      </w:tr>
      <w:tr w:rsidR="00E33C4D">
        <w:trPr>
          <w:tblCellSpacing w:w="15" w:type="dxa"/>
        </w:trPr>
        <w:tc>
          <w:tcPr>
            <w:tcW w:w="3993"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Clinic Care Operations Index</w:t>
            </w:r>
          </w:p>
        </w:tc>
        <w:tc>
          <w:tcPr>
            <w:tcW w:w="9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w:t>
            </w:r>
            <w:r>
              <w:rPr>
                <w:rFonts w:ascii="Times New Roman" w:eastAsia="SimSun" w:hAnsi="Times New Roman" w:cs="Times New Roman"/>
                <w:sz w:val="24"/>
                <w:szCs w:val="24"/>
                <w:lang w:bidi="ar"/>
              </w:rPr>
              <w:t>0.68</w:t>
            </w:r>
          </w:p>
        </w:tc>
      </w:tr>
      <w:tr w:rsidR="00E33C4D">
        <w:trPr>
          <w:tblCellSpacing w:w="15" w:type="dxa"/>
        </w:trPr>
        <w:tc>
          <w:tcPr>
            <w:tcW w:w="3993"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Stock-out experienced (%)</w:t>
            </w:r>
          </w:p>
        </w:tc>
        <w:tc>
          <w:tcPr>
            <w:tcW w:w="9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6.9</w:t>
            </w:r>
          </w:p>
        </w:tc>
      </w:tr>
      <w:tr w:rsidR="00E33C4D">
        <w:trPr>
          <w:tblCellSpacing w:w="15" w:type="dxa"/>
        </w:trPr>
        <w:tc>
          <w:tcPr>
            <w:tcW w:w="3993"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Stock expiry experienced (%)</w:t>
            </w:r>
          </w:p>
        </w:tc>
        <w:tc>
          <w:tcPr>
            <w:tcW w:w="952" w:type="pct"/>
            <w:shd w:val="clear" w:color="auto" w:fill="auto"/>
            <w:vAlign w:val="center"/>
          </w:tcPr>
          <w:p w:rsidR="00E33C4D" w:rsidRDefault="00F76665">
            <w:pPr>
              <w:rPr>
                <w:rFonts w:ascii="Times New Roman" w:hAnsi="Times New Roman" w:cs="Times New Roman"/>
                <w:sz w:val="24"/>
                <w:szCs w:val="24"/>
              </w:rPr>
            </w:pPr>
            <w:r>
              <w:rPr>
                <w:rFonts w:ascii="Times New Roman" w:eastAsia="SimSun" w:hAnsi="Times New Roman" w:cs="Times New Roman"/>
                <w:sz w:val="24"/>
                <w:szCs w:val="24"/>
                <w:lang w:bidi="ar"/>
              </w:rPr>
              <w:t>63.1</w:t>
            </w:r>
          </w:p>
        </w:tc>
      </w:tr>
    </w:tbl>
    <w:p w:rsidR="00E33C4D" w:rsidRDefault="00E33C4D">
      <w:pPr>
        <w:rPr>
          <w:rFonts w:ascii="Times New Roman" w:hAnsi="Times New Roman" w:cs="Times New Roman"/>
          <w:sz w:val="24"/>
          <w:szCs w:val="24"/>
        </w:rPr>
      </w:pPr>
    </w:p>
    <w:p w:rsidR="00E33C4D" w:rsidRDefault="00F76665">
      <w:pPr>
        <w:pStyle w:val="Heading2"/>
        <w:rPr>
          <w:rFonts w:ascii="Times New Roman" w:hAnsi="Times New Roman" w:hint="default"/>
          <w:sz w:val="24"/>
          <w:szCs w:val="24"/>
        </w:rPr>
      </w:pPr>
      <w:r>
        <w:rPr>
          <w:rFonts w:ascii="Times New Roman" w:hAnsi="Times New Roman" w:hint="default"/>
          <w:sz w:val="24"/>
          <w:szCs w:val="24"/>
        </w:rPr>
        <w:t xml:space="preserve">3.6 Distribution </w:t>
      </w:r>
      <w:r>
        <w:rPr>
          <w:rFonts w:ascii="Times New Roman" w:hAnsi="Times New Roman" w:hint="default"/>
          <w:sz w:val="24"/>
          <w:szCs w:val="24"/>
        </w:rPr>
        <w:t>Constraints</w:t>
      </w:r>
    </w:p>
    <w:p w:rsidR="00E33C4D" w:rsidRDefault="00F76665">
      <w:pPr>
        <w:rPr>
          <w:rFonts w:ascii="Times New Roman" w:hAnsi="Times New Roman" w:cs="Times New Roman"/>
          <w:sz w:val="24"/>
          <w:szCs w:val="24"/>
        </w:rPr>
      </w:pPr>
      <w:r>
        <w:rPr>
          <w:rFonts w:ascii="Times New Roman" w:hAnsi="Times New Roman" w:cs="Times New Roman"/>
          <w:sz w:val="24"/>
          <w:szCs w:val="24"/>
        </w:rPr>
        <w:t xml:space="preserve">Reported distribution constraints are presented in Figure 2. The most frequently reported constraint was product fluctuation (93.1%), followed by lack of procurement officer (86.9%) and brand preference (83.1%). Documentation delays were </w:t>
      </w:r>
      <w:r>
        <w:rPr>
          <w:rFonts w:ascii="Times New Roman" w:hAnsi="Times New Roman" w:cs="Times New Roman"/>
          <w:sz w:val="24"/>
          <w:szCs w:val="24"/>
        </w:rPr>
        <w:t>reported by 41.5% of facilities.</w:t>
      </w:r>
    </w:p>
    <w:p w:rsidR="00E33C4D" w:rsidRDefault="00E33C4D">
      <w:pPr>
        <w:rPr>
          <w:rFonts w:ascii="Times New Roman" w:hAnsi="Times New Roman" w:cs="Times New Roman"/>
          <w:sz w:val="24"/>
          <w:szCs w:val="24"/>
        </w:rPr>
      </w:pPr>
    </w:p>
    <w:p w:rsidR="00E33C4D" w:rsidRDefault="00F76665">
      <w:pPr>
        <w:rPr>
          <w:rFonts w:ascii="Times New Roman" w:hAnsi="Times New Roman" w:cs="Times New Roman"/>
          <w:sz w:val="24"/>
          <w:szCs w:val="24"/>
        </w:rPr>
      </w:pPr>
      <w:r>
        <w:rPr>
          <w:rFonts w:ascii="Times New Roman" w:hAnsi="Times New Roman" w:cs="Times New Roman"/>
          <w:sz w:val="24"/>
          <w:szCs w:val="24"/>
        </w:rPr>
        <w:t>Figure 2. Reported Distribution Constraints in Public Health Facilities (N = 130)</w:t>
      </w:r>
    </w:p>
    <w:p w:rsidR="00E33C4D" w:rsidRDefault="00F76665">
      <w:pPr>
        <w:pStyle w:val="NormalWeb"/>
      </w:pPr>
      <w:r>
        <w:rPr>
          <w:rFonts w:ascii="SimSun" w:hAnsi="SimSun" w:cs="SimSun"/>
          <w:noProof/>
          <w:lang w:val="en-IN" w:eastAsia="en-IN"/>
        </w:rPr>
        <w:lastRenderedPageBreak/>
        <w:drawing>
          <wp:inline distT="0" distB="0" distL="114300" distR="114300">
            <wp:extent cx="5256530" cy="2988310"/>
            <wp:effectExtent l="5080" t="4445" r="8890"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33C4D" w:rsidRDefault="00F76665">
      <w:pPr>
        <w:pStyle w:val="Heading1"/>
        <w:rPr>
          <w:rFonts w:ascii="Times New Roman" w:hAnsi="Times New Roman" w:hint="default"/>
          <w:sz w:val="24"/>
          <w:szCs w:val="24"/>
        </w:rPr>
      </w:pPr>
      <w:r>
        <w:rPr>
          <w:rFonts w:ascii="Times New Roman" w:hAnsi="Times New Roman" w:hint="default"/>
          <w:sz w:val="24"/>
          <w:szCs w:val="24"/>
        </w:rPr>
        <w:t xml:space="preserve">4. </w:t>
      </w:r>
      <w:r>
        <w:rPr>
          <w:rFonts w:ascii="Times New Roman" w:hAnsi="Times New Roman" w:hint="default"/>
          <w:sz w:val="28"/>
          <w:szCs w:val="28"/>
        </w:rPr>
        <w:t>Discussion</w:t>
      </w:r>
    </w:p>
    <w:p w:rsidR="00E33C4D" w:rsidRDefault="00F76665">
      <w:pPr>
        <w:pStyle w:val="NormalWeb"/>
      </w:pPr>
      <w:r>
        <w:t xml:space="preserve">This study assessed the influence of key management decisions, facility operational practices, and distribution constraints </w:t>
      </w:r>
      <w:r>
        <w:t>on modern family planning (FP) commodity distribution in public health facilities in Imo State, Nigeria. The findings demonstrate that procurement decision quality, product range, and cost-burden responsibility significantly influence distribution performa</w:t>
      </w:r>
      <w:r>
        <w:t>nce, while operational inefficiencies and logistical constraints exert significant negative effects. These results reinforce the interconnectedness of governance, financing, logistics management, and service delivery quality within contraceptive supply sys</w:t>
      </w:r>
      <w:r>
        <w:t>tems.</w:t>
      </w:r>
    </w:p>
    <w:p w:rsidR="00E33C4D" w:rsidRDefault="00F76665">
      <w:pPr>
        <w:pStyle w:val="Heading2"/>
        <w:rPr>
          <w:rFonts w:ascii="Times New Roman" w:hAnsi="Times New Roman" w:hint="default"/>
          <w:sz w:val="24"/>
          <w:szCs w:val="24"/>
        </w:rPr>
      </w:pPr>
      <w:r>
        <w:rPr>
          <w:rFonts w:ascii="Times New Roman" w:hAnsi="Times New Roman" w:hint="default"/>
          <w:sz w:val="24"/>
          <w:szCs w:val="24"/>
        </w:rPr>
        <w:t>4.1 Procurement Decision Quality and Forecasting Efficiency</w:t>
      </w:r>
    </w:p>
    <w:p w:rsidR="00E33C4D" w:rsidRDefault="00F76665">
      <w:pPr>
        <w:pStyle w:val="NormalWeb"/>
      </w:pPr>
      <w:r>
        <w:t>The significant influence of procurement decision quality on distribution performance highlights the importance of accurate forecasting, quantification, and timely replenishment systems. Wea</w:t>
      </w:r>
      <w:r>
        <w:t>k selection, forecasting, and inventory control mechanisms in Nigeria’s public health sector have previously been documented by Auta and Banwat (2011), who reported inconsistencies in stock management and quantification processes in rural settings. Similar</w:t>
      </w:r>
      <w:r>
        <w:t>ly, the USAID/DELIVER PROJECT (2011a, 2011b) emphasized that systematic quantification, consumption tracking, and coordinated procurement cycles are central to avoiding both stock-outs and expiries.</w:t>
      </w:r>
    </w:p>
    <w:p w:rsidR="00E33C4D" w:rsidRDefault="00F76665">
      <w:pPr>
        <w:pStyle w:val="NormalWeb"/>
      </w:pPr>
      <w:r>
        <w:t>The 63% stock expiry rate observed in this study reflects</w:t>
      </w:r>
      <w:r>
        <w:t xml:space="preserve"> serious forecasting misalignment and inventory inefficiencies. Expiry-related wastage has also been linked to poor warehouse management and inadequate stock rotation systems (Disabantino, 2025). In addition, O’Hearn and Healy (2003) identified transportat</w:t>
      </w:r>
      <w:r>
        <w:t>ion inefficiencies and fragmented distribution channels as contributors to cost inflation and delays in Nigeria’s contraceptive supply chain. Collectively, these findings suggest that procurement decisions must be supported by strengthened logistics manage</w:t>
      </w:r>
      <w:r>
        <w:t>ment information systems (LMIS) and real-time consumption data to improve alignment between supply and demand.</w:t>
      </w:r>
    </w:p>
    <w:p w:rsidR="00E33C4D" w:rsidRDefault="00F76665">
      <w:pPr>
        <w:pStyle w:val="NormalWeb"/>
      </w:pPr>
      <w:r>
        <w:lastRenderedPageBreak/>
        <w:t>Recent global evidence further underscores the importance of adaptive forecasting mechanisms, especially when introducing or scaling contraceptiv</w:t>
      </w:r>
      <w:r>
        <w:t>e technologies (LaCroix et al., 2023). Without demand-responsive quantification approaches, procurement systems risk inefficiencies that directly compromise commodity security.</w:t>
      </w:r>
    </w:p>
    <w:p w:rsidR="00E33C4D" w:rsidRDefault="00F76665">
      <w:pPr>
        <w:pStyle w:val="Heading2"/>
        <w:rPr>
          <w:rFonts w:ascii="Times New Roman" w:hAnsi="Times New Roman" w:hint="default"/>
          <w:sz w:val="24"/>
          <w:szCs w:val="24"/>
        </w:rPr>
      </w:pPr>
      <w:r>
        <w:rPr>
          <w:rFonts w:ascii="Times New Roman" w:hAnsi="Times New Roman" w:hint="default"/>
          <w:sz w:val="24"/>
          <w:szCs w:val="24"/>
        </w:rPr>
        <w:t>4.2 Product Range (Method Mix) and Distribution Outcomes</w:t>
      </w:r>
    </w:p>
    <w:p w:rsidR="00E33C4D" w:rsidRDefault="00F76665">
      <w:pPr>
        <w:pStyle w:val="NormalWeb"/>
      </w:pPr>
      <w:r>
        <w:t>The significant influe</w:t>
      </w:r>
      <w:r>
        <w:t>nce of product range on distribution performance is consistent with international evidence demonstrating that broader contraceptive method mix increases uptake and continuation rates (Cohen et al., 2024; Singh &amp; Darroch, 2012). Method mix diversity enhance</w:t>
      </w:r>
      <w:r>
        <w:t>s user autonomy and aligns supply with heterogeneous preferences across populations.</w:t>
      </w:r>
    </w:p>
    <w:p w:rsidR="00E33C4D" w:rsidRDefault="00F76665">
      <w:pPr>
        <w:pStyle w:val="NormalWeb"/>
      </w:pPr>
      <w:r>
        <w:t>National-level analyses across 59 LMICs found that supportive policies expanding method mix were positively associated with improvements in contraceptive prevalence (Cohen</w:t>
      </w:r>
      <w:r>
        <w:t xml:space="preserve"> et al., 2024). In Nigeria, trends in contraceptive use show variability in method preference across regions and demographic groups (Atoyebi et al., 2025; Duru et al., 2018). Therefore, limited product range at facility level may suppress utilization even </w:t>
      </w:r>
      <w:r>
        <w:t>when commodities are technically available.</w:t>
      </w:r>
    </w:p>
    <w:p w:rsidR="00E33C4D" w:rsidRDefault="00F76665">
      <w:pPr>
        <w:pStyle w:val="NormalWeb"/>
      </w:pPr>
      <w:r>
        <w:t>Low brand utilization (23.7%) in this study suggests constrained choice or weak demand stimulation. Provider bias and inadequate counseling have also been shown to restrict method uptake (Solo &amp; Festin, 2019). Wh</w:t>
      </w:r>
      <w:r>
        <w:t>ere providers disproportionately promote certain methods or lack training in counseling for full method mix, availability alone does not translate into effective distribution.</w:t>
      </w:r>
    </w:p>
    <w:p w:rsidR="00E33C4D" w:rsidRDefault="00F76665">
      <w:pPr>
        <w:pStyle w:val="Heading2"/>
        <w:rPr>
          <w:rFonts w:ascii="Times New Roman" w:hAnsi="Times New Roman" w:hint="default"/>
          <w:sz w:val="24"/>
          <w:szCs w:val="24"/>
        </w:rPr>
      </w:pPr>
      <w:r>
        <w:rPr>
          <w:rFonts w:ascii="Times New Roman" w:hAnsi="Times New Roman" w:hint="default"/>
          <w:sz w:val="24"/>
          <w:szCs w:val="24"/>
        </w:rPr>
        <w:t>4.3 Cost-Burden Responsibility and Financing Sustainability</w:t>
      </w:r>
    </w:p>
    <w:p w:rsidR="00E33C4D" w:rsidRDefault="00F76665">
      <w:pPr>
        <w:pStyle w:val="NormalWeb"/>
      </w:pPr>
      <w:r>
        <w:t>The significant asso</w:t>
      </w:r>
      <w:r>
        <w:t xml:space="preserve">ciation between cost-burden responsibility and distribution performance highlights financing as a structural determinant of commodity flow. Sustainable financing for FP commodities remains a pressing challenge in Nigeria (Adewoyin, 2021; Adewoyin, 2021b). </w:t>
      </w:r>
      <w:r>
        <w:t>While donor contributions have historically supported procurement, inconsistent domestic allocations at state level have created vulnerabilities in supply continuity (Nigeria Health Watch, 2025).</w:t>
      </w:r>
    </w:p>
    <w:p w:rsidR="00E33C4D" w:rsidRDefault="00F76665">
      <w:pPr>
        <w:pStyle w:val="NormalWeb"/>
      </w:pPr>
      <w:r>
        <w:t>Recent policy analyses emphasize that Nigeria’s FP2030 commi</w:t>
      </w:r>
      <w:r>
        <w:t>tments require stronger state-level financial ownership to reduce donor dependency (Schmidt et al., 2025; Justin Ngong, 2024). Fragmented cost-sharing arrangements between federal, state, and LGA levels may delay procurement cycles and increase distributio</w:t>
      </w:r>
      <w:r>
        <w:t>n inefficiencies. The African Network for Strategic Communication on Health and Development (2013) similarly reported variability in state commitments to funding condom distribution.</w:t>
      </w:r>
    </w:p>
    <w:p w:rsidR="00E33C4D" w:rsidRDefault="00F76665">
      <w:pPr>
        <w:pStyle w:val="NormalWeb"/>
      </w:pPr>
      <w:r>
        <w:t>The findings of this study therefore reinforce the argument that financin</w:t>
      </w:r>
      <w:r>
        <w:t>g clarity and domestic resource mobilization are central to achieving contraceptive security and long-term sustainability.</w:t>
      </w:r>
    </w:p>
    <w:p w:rsidR="00E33C4D" w:rsidRDefault="00F76665">
      <w:pPr>
        <w:pStyle w:val="Heading2"/>
        <w:rPr>
          <w:rFonts w:ascii="Times New Roman" w:hAnsi="Times New Roman" w:hint="default"/>
          <w:sz w:val="24"/>
          <w:szCs w:val="24"/>
        </w:rPr>
      </w:pPr>
      <w:r>
        <w:rPr>
          <w:rFonts w:ascii="Times New Roman" w:hAnsi="Times New Roman" w:hint="default"/>
          <w:sz w:val="24"/>
          <w:szCs w:val="24"/>
        </w:rPr>
        <w:t>4.4 Facility Operational Practices and Service Delivery Efficiency</w:t>
      </w:r>
    </w:p>
    <w:p w:rsidR="00E33C4D" w:rsidRDefault="00F76665">
      <w:pPr>
        <w:pStyle w:val="NormalWeb"/>
      </w:pPr>
      <w:r>
        <w:lastRenderedPageBreak/>
        <w:t>Operational inefficiencies observed</w:t>
      </w:r>
      <w:r>
        <w:t xml:space="preserve"> include </w:t>
      </w:r>
      <w:r>
        <w:t>limited personnel prod</w:t>
      </w:r>
      <w:r>
        <w:t>uctivity (&lt;2 hours/day), low client service coverage (&lt;30%), and moderate prescription compliance (0.68)</w:t>
      </w:r>
      <w:r>
        <w:t xml:space="preserve"> which </w:t>
      </w:r>
      <w:r>
        <w:t>indicate service delivery gaps beyond supply chain issues. Human resource allocation challenges have long been recognized as barriers to effectiv</w:t>
      </w:r>
      <w:r>
        <w:t>e primary healthcare delivery in Nigeria (Brearley et al., 2011).</w:t>
      </w:r>
    </w:p>
    <w:p w:rsidR="00E33C4D" w:rsidRDefault="00F76665">
      <w:pPr>
        <w:pStyle w:val="NormalWeb"/>
      </w:pPr>
      <w:r>
        <w:t>Low time allocation to FP services may reflect competing service priorities within facilities. Sharma et al. (2018) emphasized that structured community engagement and service organization i</w:t>
      </w:r>
      <w:r>
        <w:t>mprovements significantly increase contraceptive uptake. Similarly, Osaro et al. (2018) found that service delivery modality influences utilization patterns.</w:t>
      </w:r>
    </w:p>
    <w:p w:rsidR="00E33C4D" w:rsidRDefault="00F76665">
      <w:pPr>
        <w:pStyle w:val="NormalWeb"/>
      </w:pPr>
      <w:r>
        <w:t xml:space="preserve">The prescription compliance index of 0.68 suggests moderate adherence to protocols. Evidence from </w:t>
      </w:r>
      <w:r>
        <w:t xml:space="preserve">primary care settings shows that provider-patient relationships and adherence to clinical standards significantly affect medication compliance and trust (Kerse et al., 2004). In FP contexts, counseling quality strongly influences post-abortion and routine </w:t>
      </w:r>
      <w:r>
        <w:t>contraceptive acceptance (Acre et al., 2022; Assaf et al., 2015). Therefore, operational strengthening must include continuous provider training, supervision, and quality improvement initiatives.</w:t>
      </w:r>
    </w:p>
    <w:p w:rsidR="00E33C4D" w:rsidRDefault="00F76665">
      <w:pPr>
        <w:pStyle w:val="Heading2"/>
        <w:rPr>
          <w:rFonts w:ascii="Times New Roman" w:hAnsi="Times New Roman" w:hint="default"/>
          <w:sz w:val="24"/>
          <w:szCs w:val="24"/>
        </w:rPr>
      </w:pPr>
      <w:r>
        <w:rPr>
          <w:rFonts w:ascii="Times New Roman" w:hAnsi="Times New Roman" w:hint="default"/>
          <w:sz w:val="24"/>
          <w:szCs w:val="24"/>
        </w:rPr>
        <w:t>4.5 Distribution Constraints and Structural Barriers</w:t>
      </w:r>
    </w:p>
    <w:p w:rsidR="00E33C4D" w:rsidRDefault="00F76665">
      <w:pPr>
        <w:pStyle w:val="NormalWeb"/>
      </w:pPr>
      <w:r>
        <w:t>Distrib</w:t>
      </w:r>
      <w:r>
        <w:t>ution constraints demonstrated a significant negative effect on performance. High transportation costs and prolonged delivery times align with earlier assessments of Nigeria’s logistics system (Kolapo et al., 2007; O’Hearn &amp; Healy, 2003). Supply chain frag</w:t>
      </w:r>
      <w:r>
        <w:t>mentation and infrastructure weaknesses continue to impede efficient last-mile delivery.</w:t>
      </w:r>
    </w:p>
    <w:p w:rsidR="00E33C4D" w:rsidRDefault="00F76665">
      <w:pPr>
        <w:pStyle w:val="NormalWeb"/>
      </w:pPr>
      <w:r>
        <w:t xml:space="preserve">Comparative analyses from other public health commodity systems, including Uganda (Raja et al., 2000), demonstrate that integrated logistics reforms can substantially </w:t>
      </w:r>
      <w:r>
        <w:t>improve availability and reduce wastage. Furthermore, broader logistics literature underscores that distribution efficiency directly influences product availability and utilization (Rushton &amp; Oxley, 1991).</w:t>
      </w:r>
    </w:p>
    <w:p w:rsidR="00E33C4D" w:rsidRDefault="00F76665">
      <w:pPr>
        <w:pStyle w:val="NormalWeb"/>
      </w:pPr>
      <w:r>
        <w:t>The Nigerian context also presents sociocultural i</w:t>
      </w:r>
      <w:r>
        <w:t>nfluences affecting demand (All Africa, 2011; Catholic Bishops Conference of Nigeria, n.d.). Where demand is suppressed due to misinformation or socioreligious resistance, forecasting becomes more complex, increasing the risk of stock imbalance.</w:t>
      </w:r>
    </w:p>
    <w:p w:rsidR="00E33C4D" w:rsidRDefault="00F76665">
      <w:pPr>
        <w:pStyle w:val="Heading2"/>
        <w:rPr>
          <w:rFonts w:ascii="Times New Roman" w:hAnsi="Times New Roman" w:hint="default"/>
          <w:sz w:val="24"/>
          <w:szCs w:val="24"/>
        </w:rPr>
      </w:pPr>
      <w:r>
        <w:rPr>
          <w:rFonts w:ascii="Times New Roman" w:hAnsi="Times New Roman" w:hint="default"/>
          <w:sz w:val="24"/>
          <w:szCs w:val="24"/>
        </w:rPr>
        <w:t>4.6 System</w:t>
      </w:r>
      <w:r>
        <w:rPr>
          <w:rFonts w:ascii="Times New Roman" w:hAnsi="Times New Roman" w:hint="default"/>
          <w:sz w:val="24"/>
          <w:szCs w:val="24"/>
        </w:rPr>
        <w:t>s-Level Interpretation</w:t>
      </w:r>
    </w:p>
    <w:p w:rsidR="00E33C4D" w:rsidRDefault="00F76665">
      <w:pPr>
        <w:pStyle w:val="NormalWeb"/>
      </w:pPr>
      <w:r>
        <w:t>The findings collectively support a systems perspective: distribution performance is not solely a function of commodity availability but results from the interaction between governance quality, financing clarity, operational capacity</w:t>
      </w:r>
      <w:r>
        <w:t>, and logistical infrastructure.</w:t>
      </w:r>
    </w:p>
    <w:p w:rsidR="00E33C4D" w:rsidRDefault="00F76665">
      <w:pPr>
        <w:pStyle w:val="NormalWeb"/>
      </w:pPr>
      <w:r>
        <w:t xml:space="preserve">Historical analyses of family planning programs in developing countries emphasize that sustainable programs require institutional coherence across these domains (Seltzer, 2002). Nigeria’s evolving FP landscape, including </w:t>
      </w:r>
      <w:r>
        <w:t xml:space="preserve">renewed commitments </w:t>
      </w:r>
      <w:r>
        <w:lastRenderedPageBreak/>
        <w:t>under FP2030 (Justin Ngong, 2024; Schmidt et al., 2025), provides a policy window for strengthening subnational supply chain governance.</w:t>
      </w:r>
    </w:p>
    <w:p w:rsidR="00E33C4D" w:rsidRDefault="00F76665">
      <w:pPr>
        <w:pStyle w:val="Heading2"/>
        <w:rPr>
          <w:rFonts w:ascii="Times New Roman" w:hAnsi="Times New Roman" w:hint="default"/>
          <w:sz w:val="24"/>
          <w:szCs w:val="24"/>
        </w:rPr>
      </w:pPr>
      <w:r>
        <w:rPr>
          <w:rFonts w:ascii="Times New Roman" w:hAnsi="Times New Roman" w:hint="default"/>
          <w:sz w:val="24"/>
          <w:szCs w:val="24"/>
        </w:rPr>
        <w:t>4.</w:t>
      </w:r>
      <w:r>
        <w:rPr>
          <w:rFonts w:ascii="Times New Roman" w:hAnsi="Times New Roman" w:hint="default"/>
          <w:sz w:val="24"/>
          <w:szCs w:val="24"/>
        </w:rPr>
        <w:t>7</w:t>
      </w:r>
      <w:r>
        <w:rPr>
          <w:rFonts w:ascii="Times New Roman" w:hAnsi="Times New Roman" w:hint="default"/>
          <w:sz w:val="24"/>
          <w:szCs w:val="24"/>
        </w:rPr>
        <w:t xml:space="preserve"> Strengths and Limitations</w:t>
      </w:r>
    </w:p>
    <w:p w:rsidR="00E33C4D" w:rsidRDefault="00F76665">
      <w:pPr>
        <w:pStyle w:val="NormalWeb"/>
      </w:pPr>
      <w:r>
        <w:t>This study provides rare subnational empirical evidence linking decis</w:t>
      </w:r>
      <w:r>
        <w:t>ion quality and operational practices to commodity distribution outcomes. The application of multivariate modeling strengthens analytical rigor.</w:t>
      </w:r>
    </w:p>
    <w:p w:rsidR="00E33C4D" w:rsidRDefault="00F76665">
      <w:pPr>
        <w:pStyle w:val="NormalWeb"/>
      </w:pPr>
      <w:r>
        <w:t>However, as a cross-sectional study (Bangdiwala, 2019), causal inferences remain limited. Additionally, relianc</w:t>
      </w:r>
      <w:r>
        <w:t>e on facility-reported operational data may introduce reporting bias. Longitudinal supply chain audits and mixed-methods approaches are recommended for future research.</w:t>
      </w:r>
    </w:p>
    <w:p w:rsidR="00E33C4D" w:rsidRDefault="00F76665">
      <w:pPr>
        <w:pStyle w:val="Heading2"/>
        <w:rPr>
          <w:rFonts w:ascii="Times New Roman" w:hAnsi="Times New Roman" w:hint="default"/>
          <w:sz w:val="24"/>
          <w:szCs w:val="24"/>
        </w:rPr>
      </w:pPr>
      <w:r>
        <w:rPr>
          <w:rFonts w:ascii="Times New Roman" w:hAnsi="Times New Roman" w:hint="default"/>
          <w:sz w:val="24"/>
          <w:szCs w:val="24"/>
        </w:rPr>
        <w:t>4.</w:t>
      </w:r>
      <w:r>
        <w:rPr>
          <w:rFonts w:ascii="Times New Roman" w:hAnsi="Times New Roman" w:hint="default"/>
          <w:sz w:val="24"/>
          <w:szCs w:val="24"/>
        </w:rPr>
        <w:t>8</w:t>
      </w:r>
      <w:r>
        <w:rPr>
          <w:rFonts w:ascii="Times New Roman" w:hAnsi="Times New Roman" w:hint="default"/>
          <w:sz w:val="24"/>
          <w:szCs w:val="24"/>
        </w:rPr>
        <w:t xml:space="preserve"> Conclusion</w:t>
      </w:r>
    </w:p>
    <w:p w:rsidR="00E33C4D" w:rsidRDefault="00F76665">
      <w:pPr>
        <w:pStyle w:val="NormalWeb"/>
      </w:pPr>
      <w:r>
        <w:t>Modern family planning commodity distribution in Imo State is significan</w:t>
      </w:r>
      <w:r>
        <w:t>tly shaped by procurement decision quality, method mix breadth, financing clarity, operational efficiency, and logistical infrastructure. Strengthening these interdependent components is essential to achieving sustainable contraceptive security in Nigeria.</w:t>
      </w:r>
      <w:r>
        <w:t xml:space="preserve"> Without systemic reforms across governance, financing, and service delivery domains, improvements in contraceptive access will remain constrained.</w:t>
      </w:r>
    </w:p>
    <w:p w:rsidR="00E33C4D" w:rsidRDefault="00F76665">
      <w:pPr>
        <w:rPr>
          <w:rFonts w:ascii="Times New Roman" w:hAnsi="Times New Roman" w:cs="Times New Roman"/>
          <w:sz w:val="24"/>
          <w:szCs w:val="24"/>
        </w:rPr>
      </w:pPr>
      <w:r>
        <w:rPr>
          <w:rFonts w:ascii="Times New Roman" w:hAnsi="Times New Roman" w:cs="Times New Roman"/>
          <w:sz w:val="24"/>
          <w:szCs w:val="24"/>
        </w:rPr>
        <w:br w:type="page"/>
      </w:r>
    </w:p>
    <w:p w:rsidR="00E33C4D" w:rsidRDefault="00F76665">
      <w:pPr>
        <w:rPr>
          <w:rFonts w:ascii="Times New Roman" w:hAnsi="Times New Roman" w:cs="Times New Roman"/>
          <w:sz w:val="24"/>
          <w:szCs w:val="24"/>
        </w:rPr>
      </w:pPr>
      <w:r>
        <w:rPr>
          <w:rFonts w:ascii="Times New Roman" w:hAnsi="Times New Roman" w:cs="Times New Roman"/>
          <w:b/>
          <w:bCs/>
          <w:sz w:val="28"/>
          <w:szCs w:val="28"/>
        </w:rPr>
        <w:lastRenderedPageBreak/>
        <w:t>References</w:t>
      </w:r>
      <w:r>
        <w:rPr>
          <w:rFonts w:ascii="Times New Roman" w:hAnsi="Times New Roman" w:cs="Times New Roman"/>
          <w:sz w:val="24"/>
          <w:szCs w:val="24"/>
        </w:rPr>
        <w:t>:</w:t>
      </w:r>
    </w:p>
    <w:p w:rsidR="00E33C4D" w:rsidRDefault="00F76665">
      <w:pPr>
        <w:pStyle w:val="NormalWeb"/>
      </w:pPr>
      <w:r>
        <w:t>Abdul-Azeez, I. A., Aworemi, J. R., &amp; Ajiboye, A. O. (2009). A study of the factors militating</w:t>
      </w:r>
      <w:r>
        <w:t xml:space="preserve"> against the distribution of family planning products in Oyo State of Nigeria. </w:t>
      </w:r>
      <w:r>
        <w:rPr>
          <w:rStyle w:val="Emphasis"/>
        </w:rPr>
        <w:t>European Journal of Social Sciences, 11</w:t>
      </w:r>
      <w:r>
        <w:t>(1), 129–135.</w:t>
      </w:r>
    </w:p>
    <w:p w:rsidR="00E33C4D" w:rsidRDefault="00F76665">
      <w:pPr>
        <w:pStyle w:val="NormalWeb"/>
      </w:pPr>
      <w:r>
        <w:t xml:space="preserve">Acre, V. N., Dijkerman, S., Calhoun, L. M., et al. (2022). The association of quality contraceptive counseling measure with post-abortion contraceptive method acceptance and choice: Results from client exit interviews across eight countries. </w:t>
      </w:r>
      <w:r>
        <w:rPr>
          <w:rStyle w:val="Emphasis"/>
        </w:rPr>
        <w:t>BMC Health Ser</w:t>
      </w:r>
      <w:r>
        <w:rPr>
          <w:rStyle w:val="Emphasis"/>
        </w:rPr>
        <w:t>vices Research, 22</w:t>
      </w:r>
      <w:r>
        <w:t xml:space="preserve">, 1519. </w:t>
      </w:r>
      <w:hyperlink r:id="rId7" w:history="1">
        <w:r>
          <w:rPr>
            <w:rStyle w:val="Hyperlink"/>
          </w:rPr>
          <w:t>https://doi.org/10.1186/s12913-022-08851-0</w:t>
        </w:r>
      </w:hyperlink>
    </w:p>
    <w:p w:rsidR="00E33C4D" w:rsidRDefault="00F76665">
      <w:pPr>
        <w:pStyle w:val="NormalWeb"/>
      </w:pPr>
      <w:r>
        <w:t xml:space="preserve">Adewoyin, A. (2021). </w:t>
      </w:r>
      <w:r>
        <w:rPr>
          <w:rStyle w:val="Emphasis"/>
        </w:rPr>
        <w:t>Sustainable financing for family planning commodity in Nigeria: Where will the resources come from?</w:t>
      </w:r>
      <w:r>
        <w:t xml:space="preserve"> DGI Con</w:t>
      </w:r>
      <w:r>
        <w:t>sult.</w:t>
      </w:r>
    </w:p>
    <w:p w:rsidR="00E33C4D" w:rsidRDefault="00F76665">
      <w:pPr>
        <w:pStyle w:val="NormalWeb"/>
      </w:pPr>
      <w:r>
        <w:t xml:space="preserve">Akila, D., Akinda, O., Omatosho, O., Okhubo, S., Adefila, A., et al. (2024). Improving contraceptive service quality and accessibility for adolescents and youth through proprietary patent medicine vendors in four Nigerian states. </w:t>
      </w:r>
      <w:r>
        <w:rPr>
          <w:rStyle w:val="Emphasis"/>
        </w:rPr>
        <w:t>Global Health: Scien</w:t>
      </w:r>
      <w:r>
        <w:rPr>
          <w:rStyle w:val="Emphasis"/>
        </w:rPr>
        <w:t>ce and Practice, 12</w:t>
      </w:r>
      <w:r>
        <w:t xml:space="preserve">(Suppl 2), e2200225. </w:t>
      </w:r>
      <w:hyperlink r:id="rId8" w:history="1">
        <w:r>
          <w:rPr>
            <w:rStyle w:val="Hyperlink"/>
          </w:rPr>
          <w:t>https://doi.org/10.9745/GHSP-D-22-00225</w:t>
        </w:r>
      </w:hyperlink>
    </w:p>
    <w:p w:rsidR="00E33C4D" w:rsidRDefault="00F76665">
      <w:pPr>
        <w:pStyle w:val="NormalWeb"/>
      </w:pPr>
      <w:r>
        <w:t xml:space="preserve">All Africa. (2011, July 11). Nigeria: We need awareness for family planning methods. </w:t>
      </w:r>
      <w:hyperlink r:id="rId9" w:history="1">
        <w:r>
          <w:rPr>
            <w:rStyle w:val="Hyperlink"/>
          </w:rPr>
          <w:t>https://allafrica.com</w:t>
        </w:r>
      </w:hyperlink>
    </w:p>
    <w:p w:rsidR="00E33C4D" w:rsidRDefault="00F76665">
      <w:pPr>
        <w:pStyle w:val="NormalWeb"/>
      </w:pPr>
      <w:r>
        <w:t xml:space="preserve">Assaf, S., Wang, W., &amp; Mallick, L. (2015). </w:t>
      </w:r>
      <w:r>
        <w:rPr>
          <w:rStyle w:val="Emphasis"/>
        </w:rPr>
        <w:t>Quality of care in family planning services at health facilities in Senegal</w:t>
      </w:r>
      <w:r>
        <w:t xml:space="preserve"> (DHS Analytical Studies No. 55). ICF International.</w:t>
      </w:r>
    </w:p>
    <w:p w:rsidR="00E33C4D" w:rsidRDefault="00F76665">
      <w:pPr>
        <w:pStyle w:val="NormalWeb"/>
      </w:pPr>
      <w:r>
        <w:t>Atoyebi, A. O., Olaoye, S. O., Okunola, M. A., et al. (2025</w:t>
      </w:r>
      <w:r>
        <w:t xml:space="preserve">). Trends and pattern of contraceptive use among women attending a family planning clinic at a tertiary health facility in Ibadan, Nigeria. </w:t>
      </w:r>
      <w:r>
        <w:rPr>
          <w:rStyle w:val="Emphasis"/>
        </w:rPr>
        <w:t>BMC Public Health, 25</w:t>
      </w:r>
      <w:r>
        <w:t xml:space="preserve">, 2134. </w:t>
      </w:r>
      <w:hyperlink r:id="rId10" w:history="1">
        <w:r>
          <w:rPr>
            <w:rStyle w:val="Hyperlink"/>
          </w:rPr>
          <w:t>https://doi.org/10.1186/s12889-</w:t>
        </w:r>
        <w:r>
          <w:rPr>
            <w:rStyle w:val="Hyperlink"/>
          </w:rPr>
          <w:t>025-23284-0</w:t>
        </w:r>
      </w:hyperlink>
    </w:p>
    <w:p w:rsidR="00E33C4D" w:rsidRDefault="00F76665">
      <w:pPr>
        <w:pStyle w:val="NormalWeb"/>
      </w:pPr>
      <w:r>
        <w:t xml:space="preserve">Auta, A., &amp; Banwat, S. B. (2011). The public health sector supply of modern contraceptives in rural Nigeria: An analysis of selection, forecasting, and inventory control. </w:t>
      </w:r>
      <w:r>
        <w:rPr>
          <w:rStyle w:val="Emphasis"/>
        </w:rPr>
        <w:t>Reviews in Health Care, 2</w:t>
      </w:r>
      <w:r>
        <w:t>(3), 185–193.</w:t>
      </w:r>
    </w:p>
    <w:p w:rsidR="00E33C4D" w:rsidRDefault="00F76665">
      <w:pPr>
        <w:pStyle w:val="NormalWeb"/>
      </w:pPr>
      <w:r>
        <w:t>Azubuike, A. S. (2023). Utiliza</w:t>
      </w:r>
      <w:r>
        <w:t xml:space="preserve">tion of family planning services and promotion strategies among married couples in Imo State, Nigeria. </w:t>
      </w:r>
      <w:r>
        <w:rPr>
          <w:rStyle w:val="Emphasis"/>
        </w:rPr>
        <w:t>International Journal of Human Kinetics, Health and Education, 5</w:t>
      </w:r>
      <w:r>
        <w:t>(1).</w:t>
      </w:r>
    </w:p>
    <w:p w:rsidR="00E33C4D" w:rsidRDefault="00F76665">
      <w:pPr>
        <w:pStyle w:val="NormalWeb"/>
      </w:pPr>
      <w:r>
        <w:t>Bangdiwala, S. I. (2019). Basic epidemiology research design 1: Cross-sectional desi</w:t>
      </w:r>
      <w:r>
        <w:t xml:space="preserve">gn. </w:t>
      </w:r>
      <w:r>
        <w:rPr>
          <w:rStyle w:val="Emphasis"/>
        </w:rPr>
        <w:t>International Journal of Injury Control and Safety Promotion, 26</w:t>
      </w:r>
      <w:r>
        <w:t xml:space="preserve">(1), 124–126. </w:t>
      </w:r>
      <w:hyperlink r:id="rId11" w:history="1">
        <w:r>
          <w:rPr>
            <w:rStyle w:val="Hyperlink"/>
          </w:rPr>
          <w:t>https://doi.org/10.1080/17457300.2018.1556415</w:t>
        </w:r>
      </w:hyperlink>
    </w:p>
    <w:p w:rsidR="00E33C4D" w:rsidRDefault="00F76665">
      <w:pPr>
        <w:pStyle w:val="NormalWeb"/>
      </w:pPr>
      <w:r>
        <w:t xml:space="preserve">Brearley, L., Bricki, N., Rawe, K., &amp; Watt, P. (2011). </w:t>
      </w:r>
      <w:r>
        <w:rPr>
          <w:rStyle w:val="Emphasis"/>
        </w:rPr>
        <w:t>No child ou</w:t>
      </w:r>
      <w:r>
        <w:rPr>
          <w:rStyle w:val="Emphasis"/>
        </w:rPr>
        <w:t>t of reach: Time to end the health worker crisis.</w:t>
      </w:r>
      <w:r>
        <w:t xml:space="preserve"> Save the Children UK.</w:t>
      </w:r>
    </w:p>
    <w:p w:rsidR="00E33C4D" w:rsidRDefault="00F76665">
      <w:pPr>
        <w:pStyle w:val="NormalWeb"/>
      </w:pPr>
      <w:r>
        <w:t>Catholic Bishops Conference of Nigeria. (n.d.). Wasteful spending on family planning commodities: Reaction of the Catholic Bishops Conference of Nigeria.</w:t>
      </w:r>
    </w:p>
    <w:p w:rsidR="00E33C4D" w:rsidRDefault="00F76665">
      <w:pPr>
        <w:pStyle w:val="NormalWeb"/>
      </w:pPr>
      <w:r>
        <w:lastRenderedPageBreak/>
        <w:t>CFI Education Inc. (2025). Cap</w:t>
      </w:r>
      <w:r>
        <w:t xml:space="preserve">acity utilization. </w:t>
      </w:r>
      <w:hyperlink r:id="rId12" w:history="1">
        <w:r>
          <w:rPr>
            <w:rStyle w:val="Hyperlink"/>
          </w:rPr>
          <w:t>https://corporatefinanceinstitute.com/resources/economics/capacity-utilization/</w:t>
        </w:r>
      </w:hyperlink>
    </w:p>
    <w:p w:rsidR="00E33C4D" w:rsidRDefault="00F76665">
      <w:pPr>
        <w:pStyle w:val="NormalWeb"/>
      </w:pPr>
      <w:r>
        <w:t xml:space="preserve">Champions for Change. (2015). </w:t>
      </w:r>
      <w:r>
        <w:rPr>
          <w:rStyle w:val="Emphasis"/>
        </w:rPr>
        <w:t>National reproductive health po</w:t>
      </w:r>
      <w:r>
        <w:rPr>
          <w:rStyle w:val="Emphasis"/>
        </w:rPr>
        <w:t>licy (2010).</w:t>
      </w:r>
    </w:p>
    <w:p w:rsidR="00E33C4D" w:rsidRDefault="00F76665">
      <w:pPr>
        <w:pStyle w:val="NormalWeb"/>
      </w:pPr>
      <w:r>
        <w:t xml:space="preserve">Cheland, et al. (2012). Contraception and health. </w:t>
      </w:r>
      <w:r>
        <w:rPr>
          <w:rStyle w:val="Emphasis"/>
        </w:rPr>
        <w:t>The Lancet.</w:t>
      </w:r>
    </w:p>
    <w:p w:rsidR="00E33C4D" w:rsidRDefault="00F76665">
      <w:pPr>
        <w:pStyle w:val="NormalWeb"/>
      </w:pPr>
      <w:r>
        <w:t>Cohen, M. A., Gold, S., Ostrega, A., &amp; Zingbagba, M. (2024). National policy influences of contraceptive prevalence and method mix strategy: A longitudinal analysis of 59 low- and m</w:t>
      </w:r>
      <w:r>
        <w:t xml:space="preserve">iddle-income countries, 2010–2021. </w:t>
      </w:r>
      <w:r>
        <w:rPr>
          <w:rStyle w:val="Emphasis"/>
        </w:rPr>
        <w:t>Global Health: Science and Practice, 12</w:t>
      </w:r>
      <w:r>
        <w:t xml:space="preserve">(2), e2300352. </w:t>
      </w:r>
      <w:hyperlink r:id="rId13" w:history="1">
        <w:r>
          <w:rPr>
            <w:rStyle w:val="Hyperlink"/>
          </w:rPr>
          <w:t>https://doi.org/10.9745/GHSP-D-23-00352</w:t>
        </w:r>
      </w:hyperlink>
    </w:p>
    <w:p w:rsidR="00E33C4D" w:rsidRDefault="00F76665">
      <w:pPr>
        <w:pStyle w:val="NormalWeb"/>
      </w:pPr>
      <w:r>
        <w:t>Corroon, M., Kebede, E., Spektor, G., &amp; Speizer, I. (2016). Key role of</w:t>
      </w:r>
      <w:r>
        <w:t xml:space="preserve"> drug shops and pharmacies for family planning in urban Nigeria and Kenya. </w:t>
      </w:r>
      <w:r>
        <w:rPr>
          <w:rStyle w:val="Emphasis"/>
        </w:rPr>
        <w:t>Global Health: Science and Practice, 4</w:t>
      </w:r>
      <w:r>
        <w:t xml:space="preserve">(4), 594–609. </w:t>
      </w:r>
      <w:hyperlink r:id="rId14" w:history="1">
        <w:r>
          <w:rPr>
            <w:rStyle w:val="Hyperlink"/>
          </w:rPr>
          <w:t>https://doi.org/10.9745/GHSP-D-16-00197</w:t>
        </w:r>
      </w:hyperlink>
    </w:p>
    <w:p w:rsidR="00E33C4D" w:rsidRDefault="00F76665">
      <w:pPr>
        <w:pStyle w:val="NormalWeb"/>
      </w:pPr>
      <w:r>
        <w:t>Darroch, J. E., Sedgh, G., &amp; Ball</w:t>
      </w:r>
      <w:r>
        <w:t xml:space="preserve">, H. (2011). </w:t>
      </w:r>
      <w:r>
        <w:rPr>
          <w:rStyle w:val="Emphasis"/>
        </w:rPr>
        <w:t>Contraceptive technologies: Responding to women’s needs.</w:t>
      </w:r>
      <w:r>
        <w:t xml:space="preserve"> Guttmacher Institute.</w:t>
      </w:r>
    </w:p>
    <w:p w:rsidR="00E33C4D" w:rsidRDefault="00F76665">
      <w:pPr>
        <w:pStyle w:val="NormalWeb"/>
      </w:pPr>
      <w:r>
        <w:t xml:space="preserve">DFID Nigeria. (2011). </w:t>
      </w:r>
      <w:r>
        <w:rPr>
          <w:rStyle w:val="Emphasis"/>
        </w:rPr>
        <w:t>Scaling up access to contraceptive commodities.</w:t>
      </w:r>
      <w:r>
        <w:t xml:space="preserve"> Human Development Team.</w:t>
      </w:r>
    </w:p>
    <w:p w:rsidR="00E33C4D" w:rsidRDefault="00F76665">
      <w:pPr>
        <w:pStyle w:val="NormalWeb"/>
      </w:pPr>
      <w:r>
        <w:t>Disabantino, J. (2025). The impact of warehouse storage on supply chai</w:t>
      </w:r>
      <w:r>
        <w:t>n management. SPS Ideal Solutions.</w:t>
      </w:r>
    </w:p>
    <w:p w:rsidR="00E33C4D" w:rsidRDefault="00F76665">
      <w:pPr>
        <w:pStyle w:val="NormalWeb"/>
      </w:pPr>
      <w:r>
        <w:t>Duru, B. C., Emelumadu, F. O., Iwu, C. A., Ohanle, I., Agunwa, C. C., et al. (2018). Socio-demographic determinants of family planning service utilization among women of reproductive age in urban communities of Imo State,</w:t>
      </w:r>
      <w:r>
        <w:t xml:space="preserve"> Nigeria. </w:t>
      </w:r>
      <w:r>
        <w:rPr>
          <w:rStyle w:val="Emphasis"/>
        </w:rPr>
        <w:t>Open Access Library Journal, 5</w:t>
      </w:r>
      <w:r>
        <w:t xml:space="preserve">, 1–21. </w:t>
      </w:r>
      <w:hyperlink r:id="rId15" w:history="1">
        <w:r>
          <w:rPr>
            <w:rStyle w:val="Hyperlink"/>
          </w:rPr>
          <w:t>https://doi.org/10.4236/oalib.1104627</w:t>
        </w:r>
      </w:hyperlink>
    </w:p>
    <w:p w:rsidR="00E33C4D" w:rsidRDefault="00F76665">
      <w:pPr>
        <w:pStyle w:val="NormalWeb"/>
      </w:pPr>
      <w:r>
        <w:t xml:space="preserve">Fayemi, M., Morroh, G., Oduola, O., Delano, G., Ladipo, O., et al. (2011). Community-based distribution agents’ approach to provision of family planning information and services in five Nigerian states. </w:t>
      </w:r>
      <w:r>
        <w:rPr>
          <w:rStyle w:val="Emphasis"/>
        </w:rPr>
        <w:t>African Journal of Primary Health Care &amp; Family Medic</w:t>
      </w:r>
      <w:r>
        <w:rPr>
          <w:rStyle w:val="Emphasis"/>
        </w:rPr>
        <w:t>ine, 3</w:t>
      </w:r>
      <w:r>
        <w:t>(1).</w:t>
      </w:r>
    </w:p>
    <w:p w:rsidR="00E33C4D" w:rsidRDefault="00F76665">
      <w:pPr>
        <w:pStyle w:val="NormalWeb"/>
      </w:pPr>
      <w:r>
        <w:t xml:space="preserve">Hassan, S., Masri, H., Sawatha, I., et al. (2024). Perceived barriers and opportunities of providing quality family planning services among Palestinian providers. </w:t>
      </w:r>
      <w:r>
        <w:rPr>
          <w:rStyle w:val="Emphasis"/>
        </w:rPr>
        <w:t>BMC Health Services Research, 24</w:t>
      </w:r>
      <w:r>
        <w:t xml:space="preserve">, 786. </w:t>
      </w:r>
      <w:hyperlink r:id="rId16" w:history="1">
        <w:r>
          <w:rPr>
            <w:rStyle w:val="Hyperlink"/>
          </w:rPr>
          <w:t>https://doi.org/10.1186/s12913-024-11216-4</w:t>
        </w:r>
      </w:hyperlink>
    </w:p>
    <w:p w:rsidR="00E33C4D" w:rsidRDefault="00F76665">
      <w:pPr>
        <w:pStyle w:val="NormalWeb"/>
      </w:pPr>
      <w:r>
        <w:t xml:space="preserve">Kerse, N., Buetow, S., Mainous, A. G., Young, G., Coster, G., et al. (2004). Physician–patient relationship and medication compliance. </w:t>
      </w:r>
      <w:r>
        <w:rPr>
          <w:rStyle w:val="Emphasis"/>
        </w:rPr>
        <w:t>Annals of Family Medicine, 2</w:t>
      </w:r>
      <w:r>
        <w:t>(5)</w:t>
      </w:r>
      <w:r>
        <w:t xml:space="preserve">, 455–461. </w:t>
      </w:r>
      <w:hyperlink r:id="rId17" w:history="1">
        <w:r>
          <w:rPr>
            <w:rStyle w:val="Hyperlink"/>
          </w:rPr>
          <w:t>https://doi.org/10.1370/afm.139</w:t>
        </w:r>
      </w:hyperlink>
    </w:p>
    <w:p w:rsidR="00E33C4D" w:rsidRDefault="00F76665">
      <w:pPr>
        <w:pStyle w:val="NormalWeb"/>
      </w:pPr>
      <w:r>
        <w:t xml:space="preserve">Kolapo, U., Elizabeth, B., Erika, R., &amp; Igharo, E. (2007). </w:t>
      </w:r>
      <w:r>
        <w:rPr>
          <w:rStyle w:val="Emphasis"/>
        </w:rPr>
        <w:t>Nigeria: Contraceptive logistics management system report.</w:t>
      </w:r>
      <w:r>
        <w:t xml:space="preserve"> USAID/DELIVER Project.</w:t>
      </w:r>
    </w:p>
    <w:p w:rsidR="00E33C4D" w:rsidRDefault="00F76665">
      <w:pPr>
        <w:pStyle w:val="NormalWeb"/>
      </w:pPr>
      <w:r>
        <w:t>LaCroix, E., Jackson, A.</w:t>
      </w:r>
      <w:r>
        <w:t xml:space="preserve">, McGovern, S., Rademacher, K. H., &amp; Rothschild, C. W. (2023). Demand forecasting approaches for new contraceptive technologies. </w:t>
      </w:r>
      <w:r>
        <w:rPr>
          <w:rStyle w:val="Emphasis"/>
        </w:rPr>
        <w:t>Global Health: Science and Practice, 11</w:t>
      </w:r>
      <w:r>
        <w:t xml:space="preserve">(1), e2200334. </w:t>
      </w:r>
      <w:hyperlink r:id="rId18" w:history="1">
        <w:r>
          <w:rPr>
            <w:rStyle w:val="Hyperlink"/>
          </w:rPr>
          <w:t>https://doi.org/10.9</w:t>
        </w:r>
        <w:r>
          <w:rPr>
            <w:rStyle w:val="Hyperlink"/>
          </w:rPr>
          <w:t>745/GHSP-D-22-00334</w:t>
        </w:r>
      </w:hyperlink>
    </w:p>
    <w:p w:rsidR="00E33C4D" w:rsidRDefault="00F76665">
      <w:pPr>
        <w:pStyle w:val="NormalWeb"/>
      </w:pPr>
      <w:r>
        <w:lastRenderedPageBreak/>
        <w:t xml:space="preserve">Miskeen, E., Korkoman, S., Alhassoun, N. K., et al. (2025). Factors influencing family planning decisions in Saudi Arabia. </w:t>
      </w:r>
      <w:r>
        <w:rPr>
          <w:rStyle w:val="Emphasis"/>
        </w:rPr>
        <w:t>BMC Women’s Health, 25</w:t>
      </w:r>
      <w:r>
        <w:t xml:space="preserve">, 222. </w:t>
      </w:r>
      <w:hyperlink r:id="rId19" w:history="1">
        <w:r>
          <w:rPr>
            <w:rStyle w:val="Hyperlink"/>
          </w:rPr>
          <w:t>https://doi.org/10.1186/s</w:t>
        </w:r>
        <w:r>
          <w:rPr>
            <w:rStyle w:val="Hyperlink"/>
          </w:rPr>
          <w:t>12905-025-03737-9</w:t>
        </w:r>
      </w:hyperlink>
    </w:p>
    <w:p w:rsidR="00E33C4D" w:rsidRDefault="00F76665">
      <w:pPr>
        <w:pStyle w:val="NormalWeb"/>
      </w:pPr>
      <w:r>
        <w:t xml:space="preserve">National Population Commission. (2008). </w:t>
      </w:r>
      <w:r>
        <w:rPr>
          <w:rStyle w:val="Emphasis"/>
        </w:rPr>
        <w:t>Nigeria demographic and health survey 2008.</w:t>
      </w:r>
    </w:p>
    <w:p w:rsidR="00E33C4D" w:rsidRDefault="00F76665">
      <w:pPr>
        <w:pStyle w:val="NormalWeb"/>
      </w:pPr>
      <w:r>
        <w:t xml:space="preserve">National Population Commission. (2010). </w:t>
      </w:r>
      <w:r>
        <w:rPr>
          <w:rStyle w:val="Emphasis"/>
        </w:rPr>
        <w:t>National population policy.</w:t>
      </w:r>
    </w:p>
    <w:p w:rsidR="00E33C4D" w:rsidRDefault="00F76665">
      <w:pPr>
        <w:pStyle w:val="NormalWeb"/>
      </w:pPr>
      <w:r>
        <w:t>Nigeria Health Watch. (2025). At the brink: Nigeria’s current family planning dilem</w:t>
      </w:r>
      <w:r>
        <w:t>ma and the urgent need for reinvestment.</w:t>
      </w:r>
    </w:p>
    <w:p w:rsidR="00E33C4D" w:rsidRDefault="00F76665">
      <w:pPr>
        <w:pStyle w:val="NormalWeb"/>
      </w:pPr>
      <w:r>
        <w:t xml:space="preserve">O’Hearn, T., &amp; Healy, M. (2003). </w:t>
      </w:r>
      <w:r>
        <w:rPr>
          <w:rStyle w:val="Emphasis"/>
        </w:rPr>
        <w:t>Nigeria: An assessment of the transportation system and distribution costs for family planning commodities.</w:t>
      </w:r>
      <w:r>
        <w:t xml:space="preserve"> John Snow Inc./USAID.</w:t>
      </w:r>
    </w:p>
    <w:p w:rsidR="00E33C4D" w:rsidRDefault="00F76665">
      <w:pPr>
        <w:pStyle w:val="NormalWeb"/>
      </w:pPr>
      <w:r>
        <w:t xml:space="preserve">Onwasigwe, C. (2010). </w:t>
      </w:r>
      <w:r>
        <w:rPr>
          <w:rStyle w:val="Emphasis"/>
        </w:rPr>
        <w:t>Principles and methods of epid</w:t>
      </w:r>
      <w:r>
        <w:rPr>
          <w:rStyle w:val="Emphasis"/>
        </w:rPr>
        <w:t>emiology</w:t>
      </w:r>
      <w:r>
        <w:t xml:space="preserve"> (2nd ed.). El Demak.</w:t>
      </w:r>
    </w:p>
    <w:p w:rsidR="00E33C4D" w:rsidRDefault="00F76665">
      <w:pPr>
        <w:pStyle w:val="NormalWeb"/>
      </w:pPr>
      <w:r>
        <w:t xml:space="preserve">Osaro, B. O., Ordinioha, B., &amp; Mezie-Okoye, M. M. (2018). Health facility-based versus community-based family planning education in Rivers State. </w:t>
      </w:r>
      <w:r>
        <w:rPr>
          <w:rStyle w:val="Emphasis"/>
        </w:rPr>
        <w:t>Journal of Advances in Medicine and Medical Research, 25</w:t>
      </w:r>
      <w:r>
        <w:t>(1), 1–14.</w:t>
      </w:r>
    </w:p>
    <w:p w:rsidR="00E33C4D" w:rsidRDefault="00F76665">
      <w:pPr>
        <w:pStyle w:val="NormalWeb"/>
      </w:pPr>
      <w:r>
        <w:t>Oye-Adeniran,</w:t>
      </w:r>
      <w:r>
        <w:t xml:space="preserve"> B. A., Adewole, I. F., Umoh, A. V., Oladokun, A., Gbadegesin, A., et al. (2005). Sources of contraceptive commodities for users in Nigeria. </w:t>
      </w:r>
      <w:r>
        <w:rPr>
          <w:rStyle w:val="Emphasis"/>
        </w:rPr>
        <w:t>PLoS Medicine, 2</w:t>
      </w:r>
      <w:r>
        <w:t xml:space="preserve">(11), e306. </w:t>
      </w:r>
      <w:hyperlink r:id="rId20" w:history="1">
        <w:r>
          <w:rPr>
            <w:rStyle w:val="Hyperlink"/>
          </w:rPr>
          <w:t>https://doi.org/10.1371/journ</w:t>
        </w:r>
        <w:r>
          <w:rPr>
            <w:rStyle w:val="Hyperlink"/>
          </w:rPr>
          <w:t>al.pmed.0020306</w:t>
        </w:r>
      </w:hyperlink>
    </w:p>
    <w:p w:rsidR="00E33C4D" w:rsidRDefault="00F76665">
      <w:pPr>
        <w:pStyle w:val="NormalWeb"/>
      </w:pPr>
      <w:r>
        <w:t xml:space="preserve">Raja, S., Steve, W., &amp; Bonits, B. (2000). </w:t>
      </w:r>
      <w:r>
        <w:rPr>
          <w:rStyle w:val="Emphasis"/>
        </w:rPr>
        <w:t>Ugandan logistics system for public health commodities: An assessment report.</w:t>
      </w:r>
      <w:r>
        <w:t xml:space="preserve"> USAID/FPLM.</w:t>
      </w:r>
    </w:p>
    <w:p w:rsidR="00E33C4D" w:rsidRDefault="00F76665">
      <w:pPr>
        <w:pStyle w:val="NormalWeb"/>
      </w:pPr>
      <w:r>
        <w:t xml:space="preserve">Rushton, A., &amp; Oxley, J. (1991). </w:t>
      </w:r>
      <w:r>
        <w:rPr>
          <w:rStyle w:val="Emphasis"/>
        </w:rPr>
        <w:t>Handbook of logistics and distribution management.</w:t>
      </w:r>
      <w:r>
        <w:t xml:space="preserve"> Bidde Limited.</w:t>
      </w:r>
    </w:p>
    <w:p w:rsidR="00E33C4D" w:rsidRDefault="00F76665">
      <w:pPr>
        <w:pStyle w:val="NormalWeb"/>
      </w:pPr>
      <w:r>
        <w:t>Schmid</w:t>
      </w:r>
      <w:r>
        <w:t xml:space="preserve">t, I., Juani, A., &amp; Alam, M. (2025). </w:t>
      </w:r>
      <w:r>
        <w:rPr>
          <w:rStyle w:val="Emphasis"/>
        </w:rPr>
        <w:t>Nigeria – Family planning for a prosperous future.</w:t>
      </w:r>
      <w:r>
        <w:t xml:space="preserve"> FP Analytics.</w:t>
      </w:r>
    </w:p>
    <w:p w:rsidR="00E33C4D" w:rsidRDefault="00F76665">
      <w:pPr>
        <w:pStyle w:val="NormalWeb"/>
      </w:pPr>
      <w:r>
        <w:t>Sharma, A. E., Frederiksen, B. N., Malcom, N. M., Rollison, J. M., &amp; Carter, M. W. (2018). Community education in family planning: Updated systematic revi</w:t>
      </w:r>
      <w:r>
        <w:t xml:space="preserve">ew. </w:t>
      </w:r>
      <w:r>
        <w:rPr>
          <w:rStyle w:val="Emphasis"/>
        </w:rPr>
        <w:t>American Journal of Preventive Medicine.</w:t>
      </w:r>
    </w:p>
    <w:p w:rsidR="00E33C4D" w:rsidRDefault="00F76665">
      <w:pPr>
        <w:pStyle w:val="NormalWeb"/>
      </w:pPr>
      <w:r>
        <w:t xml:space="preserve">Singh, S., &amp; Darroch, J. E. (2012). </w:t>
      </w:r>
      <w:r>
        <w:rPr>
          <w:rStyle w:val="Emphasis"/>
        </w:rPr>
        <w:t>Adding it up: The costs and benefits of contraceptive services – Estimates for 2012.</w:t>
      </w:r>
      <w:r>
        <w:t xml:space="preserve"> Guttmacher Institute.</w:t>
      </w:r>
    </w:p>
    <w:p w:rsidR="00E33C4D" w:rsidRDefault="00F76665">
      <w:pPr>
        <w:pStyle w:val="NormalWeb"/>
      </w:pPr>
      <w:r>
        <w:t>Solo, J., &amp; Festin, M. (2019). Provider bias in family planning serv</w:t>
      </w:r>
      <w:r>
        <w:t xml:space="preserve">ices. </w:t>
      </w:r>
      <w:r>
        <w:rPr>
          <w:rStyle w:val="Emphasis"/>
        </w:rPr>
        <w:t>Global Health: Science and Practice, 7</w:t>
      </w:r>
      <w:r>
        <w:t xml:space="preserve">(3), 371–385. </w:t>
      </w:r>
      <w:hyperlink r:id="rId21" w:history="1">
        <w:r>
          <w:rPr>
            <w:rStyle w:val="Hyperlink"/>
          </w:rPr>
          <w:t>https://doi.org/10.9745/GHSP-D-19-00130</w:t>
        </w:r>
      </w:hyperlink>
    </w:p>
    <w:p w:rsidR="00E33C4D" w:rsidRDefault="00F76665">
      <w:pPr>
        <w:pStyle w:val="NormalWeb"/>
      </w:pPr>
      <w:r>
        <w:t xml:space="preserve">UNFPA. (2012). </w:t>
      </w:r>
      <w:r>
        <w:rPr>
          <w:rStyle w:val="Emphasis"/>
        </w:rPr>
        <w:t>Good practices in essential supplies for family planning and maternal health.</w:t>
      </w:r>
    </w:p>
    <w:p w:rsidR="00E33C4D" w:rsidRDefault="00F76665">
      <w:pPr>
        <w:pStyle w:val="NormalWeb"/>
      </w:pPr>
      <w:r>
        <w:lastRenderedPageBreak/>
        <w:t>USAID/DEL</w:t>
      </w:r>
      <w:r>
        <w:t xml:space="preserve">IVER PROJECT. (2011a). </w:t>
      </w:r>
      <w:r>
        <w:rPr>
          <w:rStyle w:val="Emphasis"/>
        </w:rPr>
        <w:t>Quantification of health commodities: Contraceptive companion guide.</w:t>
      </w:r>
    </w:p>
    <w:p w:rsidR="00E33C4D" w:rsidRDefault="00F76665">
      <w:pPr>
        <w:pStyle w:val="NormalWeb"/>
      </w:pPr>
      <w:r>
        <w:t xml:space="preserve">USAID/DELIVER PROJECT. (2011b). </w:t>
      </w:r>
      <w:r>
        <w:rPr>
          <w:rStyle w:val="Emphasis"/>
        </w:rPr>
        <w:t>Nigeria: Contraceptive logistics management system report.</w:t>
      </w:r>
    </w:p>
    <w:sectPr w:rsidR="00E33C4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6F6D2"/>
    <w:multiLevelType w:val="singleLevel"/>
    <w:tmpl w:val="0EB6F6D2"/>
    <w:lvl w:ilvl="0">
      <w:start w:val="1"/>
      <w:numFmt w:val="lowerLetter"/>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F6AC1"/>
    <w:rsid w:val="00E33C4D"/>
    <w:rsid w:val="00F76665"/>
    <w:rsid w:val="412F6AC1"/>
    <w:rsid w:val="526D6F24"/>
    <w:rsid w:val="52EF4F5B"/>
    <w:rsid w:val="76433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59"/>
    <w:qFormat/>
    <w:rPr>
      <w:rFonts w:cs="Calibr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Pr>
      <w:rFonts w:asciiTheme="minorHAnsi" w:eastAsia="Times New Roman" w:hAnsiTheme="minorHAns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59"/>
    <w:qFormat/>
    <w:rPr>
      <w:rFonts w:cs="Calibr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Pr>
      <w:rFonts w:asciiTheme="minorHAnsi" w:eastAsia="Times New Roman"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9745/GHSP-D-22-00225" TargetMode="External"/><Relationship Id="rId13" Type="http://schemas.openxmlformats.org/officeDocument/2006/relationships/hyperlink" Target="https://doi.org/10.9745/GHSP-D-23-00352" TargetMode="External"/><Relationship Id="rId18" Type="http://schemas.openxmlformats.org/officeDocument/2006/relationships/hyperlink" Target="https://doi.org/10.9745/GHSP-D-22-00334" TargetMode="External"/><Relationship Id="rId3" Type="http://schemas.microsoft.com/office/2007/relationships/stylesWithEffects" Target="stylesWithEffects.xml"/><Relationship Id="rId21" Type="http://schemas.openxmlformats.org/officeDocument/2006/relationships/hyperlink" Target="https://doi.org/10.9745/GHSP-D-19-00130" TargetMode="External"/><Relationship Id="rId7" Type="http://schemas.openxmlformats.org/officeDocument/2006/relationships/hyperlink" Target="https://doi.org/10.1186/s12913-022-08851-0" TargetMode="External"/><Relationship Id="rId12" Type="http://schemas.openxmlformats.org/officeDocument/2006/relationships/hyperlink" Target="https://corporatefinanceinstitute.com/resources/economics/capacity-utilization/" TargetMode="External"/><Relationship Id="rId17" Type="http://schemas.openxmlformats.org/officeDocument/2006/relationships/hyperlink" Target="https://doi.org/10.1370/afm.139" TargetMode="External"/><Relationship Id="rId2" Type="http://schemas.openxmlformats.org/officeDocument/2006/relationships/styles" Target="styles.xml"/><Relationship Id="rId16" Type="http://schemas.openxmlformats.org/officeDocument/2006/relationships/hyperlink" Target="https://doi.org/10.1186/s12913-024-11216-4" TargetMode="External"/><Relationship Id="rId20" Type="http://schemas.openxmlformats.org/officeDocument/2006/relationships/hyperlink" Target="https://doi.org/10.1371/journal.pmed.0020306"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doi.org/10.1080/17457300.2018.1556415" TargetMode="External"/><Relationship Id="rId5" Type="http://schemas.openxmlformats.org/officeDocument/2006/relationships/webSettings" Target="webSettings.xml"/><Relationship Id="rId15" Type="http://schemas.openxmlformats.org/officeDocument/2006/relationships/hyperlink" Target="https://doi.org/10.4236/oalib.1104627" TargetMode="External"/><Relationship Id="rId23" Type="http://schemas.openxmlformats.org/officeDocument/2006/relationships/theme" Target="theme/theme1.xml"/><Relationship Id="rId10" Type="http://schemas.openxmlformats.org/officeDocument/2006/relationships/hyperlink" Target="https://doi.org/10.1186/s12889-025-23284-0" TargetMode="External"/><Relationship Id="rId19" Type="http://schemas.openxmlformats.org/officeDocument/2006/relationships/hyperlink" Target="https://doi.org/10.1186/s12905-025-03737-9" TargetMode="External"/><Relationship Id="rId4" Type="http://schemas.openxmlformats.org/officeDocument/2006/relationships/settings" Target="settings.xml"/><Relationship Id="rId9" Type="http://schemas.openxmlformats.org/officeDocument/2006/relationships/hyperlink" Target="https://allafrica.com/" TargetMode="External"/><Relationship Id="rId14" Type="http://schemas.openxmlformats.org/officeDocument/2006/relationships/hyperlink" Target="https://doi.org/10.9745/GHSP-D-16-00197"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0" vertOverflow="ellipsis" vert="horz" wrap="square" anchor="ctr" anchorCtr="1"/>
        <a:lstStyle/>
        <a:p>
          <a:pPr>
            <a:defRPr lang="en-GB"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Percentage of facilities reporting constraints (%)</c:v>
                </c:pt>
              </c:strCache>
            </c:strRef>
          </c:tx>
          <c:spPr>
            <a:gradFill>
              <a:gsLst>
                <a:gs pos="0">
                  <a:schemeClr val="dk1">
                    <a:tint val="88500"/>
                    <a:lumMod val="40000"/>
                    <a:lumOff val="60000"/>
                  </a:schemeClr>
                </a:gs>
                <a:gs pos="90000">
                  <a:schemeClr val="dk1">
                    <a:tint val="88500"/>
                  </a:schemeClr>
                </a:gs>
              </a:gsLst>
              <a:lin ang="10800000" scaled="0"/>
            </a:gradFill>
            <a:ln>
              <a:gradFill>
                <a:gsLst>
                  <a:gs pos="0">
                    <a:schemeClr val="dk1">
                      <a:tint val="88500"/>
                    </a:schemeClr>
                  </a:gs>
                  <a:gs pos="100000">
                    <a:schemeClr val="dk1">
                      <a:tint val="88500"/>
                      <a:lumMod val="75000"/>
                    </a:schemeClr>
                  </a:gs>
                </a:gsLst>
                <a:lin ang="10800000" scaled="0"/>
              </a:gradFill>
            </a:ln>
            <a:effectLst>
              <a:outerShdw blurRad="76200" dist="25400" dir="2700000" algn="tl" rotWithShape="0">
                <a:schemeClr val="dk1">
                  <a:tint val="88500"/>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en-GB" sz="10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1">
                  <c:v>Product fluctuation</c:v>
                </c:pt>
                <c:pt idx="2">
                  <c:v>Lack of procurement officer</c:v>
                </c:pt>
                <c:pt idx="3">
                  <c:v>Brand preference</c:v>
                </c:pt>
                <c:pt idx="4">
                  <c:v>Lack of delivery vehicle</c:v>
                </c:pt>
                <c:pt idx="5">
                  <c:v>Lack of standard warehouse</c:v>
                </c:pt>
                <c:pt idx="6">
                  <c:v>Documentation delays</c:v>
                </c:pt>
              </c:strCache>
            </c:strRef>
          </c:cat>
          <c:val>
            <c:numRef>
              <c:f>Sheet1!$B$2:$B$9</c:f>
              <c:numCache>
                <c:formatCode>General</c:formatCode>
                <c:ptCount val="8"/>
                <c:pt idx="1">
                  <c:v>93.1</c:v>
                </c:pt>
                <c:pt idx="2">
                  <c:v>86.9</c:v>
                </c:pt>
                <c:pt idx="3">
                  <c:v>83.1</c:v>
                </c:pt>
                <c:pt idx="4">
                  <c:v>75.400000000000006</c:v>
                </c:pt>
                <c:pt idx="5">
                  <c:v>72.3</c:v>
                </c:pt>
                <c:pt idx="6">
                  <c:v>41.5</c:v>
                </c:pt>
              </c:numCache>
            </c:numRef>
          </c:val>
        </c:ser>
        <c:dLbls>
          <c:showLegendKey val="0"/>
          <c:showVal val="1"/>
          <c:showCatName val="0"/>
          <c:showSerName val="0"/>
          <c:showPercent val="0"/>
          <c:showBubbleSize val="0"/>
        </c:dLbls>
        <c:gapWidth val="140"/>
        <c:overlap val="100"/>
        <c:axId val="190406144"/>
        <c:axId val="162913024"/>
      </c:barChart>
      <c:catAx>
        <c:axId val="190406144"/>
        <c:scaling>
          <c:orientation val="minMax"/>
        </c:scaling>
        <c:delete val="0"/>
        <c:axPos val="l"/>
        <c:title>
          <c:tx>
            <c:rich>
              <a:bodyPr rot="-5400000" spcFirstLastPara="0" vertOverflow="ellipsis" vert="horz" wrap="square" anchor="ctr" anchorCtr="1"/>
              <a:lstStyle/>
              <a:p>
                <a:pPr defTabSz="914400">
                  <a:defRPr lang="en-GB" sz="1200" b="1" i="0" u="none" strike="noStrike" kern="1200" baseline="0">
                    <a:solidFill>
                      <a:schemeClr val="tx1">
                        <a:lumMod val="65000"/>
                        <a:lumOff val="35000"/>
                      </a:schemeClr>
                    </a:solidFill>
                    <a:latin typeface="+mn-lt"/>
                    <a:ea typeface="+mn-ea"/>
                    <a:cs typeface="+mn-cs"/>
                  </a:defRPr>
                </a:pPr>
                <a:r>
                  <a:rPr sz="1200" b="1"/>
                  <a:t>Distribution constraints</a:t>
                </a:r>
              </a:p>
            </c:rich>
          </c:tx>
          <c:layout>
            <c:manualLayout>
              <c:xMode val="edge"/>
              <c:yMode val="edge"/>
              <c:x val="1.86035274220827E-2"/>
              <c:y val="0.34405014874628098"/>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GB" sz="900" b="1" i="0" u="none" strike="noStrike" kern="1200" baseline="0">
                <a:solidFill>
                  <a:schemeClr val="tx1">
                    <a:lumMod val="65000"/>
                    <a:lumOff val="35000"/>
                  </a:schemeClr>
                </a:solidFill>
                <a:latin typeface="+mn-lt"/>
                <a:ea typeface="+mn-ea"/>
                <a:cs typeface="+mn-cs"/>
              </a:defRPr>
            </a:pPr>
            <a:endParaRPr lang="en-US"/>
          </a:p>
        </c:txPr>
        <c:crossAx val="162913024"/>
        <c:crosses val="autoZero"/>
        <c:auto val="1"/>
        <c:lblAlgn val="ctr"/>
        <c:lblOffset val="100"/>
        <c:noMultiLvlLbl val="0"/>
      </c:catAx>
      <c:valAx>
        <c:axId val="162913024"/>
        <c:scaling>
          <c:orientation val="minMax"/>
        </c:scaling>
        <c:delete val="1"/>
        <c:axPos val="b"/>
        <c:numFmt formatCode="General" sourceLinked="1"/>
        <c:majorTickMark val="none"/>
        <c:minorTickMark val="none"/>
        <c:tickLblPos val="nextTo"/>
        <c:crossAx val="190406144"/>
        <c:crosses val="autoZero"/>
        <c:crossBetween val="between"/>
      </c:valAx>
      <c:spPr>
        <a:noFill/>
        <a:ln>
          <a:noFill/>
        </a:ln>
        <a:effectLst/>
      </c:spPr>
    </c:plotArea>
    <c:plotVisOnly val="1"/>
    <c:dispBlanksAs val="gap"/>
    <c:showDLblsOverMax val="0"/>
    <c:extLst>
      <c:ext uri="{0b15fc19-7d7d-44ad-8c2d-2c3a37ce22c3}">
        <chartProps xmlns="https://web.wps.cn/et/2018/main" chartId="{45247baf-1fc4-4eaa-992a-a48468e874e5}"/>
      </c:ext>
    </c:extLst>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5855</Words>
  <Characters>33377</Characters>
  <Application>Microsoft Office Word</Application>
  <DocSecurity>0</DocSecurity>
  <Lines>278</Lines>
  <Paragraphs>78</Paragraphs>
  <ScaleCrop>false</ScaleCrop>
  <Company/>
  <LinksUpToDate>false</LinksUpToDate>
  <CharactersWithSpaces>39154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Chinelo Nduka</dc:creator>
  <cp:lastModifiedBy>qwert</cp:lastModifiedBy>
  <cp:revision>2</cp:revision>
  <dcterms:created xsi:type="dcterms:W3CDTF">2026-03-04T09:47:00Z</dcterms:created>
  <dcterms:modified xsi:type="dcterms:W3CDTF">2026-04-01T08:08:00Z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515E170638D44D0482E1FBE8D2EA63F7_11</vt:lpwstr>
  </property>
</Properties>
</file>