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3E42" w14:textId="77777777" w:rsidR="004218AF" w:rsidRPr="00231D4C" w:rsidRDefault="00E91078" w:rsidP="00E91078">
      <w:pPr>
        <w:spacing w:after="0" w:line="240" w:lineRule="auto"/>
        <w:jc w:val="center"/>
        <w:rPr>
          <w:rFonts w:ascii="Times New Roman" w:hAnsi="Times New Roman" w:cs="Times New Roman"/>
          <w:b/>
          <w:bCs/>
          <w:sz w:val="32"/>
          <w:szCs w:val="32"/>
        </w:rPr>
      </w:pPr>
      <w:r w:rsidRPr="00231D4C">
        <w:rPr>
          <w:rFonts w:ascii="Times New Roman" w:hAnsi="Times New Roman" w:cs="Times New Roman"/>
          <w:b/>
          <w:bCs/>
          <w:sz w:val="32"/>
          <w:szCs w:val="32"/>
        </w:rPr>
        <w:t>Enhancing Student Understanding of Development Planning through Real-World Industrial Collaboration in Construction Projects</w:t>
      </w:r>
    </w:p>
    <w:p w14:paraId="771B459C" w14:textId="77777777" w:rsidR="00E91078" w:rsidRPr="002B77BC" w:rsidRDefault="00E91078" w:rsidP="004218AF">
      <w:pPr>
        <w:spacing w:after="0" w:line="240" w:lineRule="auto"/>
        <w:rPr>
          <w:rFonts w:ascii="Times New Roman" w:hAnsi="Times New Roman" w:cs="Times New Roman"/>
          <w:b/>
          <w:bCs/>
          <w:sz w:val="24"/>
          <w:szCs w:val="24"/>
        </w:rPr>
      </w:pPr>
    </w:p>
    <w:p w14:paraId="71B5D152" w14:textId="77777777" w:rsidR="002B77BC" w:rsidRPr="002B77BC" w:rsidRDefault="002B77BC" w:rsidP="004218AF">
      <w:pPr>
        <w:spacing w:after="0" w:line="240" w:lineRule="auto"/>
        <w:rPr>
          <w:rFonts w:ascii="Times New Roman" w:hAnsi="Times New Roman" w:cs="Times New Roman"/>
          <w:b/>
          <w:bCs/>
          <w:sz w:val="24"/>
          <w:szCs w:val="24"/>
        </w:rPr>
      </w:pPr>
    </w:p>
    <w:p w14:paraId="6BA66EFA" w14:textId="3D0C874B" w:rsidR="000A35FF" w:rsidRPr="000A35FF" w:rsidRDefault="00326830" w:rsidP="000A35FF">
      <w:pPr>
        <w:spacing w:after="0"/>
        <w:jc w:val="both"/>
        <w:rPr>
          <w:rFonts w:ascii="Times New Roman" w:eastAsia="Calibri" w:hAnsi="Times New Roman" w:cs="Times New Roman"/>
          <w:lang w:val="en-US"/>
        </w:rPr>
      </w:pPr>
      <w:r w:rsidRPr="000A35FF">
        <w:rPr>
          <w:rFonts w:ascii="Times New Roman" w:eastAsia="Calibri" w:hAnsi="Times New Roman" w:cs="Times New Roman"/>
          <w:b/>
          <w:bCs/>
        </w:rPr>
        <w:t>Abstract:</w:t>
      </w:r>
      <w:r w:rsidR="000A35FF" w:rsidRPr="000A35FF">
        <w:rPr>
          <w:rFonts w:ascii="Times New Roman" w:eastAsia="Calibri" w:hAnsi="Times New Roman" w:cs="Times New Roman"/>
          <w:b/>
          <w:bCs/>
        </w:rPr>
        <w:t xml:space="preserve"> </w:t>
      </w:r>
      <w:r w:rsidR="000A35FF" w:rsidRPr="000A35FF">
        <w:rPr>
          <w:rFonts w:ascii="Times New Roman" w:eastAsia="Calibri" w:hAnsi="Times New Roman" w:cs="Times New Roman"/>
          <w:lang w:val="en-US"/>
        </w:rPr>
        <w:t>In an increasingly complex and fast-paced construction industry, the gap between theoretical instruction and practical application remains a persistent challenge in engineering education. Many students struggle to fully grasp development planning processes</w:t>
      </w:r>
      <w:r w:rsidR="000A35FF">
        <w:rPr>
          <w:rFonts w:ascii="Times New Roman" w:eastAsia="Calibri" w:hAnsi="Times New Roman" w:cs="Times New Roman"/>
          <w:lang w:val="en-US"/>
        </w:rPr>
        <w:t xml:space="preserve"> </w:t>
      </w:r>
      <w:r w:rsidR="000A35FF" w:rsidRPr="000A35FF">
        <w:rPr>
          <w:rFonts w:ascii="Times New Roman" w:eastAsia="Calibri" w:hAnsi="Times New Roman" w:cs="Times New Roman"/>
          <w:lang w:val="en-US"/>
        </w:rPr>
        <w:t>ranging from initial site surveys to multidisciplinary technical drawings</w:t>
      </w:r>
      <w:r w:rsidR="000A35FF">
        <w:rPr>
          <w:rFonts w:ascii="Times New Roman" w:eastAsia="Calibri" w:hAnsi="Times New Roman" w:cs="Times New Roman"/>
          <w:lang w:val="en-US"/>
        </w:rPr>
        <w:t xml:space="preserve"> </w:t>
      </w:r>
      <w:r w:rsidR="000A35FF" w:rsidRPr="000A35FF">
        <w:rPr>
          <w:rFonts w:ascii="Times New Roman" w:eastAsia="Calibri" w:hAnsi="Times New Roman" w:cs="Times New Roman"/>
          <w:lang w:val="en-US"/>
        </w:rPr>
        <w:t>due to limited exposure to real-world practices. Addressing this issue, the present study evaluates the effectiveness of an academic–industry collaboration initiative, specifically an industrial talk, in enhancing students’ understanding of development planning within the construction context. Adopting a quantitative pre–post research design, the study collected 77 valid responses from participants comprising predominantly undergraduate engineering students, alongside lecturers and an industry speaker. A structured questionnaire measured self-reported understanding before and after the session, complemented by nine Likert-scale items assessing awareness, integration, and perceived benefits. Data were analysed using SPSS through descriptive statistics, reliability testing, paired samples t-tests, and group comparison analyses. The findings reveal a substantial and statistically significant improvement in participants’ understanding following the intervention. The mean score increased from 2.75 (pre-session) to 8.35 (post-session), with a highly significant t-test result (p &lt; 0.001), indicating strong learning gains. The instrument demonstrated excellent reliability (Cronbach’s α = 0.965), confirming internal consistency. Importantly, no significant differences were observed across gender or participant groups, suggesting that the learning experience was inclusive and broadly effective. High satisfaction levels (mean = 4.68/5) further underscore the perceived value of the initiative. This study concludes that structured academic–industry engagements serve as powerful pedagogical tools in bridging the theory–practice divide in construction education. Beyond academic outcomes, such initiatives contribute to societal and environmental advancement by fostering industry-ready graduates equipped with practical competencies, collaborative skills, and a deeper appreciation of sustainable construction practices. By strengthening the alignment between education and industry needs, these efforts support the development of a more competent workforce capable of delivering efficient, well-coordinated, and environmentally responsible construction projects.</w:t>
      </w:r>
    </w:p>
    <w:p w14:paraId="240799E3" w14:textId="6AFC55A5" w:rsidR="002B77BC" w:rsidRDefault="002B77BC" w:rsidP="004218AF">
      <w:pPr>
        <w:spacing w:after="0" w:line="240" w:lineRule="auto"/>
        <w:rPr>
          <w:rFonts w:ascii="Times New Roman" w:hAnsi="Times New Roman" w:cs="Times New Roman"/>
          <w:b/>
          <w:bCs/>
        </w:rPr>
      </w:pPr>
    </w:p>
    <w:p w14:paraId="6FD7DF59" w14:textId="0234EB93" w:rsidR="000A35FF" w:rsidRPr="000A35FF" w:rsidRDefault="000A35FF" w:rsidP="000A35FF">
      <w:pPr>
        <w:spacing w:after="0" w:line="240" w:lineRule="auto"/>
        <w:rPr>
          <w:rFonts w:ascii="Times New Roman" w:hAnsi="Times New Roman" w:cs="Times New Roman"/>
          <w:i/>
          <w:iCs/>
        </w:rPr>
      </w:pPr>
      <w:r w:rsidRPr="000A35FF">
        <w:rPr>
          <w:rFonts w:ascii="Times New Roman" w:hAnsi="Times New Roman" w:cs="Times New Roman"/>
          <w:i/>
          <w:iCs/>
        </w:rPr>
        <w:t xml:space="preserve">Keywords: </w:t>
      </w:r>
      <w:r w:rsidRPr="000A35FF">
        <w:rPr>
          <w:rFonts w:ascii="Times New Roman" w:hAnsi="Times New Roman" w:cs="Times New Roman"/>
          <w:i/>
          <w:iCs/>
          <w:lang w:val="en-US"/>
        </w:rPr>
        <w:t>Development planning; Industry engagement; Construction engineering education; Technical drawing literacy; Work-integrated learning</w:t>
      </w:r>
    </w:p>
    <w:p w14:paraId="7B027FE5" w14:textId="77777777" w:rsidR="002B77BC" w:rsidRPr="000A35FF" w:rsidRDefault="002B77BC" w:rsidP="004218AF">
      <w:pPr>
        <w:spacing w:after="0" w:line="240" w:lineRule="auto"/>
        <w:rPr>
          <w:rFonts w:ascii="Times New Roman" w:hAnsi="Times New Roman" w:cs="Times New Roman"/>
          <w:b/>
          <w:bCs/>
        </w:rPr>
      </w:pPr>
    </w:p>
    <w:p w14:paraId="2F0DF83C" w14:textId="77777777" w:rsidR="002B77BC" w:rsidRPr="000A35FF" w:rsidRDefault="002B77BC" w:rsidP="004218AF">
      <w:pPr>
        <w:spacing w:after="0" w:line="240" w:lineRule="auto"/>
        <w:rPr>
          <w:rFonts w:ascii="Times New Roman" w:hAnsi="Times New Roman" w:cs="Times New Roman"/>
          <w:b/>
          <w:bCs/>
        </w:rPr>
      </w:pPr>
    </w:p>
    <w:p w14:paraId="6C4A777E" w14:textId="44510719"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1. I</w:t>
      </w:r>
      <w:r w:rsidR="00231D4C">
        <w:rPr>
          <w:rFonts w:ascii="Times New Roman" w:hAnsi="Times New Roman" w:cs="Times New Roman"/>
          <w:b/>
          <w:bCs/>
        </w:rPr>
        <w:t>NTRODUCTION</w:t>
      </w:r>
    </w:p>
    <w:p w14:paraId="7FD7067E" w14:textId="20008353"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In the rapidly evolving construction industry, understanding the full scope of development planning</w:t>
      </w:r>
      <w:r w:rsidR="00F23BFD" w:rsidRPr="00F23BFD">
        <w:rPr>
          <w:rFonts w:ascii="Times New Roman" w:hAnsi="Times New Roman" w:cs="Times New Roman"/>
        </w:rPr>
        <w:t xml:space="preserve"> </w:t>
      </w:r>
      <w:r w:rsidRPr="00F23BFD">
        <w:rPr>
          <w:rFonts w:ascii="Times New Roman" w:hAnsi="Times New Roman" w:cs="Times New Roman"/>
        </w:rPr>
        <w:t>from initial site survey to project completion</w:t>
      </w:r>
      <w:r w:rsidR="00326830">
        <w:rPr>
          <w:rFonts w:ascii="Times New Roman" w:hAnsi="Times New Roman" w:cs="Times New Roman"/>
        </w:rPr>
        <w:t xml:space="preserve"> </w:t>
      </w:r>
      <w:r w:rsidRPr="00F23BFD">
        <w:rPr>
          <w:rFonts w:ascii="Times New Roman" w:hAnsi="Times New Roman" w:cs="Times New Roman"/>
        </w:rPr>
        <w:t xml:space="preserve">is essential for producing competent and industry-ready engineering graduates. The effectiveness of such knowledge transfer is significantly enhanced when students are exposed to practical, real-world applications through academic–industry engagement such as industrial talks. These sessions offer an opportunity to bridge theoretical knowledge with professional practice, especially in areas involving technical documentation and multidisciplinary collaboration </w:t>
      </w:r>
      <w:r w:rsidR="00E91078" w:rsidRPr="00F23BFD">
        <w:rPr>
          <w:rFonts w:ascii="Times New Roman" w:hAnsi="Times New Roman" w:cs="Times New Roman"/>
        </w:rPr>
        <w:fldChar w:fldCharType="begin" w:fldLock="1"/>
      </w:r>
      <w:r w:rsidR="00F23BFD">
        <w:rPr>
          <w:rFonts w:ascii="Times New Roman" w:hAnsi="Times New Roman" w:cs="Times New Roman"/>
        </w:rPr>
        <w:instrText>ADDIN CSL_CITATION {"citationItems":[{"id":"ITEM-1","itemData":{"DOI":"10.6007/IJARPED/v12-i1/16109","author":[{"dropping-particle":"","family":"Asmani","given":"Doris","non-dropping-particle":"","parse-names":false,"suffix":""},{"dropping-particle":"","family":"Yusof","given":"Mat","non-dropping-particle":"","parse-names":false,"suffix":""},{"dropping-particle":"","family":"Farina","given":"Nora","non-dropping-particle":"","parse-names":false,"suffix":""},{"dropping-particle":"","family":"Halim","given":"Mohd","non-dropping-particle":"","parse-names":false,"suffix":""}],"id":"ITEM-1","issue":"1","issued":{"date-parts":[["2023"]]},"page":"54-61","title":"A Study on Effectiveness of Industrial Talk Approaches for Geology Course","type":"article-journal","volume":"12"},"uris":["http://www.mendeley.com/documents/?uuid=da34c080-cf70-4007-b6c8-9fb17df439a5","http://www.mendeley.com/documents/?uuid=9c6fbc51-8220-4503-b9bf-fc779cb971fc"]}],"mendeley":{"formattedCitation":"[1]","plainTextFormattedCitation":"[1]","previouslyFormattedCitation":"[1]"},"properties":{"noteIndex":0},"schema":"https://github.com/citation-style-language/schema/raw/master/csl-citation.json"}</w:instrText>
      </w:r>
      <w:r w:rsidR="00E91078" w:rsidRPr="00F23BFD">
        <w:rPr>
          <w:rFonts w:ascii="Times New Roman" w:hAnsi="Times New Roman" w:cs="Times New Roman"/>
        </w:rPr>
        <w:fldChar w:fldCharType="separate"/>
      </w:r>
      <w:r w:rsidR="00E91078" w:rsidRPr="00F23BFD">
        <w:rPr>
          <w:rFonts w:ascii="Times New Roman" w:hAnsi="Times New Roman" w:cs="Times New Roman"/>
          <w:noProof/>
        </w:rPr>
        <w:t>[1]</w:t>
      </w:r>
      <w:r w:rsidR="00E91078" w:rsidRPr="00F23BFD">
        <w:rPr>
          <w:rFonts w:ascii="Times New Roman" w:hAnsi="Times New Roman" w:cs="Times New Roman"/>
        </w:rPr>
        <w:fldChar w:fldCharType="end"/>
      </w:r>
      <w:r w:rsidR="00F23BFD" w:rsidRPr="00F23BFD">
        <w:rPr>
          <w:rFonts w:ascii="Times New Roman" w:hAnsi="Times New Roman" w:cs="Times New Roman"/>
        </w:rPr>
        <w:t>.</w:t>
      </w:r>
    </w:p>
    <w:p w14:paraId="0EED697E" w14:textId="0BE37883"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 xml:space="preserve">The featured industrial </w:t>
      </w:r>
      <w:r w:rsidR="00E91078" w:rsidRPr="00F23BFD">
        <w:rPr>
          <w:rFonts w:ascii="Times New Roman" w:hAnsi="Times New Roman" w:cs="Times New Roman"/>
        </w:rPr>
        <w:t xml:space="preserve">collaboration </w:t>
      </w:r>
      <w:r w:rsidRPr="00F23BFD">
        <w:rPr>
          <w:rFonts w:ascii="Times New Roman" w:hAnsi="Times New Roman" w:cs="Times New Roman"/>
        </w:rPr>
        <w:t xml:space="preserve">talk, titled </w:t>
      </w:r>
      <w:r w:rsidRPr="00F23BFD">
        <w:rPr>
          <w:rFonts w:ascii="Times New Roman" w:hAnsi="Times New Roman" w:cs="Times New Roman"/>
          <w:i/>
          <w:iCs/>
        </w:rPr>
        <w:t>“Development Planning: Types of Plans Involved from Planning Layout to Project Completion”</w:t>
      </w:r>
      <w:r w:rsidRPr="00F23BFD">
        <w:rPr>
          <w:rFonts w:ascii="Times New Roman" w:hAnsi="Times New Roman" w:cs="Times New Roman"/>
        </w:rPr>
        <w:t xml:space="preserve">, was designed to equip students with a deeper understanding of key technical drawings commonly used in construction projects. This includes architectural drawings, civil and structural (C&amp;S) drawings, infrastructure layouts, mechanical and electrical (M&amp;E) schematics, and survey or topographic plans. Each of these components plays a critical role in ensuring that a project is not only feasible and functional but also compliant with regulatory and safety standards </w:t>
      </w:r>
      <w:r w:rsidR="00E91078" w:rsidRPr="00F23BFD">
        <w:rPr>
          <w:rFonts w:ascii="Times New Roman" w:hAnsi="Times New Roman" w:cs="Times New Roman"/>
        </w:rPr>
        <w:fldChar w:fldCharType="begin" w:fldLock="1"/>
      </w:r>
      <w:r w:rsidR="00F23BFD">
        <w:rPr>
          <w:rFonts w:ascii="Times New Roman" w:hAnsi="Times New Roman" w:cs="Times New Roman"/>
        </w:rPr>
        <w:instrText>ADDIN CSL_CITATION {"citationItems":[{"id":"ITEM-1","itemData":{"author":[{"dropping-particle":"","family":"Erinjogunola","given":"Fasasi Lanre","non-dropping-particle":"","parse-names":false,"suffix":""},{"dropping-particle":"","family":"Olayiwola","given":"Rasheed Kola","non-dropping-particle":"","parse-names":false,"suffix":""},{"dropping-particle":"","family":"Ajirotutu","given":"Rasheed O","non-dropping-particle":"","parse-names":false,"suffix":""},{"dropping-particle":"","family":"Sikhakhane-","given":"Zamathula","non-dropping-particle":"","parse-names":false,"suffix":""}],"id":"ITEM-1","issued":{"date-parts":[["2025"]]},"title":"Bridging the Gap : Enhancing Civil Engineering Education through Practical Applications","type":"article-journal"},"uris":["http://www.mendeley.com/documents/?uuid=f565e692-933f-43bb-985f-e13a5d83b1b1","http://www.mendeley.com/documents/?uuid=b5684aa2-a023-4dfa-857e-7c7502a47029"]}],"mendeley":{"formattedCitation":"[2]","plainTextFormattedCitation":"[2]","previouslyFormattedCitation":"[2]"},"properties":{"noteIndex":0},"schema":"https://github.com/citation-style-language/schema/raw/master/csl-citation.json"}</w:instrText>
      </w:r>
      <w:r w:rsidR="00E91078" w:rsidRPr="00F23BFD">
        <w:rPr>
          <w:rFonts w:ascii="Times New Roman" w:hAnsi="Times New Roman" w:cs="Times New Roman"/>
        </w:rPr>
        <w:fldChar w:fldCharType="separate"/>
      </w:r>
      <w:r w:rsidR="00E91078" w:rsidRPr="00F23BFD">
        <w:rPr>
          <w:rFonts w:ascii="Times New Roman" w:hAnsi="Times New Roman" w:cs="Times New Roman"/>
          <w:noProof/>
        </w:rPr>
        <w:t>[2]</w:t>
      </w:r>
      <w:r w:rsidR="00E91078" w:rsidRPr="00F23BFD">
        <w:rPr>
          <w:rFonts w:ascii="Times New Roman" w:hAnsi="Times New Roman" w:cs="Times New Roman"/>
        </w:rPr>
        <w:fldChar w:fldCharType="end"/>
      </w:r>
      <w:r w:rsidR="00F23BFD" w:rsidRPr="00F23BFD">
        <w:rPr>
          <w:rFonts w:ascii="Times New Roman" w:hAnsi="Times New Roman" w:cs="Times New Roman"/>
        </w:rPr>
        <w:t xml:space="preserve">. </w:t>
      </w:r>
      <w:r w:rsidRPr="00F23BFD">
        <w:rPr>
          <w:rFonts w:ascii="Times New Roman" w:hAnsi="Times New Roman" w:cs="Times New Roman"/>
        </w:rPr>
        <w:t xml:space="preserve">In Malaysian higher education, there is growing emphasis on integrating industrial relevance into the civil engineering curriculum to align with the outcomes outlined by professional bodies such as the Engineering Accreditation Council (EAC) and Board of Engineers Malaysia (BEM). These bodies </w:t>
      </w:r>
      <w:r w:rsidRPr="00F23BFD">
        <w:rPr>
          <w:rFonts w:ascii="Times New Roman" w:hAnsi="Times New Roman" w:cs="Times New Roman"/>
        </w:rPr>
        <w:lastRenderedPageBreak/>
        <w:t xml:space="preserve">promote outcome-based education (OBE) that cultivates problem-solving skills, multidisciplinary knowledge, and lifelong learning attitudes among future engineers </w:t>
      </w:r>
      <w:r w:rsidR="00E91078" w:rsidRPr="00F23BFD">
        <w:rPr>
          <w:rFonts w:ascii="Times New Roman" w:hAnsi="Times New Roman" w:cs="Times New Roman"/>
        </w:rPr>
        <w:fldChar w:fldCharType="begin" w:fldLock="1"/>
      </w:r>
      <w:r w:rsidR="00F23BFD">
        <w:rPr>
          <w:rFonts w:ascii="Times New Roman" w:hAnsi="Times New Roman" w:cs="Times New Roman"/>
        </w:rPr>
        <w:instrText>ADDIN CSL_CITATION {"citationItems":[{"id":"ITEM-1","itemData":{"ISBN":"9789839241174","author":[{"dropping-particle":"","family":"Malaysia","given":"Board of Engineers","non-dropping-particle":"","parse-names":false,"suffix":""}],"id":"ITEM-1","issued":{"date-parts":[["2024"]]},"publisher":"Board of Engineers Malaysia","title":"Engineering Programme Accreditation Standard 2024","type":"book"},"uris":["http://www.mendeley.com/documents/?uuid=4713345d-b931-4c63-af54-194ea919696d","http://www.mendeley.com/documents/?uuid=bde1fe83-c349-45ac-b907-1d431118d3be"]}],"mendeley":{"formattedCitation":"[3]","plainTextFormattedCitation":"[3]","previouslyFormattedCitation":"[3]"},"properties":{"noteIndex":0},"schema":"https://github.com/citation-style-language/schema/raw/master/csl-citation.json"}</w:instrText>
      </w:r>
      <w:r w:rsidR="00E91078" w:rsidRPr="00F23BFD">
        <w:rPr>
          <w:rFonts w:ascii="Times New Roman" w:hAnsi="Times New Roman" w:cs="Times New Roman"/>
        </w:rPr>
        <w:fldChar w:fldCharType="separate"/>
      </w:r>
      <w:r w:rsidR="00E91078" w:rsidRPr="00F23BFD">
        <w:rPr>
          <w:rFonts w:ascii="Times New Roman" w:hAnsi="Times New Roman" w:cs="Times New Roman"/>
          <w:noProof/>
        </w:rPr>
        <w:t>[3]</w:t>
      </w:r>
      <w:r w:rsidR="00E91078" w:rsidRPr="00F23BFD">
        <w:rPr>
          <w:rFonts w:ascii="Times New Roman" w:hAnsi="Times New Roman" w:cs="Times New Roman"/>
        </w:rPr>
        <w:fldChar w:fldCharType="end"/>
      </w:r>
      <w:r w:rsidR="00F23BFD" w:rsidRPr="00F23BFD">
        <w:rPr>
          <w:rFonts w:ascii="Times New Roman" w:hAnsi="Times New Roman" w:cs="Times New Roman"/>
        </w:rPr>
        <w:t xml:space="preserve">. </w:t>
      </w:r>
      <w:r w:rsidRPr="00F23BFD">
        <w:rPr>
          <w:rFonts w:ascii="Times New Roman" w:hAnsi="Times New Roman" w:cs="Times New Roman"/>
        </w:rPr>
        <w:t>Given the importance of this initiative, the present research aimed to evaluate the impact of the industrial talk on students' awareness and understanding of the types of development plans involved in construction. By administering a structured survey before and after the session, this study seeks to measure the knowledge gained and to identify any significant differences in perception across gender and attendance groups. The findings are expected to contribute to future improvements in academic–industry collaborations and technical education strategies in the field of construction engineering.</w:t>
      </w:r>
    </w:p>
    <w:p w14:paraId="7D1289FA" w14:textId="77777777" w:rsidR="00E91078" w:rsidRDefault="00E91078" w:rsidP="004218AF">
      <w:pPr>
        <w:spacing w:after="0" w:line="240" w:lineRule="auto"/>
        <w:rPr>
          <w:rFonts w:ascii="Times New Roman" w:hAnsi="Times New Roman" w:cs="Times New Roman"/>
          <w:b/>
          <w:bCs/>
        </w:rPr>
      </w:pPr>
    </w:p>
    <w:p w14:paraId="4B4438CD" w14:textId="77777777" w:rsidR="00E91078" w:rsidRDefault="00E91078" w:rsidP="004218AF">
      <w:pPr>
        <w:spacing w:after="0" w:line="240" w:lineRule="auto"/>
        <w:rPr>
          <w:rFonts w:ascii="Times New Roman" w:hAnsi="Times New Roman" w:cs="Times New Roman"/>
          <w:b/>
          <w:bCs/>
        </w:rPr>
      </w:pPr>
    </w:p>
    <w:p w14:paraId="1343E96A" w14:textId="7A1705BC"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 M</w:t>
      </w:r>
      <w:r w:rsidR="00231D4C">
        <w:rPr>
          <w:rFonts w:ascii="Times New Roman" w:hAnsi="Times New Roman" w:cs="Times New Roman"/>
          <w:b/>
          <w:bCs/>
        </w:rPr>
        <w:t>ETHODOLOGY</w:t>
      </w:r>
    </w:p>
    <w:p w14:paraId="2F5E524A"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2.1 Research Design</w:t>
      </w:r>
    </w:p>
    <w:p w14:paraId="7DEB8CBA" w14:textId="3D29284E"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This study employed a quantitative research design using a pre–post survey approach to assess participants' awareness and understanding of development planning in the construction industry. The design allowed for the measurement of knowledge improvement by comparing self-reported understanding levels before and after the industrial talk. The talk focused on technical components including architectural drawings, civil and structural drawings, infrastructure layout, survey plans, and mechanical and electrical (M&amp;E) drawings.</w:t>
      </w:r>
      <w:r w:rsidR="00F23BFD" w:rsidRPr="00F23BFD">
        <w:rPr>
          <w:rFonts w:ascii="Times New Roman" w:hAnsi="Times New Roman" w:cs="Times New Roman"/>
        </w:rPr>
        <w:t xml:space="preserve"> </w:t>
      </w:r>
      <w:r w:rsidRPr="00F23BFD">
        <w:rPr>
          <w:rFonts w:ascii="Times New Roman" w:hAnsi="Times New Roman" w:cs="Times New Roman"/>
        </w:rPr>
        <w:t xml:space="preserve">Such a method is appropriate for measuring change over time and evaluating the effectiveness of academic-industry engagement sessions in engineering education </w:t>
      </w:r>
      <w:r w:rsidR="00F23BFD" w:rsidRPr="00F23BFD">
        <w:rPr>
          <w:rFonts w:ascii="Times New Roman" w:hAnsi="Times New Roman" w:cs="Times New Roman"/>
        </w:rPr>
        <w:fldChar w:fldCharType="begin" w:fldLock="1"/>
      </w:r>
      <w:r w:rsidR="00F23BFD" w:rsidRPr="00F23BFD">
        <w:rPr>
          <w:rFonts w:ascii="Times New Roman" w:hAnsi="Times New Roman" w:cs="Times New Roman"/>
        </w:rPr>
        <w:instrText>ADDIN CSL_CITATION {"citationItems":[{"id":"ITEM-1","itemData":{"DOI":"10.1128/microbe.4.485.1","ISSN":"1558-7452","author":[{"dropping-particle":"","family":"Creswell","given":"John W.","non-dropping-particle":"","parse-names":false,"suffix":""}],"container-title":"SAGE Publications, Inc.","id":"ITEM-1","issued":{"date-parts":[["2009"]]},"number-of-pages":"270","publisher":"SAGE Publications, Inc.","title":"Research design: Qualitative, quantitative, and mixed methods approaches","type":"book"},"uris":["http://www.mendeley.com/documents/?uuid=f2ac4b74-bd6f-49c0-a827-09b3c042751e"]}],"mendeley":{"formattedCitation":"[4]","plainTextFormattedCitation":"[4]"},"properties":{"noteIndex":0},"schema":"https://github.com/citation-style-language/schema/raw/master/csl-citation.json"}</w:instrText>
      </w:r>
      <w:r w:rsidR="00F23BFD" w:rsidRPr="00F23BFD">
        <w:rPr>
          <w:rFonts w:ascii="Times New Roman" w:hAnsi="Times New Roman" w:cs="Times New Roman"/>
        </w:rPr>
        <w:fldChar w:fldCharType="separate"/>
      </w:r>
      <w:r w:rsidR="00F23BFD" w:rsidRPr="00F23BFD">
        <w:rPr>
          <w:rFonts w:ascii="Times New Roman" w:hAnsi="Times New Roman" w:cs="Times New Roman"/>
          <w:noProof/>
        </w:rPr>
        <w:t>[4]</w:t>
      </w:r>
      <w:r w:rsidR="00F23BFD" w:rsidRPr="00F23BFD">
        <w:rPr>
          <w:rFonts w:ascii="Times New Roman" w:hAnsi="Times New Roman" w:cs="Times New Roman"/>
        </w:rPr>
        <w:fldChar w:fldCharType="end"/>
      </w:r>
      <w:r w:rsidRPr="00F23BFD">
        <w:rPr>
          <w:rFonts w:ascii="Times New Roman" w:hAnsi="Times New Roman" w:cs="Times New Roman"/>
        </w:rPr>
        <w:t>.</w:t>
      </w:r>
    </w:p>
    <w:p w14:paraId="5082B195" w14:textId="77777777" w:rsidR="004218AF" w:rsidRPr="004218AF" w:rsidRDefault="004218AF" w:rsidP="00E91078">
      <w:pPr>
        <w:spacing w:after="0" w:line="240" w:lineRule="auto"/>
        <w:jc w:val="both"/>
        <w:rPr>
          <w:rFonts w:ascii="Times New Roman" w:hAnsi="Times New Roman" w:cs="Times New Roman"/>
        </w:rPr>
      </w:pPr>
    </w:p>
    <w:p w14:paraId="40E37E44" w14:textId="77777777" w:rsidR="004218AF" w:rsidRPr="004218AF" w:rsidRDefault="004218AF" w:rsidP="00E91078">
      <w:pPr>
        <w:spacing w:after="0" w:line="240" w:lineRule="auto"/>
        <w:jc w:val="both"/>
        <w:rPr>
          <w:rFonts w:ascii="Times New Roman" w:hAnsi="Times New Roman" w:cs="Times New Roman"/>
          <w:b/>
          <w:bCs/>
        </w:rPr>
      </w:pPr>
      <w:r w:rsidRPr="004218AF">
        <w:rPr>
          <w:rFonts w:ascii="Times New Roman" w:hAnsi="Times New Roman" w:cs="Times New Roman"/>
          <w:b/>
          <w:bCs/>
        </w:rPr>
        <w:t>2.2 Participants</w:t>
      </w:r>
    </w:p>
    <w:p w14:paraId="726FC813" w14:textId="77777777"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Participants were drawn from undergraduate engineering students and faculty members who attended the industrial talk. In total, 77 valid responses were collected. The demographic breakdown showed that 42.9% were male and 57.1% were female, while 90.9% were students, 7.8% were lecturers, and 1.3% were the invited speaker. Respondents were selected based on their voluntary attendance and consent to participate in the post-event evaluation.</w:t>
      </w:r>
    </w:p>
    <w:p w14:paraId="455B64C8" w14:textId="77777777" w:rsidR="004218AF" w:rsidRPr="004218AF" w:rsidRDefault="004218AF" w:rsidP="00E91078">
      <w:pPr>
        <w:spacing w:after="0" w:line="240" w:lineRule="auto"/>
        <w:jc w:val="both"/>
        <w:rPr>
          <w:rFonts w:ascii="Times New Roman" w:hAnsi="Times New Roman" w:cs="Times New Roman"/>
        </w:rPr>
      </w:pPr>
    </w:p>
    <w:p w14:paraId="5E362B70"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2.3 Instrumentation</w:t>
      </w:r>
    </w:p>
    <w:p w14:paraId="5F2D5F45" w14:textId="77777777" w:rsidR="004218AF" w:rsidRPr="004218AF" w:rsidRDefault="004218AF" w:rsidP="004218AF">
      <w:pPr>
        <w:spacing w:after="0" w:line="240" w:lineRule="auto"/>
        <w:rPr>
          <w:rFonts w:ascii="Times New Roman" w:hAnsi="Times New Roman" w:cs="Times New Roman"/>
        </w:rPr>
      </w:pPr>
      <w:r w:rsidRPr="004218AF">
        <w:rPr>
          <w:rFonts w:ascii="Times New Roman" w:hAnsi="Times New Roman" w:cs="Times New Roman"/>
        </w:rPr>
        <w:t>A structured questionnaire was developed to capture the following data:</w:t>
      </w:r>
    </w:p>
    <w:p w14:paraId="6AACD65F"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Demographics: Gender and attendance group (student, lecturer, speaker)</w:t>
      </w:r>
    </w:p>
    <w:p w14:paraId="03A8E178"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Pre- and post-understanding: Self-rated on a 10-point scale</w:t>
      </w:r>
    </w:p>
    <w:p w14:paraId="00DE5BBD"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Awareness and understanding items: 9 statements using a 5-point Likert scale (1 = Strongly Disagree to 5 = Strongly Agree) covering:</w:t>
      </w:r>
    </w:p>
    <w:p w14:paraId="6D721C67" w14:textId="77777777" w:rsidR="004218AF" w:rsidRPr="00F23BFD" w:rsidRDefault="004218AF" w:rsidP="004218AF">
      <w:pPr>
        <w:numPr>
          <w:ilvl w:val="1"/>
          <w:numId w:val="6"/>
        </w:numPr>
        <w:spacing w:after="0" w:line="240" w:lineRule="auto"/>
        <w:rPr>
          <w:rFonts w:ascii="Times New Roman" w:hAnsi="Times New Roman" w:cs="Times New Roman"/>
        </w:rPr>
      </w:pPr>
      <w:r w:rsidRPr="00F23BFD">
        <w:rPr>
          <w:rFonts w:ascii="Times New Roman" w:hAnsi="Times New Roman" w:cs="Times New Roman"/>
        </w:rPr>
        <w:t>Q1–Q5: Understanding of various drawings (architectural, C&amp;S, infrastructure, survey, M&amp;E)</w:t>
      </w:r>
    </w:p>
    <w:p w14:paraId="4DB884D8" w14:textId="77777777" w:rsidR="004218AF" w:rsidRPr="00F23BFD" w:rsidRDefault="004218AF" w:rsidP="004218AF">
      <w:pPr>
        <w:numPr>
          <w:ilvl w:val="1"/>
          <w:numId w:val="6"/>
        </w:numPr>
        <w:spacing w:after="0" w:line="240" w:lineRule="auto"/>
        <w:rPr>
          <w:rFonts w:ascii="Times New Roman" w:hAnsi="Times New Roman" w:cs="Times New Roman"/>
        </w:rPr>
      </w:pPr>
      <w:r w:rsidRPr="00F23BFD">
        <w:rPr>
          <w:rFonts w:ascii="Times New Roman" w:hAnsi="Times New Roman" w:cs="Times New Roman"/>
        </w:rPr>
        <w:t>Q6–Q9: Integration, confidence, and perceived benefit of the talk</w:t>
      </w:r>
    </w:p>
    <w:p w14:paraId="3ACD275D"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Overall satisfaction: Star rating (1 to 5 stars)</w:t>
      </w:r>
    </w:p>
    <w:p w14:paraId="6B6BECE7" w14:textId="77777777" w:rsidR="004218AF" w:rsidRPr="00F23BFD" w:rsidRDefault="004218AF" w:rsidP="004218AF">
      <w:pPr>
        <w:spacing w:after="0" w:line="240" w:lineRule="auto"/>
        <w:rPr>
          <w:rFonts w:ascii="Times New Roman" w:hAnsi="Times New Roman" w:cs="Times New Roman"/>
        </w:rPr>
      </w:pPr>
      <w:r w:rsidRPr="00F23BFD">
        <w:rPr>
          <w:rFonts w:ascii="Times New Roman" w:hAnsi="Times New Roman" w:cs="Times New Roman"/>
        </w:rPr>
        <w:t>The internal reliability of the Likert items was confirmed via Cronbach’s Alpha = 0.965, indicating excellent consistency.</w:t>
      </w:r>
    </w:p>
    <w:p w14:paraId="266C5D1F" w14:textId="6043F40E" w:rsidR="004218AF" w:rsidRPr="004218AF" w:rsidRDefault="004218AF" w:rsidP="004218AF">
      <w:pPr>
        <w:spacing w:after="0" w:line="240" w:lineRule="auto"/>
        <w:rPr>
          <w:rFonts w:ascii="Times New Roman" w:hAnsi="Times New Roman" w:cs="Times New Roman"/>
        </w:rPr>
      </w:pPr>
    </w:p>
    <w:p w14:paraId="263D23D6"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2.4 Data Collection Procedure</w:t>
      </w:r>
    </w:p>
    <w:p w14:paraId="12949DB7" w14:textId="77777777" w:rsidR="004218AF" w:rsidRPr="00F23BFD" w:rsidRDefault="004218AF" w:rsidP="00F23BFD">
      <w:pPr>
        <w:spacing w:after="0" w:line="240" w:lineRule="auto"/>
        <w:jc w:val="both"/>
        <w:rPr>
          <w:rFonts w:ascii="Times New Roman" w:hAnsi="Times New Roman" w:cs="Times New Roman"/>
        </w:rPr>
      </w:pPr>
      <w:r w:rsidRPr="00F23BFD">
        <w:rPr>
          <w:rFonts w:ascii="Times New Roman" w:hAnsi="Times New Roman" w:cs="Times New Roman"/>
        </w:rPr>
        <w:t>Data were collected using Google Forms, distributed immediately after the industrial talk. Participants were informed about the purpose of the study, and confidentiality was assured. They were required to self-assess their level of understanding both before and after the session and respond to awareness-related items based on their learning experience.</w:t>
      </w:r>
    </w:p>
    <w:p w14:paraId="6A732834" w14:textId="29F6B98B" w:rsidR="004218AF" w:rsidRPr="004218AF" w:rsidRDefault="004218AF" w:rsidP="004218AF">
      <w:pPr>
        <w:spacing w:after="0" w:line="240" w:lineRule="auto"/>
        <w:rPr>
          <w:rFonts w:ascii="Times New Roman" w:hAnsi="Times New Roman" w:cs="Times New Roman"/>
        </w:rPr>
      </w:pPr>
    </w:p>
    <w:p w14:paraId="5EDA51F8"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2.5 Data Analysis</w:t>
      </w:r>
    </w:p>
    <w:p w14:paraId="78877354" w14:textId="70B6D9BE" w:rsidR="004218AF" w:rsidRPr="00157430" w:rsidRDefault="004218AF" w:rsidP="00157430">
      <w:pPr>
        <w:spacing w:after="0" w:line="240" w:lineRule="auto"/>
        <w:jc w:val="both"/>
        <w:rPr>
          <w:rFonts w:ascii="Times New Roman" w:hAnsi="Times New Roman" w:cs="Times New Roman"/>
        </w:rPr>
      </w:pPr>
      <w:r w:rsidRPr="00157430">
        <w:rPr>
          <w:rFonts w:ascii="Times New Roman" w:hAnsi="Times New Roman" w:cs="Times New Roman"/>
        </w:rPr>
        <w:t>The data were analyzed using SPSS Version 27</w:t>
      </w:r>
      <w:r w:rsidR="00E91078" w:rsidRPr="00157430">
        <w:rPr>
          <w:rFonts w:ascii="Times New Roman" w:hAnsi="Times New Roman" w:cs="Times New Roman"/>
        </w:rPr>
        <w:t xml:space="preserve"> </w:t>
      </w:r>
      <w:r w:rsidR="00E91078" w:rsidRPr="00157430">
        <w:rPr>
          <w:rFonts w:ascii="Times New Roman" w:hAnsi="Times New Roman" w:cs="Times New Roman"/>
        </w:rPr>
        <w:fldChar w:fldCharType="begin" w:fldLock="1"/>
      </w:r>
      <w:r w:rsidR="00F23BFD" w:rsidRPr="00157430">
        <w:rPr>
          <w:rFonts w:ascii="Times New Roman" w:hAnsi="Times New Roman" w:cs="Times New Roman"/>
        </w:rPr>
        <w:instrText>ADDIN CSL_CITATION {"citationItems":[{"id":"ITEM-1","itemData":{"DOI":"10.4324/9781315142999","ISBN":"9781138308541","abstract":"How to Use SPSS® is designed with the novice computer user in mind and for people who have no previous experience of using SPSS. Each chapter is divided into short sections that describe the statistic being used, important underlying assumptions, and how to interpret the results and express them in a research report. The book begins with the basics, such as starting SPSS, defining variables, and entering and saving data. It covers all major statistical techniques typically taught in beginning statistics classes, such as descriptive statistics, graphing data, prediction and association, parametric inferential statistics, nonparametric inferential statistics and statistics for test construction. More than 250 screenshots (including sample output) throughout the book show students exactly what to expect as they follow along using SPSS. The book includes a glossary of statistical terms and practice exercises. A complete set of online resources including video tutorials and output files for students, and PowerPoint slides and test bank questions for instructors, make How to Use SPSS® the definitive, field-tested resource for learning SPSS.","author":[{"dropping-particle":"","family":"Cronk","given":"Brian C.","non-dropping-particle":"","parse-names":false,"suffix":""}],"container-title":"How to Use SPSS®","edition":"10","id":"ITEM-1","issued":{"date-parts":[["2017"]]},"publisher":"Taylor &amp; Francis Group","title":"How to Use SPSS® A Step-By-Step Guide to Analysis and Interpretation","type":"book"},"uris":["http://www.mendeley.com/documents/?uuid=d8110a44-6565-4073-a857-1b719c7313d7"]}],"mendeley":{"formattedCitation":"[5]","plainTextFormattedCitation":"[5]","previouslyFormattedCitation":"[4]"},"properties":{"noteIndex":0},"schema":"https://github.com/citation-style-language/schema/raw/master/csl-citation.json"}</w:instrText>
      </w:r>
      <w:r w:rsidR="00E91078" w:rsidRPr="00157430">
        <w:rPr>
          <w:rFonts w:ascii="Times New Roman" w:hAnsi="Times New Roman" w:cs="Times New Roman"/>
        </w:rPr>
        <w:fldChar w:fldCharType="separate"/>
      </w:r>
      <w:r w:rsidR="00F23BFD" w:rsidRPr="00157430">
        <w:rPr>
          <w:rFonts w:ascii="Times New Roman" w:hAnsi="Times New Roman" w:cs="Times New Roman"/>
          <w:noProof/>
        </w:rPr>
        <w:t>[5]</w:t>
      </w:r>
      <w:r w:rsidR="00E91078" w:rsidRPr="00157430">
        <w:rPr>
          <w:rFonts w:ascii="Times New Roman" w:hAnsi="Times New Roman" w:cs="Times New Roman"/>
        </w:rPr>
        <w:fldChar w:fldCharType="end"/>
      </w:r>
      <w:r w:rsidRPr="00157430">
        <w:rPr>
          <w:rFonts w:ascii="Times New Roman" w:hAnsi="Times New Roman" w:cs="Times New Roman"/>
        </w:rPr>
        <w:t>, following these steps:</w:t>
      </w:r>
    </w:p>
    <w:p w14:paraId="7F604E5B"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Descriptive Statistics: Frequencies, means, standard deviations were calculated for demographics, understanding levels, and Likert-scale items.</w:t>
      </w:r>
    </w:p>
    <w:p w14:paraId="2CAAE82E"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Reliability Analysis: Cronbach’s Alpha was used to assess internal consistency of the 9 Likert items.</w:t>
      </w:r>
    </w:p>
    <w:p w14:paraId="3399EE93"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Paired Samples T-Test: To compare participants’ understanding before and after the talk.</w:t>
      </w:r>
    </w:p>
    <w:p w14:paraId="33624A48"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lastRenderedPageBreak/>
        <w:t>Independent Samples T-Test: To identify any significant differences in understanding between male and female participants.</w:t>
      </w:r>
    </w:p>
    <w:p w14:paraId="5CC86D91"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One-Way ANOVA: To compare mean differences among attendance groups (student, lecturer, speaker).</w:t>
      </w:r>
    </w:p>
    <w:p w14:paraId="10204379" w14:textId="77777777" w:rsidR="004218AF" w:rsidRPr="004218AF" w:rsidRDefault="004218AF" w:rsidP="00157430">
      <w:pPr>
        <w:spacing w:after="0" w:line="240" w:lineRule="auto"/>
        <w:jc w:val="both"/>
        <w:rPr>
          <w:rFonts w:ascii="Times New Roman" w:hAnsi="Times New Roman" w:cs="Times New Roman"/>
        </w:rPr>
      </w:pPr>
      <w:r w:rsidRPr="00157430">
        <w:rPr>
          <w:rFonts w:ascii="Times New Roman" w:hAnsi="Times New Roman" w:cs="Times New Roman"/>
        </w:rPr>
        <w:t>A significance level of p &lt; 0.05 was used for all inferential statistical tests</w:t>
      </w:r>
      <w:r w:rsidRPr="004218AF">
        <w:rPr>
          <w:rFonts w:ascii="Times New Roman" w:hAnsi="Times New Roman" w:cs="Times New Roman"/>
        </w:rPr>
        <w:t>.</w:t>
      </w:r>
    </w:p>
    <w:p w14:paraId="40C92CBC" w14:textId="77777777" w:rsidR="004218AF" w:rsidRDefault="004218AF" w:rsidP="004218AF">
      <w:pPr>
        <w:spacing w:after="0" w:line="240" w:lineRule="auto"/>
        <w:rPr>
          <w:rFonts w:ascii="Times New Roman" w:hAnsi="Times New Roman" w:cs="Times New Roman"/>
        </w:rPr>
      </w:pPr>
    </w:p>
    <w:p w14:paraId="00C5EF7C" w14:textId="77777777" w:rsidR="00E91078" w:rsidRDefault="00E91078" w:rsidP="004218AF">
      <w:pPr>
        <w:spacing w:after="0" w:line="240" w:lineRule="auto"/>
        <w:rPr>
          <w:rFonts w:ascii="Times New Roman" w:hAnsi="Times New Roman" w:cs="Times New Roman"/>
        </w:rPr>
      </w:pPr>
    </w:p>
    <w:p w14:paraId="44810A97" w14:textId="5AF479AA" w:rsidR="00631993" w:rsidRPr="004218AF" w:rsidRDefault="00231D4C" w:rsidP="004218AF">
      <w:pPr>
        <w:spacing w:after="0" w:line="240" w:lineRule="auto"/>
        <w:rPr>
          <w:rFonts w:ascii="Times New Roman" w:hAnsi="Times New Roman" w:cs="Times New Roman"/>
          <w:b/>
        </w:rPr>
      </w:pPr>
      <w:r>
        <w:rPr>
          <w:rFonts w:ascii="Times New Roman" w:hAnsi="Times New Roman" w:cs="Times New Roman"/>
          <w:b/>
        </w:rPr>
        <w:t>3. RESULTS AND DISCUSSION</w:t>
      </w:r>
    </w:p>
    <w:p w14:paraId="3D55A742" w14:textId="77777777" w:rsidR="00A56152" w:rsidRPr="004218AF" w:rsidRDefault="00A56152" w:rsidP="00A56152">
      <w:pPr>
        <w:spacing w:after="0" w:line="240" w:lineRule="auto"/>
        <w:rPr>
          <w:rFonts w:ascii="Times New Roman" w:hAnsi="Times New Roman" w:cs="Times New Roman"/>
        </w:rPr>
      </w:pPr>
    </w:p>
    <w:p w14:paraId="19FE739C" w14:textId="77777777" w:rsidR="00A56152" w:rsidRPr="004218AF" w:rsidRDefault="004218AF" w:rsidP="00157430">
      <w:pPr>
        <w:spacing w:after="0" w:line="240" w:lineRule="auto"/>
        <w:jc w:val="center"/>
        <w:rPr>
          <w:rFonts w:ascii="Times New Roman" w:hAnsi="Times New Roman" w:cs="Times New Roman"/>
        </w:rPr>
      </w:pPr>
      <w:r w:rsidRPr="004218AF">
        <w:rPr>
          <w:rFonts w:ascii="Times New Roman" w:hAnsi="Times New Roman" w:cs="Times New Roman"/>
        </w:rPr>
        <w:t xml:space="preserve">Table 1: </w:t>
      </w:r>
      <w:r w:rsidR="00A56152" w:rsidRPr="004218AF">
        <w:rPr>
          <w:rFonts w:ascii="Times New Roman" w:hAnsi="Times New Roman" w:cs="Times New Roman"/>
        </w:rPr>
        <w:t>Descriptive Statistics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410"/>
        <w:gridCol w:w="2977"/>
      </w:tblGrid>
      <w:tr w:rsidR="00A56152" w:rsidRPr="004218AF" w14:paraId="4B701D05" w14:textId="77777777" w:rsidTr="004218AF">
        <w:trPr>
          <w:trHeight w:val="495"/>
        </w:trPr>
        <w:tc>
          <w:tcPr>
            <w:tcW w:w="1838" w:type="dxa"/>
            <w:vAlign w:val="bottom"/>
            <w:hideMark/>
          </w:tcPr>
          <w:p w14:paraId="51A5D8F9" w14:textId="77777777" w:rsidR="00A56152" w:rsidRPr="004218AF" w:rsidRDefault="00A56152" w:rsidP="00E426FF">
            <w:pPr>
              <w:spacing w:after="0" w:line="240" w:lineRule="auto"/>
              <w:rPr>
                <w:rFonts w:ascii="Times New Roman" w:eastAsia="Times New Roman" w:hAnsi="Times New Roman" w:cs="Times New Roman"/>
                <w:szCs w:val="24"/>
                <w:lang w:eastAsia="en-GB"/>
              </w:rPr>
            </w:pPr>
          </w:p>
        </w:tc>
        <w:tc>
          <w:tcPr>
            <w:tcW w:w="1701" w:type="dxa"/>
            <w:vAlign w:val="bottom"/>
            <w:hideMark/>
          </w:tcPr>
          <w:p w14:paraId="6281B63A" w14:textId="77777777" w:rsidR="00A56152" w:rsidRPr="004218AF" w:rsidRDefault="00A56152" w:rsidP="00E426FF">
            <w:pPr>
              <w:spacing w:after="0" w:line="240" w:lineRule="auto"/>
              <w:rPr>
                <w:rFonts w:ascii="Times New Roman" w:eastAsia="Times New Roman" w:hAnsi="Times New Roman" w:cs="Times New Roman"/>
                <w:szCs w:val="20"/>
                <w:lang w:eastAsia="en-GB"/>
              </w:rPr>
            </w:pPr>
          </w:p>
        </w:tc>
        <w:tc>
          <w:tcPr>
            <w:tcW w:w="2410" w:type="dxa"/>
            <w:vAlign w:val="bottom"/>
            <w:hideMark/>
          </w:tcPr>
          <w:p w14:paraId="2538ACE2"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Frequency</w:t>
            </w:r>
          </w:p>
        </w:tc>
        <w:tc>
          <w:tcPr>
            <w:tcW w:w="2977" w:type="dxa"/>
            <w:vAlign w:val="bottom"/>
            <w:hideMark/>
          </w:tcPr>
          <w:p w14:paraId="0A4D1D77"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Percent</w:t>
            </w:r>
          </w:p>
        </w:tc>
      </w:tr>
      <w:tr w:rsidR="00A56152" w:rsidRPr="004218AF" w14:paraId="3374BC72" w14:textId="77777777" w:rsidTr="004218AF">
        <w:trPr>
          <w:trHeight w:val="300"/>
        </w:trPr>
        <w:tc>
          <w:tcPr>
            <w:tcW w:w="1838" w:type="dxa"/>
            <w:hideMark/>
          </w:tcPr>
          <w:p w14:paraId="27162AE6"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Gender</w:t>
            </w:r>
          </w:p>
        </w:tc>
        <w:tc>
          <w:tcPr>
            <w:tcW w:w="1701" w:type="dxa"/>
            <w:hideMark/>
          </w:tcPr>
          <w:p w14:paraId="18788A7B"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Male</w:t>
            </w:r>
          </w:p>
        </w:tc>
        <w:tc>
          <w:tcPr>
            <w:tcW w:w="2410" w:type="dxa"/>
            <w:noWrap/>
            <w:hideMark/>
          </w:tcPr>
          <w:p w14:paraId="63654AC0"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33</w:t>
            </w:r>
          </w:p>
        </w:tc>
        <w:tc>
          <w:tcPr>
            <w:tcW w:w="2977" w:type="dxa"/>
            <w:noWrap/>
            <w:hideMark/>
          </w:tcPr>
          <w:p w14:paraId="3FF19F30"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42.9</w:t>
            </w:r>
          </w:p>
        </w:tc>
      </w:tr>
      <w:tr w:rsidR="00A56152" w:rsidRPr="004218AF" w14:paraId="342ADD01" w14:textId="77777777" w:rsidTr="004218AF">
        <w:trPr>
          <w:trHeight w:val="300"/>
        </w:trPr>
        <w:tc>
          <w:tcPr>
            <w:tcW w:w="1838" w:type="dxa"/>
            <w:hideMark/>
          </w:tcPr>
          <w:p w14:paraId="206E2A3F" w14:textId="77777777" w:rsidR="00A56152" w:rsidRPr="004218AF" w:rsidRDefault="00A56152" w:rsidP="00E426FF">
            <w:pPr>
              <w:spacing w:after="0" w:line="240" w:lineRule="auto"/>
              <w:jc w:val="right"/>
              <w:rPr>
                <w:rFonts w:ascii="Times New Roman" w:eastAsia="Times New Roman" w:hAnsi="Times New Roman" w:cs="Times New Roman"/>
                <w:szCs w:val="18"/>
                <w:lang w:eastAsia="en-GB"/>
              </w:rPr>
            </w:pPr>
          </w:p>
        </w:tc>
        <w:tc>
          <w:tcPr>
            <w:tcW w:w="1701" w:type="dxa"/>
            <w:hideMark/>
          </w:tcPr>
          <w:p w14:paraId="3D577BA5"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Female</w:t>
            </w:r>
          </w:p>
        </w:tc>
        <w:tc>
          <w:tcPr>
            <w:tcW w:w="2410" w:type="dxa"/>
            <w:noWrap/>
            <w:hideMark/>
          </w:tcPr>
          <w:p w14:paraId="602F2ABA"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44</w:t>
            </w:r>
          </w:p>
        </w:tc>
        <w:tc>
          <w:tcPr>
            <w:tcW w:w="2977" w:type="dxa"/>
            <w:noWrap/>
            <w:hideMark/>
          </w:tcPr>
          <w:p w14:paraId="0C870DD8"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57.1</w:t>
            </w:r>
          </w:p>
        </w:tc>
      </w:tr>
      <w:tr w:rsidR="00A56152" w:rsidRPr="004218AF" w14:paraId="7D515F47" w14:textId="77777777" w:rsidTr="004218AF">
        <w:trPr>
          <w:trHeight w:val="300"/>
        </w:trPr>
        <w:tc>
          <w:tcPr>
            <w:tcW w:w="1838" w:type="dxa"/>
            <w:hideMark/>
          </w:tcPr>
          <w:p w14:paraId="6B6D386B"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Attendance</w:t>
            </w:r>
          </w:p>
        </w:tc>
        <w:tc>
          <w:tcPr>
            <w:tcW w:w="1701" w:type="dxa"/>
            <w:hideMark/>
          </w:tcPr>
          <w:p w14:paraId="581A3E88"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Student</w:t>
            </w:r>
          </w:p>
        </w:tc>
        <w:tc>
          <w:tcPr>
            <w:tcW w:w="2410" w:type="dxa"/>
            <w:noWrap/>
            <w:hideMark/>
          </w:tcPr>
          <w:p w14:paraId="01DDC359"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70</w:t>
            </w:r>
          </w:p>
        </w:tc>
        <w:tc>
          <w:tcPr>
            <w:tcW w:w="2977" w:type="dxa"/>
            <w:noWrap/>
            <w:hideMark/>
          </w:tcPr>
          <w:p w14:paraId="339BDBF0"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90.9</w:t>
            </w:r>
          </w:p>
        </w:tc>
      </w:tr>
      <w:tr w:rsidR="00A56152" w:rsidRPr="004218AF" w14:paraId="5228F8FB" w14:textId="77777777" w:rsidTr="004218AF">
        <w:trPr>
          <w:trHeight w:val="300"/>
        </w:trPr>
        <w:tc>
          <w:tcPr>
            <w:tcW w:w="1838" w:type="dxa"/>
            <w:hideMark/>
          </w:tcPr>
          <w:p w14:paraId="35C11683" w14:textId="77777777" w:rsidR="00A56152" w:rsidRPr="004218AF" w:rsidRDefault="00A56152" w:rsidP="00E426FF">
            <w:pPr>
              <w:spacing w:after="0" w:line="240" w:lineRule="auto"/>
              <w:jc w:val="right"/>
              <w:rPr>
                <w:rFonts w:ascii="Times New Roman" w:eastAsia="Times New Roman" w:hAnsi="Times New Roman" w:cs="Times New Roman"/>
                <w:szCs w:val="18"/>
                <w:lang w:eastAsia="en-GB"/>
              </w:rPr>
            </w:pPr>
          </w:p>
        </w:tc>
        <w:tc>
          <w:tcPr>
            <w:tcW w:w="1701" w:type="dxa"/>
            <w:hideMark/>
          </w:tcPr>
          <w:p w14:paraId="4B8972D6"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Lecturer</w:t>
            </w:r>
          </w:p>
        </w:tc>
        <w:tc>
          <w:tcPr>
            <w:tcW w:w="2410" w:type="dxa"/>
            <w:noWrap/>
            <w:hideMark/>
          </w:tcPr>
          <w:p w14:paraId="73074E03"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6</w:t>
            </w:r>
          </w:p>
        </w:tc>
        <w:tc>
          <w:tcPr>
            <w:tcW w:w="2977" w:type="dxa"/>
            <w:noWrap/>
            <w:hideMark/>
          </w:tcPr>
          <w:p w14:paraId="7A48B3DC"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7.8</w:t>
            </w:r>
          </w:p>
        </w:tc>
      </w:tr>
      <w:tr w:rsidR="00A56152" w:rsidRPr="004218AF" w14:paraId="664B0EAB" w14:textId="77777777" w:rsidTr="004218AF">
        <w:trPr>
          <w:trHeight w:val="300"/>
        </w:trPr>
        <w:tc>
          <w:tcPr>
            <w:tcW w:w="1838" w:type="dxa"/>
            <w:hideMark/>
          </w:tcPr>
          <w:p w14:paraId="08E48AFB" w14:textId="77777777" w:rsidR="00A56152" w:rsidRPr="004218AF" w:rsidRDefault="00A56152" w:rsidP="00E426FF">
            <w:pPr>
              <w:spacing w:after="0" w:line="240" w:lineRule="auto"/>
              <w:jc w:val="right"/>
              <w:rPr>
                <w:rFonts w:ascii="Times New Roman" w:eastAsia="Times New Roman" w:hAnsi="Times New Roman" w:cs="Times New Roman"/>
                <w:szCs w:val="18"/>
                <w:lang w:eastAsia="en-GB"/>
              </w:rPr>
            </w:pPr>
          </w:p>
        </w:tc>
        <w:tc>
          <w:tcPr>
            <w:tcW w:w="1701" w:type="dxa"/>
            <w:hideMark/>
          </w:tcPr>
          <w:p w14:paraId="42B471D6"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Speaker</w:t>
            </w:r>
          </w:p>
        </w:tc>
        <w:tc>
          <w:tcPr>
            <w:tcW w:w="2410" w:type="dxa"/>
            <w:noWrap/>
            <w:hideMark/>
          </w:tcPr>
          <w:p w14:paraId="1F7FF07E"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1</w:t>
            </w:r>
          </w:p>
        </w:tc>
        <w:tc>
          <w:tcPr>
            <w:tcW w:w="2977" w:type="dxa"/>
            <w:noWrap/>
            <w:hideMark/>
          </w:tcPr>
          <w:p w14:paraId="0A39CBC6"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1.3</w:t>
            </w:r>
          </w:p>
        </w:tc>
      </w:tr>
    </w:tbl>
    <w:p w14:paraId="5E17577D" w14:textId="14464BBB" w:rsidR="004218AF" w:rsidRPr="00157430" w:rsidRDefault="004218AF" w:rsidP="00157430">
      <w:pPr>
        <w:spacing w:before="240" w:after="0"/>
        <w:jc w:val="both"/>
        <w:rPr>
          <w:rFonts w:ascii="Times New Roman" w:hAnsi="Times New Roman" w:cs="Times New Roman"/>
        </w:rPr>
      </w:pPr>
      <w:r w:rsidRPr="00157430">
        <w:rPr>
          <w:rFonts w:ascii="Times New Roman" w:hAnsi="Times New Roman" w:cs="Times New Roman"/>
        </w:rPr>
        <w:t>Table 1 presents a demographic breakdown of participants who attended the industrial talk. The gender distribution shows a slightly higher number of female participants (57.1%) compared to males (42.9%), indicating balanced representation with a modest female majority.</w:t>
      </w:r>
      <w:r w:rsidR="00157430">
        <w:rPr>
          <w:rFonts w:ascii="Times New Roman" w:hAnsi="Times New Roman" w:cs="Times New Roman"/>
        </w:rPr>
        <w:t xml:space="preserve"> </w:t>
      </w:r>
      <w:r w:rsidRPr="00157430">
        <w:rPr>
          <w:rFonts w:ascii="Times New Roman" w:hAnsi="Times New Roman" w:cs="Times New Roman"/>
        </w:rPr>
        <w:t>In terms of attendance groups, the vast majority of respondents were students, accounting for 90.9% of the total. A small proportion were lecturers (7.8%), while only 1.3% were speakers. This suggests that the primary audience was student-focused, reflecting the educational purpose of the session and its role in supporting student awareness and learning about development planning in the construction industry.</w:t>
      </w:r>
    </w:p>
    <w:p w14:paraId="4084490D" w14:textId="77777777" w:rsidR="00A56152" w:rsidRPr="004218AF" w:rsidRDefault="00A56152" w:rsidP="00A56152">
      <w:pPr>
        <w:spacing w:after="0"/>
        <w:rPr>
          <w:rFonts w:ascii="Times New Roman" w:hAnsi="Times New Roman" w:cs="Times New Roman"/>
        </w:rPr>
      </w:pPr>
    </w:p>
    <w:p w14:paraId="2DF34E1E" w14:textId="77777777" w:rsidR="00A56152" w:rsidRPr="004218AF" w:rsidRDefault="00A56152" w:rsidP="00A56152">
      <w:pPr>
        <w:spacing w:after="0" w:line="240" w:lineRule="auto"/>
        <w:rPr>
          <w:rFonts w:ascii="Times New Roman" w:hAnsi="Times New Roman" w:cs="Times New Roman"/>
        </w:rPr>
      </w:pPr>
    </w:p>
    <w:p w14:paraId="6A0898EE" w14:textId="77777777" w:rsidR="00F61F39" w:rsidRPr="004218AF" w:rsidRDefault="004218AF" w:rsidP="00157430">
      <w:pPr>
        <w:spacing w:after="0" w:line="240" w:lineRule="auto"/>
        <w:jc w:val="center"/>
        <w:rPr>
          <w:rFonts w:ascii="Times New Roman" w:hAnsi="Times New Roman" w:cs="Times New Roman"/>
        </w:rPr>
      </w:pPr>
      <w:r w:rsidRPr="004218AF">
        <w:rPr>
          <w:rFonts w:ascii="Times New Roman" w:hAnsi="Times New Roman" w:cs="Times New Roman"/>
        </w:rPr>
        <w:t xml:space="preserve">Table 2: </w:t>
      </w:r>
      <w:r w:rsidR="00A56152" w:rsidRPr="004218AF">
        <w:rPr>
          <w:rFonts w:ascii="Times New Roman" w:hAnsi="Times New Roman" w:cs="Times New Roman"/>
        </w:rPr>
        <w:t>Star Rating</w:t>
      </w:r>
      <w:r w:rsidRPr="004218AF">
        <w:rPr>
          <w:rFonts w:ascii="Times New Roman" w:hAnsi="Times New Roman" w:cs="Times New Roman"/>
        </w:rPr>
        <w:t xml:space="preserve"> and</w:t>
      </w:r>
      <w:r w:rsidR="00A56152" w:rsidRPr="004218AF">
        <w:rPr>
          <w:rFonts w:ascii="Times New Roman" w:hAnsi="Times New Roman" w:cs="Times New Roman"/>
        </w:rPr>
        <w:t xml:space="preserve"> Overall satisfaction score distribution.</w:t>
      </w:r>
    </w:p>
    <w:tbl>
      <w:tblPr>
        <w:tblStyle w:val="TableGrid"/>
        <w:tblW w:w="0" w:type="auto"/>
        <w:jc w:val="center"/>
        <w:tblLook w:val="04A0" w:firstRow="1" w:lastRow="0" w:firstColumn="1" w:lastColumn="0" w:noHBand="0" w:noVBand="1"/>
      </w:tblPr>
      <w:tblGrid>
        <w:gridCol w:w="3813"/>
        <w:gridCol w:w="1097"/>
        <w:gridCol w:w="1133"/>
        <w:gridCol w:w="960"/>
        <w:gridCol w:w="1084"/>
      </w:tblGrid>
      <w:tr w:rsidR="00A56152" w:rsidRPr="004218AF" w14:paraId="10403BC2" w14:textId="77777777" w:rsidTr="00157430">
        <w:trPr>
          <w:trHeight w:val="495"/>
          <w:jc w:val="center"/>
        </w:trPr>
        <w:tc>
          <w:tcPr>
            <w:tcW w:w="3813" w:type="dxa"/>
            <w:hideMark/>
          </w:tcPr>
          <w:p w14:paraId="66DFDFF7" w14:textId="77777777" w:rsidR="00A56152" w:rsidRPr="004218AF" w:rsidRDefault="00A56152" w:rsidP="00A56152">
            <w:pPr>
              <w:rPr>
                <w:rFonts w:ascii="Times New Roman" w:hAnsi="Times New Roman" w:cs="Times New Roman"/>
              </w:rPr>
            </w:pPr>
          </w:p>
        </w:tc>
        <w:tc>
          <w:tcPr>
            <w:tcW w:w="1097" w:type="dxa"/>
            <w:hideMark/>
          </w:tcPr>
          <w:p w14:paraId="359FEA16"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Minimum</w:t>
            </w:r>
          </w:p>
        </w:tc>
        <w:tc>
          <w:tcPr>
            <w:tcW w:w="1133" w:type="dxa"/>
            <w:hideMark/>
          </w:tcPr>
          <w:p w14:paraId="52E42249"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Maximum</w:t>
            </w:r>
          </w:p>
        </w:tc>
        <w:tc>
          <w:tcPr>
            <w:tcW w:w="960" w:type="dxa"/>
            <w:hideMark/>
          </w:tcPr>
          <w:p w14:paraId="150431A0"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Mean</w:t>
            </w:r>
          </w:p>
        </w:tc>
        <w:tc>
          <w:tcPr>
            <w:tcW w:w="1084" w:type="dxa"/>
            <w:hideMark/>
          </w:tcPr>
          <w:p w14:paraId="5CF07834"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Std. Deviation</w:t>
            </w:r>
          </w:p>
        </w:tc>
      </w:tr>
      <w:tr w:rsidR="00A56152" w:rsidRPr="004218AF" w14:paraId="448FE43E" w14:textId="77777777" w:rsidTr="00157430">
        <w:trPr>
          <w:trHeight w:val="300"/>
          <w:jc w:val="center"/>
        </w:trPr>
        <w:tc>
          <w:tcPr>
            <w:tcW w:w="3813" w:type="dxa"/>
            <w:hideMark/>
          </w:tcPr>
          <w:p w14:paraId="0B41454A"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Level of understanding the subject presented BEFORE attending technical talk. Scale 1 to 10</w:t>
            </w:r>
          </w:p>
        </w:tc>
        <w:tc>
          <w:tcPr>
            <w:tcW w:w="1097" w:type="dxa"/>
            <w:noWrap/>
            <w:hideMark/>
          </w:tcPr>
          <w:p w14:paraId="620BEA1E"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w:t>
            </w:r>
          </w:p>
        </w:tc>
        <w:tc>
          <w:tcPr>
            <w:tcW w:w="1133" w:type="dxa"/>
            <w:noWrap/>
            <w:hideMark/>
          </w:tcPr>
          <w:p w14:paraId="7E21709D"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10</w:t>
            </w:r>
          </w:p>
        </w:tc>
        <w:tc>
          <w:tcPr>
            <w:tcW w:w="960" w:type="dxa"/>
            <w:noWrap/>
            <w:hideMark/>
          </w:tcPr>
          <w:p w14:paraId="63EA3091"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2.75</w:t>
            </w:r>
          </w:p>
        </w:tc>
        <w:tc>
          <w:tcPr>
            <w:tcW w:w="1084" w:type="dxa"/>
            <w:noWrap/>
            <w:hideMark/>
          </w:tcPr>
          <w:p w14:paraId="2A561C7E"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1.771</w:t>
            </w:r>
          </w:p>
        </w:tc>
      </w:tr>
      <w:tr w:rsidR="00A56152" w:rsidRPr="004218AF" w14:paraId="17FB6FA1" w14:textId="77777777" w:rsidTr="00157430">
        <w:trPr>
          <w:trHeight w:val="300"/>
          <w:jc w:val="center"/>
        </w:trPr>
        <w:tc>
          <w:tcPr>
            <w:tcW w:w="3813" w:type="dxa"/>
            <w:hideMark/>
          </w:tcPr>
          <w:p w14:paraId="5F33E986"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Level of understanding the subject presented AFTER attending technical talk. Scale 1 to 10</w:t>
            </w:r>
          </w:p>
        </w:tc>
        <w:tc>
          <w:tcPr>
            <w:tcW w:w="1097" w:type="dxa"/>
            <w:noWrap/>
            <w:hideMark/>
          </w:tcPr>
          <w:p w14:paraId="6592B310"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5</w:t>
            </w:r>
          </w:p>
        </w:tc>
        <w:tc>
          <w:tcPr>
            <w:tcW w:w="1133" w:type="dxa"/>
            <w:noWrap/>
            <w:hideMark/>
          </w:tcPr>
          <w:p w14:paraId="47EC508B"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10</w:t>
            </w:r>
          </w:p>
        </w:tc>
        <w:tc>
          <w:tcPr>
            <w:tcW w:w="960" w:type="dxa"/>
            <w:noWrap/>
            <w:hideMark/>
          </w:tcPr>
          <w:p w14:paraId="4FDAB545"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8.35</w:t>
            </w:r>
          </w:p>
        </w:tc>
        <w:tc>
          <w:tcPr>
            <w:tcW w:w="1084" w:type="dxa"/>
            <w:noWrap/>
            <w:hideMark/>
          </w:tcPr>
          <w:p w14:paraId="1468EA91"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1.109</w:t>
            </w:r>
          </w:p>
        </w:tc>
      </w:tr>
      <w:tr w:rsidR="00A56152" w:rsidRPr="004218AF" w14:paraId="49326B0C" w14:textId="77777777" w:rsidTr="00157430">
        <w:trPr>
          <w:trHeight w:val="480"/>
          <w:jc w:val="center"/>
        </w:trPr>
        <w:tc>
          <w:tcPr>
            <w:tcW w:w="3813" w:type="dxa"/>
            <w:hideMark/>
          </w:tcPr>
          <w:p w14:paraId="23F63ABF"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Please rate this industrial talk on a scale of 1 to 5 stars based on your overall experience and understanding gained from the session</w:t>
            </w:r>
          </w:p>
        </w:tc>
        <w:tc>
          <w:tcPr>
            <w:tcW w:w="1097" w:type="dxa"/>
            <w:noWrap/>
            <w:hideMark/>
          </w:tcPr>
          <w:p w14:paraId="38388143"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3</w:t>
            </w:r>
          </w:p>
        </w:tc>
        <w:tc>
          <w:tcPr>
            <w:tcW w:w="1133" w:type="dxa"/>
            <w:noWrap/>
            <w:hideMark/>
          </w:tcPr>
          <w:p w14:paraId="6AC3B2F1"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5</w:t>
            </w:r>
          </w:p>
        </w:tc>
        <w:tc>
          <w:tcPr>
            <w:tcW w:w="960" w:type="dxa"/>
            <w:noWrap/>
            <w:hideMark/>
          </w:tcPr>
          <w:p w14:paraId="70B4ABF4"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4.68</w:t>
            </w:r>
          </w:p>
        </w:tc>
        <w:tc>
          <w:tcPr>
            <w:tcW w:w="1084" w:type="dxa"/>
            <w:noWrap/>
            <w:hideMark/>
          </w:tcPr>
          <w:p w14:paraId="5E3598C3"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0.522</w:t>
            </w:r>
          </w:p>
        </w:tc>
      </w:tr>
    </w:tbl>
    <w:p w14:paraId="2C97C7AD" w14:textId="03195AEA" w:rsidR="004218AF" w:rsidRPr="00157430" w:rsidRDefault="004218AF" w:rsidP="00157430">
      <w:pPr>
        <w:spacing w:before="240" w:after="0"/>
        <w:jc w:val="both"/>
        <w:rPr>
          <w:rFonts w:ascii="Times New Roman" w:hAnsi="Times New Roman" w:cs="Times New Roman"/>
        </w:rPr>
      </w:pPr>
      <w:r w:rsidRPr="00157430">
        <w:rPr>
          <w:rFonts w:ascii="Times New Roman" w:hAnsi="Times New Roman" w:cs="Times New Roman"/>
        </w:rPr>
        <w:t>Table 2 illustrates the impact of the industrial talk on participants’ self-reported understanding and their overall satisfaction.</w:t>
      </w:r>
      <w:r w:rsidR="00157430">
        <w:rPr>
          <w:rFonts w:ascii="Times New Roman" w:hAnsi="Times New Roman" w:cs="Times New Roman"/>
        </w:rPr>
        <w:t xml:space="preserve"> </w:t>
      </w:r>
      <w:r w:rsidRPr="00157430">
        <w:rPr>
          <w:rFonts w:ascii="Times New Roman" w:hAnsi="Times New Roman" w:cs="Times New Roman"/>
        </w:rPr>
        <w:t>Before attending the session, students rated their understanding of the topic quite low, with a mean score of only 2.75 out of 10. This indicates limited prior knowledge or exposure to the subject matter of development planning in construction.</w:t>
      </w:r>
      <w:r w:rsidR="00157430">
        <w:rPr>
          <w:rFonts w:ascii="Times New Roman" w:hAnsi="Times New Roman" w:cs="Times New Roman"/>
        </w:rPr>
        <w:t xml:space="preserve"> </w:t>
      </w:r>
      <w:r w:rsidRPr="00157430">
        <w:rPr>
          <w:rFonts w:ascii="Times New Roman" w:hAnsi="Times New Roman" w:cs="Times New Roman"/>
        </w:rPr>
        <w:t>After the talk, there was a significant improvement. The average post-session understanding jumped to 8.35, suggesting that the session was highly effective in delivering relevant knowledge and improving student comprehension.</w:t>
      </w:r>
      <w:r w:rsidR="00157430">
        <w:rPr>
          <w:rFonts w:ascii="Times New Roman" w:hAnsi="Times New Roman" w:cs="Times New Roman"/>
        </w:rPr>
        <w:t xml:space="preserve"> </w:t>
      </w:r>
      <w:r w:rsidRPr="00157430">
        <w:rPr>
          <w:rFonts w:ascii="Times New Roman" w:hAnsi="Times New Roman" w:cs="Times New Roman"/>
        </w:rPr>
        <w:t>Furthermore, participants gave the talk an average star rating of 4.68 out of 5, with the lowest rating being 3 stars. This high satisfaction score reflects a very positive experience overall, indicating that students found the session valuable, engaging, and beneficial to their academic and professional growth.</w:t>
      </w:r>
      <w:r w:rsidR="00157430">
        <w:rPr>
          <w:rFonts w:ascii="Times New Roman" w:hAnsi="Times New Roman" w:cs="Times New Roman"/>
        </w:rPr>
        <w:t xml:space="preserve"> </w:t>
      </w:r>
      <w:r w:rsidRPr="00157430">
        <w:rPr>
          <w:rFonts w:ascii="Times New Roman" w:hAnsi="Times New Roman" w:cs="Times New Roman"/>
        </w:rPr>
        <w:t>This combination of knowledge gain and high satisfaction reinforces the success of the talk in bridging classroom learning with real-world construction planning practices.</w:t>
      </w:r>
    </w:p>
    <w:p w14:paraId="55D3F5F6" w14:textId="77777777" w:rsidR="004218AF" w:rsidRPr="004218AF" w:rsidRDefault="004218AF" w:rsidP="004218AF">
      <w:pPr>
        <w:spacing w:after="0"/>
        <w:rPr>
          <w:rFonts w:ascii="Times New Roman" w:hAnsi="Times New Roman" w:cs="Times New Roman"/>
        </w:rPr>
      </w:pPr>
    </w:p>
    <w:p w14:paraId="40E72904" w14:textId="77777777" w:rsidR="00A56152" w:rsidRDefault="00A56152" w:rsidP="00F61F39">
      <w:pPr>
        <w:spacing w:after="0"/>
        <w:rPr>
          <w:rFonts w:ascii="Times New Roman" w:hAnsi="Times New Roman" w:cs="Times New Roman"/>
        </w:rPr>
      </w:pPr>
    </w:p>
    <w:p w14:paraId="7E1C8B9F" w14:textId="77777777" w:rsidR="00430281" w:rsidRPr="004218AF" w:rsidRDefault="00430281" w:rsidP="00F61F39">
      <w:pPr>
        <w:spacing w:after="0"/>
        <w:rPr>
          <w:rFonts w:ascii="Times New Roman" w:hAnsi="Times New Roman" w:cs="Times New Roman"/>
        </w:rPr>
      </w:pPr>
    </w:p>
    <w:p w14:paraId="7F1D48DA" w14:textId="1EA94D19" w:rsidR="00A56152" w:rsidRPr="004218AF" w:rsidRDefault="00A56152" w:rsidP="00A56152">
      <w:pPr>
        <w:spacing w:after="0" w:line="240" w:lineRule="auto"/>
        <w:rPr>
          <w:rFonts w:ascii="Times New Roman" w:eastAsia="Times New Roman" w:hAnsi="Times New Roman" w:cs="Times New Roman"/>
          <w:b/>
          <w:bCs/>
          <w:sz w:val="24"/>
          <w:szCs w:val="24"/>
          <w:lang w:eastAsia="en-GB"/>
        </w:rPr>
      </w:pPr>
      <w:r w:rsidRPr="004218AF">
        <w:rPr>
          <w:rFonts w:ascii="Times New Roman" w:eastAsia="Times New Roman" w:hAnsi="Times New Roman" w:cs="Times New Roman"/>
          <w:b/>
          <w:bCs/>
          <w:sz w:val="24"/>
          <w:szCs w:val="24"/>
          <w:lang w:eastAsia="en-GB"/>
        </w:rPr>
        <w:t>R</w:t>
      </w:r>
      <w:r w:rsidR="00231D4C">
        <w:rPr>
          <w:rFonts w:ascii="Times New Roman" w:eastAsia="Times New Roman" w:hAnsi="Times New Roman" w:cs="Times New Roman"/>
          <w:b/>
          <w:bCs/>
          <w:sz w:val="24"/>
          <w:szCs w:val="24"/>
          <w:lang w:eastAsia="en-GB"/>
        </w:rPr>
        <w:t>ELIABILITY ANALYSIS</w:t>
      </w:r>
    </w:p>
    <w:p w14:paraId="2180E190" w14:textId="77777777" w:rsidR="004218AF" w:rsidRPr="004218AF" w:rsidRDefault="004218AF" w:rsidP="00A366EF">
      <w:pPr>
        <w:spacing w:after="0" w:line="240" w:lineRule="auto"/>
        <w:jc w:val="center"/>
        <w:rPr>
          <w:rFonts w:ascii="Times New Roman" w:eastAsia="Times New Roman" w:hAnsi="Times New Roman" w:cs="Times New Roman"/>
          <w:b/>
          <w:bCs/>
          <w:sz w:val="24"/>
          <w:szCs w:val="24"/>
          <w:lang w:eastAsia="en-GB"/>
        </w:rPr>
      </w:pPr>
      <w:bookmarkStart w:id="0" w:name="_Hlk224648155"/>
      <w:r w:rsidRPr="004218AF">
        <w:rPr>
          <w:rFonts w:ascii="Times New Roman" w:hAnsi="Times New Roman" w:cs="Times New Roman"/>
        </w:rPr>
        <w:t xml:space="preserve">Table 3: </w:t>
      </w:r>
      <w:r w:rsidRPr="004218AF">
        <w:rPr>
          <w:rFonts w:ascii="Times New Roman" w:eastAsia="Times New Roman" w:hAnsi="Times New Roman" w:cs="Times New Roman"/>
          <w:bCs/>
          <w:sz w:val="24"/>
          <w:szCs w:val="24"/>
          <w:lang w:eastAsia="en-GB"/>
        </w:rPr>
        <w:t>Reliability Analysis</w:t>
      </w:r>
    </w:p>
    <w:tbl>
      <w:tblPr>
        <w:tblStyle w:val="TableGrid"/>
        <w:tblW w:w="0" w:type="auto"/>
        <w:tblLook w:val="04A0" w:firstRow="1" w:lastRow="0" w:firstColumn="1" w:lastColumn="0" w:noHBand="0" w:noVBand="1"/>
      </w:tblPr>
      <w:tblGrid>
        <w:gridCol w:w="2551"/>
        <w:gridCol w:w="4320"/>
        <w:gridCol w:w="2060"/>
      </w:tblGrid>
      <w:tr w:rsidR="00A56152" w:rsidRPr="004218AF" w14:paraId="174242EB" w14:textId="77777777" w:rsidTr="004218AF">
        <w:trPr>
          <w:trHeight w:val="300"/>
        </w:trPr>
        <w:tc>
          <w:tcPr>
            <w:tcW w:w="2551" w:type="dxa"/>
          </w:tcPr>
          <w:p w14:paraId="685A0948" w14:textId="77777777" w:rsidR="00A56152" w:rsidRPr="004218AF" w:rsidRDefault="00A56152" w:rsidP="00A56152">
            <w:pPr>
              <w:rPr>
                <w:rFonts w:ascii="Times New Roman" w:hAnsi="Times New Roman" w:cs="Times New Roman"/>
                <w:b/>
                <w:bCs/>
              </w:rPr>
            </w:pPr>
          </w:p>
        </w:tc>
        <w:tc>
          <w:tcPr>
            <w:tcW w:w="6380" w:type="dxa"/>
            <w:gridSpan w:val="2"/>
            <w:hideMark/>
          </w:tcPr>
          <w:p w14:paraId="6123034B" w14:textId="77777777" w:rsidR="00A56152" w:rsidRPr="004218AF" w:rsidRDefault="00A56152" w:rsidP="00A56152">
            <w:pPr>
              <w:rPr>
                <w:rFonts w:ascii="Times New Roman" w:hAnsi="Times New Roman" w:cs="Times New Roman"/>
                <w:b/>
                <w:bCs/>
              </w:rPr>
            </w:pPr>
            <w:r w:rsidRPr="004218AF">
              <w:rPr>
                <w:rFonts w:ascii="Times New Roman" w:hAnsi="Times New Roman" w:cs="Times New Roman"/>
                <w:b/>
                <w:bCs/>
              </w:rPr>
              <w:t>Reliability Statistics</w:t>
            </w:r>
          </w:p>
        </w:tc>
      </w:tr>
      <w:tr w:rsidR="00A56152" w:rsidRPr="004218AF" w14:paraId="4E50A93D" w14:textId="77777777" w:rsidTr="004218AF">
        <w:trPr>
          <w:trHeight w:val="300"/>
        </w:trPr>
        <w:tc>
          <w:tcPr>
            <w:tcW w:w="2551" w:type="dxa"/>
          </w:tcPr>
          <w:p w14:paraId="640DEFB6" w14:textId="77777777" w:rsidR="00A56152" w:rsidRPr="004218AF" w:rsidRDefault="00A56152" w:rsidP="00A56152">
            <w:pPr>
              <w:jc w:val="center"/>
              <w:rPr>
                <w:rFonts w:ascii="Times New Roman" w:hAnsi="Times New Roman" w:cs="Times New Roman"/>
              </w:rPr>
            </w:pPr>
            <w:r w:rsidRPr="004218AF">
              <w:rPr>
                <w:rFonts w:ascii="Times New Roman" w:eastAsia="Times New Roman" w:hAnsi="Times New Roman" w:cs="Times New Roman"/>
                <w:sz w:val="24"/>
                <w:szCs w:val="24"/>
                <w:lang w:eastAsia="en-GB"/>
              </w:rPr>
              <w:t xml:space="preserve">Items </w:t>
            </w:r>
          </w:p>
        </w:tc>
        <w:tc>
          <w:tcPr>
            <w:tcW w:w="4320" w:type="dxa"/>
            <w:hideMark/>
          </w:tcPr>
          <w:p w14:paraId="05B1F7C1"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Cronbach's Alpha</w:t>
            </w:r>
          </w:p>
        </w:tc>
        <w:tc>
          <w:tcPr>
            <w:tcW w:w="2060" w:type="dxa"/>
            <w:hideMark/>
          </w:tcPr>
          <w:p w14:paraId="177A6A67"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N of Items</w:t>
            </w:r>
          </w:p>
        </w:tc>
      </w:tr>
      <w:tr w:rsidR="00A56152" w:rsidRPr="004218AF" w14:paraId="0A13DC0F" w14:textId="77777777" w:rsidTr="004218AF">
        <w:trPr>
          <w:trHeight w:val="300"/>
        </w:trPr>
        <w:tc>
          <w:tcPr>
            <w:tcW w:w="2551" w:type="dxa"/>
          </w:tcPr>
          <w:p w14:paraId="07796F5E" w14:textId="77777777" w:rsidR="00A56152" w:rsidRPr="004218AF" w:rsidRDefault="00A56152" w:rsidP="00A56152">
            <w:pPr>
              <w:jc w:val="center"/>
              <w:rPr>
                <w:rFonts w:ascii="Times New Roman" w:hAnsi="Times New Roman" w:cs="Times New Roman"/>
              </w:rPr>
            </w:pPr>
            <w:r w:rsidRPr="004218AF">
              <w:rPr>
                <w:rFonts w:ascii="Times New Roman" w:eastAsia="Times New Roman" w:hAnsi="Times New Roman" w:cs="Times New Roman"/>
                <w:sz w:val="24"/>
                <w:szCs w:val="24"/>
                <w:lang w:eastAsia="en-GB"/>
              </w:rPr>
              <w:t>Q1–Q9</w:t>
            </w:r>
          </w:p>
        </w:tc>
        <w:tc>
          <w:tcPr>
            <w:tcW w:w="4320" w:type="dxa"/>
            <w:noWrap/>
            <w:hideMark/>
          </w:tcPr>
          <w:p w14:paraId="58B21355"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0.965</w:t>
            </w:r>
          </w:p>
        </w:tc>
        <w:tc>
          <w:tcPr>
            <w:tcW w:w="2060" w:type="dxa"/>
            <w:noWrap/>
            <w:hideMark/>
          </w:tcPr>
          <w:p w14:paraId="429C87D5"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9</w:t>
            </w:r>
          </w:p>
        </w:tc>
      </w:tr>
    </w:tbl>
    <w:bookmarkEnd w:id="0"/>
    <w:p w14:paraId="4A7D8CBB" w14:textId="331270D8" w:rsidR="004218AF" w:rsidRPr="00157430" w:rsidRDefault="004218AF" w:rsidP="00157430">
      <w:pPr>
        <w:spacing w:before="240" w:after="0"/>
        <w:jc w:val="both"/>
        <w:rPr>
          <w:rFonts w:ascii="Times New Roman" w:hAnsi="Times New Roman" w:cs="Times New Roman"/>
        </w:rPr>
      </w:pPr>
      <w:r w:rsidRPr="00157430">
        <w:rPr>
          <w:rFonts w:ascii="Times New Roman" w:hAnsi="Times New Roman" w:cs="Times New Roman"/>
        </w:rPr>
        <w:t>Table 3 presents the reliability analysis for the 9 Likert-scale items (Q1 to Q9) that measured participants' awareness and understanding of various development planning components (e.g., architectural, C&amp;S, infrastructure, M&amp;E, and survey drawings).</w:t>
      </w:r>
      <w:r w:rsidR="00157430">
        <w:rPr>
          <w:rFonts w:ascii="Times New Roman" w:hAnsi="Times New Roman" w:cs="Times New Roman"/>
        </w:rPr>
        <w:t xml:space="preserve"> </w:t>
      </w:r>
      <w:r w:rsidRPr="00157430">
        <w:rPr>
          <w:rFonts w:ascii="Times New Roman" w:hAnsi="Times New Roman" w:cs="Times New Roman"/>
        </w:rPr>
        <w:t>The result shows a Cronbach's Alpha value of 0.965, which indicates excellent internal consistency. In simple terms, this means that all the items in the questionnaire are closely related and consistently measure the same underlying concept</w:t>
      </w:r>
      <w:r w:rsidR="00157430">
        <w:rPr>
          <w:rFonts w:ascii="Times New Roman" w:hAnsi="Times New Roman" w:cs="Times New Roman"/>
        </w:rPr>
        <w:t xml:space="preserve"> </w:t>
      </w:r>
      <w:r w:rsidRPr="00157430">
        <w:rPr>
          <w:rFonts w:ascii="Times New Roman" w:hAnsi="Times New Roman" w:cs="Times New Roman"/>
        </w:rPr>
        <w:t>students’ awareness and understanding of development planning after the industrial talk.</w:t>
      </w:r>
      <w:r w:rsidR="00157430">
        <w:rPr>
          <w:rFonts w:ascii="Times New Roman" w:hAnsi="Times New Roman" w:cs="Times New Roman"/>
        </w:rPr>
        <w:t xml:space="preserve"> </w:t>
      </w:r>
      <w:r w:rsidRPr="00157430">
        <w:rPr>
          <w:rFonts w:ascii="Times New Roman" w:hAnsi="Times New Roman" w:cs="Times New Roman"/>
        </w:rPr>
        <w:t>Since a Cronbach’s Alpha value above 0.7 is generally considered acceptable, and values above 0.9 are regarded as excellent, this high score confirms that the survey items are reliable and suitable for further analysis. It also implies that the responses given by students were consistent and stable across the different aspects of the topic.</w:t>
      </w:r>
    </w:p>
    <w:p w14:paraId="088E5D02" w14:textId="77777777" w:rsidR="00A366EF" w:rsidRPr="004218AF" w:rsidRDefault="00A366EF" w:rsidP="00F61F39">
      <w:pPr>
        <w:spacing w:after="0"/>
        <w:rPr>
          <w:rFonts w:ascii="Times New Roman" w:hAnsi="Times New Roman" w:cs="Times New Roman"/>
        </w:rPr>
      </w:pPr>
    </w:p>
    <w:p w14:paraId="2BCA2411" w14:textId="77777777" w:rsidR="00A56152" w:rsidRPr="004218AF" w:rsidRDefault="00A56152" w:rsidP="00F61F39">
      <w:pPr>
        <w:spacing w:after="0"/>
        <w:rPr>
          <w:rFonts w:ascii="Times New Roman" w:hAnsi="Times New Roman" w:cs="Times New Roman"/>
        </w:rPr>
      </w:pPr>
    </w:p>
    <w:p w14:paraId="04D6761F" w14:textId="77777777" w:rsidR="00A56152" w:rsidRPr="004218AF" w:rsidRDefault="00A56152" w:rsidP="00A56152">
      <w:pPr>
        <w:spacing w:after="0"/>
        <w:rPr>
          <w:rFonts w:ascii="Times New Roman" w:hAnsi="Times New Roman" w:cs="Times New Roman"/>
          <w:sz w:val="24"/>
        </w:rPr>
      </w:pPr>
      <w:r w:rsidRPr="004218AF">
        <w:rPr>
          <w:rStyle w:val="Strong"/>
          <w:rFonts w:ascii="Times New Roman" w:hAnsi="Times New Roman" w:cs="Times New Roman"/>
          <w:bCs w:val="0"/>
          <w:sz w:val="24"/>
        </w:rPr>
        <w:t>Comparative Analysis (Pre vs. Post)</w:t>
      </w:r>
    </w:p>
    <w:p w14:paraId="7F9A7594" w14:textId="77777777" w:rsidR="004218AF" w:rsidRDefault="004218AF" w:rsidP="004218AF">
      <w:pPr>
        <w:spacing w:after="0"/>
        <w:rPr>
          <w:rFonts w:ascii="Times New Roman" w:hAnsi="Times New Roman" w:cs="Times New Roman"/>
          <w:b/>
          <w:bCs/>
        </w:rPr>
      </w:pPr>
    </w:p>
    <w:p w14:paraId="639D9890" w14:textId="77777777" w:rsidR="004218AF" w:rsidRPr="00B214CF" w:rsidRDefault="004218AF" w:rsidP="00B214CF">
      <w:pPr>
        <w:spacing w:after="0"/>
        <w:jc w:val="center"/>
        <w:rPr>
          <w:rFonts w:ascii="Times New Roman" w:hAnsi="Times New Roman" w:cs="Times New Roman"/>
        </w:rPr>
      </w:pPr>
      <w:bookmarkStart w:id="1" w:name="_Hlk224648275"/>
      <w:r w:rsidRPr="00B214CF">
        <w:rPr>
          <w:rFonts w:ascii="Times New Roman" w:hAnsi="Times New Roman" w:cs="Times New Roman"/>
        </w:rPr>
        <w:t>Table 4: Paired Samples Statistics</w:t>
      </w:r>
    </w:p>
    <w:tbl>
      <w:tblPr>
        <w:tblStyle w:val="TableGrid"/>
        <w:tblW w:w="8926" w:type="dxa"/>
        <w:tblLook w:val="04A0" w:firstRow="1" w:lastRow="0" w:firstColumn="1" w:lastColumn="0" w:noHBand="0" w:noVBand="1"/>
      </w:tblPr>
      <w:tblGrid>
        <w:gridCol w:w="2500"/>
        <w:gridCol w:w="960"/>
        <w:gridCol w:w="960"/>
        <w:gridCol w:w="1600"/>
        <w:gridCol w:w="2906"/>
      </w:tblGrid>
      <w:tr w:rsidR="004218AF" w:rsidRPr="004218AF" w14:paraId="49FE3048" w14:textId="77777777" w:rsidTr="00B214CF">
        <w:trPr>
          <w:trHeight w:val="283"/>
        </w:trPr>
        <w:tc>
          <w:tcPr>
            <w:tcW w:w="2500" w:type="dxa"/>
            <w:hideMark/>
          </w:tcPr>
          <w:p w14:paraId="2FF2B86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Measure</w:t>
            </w:r>
          </w:p>
        </w:tc>
        <w:tc>
          <w:tcPr>
            <w:tcW w:w="960" w:type="dxa"/>
            <w:hideMark/>
          </w:tcPr>
          <w:p w14:paraId="0D9A584A"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Mean</w:t>
            </w:r>
          </w:p>
        </w:tc>
        <w:tc>
          <w:tcPr>
            <w:tcW w:w="960" w:type="dxa"/>
            <w:hideMark/>
          </w:tcPr>
          <w:p w14:paraId="7539B9D0"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N</w:t>
            </w:r>
          </w:p>
        </w:tc>
        <w:tc>
          <w:tcPr>
            <w:tcW w:w="1600" w:type="dxa"/>
            <w:hideMark/>
          </w:tcPr>
          <w:p w14:paraId="429A63D6"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Std. Deviation</w:t>
            </w:r>
          </w:p>
        </w:tc>
        <w:tc>
          <w:tcPr>
            <w:tcW w:w="2906" w:type="dxa"/>
            <w:hideMark/>
          </w:tcPr>
          <w:p w14:paraId="37F4EB93"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Std. Error Mean</w:t>
            </w:r>
          </w:p>
        </w:tc>
      </w:tr>
      <w:tr w:rsidR="004218AF" w:rsidRPr="004218AF" w14:paraId="59CBCD66" w14:textId="77777777" w:rsidTr="00B214CF">
        <w:trPr>
          <w:trHeight w:val="300"/>
        </w:trPr>
        <w:tc>
          <w:tcPr>
            <w:tcW w:w="2500" w:type="dxa"/>
            <w:hideMark/>
          </w:tcPr>
          <w:p w14:paraId="378F17BE"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Before the talk (A3)</w:t>
            </w:r>
          </w:p>
        </w:tc>
        <w:tc>
          <w:tcPr>
            <w:tcW w:w="960" w:type="dxa"/>
            <w:hideMark/>
          </w:tcPr>
          <w:p w14:paraId="078EA8D9"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2.75</w:t>
            </w:r>
          </w:p>
        </w:tc>
        <w:tc>
          <w:tcPr>
            <w:tcW w:w="960" w:type="dxa"/>
            <w:hideMark/>
          </w:tcPr>
          <w:p w14:paraId="06F031A0"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77</w:t>
            </w:r>
          </w:p>
        </w:tc>
        <w:tc>
          <w:tcPr>
            <w:tcW w:w="1600" w:type="dxa"/>
            <w:hideMark/>
          </w:tcPr>
          <w:p w14:paraId="47AC81B8"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1.771</w:t>
            </w:r>
          </w:p>
        </w:tc>
        <w:tc>
          <w:tcPr>
            <w:tcW w:w="2906" w:type="dxa"/>
            <w:hideMark/>
          </w:tcPr>
          <w:p w14:paraId="3FF94B55"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0.202</w:t>
            </w:r>
          </w:p>
        </w:tc>
      </w:tr>
      <w:tr w:rsidR="004218AF" w:rsidRPr="004218AF" w14:paraId="5F91B679" w14:textId="77777777" w:rsidTr="00B214CF">
        <w:trPr>
          <w:trHeight w:val="300"/>
        </w:trPr>
        <w:tc>
          <w:tcPr>
            <w:tcW w:w="2500" w:type="dxa"/>
            <w:hideMark/>
          </w:tcPr>
          <w:p w14:paraId="7A93B3DE"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After the talk (A4)</w:t>
            </w:r>
          </w:p>
        </w:tc>
        <w:tc>
          <w:tcPr>
            <w:tcW w:w="960" w:type="dxa"/>
            <w:hideMark/>
          </w:tcPr>
          <w:p w14:paraId="0F68487B"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8.35</w:t>
            </w:r>
          </w:p>
        </w:tc>
        <w:tc>
          <w:tcPr>
            <w:tcW w:w="960" w:type="dxa"/>
            <w:hideMark/>
          </w:tcPr>
          <w:p w14:paraId="2EB161D7"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77</w:t>
            </w:r>
          </w:p>
        </w:tc>
        <w:tc>
          <w:tcPr>
            <w:tcW w:w="1600" w:type="dxa"/>
            <w:hideMark/>
          </w:tcPr>
          <w:p w14:paraId="66032FB3"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1.109</w:t>
            </w:r>
          </w:p>
        </w:tc>
        <w:tc>
          <w:tcPr>
            <w:tcW w:w="2906" w:type="dxa"/>
            <w:hideMark/>
          </w:tcPr>
          <w:p w14:paraId="2349C184"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0.126</w:t>
            </w:r>
          </w:p>
        </w:tc>
      </w:tr>
      <w:bookmarkEnd w:id="1"/>
    </w:tbl>
    <w:p w14:paraId="741231C5" w14:textId="77777777" w:rsidR="004218AF" w:rsidRDefault="004218AF" w:rsidP="004218AF">
      <w:pPr>
        <w:spacing w:after="0"/>
        <w:rPr>
          <w:rFonts w:ascii="Times New Roman" w:hAnsi="Times New Roman" w:cs="Times New Roman"/>
          <w:b/>
          <w:bCs/>
        </w:rPr>
      </w:pPr>
    </w:p>
    <w:p w14:paraId="790C4F65" w14:textId="77777777" w:rsidR="004218AF" w:rsidRPr="00B214CF" w:rsidRDefault="004218AF" w:rsidP="00B214CF">
      <w:pPr>
        <w:spacing w:after="0"/>
        <w:jc w:val="both"/>
        <w:rPr>
          <w:rFonts w:ascii="Times New Roman" w:hAnsi="Times New Roman" w:cs="Times New Roman"/>
        </w:rPr>
      </w:pPr>
      <w:r w:rsidRPr="00B214CF">
        <w:rPr>
          <w:rFonts w:ascii="Times New Roman" w:hAnsi="Times New Roman" w:cs="Times New Roman"/>
        </w:rPr>
        <w:t>Table 4 shows a clear improvement in participants’ understanding of development planning. Before attending the industrial talk, the average self-rated understanding was 2.75 out of 10, indicating a low initial level of knowledge. After the talk, the average understanding increased dramatically to 8.35 out of 10, suggesting that the session had a significant educational impact on participants.</w:t>
      </w:r>
    </w:p>
    <w:p w14:paraId="684EC735" w14:textId="77777777" w:rsidR="004218AF" w:rsidRDefault="004218AF" w:rsidP="004218AF">
      <w:pPr>
        <w:spacing w:after="0"/>
        <w:rPr>
          <w:rFonts w:ascii="Times New Roman" w:hAnsi="Times New Roman" w:cs="Times New Roman"/>
        </w:rPr>
      </w:pPr>
    </w:p>
    <w:p w14:paraId="313D1D4A" w14:textId="77777777" w:rsidR="004218AF" w:rsidRPr="004218AF" w:rsidRDefault="004218AF" w:rsidP="004218AF">
      <w:pPr>
        <w:spacing w:after="0"/>
        <w:rPr>
          <w:rFonts w:ascii="Times New Roman" w:hAnsi="Times New Roman" w:cs="Times New Roman"/>
        </w:rPr>
      </w:pPr>
    </w:p>
    <w:p w14:paraId="10995BFB" w14:textId="77777777" w:rsidR="004218AF" w:rsidRPr="00B214CF" w:rsidRDefault="004218AF" w:rsidP="00B214CF">
      <w:pPr>
        <w:spacing w:after="0"/>
        <w:jc w:val="center"/>
        <w:rPr>
          <w:rFonts w:ascii="Times New Roman" w:hAnsi="Times New Roman" w:cs="Times New Roman"/>
        </w:rPr>
      </w:pPr>
      <w:bookmarkStart w:id="2" w:name="_Hlk224648383"/>
      <w:r w:rsidRPr="00B214CF">
        <w:rPr>
          <w:rFonts w:ascii="Times New Roman" w:hAnsi="Times New Roman" w:cs="Times New Roman"/>
        </w:rPr>
        <w:t>Table 5: Paired Samples Correlation</w:t>
      </w:r>
    </w:p>
    <w:tbl>
      <w:tblPr>
        <w:tblStyle w:val="TableGrid"/>
        <w:tblW w:w="8926" w:type="dxa"/>
        <w:tblLook w:val="04A0" w:firstRow="1" w:lastRow="0" w:firstColumn="1" w:lastColumn="0" w:noHBand="0" w:noVBand="1"/>
      </w:tblPr>
      <w:tblGrid>
        <w:gridCol w:w="3214"/>
        <w:gridCol w:w="1176"/>
        <w:gridCol w:w="1275"/>
        <w:gridCol w:w="3261"/>
      </w:tblGrid>
      <w:tr w:rsidR="004218AF" w:rsidRPr="004218AF" w14:paraId="5EFDBF91" w14:textId="77777777" w:rsidTr="00B214CF">
        <w:trPr>
          <w:trHeight w:val="283"/>
        </w:trPr>
        <w:tc>
          <w:tcPr>
            <w:tcW w:w="3214" w:type="dxa"/>
            <w:hideMark/>
          </w:tcPr>
          <w:p w14:paraId="666A5338"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Variables Paired</w:t>
            </w:r>
          </w:p>
        </w:tc>
        <w:tc>
          <w:tcPr>
            <w:tcW w:w="1176" w:type="dxa"/>
            <w:hideMark/>
          </w:tcPr>
          <w:p w14:paraId="18077D8A"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N</w:t>
            </w:r>
          </w:p>
        </w:tc>
        <w:tc>
          <w:tcPr>
            <w:tcW w:w="1275" w:type="dxa"/>
            <w:hideMark/>
          </w:tcPr>
          <w:p w14:paraId="7267C3B6"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Correlation</w:t>
            </w:r>
          </w:p>
        </w:tc>
        <w:tc>
          <w:tcPr>
            <w:tcW w:w="3261" w:type="dxa"/>
            <w:hideMark/>
          </w:tcPr>
          <w:p w14:paraId="11CC203F"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Sig.</w:t>
            </w:r>
          </w:p>
        </w:tc>
      </w:tr>
      <w:tr w:rsidR="004218AF" w:rsidRPr="004218AF" w14:paraId="25245118" w14:textId="77777777" w:rsidTr="00B214CF">
        <w:trPr>
          <w:trHeight w:val="300"/>
        </w:trPr>
        <w:tc>
          <w:tcPr>
            <w:tcW w:w="3214" w:type="dxa"/>
            <w:hideMark/>
          </w:tcPr>
          <w:p w14:paraId="47AAFDBC"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Before vs After Talk</w:t>
            </w:r>
          </w:p>
        </w:tc>
        <w:tc>
          <w:tcPr>
            <w:tcW w:w="1176" w:type="dxa"/>
            <w:hideMark/>
          </w:tcPr>
          <w:p w14:paraId="05D4E9E5"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77</w:t>
            </w:r>
          </w:p>
        </w:tc>
        <w:tc>
          <w:tcPr>
            <w:tcW w:w="1275" w:type="dxa"/>
            <w:hideMark/>
          </w:tcPr>
          <w:p w14:paraId="541DAC70"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0.212</w:t>
            </w:r>
          </w:p>
        </w:tc>
        <w:tc>
          <w:tcPr>
            <w:tcW w:w="3261" w:type="dxa"/>
            <w:hideMark/>
          </w:tcPr>
          <w:p w14:paraId="116D3203"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0.064</w:t>
            </w:r>
          </w:p>
        </w:tc>
      </w:tr>
      <w:bookmarkEnd w:id="2"/>
    </w:tbl>
    <w:p w14:paraId="7D47BB70" w14:textId="77777777" w:rsidR="004218AF" w:rsidRDefault="004218AF" w:rsidP="004218AF">
      <w:pPr>
        <w:spacing w:after="0"/>
        <w:rPr>
          <w:rFonts w:ascii="Times New Roman" w:hAnsi="Times New Roman" w:cs="Times New Roman"/>
          <w:b/>
          <w:bCs/>
        </w:rPr>
      </w:pPr>
    </w:p>
    <w:p w14:paraId="43EEC0F5" w14:textId="77777777" w:rsidR="004218AF" w:rsidRPr="00B214CF" w:rsidRDefault="004218AF" w:rsidP="00B214CF">
      <w:pPr>
        <w:spacing w:after="0"/>
        <w:jc w:val="both"/>
        <w:rPr>
          <w:rFonts w:ascii="Times New Roman" w:hAnsi="Times New Roman" w:cs="Times New Roman"/>
        </w:rPr>
      </w:pPr>
      <w:r w:rsidRPr="00B214CF">
        <w:rPr>
          <w:rFonts w:ascii="Times New Roman" w:hAnsi="Times New Roman" w:cs="Times New Roman"/>
        </w:rPr>
        <w:t>Table 5 indicates a weak positive correlation (</w:t>
      </w:r>
      <w:r w:rsidRPr="00B214CF">
        <w:rPr>
          <w:rFonts w:ascii="Times New Roman" w:hAnsi="Times New Roman" w:cs="Times New Roman"/>
          <w:i/>
          <w:iCs/>
        </w:rPr>
        <w:t>r</w:t>
      </w:r>
      <w:r w:rsidRPr="00B214CF">
        <w:rPr>
          <w:rFonts w:ascii="Times New Roman" w:hAnsi="Times New Roman" w:cs="Times New Roman"/>
        </w:rPr>
        <w:t xml:space="preserve"> = 0.212) between the before and after scores, with a significance level of 0.064. This suggests a slight relationship between initial knowledge and improvement, but the result is not statistically significant (</w:t>
      </w:r>
      <w:r w:rsidRPr="00B214CF">
        <w:rPr>
          <w:rFonts w:ascii="Times New Roman" w:hAnsi="Times New Roman" w:cs="Times New Roman"/>
          <w:i/>
          <w:iCs/>
        </w:rPr>
        <w:t>p</w:t>
      </w:r>
      <w:r w:rsidRPr="00B214CF">
        <w:rPr>
          <w:rFonts w:ascii="Times New Roman" w:hAnsi="Times New Roman" w:cs="Times New Roman"/>
        </w:rPr>
        <w:t xml:space="preserve"> &gt; 0.05). In other words, understanding gained from the talk wasn't strongly linked to how much the participants already knew — meaning the talk benefitted all participants regardless of their prior knowledge level.</w:t>
      </w:r>
    </w:p>
    <w:p w14:paraId="396D47DA" w14:textId="77777777" w:rsidR="004218AF" w:rsidRDefault="004218AF" w:rsidP="004218AF">
      <w:pPr>
        <w:spacing w:after="0"/>
        <w:rPr>
          <w:rFonts w:ascii="Times New Roman" w:hAnsi="Times New Roman" w:cs="Times New Roman"/>
        </w:rPr>
      </w:pPr>
    </w:p>
    <w:p w14:paraId="306A4FA9" w14:textId="77777777" w:rsidR="004218AF" w:rsidRPr="004218AF" w:rsidRDefault="004218AF" w:rsidP="004218AF">
      <w:pPr>
        <w:spacing w:after="0"/>
        <w:rPr>
          <w:rFonts w:ascii="Times New Roman" w:hAnsi="Times New Roman" w:cs="Times New Roman"/>
        </w:rPr>
      </w:pPr>
    </w:p>
    <w:p w14:paraId="797EDB96" w14:textId="77777777" w:rsidR="004218AF" w:rsidRPr="00B214CF" w:rsidRDefault="004218AF" w:rsidP="00B214CF">
      <w:pPr>
        <w:spacing w:after="0"/>
        <w:jc w:val="center"/>
        <w:rPr>
          <w:rFonts w:ascii="Times New Roman" w:hAnsi="Times New Roman" w:cs="Times New Roman"/>
        </w:rPr>
      </w:pPr>
      <w:bookmarkStart w:id="3" w:name="_Hlk224648483"/>
      <w:r w:rsidRPr="00B214CF">
        <w:rPr>
          <w:rFonts w:ascii="Times New Roman" w:hAnsi="Times New Roman" w:cs="Times New Roman"/>
        </w:rPr>
        <w:t>Table 6: Paired Samples Test</w:t>
      </w:r>
    </w:p>
    <w:tbl>
      <w:tblPr>
        <w:tblStyle w:val="TableGrid"/>
        <w:tblW w:w="0" w:type="auto"/>
        <w:tblLook w:val="04A0" w:firstRow="1" w:lastRow="0" w:firstColumn="1" w:lastColumn="0" w:noHBand="0" w:noVBand="1"/>
      </w:tblPr>
      <w:tblGrid>
        <w:gridCol w:w="1838"/>
        <w:gridCol w:w="1985"/>
        <w:gridCol w:w="1842"/>
        <w:gridCol w:w="993"/>
        <w:gridCol w:w="567"/>
        <w:gridCol w:w="1701"/>
      </w:tblGrid>
      <w:tr w:rsidR="004218AF" w:rsidRPr="004218AF" w14:paraId="04BF3519" w14:textId="77777777" w:rsidTr="008F3456">
        <w:trPr>
          <w:trHeight w:val="340"/>
        </w:trPr>
        <w:tc>
          <w:tcPr>
            <w:tcW w:w="1838" w:type="dxa"/>
            <w:hideMark/>
          </w:tcPr>
          <w:p w14:paraId="12BAF77D"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Mean Difference</w:t>
            </w:r>
          </w:p>
        </w:tc>
        <w:tc>
          <w:tcPr>
            <w:tcW w:w="1985" w:type="dxa"/>
            <w:hideMark/>
          </w:tcPr>
          <w:p w14:paraId="29B542C4"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Std. Deviation</w:t>
            </w:r>
          </w:p>
        </w:tc>
        <w:tc>
          <w:tcPr>
            <w:tcW w:w="1842" w:type="dxa"/>
            <w:hideMark/>
          </w:tcPr>
          <w:p w14:paraId="29CF1034"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Std. Error Mean</w:t>
            </w:r>
          </w:p>
        </w:tc>
        <w:tc>
          <w:tcPr>
            <w:tcW w:w="993" w:type="dxa"/>
            <w:hideMark/>
          </w:tcPr>
          <w:p w14:paraId="07AD5AC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t</w:t>
            </w:r>
          </w:p>
        </w:tc>
        <w:tc>
          <w:tcPr>
            <w:tcW w:w="567" w:type="dxa"/>
            <w:hideMark/>
          </w:tcPr>
          <w:p w14:paraId="2081685B"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df</w:t>
            </w:r>
          </w:p>
        </w:tc>
        <w:tc>
          <w:tcPr>
            <w:tcW w:w="1701" w:type="dxa"/>
            <w:hideMark/>
          </w:tcPr>
          <w:p w14:paraId="1F8D2488"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Sig. (2-tailed)</w:t>
            </w:r>
          </w:p>
        </w:tc>
      </w:tr>
      <w:tr w:rsidR="004218AF" w:rsidRPr="004218AF" w14:paraId="2937606A" w14:textId="77777777" w:rsidTr="008F3456">
        <w:trPr>
          <w:trHeight w:val="300"/>
        </w:trPr>
        <w:tc>
          <w:tcPr>
            <w:tcW w:w="1838" w:type="dxa"/>
            <w:hideMark/>
          </w:tcPr>
          <w:p w14:paraId="3664C2B2"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-5.597</w:t>
            </w:r>
          </w:p>
        </w:tc>
        <w:tc>
          <w:tcPr>
            <w:tcW w:w="1985" w:type="dxa"/>
            <w:hideMark/>
          </w:tcPr>
          <w:p w14:paraId="528DEC7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1.88</w:t>
            </w:r>
          </w:p>
        </w:tc>
        <w:tc>
          <w:tcPr>
            <w:tcW w:w="1842" w:type="dxa"/>
            <w:hideMark/>
          </w:tcPr>
          <w:p w14:paraId="29B6A911"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0.214</w:t>
            </w:r>
          </w:p>
        </w:tc>
        <w:tc>
          <w:tcPr>
            <w:tcW w:w="993" w:type="dxa"/>
            <w:hideMark/>
          </w:tcPr>
          <w:p w14:paraId="5F80BE5A"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-26.131</w:t>
            </w:r>
          </w:p>
        </w:tc>
        <w:tc>
          <w:tcPr>
            <w:tcW w:w="567" w:type="dxa"/>
            <w:hideMark/>
          </w:tcPr>
          <w:p w14:paraId="69135FFB"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76</w:t>
            </w:r>
          </w:p>
        </w:tc>
        <w:tc>
          <w:tcPr>
            <w:tcW w:w="1701" w:type="dxa"/>
            <w:hideMark/>
          </w:tcPr>
          <w:p w14:paraId="2755FF7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0</w:t>
            </w:r>
          </w:p>
        </w:tc>
      </w:tr>
      <w:bookmarkEnd w:id="3"/>
    </w:tbl>
    <w:p w14:paraId="4C7A7B9A" w14:textId="77777777" w:rsidR="004218AF" w:rsidRDefault="004218AF" w:rsidP="004218AF">
      <w:pPr>
        <w:spacing w:after="0"/>
        <w:rPr>
          <w:rFonts w:ascii="Times New Roman" w:hAnsi="Times New Roman" w:cs="Times New Roman"/>
          <w:b/>
          <w:bCs/>
        </w:rPr>
      </w:pPr>
    </w:p>
    <w:p w14:paraId="0CBB4189" w14:textId="1FA7B1CB" w:rsidR="004218AF" w:rsidRPr="00B214CF" w:rsidRDefault="004218AF" w:rsidP="00E91078">
      <w:pPr>
        <w:spacing w:after="0"/>
        <w:jc w:val="both"/>
        <w:rPr>
          <w:rFonts w:ascii="Times New Roman" w:hAnsi="Times New Roman" w:cs="Times New Roman"/>
        </w:rPr>
      </w:pPr>
      <w:r w:rsidRPr="00B214CF">
        <w:rPr>
          <w:rFonts w:ascii="Times New Roman" w:hAnsi="Times New Roman" w:cs="Times New Roman"/>
        </w:rPr>
        <w:lastRenderedPageBreak/>
        <w:t>Table 6 provides the most critical statistical result. The mean difference between before and after understanding is -5.597, showing a large increase. The t-test result is highly significant (</w:t>
      </w:r>
      <w:r w:rsidRPr="00B214CF">
        <w:rPr>
          <w:rFonts w:ascii="Times New Roman" w:hAnsi="Times New Roman" w:cs="Times New Roman"/>
          <w:i/>
          <w:iCs/>
        </w:rPr>
        <w:t>t</w:t>
      </w:r>
      <w:r w:rsidRPr="00B214CF">
        <w:rPr>
          <w:rFonts w:ascii="Times New Roman" w:hAnsi="Times New Roman" w:cs="Times New Roman"/>
        </w:rPr>
        <w:t xml:space="preserve"> = -26.131, </w:t>
      </w:r>
      <w:r w:rsidRPr="00B214CF">
        <w:rPr>
          <w:rFonts w:ascii="Times New Roman" w:hAnsi="Times New Roman" w:cs="Times New Roman"/>
          <w:i/>
          <w:iCs/>
        </w:rPr>
        <w:t>p</w:t>
      </w:r>
      <w:r w:rsidRPr="00B214CF">
        <w:rPr>
          <w:rFonts w:ascii="Times New Roman" w:hAnsi="Times New Roman" w:cs="Times New Roman"/>
        </w:rPr>
        <w:t xml:space="preserve"> &lt; 0.001), confirming that the difference is not due to chance.</w:t>
      </w:r>
      <w:r w:rsidR="00B214CF">
        <w:rPr>
          <w:rFonts w:ascii="Times New Roman" w:hAnsi="Times New Roman" w:cs="Times New Roman"/>
        </w:rPr>
        <w:t xml:space="preserve"> </w:t>
      </w:r>
      <w:r w:rsidRPr="00B214CF">
        <w:rPr>
          <w:rFonts w:ascii="Times New Roman" w:hAnsi="Times New Roman" w:cs="Times New Roman"/>
        </w:rPr>
        <w:t>This means the industrial talk was highly effective in enhancing participants' knowledge of development planning. The large t-value and very low p-value (0.000) demonstrate strong evidence of improvement in understanding as a direct result of attending the session.</w:t>
      </w:r>
    </w:p>
    <w:p w14:paraId="06CDE8BC" w14:textId="77777777" w:rsidR="004218AF" w:rsidRPr="004218AF" w:rsidRDefault="004218AF" w:rsidP="00E91078">
      <w:pPr>
        <w:spacing w:after="0"/>
        <w:jc w:val="both"/>
        <w:rPr>
          <w:rFonts w:ascii="Times New Roman" w:hAnsi="Times New Roman" w:cs="Times New Roman"/>
        </w:rPr>
      </w:pPr>
    </w:p>
    <w:p w14:paraId="24661E1C" w14:textId="77777777" w:rsidR="004218AF" w:rsidRPr="00B214CF" w:rsidRDefault="004218AF" w:rsidP="00E91078">
      <w:pPr>
        <w:spacing w:after="0"/>
        <w:jc w:val="both"/>
        <w:rPr>
          <w:rFonts w:ascii="Times New Roman" w:hAnsi="Times New Roman" w:cs="Times New Roman"/>
        </w:rPr>
      </w:pPr>
      <w:r w:rsidRPr="00B214CF">
        <w:rPr>
          <w:rFonts w:ascii="Times New Roman" w:hAnsi="Times New Roman" w:cs="Times New Roman"/>
        </w:rPr>
        <w:t>The comparative analysis shows a remarkable and statistically significant improvement in participants' understanding of development planning topics after attending the industrial talk. On average, students moved from a score of 2.75 to 8.35, indicating the session successfully filled key knowledge gaps. This significant learning gain is supported by a paired samples t-test, which confirms that the improvement is not only observable but statistically valid. These results demonstrate the value of industry-academic engagement and highlight the talk’s effectiveness as a learning platform.</w:t>
      </w:r>
    </w:p>
    <w:p w14:paraId="4EA59970" w14:textId="77777777" w:rsidR="00B16EC1" w:rsidRPr="004218AF" w:rsidRDefault="00B16EC1" w:rsidP="00F61F39">
      <w:pPr>
        <w:spacing w:after="0"/>
        <w:rPr>
          <w:rFonts w:ascii="Times New Roman" w:hAnsi="Times New Roman" w:cs="Times New Roman"/>
        </w:rPr>
      </w:pPr>
    </w:p>
    <w:p w14:paraId="41FC4850" w14:textId="77777777" w:rsidR="00B16EC1" w:rsidRPr="004218AF" w:rsidRDefault="00B16EC1" w:rsidP="00F61F39">
      <w:pPr>
        <w:spacing w:after="0"/>
        <w:rPr>
          <w:rFonts w:ascii="Times New Roman" w:hAnsi="Times New Roman" w:cs="Times New Roman"/>
        </w:rPr>
      </w:pPr>
    </w:p>
    <w:p w14:paraId="066EEAC0" w14:textId="77777777" w:rsidR="00B16EC1" w:rsidRPr="004218AF" w:rsidRDefault="00B16EC1" w:rsidP="004218AF">
      <w:pPr>
        <w:rPr>
          <w:rFonts w:ascii="Times New Roman" w:hAnsi="Times New Roman" w:cs="Times New Roman"/>
        </w:rPr>
      </w:pPr>
      <w:r w:rsidRPr="004218AF">
        <w:rPr>
          <w:rStyle w:val="Strong"/>
          <w:rFonts w:ascii="Times New Roman" w:hAnsi="Times New Roman" w:cs="Times New Roman"/>
        </w:rPr>
        <w:t>Group Differences</w:t>
      </w:r>
    </w:p>
    <w:p w14:paraId="68307860" w14:textId="77777777" w:rsidR="00B16EC1" w:rsidRPr="004218AF" w:rsidRDefault="004218AF" w:rsidP="008F3456">
      <w:pPr>
        <w:spacing w:after="0" w:line="240" w:lineRule="auto"/>
        <w:jc w:val="center"/>
        <w:rPr>
          <w:rFonts w:ascii="Times New Roman" w:eastAsia="Times New Roman" w:hAnsi="Times New Roman" w:cs="Times New Roman"/>
          <w:bCs/>
          <w:lang w:eastAsia="en-GB"/>
        </w:rPr>
      </w:pPr>
      <w:bookmarkStart w:id="4" w:name="_Hlk224648573"/>
      <w:r w:rsidRPr="004218AF">
        <w:rPr>
          <w:rFonts w:ascii="Times New Roman" w:eastAsia="Times New Roman" w:hAnsi="Times New Roman" w:cs="Times New Roman"/>
          <w:bCs/>
          <w:lang w:eastAsia="en-GB"/>
        </w:rPr>
        <w:t xml:space="preserve">Table 7: </w:t>
      </w:r>
      <w:r w:rsidR="00B16EC1" w:rsidRPr="004218AF">
        <w:rPr>
          <w:rFonts w:ascii="Times New Roman" w:eastAsia="Times New Roman" w:hAnsi="Times New Roman" w:cs="Times New Roman"/>
          <w:bCs/>
          <w:lang w:eastAsia="en-GB"/>
        </w:rPr>
        <w:t>Independent Samples Test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6"/>
        <w:gridCol w:w="709"/>
        <w:gridCol w:w="709"/>
        <w:gridCol w:w="709"/>
        <w:gridCol w:w="711"/>
        <w:gridCol w:w="709"/>
        <w:gridCol w:w="992"/>
        <w:gridCol w:w="993"/>
        <w:gridCol w:w="1069"/>
        <w:gridCol w:w="993"/>
      </w:tblGrid>
      <w:tr w:rsidR="00B16EC1" w:rsidRPr="004218AF" w14:paraId="28FAB342" w14:textId="77777777" w:rsidTr="002B77BC">
        <w:trPr>
          <w:trHeight w:val="602"/>
        </w:trPr>
        <w:tc>
          <w:tcPr>
            <w:tcW w:w="436" w:type="dxa"/>
            <w:vAlign w:val="bottom"/>
            <w:hideMark/>
          </w:tcPr>
          <w:p w14:paraId="2686F6A9" w14:textId="77777777" w:rsidR="00B16EC1" w:rsidRPr="004218AF" w:rsidRDefault="00B16EC1" w:rsidP="00B16EC1">
            <w:pPr>
              <w:spacing w:after="0" w:line="240" w:lineRule="auto"/>
              <w:jc w:val="center"/>
              <w:rPr>
                <w:rFonts w:ascii="Times New Roman" w:eastAsia="Times New Roman" w:hAnsi="Times New Roman" w:cs="Times New Roman"/>
                <w:b/>
                <w:bCs/>
                <w:lang w:eastAsia="en-GB"/>
              </w:rPr>
            </w:pPr>
          </w:p>
        </w:tc>
        <w:tc>
          <w:tcPr>
            <w:tcW w:w="896" w:type="dxa"/>
            <w:vAlign w:val="bottom"/>
            <w:hideMark/>
          </w:tcPr>
          <w:p w14:paraId="22B16792"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1418" w:type="dxa"/>
            <w:gridSpan w:val="2"/>
            <w:hideMark/>
          </w:tcPr>
          <w:p w14:paraId="0ADF0C08"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Levene's Test for Equality of Variances</w:t>
            </w:r>
          </w:p>
        </w:tc>
        <w:tc>
          <w:tcPr>
            <w:tcW w:w="6176" w:type="dxa"/>
            <w:gridSpan w:val="7"/>
            <w:hideMark/>
          </w:tcPr>
          <w:p w14:paraId="29DD4707"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r w:rsidRPr="004218AF">
              <w:rPr>
                <w:rFonts w:ascii="Times New Roman" w:eastAsia="Times New Roman" w:hAnsi="Times New Roman" w:cs="Times New Roman"/>
                <w:sz w:val="18"/>
                <w:szCs w:val="18"/>
                <w:lang w:eastAsia="en-GB"/>
              </w:rPr>
              <w:t>t-test for Equality of Means</w:t>
            </w:r>
          </w:p>
        </w:tc>
      </w:tr>
      <w:tr w:rsidR="00B16EC1" w:rsidRPr="004218AF" w14:paraId="5CD37C2F" w14:textId="77777777" w:rsidTr="002B77BC">
        <w:trPr>
          <w:trHeight w:val="676"/>
        </w:trPr>
        <w:tc>
          <w:tcPr>
            <w:tcW w:w="436" w:type="dxa"/>
            <w:hideMark/>
          </w:tcPr>
          <w:p w14:paraId="34BBAB0B"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896" w:type="dxa"/>
            <w:hideMark/>
          </w:tcPr>
          <w:p w14:paraId="1E9D8417"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09" w:type="dxa"/>
            <w:hideMark/>
          </w:tcPr>
          <w:p w14:paraId="1BE11796"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F</w:t>
            </w:r>
          </w:p>
        </w:tc>
        <w:tc>
          <w:tcPr>
            <w:tcW w:w="709" w:type="dxa"/>
            <w:hideMark/>
          </w:tcPr>
          <w:p w14:paraId="255295EF"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Sig.</w:t>
            </w:r>
          </w:p>
        </w:tc>
        <w:tc>
          <w:tcPr>
            <w:tcW w:w="709" w:type="dxa"/>
            <w:hideMark/>
          </w:tcPr>
          <w:p w14:paraId="6C4EAD64"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t</w:t>
            </w:r>
          </w:p>
        </w:tc>
        <w:tc>
          <w:tcPr>
            <w:tcW w:w="711" w:type="dxa"/>
            <w:hideMark/>
          </w:tcPr>
          <w:p w14:paraId="215EBEAE"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df</w:t>
            </w:r>
          </w:p>
        </w:tc>
        <w:tc>
          <w:tcPr>
            <w:tcW w:w="709" w:type="dxa"/>
            <w:hideMark/>
          </w:tcPr>
          <w:p w14:paraId="4AC5DBAC"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Sig. (2-tailed)</w:t>
            </w:r>
          </w:p>
        </w:tc>
        <w:tc>
          <w:tcPr>
            <w:tcW w:w="992" w:type="dxa"/>
            <w:hideMark/>
          </w:tcPr>
          <w:p w14:paraId="238933BF"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Mean Difference</w:t>
            </w:r>
          </w:p>
        </w:tc>
        <w:tc>
          <w:tcPr>
            <w:tcW w:w="993" w:type="dxa"/>
            <w:hideMark/>
          </w:tcPr>
          <w:p w14:paraId="6192ED31"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Std. Error Difference</w:t>
            </w:r>
          </w:p>
        </w:tc>
        <w:tc>
          <w:tcPr>
            <w:tcW w:w="2062" w:type="dxa"/>
            <w:gridSpan w:val="2"/>
            <w:hideMark/>
          </w:tcPr>
          <w:p w14:paraId="5CA26397"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95% Confidence Interval of the Difference</w:t>
            </w:r>
          </w:p>
        </w:tc>
      </w:tr>
      <w:tr w:rsidR="00B16EC1" w:rsidRPr="004218AF" w14:paraId="15A44543" w14:textId="77777777" w:rsidTr="002B77BC">
        <w:trPr>
          <w:trHeight w:val="300"/>
        </w:trPr>
        <w:tc>
          <w:tcPr>
            <w:tcW w:w="436" w:type="dxa"/>
            <w:vAlign w:val="bottom"/>
            <w:hideMark/>
          </w:tcPr>
          <w:p w14:paraId="384FF93B"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896" w:type="dxa"/>
            <w:vAlign w:val="bottom"/>
            <w:hideMark/>
          </w:tcPr>
          <w:p w14:paraId="6F192452"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vAlign w:val="bottom"/>
            <w:hideMark/>
          </w:tcPr>
          <w:p w14:paraId="32936077"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vAlign w:val="bottom"/>
            <w:hideMark/>
          </w:tcPr>
          <w:p w14:paraId="5AE886AD"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09" w:type="dxa"/>
            <w:vAlign w:val="bottom"/>
            <w:hideMark/>
          </w:tcPr>
          <w:p w14:paraId="258385B3"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11" w:type="dxa"/>
            <w:vAlign w:val="bottom"/>
            <w:hideMark/>
          </w:tcPr>
          <w:p w14:paraId="41ACD841"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09" w:type="dxa"/>
            <w:vAlign w:val="bottom"/>
            <w:hideMark/>
          </w:tcPr>
          <w:p w14:paraId="1EF1003F"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992" w:type="dxa"/>
            <w:vAlign w:val="bottom"/>
            <w:hideMark/>
          </w:tcPr>
          <w:p w14:paraId="1EA32111"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993" w:type="dxa"/>
            <w:vAlign w:val="bottom"/>
            <w:hideMark/>
          </w:tcPr>
          <w:p w14:paraId="73385B25"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1069" w:type="dxa"/>
            <w:vAlign w:val="bottom"/>
            <w:hideMark/>
          </w:tcPr>
          <w:p w14:paraId="540D8FB4"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Lower</w:t>
            </w:r>
          </w:p>
        </w:tc>
        <w:tc>
          <w:tcPr>
            <w:tcW w:w="993" w:type="dxa"/>
            <w:vAlign w:val="bottom"/>
            <w:hideMark/>
          </w:tcPr>
          <w:p w14:paraId="274ED092"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Upper</w:t>
            </w:r>
          </w:p>
        </w:tc>
      </w:tr>
      <w:tr w:rsidR="00B16EC1" w:rsidRPr="004218AF" w14:paraId="132FD936" w14:textId="77777777" w:rsidTr="002B77BC">
        <w:trPr>
          <w:trHeight w:val="480"/>
        </w:trPr>
        <w:tc>
          <w:tcPr>
            <w:tcW w:w="436" w:type="dxa"/>
            <w:vMerge w:val="restart"/>
            <w:hideMark/>
          </w:tcPr>
          <w:p w14:paraId="5A01D51C"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Q1</w:t>
            </w:r>
          </w:p>
        </w:tc>
        <w:tc>
          <w:tcPr>
            <w:tcW w:w="896" w:type="dxa"/>
            <w:hideMark/>
          </w:tcPr>
          <w:p w14:paraId="13596EBD"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68F9FAC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3.318</w:t>
            </w:r>
          </w:p>
        </w:tc>
        <w:tc>
          <w:tcPr>
            <w:tcW w:w="709" w:type="dxa"/>
            <w:noWrap/>
            <w:hideMark/>
          </w:tcPr>
          <w:p w14:paraId="5916DEB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0.073</w:t>
            </w:r>
          </w:p>
        </w:tc>
        <w:tc>
          <w:tcPr>
            <w:tcW w:w="709" w:type="dxa"/>
            <w:noWrap/>
            <w:hideMark/>
          </w:tcPr>
          <w:p w14:paraId="5D6AE95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0.275</w:t>
            </w:r>
          </w:p>
        </w:tc>
        <w:tc>
          <w:tcPr>
            <w:tcW w:w="711" w:type="dxa"/>
            <w:noWrap/>
            <w:hideMark/>
          </w:tcPr>
          <w:p w14:paraId="6985DCA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4F6E17A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0.784</w:t>
            </w:r>
          </w:p>
        </w:tc>
        <w:tc>
          <w:tcPr>
            <w:tcW w:w="992" w:type="dxa"/>
            <w:noWrap/>
            <w:hideMark/>
          </w:tcPr>
          <w:p w14:paraId="4D8D611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noWrap/>
            <w:hideMark/>
          </w:tcPr>
          <w:p w14:paraId="43D294E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0.165</w:t>
            </w:r>
          </w:p>
        </w:tc>
        <w:tc>
          <w:tcPr>
            <w:tcW w:w="1069" w:type="dxa"/>
            <w:noWrap/>
            <w:hideMark/>
          </w:tcPr>
          <w:p w14:paraId="00A680A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-0.284</w:t>
            </w:r>
          </w:p>
        </w:tc>
        <w:tc>
          <w:tcPr>
            <w:tcW w:w="993" w:type="dxa"/>
            <w:noWrap/>
            <w:hideMark/>
          </w:tcPr>
          <w:p w14:paraId="0EA2B61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0.375</w:t>
            </w:r>
          </w:p>
        </w:tc>
      </w:tr>
      <w:tr w:rsidR="00B16EC1" w:rsidRPr="004218AF" w14:paraId="0096E6D7" w14:textId="77777777" w:rsidTr="002B77BC">
        <w:trPr>
          <w:trHeight w:val="480"/>
        </w:trPr>
        <w:tc>
          <w:tcPr>
            <w:tcW w:w="436" w:type="dxa"/>
            <w:vMerge/>
            <w:hideMark/>
          </w:tcPr>
          <w:p w14:paraId="2DACB79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560BB1D9"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19B2A47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755B53AC"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4BA5D86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0.266</w:t>
            </w:r>
          </w:p>
        </w:tc>
        <w:tc>
          <w:tcPr>
            <w:tcW w:w="711" w:type="dxa"/>
            <w:noWrap/>
            <w:hideMark/>
          </w:tcPr>
          <w:p w14:paraId="346BEF6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59.933</w:t>
            </w:r>
          </w:p>
        </w:tc>
        <w:tc>
          <w:tcPr>
            <w:tcW w:w="709" w:type="dxa"/>
            <w:noWrap/>
            <w:hideMark/>
          </w:tcPr>
          <w:p w14:paraId="2BCC82F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0.791</w:t>
            </w:r>
          </w:p>
        </w:tc>
        <w:tc>
          <w:tcPr>
            <w:tcW w:w="992" w:type="dxa"/>
            <w:noWrap/>
            <w:hideMark/>
          </w:tcPr>
          <w:p w14:paraId="5FC9D05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noWrap/>
            <w:hideMark/>
          </w:tcPr>
          <w:p w14:paraId="5C4A8EC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0.171</w:t>
            </w:r>
          </w:p>
        </w:tc>
        <w:tc>
          <w:tcPr>
            <w:tcW w:w="1069" w:type="dxa"/>
            <w:noWrap/>
            <w:hideMark/>
          </w:tcPr>
          <w:p w14:paraId="3354DEE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-0.296</w:t>
            </w:r>
          </w:p>
        </w:tc>
        <w:tc>
          <w:tcPr>
            <w:tcW w:w="993" w:type="dxa"/>
            <w:noWrap/>
            <w:hideMark/>
          </w:tcPr>
          <w:p w14:paraId="59F7557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0.387</w:t>
            </w:r>
          </w:p>
        </w:tc>
      </w:tr>
      <w:tr w:rsidR="00B16EC1" w:rsidRPr="004218AF" w14:paraId="0ADF5056" w14:textId="77777777" w:rsidTr="002B77BC">
        <w:trPr>
          <w:trHeight w:val="480"/>
        </w:trPr>
        <w:tc>
          <w:tcPr>
            <w:tcW w:w="436" w:type="dxa"/>
            <w:vMerge w:val="restart"/>
            <w:hideMark/>
          </w:tcPr>
          <w:p w14:paraId="38227E74"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Q2</w:t>
            </w:r>
          </w:p>
        </w:tc>
        <w:tc>
          <w:tcPr>
            <w:tcW w:w="896" w:type="dxa"/>
            <w:hideMark/>
          </w:tcPr>
          <w:p w14:paraId="1E59F266"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7BB4F23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2.406</w:t>
            </w:r>
          </w:p>
        </w:tc>
        <w:tc>
          <w:tcPr>
            <w:tcW w:w="709" w:type="dxa"/>
            <w:noWrap/>
            <w:hideMark/>
          </w:tcPr>
          <w:p w14:paraId="67BD2CE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0.125</w:t>
            </w:r>
          </w:p>
        </w:tc>
        <w:tc>
          <w:tcPr>
            <w:tcW w:w="709" w:type="dxa"/>
            <w:noWrap/>
            <w:hideMark/>
          </w:tcPr>
          <w:p w14:paraId="5F707CB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711" w:type="dxa"/>
            <w:noWrap/>
            <w:hideMark/>
          </w:tcPr>
          <w:p w14:paraId="796E9BA0"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23554D1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1.000</w:t>
            </w:r>
          </w:p>
        </w:tc>
        <w:tc>
          <w:tcPr>
            <w:tcW w:w="992" w:type="dxa"/>
            <w:noWrap/>
            <w:hideMark/>
          </w:tcPr>
          <w:p w14:paraId="1A7AA6C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993" w:type="dxa"/>
            <w:noWrap/>
            <w:hideMark/>
          </w:tcPr>
          <w:p w14:paraId="6E5DB23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0.154</w:t>
            </w:r>
          </w:p>
        </w:tc>
        <w:tc>
          <w:tcPr>
            <w:tcW w:w="1069" w:type="dxa"/>
            <w:noWrap/>
            <w:hideMark/>
          </w:tcPr>
          <w:p w14:paraId="1B8B5E4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-0.306</w:t>
            </w:r>
          </w:p>
        </w:tc>
        <w:tc>
          <w:tcPr>
            <w:tcW w:w="993" w:type="dxa"/>
            <w:noWrap/>
            <w:hideMark/>
          </w:tcPr>
          <w:p w14:paraId="4CAC590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0.306</w:t>
            </w:r>
          </w:p>
        </w:tc>
      </w:tr>
      <w:tr w:rsidR="00B16EC1" w:rsidRPr="004218AF" w14:paraId="5DB2D0A9" w14:textId="77777777" w:rsidTr="002B77BC">
        <w:trPr>
          <w:trHeight w:val="480"/>
        </w:trPr>
        <w:tc>
          <w:tcPr>
            <w:tcW w:w="436" w:type="dxa"/>
            <w:vMerge/>
            <w:hideMark/>
          </w:tcPr>
          <w:p w14:paraId="3419A5F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5700F3CF"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5A96286F"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4D9A1B2A"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2C11093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711" w:type="dxa"/>
            <w:noWrap/>
            <w:hideMark/>
          </w:tcPr>
          <w:p w14:paraId="249BD04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57.490</w:t>
            </w:r>
          </w:p>
        </w:tc>
        <w:tc>
          <w:tcPr>
            <w:tcW w:w="709" w:type="dxa"/>
            <w:noWrap/>
            <w:hideMark/>
          </w:tcPr>
          <w:p w14:paraId="08924EA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1.000</w:t>
            </w:r>
          </w:p>
        </w:tc>
        <w:tc>
          <w:tcPr>
            <w:tcW w:w="992" w:type="dxa"/>
            <w:noWrap/>
            <w:hideMark/>
          </w:tcPr>
          <w:p w14:paraId="6FE0E14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993" w:type="dxa"/>
            <w:noWrap/>
            <w:hideMark/>
          </w:tcPr>
          <w:p w14:paraId="212EE42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0.160</w:t>
            </w:r>
          </w:p>
        </w:tc>
        <w:tc>
          <w:tcPr>
            <w:tcW w:w="1069" w:type="dxa"/>
            <w:noWrap/>
            <w:hideMark/>
          </w:tcPr>
          <w:p w14:paraId="1EF3FFD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-0.320</w:t>
            </w:r>
          </w:p>
        </w:tc>
        <w:tc>
          <w:tcPr>
            <w:tcW w:w="993" w:type="dxa"/>
            <w:noWrap/>
            <w:hideMark/>
          </w:tcPr>
          <w:p w14:paraId="11AABA1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0.320</w:t>
            </w:r>
          </w:p>
        </w:tc>
      </w:tr>
      <w:tr w:rsidR="00B16EC1" w:rsidRPr="004218AF" w14:paraId="611F559D" w14:textId="77777777" w:rsidTr="002B77BC">
        <w:trPr>
          <w:trHeight w:val="480"/>
        </w:trPr>
        <w:tc>
          <w:tcPr>
            <w:tcW w:w="436" w:type="dxa"/>
            <w:vMerge w:val="restart"/>
            <w:hideMark/>
          </w:tcPr>
          <w:p w14:paraId="2FFBD35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Q3</w:t>
            </w:r>
          </w:p>
        </w:tc>
        <w:tc>
          <w:tcPr>
            <w:tcW w:w="896" w:type="dxa"/>
            <w:hideMark/>
          </w:tcPr>
          <w:p w14:paraId="6AE7725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4C1972B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3.009</w:t>
            </w:r>
          </w:p>
        </w:tc>
        <w:tc>
          <w:tcPr>
            <w:tcW w:w="709" w:type="dxa"/>
            <w:noWrap/>
            <w:hideMark/>
          </w:tcPr>
          <w:p w14:paraId="0753399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0.087</w:t>
            </w:r>
          </w:p>
        </w:tc>
        <w:tc>
          <w:tcPr>
            <w:tcW w:w="709" w:type="dxa"/>
            <w:noWrap/>
            <w:hideMark/>
          </w:tcPr>
          <w:p w14:paraId="1ED51E8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0.102</w:t>
            </w:r>
          </w:p>
        </w:tc>
        <w:tc>
          <w:tcPr>
            <w:tcW w:w="711" w:type="dxa"/>
            <w:noWrap/>
            <w:hideMark/>
          </w:tcPr>
          <w:p w14:paraId="71014EF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5A3EB0A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0.919</w:t>
            </w:r>
          </w:p>
        </w:tc>
        <w:tc>
          <w:tcPr>
            <w:tcW w:w="992" w:type="dxa"/>
            <w:noWrap/>
            <w:hideMark/>
          </w:tcPr>
          <w:p w14:paraId="320C7BA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0.015</w:t>
            </w:r>
          </w:p>
        </w:tc>
        <w:tc>
          <w:tcPr>
            <w:tcW w:w="993" w:type="dxa"/>
            <w:noWrap/>
            <w:hideMark/>
          </w:tcPr>
          <w:p w14:paraId="23F0358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0.149</w:t>
            </w:r>
          </w:p>
        </w:tc>
        <w:tc>
          <w:tcPr>
            <w:tcW w:w="1069" w:type="dxa"/>
            <w:noWrap/>
            <w:hideMark/>
          </w:tcPr>
          <w:p w14:paraId="5141FB3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-0.282</w:t>
            </w:r>
          </w:p>
        </w:tc>
        <w:tc>
          <w:tcPr>
            <w:tcW w:w="993" w:type="dxa"/>
            <w:noWrap/>
            <w:hideMark/>
          </w:tcPr>
          <w:p w14:paraId="6B4F6D4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0.312</w:t>
            </w:r>
          </w:p>
        </w:tc>
      </w:tr>
      <w:tr w:rsidR="00B16EC1" w:rsidRPr="004218AF" w14:paraId="638A2C27" w14:textId="77777777" w:rsidTr="002B77BC">
        <w:trPr>
          <w:trHeight w:val="480"/>
        </w:trPr>
        <w:tc>
          <w:tcPr>
            <w:tcW w:w="436" w:type="dxa"/>
            <w:vMerge/>
            <w:hideMark/>
          </w:tcPr>
          <w:p w14:paraId="0A2463B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31134598"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4B619C54"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7AB7209F"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5E6B795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0.097</w:t>
            </w:r>
          </w:p>
        </w:tc>
        <w:tc>
          <w:tcPr>
            <w:tcW w:w="711" w:type="dxa"/>
            <w:noWrap/>
            <w:hideMark/>
          </w:tcPr>
          <w:p w14:paraId="5C1B932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56.212</w:t>
            </w:r>
          </w:p>
        </w:tc>
        <w:tc>
          <w:tcPr>
            <w:tcW w:w="709" w:type="dxa"/>
            <w:noWrap/>
            <w:hideMark/>
          </w:tcPr>
          <w:p w14:paraId="28E99CC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0.923</w:t>
            </w:r>
          </w:p>
        </w:tc>
        <w:tc>
          <w:tcPr>
            <w:tcW w:w="992" w:type="dxa"/>
            <w:noWrap/>
            <w:hideMark/>
          </w:tcPr>
          <w:p w14:paraId="25316FE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0.015</w:t>
            </w:r>
          </w:p>
        </w:tc>
        <w:tc>
          <w:tcPr>
            <w:tcW w:w="993" w:type="dxa"/>
            <w:noWrap/>
            <w:hideMark/>
          </w:tcPr>
          <w:p w14:paraId="749F3F1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0.156</w:t>
            </w:r>
          </w:p>
        </w:tc>
        <w:tc>
          <w:tcPr>
            <w:tcW w:w="1069" w:type="dxa"/>
            <w:noWrap/>
            <w:hideMark/>
          </w:tcPr>
          <w:p w14:paraId="1C455D4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-0.297</w:t>
            </w:r>
          </w:p>
        </w:tc>
        <w:tc>
          <w:tcPr>
            <w:tcW w:w="993" w:type="dxa"/>
            <w:noWrap/>
            <w:hideMark/>
          </w:tcPr>
          <w:p w14:paraId="2C19597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0.327</w:t>
            </w:r>
          </w:p>
        </w:tc>
      </w:tr>
      <w:tr w:rsidR="00B16EC1" w:rsidRPr="004218AF" w14:paraId="56218155" w14:textId="77777777" w:rsidTr="002B77BC">
        <w:trPr>
          <w:trHeight w:val="480"/>
        </w:trPr>
        <w:tc>
          <w:tcPr>
            <w:tcW w:w="436" w:type="dxa"/>
            <w:vMerge w:val="restart"/>
            <w:hideMark/>
          </w:tcPr>
          <w:p w14:paraId="46CCD305"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Q4</w:t>
            </w:r>
          </w:p>
        </w:tc>
        <w:tc>
          <w:tcPr>
            <w:tcW w:w="896" w:type="dxa"/>
            <w:hideMark/>
          </w:tcPr>
          <w:p w14:paraId="3AC85483"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325EFC6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3.923</w:t>
            </w:r>
          </w:p>
        </w:tc>
        <w:tc>
          <w:tcPr>
            <w:tcW w:w="709" w:type="dxa"/>
            <w:noWrap/>
            <w:hideMark/>
          </w:tcPr>
          <w:p w14:paraId="0106F5C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0.051</w:t>
            </w:r>
          </w:p>
        </w:tc>
        <w:tc>
          <w:tcPr>
            <w:tcW w:w="709" w:type="dxa"/>
            <w:noWrap/>
            <w:hideMark/>
          </w:tcPr>
          <w:p w14:paraId="0310C49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1.051</w:t>
            </w:r>
          </w:p>
        </w:tc>
        <w:tc>
          <w:tcPr>
            <w:tcW w:w="711" w:type="dxa"/>
            <w:noWrap/>
            <w:hideMark/>
          </w:tcPr>
          <w:p w14:paraId="3553A0A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64467E3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0.297</w:t>
            </w:r>
          </w:p>
        </w:tc>
        <w:tc>
          <w:tcPr>
            <w:tcW w:w="992" w:type="dxa"/>
            <w:noWrap/>
            <w:hideMark/>
          </w:tcPr>
          <w:p w14:paraId="7F65E6B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0.174</w:t>
            </w:r>
          </w:p>
        </w:tc>
        <w:tc>
          <w:tcPr>
            <w:tcW w:w="993" w:type="dxa"/>
            <w:noWrap/>
            <w:hideMark/>
          </w:tcPr>
          <w:p w14:paraId="035159C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0.166</w:t>
            </w:r>
          </w:p>
        </w:tc>
        <w:tc>
          <w:tcPr>
            <w:tcW w:w="1069" w:type="dxa"/>
            <w:noWrap/>
            <w:hideMark/>
          </w:tcPr>
          <w:p w14:paraId="62ED992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-0.156</w:t>
            </w:r>
          </w:p>
        </w:tc>
        <w:tc>
          <w:tcPr>
            <w:tcW w:w="993" w:type="dxa"/>
            <w:noWrap/>
            <w:hideMark/>
          </w:tcPr>
          <w:p w14:paraId="50187A8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0.504</w:t>
            </w:r>
          </w:p>
        </w:tc>
      </w:tr>
      <w:tr w:rsidR="00B16EC1" w:rsidRPr="004218AF" w14:paraId="1664B1FF" w14:textId="77777777" w:rsidTr="002B77BC">
        <w:trPr>
          <w:trHeight w:val="480"/>
        </w:trPr>
        <w:tc>
          <w:tcPr>
            <w:tcW w:w="436" w:type="dxa"/>
            <w:vMerge/>
            <w:hideMark/>
          </w:tcPr>
          <w:p w14:paraId="5E6B701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5AB931B9"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0DB56598"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03073477"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46746E3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1.024</w:t>
            </w:r>
          </w:p>
        </w:tc>
        <w:tc>
          <w:tcPr>
            <w:tcW w:w="711" w:type="dxa"/>
            <w:noWrap/>
            <w:hideMark/>
          </w:tcPr>
          <w:p w14:paraId="7BB4AAD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61.669</w:t>
            </w:r>
          </w:p>
        </w:tc>
        <w:tc>
          <w:tcPr>
            <w:tcW w:w="709" w:type="dxa"/>
            <w:noWrap/>
            <w:hideMark/>
          </w:tcPr>
          <w:p w14:paraId="5D0AE4C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0.310</w:t>
            </w:r>
          </w:p>
        </w:tc>
        <w:tc>
          <w:tcPr>
            <w:tcW w:w="992" w:type="dxa"/>
            <w:noWrap/>
            <w:hideMark/>
          </w:tcPr>
          <w:p w14:paraId="05F87F7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0.174</w:t>
            </w:r>
          </w:p>
        </w:tc>
        <w:tc>
          <w:tcPr>
            <w:tcW w:w="993" w:type="dxa"/>
            <w:noWrap/>
            <w:hideMark/>
          </w:tcPr>
          <w:p w14:paraId="293FB14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0.170</w:t>
            </w:r>
          </w:p>
        </w:tc>
        <w:tc>
          <w:tcPr>
            <w:tcW w:w="1069" w:type="dxa"/>
            <w:noWrap/>
            <w:hideMark/>
          </w:tcPr>
          <w:p w14:paraId="0B80ECF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-0.166</w:t>
            </w:r>
          </w:p>
        </w:tc>
        <w:tc>
          <w:tcPr>
            <w:tcW w:w="993" w:type="dxa"/>
            <w:noWrap/>
            <w:hideMark/>
          </w:tcPr>
          <w:p w14:paraId="6C0EFF4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0.514</w:t>
            </w:r>
          </w:p>
        </w:tc>
      </w:tr>
      <w:tr w:rsidR="00B16EC1" w:rsidRPr="004218AF" w14:paraId="655D1589" w14:textId="77777777" w:rsidTr="002B77BC">
        <w:trPr>
          <w:trHeight w:val="480"/>
        </w:trPr>
        <w:tc>
          <w:tcPr>
            <w:tcW w:w="436" w:type="dxa"/>
            <w:vMerge w:val="restart"/>
            <w:hideMark/>
          </w:tcPr>
          <w:p w14:paraId="300D3DB5"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Q5</w:t>
            </w:r>
          </w:p>
        </w:tc>
        <w:tc>
          <w:tcPr>
            <w:tcW w:w="896" w:type="dxa"/>
            <w:hideMark/>
          </w:tcPr>
          <w:p w14:paraId="070519D5"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69BCA20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3.450</w:t>
            </w:r>
          </w:p>
        </w:tc>
        <w:tc>
          <w:tcPr>
            <w:tcW w:w="709" w:type="dxa"/>
            <w:noWrap/>
            <w:hideMark/>
          </w:tcPr>
          <w:p w14:paraId="04A0890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0.067</w:t>
            </w:r>
          </w:p>
        </w:tc>
        <w:tc>
          <w:tcPr>
            <w:tcW w:w="709" w:type="dxa"/>
            <w:noWrap/>
            <w:hideMark/>
          </w:tcPr>
          <w:p w14:paraId="1DB500D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0.952</w:t>
            </w:r>
          </w:p>
        </w:tc>
        <w:tc>
          <w:tcPr>
            <w:tcW w:w="711" w:type="dxa"/>
            <w:noWrap/>
            <w:hideMark/>
          </w:tcPr>
          <w:p w14:paraId="43EE469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271807A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0.344</w:t>
            </w:r>
          </w:p>
        </w:tc>
        <w:tc>
          <w:tcPr>
            <w:tcW w:w="992" w:type="dxa"/>
            <w:noWrap/>
            <w:hideMark/>
          </w:tcPr>
          <w:p w14:paraId="5FEB170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0.144</w:t>
            </w:r>
          </w:p>
        </w:tc>
        <w:tc>
          <w:tcPr>
            <w:tcW w:w="993" w:type="dxa"/>
            <w:noWrap/>
            <w:hideMark/>
          </w:tcPr>
          <w:p w14:paraId="58DEE3D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0.151</w:t>
            </w:r>
          </w:p>
        </w:tc>
        <w:tc>
          <w:tcPr>
            <w:tcW w:w="1069" w:type="dxa"/>
            <w:noWrap/>
            <w:hideMark/>
          </w:tcPr>
          <w:p w14:paraId="79D8BFA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-0.157</w:t>
            </w:r>
          </w:p>
        </w:tc>
        <w:tc>
          <w:tcPr>
            <w:tcW w:w="993" w:type="dxa"/>
            <w:noWrap/>
            <w:hideMark/>
          </w:tcPr>
          <w:p w14:paraId="0B3E054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0.445</w:t>
            </w:r>
          </w:p>
        </w:tc>
      </w:tr>
      <w:tr w:rsidR="00B16EC1" w:rsidRPr="004218AF" w14:paraId="559744DE" w14:textId="77777777" w:rsidTr="002B77BC">
        <w:trPr>
          <w:trHeight w:val="480"/>
        </w:trPr>
        <w:tc>
          <w:tcPr>
            <w:tcW w:w="436" w:type="dxa"/>
            <w:vMerge/>
            <w:hideMark/>
          </w:tcPr>
          <w:p w14:paraId="3F10111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666BB362"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4CCD9A4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06A39FC9"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4E35924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0.921</w:t>
            </w:r>
          </w:p>
        </w:tc>
        <w:tc>
          <w:tcPr>
            <w:tcW w:w="711" w:type="dxa"/>
            <w:noWrap/>
            <w:hideMark/>
          </w:tcPr>
          <w:p w14:paraId="7839605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59.453</w:t>
            </w:r>
          </w:p>
        </w:tc>
        <w:tc>
          <w:tcPr>
            <w:tcW w:w="709" w:type="dxa"/>
            <w:noWrap/>
            <w:hideMark/>
          </w:tcPr>
          <w:p w14:paraId="4C32E74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0.361</w:t>
            </w:r>
          </w:p>
        </w:tc>
        <w:tc>
          <w:tcPr>
            <w:tcW w:w="992" w:type="dxa"/>
            <w:noWrap/>
            <w:hideMark/>
          </w:tcPr>
          <w:p w14:paraId="57DFE6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0.144</w:t>
            </w:r>
          </w:p>
        </w:tc>
        <w:tc>
          <w:tcPr>
            <w:tcW w:w="993" w:type="dxa"/>
            <w:noWrap/>
            <w:hideMark/>
          </w:tcPr>
          <w:p w14:paraId="439B074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0.156</w:t>
            </w:r>
          </w:p>
        </w:tc>
        <w:tc>
          <w:tcPr>
            <w:tcW w:w="1069" w:type="dxa"/>
            <w:noWrap/>
            <w:hideMark/>
          </w:tcPr>
          <w:p w14:paraId="2D72366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-0.169</w:t>
            </w:r>
          </w:p>
        </w:tc>
        <w:tc>
          <w:tcPr>
            <w:tcW w:w="993" w:type="dxa"/>
            <w:noWrap/>
            <w:hideMark/>
          </w:tcPr>
          <w:p w14:paraId="119D2B6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0.456</w:t>
            </w:r>
          </w:p>
        </w:tc>
      </w:tr>
      <w:tr w:rsidR="00B16EC1" w:rsidRPr="004218AF" w14:paraId="2475411C" w14:textId="77777777" w:rsidTr="002B77BC">
        <w:trPr>
          <w:trHeight w:val="480"/>
        </w:trPr>
        <w:tc>
          <w:tcPr>
            <w:tcW w:w="436" w:type="dxa"/>
            <w:vMerge w:val="restart"/>
            <w:hideMark/>
          </w:tcPr>
          <w:p w14:paraId="2739DDCE"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lastRenderedPageBreak/>
              <w:t>Q6</w:t>
            </w:r>
          </w:p>
        </w:tc>
        <w:tc>
          <w:tcPr>
            <w:tcW w:w="896" w:type="dxa"/>
            <w:hideMark/>
          </w:tcPr>
          <w:p w14:paraId="71FEE38D"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5A6C8F8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7.243</w:t>
            </w:r>
          </w:p>
        </w:tc>
        <w:tc>
          <w:tcPr>
            <w:tcW w:w="709" w:type="dxa"/>
            <w:noWrap/>
            <w:hideMark/>
          </w:tcPr>
          <w:p w14:paraId="11CA4EA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0.009</w:t>
            </w:r>
          </w:p>
        </w:tc>
        <w:tc>
          <w:tcPr>
            <w:tcW w:w="709" w:type="dxa"/>
            <w:noWrap/>
            <w:hideMark/>
          </w:tcPr>
          <w:p w14:paraId="19387A7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-0.271</w:t>
            </w:r>
          </w:p>
        </w:tc>
        <w:tc>
          <w:tcPr>
            <w:tcW w:w="711" w:type="dxa"/>
            <w:noWrap/>
            <w:hideMark/>
          </w:tcPr>
          <w:p w14:paraId="26BF159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0BAC7DC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0.787</w:t>
            </w:r>
          </w:p>
        </w:tc>
        <w:tc>
          <w:tcPr>
            <w:tcW w:w="992" w:type="dxa"/>
            <w:noWrap/>
            <w:hideMark/>
          </w:tcPr>
          <w:p w14:paraId="7362040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noWrap/>
            <w:hideMark/>
          </w:tcPr>
          <w:p w14:paraId="124228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0.168</w:t>
            </w:r>
          </w:p>
        </w:tc>
        <w:tc>
          <w:tcPr>
            <w:tcW w:w="1069" w:type="dxa"/>
            <w:noWrap/>
            <w:hideMark/>
          </w:tcPr>
          <w:p w14:paraId="0F18EFA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-0.380</w:t>
            </w:r>
          </w:p>
        </w:tc>
        <w:tc>
          <w:tcPr>
            <w:tcW w:w="993" w:type="dxa"/>
            <w:noWrap/>
            <w:hideMark/>
          </w:tcPr>
          <w:p w14:paraId="4AAE86C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0.289</w:t>
            </w:r>
          </w:p>
        </w:tc>
      </w:tr>
      <w:tr w:rsidR="00B16EC1" w:rsidRPr="004218AF" w14:paraId="07FCD64F" w14:textId="77777777" w:rsidTr="002B77BC">
        <w:trPr>
          <w:trHeight w:val="480"/>
        </w:trPr>
        <w:tc>
          <w:tcPr>
            <w:tcW w:w="436" w:type="dxa"/>
            <w:vMerge/>
            <w:hideMark/>
          </w:tcPr>
          <w:p w14:paraId="414F873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2303441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4F57EA8A"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7ACD9535"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3BE213B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-0.254</w:t>
            </w:r>
          </w:p>
        </w:tc>
        <w:tc>
          <w:tcPr>
            <w:tcW w:w="711" w:type="dxa"/>
            <w:noWrap/>
            <w:hideMark/>
          </w:tcPr>
          <w:p w14:paraId="6B1BC1F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50.605</w:t>
            </w:r>
          </w:p>
        </w:tc>
        <w:tc>
          <w:tcPr>
            <w:tcW w:w="709" w:type="dxa"/>
            <w:noWrap/>
            <w:hideMark/>
          </w:tcPr>
          <w:p w14:paraId="22ED73E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0.800</w:t>
            </w:r>
          </w:p>
        </w:tc>
        <w:tc>
          <w:tcPr>
            <w:tcW w:w="992" w:type="dxa"/>
            <w:noWrap/>
            <w:hideMark/>
          </w:tcPr>
          <w:p w14:paraId="0A83537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noWrap/>
            <w:hideMark/>
          </w:tcPr>
          <w:p w14:paraId="6B26803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0.179</w:t>
            </w:r>
          </w:p>
        </w:tc>
        <w:tc>
          <w:tcPr>
            <w:tcW w:w="1069" w:type="dxa"/>
            <w:noWrap/>
            <w:hideMark/>
          </w:tcPr>
          <w:p w14:paraId="3F123C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-0.404</w:t>
            </w:r>
          </w:p>
        </w:tc>
        <w:tc>
          <w:tcPr>
            <w:tcW w:w="993" w:type="dxa"/>
            <w:noWrap/>
            <w:hideMark/>
          </w:tcPr>
          <w:p w14:paraId="39A848C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0.314</w:t>
            </w:r>
          </w:p>
        </w:tc>
      </w:tr>
      <w:tr w:rsidR="00B16EC1" w:rsidRPr="004218AF" w14:paraId="5FFE338D" w14:textId="77777777" w:rsidTr="002B77BC">
        <w:trPr>
          <w:trHeight w:val="480"/>
        </w:trPr>
        <w:tc>
          <w:tcPr>
            <w:tcW w:w="436" w:type="dxa"/>
            <w:vMerge w:val="restart"/>
            <w:hideMark/>
          </w:tcPr>
          <w:p w14:paraId="09B64A4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Q7</w:t>
            </w:r>
          </w:p>
        </w:tc>
        <w:tc>
          <w:tcPr>
            <w:tcW w:w="896" w:type="dxa"/>
            <w:hideMark/>
          </w:tcPr>
          <w:p w14:paraId="314C3466"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5383062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2.708</w:t>
            </w:r>
          </w:p>
        </w:tc>
        <w:tc>
          <w:tcPr>
            <w:tcW w:w="709" w:type="dxa"/>
            <w:noWrap/>
            <w:hideMark/>
          </w:tcPr>
          <w:p w14:paraId="648F922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0.104</w:t>
            </w:r>
          </w:p>
        </w:tc>
        <w:tc>
          <w:tcPr>
            <w:tcW w:w="709" w:type="dxa"/>
            <w:noWrap/>
            <w:hideMark/>
          </w:tcPr>
          <w:p w14:paraId="72E6E4C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-0.713</w:t>
            </w:r>
          </w:p>
        </w:tc>
        <w:tc>
          <w:tcPr>
            <w:tcW w:w="711" w:type="dxa"/>
            <w:noWrap/>
            <w:hideMark/>
          </w:tcPr>
          <w:p w14:paraId="1EE3240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0AEAA91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0.478</w:t>
            </w:r>
          </w:p>
        </w:tc>
        <w:tc>
          <w:tcPr>
            <w:tcW w:w="992" w:type="dxa"/>
            <w:noWrap/>
            <w:hideMark/>
          </w:tcPr>
          <w:p w14:paraId="6766A5A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-0.114</w:t>
            </w:r>
          </w:p>
        </w:tc>
        <w:tc>
          <w:tcPr>
            <w:tcW w:w="993" w:type="dxa"/>
            <w:noWrap/>
            <w:hideMark/>
          </w:tcPr>
          <w:p w14:paraId="67EF16D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0.159</w:t>
            </w:r>
          </w:p>
        </w:tc>
        <w:tc>
          <w:tcPr>
            <w:tcW w:w="1069" w:type="dxa"/>
            <w:noWrap/>
            <w:hideMark/>
          </w:tcPr>
          <w:p w14:paraId="5A4C485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-0.431</w:t>
            </w:r>
          </w:p>
        </w:tc>
        <w:tc>
          <w:tcPr>
            <w:tcW w:w="993" w:type="dxa"/>
            <w:noWrap/>
            <w:hideMark/>
          </w:tcPr>
          <w:p w14:paraId="3B81073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0.204</w:t>
            </w:r>
          </w:p>
        </w:tc>
      </w:tr>
      <w:tr w:rsidR="00B16EC1" w:rsidRPr="004218AF" w14:paraId="30D1A245" w14:textId="77777777" w:rsidTr="002B77BC">
        <w:trPr>
          <w:trHeight w:val="480"/>
        </w:trPr>
        <w:tc>
          <w:tcPr>
            <w:tcW w:w="436" w:type="dxa"/>
            <w:vMerge/>
            <w:hideMark/>
          </w:tcPr>
          <w:p w14:paraId="360C840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19312E20"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0EC33C99"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72F86B2F"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3F34CD5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-0.673</w:t>
            </w:r>
          </w:p>
        </w:tc>
        <w:tc>
          <w:tcPr>
            <w:tcW w:w="711" w:type="dxa"/>
            <w:noWrap/>
            <w:hideMark/>
          </w:tcPr>
          <w:p w14:paraId="67B6E97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51.984</w:t>
            </w:r>
          </w:p>
        </w:tc>
        <w:tc>
          <w:tcPr>
            <w:tcW w:w="709" w:type="dxa"/>
            <w:noWrap/>
            <w:hideMark/>
          </w:tcPr>
          <w:p w14:paraId="6F271FB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0.504</w:t>
            </w:r>
          </w:p>
        </w:tc>
        <w:tc>
          <w:tcPr>
            <w:tcW w:w="992" w:type="dxa"/>
            <w:noWrap/>
            <w:hideMark/>
          </w:tcPr>
          <w:p w14:paraId="4AF7C29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-0.114</w:t>
            </w:r>
          </w:p>
        </w:tc>
        <w:tc>
          <w:tcPr>
            <w:tcW w:w="993" w:type="dxa"/>
            <w:noWrap/>
            <w:hideMark/>
          </w:tcPr>
          <w:p w14:paraId="1DF1B7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0.169</w:t>
            </w:r>
          </w:p>
        </w:tc>
        <w:tc>
          <w:tcPr>
            <w:tcW w:w="1069" w:type="dxa"/>
            <w:noWrap/>
            <w:hideMark/>
          </w:tcPr>
          <w:p w14:paraId="5D19D21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-0.452</w:t>
            </w:r>
          </w:p>
        </w:tc>
        <w:tc>
          <w:tcPr>
            <w:tcW w:w="993" w:type="dxa"/>
            <w:noWrap/>
            <w:hideMark/>
          </w:tcPr>
          <w:p w14:paraId="429D8A5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0.225</w:t>
            </w:r>
          </w:p>
        </w:tc>
      </w:tr>
      <w:tr w:rsidR="00B16EC1" w:rsidRPr="004218AF" w14:paraId="4E75A740" w14:textId="77777777" w:rsidTr="002B77BC">
        <w:trPr>
          <w:trHeight w:val="480"/>
        </w:trPr>
        <w:tc>
          <w:tcPr>
            <w:tcW w:w="436" w:type="dxa"/>
            <w:vMerge w:val="restart"/>
            <w:hideMark/>
          </w:tcPr>
          <w:p w14:paraId="754B096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Q8</w:t>
            </w:r>
          </w:p>
        </w:tc>
        <w:tc>
          <w:tcPr>
            <w:tcW w:w="896" w:type="dxa"/>
            <w:hideMark/>
          </w:tcPr>
          <w:p w14:paraId="5AB4BA8A"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62651F5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0.866</w:t>
            </w:r>
          </w:p>
        </w:tc>
        <w:tc>
          <w:tcPr>
            <w:tcW w:w="709" w:type="dxa"/>
            <w:noWrap/>
            <w:hideMark/>
          </w:tcPr>
          <w:p w14:paraId="5C712DD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0.355</w:t>
            </w:r>
          </w:p>
        </w:tc>
        <w:tc>
          <w:tcPr>
            <w:tcW w:w="709" w:type="dxa"/>
            <w:noWrap/>
            <w:hideMark/>
          </w:tcPr>
          <w:p w14:paraId="7CF78E8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1.214</w:t>
            </w:r>
          </w:p>
        </w:tc>
        <w:tc>
          <w:tcPr>
            <w:tcW w:w="711" w:type="dxa"/>
            <w:noWrap/>
            <w:hideMark/>
          </w:tcPr>
          <w:p w14:paraId="4022D410"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132E448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0.228</w:t>
            </w:r>
          </w:p>
        </w:tc>
        <w:tc>
          <w:tcPr>
            <w:tcW w:w="992" w:type="dxa"/>
            <w:noWrap/>
            <w:hideMark/>
          </w:tcPr>
          <w:p w14:paraId="7108ADC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0.212</w:t>
            </w:r>
          </w:p>
        </w:tc>
        <w:tc>
          <w:tcPr>
            <w:tcW w:w="993" w:type="dxa"/>
            <w:noWrap/>
            <w:hideMark/>
          </w:tcPr>
          <w:p w14:paraId="74FFECA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0.175</w:t>
            </w:r>
          </w:p>
        </w:tc>
        <w:tc>
          <w:tcPr>
            <w:tcW w:w="1069" w:type="dxa"/>
            <w:noWrap/>
            <w:hideMark/>
          </w:tcPr>
          <w:p w14:paraId="1927C85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-0.136</w:t>
            </w:r>
          </w:p>
        </w:tc>
        <w:tc>
          <w:tcPr>
            <w:tcW w:w="993" w:type="dxa"/>
            <w:noWrap/>
            <w:hideMark/>
          </w:tcPr>
          <w:p w14:paraId="263EB36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0.560</w:t>
            </w:r>
          </w:p>
        </w:tc>
      </w:tr>
      <w:tr w:rsidR="00B16EC1" w:rsidRPr="004218AF" w14:paraId="4B3FCA60" w14:textId="77777777" w:rsidTr="002B77BC">
        <w:trPr>
          <w:trHeight w:val="480"/>
        </w:trPr>
        <w:tc>
          <w:tcPr>
            <w:tcW w:w="436" w:type="dxa"/>
            <w:vMerge/>
            <w:hideMark/>
          </w:tcPr>
          <w:p w14:paraId="129E0F8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54C585C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38A9184D"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4A161DFC"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4D89287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1.189</w:t>
            </w:r>
          </w:p>
        </w:tc>
        <w:tc>
          <w:tcPr>
            <w:tcW w:w="711" w:type="dxa"/>
            <w:noWrap/>
            <w:hideMark/>
          </w:tcPr>
          <w:p w14:paraId="21E2F20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63.189</w:t>
            </w:r>
          </w:p>
        </w:tc>
        <w:tc>
          <w:tcPr>
            <w:tcW w:w="709" w:type="dxa"/>
            <w:noWrap/>
            <w:hideMark/>
          </w:tcPr>
          <w:p w14:paraId="1A6B5C8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0.239</w:t>
            </w:r>
          </w:p>
        </w:tc>
        <w:tc>
          <w:tcPr>
            <w:tcW w:w="992" w:type="dxa"/>
            <w:noWrap/>
            <w:hideMark/>
          </w:tcPr>
          <w:p w14:paraId="23CA193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0.212</w:t>
            </w:r>
          </w:p>
        </w:tc>
        <w:tc>
          <w:tcPr>
            <w:tcW w:w="993" w:type="dxa"/>
            <w:noWrap/>
            <w:hideMark/>
          </w:tcPr>
          <w:p w14:paraId="1B3608D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0.178</w:t>
            </w:r>
          </w:p>
        </w:tc>
        <w:tc>
          <w:tcPr>
            <w:tcW w:w="1069" w:type="dxa"/>
            <w:noWrap/>
            <w:hideMark/>
          </w:tcPr>
          <w:p w14:paraId="02FE840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-0.144</w:t>
            </w:r>
          </w:p>
        </w:tc>
        <w:tc>
          <w:tcPr>
            <w:tcW w:w="993" w:type="dxa"/>
            <w:noWrap/>
            <w:hideMark/>
          </w:tcPr>
          <w:p w14:paraId="791C3C3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0.569</w:t>
            </w:r>
          </w:p>
        </w:tc>
      </w:tr>
      <w:tr w:rsidR="00B16EC1" w:rsidRPr="004218AF" w14:paraId="69EEF0C4" w14:textId="77777777" w:rsidTr="002B77BC">
        <w:trPr>
          <w:trHeight w:val="480"/>
        </w:trPr>
        <w:tc>
          <w:tcPr>
            <w:tcW w:w="436" w:type="dxa"/>
            <w:vMerge w:val="restart"/>
            <w:hideMark/>
          </w:tcPr>
          <w:p w14:paraId="6943AA1A"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Q9</w:t>
            </w:r>
          </w:p>
        </w:tc>
        <w:tc>
          <w:tcPr>
            <w:tcW w:w="896" w:type="dxa"/>
            <w:hideMark/>
          </w:tcPr>
          <w:p w14:paraId="63E1907E"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noWrap/>
            <w:hideMark/>
          </w:tcPr>
          <w:p w14:paraId="5F7124F0"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4.564</w:t>
            </w:r>
          </w:p>
        </w:tc>
        <w:tc>
          <w:tcPr>
            <w:tcW w:w="709" w:type="dxa"/>
            <w:noWrap/>
            <w:hideMark/>
          </w:tcPr>
          <w:p w14:paraId="12A2EBF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0.036</w:t>
            </w:r>
          </w:p>
        </w:tc>
        <w:tc>
          <w:tcPr>
            <w:tcW w:w="709" w:type="dxa"/>
            <w:noWrap/>
            <w:hideMark/>
          </w:tcPr>
          <w:p w14:paraId="0F44633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0.250</w:t>
            </w:r>
          </w:p>
        </w:tc>
        <w:tc>
          <w:tcPr>
            <w:tcW w:w="711" w:type="dxa"/>
            <w:noWrap/>
            <w:hideMark/>
          </w:tcPr>
          <w:p w14:paraId="4D9E023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noWrap/>
            <w:hideMark/>
          </w:tcPr>
          <w:p w14:paraId="41C74F9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0.803</w:t>
            </w:r>
          </w:p>
        </w:tc>
        <w:tc>
          <w:tcPr>
            <w:tcW w:w="992" w:type="dxa"/>
            <w:noWrap/>
            <w:hideMark/>
          </w:tcPr>
          <w:p w14:paraId="164557B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0.038</w:t>
            </w:r>
          </w:p>
        </w:tc>
        <w:tc>
          <w:tcPr>
            <w:tcW w:w="993" w:type="dxa"/>
            <w:noWrap/>
            <w:hideMark/>
          </w:tcPr>
          <w:p w14:paraId="7D436EC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0.152</w:t>
            </w:r>
          </w:p>
        </w:tc>
        <w:tc>
          <w:tcPr>
            <w:tcW w:w="1069" w:type="dxa"/>
            <w:noWrap/>
            <w:hideMark/>
          </w:tcPr>
          <w:p w14:paraId="1EFDE44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-0.264</w:t>
            </w:r>
          </w:p>
        </w:tc>
        <w:tc>
          <w:tcPr>
            <w:tcW w:w="993" w:type="dxa"/>
            <w:noWrap/>
            <w:hideMark/>
          </w:tcPr>
          <w:p w14:paraId="0D2BF1F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0.340</w:t>
            </w:r>
          </w:p>
        </w:tc>
      </w:tr>
      <w:tr w:rsidR="00B16EC1" w:rsidRPr="004218AF" w14:paraId="7A1A23EA" w14:textId="77777777" w:rsidTr="002B77BC">
        <w:trPr>
          <w:trHeight w:val="480"/>
        </w:trPr>
        <w:tc>
          <w:tcPr>
            <w:tcW w:w="436" w:type="dxa"/>
            <w:vMerge/>
            <w:hideMark/>
          </w:tcPr>
          <w:p w14:paraId="0E976D1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hideMark/>
          </w:tcPr>
          <w:p w14:paraId="6240D5AF"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hideMark/>
          </w:tcPr>
          <w:p w14:paraId="6C527B9B"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hideMark/>
          </w:tcPr>
          <w:p w14:paraId="335CCBC4"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noWrap/>
            <w:hideMark/>
          </w:tcPr>
          <w:p w14:paraId="0A01EBC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0.238</w:t>
            </w:r>
          </w:p>
        </w:tc>
        <w:tc>
          <w:tcPr>
            <w:tcW w:w="711" w:type="dxa"/>
            <w:noWrap/>
            <w:hideMark/>
          </w:tcPr>
          <w:p w14:paraId="06BE24E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55.022</w:t>
            </w:r>
          </w:p>
        </w:tc>
        <w:tc>
          <w:tcPr>
            <w:tcW w:w="709" w:type="dxa"/>
            <w:noWrap/>
            <w:hideMark/>
          </w:tcPr>
          <w:p w14:paraId="4799967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0.813</w:t>
            </w:r>
          </w:p>
        </w:tc>
        <w:tc>
          <w:tcPr>
            <w:tcW w:w="992" w:type="dxa"/>
            <w:noWrap/>
            <w:hideMark/>
          </w:tcPr>
          <w:p w14:paraId="6A2D4A8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0.038</w:t>
            </w:r>
          </w:p>
        </w:tc>
        <w:tc>
          <w:tcPr>
            <w:tcW w:w="993" w:type="dxa"/>
            <w:noWrap/>
            <w:hideMark/>
          </w:tcPr>
          <w:p w14:paraId="6692442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0.159</w:t>
            </w:r>
          </w:p>
        </w:tc>
        <w:tc>
          <w:tcPr>
            <w:tcW w:w="1069" w:type="dxa"/>
            <w:noWrap/>
            <w:hideMark/>
          </w:tcPr>
          <w:p w14:paraId="144DCE8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-0.281</w:t>
            </w:r>
          </w:p>
        </w:tc>
        <w:tc>
          <w:tcPr>
            <w:tcW w:w="993" w:type="dxa"/>
            <w:noWrap/>
            <w:hideMark/>
          </w:tcPr>
          <w:p w14:paraId="07F917F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0.356</w:t>
            </w:r>
          </w:p>
        </w:tc>
      </w:tr>
    </w:tbl>
    <w:p w14:paraId="57E0D47F" w14:textId="77777777" w:rsidR="00B16EC1" w:rsidRPr="004218AF" w:rsidRDefault="00B16EC1" w:rsidP="00F61F39">
      <w:pPr>
        <w:spacing w:after="0"/>
        <w:rPr>
          <w:rFonts w:ascii="Times New Roman" w:hAnsi="Times New Roman" w:cs="Times New Roman"/>
        </w:rPr>
      </w:pPr>
    </w:p>
    <w:bookmarkEnd w:id="4"/>
    <w:p w14:paraId="6744FC27" w14:textId="77777777" w:rsidR="004218AF" w:rsidRPr="008F3456" w:rsidRDefault="004218AF" w:rsidP="00E91078">
      <w:pPr>
        <w:spacing w:after="0"/>
        <w:jc w:val="both"/>
        <w:rPr>
          <w:rFonts w:ascii="Times New Roman" w:hAnsi="Times New Roman" w:cs="Times New Roman"/>
        </w:rPr>
      </w:pPr>
      <w:r w:rsidRPr="008F3456">
        <w:rPr>
          <w:rFonts w:ascii="Times New Roman" w:hAnsi="Times New Roman" w:cs="Times New Roman"/>
        </w:rPr>
        <w:t>Table 7 presents the results of independent samples t-tests conducted to examine whether there were any significant differences between male and female students in terms of their awareness and understanding of development planning drawings (Q1–Q9) after attending the industrial talk. The analysis compared mean scores for each item between the two gender groups. Overall, the results show that none of the differences were statistically significant, as all Sig. (2-tailed) values were greater than 0.05.</w:t>
      </w:r>
    </w:p>
    <w:p w14:paraId="5C8A5336" w14:textId="77777777" w:rsidR="004218AF" w:rsidRPr="008F3456" w:rsidRDefault="004218AF" w:rsidP="00E91078">
      <w:pPr>
        <w:spacing w:after="0"/>
        <w:jc w:val="both"/>
        <w:rPr>
          <w:rFonts w:ascii="Times New Roman" w:hAnsi="Times New Roman" w:cs="Times New Roman"/>
        </w:rPr>
      </w:pPr>
      <w:r w:rsidRPr="008F3456">
        <w:rPr>
          <w:rFonts w:ascii="Times New Roman" w:hAnsi="Times New Roman" w:cs="Times New Roman"/>
        </w:rPr>
        <w:t>For instance, students’ understanding of architectural drawings (Q2) showed no difference at all between genders (</w:t>
      </w:r>
      <w:r w:rsidRPr="008F3456">
        <w:rPr>
          <w:rFonts w:ascii="Times New Roman" w:hAnsi="Times New Roman" w:cs="Times New Roman"/>
          <w:i/>
          <w:iCs/>
        </w:rPr>
        <w:t>p</w:t>
      </w:r>
      <w:r w:rsidRPr="008F3456">
        <w:rPr>
          <w:rFonts w:ascii="Times New Roman" w:hAnsi="Times New Roman" w:cs="Times New Roman"/>
        </w:rPr>
        <w:t xml:space="preserve"> = 1.000), while their awareness of civil and structural drawings (Q3), infrastructure drawings (Q4), and M&amp;E drawings (Q6) also showed no significant variance, with p-values well above the 0.05 threshold. The closest to significance was Q4 (</w:t>
      </w:r>
      <w:r w:rsidRPr="008F3456">
        <w:rPr>
          <w:rFonts w:ascii="Times New Roman" w:hAnsi="Times New Roman" w:cs="Times New Roman"/>
          <w:i/>
          <w:iCs/>
        </w:rPr>
        <w:t>p</w:t>
      </w:r>
      <w:r w:rsidRPr="008F3456">
        <w:rPr>
          <w:rFonts w:ascii="Times New Roman" w:hAnsi="Times New Roman" w:cs="Times New Roman"/>
        </w:rPr>
        <w:t xml:space="preserve"> = 0.297), but this still falls within the range indicating no meaningful difference. Even the confidence levels in interpreting development plans (Q8) were similar between male and female participants (</w:t>
      </w:r>
      <w:r w:rsidRPr="008F3456">
        <w:rPr>
          <w:rFonts w:ascii="Times New Roman" w:hAnsi="Times New Roman" w:cs="Times New Roman"/>
          <w:i/>
          <w:iCs/>
        </w:rPr>
        <w:t>p</w:t>
      </w:r>
      <w:r w:rsidRPr="008F3456">
        <w:rPr>
          <w:rFonts w:ascii="Times New Roman" w:hAnsi="Times New Roman" w:cs="Times New Roman"/>
        </w:rPr>
        <w:t xml:space="preserve"> = 0.228), showing that both groups benefited equally from the talk.</w:t>
      </w:r>
    </w:p>
    <w:p w14:paraId="41A71FCD" w14:textId="77777777" w:rsidR="004218AF" w:rsidRPr="008F3456" w:rsidRDefault="004218AF" w:rsidP="00E91078">
      <w:pPr>
        <w:spacing w:after="0"/>
        <w:jc w:val="both"/>
        <w:rPr>
          <w:rFonts w:ascii="Times New Roman" w:hAnsi="Times New Roman" w:cs="Times New Roman"/>
        </w:rPr>
      </w:pPr>
      <w:r w:rsidRPr="008F3456">
        <w:rPr>
          <w:rFonts w:ascii="Times New Roman" w:hAnsi="Times New Roman" w:cs="Times New Roman"/>
        </w:rPr>
        <w:t>Furthermore, the Levene’s Test for equality of variances mostly confirmed that the assumption of equal variances was valid for these comparisons, meaning the statistical test results can be interpreted with confidence. Taken together, the findings suggest that the industrial talk was equally effective for all participants regardless of gender, and that both male and female students demonstrated comparable levels of understanding and satisfaction after attending the session.</w:t>
      </w:r>
    </w:p>
    <w:p w14:paraId="7E54AB05" w14:textId="77777777" w:rsidR="004218AF" w:rsidRPr="004218AF" w:rsidRDefault="004218AF" w:rsidP="00F61F39">
      <w:pPr>
        <w:spacing w:after="0"/>
        <w:rPr>
          <w:rFonts w:ascii="Times New Roman" w:hAnsi="Times New Roman" w:cs="Times New Roman"/>
        </w:rPr>
      </w:pPr>
    </w:p>
    <w:p w14:paraId="1131D1C2" w14:textId="77777777" w:rsidR="004218AF" w:rsidRPr="004218AF" w:rsidRDefault="004218AF" w:rsidP="004218AF">
      <w:pPr>
        <w:spacing w:after="0"/>
        <w:rPr>
          <w:rFonts w:ascii="Times New Roman" w:hAnsi="Times New Roman" w:cs="Times New Roman"/>
        </w:rPr>
      </w:pPr>
    </w:p>
    <w:p w14:paraId="3F48CB87" w14:textId="4B73BD5B" w:rsidR="004218AF" w:rsidRPr="004218AF" w:rsidRDefault="004218AF" w:rsidP="004218AF">
      <w:pPr>
        <w:spacing w:after="0"/>
        <w:rPr>
          <w:rFonts w:ascii="Times New Roman" w:hAnsi="Times New Roman" w:cs="Times New Roman"/>
          <w:b/>
          <w:bCs/>
        </w:rPr>
      </w:pPr>
      <w:r w:rsidRPr="004218AF">
        <w:rPr>
          <w:rFonts w:ascii="Times New Roman" w:hAnsi="Times New Roman" w:cs="Times New Roman"/>
          <w:b/>
          <w:bCs/>
        </w:rPr>
        <w:t>4. C</w:t>
      </w:r>
      <w:r w:rsidR="00231D4C">
        <w:rPr>
          <w:rFonts w:ascii="Times New Roman" w:hAnsi="Times New Roman" w:cs="Times New Roman"/>
          <w:b/>
          <w:bCs/>
        </w:rPr>
        <w:t>ONCLUSION</w:t>
      </w:r>
    </w:p>
    <w:p w14:paraId="414284EF" w14:textId="5A6D903A" w:rsidR="004218AF" w:rsidRPr="004218AF" w:rsidRDefault="004218AF" w:rsidP="008F3456">
      <w:pPr>
        <w:spacing w:after="0"/>
        <w:jc w:val="both"/>
        <w:rPr>
          <w:rFonts w:ascii="Times New Roman" w:hAnsi="Times New Roman" w:cs="Times New Roman"/>
        </w:rPr>
      </w:pPr>
      <w:r w:rsidRPr="004218AF">
        <w:rPr>
          <w:rFonts w:ascii="Times New Roman" w:hAnsi="Times New Roman" w:cs="Times New Roman"/>
        </w:rPr>
        <w:t>This study set out to evaluate the impact of an industrial talk designed to enhance students' understanding of the development planning process within the construction industry. The talk focused on key technical components, including architectural, civil and structural, infrastructure, survey, and mechanical and electrical (M&amp;E) drawings, which are fundamental to real-world construction project delivery.</w:t>
      </w:r>
      <w:r w:rsidR="008F3456">
        <w:rPr>
          <w:rFonts w:ascii="Times New Roman" w:hAnsi="Times New Roman" w:cs="Times New Roman"/>
        </w:rPr>
        <w:t xml:space="preserve"> </w:t>
      </w:r>
      <w:r w:rsidRPr="004218AF">
        <w:rPr>
          <w:rFonts w:ascii="Times New Roman" w:hAnsi="Times New Roman" w:cs="Times New Roman"/>
        </w:rPr>
        <w:t xml:space="preserve">Findings from the descriptive statistics showed that participants initially had a low level of understanding prior to the talk (mean score = 2.75), but demonstrated a significant increase in comprehension post-session (mean score = 8.35). This substantial improvement was further confirmed </w:t>
      </w:r>
      <w:r w:rsidRPr="004218AF">
        <w:rPr>
          <w:rFonts w:ascii="Times New Roman" w:hAnsi="Times New Roman" w:cs="Times New Roman"/>
        </w:rPr>
        <w:lastRenderedPageBreak/>
        <w:t>through a paired samples t-test, which yielded a statistically significant result (</w:t>
      </w:r>
      <w:r w:rsidRPr="004218AF">
        <w:rPr>
          <w:rFonts w:ascii="Times New Roman" w:hAnsi="Times New Roman" w:cs="Times New Roman"/>
          <w:i/>
          <w:iCs/>
        </w:rPr>
        <w:t>p</w:t>
      </w:r>
      <w:r w:rsidRPr="004218AF">
        <w:rPr>
          <w:rFonts w:ascii="Times New Roman" w:hAnsi="Times New Roman" w:cs="Times New Roman"/>
        </w:rPr>
        <w:t xml:space="preserve"> &lt; 0.001), highlighting the effectiveness of the talk in closing the knowledge gap.</w:t>
      </w:r>
      <w:r w:rsidR="008F3456">
        <w:rPr>
          <w:rFonts w:ascii="Times New Roman" w:hAnsi="Times New Roman" w:cs="Times New Roman"/>
        </w:rPr>
        <w:t xml:space="preserve"> </w:t>
      </w:r>
      <w:r w:rsidRPr="004218AF">
        <w:rPr>
          <w:rFonts w:ascii="Times New Roman" w:hAnsi="Times New Roman" w:cs="Times New Roman"/>
        </w:rPr>
        <w:t>The reliability analysis yielded a Cronbach's Alpha of 0.965 for the Likert-scale items, indicating excellent internal consistency and validating the quality of the measurement instrument. Moreover, group comparison tests revealed no significant differences in awareness and understanding between male and female students, suggesting the session was equally beneficial across genders. Similarly, attendance group differences (student, lecturer, speaker) did not produce significant variances in understanding levels, reinforcing the broad relevance and accessibility of the talk's content.</w:t>
      </w:r>
      <w:r w:rsidR="008F3456">
        <w:rPr>
          <w:rFonts w:ascii="Times New Roman" w:hAnsi="Times New Roman" w:cs="Times New Roman"/>
        </w:rPr>
        <w:t xml:space="preserve"> </w:t>
      </w:r>
      <w:r w:rsidRPr="004218AF">
        <w:rPr>
          <w:rFonts w:ascii="Times New Roman" w:hAnsi="Times New Roman" w:cs="Times New Roman"/>
        </w:rPr>
        <w:t>In conclusion, the industrial talk served its intended purpose as an effective educational intervention, providing participants with meaningful exposure to industry practices and technical documentation essential to construction project planning. The positive results not only support the integration of such initiatives into the engineering curriculum but also underscore the value of academic–industry collaboration in developing well-rounded, industry-ready graduates.</w:t>
      </w:r>
    </w:p>
    <w:p w14:paraId="2FF28A36" w14:textId="77777777" w:rsidR="00B16EC1" w:rsidRPr="004218AF" w:rsidRDefault="00B16EC1" w:rsidP="00F61F39">
      <w:pPr>
        <w:spacing w:after="0"/>
        <w:rPr>
          <w:rFonts w:ascii="Times New Roman" w:hAnsi="Times New Roman" w:cs="Times New Roman"/>
        </w:rPr>
      </w:pPr>
    </w:p>
    <w:p w14:paraId="3435B633" w14:textId="77777777" w:rsidR="00B16EC1" w:rsidRPr="004218AF" w:rsidRDefault="00B16EC1" w:rsidP="00F61F39">
      <w:pPr>
        <w:spacing w:after="0"/>
        <w:rPr>
          <w:rFonts w:ascii="Times New Roman" w:hAnsi="Times New Roman" w:cs="Times New Roman"/>
        </w:rPr>
      </w:pPr>
    </w:p>
    <w:p w14:paraId="0B9B9D92" w14:textId="77777777" w:rsidR="00B16EC1" w:rsidRPr="00352FD1" w:rsidRDefault="00E91078" w:rsidP="00F61F39">
      <w:pPr>
        <w:spacing w:after="0"/>
        <w:rPr>
          <w:rFonts w:ascii="Times New Roman" w:hAnsi="Times New Roman" w:cs="Times New Roman"/>
          <w:b/>
          <w:bCs/>
        </w:rPr>
      </w:pPr>
      <w:r w:rsidRPr="00352FD1">
        <w:rPr>
          <w:rFonts w:ascii="Times New Roman" w:hAnsi="Times New Roman" w:cs="Times New Roman"/>
          <w:b/>
          <w:bCs/>
        </w:rPr>
        <w:t>References</w:t>
      </w:r>
    </w:p>
    <w:p w14:paraId="1A3E1DAE" w14:textId="127D5127" w:rsidR="00F23BFD" w:rsidRPr="00F23BFD" w:rsidRDefault="00E91078"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F23BFD" w:rsidRPr="00F23BFD">
        <w:rPr>
          <w:rFonts w:ascii="Times New Roman" w:hAnsi="Times New Roman" w:cs="Times New Roman"/>
          <w:noProof/>
          <w:szCs w:val="24"/>
        </w:rPr>
        <w:t>[1]</w:t>
      </w:r>
      <w:r w:rsidR="00F23BFD" w:rsidRPr="00F23BFD">
        <w:rPr>
          <w:rFonts w:ascii="Times New Roman" w:hAnsi="Times New Roman" w:cs="Times New Roman"/>
          <w:noProof/>
          <w:szCs w:val="24"/>
        </w:rPr>
        <w:tab/>
        <w:t>D. Asmani, M. Yusof, N. Farina, and M. Halim, “A Study on Effectiveness of Industrial Talk Approaches for Geology Course,” vol. 12, no. 1, pp. 54–61, 2023, doi: 10.6007/IJARPED/v12-i1/16109.</w:t>
      </w:r>
    </w:p>
    <w:p w14:paraId="5C056F15"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sidRPr="00F23BFD">
        <w:rPr>
          <w:rFonts w:ascii="Times New Roman" w:hAnsi="Times New Roman" w:cs="Times New Roman"/>
          <w:noProof/>
          <w:szCs w:val="24"/>
        </w:rPr>
        <w:t>[2]</w:t>
      </w:r>
      <w:r w:rsidRPr="00F23BFD">
        <w:rPr>
          <w:rFonts w:ascii="Times New Roman" w:hAnsi="Times New Roman" w:cs="Times New Roman"/>
          <w:noProof/>
          <w:szCs w:val="24"/>
        </w:rPr>
        <w:tab/>
        <w:t>F. L. Erinjogunola, R. K. Olayiwola, R. O. Ajirotutu, and Z. Sikhakhane-, “Bridging the Gap : Enhancing Civil Engineering Education through Practical Applications,” 2025.</w:t>
      </w:r>
    </w:p>
    <w:p w14:paraId="57834E6C"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sidRPr="00F23BFD">
        <w:rPr>
          <w:rFonts w:ascii="Times New Roman" w:hAnsi="Times New Roman" w:cs="Times New Roman"/>
          <w:noProof/>
          <w:szCs w:val="24"/>
        </w:rPr>
        <w:t>[3]</w:t>
      </w:r>
      <w:r w:rsidRPr="00F23BFD">
        <w:rPr>
          <w:rFonts w:ascii="Times New Roman" w:hAnsi="Times New Roman" w:cs="Times New Roman"/>
          <w:noProof/>
          <w:szCs w:val="24"/>
        </w:rPr>
        <w:tab/>
        <w:t xml:space="preserve">B. of E. Malaysia, </w:t>
      </w:r>
      <w:r w:rsidRPr="00F23BFD">
        <w:rPr>
          <w:rFonts w:ascii="Times New Roman" w:hAnsi="Times New Roman" w:cs="Times New Roman"/>
          <w:i/>
          <w:iCs/>
          <w:noProof/>
          <w:szCs w:val="24"/>
        </w:rPr>
        <w:t>Engineering Programme Accreditation Standard 2024</w:t>
      </w:r>
      <w:r w:rsidRPr="00F23BFD">
        <w:rPr>
          <w:rFonts w:ascii="Times New Roman" w:hAnsi="Times New Roman" w:cs="Times New Roman"/>
          <w:noProof/>
          <w:szCs w:val="24"/>
        </w:rPr>
        <w:t>. Board of Engineers Malaysia, 2024.</w:t>
      </w:r>
    </w:p>
    <w:p w14:paraId="63645E3F"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sidRPr="00F23BFD">
        <w:rPr>
          <w:rFonts w:ascii="Times New Roman" w:hAnsi="Times New Roman" w:cs="Times New Roman"/>
          <w:noProof/>
          <w:szCs w:val="24"/>
        </w:rPr>
        <w:t>[4]</w:t>
      </w:r>
      <w:r w:rsidRPr="00F23BFD">
        <w:rPr>
          <w:rFonts w:ascii="Times New Roman" w:hAnsi="Times New Roman" w:cs="Times New Roman"/>
          <w:noProof/>
          <w:szCs w:val="24"/>
        </w:rPr>
        <w:tab/>
        <w:t xml:space="preserve">J. W. Creswell, </w:t>
      </w:r>
      <w:r w:rsidRPr="00F23BFD">
        <w:rPr>
          <w:rFonts w:ascii="Times New Roman" w:hAnsi="Times New Roman" w:cs="Times New Roman"/>
          <w:i/>
          <w:iCs/>
          <w:noProof/>
          <w:szCs w:val="24"/>
        </w:rPr>
        <w:t>Research design: Qualitative, quantitative, and mixed methods approaches</w:t>
      </w:r>
      <w:r w:rsidRPr="00F23BFD">
        <w:rPr>
          <w:rFonts w:ascii="Times New Roman" w:hAnsi="Times New Roman" w:cs="Times New Roman"/>
          <w:noProof/>
          <w:szCs w:val="24"/>
        </w:rPr>
        <w:t>. SAGE Publications, Inc., 2009. doi: 10.1128/microbe.4.485.1.</w:t>
      </w:r>
    </w:p>
    <w:p w14:paraId="1C808F00"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rPr>
      </w:pPr>
      <w:r w:rsidRPr="00F23BFD">
        <w:rPr>
          <w:rFonts w:ascii="Times New Roman" w:hAnsi="Times New Roman" w:cs="Times New Roman"/>
          <w:noProof/>
          <w:szCs w:val="24"/>
        </w:rPr>
        <w:t>[5]</w:t>
      </w:r>
      <w:r w:rsidRPr="00F23BFD">
        <w:rPr>
          <w:rFonts w:ascii="Times New Roman" w:hAnsi="Times New Roman" w:cs="Times New Roman"/>
          <w:noProof/>
          <w:szCs w:val="24"/>
        </w:rPr>
        <w:tab/>
        <w:t xml:space="preserve">B. C. Cronk, </w:t>
      </w:r>
      <w:r w:rsidRPr="00F23BFD">
        <w:rPr>
          <w:rFonts w:ascii="Times New Roman" w:hAnsi="Times New Roman" w:cs="Times New Roman"/>
          <w:i/>
          <w:iCs/>
          <w:noProof/>
          <w:szCs w:val="24"/>
        </w:rPr>
        <w:t>How to Use SPSS® A Step-By-Step Guide to Analysis and Interpretation</w:t>
      </w:r>
      <w:r w:rsidRPr="00F23BFD">
        <w:rPr>
          <w:rFonts w:ascii="Times New Roman" w:hAnsi="Times New Roman" w:cs="Times New Roman"/>
          <w:noProof/>
          <w:szCs w:val="24"/>
        </w:rPr>
        <w:t>, 10th ed. Taylor &amp; Francis Group, 2017. doi: 10.4324/9781315142999.</w:t>
      </w:r>
    </w:p>
    <w:p w14:paraId="7DCF586B" w14:textId="77777777" w:rsidR="00E91078" w:rsidRPr="004218AF" w:rsidRDefault="00E91078" w:rsidP="00F61F39">
      <w:pPr>
        <w:spacing w:after="0"/>
        <w:rPr>
          <w:rFonts w:ascii="Times New Roman" w:hAnsi="Times New Roman" w:cs="Times New Roman"/>
        </w:rPr>
      </w:pPr>
      <w:r>
        <w:rPr>
          <w:rFonts w:ascii="Times New Roman" w:hAnsi="Times New Roman" w:cs="Times New Roman"/>
        </w:rPr>
        <w:fldChar w:fldCharType="end"/>
      </w:r>
    </w:p>
    <w:p w14:paraId="13BFCAF5" w14:textId="2C4F749F" w:rsidR="00B51378" w:rsidRPr="00352FD1" w:rsidRDefault="00B51378" w:rsidP="00A15114">
      <w:pPr>
        <w:spacing w:after="0"/>
        <w:rPr>
          <w:rFonts w:ascii="Times New Roman" w:hAnsi="Times New Roman" w:cs="Times New Roman"/>
          <w:b/>
          <w:bCs/>
        </w:rPr>
      </w:pPr>
    </w:p>
    <w:sectPr w:rsidR="00B51378" w:rsidRPr="0035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1B3A"/>
    <w:multiLevelType w:val="hybridMultilevel"/>
    <w:tmpl w:val="78E0A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1C4BBD"/>
    <w:multiLevelType w:val="multilevel"/>
    <w:tmpl w:val="988C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74B30"/>
    <w:multiLevelType w:val="multilevel"/>
    <w:tmpl w:val="8AFC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C7E57"/>
    <w:multiLevelType w:val="multilevel"/>
    <w:tmpl w:val="410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21BD6"/>
    <w:multiLevelType w:val="multilevel"/>
    <w:tmpl w:val="220A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C2678"/>
    <w:multiLevelType w:val="multilevel"/>
    <w:tmpl w:val="E3A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A0024"/>
    <w:multiLevelType w:val="multilevel"/>
    <w:tmpl w:val="2C92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27BA4"/>
    <w:multiLevelType w:val="multilevel"/>
    <w:tmpl w:val="4894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32877">
    <w:abstractNumId w:val="0"/>
  </w:num>
  <w:num w:numId="2" w16cid:durableId="1272787753">
    <w:abstractNumId w:val="2"/>
  </w:num>
  <w:num w:numId="3" w16cid:durableId="957833104">
    <w:abstractNumId w:val="4"/>
  </w:num>
  <w:num w:numId="4" w16cid:durableId="1703549777">
    <w:abstractNumId w:val="5"/>
  </w:num>
  <w:num w:numId="5" w16cid:durableId="562255696">
    <w:abstractNumId w:val="1"/>
  </w:num>
  <w:num w:numId="6" w16cid:durableId="704138142">
    <w:abstractNumId w:val="7"/>
  </w:num>
  <w:num w:numId="7" w16cid:durableId="465700126">
    <w:abstractNumId w:val="6"/>
  </w:num>
  <w:num w:numId="8" w16cid:durableId="2080639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78"/>
    <w:rsid w:val="000A35FF"/>
    <w:rsid w:val="000F5C2E"/>
    <w:rsid w:val="00157430"/>
    <w:rsid w:val="001820D2"/>
    <w:rsid w:val="001C0F2C"/>
    <w:rsid w:val="00231D4C"/>
    <w:rsid w:val="002B77BC"/>
    <w:rsid w:val="00326830"/>
    <w:rsid w:val="00352FD1"/>
    <w:rsid w:val="003E2DAA"/>
    <w:rsid w:val="004218AF"/>
    <w:rsid w:val="00430281"/>
    <w:rsid w:val="0058006C"/>
    <w:rsid w:val="00631993"/>
    <w:rsid w:val="007E6A49"/>
    <w:rsid w:val="008F3456"/>
    <w:rsid w:val="00977770"/>
    <w:rsid w:val="00A15114"/>
    <w:rsid w:val="00A366EF"/>
    <w:rsid w:val="00A56152"/>
    <w:rsid w:val="00B16EC1"/>
    <w:rsid w:val="00B214CF"/>
    <w:rsid w:val="00B467A0"/>
    <w:rsid w:val="00B51378"/>
    <w:rsid w:val="00CD6602"/>
    <w:rsid w:val="00E91078"/>
    <w:rsid w:val="00F23BFD"/>
    <w:rsid w:val="00F5723C"/>
    <w:rsid w:val="00F61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56E7"/>
  <w15:chartTrackingRefBased/>
  <w15:docId w15:val="{8C964E12-0B55-460F-9C14-83168B9A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218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61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1993"/>
    <w:rPr>
      <w:b/>
      <w:bCs/>
    </w:rPr>
  </w:style>
  <w:style w:type="paragraph" w:styleId="ListParagraph">
    <w:name w:val="List Paragraph"/>
    <w:basedOn w:val="Normal"/>
    <w:uiPriority w:val="34"/>
    <w:qFormat/>
    <w:rsid w:val="00F61F39"/>
    <w:pPr>
      <w:ind w:left="720"/>
      <w:contextualSpacing/>
    </w:pPr>
  </w:style>
  <w:style w:type="table" w:styleId="TableGrid">
    <w:name w:val="Table Grid"/>
    <w:basedOn w:val="TableNormal"/>
    <w:uiPriority w:val="39"/>
    <w:rsid w:val="00A5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5615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6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4218A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91078"/>
    <w:rPr>
      <w:sz w:val="16"/>
      <w:szCs w:val="16"/>
    </w:rPr>
  </w:style>
  <w:style w:type="paragraph" w:styleId="CommentText">
    <w:name w:val="annotation text"/>
    <w:basedOn w:val="Normal"/>
    <w:link w:val="CommentTextChar"/>
    <w:uiPriority w:val="99"/>
    <w:semiHidden/>
    <w:unhideWhenUsed/>
    <w:rsid w:val="00E91078"/>
    <w:pPr>
      <w:spacing w:line="240" w:lineRule="auto"/>
    </w:pPr>
    <w:rPr>
      <w:sz w:val="20"/>
      <w:szCs w:val="20"/>
    </w:rPr>
  </w:style>
  <w:style w:type="character" w:customStyle="1" w:styleId="CommentTextChar">
    <w:name w:val="Comment Text Char"/>
    <w:basedOn w:val="DefaultParagraphFont"/>
    <w:link w:val="CommentText"/>
    <w:uiPriority w:val="99"/>
    <w:semiHidden/>
    <w:rsid w:val="00E91078"/>
    <w:rPr>
      <w:sz w:val="20"/>
      <w:szCs w:val="20"/>
    </w:rPr>
  </w:style>
  <w:style w:type="paragraph" w:styleId="CommentSubject">
    <w:name w:val="annotation subject"/>
    <w:basedOn w:val="CommentText"/>
    <w:next w:val="CommentText"/>
    <w:link w:val="CommentSubjectChar"/>
    <w:uiPriority w:val="99"/>
    <w:semiHidden/>
    <w:unhideWhenUsed/>
    <w:rsid w:val="00E91078"/>
    <w:rPr>
      <w:b/>
      <w:bCs/>
    </w:rPr>
  </w:style>
  <w:style w:type="character" w:customStyle="1" w:styleId="CommentSubjectChar">
    <w:name w:val="Comment Subject Char"/>
    <w:basedOn w:val="CommentTextChar"/>
    <w:link w:val="CommentSubject"/>
    <w:uiPriority w:val="99"/>
    <w:semiHidden/>
    <w:rsid w:val="00E91078"/>
    <w:rPr>
      <w:b/>
      <w:bCs/>
      <w:sz w:val="20"/>
      <w:szCs w:val="20"/>
    </w:rPr>
  </w:style>
  <w:style w:type="paragraph" w:styleId="BalloonText">
    <w:name w:val="Balloon Text"/>
    <w:basedOn w:val="Normal"/>
    <w:link w:val="BalloonTextChar"/>
    <w:uiPriority w:val="99"/>
    <w:semiHidden/>
    <w:unhideWhenUsed/>
    <w:rsid w:val="00E91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701">
      <w:bodyDiv w:val="1"/>
      <w:marLeft w:val="0"/>
      <w:marRight w:val="0"/>
      <w:marTop w:val="0"/>
      <w:marBottom w:val="0"/>
      <w:divBdr>
        <w:top w:val="none" w:sz="0" w:space="0" w:color="auto"/>
        <w:left w:val="none" w:sz="0" w:space="0" w:color="auto"/>
        <w:bottom w:val="none" w:sz="0" w:space="0" w:color="auto"/>
        <w:right w:val="none" w:sz="0" w:space="0" w:color="auto"/>
      </w:divBdr>
    </w:div>
    <w:div w:id="47264464">
      <w:bodyDiv w:val="1"/>
      <w:marLeft w:val="0"/>
      <w:marRight w:val="0"/>
      <w:marTop w:val="0"/>
      <w:marBottom w:val="0"/>
      <w:divBdr>
        <w:top w:val="none" w:sz="0" w:space="0" w:color="auto"/>
        <w:left w:val="none" w:sz="0" w:space="0" w:color="auto"/>
        <w:bottom w:val="none" w:sz="0" w:space="0" w:color="auto"/>
        <w:right w:val="none" w:sz="0" w:space="0" w:color="auto"/>
      </w:divBdr>
    </w:div>
    <w:div w:id="201479468">
      <w:bodyDiv w:val="1"/>
      <w:marLeft w:val="0"/>
      <w:marRight w:val="0"/>
      <w:marTop w:val="0"/>
      <w:marBottom w:val="0"/>
      <w:divBdr>
        <w:top w:val="none" w:sz="0" w:space="0" w:color="auto"/>
        <w:left w:val="none" w:sz="0" w:space="0" w:color="auto"/>
        <w:bottom w:val="none" w:sz="0" w:space="0" w:color="auto"/>
        <w:right w:val="none" w:sz="0" w:space="0" w:color="auto"/>
      </w:divBdr>
    </w:div>
    <w:div w:id="262884674">
      <w:bodyDiv w:val="1"/>
      <w:marLeft w:val="0"/>
      <w:marRight w:val="0"/>
      <w:marTop w:val="0"/>
      <w:marBottom w:val="0"/>
      <w:divBdr>
        <w:top w:val="none" w:sz="0" w:space="0" w:color="auto"/>
        <w:left w:val="none" w:sz="0" w:space="0" w:color="auto"/>
        <w:bottom w:val="none" w:sz="0" w:space="0" w:color="auto"/>
        <w:right w:val="none" w:sz="0" w:space="0" w:color="auto"/>
      </w:divBdr>
    </w:div>
    <w:div w:id="482626781">
      <w:bodyDiv w:val="1"/>
      <w:marLeft w:val="0"/>
      <w:marRight w:val="0"/>
      <w:marTop w:val="0"/>
      <w:marBottom w:val="0"/>
      <w:divBdr>
        <w:top w:val="none" w:sz="0" w:space="0" w:color="auto"/>
        <w:left w:val="none" w:sz="0" w:space="0" w:color="auto"/>
        <w:bottom w:val="none" w:sz="0" w:space="0" w:color="auto"/>
        <w:right w:val="none" w:sz="0" w:space="0" w:color="auto"/>
      </w:divBdr>
    </w:div>
    <w:div w:id="483745662">
      <w:bodyDiv w:val="1"/>
      <w:marLeft w:val="0"/>
      <w:marRight w:val="0"/>
      <w:marTop w:val="0"/>
      <w:marBottom w:val="0"/>
      <w:divBdr>
        <w:top w:val="none" w:sz="0" w:space="0" w:color="auto"/>
        <w:left w:val="none" w:sz="0" w:space="0" w:color="auto"/>
        <w:bottom w:val="none" w:sz="0" w:space="0" w:color="auto"/>
        <w:right w:val="none" w:sz="0" w:space="0" w:color="auto"/>
      </w:divBdr>
    </w:div>
    <w:div w:id="542182853">
      <w:bodyDiv w:val="1"/>
      <w:marLeft w:val="0"/>
      <w:marRight w:val="0"/>
      <w:marTop w:val="0"/>
      <w:marBottom w:val="0"/>
      <w:divBdr>
        <w:top w:val="none" w:sz="0" w:space="0" w:color="auto"/>
        <w:left w:val="none" w:sz="0" w:space="0" w:color="auto"/>
        <w:bottom w:val="none" w:sz="0" w:space="0" w:color="auto"/>
        <w:right w:val="none" w:sz="0" w:space="0" w:color="auto"/>
      </w:divBdr>
    </w:div>
    <w:div w:id="594830360">
      <w:bodyDiv w:val="1"/>
      <w:marLeft w:val="0"/>
      <w:marRight w:val="0"/>
      <w:marTop w:val="0"/>
      <w:marBottom w:val="0"/>
      <w:divBdr>
        <w:top w:val="none" w:sz="0" w:space="0" w:color="auto"/>
        <w:left w:val="none" w:sz="0" w:space="0" w:color="auto"/>
        <w:bottom w:val="none" w:sz="0" w:space="0" w:color="auto"/>
        <w:right w:val="none" w:sz="0" w:space="0" w:color="auto"/>
      </w:divBdr>
    </w:div>
    <w:div w:id="644773295">
      <w:bodyDiv w:val="1"/>
      <w:marLeft w:val="0"/>
      <w:marRight w:val="0"/>
      <w:marTop w:val="0"/>
      <w:marBottom w:val="0"/>
      <w:divBdr>
        <w:top w:val="none" w:sz="0" w:space="0" w:color="auto"/>
        <w:left w:val="none" w:sz="0" w:space="0" w:color="auto"/>
        <w:bottom w:val="none" w:sz="0" w:space="0" w:color="auto"/>
        <w:right w:val="none" w:sz="0" w:space="0" w:color="auto"/>
      </w:divBdr>
    </w:div>
    <w:div w:id="779951229">
      <w:bodyDiv w:val="1"/>
      <w:marLeft w:val="0"/>
      <w:marRight w:val="0"/>
      <w:marTop w:val="0"/>
      <w:marBottom w:val="0"/>
      <w:divBdr>
        <w:top w:val="none" w:sz="0" w:space="0" w:color="auto"/>
        <w:left w:val="none" w:sz="0" w:space="0" w:color="auto"/>
        <w:bottom w:val="none" w:sz="0" w:space="0" w:color="auto"/>
        <w:right w:val="none" w:sz="0" w:space="0" w:color="auto"/>
      </w:divBdr>
    </w:div>
    <w:div w:id="945427574">
      <w:bodyDiv w:val="1"/>
      <w:marLeft w:val="0"/>
      <w:marRight w:val="0"/>
      <w:marTop w:val="0"/>
      <w:marBottom w:val="0"/>
      <w:divBdr>
        <w:top w:val="none" w:sz="0" w:space="0" w:color="auto"/>
        <w:left w:val="none" w:sz="0" w:space="0" w:color="auto"/>
        <w:bottom w:val="none" w:sz="0" w:space="0" w:color="auto"/>
        <w:right w:val="none" w:sz="0" w:space="0" w:color="auto"/>
      </w:divBdr>
    </w:div>
    <w:div w:id="1065883222">
      <w:bodyDiv w:val="1"/>
      <w:marLeft w:val="0"/>
      <w:marRight w:val="0"/>
      <w:marTop w:val="0"/>
      <w:marBottom w:val="0"/>
      <w:divBdr>
        <w:top w:val="none" w:sz="0" w:space="0" w:color="auto"/>
        <w:left w:val="none" w:sz="0" w:space="0" w:color="auto"/>
        <w:bottom w:val="none" w:sz="0" w:space="0" w:color="auto"/>
        <w:right w:val="none" w:sz="0" w:space="0" w:color="auto"/>
      </w:divBdr>
      <w:divsChild>
        <w:div w:id="1400514174">
          <w:marLeft w:val="0"/>
          <w:marRight w:val="0"/>
          <w:marTop w:val="0"/>
          <w:marBottom w:val="0"/>
          <w:divBdr>
            <w:top w:val="none" w:sz="0" w:space="0" w:color="auto"/>
            <w:left w:val="none" w:sz="0" w:space="0" w:color="auto"/>
            <w:bottom w:val="none" w:sz="0" w:space="0" w:color="auto"/>
            <w:right w:val="none" w:sz="0" w:space="0" w:color="auto"/>
          </w:divBdr>
          <w:divsChild>
            <w:div w:id="821039391">
              <w:marLeft w:val="0"/>
              <w:marRight w:val="0"/>
              <w:marTop w:val="0"/>
              <w:marBottom w:val="0"/>
              <w:divBdr>
                <w:top w:val="none" w:sz="0" w:space="0" w:color="auto"/>
                <w:left w:val="none" w:sz="0" w:space="0" w:color="auto"/>
                <w:bottom w:val="none" w:sz="0" w:space="0" w:color="auto"/>
                <w:right w:val="none" w:sz="0" w:space="0" w:color="auto"/>
              </w:divBdr>
              <w:divsChild>
                <w:div w:id="1524055109">
                  <w:marLeft w:val="0"/>
                  <w:marRight w:val="0"/>
                  <w:marTop w:val="0"/>
                  <w:marBottom w:val="0"/>
                  <w:divBdr>
                    <w:top w:val="none" w:sz="0" w:space="0" w:color="auto"/>
                    <w:left w:val="none" w:sz="0" w:space="0" w:color="auto"/>
                    <w:bottom w:val="none" w:sz="0" w:space="0" w:color="auto"/>
                    <w:right w:val="none" w:sz="0" w:space="0" w:color="auto"/>
                  </w:divBdr>
                  <w:divsChild>
                    <w:div w:id="551502515">
                      <w:marLeft w:val="0"/>
                      <w:marRight w:val="0"/>
                      <w:marTop w:val="0"/>
                      <w:marBottom w:val="0"/>
                      <w:divBdr>
                        <w:top w:val="none" w:sz="0" w:space="0" w:color="auto"/>
                        <w:left w:val="none" w:sz="0" w:space="0" w:color="auto"/>
                        <w:bottom w:val="none" w:sz="0" w:space="0" w:color="auto"/>
                        <w:right w:val="none" w:sz="0" w:space="0" w:color="auto"/>
                      </w:divBdr>
                      <w:divsChild>
                        <w:div w:id="1653480567">
                          <w:marLeft w:val="0"/>
                          <w:marRight w:val="0"/>
                          <w:marTop w:val="0"/>
                          <w:marBottom w:val="0"/>
                          <w:divBdr>
                            <w:top w:val="none" w:sz="0" w:space="0" w:color="auto"/>
                            <w:left w:val="none" w:sz="0" w:space="0" w:color="auto"/>
                            <w:bottom w:val="none" w:sz="0" w:space="0" w:color="auto"/>
                            <w:right w:val="none" w:sz="0" w:space="0" w:color="auto"/>
                          </w:divBdr>
                          <w:divsChild>
                            <w:div w:id="1555198733">
                              <w:marLeft w:val="0"/>
                              <w:marRight w:val="0"/>
                              <w:marTop w:val="0"/>
                              <w:marBottom w:val="0"/>
                              <w:divBdr>
                                <w:top w:val="none" w:sz="0" w:space="0" w:color="auto"/>
                                <w:left w:val="none" w:sz="0" w:space="0" w:color="auto"/>
                                <w:bottom w:val="none" w:sz="0" w:space="0" w:color="auto"/>
                                <w:right w:val="none" w:sz="0" w:space="0" w:color="auto"/>
                              </w:divBdr>
                              <w:divsChild>
                                <w:div w:id="1388257168">
                                  <w:marLeft w:val="0"/>
                                  <w:marRight w:val="0"/>
                                  <w:marTop w:val="0"/>
                                  <w:marBottom w:val="0"/>
                                  <w:divBdr>
                                    <w:top w:val="none" w:sz="0" w:space="0" w:color="auto"/>
                                    <w:left w:val="none" w:sz="0" w:space="0" w:color="auto"/>
                                    <w:bottom w:val="none" w:sz="0" w:space="0" w:color="auto"/>
                                    <w:right w:val="none" w:sz="0" w:space="0" w:color="auto"/>
                                  </w:divBdr>
                                  <w:divsChild>
                                    <w:div w:id="1652559975">
                                      <w:marLeft w:val="0"/>
                                      <w:marRight w:val="0"/>
                                      <w:marTop w:val="0"/>
                                      <w:marBottom w:val="0"/>
                                      <w:divBdr>
                                        <w:top w:val="none" w:sz="0" w:space="0" w:color="auto"/>
                                        <w:left w:val="none" w:sz="0" w:space="0" w:color="auto"/>
                                        <w:bottom w:val="none" w:sz="0" w:space="0" w:color="auto"/>
                                        <w:right w:val="none" w:sz="0" w:space="0" w:color="auto"/>
                                      </w:divBdr>
                                      <w:divsChild>
                                        <w:div w:id="604768880">
                                          <w:marLeft w:val="0"/>
                                          <w:marRight w:val="0"/>
                                          <w:marTop w:val="0"/>
                                          <w:marBottom w:val="0"/>
                                          <w:divBdr>
                                            <w:top w:val="none" w:sz="0" w:space="0" w:color="auto"/>
                                            <w:left w:val="none" w:sz="0" w:space="0" w:color="auto"/>
                                            <w:bottom w:val="none" w:sz="0" w:space="0" w:color="auto"/>
                                            <w:right w:val="none" w:sz="0" w:space="0" w:color="auto"/>
                                          </w:divBdr>
                                          <w:divsChild>
                                            <w:div w:id="7570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185833">
      <w:bodyDiv w:val="1"/>
      <w:marLeft w:val="0"/>
      <w:marRight w:val="0"/>
      <w:marTop w:val="0"/>
      <w:marBottom w:val="0"/>
      <w:divBdr>
        <w:top w:val="none" w:sz="0" w:space="0" w:color="auto"/>
        <w:left w:val="none" w:sz="0" w:space="0" w:color="auto"/>
        <w:bottom w:val="none" w:sz="0" w:space="0" w:color="auto"/>
        <w:right w:val="none" w:sz="0" w:space="0" w:color="auto"/>
      </w:divBdr>
    </w:div>
    <w:div w:id="1158037827">
      <w:bodyDiv w:val="1"/>
      <w:marLeft w:val="0"/>
      <w:marRight w:val="0"/>
      <w:marTop w:val="0"/>
      <w:marBottom w:val="0"/>
      <w:divBdr>
        <w:top w:val="none" w:sz="0" w:space="0" w:color="auto"/>
        <w:left w:val="none" w:sz="0" w:space="0" w:color="auto"/>
        <w:bottom w:val="none" w:sz="0" w:space="0" w:color="auto"/>
        <w:right w:val="none" w:sz="0" w:space="0" w:color="auto"/>
      </w:divBdr>
    </w:div>
    <w:div w:id="1280455058">
      <w:bodyDiv w:val="1"/>
      <w:marLeft w:val="0"/>
      <w:marRight w:val="0"/>
      <w:marTop w:val="0"/>
      <w:marBottom w:val="0"/>
      <w:divBdr>
        <w:top w:val="none" w:sz="0" w:space="0" w:color="auto"/>
        <w:left w:val="none" w:sz="0" w:space="0" w:color="auto"/>
        <w:bottom w:val="none" w:sz="0" w:space="0" w:color="auto"/>
        <w:right w:val="none" w:sz="0" w:space="0" w:color="auto"/>
      </w:divBdr>
    </w:div>
    <w:div w:id="1415781787">
      <w:bodyDiv w:val="1"/>
      <w:marLeft w:val="0"/>
      <w:marRight w:val="0"/>
      <w:marTop w:val="0"/>
      <w:marBottom w:val="0"/>
      <w:divBdr>
        <w:top w:val="none" w:sz="0" w:space="0" w:color="auto"/>
        <w:left w:val="none" w:sz="0" w:space="0" w:color="auto"/>
        <w:bottom w:val="none" w:sz="0" w:space="0" w:color="auto"/>
        <w:right w:val="none" w:sz="0" w:space="0" w:color="auto"/>
      </w:divBdr>
    </w:div>
    <w:div w:id="1473524835">
      <w:bodyDiv w:val="1"/>
      <w:marLeft w:val="0"/>
      <w:marRight w:val="0"/>
      <w:marTop w:val="0"/>
      <w:marBottom w:val="0"/>
      <w:divBdr>
        <w:top w:val="none" w:sz="0" w:space="0" w:color="auto"/>
        <w:left w:val="none" w:sz="0" w:space="0" w:color="auto"/>
        <w:bottom w:val="none" w:sz="0" w:space="0" w:color="auto"/>
        <w:right w:val="none" w:sz="0" w:space="0" w:color="auto"/>
      </w:divBdr>
    </w:div>
    <w:div w:id="1670063245">
      <w:bodyDiv w:val="1"/>
      <w:marLeft w:val="0"/>
      <w:marRight w:val="0"/>
      <w:marTop w:val="0"/>
      <w:marBottom w:val="0"/>
      <w:divBdr>
        <w:top w:val="none" w:sz="0" w:space="0" w:color="auto"/>
        <w:left w:val="none" w:sz="0" w:space="0" w:color="auto"/>
        <w:bottom w:val="none" w:sz="0" w:space="0" w:color="auto"/>
        <w:right w:val="none" w:sz="0" w:space="0" w:color="auto"/>
      </w:divBdr>
    </w:div>
    <w:div w:id="1681851955">
      <w:bodyDiv w:val="1"/>
      <w:marLeft w:val="0"/>
      <w:marRight w:val="0"/>
      <w:marTop w:val="0"/>
      <w:marBottom w:val="0"/>
      <w:divBdr>
        <w:top w:val="none" w:sz="0" w:space="0" w:color="auto"/>
        <w:left w:val="none" w:sz="0" w:space="0" w:color="auto"/>
        <w:bottom w:val="none" w:sz="0" w:space="0" w:color="auto"/>
        <w:right w:val="none" w:sz="0" w:space="0" w:color="auto"/>
      </w:divBdr>
    </w:div>
    <w:div w:id="1712804466">
      <w:bodyDiv w:val="1"/>
      <w:marLeft w:val="0"/>
      <w:marRight w:val="0"/>
      <w:marTop w:val="0"/>
      <w:marBottom w:val="0"/>
      <w:divBdr>
        <w:top w:val="none" w:sz="0" w:space="0" w:color="auto"/>
        <w:left w:val="none" w:sz="0" w:space="0" w:color="auto"/>
        <w:bottom w:val="none" w:sz="0" w:space="0" w:color="auto"/>
        <w:right w:val="none" w:sz="0" w:space="0" w:color="auto"/>
      </w:divBdr>
    </w:div>
    <w:div w:id="1793745093">
      <w:bodyDiv w:val="1"/>
      <w:marLeft w:val="0"/>
      <w:marRight w:val="0"/>
      <w:marTop w:val="0"/>
      <w:marBottom w:val="0"/>
      <w:divBdr>
        <w:top w:val="none" w:sz="0" w:space="0" w:color="auto"/>
        <w:left w:val="none" w:sz="0" w:space="0" w:color="auto"/>
        <w:bottom w:val="none" w:sz="0" w:space="0" w:color="auto"/>
        <w:right w:val="none" w:sz="0" w:space="0" w:color="auto"/>
      </w:divBdr>
    </w:div>
    <w:div w:id="1900046973">
      <w:bodyDiv w:val="1"/>
      <w:marLeft w:val="0"/>
      <w:marRight w:val="0"/>
      <w:marTop w:val="0"/>
      <w:marBottom w:val="0"/>
      <w:divBdr>
        <w:top w:val="none" w:sz="0" w:space="0" w:color="auto"/>
        <w:left w:val="none" w:sz="0" w:space="0" w:color="auto"/>
        <w:bottom w:val="none" w:sz="0" w:space="0" w:color="auto"/>
        <w:right w:val="none" w:sz="0" w:space="0" w:color="auto"/>
      </w:divBdr>
    </w:div>
    <w:div w:id="2012177197">
      <w:bodyDiv w:val="1"/>
      <w:marLeft w:val="0"/>
      <w:marRight w:val="0"/>
      <w:marTop w:val="0"/>
      <w:marBottom w:val="0"/>
      <w:divBdr>
        <w:top w:val="none" w:sz="0" w:space="0" w:color="auto"/>
        <w:left w:val="none" w:sz="0" w:space="0" w:color="auto"/>
        <w:bottom w:val="none" w:sz="0" w:space="0" w:color="auto"/>
        <w:right w:val="none" w:sz="0" w:space="0" w:color="auto"/>
      </w:divBdr>
    </w:div>
    <w:div w:id="2097895863">
      <w:bodyDiv w:val="1"/>
      <w:marLeft w:val="0"/>
      <w:marRight w:val="0"/>
      <w:marTop w:val="0"/>
      <w:marBottom w:val="0"/>
      <w:divBdr>
        <w:top w:val="none" w:sz="0" w:space="0" w:color="auto"/>
        <w:left w:val="none" w:sz="0" w:space="0" w:color="auto"/>
        <w:bottom w:val="none" w:sz="0" w:space="0" w:color="auto"/>
        <w:right w:val="none" w:sz="0" w:space="0" w:color="auto"/>
      </w:divBdr>
    </w:div>
    <w:div w:id="2101833789">
      <w:bodyDiv w:val="1"/>
      <w:marLeft w:val="0"/>
      <w:marRight w:val="0"/>
      <w:marTop w:val="0"/>
      <w:marBottom w:val="0"/>
      <w:divBdr>
        <w:top w:val="none" w:sz="0" w:space="0" w:color="auto"/>
        <w:left w:val="none" w:sz="0" w:space="0" w:color="auto"/>
        <w:bottom w:val="none" w:sz="0" w:space="0" w:color="auto"/>
        <w:right w:val="none" w:sz="0" w:space="0" w:color="auto"/>
      </w:divBdr>
    </w:div>
    <w:div w:id="21071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F0CC7FF-6F30-46EF-B9AD-E4B50D18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Zain Hashim</dc:creator>
  <cp:keywords/>
  <dc:description/>
  <cp:lastModifiedBy>theaisha1707@gmail.com</cp:lastModifiedBy>
  <cp:revision>7</cp:revision>
  <cp:lastPrinted>2026-03-25T15:58:00Z</cp:lastPrinted>
  <dcterms:created xsi:type="dcterms:W3CDTF">2026-03-25T14:44:00Z</dcterms:created>
  <dcterms:modified xsi:type="dcterms:W3CDTF">2026-04-01T08:16:00Z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3d7f7b5e-8f61-334b-8861-68db1db38dc9</vt:lpwstr>
  </property>
</Properties>
</file>