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69" w:rsidRPr="00F84A5E" w:rsidRDefault="00457CC4" w:rsidP="00F84A5E">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0865AA">
        <w:rPr>
          <w:rFonts w:ascii="Times New Roman" w:eastAsia="Times New Roman" w:hAnsi="Times New Roman" w:cs="Times New Roman"/>
          <w:b/>
          <w:bCs/>
          <w:kern w:val="36"/>
          <w:sz w:val="36"/>
          <w:szCs w:val="36"/>
        </w:rPr>
        <w:t>Ethical Challenges in Clinical Research in the Era of Artificial Intelligence and Digital Health: A Critical Review</w:t>
      </w:r>
    </w:p>
    <w:p w:rsidR="00F84A5E" w:rsidRPr="00F84A5E" w:rsidRDefault="00F84A5E" w:rsidP="00F84A5E">
      <w:pPr>
        <w:pStyle w:val="NoSpacing"/>
        <w:jc w:val="center"/>
        <w:rPr>
          <w:rFonts w:ascii="Times New Roman" w:hAnsi="Times New Roman" w:cs="Times New Roman"/>
          <w:b/>
          <w:bCs/>
          <w:sz w:val="24"/>
          <w:szCs w:val="24"/>
        </w:rPr>
      </w:pPr>
      <w:bookmarkStart w:id="0" w:name="_GoBack"/>
      <w:bookmarkEnd w:id="0"/>
    </w:p>
    <w:p w:rsidR="00457CC4" w:rsidRPr="00457CC4" w:rsidRDefault="00457CC4" w:rsidP="00F84A5E">
      <w:pPr>
        <w:shd w:val="clear" w:color="auto" w:fill="FFFFFF"/>
        <w:spacing w:after="0" w:line="360" w:lineRule="atLeast"/>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Abstract</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The integration of artificial intelligence (AI) and digital health technologies in clinical research has accelerated innovations in trial design, patient monitoring, and data analysis. While these advancements promise improved efficiency and precision, they also introduce complex ethical challenges that traditional research frameworks may not fully address. This review examines ethical concerns associated with AI-enabled and digital health-driven clinical research, including informed consent, data privacy, algorithmic bias, transparency, regulatory oversight, and equity. Drawing on recent literature (2021</w:t>
      </w:r>
      <w:r w:rsidR="00F65D69">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2026), we highlight practical dilemmas, propose strategies for ethical implementation, and advocate for updated guidelines to ensure responsible and equitable research practices.</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8"/>
          <w:szCs w:val="28"/>
        </w:rPr>
        <w:t>Keywords:</w:t>
      </w:r>
      <w:r w:rsidRPr="00457CC4">
        <w:rPr>
          <w:rFonts w:ascii="Times New Roman" w:eastAsia="Times New Roman" w:hAnsi="Times New Roman" w:cs="Times New Roman"/>
          <w:sz w:val="24"/>
          <w:szCs w:val="24"/>
        </w:rPr>
        <w:t xml:space="preserve"> Clinical research, ethics, artificial intelligence, digital health, informed consent, algorithmic bias</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1. Introduction</w:t>
      </w:r>
    </w:p>
    <w:p w:rsid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Clinical research is undergoing a profound transformation due to the adoption of artificial intelligence (AI) and digital health technologies. Predictive analytics, wearable sensors, remote monitoring platforms, and telemedicine are increasingly incorporated into clinical trials, offering opportunities for improved efficiency, patient engagement, and precision outcomes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However, these technologies also pose novel ethical challenges. Traditional principles</w:t>
      </w:r>
      <w:r w:rsidR="009241BF">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respect for persons, beneficence, and justice</w:t>
      </w:r>
      <w:r w:rsidR="00F65D69">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are often difficult to apply in contexts where algorithms drive decision-making, data is continuously collected, and trials are decentralized. This review critically examines these ethical issues and proposes strategies for responsible adoption of AI and digital health in clinical research.</w:t>
      </w:r>
    </w:p>
    <w:p w:rsidR="000865AA" w:rsidRPr="00457CC4" w:rsidRDefault="000865AA" w:rsidP="00F65D69">
      <w:pPr>
        <w:spacing w:before="100" w:beforeAutospacing="1" w:after="100" w:afterAutospacing="1" w:line="240" w:lineRule="auto"/>
        <w:rPr>
          <w:rFonts w:ascii="Times New Roman" w:eastAsia="Times New Roman" w:hAnsi="Times New Roman" w:cs="Times New Roman"/>
          <w:sz w:val="24"/>
          <w:szCs w:val="24"/>
        </w:rPr>
      </w:pP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2. Core Ethical Principles in Clinical Research</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The Belmont Report and other foundational ethical frameworks emphasize three core principles:</w:t>
      </w:r>
    </w:p>
    <w:p w:rsidR="00457CC4" w:rsidRPr="00457CC4" w:rsidRDefault="00457CC4" w:rsidP="00457CC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4"/>
          <w:szCs w:val="24"/>
        </w:rPr>
        <w:t>Respect for persons:</w:t>
      </w:r>
      <w:r w:rsidRPr="00457CC4">
        <w:rPr>
          <w:rFonts w:ascii="Times New Roman" w:eastAsia="Times New Roman" w:hAnsi="Times New Roman" w:cs="Times New Roman"/>
          <w:sz w:val="24"/>
          <w:szCs w:val="24"/>
        </w:rPr>
        <w:t xml:space="preserve"> Ensuring voluntary participation and fully informed consent.</w:t>
      </w:r>
    </w:p>
    <w:p w:rsidR="00457CC4" w:rsidRPr="00457CC4" w:rsidRDefault="00457CC4" w:rsidP="00457CC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4"/>
          <w:szCs w:val="24"/>
        </w:rPr>
        <w:t>Beneficence:</w:t>
      </w:r>
      <w:r w:rsidRPr="00457CC4">
        <w:rPr>
          <w:rFonts w:ascii="Times New Roman" w:eastAsia="Times New Roman" w:hAnsi="Times New Roman" w:cs="Times New Roman"/>
          <w:sz w:val="24"/>
          <w:szCs w:val="24"/>
        </w:rPr>
        <w:t xml:space="preserve"> Maximizing benefits while minimizing harm.</w:t>
      </w:r>
    </w:p>
    <w:p w:rsidR="00457CC4" w:rsidRPr="00457CC4" w:rsidRDefault="00457CC4" w:rsidP="00457CC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4"/>
          <w:szCs w:val="24"/>
        </w:rPr>
        <w:t>Justice:</w:t>
      </w:r>
      <w:r w:rsidRPr="00457CC4">
        <w:rPr>
          <w:rFonts w:ascii="Times New Roman" w:eastAsia="Times New Roman" w:hAnsi="Times New Roman" w:cs="Times New Roman"/>
          <w:sz w:val="24"/>
          <w:szCs w:val="24"/>
        </w:rPr>
        <w:t xml:space="preserve"> Equitable distribution of research burdens and benefits.</w:t>
      </w:r>
    </w:p>
    <w:p w:rsidR="00457CC4" w:rsidRPr="00457CC4" w:rsidRDefault="00457CC4" w:rsidP="000865AA">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AI and digital health complicate the application of these principles. For instance, algorithmic decision-making may be opaque even to clinicians, making it challenging for participants to understand trial risks or benefits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3</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xml:space="preserve">. Additionally, biases embedded in training datasets can inadvertently disadvantage certain populations, undermining justice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4</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lastRenderedPageBreak/>
        <w:t>3. AI and Digital Health in Clinical Research</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3.1 Artificial Intelligence Applications</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AI is applied to predictive modeling of patient outcomes, optimizing trial recruitment, and automating data analysis, including adverse event detection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5,6</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xml:space="preserve">. While these tools can improve efficiency, their complexity and “black-box” nature raise questions about transparency and accountability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7</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3.2 Digital Health Technologies</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Digital health encompasses wearable devices, remote monitoring, decentralized trials, and real-time integration of electronic health records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8</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xml:space="preserve">. Although these technologies enhance access and continuous data collection, they also introduce ethical concerns regarding autonomy, privacy, and equitable participation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9</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 Key Ethical Challenges</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4.1 Informed Consent in the Digital Era</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Traditional consent forms may be insufficient when trials rely on continuous monitoring or AI-driven decision-making. Dynamic and interactive consent models, which allow participants to understand evolving data usage and AI interventions, are increasingly recommended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10</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4.2 Data Privacy and Security</w:t>
      </w:r>
    </w:p>
    <w:p w:rsid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Large-scale digital health data collection heightens the risk of data breaches and re-identification of supposedly anonymized datasets. Clear policies regarding ownership and governance of AI-processed health data are essential to protect participants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11,12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0865AA" w:rsidRPr="00457CC4" w:rsidRDefault="000865AA" w:rsidP="00457CC4">
      <w:pPr>
        <w:spacing w:before="100" w:beforeAutospacing="1" w:after="100" w:afterAutospacing="1" w:line="240" w:lineRule="auto"/>
        <w:rPr>
          <w:rFonts w:ascii="Times New Roman" w:eastAsia="Times New Roman" w:hAnsi="Times New Roman" w:cs="Times New Roman"/>
          <w:sz w:val="24"/>
          <w:szCs w:val="24"/>
        </w:rPr>
      </w:pP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4.3 Algorithmic Bias and Fairness</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AI models trained on unrepresentative datasets may exacerbate existing health disparities. Bias can influence trial recruitment, treatment assignment, or outcome predictions, making continuous auditing and diverse data inclusion critical for ethical research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3,12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4.4 Transparency and Accountability</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Many AI systems are opaque, creating challenges in explaining decisions to participants and clinicians. Ethical research requires clearly defined accountability structures among developers, researchers, and institutions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7,6</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4.5 Regulatory and Oversight Gaps</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lastRenderedPageBreak/>
        <w:t xml:space="preserve">Current frameworks, including the Declaration of Helsinki, do not fully address AI and digital health. Regulatory bodies are beginning to update guidance, but harmonized global standards are still needed to ensure participant protection and ethical oversight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9,11</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5. Case Examples of Ethical Dilemmas</w:t>
      </w:r>
    </w:p>
    <w:p w:rsidR="00457CC4" w:rsidRPr="00457CC4" w:rsidRDefault="00457CC4" w:rsidP="00457CC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AI-based recruitment platforms inadvertently excluding underrepresented demographic groups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3</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Wearable monitoring devices collecting continuous health data without sufficient participant disclosure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8</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Predictive analytics misclassifying patient risk due to biased datasets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B81DD8">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These examples illustrate the practical intersection of technology and ethics, emphasizing the need for proactive governance.</w:t>
      </w:r>
    </w:p>
    <w:p w:rsidR="009241BF"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6. Recommendations for Ethical Implementation</w:t>
      </w:r>
      <w:r w:rsidR="009241BF">
        <w:rPr>
          <w:rFonts w:ascii="Times New Roman" w:eastAsia="Times New Roman" w:hAnsi="Times New Roman" w:cs="Times New Roman"/>
          <w:noProof/>
          <w:sz w:val="24"/>
          <w:szCs w:val="24"/>
          <w:lang w:val="en-IN" w:eastAsia="en-IN"/>
        </w:rPr>
        <w:drawing>
          <wp:inline distT="0" distB="0" distL="0" distR="0" wp14:anchorId="3A26D6C0" wp14:editId="7F09448F">
            <wp:extent cx="5486400" cy="2571750"/>
            <wp:effectExtent l="38100" t="19050" r="3810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7. Future Directions</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Future research should focus on:</w:t>
      </w:r>
    </w:p>
    <w:p w:rsidR="00457CC4" w:rsidRPr="00457CC4" w:rsidRDefault="00457CC4" w:rsidP="00457CC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Developing comprehensive AI-specific ethical frameworks.</w:t>
      </w:r>
    </w:p>
    <w:p w:rsidR="00457CC4" w:rsidRPr="00457CC4" w:rsidRDefault="00457CC4" w:rsidP="00457CC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Training ethics committees and researchers in digital health governance.</w:t>
      </w:r>
    </w:p>
    <w:p w:rsidR="00F65D69" w:rsidRPr="00457CC4" w:rsidRDefault="00457CC4" w:rsidP="000865A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Monitoring long-term societal and ethical implications of AI-enabled trials.</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8. Conclusion</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AI and digital health offer unprecedented opportunities to enhance clinical research. However, they introduce ethical challenges related to consent, privacy, fairness, transparency, and oversight. Proactive measures</w:t>
      </w:r>
      <w:r w:rsidR="00F65D69">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 xml:space="preserve">including updated guidelines, dynamic consent, bias mitigation, </w:t>
      </w:r>
      <w:r w:rsidRPr="00457CC4">
        <w:rPr>
          <w:rFonts w:ascii="Times New Roman" w:eastAsia="Times New Roman" w:hAnsi="Times New Roman" w:cs="Times New Roman"/>
          <w:sz w:val="24"/>
          <w:szCs w:val="24"/>
        </w:rPr>
        <w:lastRenderedPageBreak/>
        <w:t>and transparent AI practices</w:t>
      </w:r>
      <w:r w:rsidR="00F65D69">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are necessary to ensure responsible, equitable, and trustworthy clinical research.</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References</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Alifia</w:t>
      </w:r>
      <w:proofErr w:type="spellEnd"/>
      <w:r w:rsidRPr="00457CC4">
        <w:rPr>
          <w:rFonts w:ascii="Times New Roman" w:eastAsia="Times New Roman" w:hAnsi="Times New Roman" w:cs="Times New Roman"/>
          <w:b/>
          <w:sz w:val="24"/>
          <w:szCs w:val="24"/>
        </w:rPr>
        <w:t xml:space="preserve"> RR, </w:t>
      </w:r>
      <w:proofErr w:type="spellStart"/>
      <w:r w:rsidRPr="00457CC4">
        <w:rPr>
          <w:rFonts w:ascii="Times New Roman" w:eastAsia="Times New Roman" w:hAnsi="Times New Roman" w:cs="Times New Roman"/>
          <w:b/>
          <w:sz w:val="24"/>
          <w:szCs w:val="24"/>
        </w:rPr>
        <w:t>Sadeghi</w:t>
      </w:r>
      <w:proofErr w:type="spellEnd"/>
      <w:r w:rsidRPr="00457CC4">
        <w:rPr>
          <w:rFonts w:ascii="Times New Roman" w:eastAsia="Times New Roman" w:hAnsi="Times New Roman" w:cs="Times New Roman"/>
          <w:b/>
          <w:sz w:val="24"/>
          <w:szCs w:val="24"/>
        </w:rPr>
        <w:t xml:space="preserve"> M, </w:t>
      </w:r>
      <w:proofErr w:type="spellStart"/>
      <w:r w:rsidRPr="00457CC4">
        <w:rPr>
          <w:rFonts w:ascii="Times New Roman" w:eastAsia="Times New Roman" w:hAnsi="Times New Roman" w:cs="Times New Roman"/>
          <w:b/>
          <w:sz w:val="24"/>
          <w:szCs w:val="24"/>
        </w:rPr>
        <w:t>Eluru</w:t>
      </w:r>
      <w:proofErr w:type="spellEnd"/>
      <w:r w:rsidRPr="00457CC4">
        <w:rPr>
          <w:rFonts w:ascii="Times New Roman" w:eastAsia="Times New Roman" w:hAnsi="Times New Roman" w:cs="Times New Roman"/>
          <w:b/>
          <w:sz w:val="24"/>
          <w:szCs w:val="24"/>
        </w:rPr>
        <w:t xml:space="preserve"> M, et al</w:t>
      </w:r>
      <w:r w:rsidRPr="00457CC4">
        <w:rPr>
          <w:rFonts w:ascii="Times New Roman" w:eastAsia="Times New Roman" w:hAnsi="Times New Roman" w:cs="Times New Roman"/>
          <w:sz w:val="24"/>
          <w:szCs w:val="24"/>
        </w:rPr>
        <w:t xml:space="preserve">. Ethical considerations for digital health research: moving towards dynamic consent. </w:t>
      </w:r>
      <w:r w:rsidRPr="00457CC4">
        <w:rPr>
          <w:rFonts w:ascii="Times New Roman" w:eastAsia="Times New Roman" w:hAnsi="Times New Roman" w:cs="Times New Roman"/>
          <w:i/>
          <w:iCs/>
          <w:sz w:val="24"/>
          <w:szCs w:val="24"/>
        </w:rPr>
        <w:t>BMC Med Ethics</w:t>
      </w:r>
      <w:r w:rsidRPr="00457CC4">
        <w:rPr>
          <w:rFonts w:ascii="Times New Roman" w:eastAsia="Times New Roman" w:hAnsi="Times New Roman" w:cs="Times New Roman"/>
          <w:sz w:val="24"/>
          <w:szCs w:val="24"/>
        </w:rPr>
        <w:t>. 2025;26(1):132.</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Badawy</w:t>
      </w:r>
      <w:proofErr w:type="spellEnd"/>
      <w:r w:rsidRPr="00457CC4">
        <w:rPr>
          <w:rFonts w:ascii="Times New Roman" w:eastAsia="Times New Roman" w:hAnsi="Times New Roman" w:cs="Times New Roman"/>
          <w:b/>
          <w:sz w:val="24"/>
          <w:szCs w:val="24"/>
        </w:rPr>
        <w:t xml:space="preserve"> W, </w:t>
      </w:r>
      <w:proofErr w:type="spellStart"/>
      <w:r w:rsidRPr="00457CC4">
        <w:rPr>
          <w:rFonts w:ascii="Times New Roman" w:eastAsia="Times New Roman" w:hAnsi="Times New Roman" w:cs="Times New Roman"/>
          <w:b/>
          <w:sz w:val="24"/>
          <w:szCs w:val="24"/>
        </w:rPr>
        <w:t>Zinhom</w:t>
      </w:r>
      <w:proofErr w:type="spellEnd"/>
      <w:r w:rsidRPr="00457CC4">
        <w:rPr>
          <w:rFonts w:ascii="Times New Roman" w:eastAsia="Times New Roman" w:hAnsi="Times New Roman" w:cs="Times New Roman"/>
          <w:b/>
          <w:sz w:val="24"/>
          <w:szCs w:val="24"/>
        </w:rPr>
        <w:t xml:space="preserve"> H, Shaban M</w:t>
      </w:r>
      <w:r w:rsidRPr="00457CC4">
        <w:rPr>
          <w:rFonts w:ascii="Times New Roman" w:eastAsia="Times New Roman" w:hAnsi="Times New Roman" w:cs="Times New Roman"/>
          <w:sz w:val="24"/>
          <w:szCs w:val="24"/>
        </w:rPr>
        <w:t xml:space="preserve">. Ethical considerations in the use of AI for patient care: a systematic review. </w:t>
      </w:r>
      <w:proofErr w:type="spellStart"/>
      <w:r w:rsidRPr="00457CC4">
        <w:rPr>
          <w:rFonts w:ascii="Times New Roman" w:eastAsia="Times New Roman" w:hAnsi="Times New Roman" w:cs="Times New Roman"/>
          <w:i/>
          <w:iCs/>
          <w:sz w:val="24"/>
          <w:szCs w:val="24"/>
        </w:rPr>
        <w:t>Int</w:t>
      </w:r>
      <w:proofErr w:type="spellEnd"/>
      <w:r w:rsidRPr="00457CC4">
        <w:rPr>
          <w:rFonts w:ascii="Times New Roman" w:eastAsia="Times New Roman" w:hAnsi="Times New Roman" w:cs="Times New Roman"/>
          <w:i/>
          <w:iCs/>
          <w:sz w:val="24"/>
          <w:szCs w:val="24"/>
        </w:rPr>
        <w:t xml:space="preserve"> </w:t>
      </w:r>
      <w:proofErr w:type="spellStart"/>
      <w:r w:rsidRPr="00457CC4">
        <w:rPr>
          <w:rFonts w:ascii="Times New Roman" w:eastAsia="Times New Roman" w:hAnsi="Times New Roman" w:cs="Times New Roman"/>
          <w:i/>
          <w:iCs/>
          <w:sz w:val="24"/>
          <w:szCs w:val="24"/>
        </w:rPr>
        <w:t>Nurs</w:t>
      </w:r>
      <w:proofErr w:type="spellEnd"/>
      <w:r w:rsidRPr="00457CC4">
        <w:rPr>
          <w:rFonts w:ascii="Times New Roman" w:eastAsia="Times New Roman" w:hAnsi="Times New Roman" w:cs="Times New Roman"/>
          <w:i/>
          <w:iCs/>
          <w:sz w:val="24"/>
          <w:szCs w:val="24"/>
        </w:rPr>
        <w:t xml:space="preserve"> Rev</w:t>
      </w:r>
      <w:r w:rsidRPr="00457CC4">
        <w:rPr>
          <w:rFonts w:ascii="Times New Roman" w:eastAsia="Times New Roman" w:hAnsi="Times New Roman" w:cs="Times New Roman"/>
          <w:sz w:val="24"/>
          <w:szCs w:val="24"/>
        </w:rPr>
        <w:t>. 2025</w:t>
      </w:r>
      <w:proofErr w:type="gramStart"/>
      <w:r w:rsidRPr="00457CC4">
        <w:rPr>
          <w:rFonts w:ascii="Times New Roman" w:eastAsia="Times New Roman" w:hAnsi="Times New Roman" w:cs="Times New Roman"/>
          <w:sz w:val="24"/>
          <w:szCs w:val="24"/>
        </w:rPr>
        <w:t>;72</w:t>
      </w:r>
      <w:proofErr w:type="gramEnd"/>
      <w:r w:rsidRPr="00457CC4">
        <w:rPr>
          <w:rFonts w:ascii="Times New Roman" w:eastAsia="Times New Roman" w:hAnsi="Times New Roman" w:cs="Times New Roman"/>
          <w:sz w:val="24"/>
          <w:szCs w:val="24"/>
        </w:rPr>
        <w:t>(3):e13059.</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Bashi</w:t>
      </w:r>
      <w:proofErr w:type="spellEnd"/>
      <w:r w:rsidRPr="00457CC4">
        <w:rPr>
          <w:rFonts w:ascii="Times New Roman" w:eastAsia="Times New Roman" w:hAnsi="Times New Roman" w:cs="Times New Roman"/>
          <w:b/>
          <w:sz w:val="24"/>
          <w:szCs w:val="24"/>
        </w:rPr>
        <w:t xml:space="preserve"> N, et al</w:t>
      </w:r>
      <w:r w:rsidRPr="00457CC4">
        <w:rPr>
          <w:rFonts w:ascii="Times New Roman" w:eastAsia="Times New Roman" w:hAnsi="Times New Roman" w:cs="Times New Roman"/>
          <w:sz w:val="24"/>
          <w:szCs w:val="24"/>
        </w:rPr>
        <w:t xml:space="preserve">. AI and fairness in clinical trials: risk of algorithmic bias. </w:t>
      </w:r>
      <w:proofErr w:type="spellStart"/>
      <w:proofErr w:type="gramStart"/>
      <w:r w:rsidRPr="00457CC4">
        <w:rPr>
          <w:rFonts w:ascii="Times New Roman" w:eastAsia="Times New Roman" w:hAnsi="Times New Roman" w:cs="Times New Roman"/>
          <w:i/>
          <w:iCs/>
          <w:sz w:val="24"/>
          <w:szCs w:val="24"/>
        </w:rPr>
        <w:t>npj</w:t>
      </w:r>
      <w:proofErr w:type="spellEnd"/>
      <w:proofErr w:type="gramEnd"/>
      <w:r w:rsidRPr="00457CC4">
        <w:rPr>
          <w:rFonts w:ascii="Times New Roman" w:eastAsia="Times New Roman" w:hAnsi="Times New Roman" w:cs="Times New Roman"/>
          <w:i/>
          <w:iCs/>
          <w:sz w:val="24"/>
          <w:szCs w:val="24"/>
        </w:rPr>
        <w:t xml:space="preserve"> Digit Med</w:t>
      </w:r>
      <w:r w:rsidRPr="00457CC4">
        <w:rPr>
          <w:rFonts w:ascii="Times New Roman" w:eastAsia="Times New Roman" w:hAnsi="Times New Roman" w:cs="Times New Roman"/>
          <w:sz w:val="24"/>
          <w:szCs w:val="24"/>
        </w:rPr>
        <w:t>. 2024;7:115.</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Bell E, et al</w:t>
      </w:r>
      <w:r w:rsidRPr="00457CC4">
        <w:rPr>
          <w:rFonts w:ascii="Times New Roman" w:eastAsia="Times New Roman" w:hAnsi="Times New Roman" w:cs="Times New Roman"/>
          <w:sz w:val="24"/>
          <w:szCs w:val="24"/>
        </w:rPr>
        <w:t xml:space="preserve">. Digital health data privacy: challenges and ethical frameworks. </w:t>
      </w:r>
      <w:r w:rsidRPr="00457CC4">
        <w:rPr>
          <w:rFonts w:ascii="Times New Roman" w:eastAsia="Times New Roman" w:hAnsi="Times New Roman" w:cs="Times New Roman"/>
          <w:i/>
          <w:iCs/>
          <w:sz w:val="24"/>
          <w:szCs w:val="24"/>
        </w:rPr>
        <w:t>J Med Internet Res</w:t>
      </w:r>
      <w:r w:rsidRPr="00457CC4">
        <w:rPr>
          <w:rFonts w:ascii="Times New Roman" w:eastAsia="Times New Roman" w:hAnsi="Times New Roman" w:cs="Times New Roman"/>
          <w:sz w:val="24"/>
          <w:szCs w:val="24"/>
        </w:rPr>
        <w:t>. 2023</w:t>
      </w:r>
      <w:proofErr w:type="gramStart"/>
      <w:r w:rsidRPr="00457CC4">
        <w:rPr>
          <w:rFonts w:ascii="Times New Roman" w:eastAsia="Times New Roman" w:hAnsi="Times New Roman" w:cs="Times New Roman"/>
          <w:sz w:val="24"/>
          <w:szCs w:val="24"/>
        </w:rPr>
        <w:t>;25:e45023</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Flannery D</w:t>
      </w:r>
      <w:r w:rsidRPr="00457CC4">
        <w:rPr>
          <w:rFonts w:ascii="Times New Roman" w:eastAsia="Times New Roman" w:hAnsi="Times New Roman" w:cs="Times New Roman"/>
          <w:sz w:val="24"/>
          <w:szCs w:val="24"/>
        </w:rPr>
        <w:t xml:space="preserve">. Privacy and health data governance in decentralized clinical research. </w:t>
      </w:r>
      <w:r w:rsidRPr="00457CC4">
        <w:rPr>
          <w:rFonts w:ascii="Times New Roman" w:eastAsia="Times New Roman" w:hAnsi="Times New Roman" w:cs="Times New Roman"/>
          <w:i/>
          <w:iCs/>
          <w:sz w:val="24"/>
          <w:szCs w:val="24"/>
        </w:rPr>
        <w:t xml:space="preserve">Stat </w:t>
      </w:r>
      <w:proofErr w:type="spellStart"/>
      <w:r w:rsidRPr="00457CC4">
        <w:rPr>
          <w:rFonts w:ascii="Times New Roman" w:eastAsia="Times New Roman" w:hAnsi="Times New Roman" w:cs="Times New Roman"/>
          <w:i/>
          <w:iCs/>
          <w:sz w:val="24"/>
          <w:szCs w:val="24"/>
        </w:rPr>
        <w:t>Biopharm</w:t>
      </w:r>
      <w:proofErr w:type="spellEnd"/>
      <w:r w:rsidRPr="00457CC4">
        <w:rPr>
          <w:rFonts w:ascii="Times New Roman" w:eastAsia="Times New Roman" w:hAnsi="Times New Roman" w:cs="Times New Roman"/>
          <w:i/>
          <w:iCs/>
          <w:sz w:val="24"/>
          <w:szCs w:val="24"/>
        </w:rPr>
        <w:t xml:space="preserve"> Res</w:t>
      </w:r>
      <w:r w:rsidRPr="00457CC4">
        <w:rPr>
          <w:rFonts w:ascii="Times New Roman" w:eastAsia="Times New Roman" w:hAnsi="Times New Roman" w:cs="Times New Roman"/>
          <w:sz w:val="24"/>
          <w:szCs w:val="24"/>
        </w:rPr>
        <w:t>. 2023;15(2):183–190.</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Ghassemi</w:t>
      </w:r>
      <w:proofErr w:type="spellEnd"/>
      <w:r w:rsidRPr="00457CC4">
        <w:rPr>
          <w:rFonts w:ascii="Times New Roman" w:eastAsia="Times New Roman" w:hAnsi="Times New Roman" w:cs="Times New Roman"/>
          <w:b/>
          <w:sz w:val="24"/>
          <w:szCs w:val="24"/>
        </w:rPr>
        <w:t xml:space="preserve"> M, </w:t>
      </w:r>
      <w:proofErr w:type="spellStart"/>
      <w:r w:rsidRPr="00457CC4">
        <w:rPr>
          <w:rFonts w:ascii="Times New Roman" w:eastAsia="Times New Roman" w:hAnsi="Times New Roman" w:cs="Times New Roman"/>
          <w:b/>
          <w:sz w:val="24"/>
          <w:szCs w:val="24"/>
        </w:rPr>
        <w:t>Oakden-Rayner</w:t>
      </w:r>
      <w:proofErr w:type="spellEnd"/>
      <w:r w:rsidRPr="00457CC4">
        <w:rPr>
          <w:rFonts w:ascii="Times New Roman" w:eastAsia="Times New Roman" w:hAnsi="Times New Roman" w:cs="Times New Roman"/>
          <w:b/>
          <w:sz w:val="24"/>
          <w:szCs w:val="24"/>
        </w:rPr>
        <w:t xml:space="preserve"> L, Beam AL</w:t>
      </w:r>
      <w:r w:rsidRPr="00457CC4">
        <w:rPr>
          <w:rFonts w:ascii="Times New Roman" w:eastAsia="Times New Roman" w:hAnsi="Times New Roman" w:cs="Times New Roman"/>
          <w:sz w:val="24"/>
          <w:szCs w:val="24"/>
        </w:rPr>
        <w:t xml:space="preserve">. The alarming risk of encoded biases in deep learning for health. </w:t>
      </w:r>
      <w:proofErr w:type="spellStart"/>
      <w:proofErr w:type="gramStart"/>
      <w:r w:rsidRPr="00457CC4">
        <w:rPr>
          <w:rFonts w:ascii="Times New Roman" w:eastAsia="Times New Roman" w:hAnsi="Times New Roman" w:cs="Times New Roman"/>
          <w:i/>
          <w:iCs/>
          <w:sz w:val="24"/>
          <w:szCs w:val="24"/>
        </w:rPr>
        <w:t>npj</w:t>
      </w:r>
      <w:proofErr w:type="spellEnd"/>
      <w:proofErr w:type="gramEnd"/>
      <w:r w:rsidRPr="00457CC4">
        <w:rPr>
          <w:rFonts w:ascii="Times New Roman" w:eastAsia="Times New Roman" w:hAnsi="Times New Roman" w:cs="Times New Roman"/>
          <w:i/>
          <w:iCs/>
          <w:sz w:val="24"/>
          <w:szCs w:val="24"/>
        </w:rPr>
        <w:t xml:space="preserve"> Digit Med</w:t>
      </w:r>
      <w:r w:rsidRPr="00457CC4">
        <w:rPr>
          <w:rFonts w:ascii="Times New Roman" w:eastAsia="Times New Roman" w:hAnsi="Times New Roman" w:cs="Times New Roman"/>
          <w:sz w:val="24"/>
          <w:szCs w:val="24"/>
        </w:rPr>
        <w:t>. 2021;4:28.</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Greenhalgh T, et al</w:t>
      </w:r>
      <w:r w:rsidRPr="00457CC4">
        <w:rPr>
          <w:rFonts w:ascii="Times New Roman" w:eastAsia="Times New Roman" w:hAnsi="Times New Roman" w:cs="Times New Roman"/>
          <w:sz w:val="24"/>
          <w:szCs w:val="24"/>
        </w:rPr>
        <w:t xml:space="preserve">. </w:t>
      </w:r>
      <w:proofErr w:type="spellStart"/>
      <w:r w:rsidRPr="00457CC4">
        <w:rPr>
          <w:rFonts w:ascii="Times New Roman" w:eastAsia="Times New Roman" w:hAnsi="Times New Roman" w:cs="Times New Roman"/>
          <w:sz w:val="24"/>
          <w:szCs w:val="24"/>
        </w:rPr>
        <w:t>Analysing</w:t>
      </w:r>
      <w:proofErr w:type="spellEnd"/>
      <w:r w:rsidRPr="00457CC4">
        <w:rPr>
          <w:rFonts w:ascii="Times New Roman" w:eastAsia="Times New Roman" w:hAnsi="Times New Roman" w:cs="Times New Roman"/>
          <w:sz w:val="24"/>
          <w:szCs w:val="24"/>
        </w:rPr>
        <w:t xml:space="preserve"> the challenges of </w:t>
      </w:r>
      <w:proofErr w:type="spellStart"/>
      <w:r w:rsidRPr="00457CC4">
        <w:rPr>
          <w:rFonts w:ascii="Times New Roman" w:eastAsia="Times New Roman" w:hAnsi="Times New Roman" w:cs="Times New Roman"/>
          <w:sz w:val="24"/>
          <w:szCs w:val="24"/>
        </w:rPr>
        <w:t>explainability</w:t>
      </w:r>
      <w:proofErr w:type="spellEnd"/>
      <w:r w:rsidRPr="00457CC4">
        <w:rPr>
          <w:rFonts w:ascii="Times New Roman" w:eastAsia="Times New Roman" w:hAnsi="Times New Roman" w:cs="Times New Roman"/>
          <w:sz w:val="24"/>
          <w:szCs w:val="24"/>
        </w:rPr>
        <w:t xml:space="preserve"> in AI for health care. </w:t>
      </w:r>
      <w:r w:rsidRPr="00457CC4">
        <w:rPr>
          <w:rFonts w:ascii="Times New Roman" w:eastAsia="Times New Roman" w:hAnsi="Times New Roman" w:cs="Times New Roman"/>
          <w:i/>
          <w:iCs/>
          <w:sz w:val="24"/>
          <w:szCs w:val="24"/>
        </w:rPr>
        <w:t>Lancet Digital Health</w:t>
      </w:r>
      <w:r w:rsidRPr="00457CC4">
        <w:rPr>
          <w:rFonts w:ascii="Times New Roman" w:eastAsia="Times New Roman" w:hAnsi="Times New Roman" w:cs="Times New Roman"/>
          <w:sz w:val="24"/>
          <w:szCs w:val="24"/>
        </w:rPr>
        <w:t>. 2023</w:t>
      </w:r>
      <w:proofErr w:type="gramStart"/>
      <w:r w:rsidRPr="00457CC4">
        <w:rPr>
          <w:rFonts w:ascii="Times New Roman" w:eastAsia="Times New Roman" w:hAnsi="Times New Roman" w:cs="Times New Roman"/>
          <w:sz w:val="24"/>
          <w:szCs w:val="24"/>
        </w:rPr>
        <w:t>;5:e425</w:t>
      </w:r>
      <w:proofErr w:type="gramEnd"/>
      <w:r w:rsidRPr="00457CC4">
        <w:rPr>
          <w:rFonts w:ascii="Times New Roman" w:eastAsia="Times New Roman" w:hAnsi="Times New Roman" w:cs="Times New Roman"/>
          <w:sz w:val="24"/>
          <w:szCs w:val="24"/>
        </w:rPr>
        <w:t>–e434.</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Hall AK, et al</w:t>
      </w:r>
      <w:r w:rsidRPr="00457CC4">
        <w:rPr>
          <w:rFonts w:ascii="Times New Roman" w:eastAsia="Times New Roman" w:hAnsi="Times New Roman" w:cs="Times New Roman"/>
          <w:sz w:val="24"/>
          <w:szCs w:val="24"/>
        </w:rPr>
        <w:t xml:space="preserve">. Participant perspectives on AI and data use in clinical research. </w:t>
      </w:r>
      <w:r w:rsidRPr="00457CC4">
        <w:rPr>
          <w:rFonts w:ascii="Times New Roman" w:eastAsia="Times New Roman" w:hAnsi="Times New Roman" w:cs="Times New Roman"/>
          <w:i/>
          <w:iCs/>
          <w:sz w:val="24"/>
          <w:szCs w:val="24"/>
        </w:rPr>
        <w:t>J Clin Ethics</w:t>
      </w:r>
      <w:r w:rsidRPr="00457CC4">
        <w:rPr>
          <w:rFonts w:ascii="Times New Roman" w:eastAsia="Times New Roman" w:hAnsi="Times New Roman" w:cs="Times New Roman"/>
          <w:sz w:val="24"/>
          <w:szCs w:val="24"/>
        </w:rPr>
        <w:t>. 2024;35(1):45–56.</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Henderson J, et al</w:t>
      </w:r>
      <w:r w:rsidRPr="00457CC4">
        <w:rPr>
          <w:rFonts w:ascii="Times New Roman" w:eastAsia="Times New Roman" w:hAnsi="Times New Roman" w:cs="Times New Roman"/>
          <w:sz w:val="24"/>
          <w:szCs w:val="24"/>
        </w:rPr>
        <w:t xml:space="preserve">. Governing AI in clinical research: regulation, risk, and ethics. </w:t>
      </w:r>
      <w:r w:rsidRPr="00457CC4">
        <w:rPr>
          <w:rFonts w:ascii="Times New Roman" w:eastAsia="Times New Roman" w:hAnsi="Times New Roman" w:cs="Times New Roman"/>
          <w:i/>
          <w:iCs/>
          <w:sz w:val="24"/>
          <w:szCs w:val="24"/>
        </w:rPr>
        <w:t>BMC Med</w:t>
      </w:r>
      <w:r w:rsidRPr="00457CC4">
        <w:rPr>
          <w:rFonts w:ascii="Times New Roman" w:eastAsia="Times New Roman" w:hAnsi="Times New Roman" w:cs="Times New Roman"/>
          <w:sz w:val="24"/>
          <w:szCs w:val="24"/>
        </w:rPr>
        <w:t>. 2023</w:t>
      </w:r>
      <w:proofErr w:type="gramStart"/>
      <w:r w:rsidRPr="00457CC4">
        <w:rPr>
          <w:rFonts w:ascii="Times New Roman" w:eastAsia="Times New Roman" w:hAnsi="Times New Roman" w:cs="Times New Roman"/>
          <w:sz w:val="24"/>
          <w:szCs w:val="24"/>
        </w:rPr>
        <w:t>;21:287</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Jansen K, et al</w:t>
      </w:r>
      <w:r w:rsidRPr="00457CC4">
        <w:rPr>
          <w:rFonts w:ascii="Times New Roman" w:eastAsia="Times New Roman" w:hAnsi="Times New Roman" w:cs="Times New Roman"/>
          <w:sz w:val="24"/>
          <w:szCs w:val="24"/>
        </w:rPr>
        <w:t xml:space="preserve">. Digital consent tools and evolving ethics in health research. </w:t>
      </w:r>
      <w:proofErr w:type="spellStart"/>
      <w:r w:rsidRPr="00457CC4">
        <w:rPr>
          <w:rFonts w:ascii="Times New Roman" w:eastAsia="Times New Roman" w:hAnsi="Times New Roman" w:cs="Times New Roman"/>
          <w:i/>
          <w:iCs/>
          <w:sz w:val="24"/>
          <w:szCs w:val="24"/>
        </w:rPr>
        <w:t>Comput</w:t>
      </w:r>
      <w:proofErr w:type="spellEnd"/>
      <w:r w:rsidRPr="00457CC4">
        <w:rPr>
          <w:rFonts w:ascii="Times New Roman" w:eastAsia="Times New Roman" w:hAnsi="Times New Roman" w:cs="Times New Roman"/>
          <w:i/>
          <w:iCs/>
          <w:sz w:val="24"/>
          <w:szCs w:val="24"/>
        </w:rPr>
        <w:t xml:space="preserve"> Methods Programs Biomed</w:t>
      </w:r>
      <w:r w:rsidRPr="00457CC4">
        <w:rPr>
          <w:rFonts w:ascii="Times New Roman" w:eastAsia="Times New Roman" w:hAnsi="Times New Roman" w:cs="Times New Roman"/>
          <w:sz w:val="24"/>
          <w:szCs w:val="24"/>
        </w:rPr>
        <w:t>. 2024</w:t>
      </w:r>
      <w:proofErr w:type="gramStart"/>
      <w:r w:rsidRPr="00457CC4">
        <w:rPr>
          <w:rFonts w:ascii="Times New Roman" w:eastAsia="Times New Roman" w:hAnsi="Times New Roman" w:cs="Times New Roman"/>
          <w:sz w:val="24"/>
          <w:szCs w:val="24"/>
        </w:rPr>
        <w:t>;216:106651</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Price WN II, Cohen IG</w:t>
      </w:r>
      <w:r w:rsidRPr="00457CC4">
        <w:rPr>
          <w:rFonts w:ascii="Times New Roman" w:eastAsia="Times New Roman" w:hAnsi="Times New Roman" w:cs="Times New Roman"/>
          <w:sz w:val="24"/>
          <w:szCs w:val="24"/>
        </w:rPr>
        <w:t xml:space="preserve">. Protecting privacy in the era of big data and clinical AI. </w:t>
      </w:r>
      <w:r w:rsidRPr="00457CC4">
        <w:rPr>
          <w:rFonts w:ascii="Times New Roman" w:eastAsia="Times New Roman" w:hAnsi="Times New Roman" w:cs="Times New Roman"/>
          <w:i/>
          <w:iCs/>
          <w:sz w:val="24"/>
          <w:szCs w:val="24"/>
        </w:rPr>
        <w:t>J Law Med Ethics</w:t>
      </w:r>
      <w:r w:rsidRPr="00457CC4">
        <w:rPr>
          <w:rFonts w:ascii="Times New Roman" w:eastAsia="Times New Roman" w:hAnsi="Times New Roman" w:cs="Times New Roman"/>
          <w:sz w:val="24"/>
          <w:szCs w:val="24"/>
        </w:rPr>
        <w:t>. 2023;51(1):45–62.</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Sheehan NA, et al</w:t>
      </w:r>
      <w:r w:rsidRPr="00457CC4">
        <w:rPr>
          <w:rFonts w:ascii="Times New Roman" w:eastAsia="Times New Roman" w:hAnsi="Times New Roman" w:cs="Times New Roman"/>
          <w:sz w:val="24"/>
          <w:szCs w:val="24"/>
        </w:rPr>
        <w:t xml:space="preserve">. Algorithmic fairness and clinical trial access. </w:t>
      </w:r>
      <w:r w:rsidRPr="00457CC4">
        <w:rPr>
          <w:rFonts w:ascii="Times New Roman" w:eastAsia="Times New Roman" w:hAnsi="Times New Roman" w:cs="Times New Roman"/>
          <w:i/>
          <w:iCs/>
          <w:sz w:val="24"/>
          <w:szCs w:val="24"/>
        </w:rPr>
        <w:t>Clin Trials</w:t>
      </w:r>
      <w:r w:rsidRPr="00457CC4">
        <w:rPr>
          <w:rFonts w:ascii="Times New Roman" w:eastAsia="Times New Roman" w:hAnsi="Times New Roman" w:cs="Times New Roman"/>
          <w:sz w:val="24"/>
          <w:szCs w:val="24"/>
        </w:rPr>
        <w:t>. 2024;21(4):420–431.</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Topol</w:t>
      </w:r>
      <w:proofErr w:type="spellEnd"/>
      <w:r w:rsidRPr="00457CC4">
        <w:rPr>
          <w:rFonts w:ascii="Times New Roman" w:eastAsia="Times New Roman" w:hAnsi="Times New Roman" w:cs="Times New Roman"/>
          <w:b/>
          <w:sz w:val="24"/>
          <w:szCs w:val="24"/>
        </w:rPr>
        <w:t xml:space="preserve"> EJ</w:t>
      </w:r>
      <w:r w:rsidRPr="00457CC4">
        <w:rPr>
          <w:rFonts w:ascii="Times New Roman" w:eastAsia="Times New Roman" w:hAnsi="Times New Roman" w:cs="Times New Roman"/>
          <w:sz w:val="24"/>
          <w:szCs w:val="24"/>
        </w:rPr>
        <w:t xml:space="preserve">. Ethical considerations for AI-enabled clinical decision support. </w:t>
      </w:r>
      <w:r w:rsidRPr="00457CC4">
        <w:rPr>
          <w:rFonts w:ascii="Times New Roman" w:eastAsia="Times New Roman" w:hAnsi="Times New Roman" w:cs="Times New Roman"/>
          <w:i/>
          <w:iCs/>
          <w:sz w:val="24"/>
          <w:szCs w:val="24"/>
        </w:rPr>
        <w:t>Nature Med</w:t>
      </w:r>
      <w:r w:rsidRPr="00457CC4">
        <w:rPr>
          <w:rFonts w:ascii="Times New Roman" w:eastAsia="Times New Roman" w:hAnsi="Times New Roman" w:cs="Times New Roman"/>
          <w:sz w:val="24"/>
          <w:szCs w:val="24"/>
        </w:rPr>
        <w:t>. 2023</w:t>
      </w:r>
      <w:proofErr w:type="gramStart"/>
      <w:r w:rsidRPr="00457CC4">
        <w:rPr>
          <w:rFonts w:ascii="Times New Roman" w:eastAsia="Times New Roman" w:hAnsi="Times New Roman" w:cs="Times New Roman"/>
          <w:sz w:val="24"/>
          <w:szCs w:val="24"/>
        </w:rPr>
        <w:t>;29:1382</w:t>
      </w:r>
      <w:proofErr w:type="gramEnd"/>
      <w:r w:rsidRPr="00457CC4">
        <w:rPr>
          <w:rFonts w:ascii="Times New Roman" w:eastAsia="Times New Roman" w:hAnsi="Times New Roman" w:cs="Times New Roman"/>
          <w:sz w:val="24"/>
          <w:szCs w:val="24"/>
        </w:rPr>
        <w:t>–1389.</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Van der Veen RL, et al</w:t>
      </w:r>
      <w:r w:rsidRPr="00457CC4">
        <w:rPr>
          <w:rFonts w:ascii="Times New Roman" w:eastAsia="Times New Roman" w:hAnsi="Times New Roman" w:cs="Times New Roman"/>
          <w:sz w:val="24"/>
          <w:szCs w:val="24"/>
        </w:rPr>
        <w:t xml:space="preserve">. COVID-19 decentralized trials: lessons and ethical questions. </w:t>
      </w:r>
      <w:proofErr w:type="spellStart"/>
      <w:r w:rsidRPr="00457CC4">
        <w:rPr>
          <w:rFonts w:ascii="Times New Roman" w:eastAsia="Times New Roman" w:hAnsi="Times New Roman" w:cs="Times New Roman"/>
          <w:i/>
          <w:iCs/>
          <w:sz w:val="24"/>
          <w:szCs w:val="24"/>
        </w:rPr>
        <w:t>Contemp</w:t>
      </w:r>
      <w:proofErr w:type="spellEnd"/>
      <w:r w:rsidRPr="00457CC4">
        <w:rPr>
          <w:rFonts w:ascii="Times New Roman" w:eastAsia="Times New Roman" w:hAnsi="Times New Roman" w:cs="Times New Roman"/>
          <w:i/>
          <w:iCs/>
          <w:sz w:val="24"/>
          <w:szCs w:val="24"/>
        </w:rPr>
        <w:t xml:space="preserve"> </w:t>
      </w:r>
      <w:proofErr w:type="spellStart"/>
      <w:r w:rsidRPr="00457CC4">
        <w:rPr>
          <w:rFonts w:ascii="Times New Roman" w:eastAsia="Times New Roman" w:hAnsi="Times New Roman" w:cs="Times New Roman"/>
          <w:i/>
          <w:iCs/>
          <w:sz w:val="24"/>
          <w:szCs w:val="24"/>
        </w:rPr>
        <w:t>Clin</w:t>
      </w:r>
      <w:proofErr w:type="spellEnd"/>
      <w:r w:rsidRPr="00457CC4">
        <w:rPr>
          <w:rFonts w:ascii="Times New Roman" w:eastAsia="Times New Roman" w:hAnsi="Times New Roman" w:cs="Times New Roman"/>
          <w:i/>
          <w:iCs/>
          <w:sz w:val="24"/>
          <w:szCs w:val="24"/>
        </w:rPr>
        <w:t xml:space="preserve"> Trials</w:t>
      </w:r>
      <w:r w:rsidRPr="00457CC4">
        <w:rPr>
          <w:rFonts w:ascii="Times New Roman" w:eastAsia="Times New Roman" w:hAnsi="Times New Roman" w:cs="Times New Roman"/>
          <w:sz w:val="24"/>
          <w:szCs w:val="24"/>
        </w:rPr>
        <w:t>. 2023</w:t>
      </w:r>
      <w:proofErr w:type="gramStart"/>
      <w:r w:rsidRPr="00457CC4">
        <w:rPr>
          <w:rFonts w:ascii="Times New Roman" w:eastAsia="Times New Roman" w:hAnsi="Times New Roman" w:cs="Times New Roman"/>
          <w:sz w:val="24"/>
          <w:szCs w:val="24"/>
        </w:rPr>
        <w:t>;128:107973</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WHO</w:t>
      </w:r>
      <w:r w:rsidRPr="00457CC4">
        <w:rPr>
          <w:rFonts w:ascii="Times New Roman" w:eastAsia="Times New Roman" w:hAnsi="Times New Roman" w:cs="Times New Roman"/>
          <w:sz w:val="24"/>
          <w:szCs w:val="24"/>
        </w:rPr>
        <w:t>. Ethics and governance of AI for health: report by the WHO expert group. World Health Organization; 2024.</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Holzinger</w:t>
      </w:r>
      <w:proofErr w:type="spellEnd"/>
      <w:r w:rsidRPr="00457CC4">
        <w:rPr>
          <w:rFonts w:ascii="Times New Roman" w:eastAsia="Times New Roman" w:hAnsi="Times New Roman" w:cs="Times New Roman"/>
          <w:b/>
          <w:sz w:val="24"/>
          <w:szCs w:val="24"/>
        </w:rPr>
        <w:t xml:space="preserve"> A, et al</w:t>
      </w:r>
      <w:r w:rsidRPr="00457CC4">
        <w:rPr>
          <w:rFonts w:ascii="Times New Roman" w:eastAsia="Times New Roman" w:hAnsi="Times New Roman" w:cs="Times New Roman"/>
          <w:sz w:val="24"/>
          <w:szCs w:val="24"/>
        </w:rPr>
        <w:t xml:space="preserve">. Transparency and interpretability in AI for precision health. </w:t>
      </w:r>
      <w:r w:rsidRPr="00457CC4">
        <w:rPr>
          <w:rFonts w:ascii="Times New Roman" w:eastAsia="Times New Roman" w:hAnsi="Times New Roman" w:cs="Times New Roman"/>
          <w:i/>
          <w:iCs/>
          <w:sz w:val="24"/>
          <w:szCs w:val="24"/>
        </w:rPr>
        <w:t>IEEE Trans Med Imaging</w:t>
      </w:r>
      <w:r w:rsidRPr="00457CC4">
        <w:rPr>
          <w:rFonts w:ascii="Times New Roman" w:eastAsia="Times New Roman" w:hAnsi="Times New Roman" w:cs="Times New Roman"/>
          <w:sz w:val="24"/>
          <w:szCs w:val="24"/>
        </w:rPr>
        <w:t>. 2022</w:t>
      </w:r>
      <w:proofErr w:type="gramStart"/>
      <w:r w:rsidRPr="00457CC4">
        <w:rPr>
          <w:rFonts w:ascii="Times New Roman" w:eastAsia="Times New Roman" w:hAnsi="Times New Roman" w:cs="Times New Roman"/>
          <w:sz w:val="24"/>
          <w:szCs w:val="24"/>
        </w:rPr>
        <w:t>;41:1549</w:t>
      </w:r>
      <w:proofErr w:type="gramEnd"/>
      <w:r w:rsidRPr="00457CC4">
        <w:rPr>
          <w:rFonts w:ascii="Times New Roman" w:eastAsia="Times New Roman" w:hAnsi="Times New Roman" w:cs="Times New Roman"/>
          <w:sz w:val="24"/>
          <w:szCs w:val="24"/>
        </w:rPr>
        <w:t>–1558.</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Liu X, Cruz Rivera S, Moher D.</w:t>
      </w:r>
      <w:r w:rsidRPr="00457CC4">
        <w:rPr>
          <w:rFonts w:ascii="Times New Roman" w:eastAsia="Times New Roman" w:hAnsi="Times New Roman" w:cs="Times New Roman"/>
          <w:sz w:val="24"/>
          <w:szCs w:val="24"/>
        </w:rPr>
        <w:t xml:space="preserve"> Reporting guidelines for AI and digital health research. </w:t>
      </w:r>
      <w:r w:rsidRPr="00457CC4">
        <w:rPr>
          <w:rFonts w:ascii="Times New Roman" w:eastAsia="Times New Roman" w:hAnsi="Times New Roman" w:cs="Times New Roman"/>
          <w:i/>
          <w:iCs/>
          <w:sz w:val="24"/>
          <w:szCs w:val="24"/>
        </w:rPr>
        <w:t>BMJ</w:t>
      </w:r>
      <w:r w:rsidRPr="00457CC4">
        <w:rPr>
          <w:rFonts w:ascii="Times New Roman" w:eastAsia="Times New Roman" w:hAnsi="Times New Roman" w:cs="Times New Roman"/>
          <w:sz w:val="24"/>
          <w:szCs w:val="24"/>
        </w:rPr>
        <w:t>. 2022</w:t>
      </w:r>
      <w:proofErr w:type="gramStart"/>
      <w:r w:rsidRPr="00457CC4">
        <w:rPr>
          <w:rFonts w:ascii="Times New Roman" w:eastAsia="Times New Roman" w:hAnsi="Times New Roman" w:cs="Times New Roman"/>
          <w:sz w:val="24"/>
          <w:szCs w:val="24"/>
        </w:rPr>
        <w:t>;376:e066103</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Morley J, et al</w:t>
      </w:r>
      <w:r w:rsidRPr="00457CC4">
        <w:rPr>
          <w:rFonts w:ascii="Times New Roman" w:eastAsia="Times New Roman" w:hAnsi="Times New Roman" w:cs="Times New Roman"/>
          <w:sz w:val="24"/>
          <w:szCs w:val="24"/>
        </w:rPr>
        <w:t xml:space="preserve">. Ethical challenges in AI health research: moving beyond the hype. </w:t>
      </w:r>
      <w:r w:rsidRPr="00457CC4">
        <w:rPr>
          <w:rFonts w:ascii="Times New Roman" w:eastAsia="Times New Roman" w:hAnsi="Times New Roman" w:cs="Times New Roman"/>
          <w:i/>
          <w:iCs/>
          <w:sz w:val="24"/>
          <w:szCs w:val="24"/>
        </w:rPr>
        <w:t>Bull World Health Organ</w:t>
      </w:r>
      <w:r w:rsidRPr="00457CC4">
        <w:rPr>
          <w:rFonts w:ascii="Times New Roman" w:eastAsia="Times New Roman" w:hAnsi="Times New Roman" w:cs="Times New Roman"/>
          <w:sz w:val="24"/>
          <w:szCs w:val="24"/>
        </w:rPr>
        <w:t>. 2021</w:t>
      </w:r>
      <w:proofErr w:type="gramStart"/>
      <w:r w:rsidRPr="00457CC4">
        <w:rPr>
          <w:rFonts w:ascii="Times New Roman" w:eastAsia="Times New Roman" w:hAnsi="Times New Roman" w:cs="Times New Roman"/>
          <w:sz w:val="24"/>
          <w:szCs w:val="24"/>
        </w:rPr>
        <w:t>;99:206</w:t>
      </w:r>
      <w:proofErr w:type="gramEnd"/>
      <w:r w:rsidRPr="00457CC4">
        <w:rPr>
          <w:rFonts w:ascii="Times New Roman" w:eastAsia="Times New Roman" w:hAnsi="Times New Roman" w:cs="Times New Roman"/>
          <w:sz w:val="24"/>
          <w:szCs w:val="24"/>
        </w:rPr>
        <w:t>–213.</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King D, et al</w:t>
      </w:r>
      <w:r w:rsidRPr="00457CC4">
        <w:rPr>
          <w:rFonts w:ascii="Times New Roman" w:eastAsia="Times New Roman" w:hAnsi="Times New Roman" w:cs="Times New Roman"/>
          <w:sz w:val="24"/>
          <w:szCs w:val="24"/>
        </w:rPr>
        <w:t xml:space="preserve">. Ethical dimensions of wearable devices in decentralized trials. </w:t>
      </w:r>
      <w:r w:rsidRPr="00457CC4">
        <w:rPr>
          <w:rFonts w:ascii="Times New Roman" w:eastAsia="Times New Roman" w:hAnsi="Times New Roman" w:cs="Times New Roman"/>
          <w:i/>
          <w:iCs/>
          <w:sz w:val="24"/>
          <w:szCs w:val="24"/>
        </w:rPr>
        <w:t>Lancet Digit Health</w:t>
      </w:r>
      <w:r w:rsidRPr="00457CC4">
        <w:rPr>
          <w:rFonts w:ascii="Times New Roman" w:eastAsia="Times New Roman" w:hAnsi="Times New Roman" w:cs="Times New Roman"/>
          <w:sz w:val="24"/>
          <w:szCs w:val="24"/>
        </w:rPr>
        <w:t>. 2024</w:t>
      </w:r>
      <w:proofErr w:type="gramStart"/>
      <w:r w:rsidRPr="00457CC4">
        <w:rPr>
          <w:rFonts w:ascii="Times New Roman" w:eastAsia="Times New Roman" w:hAnsi="Times New Roman" w:cs="Times New Roman"/>
          <w:sz w:val="24"/>
          <w:szCs w:val="24"/>
        </w:rPr>
        <w:t>;6:e101</w:t>
      </w:r>
      <w:proofErr w:type="gramEnd"/>
      <w:r w:rsidRPr="00457CC4">
        <w:rPr>
          <w:rFonts w:ascii="Times New Roman" w:eastAsia="Times New Roman" w:hAnsi="Times New Roman" w:cs="Times New Roman"/>
          <w:sz w:val="24"/>
          <w:szCs w:val="24"/>
        </w:rPr>
        <w:t>–e110.</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Flannery D, et al</w:t>
      </w:r>
      <w:r w:rsidRPr="00457CC4">
        <w:rPr>
          <w:rFonts w:ascii="Times New Roman" w:eastAsia="Times New Roman" w:hAnsi="Times New Roman" w:cs="Times New Roman"/>
          <w:sz w:val="24"/>
          <w:szCs w:val="24"/>
        </w:rPr>
        <w:t xml:space="preserve">. AI governance frameworks for clinical research: lessons learned. </w:t>
      </w:r>
      <w:r w:rsidRPr="00457CC4">
        <w:rPr>
          <w:rFonts w:ascii="Times New Roman" w:eastAsia="Times New Roman" w:hAnsi="Times New Roman" w:cs="Times New Roman"/>
          <w:i/>
          <w:iCs/>
          <w:sz w:val="24"/>
          <w:szCs w:val="24"/>
        </w:rPr>
        <w:t xml:space="preserve">JMIR Res </w:t>
      </w:r>
      <w:proofErr w:type="spellStart"/>
      <w:r w:rsidRPr="00457CC4">
        <w:rPr>
          <w:rFonts w:ascii="Times New Roman" w:eastAsia="Times New Roman" w:hAnsi="Times New Roman" w:cs="Times New Roman"/>
          <w:i/>
          <w:iCs/>
          <w:sz w:val="24"/>
          <w:szCs w:val="24"/>
        </w:rPr>
        <w:t>Protoc</w:t>
      </w:r>
      <w:proofErr w:type="spellEnd"/>
      <w:r w:rsidRPr="00457CC4">
        <w:rPr>
          <w:rFonts w:ascii="Times New Roman" w:eastAsia="Times New Roman" w:hAnsi="Times New Roman" w:cs="Times New Roman"/>
          <w:sz w:val="24"/>
          <w:szCs w:val="24"/>
        </w:rPr>
        <w:t>. 2025</w:t>
      </w:r>
      <w:proofErr w:type="gramStart"/>
      <w:r w:rsidRPr="00457CC4">
        <w:rPr>
          <w:rFonts w:ascii="Times New Roman" w:eastAsia="Times New Roman" w:hAnsi="Times New Roman" w:cs="Times New Roman"/>
          <w:sz w:val="24"/>
          <w:szCs w:val="24"/>
        </w:rPr>
        <w:t>;14:e40502</w:t>
      </w:r>
      <w:proofErr w:type="gramEnd"/>
      <w:r w:rsidRPr="00457CC4">
        <w:rPr>
          <w:rFonts w:ascii="Times New Roman" w:eastAsia="Times New Roman" w:hAnsi="Times New Roman" w:cs="Times New Roman"/>
          <w:sz w:val="24"/>
          <w:szCs w:val="24"/>
        </w:rPr>
        <w:t>.</w:t>
      </w:r>
    </w:p>
    <w:p w:rsidR="008A6017" w:rsidRPr="00457CC4" w:rsidRDefault="008A6017" w:rsidP="00457CC4">
      <w:pPr>
        <w:rPr>
          <w:rFonts w:ascii="Times New Roman" w:hAnsi="Times New Roman" w:cs="Times New Roman"/>
          <w:sz w:val="24"/>
          <w:szCs w:val="24"/>
        </w:rPr>
      </w:pPr>
    </w:p>
    <w:sectPr w:rsidR="008A6017" w:rsidRPr="00457CC4" w:rsidSect="00F84A5E">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17" w:rsidRDefault="00837617" w:rsidP="00B81DD8">
      <w:pPr>
        <w:spacing w:after="0" w:line="240" w:lineRule="auto"/>
      </w:pPr>
      <w:r>
        <w:separator/>
      </w:r>
    </w:p>
  </w:endnote>
  <w:endnote w:type="continuationSeparator" w:id="0">
    <w:p w:rsidR="00837617" w:rsidRDefault="00837617" w:rsidP="00B8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282228"/>
      <w:docPartObj>
        <w:docPartGallery w:val="Page Numbers (Bottom of Page)"/>
        <w:docPartUnique/>
      </w:docPartObj>
    </w:sdtPr>
    <w:sdtEndPr>
      <w:rPr>
        <w:color w:val="7F7F7F" w:themeColor="background1" w:themeShade="7F"/>
        <w:spacing w:val="60"/>
      </w:rPr>
    </w:sdtEndPr>
    <w:sdtContent>
      <w:p w:rsidR="000865AA" w:rsidRDefault="000865A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54EFA" w:rsidRPr="00854EFA">
          <w:rPr>
            <w:b/>
            <w:bCs/>
            <w:noProof/>
          </w:rPr>
          <w:t>5</w:t>
        </w:r>
        <w:r>
          <w:rPr>
            <w:b/>
            <w:bCs/>
            <w:noProof/>
          </w:rPr>
          <w:fldChar w:fldCharType="end"/>
        </w:r>
        <w:r>
          <w:rPr>
            <w:b/>
            <w:bCs/>
          </w:rPr>
          <w:t xml:space="preserve"> | </w:t>
        </w:r>
        <w:r>
          <w:rPr>
            <w:color w:val="7F7F7F" w:themeColor="background1" w:themeShade="7F"/>
            <w:spacing w:val="60"/>
          </w:rPr>
          <w:t>Page</w:t>
        </w:r>
      </w:p>
    </w:sdtContent>
  </w:sdt>
  <w:p w:rsidR="000865AA" w:rsidRDefault="00086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17" w:rsidRDefault="00837617" w:rsidP="00B81DD8">
      <w:pPr>
        <w:spacing w:after="0" w:line="240" w:lineRule="auto"/>
      </w:pPr>
      <w:r>
        <w:separator/>
      </w:r>
    </w:p>
  </w:footnote>
  <w:footnote w:type="continuationSeparator" w:id="0">
    <w:p w:rsidR="00837617" w:rsidRDefault="00837617" w:rsidP="00B81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9E8"/>
    <w:multiLevelType w:val="multilevel"/>
    <w:tmpl w:val="B758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B1F3F"/>
    <w:multiLevelType w:val="multilevel"/>
    <w:tmpl w:val="EB4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F4EDF"/>
    <w:multiLevelType w:val="multilevel"/>
    <w:tmpl w:val="F69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C06A8"/>
    <w:multiLevelType w:val="multilevel"/>
    <w:tmpl w:val="0BB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E7743"/>
    <w:multiLevelType w:val="multilevel"/>
    <w:tmpl w:val="53A0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E0EF6"/>
    <w:multiLevelType w:val="multilevel"/>
    <w:tmpl w:val="3760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D382D"/>
    <w:multiLevelType w:val="multilevel"/>
    <w:tmpl w:val="C864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78255F"/>
    <w:multiLevelType w:val="multilevel"/>
    <w:tmpl w:val="D0C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13381"/>
    <w:multiLevelType w:val="multilevel"/>
    <w:tmpl w:val="4BEA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A344F7"/>
    <w:multiLevelType w:val="multilevel"/>
    <w:tmpl w:val="D19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5186E"/>
    <w:multiLevelType w:val="multilevel"/>
    <w:tmpl w:val="D7F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314E03"/>
    <w:multiLevelType w:val="multilevel"/>
    <w:tmpl w:val="3F72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133803"/>
    <w:multiLevelType w:val="multilevel"/>
    <w:tmpl w:val="F7CE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809EF"/>
    <w:multiLevelType w:val="multilevel"/>
    <w:tmpl w:val="7C20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8617BB"/>
    <w:multiLevelType w:val="multilevel"/>
    <w:tmpl w:val="2BA0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2E3490"/>
    <w:multiLevelType w:val="multilevel"/>
    <w:tmpl w:val="536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932D8E"/>
    <w:multiLevelType w:val="multilevel"/>
    <w:tmpl w:val="93D2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8D0572"/>
    <w:multiLevelType w:val="multilevel"/>
    <w:tmpl w:val="22E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63A59"/>
    <w:multiLevelType w:val="multilevel"/>
    <w:tmpl w:val="4C9C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F60FF2"/>
    <w:multiLevelType w:val="multilevel"/>
    <w:tmpl w:val="AF5A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17"/>
  </w:num>
  <w:num w:numId="5">
    <w:abstractNumId w:val="3"/>
  </w:num>
  <w:num w:numId="6">
    <w:abstractNumId w:val="12"/>
  </w:num>
  <w:num w:numId="7">
    <w:abstractNumId w:val="2"/>
  </w:num>
  <w:num w:numId="8">
    <w:abstractNumId w:val="13"/>
  </w:num>
  <w:num w:numId="9">
    <w:abstractNumId w:val="16"/>
  </w:num>
  <w:num w:numId="10">
    <w:abstractNumId w:val="19"/>
  </w:num>
  <w:num w:numId="11">
    <w:abstractNumId w:val="14"/>
  </w:num>
  <w:num w:numId="12">
    <w:abstractNumId w:val="18"/>
  </w:num>
  <w:num w:numId="13">
    <w:abstractNumId w:val="8"/>
  </w:num>
  <w:num w:numId="14">
    <w:abstractNumId w:val="7"/>
  </w:num>
  <w:num w:numId="15">
    <w:abstractNumId w:val="0"/>
  </w:num>
  <w:num w:numId="16">
    <w:abstractNumId w:val="5"/>
  </w:num>
  <w:num w:numId="17">
    <w:abstractNumId w:val="11"/>
  </w:num>
  <w:num w:numId="18">
    <w:abstractNumId w:val="15"/>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C4"/>
    <w:rsid w:val="00014BC2"/>
    <w:rsid w:val="000865AA"/>
    <w:rsid w:val="00457CC4"/>
    <w:rsid w:val="00837617"/>
    <w:rsid w:val="00854EFA"/>
    <w:rsid w:val="008A6017"/>
    <w:rsid w:val="009241BF"/>
    <w:rsid w:val="00B81DD8"/>
    <w:rsid w:val="00CC2455"/>
    <w:rsid w:val="00F64F55"/>
    <w:rsid w:val="00F65D69"/>
    <w:rsid w:val="00F8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7C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7C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7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7C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7CC4"/>
    <w:rPr>
      <w:rFonts w:ascii="Times New Roman" w:eastAsia="Times New Roman" w:hAnsi="Times New Roman" w:cs="Times New Roman"/>
      <w:b/>
      <w:bCs/>
      <w:sz w:val="27"/>
      <w:szCs w:val="27"/>
    </w:rPr>
  </w:style>
  <w:style w:type="character" w:styleId="Strong">
    <w:name w:val="Strong"/>
    <w:basedOn w:val="DefaultParagraphFont"/>
    <w:uiPriority w:val="22"/>
    <w:qFormat/>
    <w:rsid w:val="00457CC4"/>
    <w:rPr>
      <w:b/>
      <w:bCs/>
    </w:rPr>
  </w:style>
  <w:style w:type="paragraph" w:styleId="NormalWeb">
    <w:name w:val="Normal (Web)"/>
    <w:basedOn w:val="Normal"/>
    <w:uiPriority w:val="99"/>
    <w:semiHidden/>
    <w:unhideWhenUsed/>
    <w:rsid w:val="00457C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7CC4"/>
    <w:rPr>
      <w:i/>
      <w:iCs/>
    </w:rPr>
  </w:style>
  <w:style w:type="paragraph" w:styleId="Header">
    <w:name w:val="header"/>
    <w:basedOn w:val="Normal"/>
    <w:link w:val="HeaderChar"/>
    <w:uiPriority w:val="99"/>
    <w:unhideWhenUsed/>
    <w:rsid w:val="00B81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DD8"/>
  </w:style>
  <w:style w:type="paragraph" w:styleId="Footer">
    <w:name w:val="footer"/>
    <w:basedOn w:val="Normal"/>
    <w:link w:val="FooterChar"/>
    <w:uiPriority w:val="99"/>
    <w:unhideWhenUsed/>
    <w:rsid w:val="00B81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DD8"/>
  </w:style>
  <w:style w:type="paragraph" w:styleId="ListParagraph">
    <w:name w:val="List Paragraph"/>
    <w:basedOn w:val="Normal"/>
    <w:uiPriority w:val="34"/>
    <w:qFormat/>
    <w:rsid w:val="00F65D69"/>
    <w:pPr>
      <w:ind w:left="720"/>
      <w:contextualSpacing/>
    </w:pPr>
  </w:style>
  <w:style w:type="paragraph" w:styleId="NoSpacing">
    <w:name w:val="No Spacing"/>
    <w:uiPriority w:val="1"/>
    <w:qFormat/>
    <w:rsid w:val="00F84A5E"/>
    <w:pPr>
      <w:spacing w:after="0" w:line="240" w:lineRule="auto"/>
    </w:pPr>
    <w:rPr>
      <w:szCs w:val="20"/>
      <w:lang w:val="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7C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7C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7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7C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7CC4"/>
    <w:rPr>
      <w:rFonts w:ascii="Times New Roman" w:eastAsia="Times New Roman" w:hAnsi="Times New Roman" w:cs="Times New Roman"/>
      <w:b/>
      <w:bCs/>
      <w:sz w:val="27"/>
      <w:szCs w:val="27"/>
    </w:rPr>
  </w:style>
  <w:style w:type="character" w:styleId="Strong">
    <w:name w:val="Strong"/>
    <w:basedOn w:val="DefaultParagraphFont"/>
    <w:uiPriority w:val="22"/>
    <w:qFormat/>
    <w:rsid w:val="00457CC4"/>
    <w:rPr>
      <w:b/>
      <w:bCs/>
    </w:rPr>
  </w:style>
  <w:style w:type="paragraph" w:styleId="NormalWeb">
    <w:name w:val="Normal (Web)"/>
    <w:basedOn w:val="Normal"/>
    <w:uiPriority w:val="99"/>
    <w:semiHidden/>
    <w:unhideWhenUsed/>
    <w:rsid w:val="00457C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7CC4"/>
    <w:rPr>
      <w:i/>
      <w:iCs/>
    </w:rPr>
  </w:style>
  <w:style w:type="paragraph" w:styleId="Header">
    <w:name w:val="header"/>
    <w:basedOn w:val="Normal"/>
    <w:link w:val="HeaderChar"/>
    <w:uiPriority w:val="99"/>
    <w:unhideWhenUsed/>
    <w:rsid w:val="00B81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DD8"/>
  </w:style>
  <w:style w:type="paragraph" w:styleId="Footer">
    <w:name w:val="footer"/>
    <w:basedOn w:val="Normal"/>
    <w:link w:val="FooterChar"/>
    <w:uiPriority w:val="99"/>
    <w:unhideWhenUsed/>
    <w:rsid w:val="00B81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DD8"/>
  </w:style>
  <w:style w:type="paragraph" w:styleId="ListParagraph">
    <w:name w:val="List Paragraph"/>
    <w:basedOn w:val="Normal"/>
    <w:uiPriority w:val="34"/>
    <w:qFormat/>
    <w:rsid w:val="00F65D69"/>
    <w:pPr>
      <w:ind w:left="720"/>
      <w:contextualSpacing/>
    </w:pPr>
  </w:style>
  <w:style w:type="paragraph" w:styleId="NoSpacing">
    <w:name w:val="No Spacing"/>
    <w:uiPriority w:val="1"/>
    <w:qFormat/>
    <w:rsid w:val="00F84A5E"/>
    <w:pPr>
      <w:spacing w:after="0" w:line="240" w:lineRule="auto"/>
    </w:pPr>
    <w:rPr>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8711">
      <w:bodyDiv w:val="1"/>
      <w:marLeft w:val="0"/>
      <w:marRight w:val="0"/>
      <w:marTop w:val="0"/>
      <w:marBottom w:val="0"/>
      <w:divBdr>
        <w:top w:val="none" w:sz="0" w:space="0" w:color="auto"/>
        <w:left w:val="none" w:sz="0" w:space="0" w:color="auto"/>
        <w:bottom w:val="none" w:sz="0" w:space="0" w:color="auto"/>
        <w:right w:val="none" w:sz="0" w:space="0" w:color="auto"/>
      </w:divBdr>
    </w:div>
    <w:div w:id="561714165">
      <w:bodyDiv w:val="1"/>
      <w:marLeft w:val="0"/>
      <w:marRight w:val="0"/>
      <w:marTop w:val="0"/>
      <w:marBottom w:val="0"/>
      <w:divBdr>
        <w:top w:val="none" w:sz="0" w:space="0" w:color="auto"/>
        <w:left w:val="none" w:sz="0" w:space="0" w:color="auto"/>
        <w:bottom w:val="none" w:sz="0" w:space="0" w:color="auto"/>
        <w:right w:val="none" w:sz="0" w:space="0" w:color="auto"/>
      </w:divBdr>
    </w:div>
    <w:div w:id="85303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F36684-D96F-4DA6-91BF-979DCFD705D3}"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38FE9A8-4850-4DB7-A909-C46A696148DA}">
      <dgm:prSet phldrT="[Text]"/>
      <dgm:spPr>
        <a:solidFill>
          <a:schemeClr val="accent2"/>
        </a:solidFill>
        <a:ln>
          <a:solidFill>
            <a:schemeClr val="accent2"/>
          </a:solidFill>
        </a:ln>
      </dgm:spPr>
      <dgm:t>
        <a:bodyPr/>
        <a:lstStyle/>
        <a:p>
          <a:r>
            <a:rPr lang="en-US" b="1"/>
            <a:t>Enhanced consent processes</a:t>
          </a:r>
          <a:endParaRPr lang="en-US"/>
        </a:p>
      </dgm:t>
    </dgm:pt>
    <dgm:pt modelId="{C5D2735A-01F5-4707-BDD5-9F4E8A4B76C9}" type="parTrans" cxnId="{67366C24-5990-4696-B390-F1115317CF3C}">
      <dgm:prSet/>
      <dgm:spPr/>
      <dgm:t>
        <a:bodyPr/>
        <a:lstStyle/>
        <a:p>
          <a:endParaRPr lang="en-US"/>
        </a:p>
      </dgm:t>
    </dgm:pt>
    <dgm:pt modelId="{A307EB9C-44C2-488B-B767-F724CBAFDD80}" type="sibTrans" cxnId="{67366C24-5990-4696-B390-F1115317CF3C}">
      <dgm:prSet/>
      <dgm:spPr/>
      <dgm:t>
        <a:bodyPr/>
        <a:lstStyle/>
        <a:p>
          <a:endParaRPr lang="en-US"/>
        </a:p>
      </dgm:t>
    </dgm:pt>
    <dgm:pt modelId="{B151F3E4-38E5-43CF-97A9-A393C89B5674}">
      <dgm:prSet phldrT="[Text]"/>
      <dgm:spPr/>
      <dgm:t>
        <a:bodyPr/>
        <a:lstStyle/>
        <a:p>
          <a:r>
            <a:rPr lang="en-US"/>
            <a:t>Dynamic, interactive consent models tailored to digital trials (10).</a:t>
          </a:r>
        </a:p>
      </dgm:t>
    </dgm:pt>
    <dgm:pt modelId="{BA2447AE-3816-443C-B079-9A5BB13091EB}" type="parTrans" cxnId="{C99D71D1-566C-45B6-B996-C81B98DBDAD6}">
      <dgm:prSet/>
      <dgm:spPr/>
      <dgm:t>
        <a:bodyPr/>
        <a:lstStyle/>
        <a:p>
          <a:endParaRPr lang="en-US"/>
        </a:p>
      </dgm:t>
    </dgm:pt>
    <dgm:pt modelId="{8E978194-2E98-4055-9198-7D1851048898}" type="sibTrans" cxnId="{C99D71D1-566C-45B6-B996-C81B98DBDAD6}">
      <dgm:prSet/>
      <dgm:spPr/>
      <dgm:t>
        <a:bodyPr/>
        <a:lstStyle/>
        <a:p>
          <a:endParaRPr lang="en-US"/>
        </a:p>
      </dgm:t>
    </dgm:pt>
    <dgm:pt modelId="{5095E2CC-91F6-4BAD-BDE2-5CCA30EA7A96}">
      <dgm:prSet phldrT="[Text]"/>
      <dgm:spPr>
        <a:solidFill>
          <a:srgbClr val="92D050"/>
        </a:solidFill>
      </dgm:spPr>
      <dgm:t>
        <a:bodyPr/>
        <a:lstStyle/>
        <a:p>
          <a:r>
            <a:rPr lang="en-US" b="1"/>
            <a:t>Regulatory updates</a:t>
          </a:r>
          <a:endParaRPr lang="en-US"/>
        </a:p>
      </dgm:t>
    </dgm:pt>
    <dgm:pt modelId="{5CAB7193-7133-4B35-A1A3-5C173F2B6573}" type="parTrans" cxnId="{51461E68-3FBD-4AC5-B50F-7BA4A70A0ECF}">
      <dgm:prSet/>
      <dgm:spPr/>
      <dgm:t>
        <a:bodyPr/>
        <a:lstStyle/>
        <a:p>
          <a:endParaRPr lang="en-US"/>
        </a:p>
      </dgm:t>
    </dgm:pt>
    <dgm:pt modelId="{96A8E01D-4CB5-4A3C-8EC6-C9D1CF978E16}" type="sibTrans" cxnId="{51461E68-3FBD-4AC5-B50F-7BA4A70A0ECF}">
      <dgm:prSet/>
      <dgm:spPr/>
      <dgm:t>
        <a:bodyPr/>
        <a:lstStyle/>
        <a:p>
          <a:endParaRPr lang="en-US"/>
        </a:p>
      </dgm:t>
    </dgm:pt>
    <dgm:pt modelId="{20036F31-4939-4EBB-A0BC-F3F1F7E52624}">
      <dgm:prSet phldrT="[Text]"/>
      <dgm:spPr/>
      <dgm:t>
        <a:bodyPr/>
        <a:lstStyle/>
        <a:p>
          <a:r>
            <a:rPr lang="en-US"/>
            <a:t>Develop AI-specific ethical guidelines with interdisciplinary collaboration (9,11)</a:t>
          </a:r>
        </a:p>
      </dgm:t>
    </dgm:pt>
    <dgm:pt modelId="{16E18ED4-00DA-4712-82A7-763EF0523034}" type="parTrans" cxnId="{B81C710C-5923-428B-8B86-ECEE3A2AE5F4}">
      <dgm:prSet/>
      <dgm:spPr/>
      <dgm:t>
        <a:bodyPr/>
        <a:lstStyle/>
        <a:p>
          <a:endParaRPr lang="en-US"/>
        </a:p>
      </dgm:t>
    </dgm:pt>
    <dgm:pt modelId="{E434B3F9-7E69-4E92-9F0D-F42442A005AE}" type="sibTrans" cxnId="{B81C710C-5923-428B-8B86-ECEE3A2AE5F4}">
      <dgm:prSet/>
      <dgm:spPr/>
      <dgm:t>
        <a:bodyPr/>
        <a:lstStyle/>
        <a:p>
          <a:endParaRPr lang="en-US"/>
        </a:p>
      </dgm:t>
    </dgm:pt>
    <dgm:pt modelId="{2A0BF02D-2757-4053-AADA-55E7BC7EC5BA}">
      <dgm:prSet phldrT="[Text]"/>
      <dgm:spPr/>
      <dgm:t>
        <a:bodyPr/>
        <a:lstStyle/>
        <a:p>
          <a:r>
            <a:rPr lang="en-US" b="1"/>
            <a:t>Data governance frameworks</a:t>
          </a:r>
          <a:endParaRPr lang="en-US"/>
        </a:p>
      </dgm:t>
    </dgm:pt>
    <dgm:pt modelId="{B178A7B7-6C0D-456D-B162-4DAA23A25B17}" type="sibTrans" cxnId="{55B0911D-E683-45A7-9B1C-78C793BB2FC0}">
      <dgm:prSet/>
      <dgm:spPr/>
      <dgm:t>
        <a:bodyPr/>
        <a:lstStyle/>
        <a:p>
          <a:endParaRPr lang="en-US"/>
        </a:p>
      </dgm:t>
    </dgm:pt>
    <dgm:pt modelId="{6382108F-F805-4E31-9326-E0F4AE861D5C}" type="parTrans" cxnId="{55B0911D-E683-45A7-9B1C-78C793BB2FC0}">
      <dgm:prSet/>
      <dgm:spPr/>
      <dgm:t>
        <a:bodyPr/>
        <a:lstStyle/>
        <a:p>
          <a:endParaRPr lang="en-US"/>
        </a:p>
      </dgm:t>
    </dgm:pt>
    <dgm:pt modelId="{26420A33-A260-491A-955E-73D5B0E9B2F3}">
      <dgm:prSet/>
      <dgm:spPr/>
      <dgm:t>
        <a:bodyPr/>
        <a:lstStyle/>
        <a:p>
          <a:r>
            <a:rPr lang="en-US"/>
            <a:t>Secure storage, encryption, and transparent data usage policies (11).</a:t>
          </a:r>
        </a:p>
      </dgm:t>
    </dgm:pt>
    <dgm:pt modelId="{3214F77C-BE7E-4450-A6C6-139A30821C0D}" type="parTrans" cxnId="{5BABCB26-7D98-4B84-9A6E-FDC59938793E}">
      <dgm:prSet/>
      <dgm:spPr/>
      <dgm:t>
        <a:bodyPr/>
        <a:lstStyle/>
        <a:p>
          <a:endParaRPr lang="en-US"/>
        </a:p>
      </dgm:t>
    </dgm:pt>
    <dgm:pt modelId="{23D5D963-5BCF-44B7-ACB5-5931B963958B}" type="sibTrans" cxnId="{5BABCB26-7D98-4B84-9A6E-FDC59938793E}">
      <dgm:prSet/>
      <dgm:spPr/>
      <dgm:t>
        <a:bodyPr/>
        <a:lstStyle/>
        <a:p>
          <a:endParaRPr lang="en-US"/>
        </a:p>
      </dgm:t>
    </dgm:pt>
    <dgm:pt modelId="{83F776C0-1FC6-46E4-A709-1154DC71BAC5}">
      <dgm:prSet/>
      <dgm:spPr>
        <a:solidFill>
          <a:srgbClr val="00B0F0"/>
        </a:solidFill>
      </dgm:spPr>
      <dgm:t>
        <a:bodyPr/>
        <a:lstStyle/>
        <a:p>
          <a:r>
            <a:rPr lang="en-US" b="1"/>
            <a:t>Bias mitigation practices</a:t>
          </a:r>
          <a:endParaRPr lang="en-US"/>
        </a:p>
      </dgm:t>
    </dgm:pt>
    <dgm:pt modelId="{472430AF-280C-4533-968F-54B309BCBA92}" type="parTrans" cxnId="{A6B36656-A89E-4408-B7A8-CA7D46E3F0E1}">
      <dgm:prSet/>
      <dgm:spPr/>
      <dgm:t>
        <a:bodyPr/>
        <a:lstStyle/>
        <a:p>
          <a:endParaRPr lang="en-US"/>
        </a:p>
      </dgm:t>
    </dgm:pt>
    <dgm:pt modelId="{F6A18FE7-BAA2-44D1-B260-46E4B35A9521}" type="sibTrans" cxnId="{A6B36656-A89E-4408-B7A8-CA7D46E3F0E1}">
      <dgm:prSet/>
      <dgm:spPr/>
      <dgm:t>
        <a:bodyPr/>
        <a:lstStyle/>
        <a:p>
          <a:endParaRPr lang="en-US"/>
        </a:p>
      </dgm:t>
    </dgm:pt>
    <dgm:pt modelId="{A5E776B5-7A0D-41A1-A78E-E53711956627}">
      <dgm:prSet/>
      <dgm:spPr/>
      <dgm:t>
        <a:bodyPr/>
        <a:lstStyle/>
        <a:p>
          <a:r>
            <a:rPr lang="en-US"/>
            <a:t>Use of representative datasets and continuous auditing of AI models (3)</a:t>
          </a:r>
        </a:p>
      </dgm:t>
    </dgm:pt>
    <dgm:pt modelId="{5E078D38-36EE-4521-A436-DF77540D3197}" type="parTrans" cxnId="{E7B6ED38-47B9-4317-8255-4560AEADC2BA}">
      <dgm:prSet/>
      <dgm:spPr/>
      <dgm:t>
        <a:bodyPr/>
        <a:lstStyle/>
        <a:p>
          <a:endParaRPr lang="en-US"/>
        </a:p>
      </dgm:t>
    </dgm:pt>
    <dgm:pt modelId="{B89E2C7C-C359-4ADC-869B-3A19B13C7F7C}" type="sibTrans" cxnId="{E7B6ED38-47B9-4317-8255-4560AEADC2BA}">
      <dgm:prSet/>
      <dgm:spPr/>
      <dgm:t>
        <a:bodyPr/>
        <a:lstStyle/>
        <a:p>
          <a:endParaRPr lang="en-US"/>
        </a:p>
      </dgm:t>
    </dgm:pt>
    <dgm:pt modelId="{E46240B5-29CD-4021-BCFC-D83FC4B1AC64}">
      <dgm:prSet/>
      <dgm:spPr/>
      <dgm:t>
        <a:bodyPr/>
        <a:lstStyle/>
        <a:p>
          <a:r>
            <a:rPr lang="en-US" b="1"/>
            <a:t>Transparency and accountability</a:t>
          </a:r>
          <a:endParaRPr lang="en-US"/>
        </a:p>
      </dgm:t>
    </dgm:pt>
    <dgm:pt modelId="{966D03FF-F087-4E34-83BB-2A6101B95C4E}" type="parTrans" cxnId="{7A468811-7D08-4CEC-AC62-4BFA14623AED}">
      <dgm:prSet/>
      <dgm:spPr/>
      <dgm:t>
        <a:bodyPr/>
        <a:lstStyle/>
        <a:p>
          <a:endParaRPr lang="en-US"/>
        </a:p>
      </dgm:t>
    </dgm:pt>
    <dgm:pt modelId="{620CA017-ED02-4989-AF3A-3D8F6DF93E4D}" type="sibTrans" cxnId="{7A468811-7D08-4CEC-AC62-4BFA14623AED}">
      <dgm:prSet/>
      <dgm:spPr/>
      <dgm:t>
        <a:bodyPr/>
        <a:lstStyle/>
        <a:p>
          <a:endParaRPr lang="en-US"/>
        </a:p>
      </dgm:t>
    </dgm:pt>
    <dgm:pt modelId="{C7DFC63C-4DF1-4522-9D0E-52B7D4A55429}">
      <dgm:prSet/>
      <dgm:spPr/>
      <dgm:t>
        <a:bodyPr/>
        <a:lstStyle/>
        <a:p>
          <a:r>
            <a:rPr lang="en-US"/>
            <a:t>Explainable AI techniques and clear delineation of responsibilities (7,6).</a:t>
          </a:r>
        </a:p>
      </dgm:t>
    </dgm:pt>
    <dgm:pt modelId="{1151729E-08C8-47EA-BD68-1FF73AC7E9B7}" type="parTrans" cxnId="{09B1E53A-B3C0-41AC-AB95-2001E4874BB7}">
      <dgm:prSet/>
      <dgm:spPr/>
      <dgm:t>
        <a:bodyPr/>
        <a:lstStyle/>
        <a:p>
          <a:endParaRPr lang="en-US"/>
        </a:p>
      </dgm:t>
    </dgm:pt>
    <dgm:pt modelId="{58043BD2-DF8D-43B8-BFFA-126A074FDBBB}" type="sibTrans" cxnId="{09B1E53A-B3C0-41AC-AB95-2001E4874BB7}">
      <dgm:prSet/>
      <dgm:spPr/>
      <dgm:t>
        <a:bodyPr/>
        <a:lstStyle/>
        <a:p>
          <a:endParaRPr lang="en-US"/>
        </a:p>
      </dgm:t>
    </dgm:pt>
    <dgm:pt modelId="{DA584EC9-2F81-4610-9D58-69A1C8400FAA}" type="pres">
      <dgm:prSet presAssocID="{37F36684-D96F-4DA6-91BF-979DCFD705D3}" presName="Name0" presStyleCnt="0">
        <dgm:presLayoutVars>
          <dgm:dir/>
          <dgm:animLvl val="lvl"/>
          <dgm:resizeHandles/>
        </dgm:presLayoutVars>
      </dgm:prSet>
      <dgm:spPr/>
      <dgm:t>
        <a:bodyPr/>
        <a:lstStyle/>
        <a:p>
          <a:endParaRPr lang="en-IN"/>
        </a:p>
      </dgm:t>
    </dgm:pt>
    <dgm:pt modelId="{CA8F874E-6A1D-4D02-A02E-0F30CC052E42}" type="pres">
      <dgm:prSet presAssocID="{E38FE9A8-4850-4DB7-A909-C46A696148DA}" presName="linNode" presStyleCnt="0"/>
      <dgm:spPr/>
    </dgm:pt>
    <dgm:pt modelId="{41ED5F47-75ED-495B-AB27-138273993122}" type="pres">
      <dgm:prSet presAssocID="{E38FE9A8-4850-4DB7-A909-C46A696148DA}" presName="parentShp" presStyleLbl="node1" presStyleIdx="0" presStyleCnt="5">
        <dgm:presLayoutVars>
          <dgm:bulletEnabled val="1"/>
        </dgm:presLayoutVars>
      </dgm:prSet>
      <dgm:spPr/>
      <dgm:t>
        <a:bodyPr/>
        <a:lstStyle/>
        <a:p>
          <a:endParaRPr lang="en-IN"/>
        </a:p>
      </dgm:t>
    </dgm:pt>
    <dgm:pt modelId="{F02A1628-91A4-4326-B321-C96477C22D64}" type="pres">
      <dgm:prSet presAssocID="{E38FE9A8-4850-4DB7-A909-C46A696148DA}" presName="childShp" presStyleLbl="bgAccFollowNode1" presStyleIdx="0" presStyleCnt="5">
        <dgm:presLayoutVars>
          <dgm:bulletEnabled val="1"/>
        </dgm:presLayoutVars>
      </dgm:prSet>
      <dgm:spPr/>
      <dgm:t>
        <a:bodyPr/>
        <a:lstStyle/>
        <a:p>
          <a:endParaRPr lang="en-IN"/>
        </a:p>
      </dgm:t>
    </dgm:pt>
    <dgm:pt modelId="{92263729-9BD9-403A-9803-B50B5AA0225E}" type="pres">
      <dgm:prSet presAssocID="{A307EB9C-44C2-488B-B767-F724CBAFDD80}" presName="spacing" presStyleCnt="0"/>
      <dgm:spPr/>
    </dgm:pt>
    <dgm:pt modelId="{927EB569-5796-4D05-9685-052CE59F04DC}" type="pres">
      <dgm:prSet presAssocID="{2A0BF02D-2757-4053-AADA-55E7BC7EC5BA}" presName="linNode" presStyleCnt="0"/>
      <dgm:spPr/>
    </dgm:pt>
    <dgm:pt modelId="{2F7767C6-848C-45F5-AB58-D7D00859D7E6}" type="pres">
      <dgm:prSet presAssocID="{2A0BF02D-2757-4053-AADA-55E7BC7EC5BA}" presName="parentShp" presStyleLbl="node1" presStyleIdx="1" presStyleCnt="5">
        <dgm:presLayoutVars>
          <dgm:bulletEnabled val="1"/>
        </dgm:presLayoutVars>
      </dgm:prSet>
      <dgm:spPr/>
      <dgm:t>
        <a:bodyPr/>
        <a:lstStyle/>
        <a:p>
          <a:endParaRPr lang="en-IN"/>
        </a:p>
      </dgm:t>
    </dgm:pt>
    <dgm:pt modelId="{B8E03089-92F3-4587-B4E1-D51A736307BE}" type="pres">
      <dgm:prSet presAssocID="{2A0BF02D-2757-4053-AADA-55E7BC7EC5BA}" presName="childShp" presStyleLbl="bgAccFollowNode1" presStyleIdx="1" presStyleCnt="5">
        <dgm:presLayoutVars>
          <dgm:bulletEnabled val="1"/>
        </dgm:presLayoutVars>
      </dgm:prSet>
      <dgm:spPr/>
      <dgm:t>
        <a:bodyPr/>
        <a:lstStyle/>
        <a:p>
          <a:endParaRPr lang="en-IN"/>
        </a:p>
      </dgm:t>
    </dgm:pt>
    <dgm:pt modelId="{5CEFC8EC-5FCD-4349-89DB-698065A3E444}" type="pres">
      <dgm:prSet presAssocID="{B178A7B7-6C0D-456D-B162-4DAA23A25B17}" presName="spacing" presStyleCnt="0"/>
      <dgm:spPr/>
    </dgm:pt>
    <dgm:pt modelId="{A64305E4-368D-4833-866E-AB01F64BA7BD}" type="pres">
      <dgm:prSet presAssocID="{5095E2CC-91F6-4BAD-BDE2-5CCA30EA7A96}" presName="linNode" presStyleCnt="0"/>
      <dgm:spPr/>
    </dgm:pt>
    <dgm:pt modelId="{E1805FF1-0F37-4A87-A096-0ECB9081FCE1}" type="pres">
      <dgm:prSet presAssocID="{5095E2CC-91F6-4BAD-BDE2-5CCA30EA7A96}" presName="parentShp" presStyleLbl="node1" presStyleIdx="2" presStyleCnt="5" custScaleX="101389">
        <dgm:presLayoutVars>
          <dgm:bulletEnabled val="1"/>
        </dgm:presLayoutVars>
      </dgm:prSet>
      <dgm:spPr/>
      <dgm:t>
        <a:bodyPr/>
        <a:lstStyle/>
        <a:p>
          <a:endParaRPr lang="en-IN"/>
        </a:p>
      </dgm:t>
    </dgm:pt>
    <dgm:pt modelId="{28188C6F-AB1F-4743-82D8-474DCCEB4773}" type="pres">
      <dgm:prSet presAssocID="{5095E2CC-91F6-4BAD-BDE2-5CCA30EA7A96}" presName="childShp" presStyleLbl="bgAccFollowNode1" presStyleIdx="2" presStyleCnt="5">
        <dgm:presLayoutVars>
          <dgm:bulletEnabled val="1"/>
        </dgm:presLayoutVars>
      </dgm:prSet>
      <dgm:spPr/>
      <dgm:t>
        <a:bodyPr/>
        <a:lstStyle/>
        <a:p>
          <a:endParaRPr lang="en-IN"/>
        </a:p>
      </dgm:t>
    </dgm:pt>
    <dgm:pt modelId="{8CF5EB14-D588-42CE-9B67-4B482662245B}" type="pres">
      <dgm:prSet presAssocID="{96A8E01D-4CB5-4A3C-8EC6-C9D1CF978E16}" presName="spacing" presStyleCnt="0"/>
      <dgm:spPr/>
    </dgm:pt>
    <dgm:pt modelId="{1194DBBF-B67D-4196-BA75-BEFBF65EAE5D}" type="pres">
      <dgm:prSet presAssocID="{E46240B5-29CD-4021-BCFC-D83FC4B1AC64}" presName="linNode" presStyleCnt="0"/>
      <dgm:spPr/>
    </dgm:pt>
    <dgm:pt modelId="{981914B4-A34B-4D5B-96C0-1191FB404F04}" type="pres">
      <dgm:prSet presAssocID="{E46240B5-29CD-4021-BCFC-D83FC4B1AC64}" presName="parentShp" presStyleLbl="node1" presStyleIdx="3" presStyleCnt="5">
        <dgm:presLayoutVars>
          <dgm:bulletEnabled val="1"/>
        </dgm:presLayoutVars>
      </dgm:prSet>
      <dgm:spPr/>
      <dgm:t>
        <a:bodyPr/>
        <a:lstStyle/>
        <a:p>
          <a:endParaRPr lang="en-IN"/>
        </a:p>
      </dgm:t>
    </dgm:pt>
    <dgm:pt modelId="{CE1779B4-C486-4B34-B1A0-F5823790E422}" type="pres">
      <dgm:prSet presAssocID="{E46240B5-29CD-4021-BCFC-D83FC4B1AC64}" presName="childShp" presStyleLbl="bgAccFollowNode1" presStyleIdx="3" presStyleCnt="5">
        <dgm:presLayoutVars>
          <dgm:bulletEnabled val="1"/>
        </dgm:presLayoutVars>
      </dgm:prSet>
      <dgm:spPr/>
      <dgm:t>
        <a:bodyPr/>
        <a:lstStyle/>
        <a:p>
          <a:endParaRPr lang="en-IN"/>
        </a:p>
      </dgm:t>
    </dgm:pt>
    <dgm:pt modelId="{56959081-0B3F-4FE0-92F6-C2A68C1A5E97}" type="pres">
      <dgm:prSet presAssocID="{620CA017-ED02-4989-AF3A-3D8F6DF93E4D}" presName="spacing" presStyleCnt="0"/>
      <dgm:spPr/>
    </dgm:pt>
    <dgm:pt modelId="{B2F01EBF-9F0F-4406-9F4C-38F2FB930B25}" type="pres">
      <dgm:prSet presAssocID="{83F776C0-1FC6-46E4-A709-1154DC71BAC5}" presName="linNode" presStyleCnt="0"/>
      <dgm:spPr/>
    </dgm:pt>
    <dgm:pt modelId="{0E7B5148-6AA6-4F51-83C6-BF04C1848892}" type="pres">
      <dgm:prSet presAssocID="{83F776C0-1FC6-46E4-A709-1154DC71BAC5}" presName="parentShp" presStyleLbl="node1" presStyleIdx="4" presStyleCnt="5">
        <dgm:presLayoutVars>
          <dgm:bulletEnabled val="1"/>
        </dgm:presLayoutVars>
      </dgm:prSet>
      <dgm:spPr/>
      <dgm:t>
        <a:bodyPr/>
        <a:lstStyle/>
        <a:p>
          <a:endParaRPr lang="en-IN"/>
        </a:p>
      </dgm:t>
    </dgm:pt>
    <dgm:pt modelId="{61B758D0-5195-49ED-8528-A1E8C744822B}" type="pres">
      <dgm:prSet presAssocID="{83F776C0-1FC6-46E4-A709-1154DC71BAC5}" presName="childShp" presStyleLbl="bgAccFollowNode1" presStyleIdx="4" presStyleCnt="5">
        <dgm:presLayoutVars>
          <dgm:bulletEnabled val="1"/>
        </dgm:presLayoutVars>
      </dgm:prSet>
      <dgm:spPr/>
      <dgm:t>
        <a:bodyPr/>
        <a:lstStyle/>
        <a:p>
          <a:endParaRPr lang="en-IN"/>
        </a:p>
      </dgm:t>
    </dgm:pt>
  </dgm:ptLst>
  <dgm:cxnLst>
    <dgm:cxn modelId="{A6B36656-A89E-4408-B7A8-CA7D46E3F0E1}" srcId="{37F36684-D96F-4DA6-91BF-979DCFD705D3}" destId="{83F776C0-1FC6-46E4-A709-1154DC71BAC5}" srcOrd="4" destOrd="0" parTransId="{472430AF-280C-4533-968F-54B309BCBA92}" sibTransId="{F6A18FE7-BAA2-44D1-B260-46E4B35A9521}"/>
    <dgm:cxn modelId="{16A41D60-642C-4B18-ADE9-6A04C81D33BA}" type="presOf" srcId="{B151F3E4-38E5-43CF-97A9-A393C89B5674}" destId="{F02A1628-91A4-4326-B321-C96477C22D64}" srcOrd="0" destOrd="0" presId="urn:microsoft.com/office/officeart/2005/8/layout/vList6"/>
    <dgm:cxn modelId="{EC4610BA-7A4D-437D-92B9-502AEB5E90B2}" type="presOf" srcId="{20036F31-4939-4EBB-A0BC-F3F1F7E52624}" destId="{28188C6F-AB1F-4743-82D8-474DCCEB4773}" srcOrd="0" destOrd="0" presId="urn:microsoft.com/office/officeart/2005/8/layout/vList6"/>
    <dgm:cxn modelId="{E7B6ED38-47B9-4317-8255-4560AEADC2BA}" srcId="{83F776C0-1FC6-46E4-A709-1154DC71BAC5}" destId="{A5E776B5-7A0D-41A1-A78E-E53711956627}" srcOrd="0" destOrd="0" parTransId="{5E078D38-36EE-4521-A436-DF77540D3197}" sibTransId="{B89E2C7C-C359-4ADC-869B-3A19B13C7F7C}"/>
    <dgm:cxn modelId="{8B55983A-B270-4605-B92F-AB9CCD8330EA}" type="presOf" srcId="{26420A33-A260-491A-955E-73D5B0E9B2F3}" destId="{B8E03089-92F3-4587-B4E1-D51A736307BE}" srcOrd="0" destOrd="0" presId="urn:microsoft.com/office/officeart/2005/8/layout/vList6"/>
    <dgm:cxn modelId="{B81C710C-5923-428B-8B86-ECEE3A2AE5F4}" srcId="{5095E2CC-91F6-4BAD-BDE2-5CCA30EA7A96}" destId="{20036F31-4939-4EBB-A0BC-F3F1F7E52624}" srcOrd="0" destOrd="0" parTransId="{16E18ED4-00DA-4712-82A7-763EF0523034}" sibTransId="{E434B3F9-7E69-4E92-9F0D-F42442A005AE}"/>
    <dgm:cxn modelId="{5BABCB26-7D98-4B84-9A6E-FDC59938793E}" srcId="{2A0BF02D-2757-4053-AADA-55E7BC7EC5BA}" destId="{26420A33-A260-491A-955E-73D5B0E9B2F3}" srcOrd="0" destOrd="0" parTransId="{3214F77C-BE7E-4450-A6C6-139A30821C0D}" sibTransId="{23D5D963-5BCF-44B7-ACB5-5931B963958B}"/>
    <dgm:cxn modelId="{594E4655-2462-4D79-AC4B-ED446EEE9D11}" type="presOf" srcId="{C7DFC63C-4DF1-4522-9D0E-52B7D4A55429}" destId="{CE1779B4-C486-4B34-B1A0-F5823790E422}" srcOrd="0" destOrd="0" presId="urn:microsoft.com/office/officeart/2005/8/layout/vList6"/>
    <dgm:cxn modelId="{51461E68-3FBD-4AC5-B50F-7BA4A70A0ECF}" srcId="{37F36684-D96F-4DA6-91BF-979DCFD705D3}" destId="{5095E2CC-91F6-4BAD-BDE2-5CCA30EA7A96}" srcOrd="2" destOrd="0" parTransId="{5CAB7193-7133-4B35-A1A3-5C173F2B6573}" sibTransId="{96A8E01D-4CB5-4A3C-8EC6-C9D1CF978E16}"/>
    <dgm:cxn modelId="{09B1E53A-B3C0-41AC-AB95-2001E4874BB7}" srcId="{E46240B5-29CD-4021-BCFC-D83FC4B1AC64}" destId="{C7DFC63C-4DF1-4522-9D0E-52B7D4A55429}" srcOrd="0" destOrd="0" parTransId="{1151729E-08C8-47EA-BD68-1FF73AC7E9B7}" sibTransId="{58043BD2-DF8D-43B8-BFFA-126A074FDBBB}"/>
    <dgm:cxn modelId="{55B0911D-E683-45A7-9B1C-78C793BB2FC0}" srcId="{37F36684-D96F-4DA6-91BF-979DCFD705D3}" destId="{2A0BF02D-2757-4053-AADA-55E7BC7EC5BA}" srcOrd="1" destOrd="0" parTransId="{6382108F-F805-4E31-9326-E0F4AE861D5C}" sibTransId="{B178A7B7-6C0D-456D-B162-4DAA23A25B17}"/>
    <dgm:cxn modelId="{98F90479-BEFC-4DDF-A31C-3478CA2A6BF7}" type="presOf" srcId="{A5E776B5-7A0D-41A1-A78E-E53711956627}" destId="{61B758D0-5195-49ED-8528-A1E8C744822B}" srcOrd="0" destOrd="0" presId="urn:microsoft.com/office/officeart/2005/8/layout/vList6"/>
    <dgm:cxn modelId="{3CDA46F6-6A89-4D09-8DFB-D0CC3BDC35BC}" type="presOf" srcId="{2A0BF02D-2757-4053-AADA-55E7BC7EC5BA}" destId="{2F7767C6-848C-45F5-AB58-D7D00859D7E6}" srcOrd="0" destOrd="0" presId="urn:microsoft.com/office/officeart/2005/8/layout/vList6"/>
    <dgm:cxn modelId="{B72B68C1-2271-41E4-8B20-5D9D81A008A9}" type="presOf" srcId="{5095E2CC-91F6-4BAD-BDE2-5CCA30EA7A96}" destId="{E1805FF1-0F37-4A87-A096-0ECB9081FCE1}" srcOrd="0" destOrd="0" presId="urn:microsoft.com/office/officeart/2005/8/layout/vList6"/>
    <dgm:cxn modelId="{67366C24-5990-4696-B390-F1115317CF3C}" srcId="{37F36684-D96F-4DA6-91BF-979DCFD705D3}" destId="{E38FE9A8-4850-4DB7-A909-C46A696148DA}" srcOrd="0" destOrd="0" parTransId="{C5D2735A-01F5-4707-BDD5-9F4E8A4B76C9}" sibTransId="{A307EB9C-44C2-488B-B767-F724CBAFDD80}"/>
    <dgm:cxn modelId="{CB59AB08-3383-4EE0-90BC-3C5EE6CFCFFC}" type="presOf" srcId="{E38FE9A8-4850-4DB7-A909-C46A696148DA}" destId="{41ED5F47-75ED-495B-AB27-138273993122}" srcOrd="0" destOrd="0" presId="urn:microsoft.com/office/officeart/2005/8/layout/vList6"/>
    <dgm:cxn modelId="{C99D71D1-566C-45B6-B996-C81B98DBDAD6}" srcId="{E38FE9A8-4850-4DB7-A909-C46A696148DA}" destId="{B151F3E4-38E5-43CF-97A9-A393C89B5674}" srcOrd="0" destOrd="0" parTransId="{BA2447AE-3816-443C-B079-9A5BB13091EB}" sibTransId="{8E978194-2E98-4055-9198-7D1851048898}"/>
    <dgm:cxn modelId="{D6A4D48B-6E68-4C92-9608-6C74D27942CE}" type="presOf" srcId="{83F776C0-1FC6-46E4-A709-1154DC71BAC5}" destId="{0E7B5148-6AA6-4F51-83C6-BF04C1848892}" srcOrd="0" destOrd="0" presId="urn:microsoft.com/office/officeart/2005/8/layout/vList6"/>
    <dgm:cxn modelId="{94546E9F-7DA4-4F8E-B1D1-B4DF8F7B4235}" type="presOf" srcId="{E46240B5-29CD-4021-BCFC-D83FC4B1AC64}" destId="{981914B4-A34B-4D5B-96C0-1191FB404F04}" srcOrd="0" destOrd="0" presId="urn:microsoft.com/office/officeart/2005/8/layout/vList6"/>
    <dgm:cxn modelId="{7A468811-7D08-4CEC-AC62-4BFA14623AED}" srcId="{37F36684-D96F-4DA6-91BF-979DCFD705D3}" destId="{E46240B5-29CD-4021-BCFC-D83FC4B1AC64}" srcOrd="3" destOrd="0" parTransId="{966D03FF-F087-4E34-83BB-2A6101B95C4E}" sibTransId="{620CA017-ED02-4989-AF3A-3D8F6DF93E4D}"/>
    <dgm:cxn modelId="{EF3FEAEB-E42A-4D4F-8E87-6384D6C25AB2}" type="presOf" srcId="{37F36684-D96F-4DA6-91BF-979DCFD705D3}" destId="{DA584EC9-2F81-4610-9D58-69A1C8400FAA}" srcOrd="0" destOrd="0" presId="urn:microsoft.com/office/officeart/2005/8/layout/vList6"/>
    <dgm:cxn modelId="{32281A6C-3AA9-485C-AEAC-8A93DC57B61D}" type="presParOf" srcId="{DA584EC9-2F81-4610-9D58-69A1C8400FAA}" destId="{CA8F874E-6A1D-4D02-A02E-0F30CC052E42}" srcOrd="0" destOrd="0" presId="urn:microsoft.com/office/officeart/2005/8/layout/vList6"/>
    <dgm:cxn modelId="{CA045CE6-4F73-4BBA-A0D5-28D32ED62307}" type="presParOf" srcId="{CA8F874E-6A1D-4D02-A02E-0F30CC052E42}" destId="{41ED5F47-75ED-495B-AB27-138273993122}" srcOrd="0" destOrd="0" presId="urn:microsoft.com/office/officeart/2005/8/layout/vList6"/>
    <dgm:cxn modelId="{7B0CD90D-9236-428C-8381-5F3FDD03D0DA}" type="presParOf" srcId="{CA8F874E-6A1D-4D02-A02E-0F30CC052E42}" destId="{F02A1628-91A4-4326-B321-C96477C22D64}" srcOrd="1" destOrd="0" presId="urn:microsoft.com/office/officeart/2005/8/layout/vList6"/>
    <dgm:cxn modelId="{C0A12980-0FB9-49B8-9DA3-4D123F9B3887}" type="presParOf" srcId="{DA584EC9-2F81-4610-9D58-69A1C8400FAA}" destId="{92263729-9BD9-403A-9803-B50B5AA0225E}" srcOrd="1" destOrd="0" presId="urn:microsoft.com/office/officeart/2005/8/layout/vList6"/>
    <dgm:cxn modelId="{27B35CAD-6CC2-4960-910A-2B4C06A9D642}" type="presParOf" srcId="{DA584EC9-2F81-4610-9D58-69A1C8400FAA}" destId="{927EB569-5796-4D05-9685-052CE59F04DC}" srcOrd="2" destOrd="0" presId="urn:microsoft.com/office/officeart/2005/8/layout/vList6"/>
    <dgm:cxn modelId="{FEFE5F47-5072-49B2-B859-C0CEA24D452A}" type="presParOf" srcId="{927EB569-5796-4D05-9685-052CE59F04DC}" destId="{2F7767C6-848C-45F5-AB58-D7D00859D7E6}" srcOrd="0" destOrd="0" presId="urn:microsoft.com/office/officeart/2005/8/layout/vList6"/>
    <dgm:cxn modelId="{750C9FD6-E01C-4778-9662-A6170CC162DC}" type="presParOf" srcId="{927EB569-5796-4D05-9685-052CE59F04DC}" destId="{B8E03089-92F3-4587-B4E1-D51A736307BE}" srcOrd="1" destOrd="0" presId="urn:microsoft.com/office/officeart/2005/8/layout/vList6"/>
    <dgm:cxn modelId="{65D69325-7454-44E0-993F-843F1670BC83}" type="presParOf" srcId="{DA584EC9-2F81-4610-9D58-69A1C8400FAA}" destId="{5CEFC8EC-5FCD-4349-89DB-698065A3E444}" srcOrd="3" destOrd="0" presId="urn:microsoft.com/office/officeart/2005/8/layout/vList6"/>
    <dgm:cxn modelId="{EB0FEA0C-7314-425A-A798-3288D7138579}" type="presParOf" srcId="{DA584EC9-2F81-4610-9D58-69A1C8400FAA}" destId="{A64305E4-368D-4833-866E-AB01F64BA7BD}" srcOrd="4" destOrd="0" presId="urn:microsoft.com/office/officeart/2005/8/layout/vList6"/>
    <dgm:cxn modelId="{AE55DB8E-8A46-41DB-AEA2-9FE05F4329A2}" type="presParOf" srcId="{A64305E4-368D-4833-866E-AB01F64BA7BD}" destId="{E1805FF1-0F37-4A87-A096-0ECB9081FCE1}" srcOrd="0" destOrd="0" presId="urn:microsoft.com/office/officeart/2005/8/layout/vList6"/>
    <dgm:cxn modelId="{271AE15D-22EE-4D82-9927-A1F12AFB2027}" type="presParOf" srcId="{A64305E4-368D-4833-866E-AB01F64BA7BD}" destId="{28188C6F-AB1F-4743-82D8-474DCCEB4773}" srcOrd="1" destOrd="0" presId="urn:microsoft.com/office/officeart/2005/8/layout/vList6"/>
    <dgm:cxn modelId="{6FE7257B-3FAA-44D8-9549-E4C60B67F753}" type="presParOf" srcId="{DA584EC9-2F81-4610-9D58-69A1C8400FAA}" destId="{8CF5EB14-D588-42CE-9B67-4B482662245B}" srcOrd="5" destOrd="0" presId="urn:microsoft.com/office/officeart/2005/8/layout/vList6"/>
    <dgm:cxn modelId="{BD7DF321-2E25-4A1A-85EF-FA29773B60F2}" type="presParOf" srcId="{DA584EC9-2F81-4610-9D58-69A1C8400FAA}" destId="{1194DBBF-B67D-4196-BA75-BEFBF65EAE5D}" srcOrd="6" destOrd="0" presId="urn:microsoft.com/office/officeart/2005/8/layout/vList6"/>
    <dgm:cxn modelId="{470F96C3-BC5B-4B55-A202-965F9BD02A31}" type="presParOf" srcId="{1194DBBF-B67D-4196-BA75-BEFBF65EAE5D}" destId="{981914B4-A34B-4D5B-96C0-1191FB404F04}" srcOrd="0" destOrd="0" presId="urn:microsoft.com/office/officeart/2005/8/layout/vList6"/>
    <dgm:cxn modelId="{17C966A2-2388-4A24-80B9-CE46377C6C18}" type="presParOf" srcId="{1194DBBF-B67D-4196-BA75-BEFBF65EAE5D}" destId="{CE1779B4-C486-4B34-B1A0-F5823790E422}" srcOrd="1" destOrd="0" presId="urn:microsoft.com/office/officeart/2005/8/layout/vList6"/>
    <dgm:cxn modelId="{5D38FBD2-B72C-41E0-B6C4-BF1137BDE76C}" type="presParOf" srcId="{DA584EC9-2F81-4610-9D58-69A1C8400FAA}" destId="{56959081-0B3F-4FE0-92F6-C2A68C1A5E97}" srcOrd="7" destOrd="0" presId="urn:microsoft.com/office/officeart/2005/8/layout/vList6"/>
    <dgm:cxn modelId="{24EB7E2A-A8A8-4837-8775-D54C06900E29}" type="presParOf" srcId="{DA584EC9-2F81-4610-9D58-69A1C8400FAA}" destId="{B2F01EBF-9F0F-4406-9F4C-38F2FB930B25}" srcOrd="8" destOrd="0" presId="urn:microsoft.com/office/officeart/2005/8/layout/vList6"/>
    <dgm:cxn modelId="{D92E7ECA-7C51-4E9A-BF5E-05B30C319FC3}" type="presParOf" srcId="{B2F01EBF-9F0F-4406-9F4C-38F2FB930B25}" destId="{0E7B5148-6AA6-4F51-83C6-BF04C1848892}" srcOrd="0" destOrd="0" presId="urn:microsoft.com/office/officeart/2005/8/layout/vList6"/>
    <dgm:cxn modelId="{69B4C962-1AC1-4083-8AAE-E2B38795CF74}" type="presParOf" srcId="{B2F01EBF-9F0F-4406-9F4C-38F2FB930B25}" destId="{61B758D0-5195-49ED-8528-A1E8C744822B}"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2A1628-91A4-4326-B321-C96477C22D64}">
      <dsp:nvSpPr>
        <dsp:cNvPr id="0" name=""/>
        <dsp:cNvSpPr/>
      </dsp:nvSpPr>
      <dsp:spPr>
        <a:xfrm>
          <a:off x="2194559" y="879"/>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Dynamic, interactive consent models tailored to digital trials (10).</a:t>
          </a:r>
        </a:p>
      </dsp:txBody>
      <dsp:txXfrm>
        <a:off x="2194559" y="60370"/>
        <a:ext cx="3113369" cy="356943"/>
      </dsp:txXfrm>
    </dsp:sp>
    <dsp:sp modelId="{41ED5F47-75ED-495B-AB27-138273993122}">
      <dsp:nvSpPr>
        <dsp:cNvPr id="0" name=""/>
        <dsp:cNvSpPr/>
      </dsp:nvSpPr>
      <dsp:spPr>
        <a:xfrm>
          <a:off x="0" y="879"/>
          <a:ext cx="2194560" cy="475924"/>
        </a:xfrm>
        <a:prstGeom prst="round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b="1" kern="1200"/>
            <a:t>Enhanced consent processes</a:t>
          </a:r>
          <a:endParaRPr lang="en-US" sz="1300" kern="1200"/>
        </a:p>
      </dsp:txBody>
      <dsp:txXfrm>
        <a:off x="23233" y="24112"/>
        <a:ext cx="2148094" cy="429458"/>
      </dsp:txXfrm>
    </dsp:sp>
    <dsp:sp modelId="{B8E03089-92F3-4587-B4E1-D51A736307BE}">
      <dsp:nvSpPr>
        <dsp:cNvPr id="0" name=""/>
        <dsp:cNvSpPr/>
      </dsp:nvSpPr>
      <dsp:spPr>
        <a:xfrm>
          <a:off x="2194559" y="524395"/>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Secure storage, encryption, and transparent data usage policies (11).</a:t>
          </a:r>
        </a:p>
      </dsp:txBody>
      <dsp:txXfrm>
        <a:off x="2194559" y="583886"/>
        <a:ext cx="3113369" cy="356943"/>
      </dsp:txXfrm>
    </dsp:sp>
    <dsp:sp modelId="{2F7767C6-848C-45F5-AB58-D7D00859D7E6}">
      <dsp:nvSpPr>
        <dsp:cNvPr id="0" name=""/>
        <dsp:cNvSpPr/>
      </dsp:nvSpPr>
      <dsp:spPr>
        <a:xfrm>
          <a:off x="0" y="524395"/>
          <a:ext cx="2194560" cy="4759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b="1" kern="1200"/>
            <a:t>Data governance frameworks</a:t>
          </a:r>
          <a:endParaRPr lang="en-US" sz="1300" kern="1200"/>
        </a:p>
      </dsp:txBody>
      <dsp:txXfrm>
        <a:off x="23233" y="547628"/>
        <a:ext cx="2148094" cy="429458"/>
      </dsp:txXfrm>
    </dsp:sp>
    <dsp:sp modelId="{28188C6F-AB1F-4743-82D8-474DCCEB4773}">
      <dsp:nvSpPr>
        <dsp:cNvPr id="0" name=""/>
        <dsp:cNvSpPr/>
      </dsp:nvSpPr>
      <dsp:spPr>
        <a:xfrm>
          <a:off x="2212926" y="1047912"/>
          <a:ext cx="3272551"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Develop AI-specific ethical guidelines with interdisciplinary collaboration (9,11)</a:t>
          </a:r>
        </a:p>
      </dsp:txBody>
      <dsp:txXfrm>
        <a:off x="2212926" y="1107403"/>
        <a:ext cx="3094080" cy="356943"/>
      </dsp:txXfrm>
    </dsp:sp>
    <dsp:sp modelId="{E1805FF1-0F37-4A87-A096-0ECB9081FCE1}">
      <dsp:nvSpPr>
        <dsp:cNvPr id="0" name=""/>
        <dsp:cNvSpPr/>
      </dsp:nvSpPr>
      <dsp:spPr>
        <a:xfrm>
          <a:off x="921" y="1047912"/>
          <a:ext cx="2212005" cy="475924"/>
        </a:xfrm>
        <a:prstGeom prst="round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b="1" kern="1200"/>
            <a:t>Regulatory updates</a:t>
          </a:r>
          <a:endParaRPr lang="en-US" sz="1300" kern="1200"/>
        </a:p>
      </dsp:txBody>
      <dsp:txXfrm>
        <a:off x="24154" y="1071145"/>
        <a:ext cx="2165539" cy="429458"/>
      </dsp:txXfrm>
    </dsp:sp>
    <dsp:sp modelId="{CE1779B4-C486-4B34-B1A0-F5823790E422}">
      <dsp:nvSpPr>
        <dsp:cNvPr id="0" name=""/>
        <dsp:cNvSpPr/>
      </dsp:nvSpPr>
      <dsp:spPr>
        <a:xfrm>
          <a:off x="2194559" y="1571429"/>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Explainable AI techniques and clear delineation of responsibilities (7,6).</a:t>
          </a:r>
        </a:p>
      </dsp:txBody>
      <dsp:txXfrm>
        <a:off x="2194559" y="1630920"/>
        <a:ext cx="3113369" cy="356943"/>
      </dsp:txXfrm>
    </dsp:sp>
    <dsp:sp modelId="{981914B4-A34B-4D5B-96C0-1191FB404F04}">
      <dsp:nvSpPr>
        <dsp:cNvPr id="0" name=""/>
        <dsp:cNvSpPr/>
      </dsp:nvSpPr>
      <dsp:spPr>
        <a:xfrm>
          <a:off x="0" y="1571429"/>
          <a:ext cx="2194560" cy="4759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b="1" kern="1200"/>
            <a:t>Transparency and accountability</a:t>
          </a:r>
          <a:endParaRPr lang="en-US" sz="1300" kern="1200"/>
        </a:p>
      </dsp:txBody>
      <dsp:txXfrm>
        <a:off x="23233" y="1594662"/>
        <a:ext cx="2148094" cy="429458"/>
      </dsp:txXfrm>
    </dsp:sp>
    <dsp:sp modelId="{61B758D0-5195-49ED-8528-A1E8C744822B}">
      <dsp:nvSpPr>
        <dsp:cNvPr id="0" name=""/>
        <dsp:cNvSpPr/>
      </dsp:nvSpPr>
      <dsp:spPr>
        <a:xfrm>
          <a:off x="2194559" y="2094946"/>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Use of representative datasets and continuous auditing of AI models (3)</a:t>
          </a:r>
        </a:p>
      </dsp:txBody>
      <dsp:txXfrm>
        <a:off x="2194559" y="2154437"/>
        <a:ext cx="3113369" cy="356943"/>
      </dsp:txXfrm>
    </dsp:sp>
    <dsp:sp modelId="{0E7B5148-6AA6-4F51-83C6-BF04C1848892}">
      <dsp:nvSpPr>
        <dsp:cNvPr id="0" name=""/>
        <dsp:cNvSpPr/>
      </dsp:nvSpPr>
      <dsp:spPr>
        <a:xfrm>
          <a:off x="0" y="2094946"/>
          <a:ext cx="2194560" cy="475924"/>
        </a:xfrm>
        <a:prstGeom prst="round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b="1" kern="1200"/>
            <a:t>Bias mitigation practices</a:t>
          </a:r>
          <a:endParaRPr lang="en-US" sz="1300" kern="1200"/>
        </a:p>
      </dsp:txBody>
      <dsp:txXfrm>
        <a:off x="23233" y="2118179"/>
        <a:ext cx="2148094" cy="429458"/>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qwert</cp:lastModifiedBy>
  <cp:revision>3</cp:revision>
  <dcterms:created xsi:type="dcterms:W3CDTF">2026-03-20T06:56:00Z</dcterms:created>
  <dcterms:modified xsi:type="dcterms:W3CDTF">2026-04-02T08:02:00Z</dcterms:modified>
</cp:coreProperties>
</file>