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CEC90" w14:textId="6AB9A8AF" w:rsidR="00F21C87" w:rsidRDefault="00F21C87" w:rsidP="00432280">
      <w:pPr>
        <w:spacing w:before="240" w:after="240" w:line="240" w:lineRule="auto"/>
        <w:rPr>
          <w:rFonts w:ascii="Times New Roman" w:hAnsi="Times New Roman" w:cs="Times New Roman"/>
          <w:b/>
          <w:bCs/>
          <w:sz w:val="36"/>
          <w:szCs w:val="36"/>
        </w:rPr>
      </w:pPr>
      <w:r w:rsidRPr="00F21C87">
        <w:rPr>
          <w:rFonts w:ascii="Times New Roman" w:hAnsi="Times New Roman" w:cs="Times New Roman"/>
          <w:b/>
          <w:bCs/>
          <w:sz w:val="36"/>
          <w:szCs w:val="36"/>
        </w:rPr>
        <w:t xml:space="preserve">The Effect of Corn Stover and </w:t>
      </w:r>
      <w:r w:rsidR="00D13D4B">
        <w:rPr>
          <w:rFonts w:ascii="Times New Roman" w:hAnsi="Times New Roman" w:cs="Times New Roman"/>
          <w:b/>
          <w:bCs/>
          <w:sz w:val="36"/>
          <w:szCs w:val="36"/>
        </w:rPr>
        <w:t xml:space="preserve">Red </w:t>
      </w:r>
      <w:r w:rsidRPr="00F21C87">
        <w:rPr>
          <w:rFonts w:ascii="Times New Roman" w:hAnsi="Times New Roman" w:cs="Times New Roman"/>
          <w:b/>
          <w:bCs/>
          <w:sz w:val="36"/>
          <w:szCs w:val="36"/>
        </w:rPr>
        <w:t xml:space="preserve">Calliandra </w:t>
      </w:r>
      <w:r>
        <w:rPr>
          <w:rFonts w:ascii="Times New Roman" w:hAnsi="Times New Roman" w:cs="Times New Roman"/>
          <w:b/>
          <w:bCs/>
          <w:sz w:val="36"/>
          <w:szCs w:val="36"/>
        </w:rPr>
        <w:t xml:space="preserve">in Silage </w:t>
      </w:r>
      <w:r w:rsidRPr="00F21C87">
        <w:rPr>
          <w:rFonts w:ascii="Times New Roman" w:hAnsi="Times New Roman" w:cs="Times New Roman"/>
          <w:b/>
          <w:bCs/>
          <w:sz w:val="36"/>
          <w:szCs w:val="36"/>
        </w:rPr>
        <w:t>on the Dry Matter, Organic Matter, In Vitro Digestibility</w:t>
      </w:r>
    </w:p>
    <w:p w14:paraId="196A2A15" w14:textId="3779B868" w:rsidR="003C4AAF" w:rsidRPr="002D2BFE" w:rsidRDefault="00F21C87" w:rsidP="00372A95">
      <w:pPr>
        <w:spacing w:before="240" w:after="240" w:line="240" w:lineRule="auto"/>
        <w:rPr>
          <w:rFonts w:ascii="Times New Roman" w:hAnsi="Times New Roman" w:cs="Times New Roman"/>
          <w:sz w:val="24"/>
          <w:szCs w:val="24"/>
        </w:rPr>
      </w:pPr>
      <w:r w:rsidRPr="00F21C87">
        <w:rPr>
          <w:rFonts w:ascii="Times New Roman" w:hAnsi="Times New Roman" w:cs="Times New Roman"/>
          <w:b/>
          <w:bCs/>
          <w:sz w:val="36"/>
          <w:szCs w:val="36"/>
        </w:rPr>
        <w:t xml:space="preserve"> </w:t>
      </w:r>
      <w:bookmarkStart w:id="0" w:name="_GoBack"/>
      <w:bookmarkEnd w:id="0"/>
    </w:p>
    <w:p w14:paraId="66CEDDF3" w14:textId="0D907A8F" w:rsidR="008934CE" w:rsidRPr="006767E6" w:rsidRDefault="008934CE" w:rsidP="00D435D2">
      <w:pPr>
        <w:spacing w:before="240" w:after="240" w:line="240" w:lineRule="auto"/>
        <w:jc w:val="left"/>
        <w:rPr>
          <w:rFonts w:ascii="Times New Roman" w:hAnsi="Times New Roman" w:cs="Times New Roman"/>
          <w:b/>
          <w:bCs/>
          <w:sz w:val="28"/>
          <w:szCs w:val="28"/>
        </w:rPr>
      </w:pPr>
      <w:r w:rsidRPr="006767E6">
        <w:rPr>
          <w:rFonts w:ascii="Times New Roman" w:hAnsi="Times New Roman" w:cs="Times New Roman"/>
          <w:b/>
          <w:bCs/>
          <w:sz w:val="28"/>
          <w:szCs w:val="28"/>
        </w:rPr>
        <w:t>ABSTRACT</w:t>
      </w:r>
    </w:p>
    <w:p w14:paraId="50D62A5B" w14:textId="231D8030" w:rsidR="00D13D4B" w:rsidRDefault="00D13D4B" w:rsidP="00432280">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This study seeks to determine the impact</w:t>
      </w:r>
      <w:r>
        <w:rPr>
          <w:rFonts w:ascii="Times New Roman" w:hAnsi="Times New Roman" w:cs="Times New Roman"/>
          <w:sz w:val="24"/>
          <w:szCs w:val="24"/>
        </w:rPr>
        <w:t xml:space="preserve"> of</w:t>
      </w:r>
      <w:r w:rsidRPr="00D13D4B">
        <w:rPr>
          <w:rFonts w:ascii="Times New Roman" w:hAnsi="Times New Roman" w:cs="Times New Roman"/>
          <w:sz w:val="24"/>
          <w:szCs w:val="24"/>
        </w:rPr>
        <w:t xml:space="preserve"> corn stover </w:t>
      </w:r>
      <w:proofErr w:type="gramStart"/>
      <w:r w:rsidRPr="00D13D4B">
        <w:rPr>
          <w:rFonts w:ascii="Times New Roman" w:hAnsi="Times New Roman" w:cs="Times New Roman"/>
          <w:sz w:val="24"/>
          <w:szCs w:val="24"/>
        </w:rPr>
        <w:t xml:space="preserve">and </w:t>
      </w:r>
      <w:r>
        <w:rPr>
          <w:rFonts w:ascii="Times New Roman" w:hAnsi="Times New Roman" w:cs="Times New Roman"/>
          <w:sz w:val="24"/>
          <w:szCs w:val="24"/>
        </w:rPr>
        <w:t xml:space="preserve"> Red</w:t>
      </w:r>
      <w:proofErr w:type="gramEnd"/>
      <w:r>
        <w:rPr>
          <w:rFonts w:ascii="Times New Roman" w:hAnsi="Times New Roman" w:cs="Times New Roman"/>
          <w:sz w:val="24"/>
          <w:szCs w:val="24"/>
        </w:rPr>
        <w:t xml:space="preserve"> </w:t>
      </w:r>
      <w:r w:rsidRPr="00D13D4B">
        <w:rPr>
          <w:rFonts w:ascii="Times New Roman" w:hAnsi="Times New Roman" w:cs="Times New Roman"/>
          <w:sz w:val="24"/>
          <w:szCs w:val="24"/>
        </w:rPr>
        <w:t>Calliandra on dry matter, organic matter, and in vitro digestibility. This research employed a completely randomized design (CRD) featuring four treatments and five replicates: P1 (90% corn stover + 10% Calliandra calothyrsus), P2 (80% corn stover + 20% Calliandra calothyrsus), P3 (70% corn stover + 30% Calliandra calothyrsus), and P4 (60% corn stover + 40% Calliandra calothyrsus). We used analysis of variance (ANOVA) to look at the data and then Duncan's multiple range test to look at the results. The observed variables included dry matter, organic matter, dry matter digestibility, and organic matter digestibility. The findings indicated that the combination of corn stover and Calliandra calothyrsus significantly influenced dry matter digestibility and organic matter digestibility (p &lt; 0.05), although</w:t>
      </w:r>
      <w:r>
        <w:rPr>
          <w:rFonts w:ascii="Times New Roman" w:hAnsi="Times New Roman" w:cs="Times New Roman"/>
          <w:sz w:val="24"/>
          <w:szCs w:val="24"/>
        </w:rPr>
        <w:t xml:space="preserve"> it</w:t>
      </w:r>
      <w:r w:rsidRPr="00D13D4B">
        <w:rPr>
          <w:rFonts w:ascii="Times New Roman" w:hAnsi="Times New Roman" w:cs="Times New Roman"/>
          <w:sz w:val="24"/>
          <w:szCs w:val="24"/>
        </w:rPr>
        <w:t xml:space="preserve"> exerted no significant impact on dry matter and organic </w:t>
      </w:r>
      <w:proofErr w:type="gramStart"/>
      <w:r w:rsidRPr="00D13D4B">
        <w:rPr>
          <w:rFonts w:ascii="Times New Roman" w:hAnsi="Times New Roman" w:cs="Times New Roman"/>
          <w:sz w:val="24"/>
          <w:szCs w:val="24"/>
        </w:rPr>
        <w:t>matter  content</w:t>
      </w:r>
      <w:proofErr w:type="gramEnd"/>
      <w:r w:rsidRPr="00D13D4B">
        <w:rPr>
          <w:rFonts w:ascii="Times New Roman" w:hAnsi="Times New Roman" w:cs="Times New Roman"/>
          <w:sz w:val="24"/>
          <w:szCs w:val="24"/>
        </w:rPr>
        <w:t xml:space="preserve"> (p &gt; 0.05). P2 (80% corn stover + 20% Calliandra calothyrsus) gave the optimum</w:t>
      </w:r>
      <w:r>
        <w:rPr>
          <w:rFonts w:ascii="Times New Roman" w:hAnsi="Times New Roman" w:cs="Times New Roman"/>
          <w:sz w:val="24"/>
          <w:szCs w:val="24"/>
        </w:rPr>
        <w:t xml:space="preserve"> </w:t>
      </w:r>
      <w:r w:rsidRPr="00D13D4B">
        <w:rPr>
          <w:rFonts w:ascii="Times New Roman" w:hAnsi="Times New Roman" w:cs="Times New Roman"/>
          <w:sz w:val="24"/>
          <w:szCs w:val="24"/>
        </w:rPr>
        <w:t>results, with a dry matter value of 35.04, an organic matter value of 33.05, a dry matter digestibility value of 54.03, and an organic matter digestibility value of 59.72 The combination of 80% corn stover and 20% red caliandra yielded the optimum silage quality and the highest yield compared to other combinations.</w:t>
      </w:r>
    </w:p>
    <w:p w14:paraId="24AE5B04" w14:textId="335D0F05" w:rsidR="008934CE" w:rsidRPr="0044793F" w:rsidRDefault="008934CE"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b/>
          <w:bCs/>
          <w:sz w:val="24"/>
          <w:szCs w:val="24"/>
        </w:rPr>
        <w:t xml:space="preserve">Keywords: </w:t>
      </w:r>
      <w:r w:rsidRPr="0044793F">
        <w:rPr>
          <w:rFonts w:ascii="Times New Roman" w:hAnsi="Times New Roman" w:cs="Times New Roman"/>
          <w:sz w:val="24"/>
          <w:szCs w:val="24"/>
        </w:rPr>
        <w:t xml:space="preserve">Corn Stover Silage, </w:t>
      </w:r>
      <w:r w:rsidR="00D13D4B">
        <w:rPr>
          <w:rFonts w:ascii="Times New Roman" w:hAnsi="Times New Roman" w:cs="Times New Roman"/>
          <w:sz w:val="24"/>
          <w:szCs w:val="24"/>
        </w:rPr>
        <w:t>Calliandra Red</w:t>
      </w:r>
      <w:r w:rsidRPr="0044793F">
        <w:rPr>
          <w:rFonts w:ascii="Times New Roman" w:hAnsi="Times New Roman" w:cs="Times New Roman"/>
          <w:sz w:val="24"/>
          <w:szCs w:val="24"/>
        </w:rPr>
        <w:t>, Microbial Population, Rumen pH, Methane Gas</w:t>
      </w:r>
    </w:p>
    <w:p w14:paraId="5533362E" w14:textId="77777777" w:rsidR="008934CE" w:rsidRPr="00D435D2" w:rsidRDefault="008934CE"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INTRODUCTION</w:t>
      </w:r>
    </w:p>
    <w:p w14:paraId="08F02D44" w14:textId="1489E1D0" w:rsidR="00D13D4B"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Indonesia is a country with significant potential for the development of the cattle farming sector</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According to the </w:t>
      </w:r>
      <w:r w:rsidR="00470CB7">
        <w:rPr>
          <w:rFonts w:ascii="Times New Roman" w:hAnsi="Times New Roman" w:cs="Times New Roman"/>
          <w:sz w:val="24"/>
          <w:szCs w:val="24"/>
        </w:rPr>
        <w:t xml:space="preserve">Indonesian </w:t>
      </w:r>
      <w:r w:rsidRPr="00D13D4B">
        <w:rPr>
          <w:rFonts w:ascii="Times New Roman" w:hAnsi="Times New Roman" w:cs="Times New Roman"/>
          <w:sz w:val="24"/>
          <w:szCs w:val="24"/>
        </w:rPr>
        <w:t>Statistics Agency, the number of beef cattle in Indonesia is projected to reach 11,749,780 head by</w:t>
      </w:r>
      <w:r>
        <w:rPr>
          <w:rFonts w:ascii="Times New Roman" w:hAnsi="Times New Roman" w:cs="Times New Roman"/>
          <w:sz w:val="24"/>
          <w:szCs w:val="24"/>
        </w:rPr>
        <w:t xml:space="preserve"> </w:t>
      </w:r>
      <w:r w:rsidR="009F4751">
        <w:rPr>
          <w:rFonts w:ascii="Times New Roman" w:hAnsi="Times New Roman" w:cs="Times New Roman"/>
          <w:sz w:val="24"/>
          <w:szCs w:val="24"/>
        </w:rPr>
        <w:t xml:space="preserve">2024, </w:t>
      </w:r>
      <w:sdt>
        <w:sdtPr>
          <w:rPr>
            <w:rFonts w:ascii="Times New Roman" w:hAnsi="Times New Roman" w:cs="Times New Roman"/>
            <w:color w:val="000000"/>
            <w:sz w:val="24"/>
            <w:szCs w:val="24"/>
          </w:rPr>
          <w:tag w:val="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
          <w:id w:val="1248856430"/>
          <w:placeholder>
            <w:docPart w:val="DefaultPlaceholder_-1854013440"/>
          </w:placeholder>
        </w:sdtPr>
        <w:sdtEndPr/>
        <w:sdtContent>
          <w:r w:rsidR="0011406E" w:rsidRPr="0011406E">
            <w:rPr>
              <w:rFonts w:ascii="Times New Roman" w:hAnsi="Times New Roman" w:cs="Times New Roman"/>
              <w:color w:val="000000"/>
              <w:sz w:val="24"/>
              <w:szCs w:val="24"/>
            </w:rPr>
            <w:t>BPS</w:t>
          </w:r>
        </w:sdtContent>
      </w:sdt>
      <w:r w:rsidR="00A27852">
        <w:rPr>
          <w:rFonts w:ascii="Times New Roman" w:hAnsi="Times New Roman" w:cs="Times New Roman"/>
          <w:color w:val="000000"/>
          <w:sz w:val="24"/>
          <w:szCs w:val="24"/>
        </w:rPr>
        <w:t xml:space="preserve"> </w:t>
      </w:r>
      <w:r w:rsidR="009F4751">
        <w:rPr>
          <w:rFonts w:ascii="Times New Roman" w:hAnsi="Times New Roman" w:cs="Times New Roman"/>
          <w:color w:val="000000"/>
          <w:sz w:val="24"/>
          <w:szCs w:val="24"/>
        </w:rPr>
        <w:t>(</w:t>
      </w:r>
      <w:r w:rsidR="00470CB7">
        <w:rPr>
          <w:rFonts w:ascii="Times New Roman" w:hAnsi="Times New Roman" w:cs="Times New Roman"/>
          <w:sz w:val="24"/>
          <w:szCs w:val="24"/>
        </w:rPr>
        <w:t>Indonesian</w:t>
      </w:r>
      <w:r w:rsidRPr="00D13D4B">
        <w:rPr>
          <w:rFonts w:ascii="Times New Roman" w:hAnsi="Times New Roman" w:cs="Times New Roman"/>
          <w:sz w:val="24"/>
          <w:szCs w:val="24"/>
        </w:rPr>
        <w:t xml:space="preserve"> Statistics Agency</w:t>
      </w:r>
      <w:r w:rsidR="009F4751">
        <w:rPr>
          <w:rFonts w:ascii="Times New Roman" w:hAnsi="Times New Roman" w:cs="Times New Roman"/>
          <w:sz w:val="24"/>
          <w:szCs w:val="24"/>
        </w:rPr>
        <w:t>)</w:t>
      </w:r>
      <w:r w:rsidRPr="00D13D4B">
        <w:rPr>
          <w:rFonts w:ascii="Times New Roman" w:hAnsi="Times New Roman" w:cs="Times New Roman"/>
          <w:sz w:val="24"/>
          <w:szCs w:val="24"/>
        </w:rPr>
        <w:t>, which requires an adequate supply of feed. However, tropical climatic conditions</w:t>
      </w:r>
      <w:r>
        <w:rPr>
          <w:rFonts w:ascii="Times New Roman" w:hAnsi="Times New Roman" w:cs="Times New Roman"/>
          <w:sz w:val="24"/>
          <w:szCs w:val="24"/>
        </w:rPr>
        <w:t xml:space="preserve"> </w:t>
      </w:r>
      <w:r w:rsidRPr="00D13D4B">
        <w:rPr>
          <w:rFonts w:ascii="Times New Roman" w:hAnsi="Times New Roman" w:cs="Times New Roman"/>
          <w:sz w:val="24"/>
          <w:szCs w:val="24"/>
        </w:rPr>
        <w:t>create challenges, especially during the dry season when the availability of forage decreases</w:t>
      </w:r>
      <w:r>
        <w:rPr>
          <w:rFonts w:ascii="Times New Roman" w:hAnsi="Times New Roman" w:cs="Times New Roman"/>
          <w:sz w:val="24"/>
          <w:szCs w:val="24"/>
        </w:rPr>
        <w:t xml:space="preserve"> </w:t>
      </w:r>
      <w:r w:rsidRPr="00D13D4B">
        <w:rPr>
          <w:rFonts w:ascii="Times New Roman" w:hAnsi="Times New Roman" w:cs="Times New Roman"/>
          <w:sz w:val="24"/>
          <w:szCs w:val="24"/>
        </w:rPr>
        <w:t>drastically, which can disrupt farmers’ productivity and potentially increase the incidence of disease in livestock</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susceptibility to disease </w:t>
      </w:r>
      <w:sdt>
        <w:sdtPr>
          <w:rPr>
            <w:rFonts w:ascii="Times New Roman" w:hAnsi="Times New Roman" w:cs="Times New Roman"/>
            <w:color w:val="000000"/>
            <w:sz w:val="24"/>
            <w:szCs w:val="24"/>
          </w:rPr>
          <w:tag w:val="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
          <w:id w:val="777456000"/>
          <w:placeholder>
            <w:docPart w:val="DefaultPlaceholder_-1854013440"/>
          </w:placeholder>
        </w:sdtPr>
        <w:sdtEndPr/>
        <w:sdtContent>
          <w:r w:rsidR="0011406E" w:rsidRPr="0011406E">
            <w:rPr>
              <w:rFonts w:ascii="Times New Roman" w:hAnsi="Times New Roman" w:cs="Times New Roman"/>
              <w:color w:val="000000"/>
              <w:sz w:val="24"/>
              <w:szCs w:val="24"/>
            </w:rPr>
            <w:t>(Ali et al., 2024)</w:t>
          </w:r>
        </w:sdtContent>
      </w:sdt>
      <w:r w:rsidR="00A27852">
        <w:rPr>
          <w:rFonts w:ascii="Times New Roman" w:hAnsi="Times New Roman" w:cs="Times New Roman"/>
          <w:sz w:val="24"/>
          <w:szCs w:val="24"/>
        </w:rPr>
        <w:t>.</w:t>
      </w:r>
      <w:r w:rsidRPr="00D13D4B">
        <w:rPr>
          <w:rFonts w:ascii="Times New Roman" w:hAnsi="Times New Roman" w:cs="Times New Roman"/>
          <w:sz w:val="24"/>
          <w:szCs w:val="24"/>
        </w:rPr>
        <w:t xml:space="preserve"> Therefore, high-quality feed preservation technology is needed to address these issues, ensuring that feed requirements are met. </w:t>
      </w:r>
      <w:r>
        <w:rPr>
          <w:rFonts w:ascii="Times New Roman" w:hAnsi="Times New Roman" w:cs="Times New Roman"/>
          <w:sz w:val="24"/>
          <w:szCs w:val="24"/>
        </w:rPr>
        <w:t>O</w:t>
      </w:r>
      <w:r w:rsidRPr="00D13D4B">
        <w:rPr>
          <w:rFonts w:ascii="Times New Roman" w:hAnsi="Times New Roman" w:cs="Times New Roman"/>
          <w:sz w:val="24"/>
          <w:szCs w:val="24"/>
        </w:rPr>
        <w:t xml:space="preserve">ne </w:t>
      </w:r>
      <w:r>
        <w:rPr>
          <w:rFonts w:ascii="Times New Roman" w:hAnsi="Times New Roman" w:cs="Times New Roman"/>
          <w:sz w:val="24"/>
          <w:szCs w:val="24"/>
        </w:rPr>
        <w:t>solution that</w:t>
      </w:r>
      <w:r w:rsidRPr="00D13D4B">
        <w:rPr>
          <w:rFonts w:ascii="Times New Roman" w:hAnsi="Times New Roman" w:cs="Times New Roman"/>
          <w:sz w:val="24"/>
          <w:szCs w:val="24"/>
        </w:rPr>
        <w:t xml:space="preserve"> can be used is silage. One technique for preserving forage through</w:t>
      </w:r>
      <w:r>
        <w:rPr>
          <w:rFonts w:ascii="Times New Roman" w:hAnsi="Times New Roman" w:cs="Times New Roman"/>
          <w:sz w:val="24"/>
          <w:szCs w:val="24"/>
        </w:rPr>
        <w:t xml:space="preserve"> </w:t>
      </w:r>
      <w:r w:rsidRPr="00D13D4B">
        <w:rPr>
          <w:rFonts w:ascii="Times New Roman" w:hAnsi="Times New Roman" w:cs="Times New Roman"/>
          <w:sz w:val="24"/>
          <w:szCs w:val="24"/>
        </w:rPr>
        <w:t>anaerobic fermentation to preserve and improve the quality of feed is silage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
          <w:id w:val="-1346638819"/>
          <w:placeholder>
            <w:docPart w:val="DefaultPlaceholder_-1854013440"/>
          </w:placeholder>
        </w:sdtPr>
        <w:sdtEndPr/>
        <w:sdtContent>
          <w:r w:rsidR="0011406E" w:rsidRPr="0011406E">
            <w:rPr>
              <w:rFonts w:ascii="Times New Roman" w:hAnsi="Times New Roman" w:cs="Times New Roman"/>
              <w:color w:val="000000"/>
              <w:sz w:val="24"/>
              <w:szCs w:val="24"/>
            </w:rPr>
            <w:t>(Pudjawati et al., 2024)</w:t>
          </w:r>
        </w:sdtContent>
      </w:sdt>
      <w:r w:rsidRPr="00D13D4B">
        <w:rPr>
          <w:rFonts w:ascii="Times New Roman" w:hAnsi="Times New Roman" w:cs="Times New Roman"/>
          <w:sz w:val="24"/>
          <w:szCs w:val="24"/>
        </w:rPr>
        <w:t>.</w:t>
      </w:r>
    </w:p>
    <w:p w14:paraId="4536E689" w14:textId="0E64FE54"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The forage preservation method that can be used is silage, which utilizes</w:t>
      </w:r>
      <w:r>
        <w:rPr>
          <w:rFonts w:ascii="Times New Roman" w:hAnsi="Times New Roman" w:cs="Times New Roman"/>
          <w:sz w:val="24"/>
          <w:szCs w:val="24"/>
        </w:rPr>
        <w:t xml:space="preserve"> </w:t>
      </w:r>
      <w:r w:rsidRPr="00D13D4B">
        <w:rPr>
          <w:rFonts w:ascii="Times New Roman" w:hAnsi="Times New Roman" w:cs="Times New Roman"/>
          <w:sz w:val="24"/>
          <w:szCs w:val="24"/>
        </w:rPr>
        <w:t>the principle of anaerobic fermentation, in which bacteria degrade complex carbohydrates that are broken</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into simple sugars, which form the basis for lactic acid formation </w:t>
      </w:r>
      <w:sdt>
        <w:sdtPr>
          <w:rPr>
            <w:rFonts w:ascii="Times New Roman" w:hAnsi="Times New Roman" w:cs="Times New Roman"/>
            <w:color w:val="000000"/>
            <w:sz w:val="24"/>
            <w:szCs w:val="24"/>
          </w:rPr>
          <w:tag w:val="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
          <w:id w:val="-1392572297"/>
          <w:placeholder>
            <w:docPart w:val="DefaultPlaceholder_-1854013440"/>
          </w:placeholder>
        </w:sdtPr>
        <w:sdtEndPr/>
        <w:sdtContent>
          <w:r w:rsidR="0011406E" w:rsidRPr="0011406E">
            <w:rPr>
              <w:rFonts w:ascii="Times New Roman" w:hAnsi="Times New Roman" w:cs="Times New Roman"/>
              <w:color w:val="000000"/>
              <w:sz w:val="24"/>
              <w:szCs w:val="24"/>
            </w:rPr>
            <w:t>(Widyastuti, 2008)</w:t>
          </w:r>
        </w:sdtContent>
      </w:sdt>
      <w:r w:rsidRPr="00D13D4B">
        <w:rPr>
          <w:rFonts w:ascii="Times New Roman" w:hAnsi="Times New Roman" w:cs="Times New Roman"/>
          <w:sz w:val="24"/>
          <w:szCs w:val="24"/>
        </w:rPr>
        <w:t>. The process</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of lactic acid formation in silage is known as ensilage </w:t>
      </w:r>
      <w:sdt>
        <w:sdtPr>
          <w:rPr>
            <w:rFonts w:ascii="Times New Roman" w:hAnsi="Times New Roman" w:cs="Times New Roman"/>
            <w:color w:val="000000"/>
            <w:sz w:val="24"/>
            <w:szCs w:val="24"/>
          </w:rPr>
          <w:tag w:val="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
          <w:id w:val="1261114929"/>
          <w:placeholder>
            <w:docPart w:val="DefaultPlaceholder_-1854013440"/>
          </w:placeholder>
        </w:sdtPr>
        <w:sdtEndPr/>
        <w:sdtContent>
          <w:r w:rsidR="0011406E" w:rsidRPr="0011406E">
            <w:rPr>
              <w:rFonts w:ascii="Times New Roman" w:hAnsi="Times New Roman" w:cs="Times New Roman"/>
              <w:color w:val="000000"/>
              <w:sz w:val="24"/>
              <w:szCs w:val="24"/>
            </w:rPr>
            <w:t>(Anjalani et al., 2017)</w:t>
          </w:r>
        </w:sdtContent>
      </w:sdt>
      <w:r w:rsidRPr="00D13D4B">
        <w:rPr>
          <w:rFonts w:ascii="Times New Roman" w:hAnsi="Times New Roman" w:cs="Times New Roman"/>
          <w:sz w:val="24"/>
          <w:szCs w:val="24"/>
        </w:rPr>
        <w:t>. Silage is</w:t>
      </w:r>
      <w:r>
        <w:rPr>
          <w:rFonts w:ascii="Times New Roman" w:hAnsi="Times New Roman" w:cs="Times New Roman"/>
          <w:sz w:val="24"/>
          <w:szCs w:val="24"/>
        </w:rPr>
        <w:t xml:space="preserve"> o</w:t>
      </w:r>
      <w:r w:rsidRPr="00D13D4B">
        <w:rPr>
          <w:rFonts w:ascii="Times New Roman" w:hAnsi="Times New Roman" w:cs="Times New Roman"/>
          <w:sz w:val="24"/>
          <w:szCs w:val="24"/>
        </w:rPr>
        <w:t>ne effective method for preserving nutrient content and ensuring long-term storage during the. Success in silage production is influenced by the quality of raw materials, moisture content</w:t>
      </w:r>
      <w:r>
        <w:rPr>
          <w:rFonts w:ascii="Times New Roman" w:hAnsi="Times New Roman" w:cs="Times New Roman"/>
          <w:sz w:val="24"/>
          <w:szCs w:val="24"/>
        </w:rPr>
        <w:t xml:space="preserve">, </w:t>
      </w:r>
      <w:r w:rsidRPr="00D13D4B">
        <w:rPr>
          <w:rFonts w:ascii="Times New Roman" w:hAnsi="Times New Roman" w:cs="Times New Roman"/>
          <w:sz w:val="24"/>
          <w:szCs w:val="24"/>
        </w:rPr>
        <w:t>carbohydrate content, and bacteria in the feed material, as well as the fermentation management practices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
          <w:id w:val="-390273917"/>
          <w:placeholder>
            <w:docPart w:val="DefaultPlaceholder_-1854013440"/>
          </w:placeholder>
        </w:sdtPr>
        <w:sdtEndPr/>
        <w:sdtContent>
          <w:r w:rsidR="0011406E" w:rsidRPr="0011406E">
            <w:rPr>
              <w:rFonts w:ascii="Times New Roman" w:hAnsi="Times New Roman" w:cs="Times New Roman"/>
              <w:color w:val="000000"/>
              <w:sz w:val="24"/>
              <w:szCs w:val="24"/>
            </w:rPr>
            <w:t>(Borreani et al., 2018)</w:t>
          </w:r>
        </w:sdtContent>
      </w:sdt>
      <w:r w:rsidRPr="00D13D4B">
        <w:rPr>
          <w:rFonts w:ascii="Times New Roman" w:hAnsi="Times New Roman" w:cs="Times New Roman"/>
          <w:sz w:val="24"/>
          <w:szCs w:val="24"/>
        </w:rPr>
        <w:t>.</w:t>
      </w:r>
    </w:p>
    <w:p w14:paraId="2A2EE303" w14:textId="13E5AA46"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One potential energy source for livestock is corn stover. Corn stover</w:t>
      </w:r>
      <w:r>
        <w:rPr>
          <w:rFonts w:ascii="Times New Roman" w:hAnsi="Times New Roman" w:cs="Times New Roman"/>
          <w:sz w:val="24"/>
          <w:szCs w:val="24"/>
        </w:rPr>
        <w:t xml:space="preserve"> </w:t>
      </w:r>
      <w:r w:rsidRPr="00D13D4B">
        <w:rPr>
          <w:rFonts w:ascii="Times New Roman" w:hAnsi="Times New Roman" w:cs="Times New Roman"/>
          <w:sz w:val="24"/>
          <w:szCs w:val="24"/>
        </w:rPr>
        <w:t>is often used as a silage ingredient due to its stable availability and high</w:t>
      </w:r>
      <w:r>
        <w:rPr>
          <w:rFonts w:ascii="Times New Roman" w:hAnsi="Times New Roman" w:cs="Times New Roman"/>
          <w:sz w:val="24"/>
          <w:szCs w:val="24"/>
        </w:rPr>
        <w:t xml:space="preserve"> </w:t>
      </w:r>
      <w:r w:rsidRPr="00D13D4B">
        <w:rPr>
          <w:rFonts w:ascii="Times New Roman" w:hAnsi="Times New Roman" w:cs="Times New Roman"/>
          <w:sz w:val="24"/>
          <w:szCs w:val="24"/>
        </w:rPr>
        <w:t>soluble carbohydrates suitable for fermentation (Sahid et al., 2022). Corn cobs contain only</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7.8% protein </w:t>
      </w:r>
      <w:sdt>
        <w:sdtPr>
          <w:rPr>
            <w:rFonts w:ascii="Times New Roman" w:hAnsi="Times New Roman" w:cs="Times New Roman"/>
            <w:color w:val="000000"/>
            <w:sz w:val="24"/>
            <w:szCs w:val="24"/>
          </w:rPr>
          <w:tag w:val="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
          <w:id w:val="2091201329"/>
          <w:placeholder>
            <w:docPart w:val="DefaultPlaceholder_-1854013440"/>
          </w:placeholder>
        </w:sdtPr>
        <w:sdtEndPr/>
        <w:sdtContent>
          <w:r w:rsidR="0011406E" w:rsidRPr="0011406E">
            <w:rPr>
              <w:rFonts w:ascii="Times New Roman" w:eastAsia="Times New Roman" w:hAnsi="Times New Roman" w:cs="Times New Roman"/>
              <w:color w:val="000000"/>
              <w:sz w:val="24"/>
            </w:rPr>
            <w:t>(Mustika &amp; Hartutik, 2021)</w:t>
          </w:r>
        </w:sdtContent>
      </w:sdt>
      <w:r w:rsidRPr="00D13D4B">
        <w:rPr>
          <w:rFonts w:ascii="Times New Roman" w:hAnsi="Times New Roman" w:cs="Times New Roman"/>
          <w:sz w:val="24"/>
          <w:szCs w:val="24"/>
        </w:rPr>
        <w:t xml:space="preserve">. A study by </w:t>
      </w:r>
      <w:sdt>
        <w:sdtPr>
          <w:rPr>
            <w:rFonts w:ascii="Times New Roman" w:hAnsi="Times New Roman" w:cs="Times New Roman"/>
            <w:color w:val="000000"/>
            <w:sz w:val="24"/>
            <w:szCs w:val="24"/>
          </w:rPr>
          <w:tag w:val="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
          <w:id w:val="614328204"/>
          <w:placeholder>
            <w:docPart w:val="DefaultPlaceholder_-1854013440"/>
          </w:placeholder>
        </w:sdtPr>
        <w:sdtEndPr/>
        <w:sdtContent>
          <w:r w:rsidR="0011406E" w:rsidRPr="0011406E">
            <w:rPr>
              <w:rFonts w:ascii="Times New Roman" w:hAnsi="Times New Roman" w:cs="Times New Roman"/>
              <w:color w:val="000000"/>
              <w:sz w:val="24"/>
              <w:szCs w:val="24"/>
            </w:rPr>
            <w:t>Kurniawan et al. (2022)</w:t>
          </w:r>
        </w:sdtContent>
      </w:sdt>
      <w:r w:rsidRPr="00D13D4B">
        <w:rPr>
          <w:rFonts w:ascii="Times New Roman" w:hAnsi="Times New Roman" w:cs="Times New Roman"/>
          <w:sz w:val="24"/>
          <w:szCs w:val="24"/>
        </w:rPr>
        <w:t xml:space="preserve"> noted that</w:t>
      </w:r>
      <w:r>
        <w:rPr>
          <w:rFonts w:ascii="Times New Roman" w:hAnsi="Times New Roman" w:cs="Times New Roman"/>
          <w:sz w:val="24"/>
          <w:szCs w:val="24"/>
        </w:rPr>
        <w:t xml:space="preserve"> </w:t>
      </w:r>
      <w:r w:rsidRPr="00D13D4B">
        <w:rPr>
          <w:rFonts w:ascii="Times New Roman" w:hAnsi="Times New Roman" w:cs="Times New Roman"/>
          <w:sz w:val="24"/>
          <w:szCs w:val="24"/>
        </w:rPr>
        <w:t>adding Indigofera legumes to corn stover silage can increase the dry matter content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and the quality of the silage. The results of a study by </w:t>
      </w:r>
      <w:sdt>
        <w:sdtPr>
          <w:rPr>
            <w:rFonts w:ascii="Times New Roman" w:hAnsi="Times New Roman" w:cs="Times New Roman"/>
            <w:color w:val="000000"/>
            <w:sz w:val="24"/>
            <w:szCs w:val="24"/>
          </w:rPr>
          <w:tag w:val="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
          <w:id w:val="1892992447"/>
          <w:placeholder>
            <w:docPart w:val="DefaultPlaceholder_-1854013440"/>
          </w:placeholder>
        </w:sdtPr>
        <w:sdtEndPr/>
        <w:sdtContent>
          <w:r w:rsidR="0011406E" w:rsidRPr="0011406E">
            <w:rPr>
              <w:rFonts w:ascii="Times New Roman" w:hAnsi="Times New Roman" w:cs="Times New Roman"/>
              <w:color w:val="000000"/>
              <w:sz w:val="24"/>
              <w:szCs w:val="24"/>
            </w:rPr>
            <w:t>Sutaryono et al. (2023)</w:t>
          </w:r>
        </w:sdtContent>
      </w:sdt>
      <w:r w:rsidRPr="00D13D4B">
        <w:rPr>
          <w:rFonts w:ascii="Times New Roman" w:hAnsi="Times New Roman" w:cs="Times New Roman"/>
          <w:sz w:val="24"/>
          <w:szCs w:val="24"/>
        </w:rPr>
        <w:t xml:space="preserve"> indicate that</w:t>
      </w:r>
      <w:r>
        <w:rPr>
          <w:rFonts w:ascii="Times New Roman" w:hAnsi="Times New Roman" w:cs="Times New Roman"/>
          <w:sz w:val="24"/>
          <w:szCs w:val="24"/>
        </w:rPr>
        <w:t xml:space="preserve"> </w:t>
      </w:r>
      <w:r w:rsidRPr="00D13D4B">
        <w:rPr>
          <w:rFonts w:ascii="Times New Roman" w:hAnsi="Times New Roman" w:cs="Times New Roman"/>
          <w:sz w:val="24"/>
          <w:szCs w:val="24"/>
        </w:rPr>
        <w:t>the addition of Leucacena legumes to corn stover silage increases dry matter content, and</w:t>
      </w:r>
      <w:r>
        <w:rPr>
          <w:rFonts w:ascii="Times New Roman" w:hAnsi="Times New Roman" w:cs="Times New Roman"/>
          <w:sz w:val="24"/>
          <w:szCs w:val="24"/>
        </w:rPr>
        <w:t xml:space="preserve"> </w:t>
      </w:r>
      <w:r w:rsidRPr="00D13D4B">
        <w:rPr>
          <w:rFonts w:ascii="Times New Roman" w:hAnsi="Times New Roman" w:cs="Times New Roman"/>
          <w:sz w:val="24"/>
          <w:szCs w:val="24"/>
        </w:rPr>
        <w:t>organic matter, as well as the in vitro digestibility of the silage. Therefore, it is necessary to</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add </w:t>
      </w:r>
      <w:r w:rsidR="00470CB7">
        <w:rPr>
          <w:rFonts w:ascii="Times New Roman" w:hAnsi="Times New Roman" w:cs="Times New Roman"/>
          <w:sz w:val="24"/>
          <w:szCs w:val="24"/>
        </w:rPr>
        <w:t>h</w:t>
      </w:r>
      <w:r w:rsidRPr="00D13D4B">
        <w:rPr>
          <w:rFonts w:ascii="Times New Roman" w:hAnsi="Times New Roman" w:cs="Times New Roman"/>
          <w:sz w:val="24"/>
          <w:szCs w:val="24"/>
        </w:rPr>
        <w:t>igh-protein feed ingredients to increase the nutrient content of the silage.</w:t>
      </w:r>
    </w:p>
    <w:p w14:paraId="310AE5DC" w14:textId="33B82E74" w:rsidR="00470CB7" w:rsidRP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Red calliandra (</w:t>
      </w:r>
      <w:r w:rsidRPr="00470CB7">
        <w:rPr>
          <w:rFonts w:ascii="Times New Roman" w:hAnsi="Times New Roman" w:cs="Times New Roman"/>
          <w:i/>
          <w:sz w:val="24"/>
          <w:szCs w:val="24"/>
        </w:rPr>
        <w:t xml:space="preserve">Calliandra callothyrsus) </w:t>
      </w:r>
      <w:r w:rsidRPr="00470CB7">
        <w:rPr>
          <w:rFonts w:ascii="Times New Roman" w:hAnsi="Times New Roman" w:cs="Times New Roman"/>
          <w:sz w:val="24"/>
          <w:szCs w:val="24"/>
        </w:rPr>
        <w:t>is a tree legume used for livestock feed because</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it contains more than 20% protein </w:t>
      </w:r>
      <w:sdt>
        <w:sdtPr>
          <w:rPr>
            <w:rFonts w:ascii="Times New Roman" w:hAnsi="Times New Roman" w:cs="Times New Roman"/>
            <w:color w:val="000000"/>
            <w:sz w:val="24"/>
            <w:szCs w:val="24"/>
          </w:rPr>
          <w:tag w:val="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
          <w:id w:val="-2096928045"/>
          <w:placeholder>
            <w:docPart w:val="DefaultPlaceholder_-1854013440"/>
          </w:placeholder>
        </w:sdtPr>
        <w:sdtEndPr/>
        <w:sdtContent>
          <w:r w:rsidR="0011406E" w:rsidRPr="0011406E">
            <w:rPr>
              <w:rFonts w:ascii="Times New Roman" w:eastAsia="Times New Roman" w:hAnsi="Times New Roman" w:cs="Times New Roman"/>
              <w:color w:val="000000"/>
              <w:sz w:val="24"/>
            </w:rPr>
            <w:t>(Susilawati &amp; Khairani, 2017)</w:t>
          </w:r>
        </w:sdtContent>
      </w:sdt>
      <w:r w:rsidRPr="00470CB7">
        <w:rPr>
          <w:rFonts w:ascii="Times New Roman" w:hAnsi="Times New Roman" w:cs="Times New Roman"/>
          <w:sz w:val="24"/>
          <w:szCs w:val="24"/>
        </w:rPr>
        <w:t>. However, calliandra contains</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tannins, which are anti-nutritional </w:t>
      </w:r>
      <w:r w:rsidRPr="00470CB7">
        <w:rPr>
          <w:rFonts w:ascii="Times New Roman" w:hAnsi="Times New Roman" w:cs="Times New Roman"/>
          <w:sz w:val="24"/>
          <w:szCs w:val="24"/>
        </w:rPr>
        <w:lastRenderedPageBreak/>
        <w:t xml:space="preserve">compounds </w:t>
      </w:r>
      <w:sdt>
        <w:sdtPr>
          <w:rPr>
            <w:rFonts w:ascii="Times New Roman" w:hAnsi="Times New Roman" w:cs="Times New Roman"/>
            <w:color w:val="000000"/>
            <w:sz w:val="24"/>
            <w:szCs w:val="24"/>
          </w:rPr>
          <w:tag w:val="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
          <w:id w:val="1858622624"/>
          <w:placeholder>
            <w:docPart w:val="DefaultPlaceholder_-1854013440"/>
          </w:placeholder>
        </w:sdtPr>
        <w:sdtEndPr/>
        <w:sdtContent>
          <w:r w:rsidR="0011406E" w:rsidRPr="0011406E">
            <w:rPr>
              <w:rFonts w:ascii="Times New Roman" w:hAnsi="Times New Roman" w:cs="Times New Roman"/>
              <w:color w:val="000000"/>
              <w:sz w:val="24"/>
              <w:szCs w:val="24"/>
            </w:rPr>
            <w:t>(Sulistyawati et al., 2024)</w:t>
          </w:r>
        </w:sdtContent>
      </w:sdt>
      <w:r w:rsidRPr="00470CB7">
        <w:rPr>
          <w:rFonts w:ascii="Times New Roman" w:hAnsi="Times New Roman" w:cs="Times New Roman"/>
          <w:sz w:val="24"/>
          <w:szCs w:val="24"/>
        </w:rPr>
        <w:t>. Tannins can</w:t>
      </w:r>
      <w:r>
        <w:rPr>
          <w:rFonts w:ascii="Times New Roman" w:hAnsi="Times New Roman" w:cs="Times New Roman"/>
          <w:sz w:val="24"/>
          <w:szCs w:val="24"/>
        </w:rPr>
        <w:t xml:space="preserve"> </w:t>
      </w:r>
      <w:r w:rsidRPr="00470CB7">
        <w:rPr>
          <w:rFonts w:ascii="Times New Roman" w:hAnsi="Times New Roman" w:cs="Times New Roman"/>
          <w:sz w:val="24"/>
          <w:szCs w:val="24"/>
        </w:rPr>
        <w:t>inhibit lactic acid bacteria, disrupting the ensilage process,</w:t>
      </w:r>
      <w:r>
        <w:rPr>
          <w:rFonts w:ascii="Times New Roman" w:hAnsi="Times New Roman" w:cs="Times New Roman"/>
          <w:sz w:val="24"/>
          <w:szCs w:val="24"/>
        </w:rPr>
        <w:t xml:space="preserve"> </w:t>
      </w:r>
      <w:r w:rsidRPr="00470CB7">
        <w:rPr>
          <w:rFonts w:ascii="Times New Roman" w:hAnsi="Times New Roman" w:cs="Times New Roman"/>
          <w:sz w:val="24"/>
          <w:szCs w:val="24"/>
        </w:rPr>
        <w:t>reduces palatability and digestibility in livestock. Therefore, an appropriate formulation is needed</w:t>
      </w:r>
      <w:r>
        <w:rPr>
          <w:rFonts w:ascii="Times New Roman" w:hAnsi="Times New Roman" w:cs="Times New Roman"/>
          <w:sz w:val="24"/>
          <w:szCs w:val="24"/>
        </w:rPr>
        <w:t xml:space="preserve"> </w:t>
      </w:r>
      <w:r w:rsidRPr="00470CB7">
        <w:rPr>
          <w:rFonts w:ascii="Times New Roman" w:hAnsi="Times New Roman" w:cs="Times New Roman"/>
          <w:sz w:val="24"/>
          <w:szCs w:val="24"/>
        </w:rPr>
        <w:t>between corn stalks and red calliandra to produce high-quality silage.</w:t>
      </w:r>
    </w:p>
    <w:p w14:paraId="67507CCA" w14:textId="77777777" w:rsidR="00470CB7" w:rsidRDefault="00470CB7" w:rsidP="00D13D4B">
      <w:pPr>
        <w:spacing w:before="240" w:after="240" w:line="240" w:lineRule="auto"/>
        <w:jc w:val="both"/>
        <w:rPr>
          <w:rFonts w:ascii="Times New Roman" w:hAnsi="Times New Roman" w:cs="Times New Roman"/>
          <w:sz w:val="24"/>
          <w:szCs w:val="24"/>
        </w:rPr>
      </w:pPr>
    </w:p>
    <w:p w14:paraId="4B1002F4" w14:textId="6AEC2F73" w:rsidR="00470CB7" w:rsidRDefault="001A523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MATERIALS AND METHODS</w:t>
      </w:r>
    </w:p>
    <w:p w14:paraId="4132F61B" w14:textId="0AE0F7BF" w:rsidR="00AE3731" w:rsidRPr="00AE3731" w:rsidRDefault="00AE3731"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w:t>
      </w:r>
    </w:p>
    <w:p w14:paraId="18025379" w14:textId="17798284" w:rsid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This study was conducted at the Laboratory of Ruminant Animal Nutrition and Food Chemistry</w:t>
      </w:r>
      <w:r>
        <w:rPr>
          <w:rFonts w:ascii="Times New Roman" w:hAnsi="Times New Roman" w:cs="Times New Roman"/>
          <w:sz w:val="24"/>
          <w:szCs w:val="24"/>
        </w:rPr>
        <w:t xml:space="preserve"> </w:t>
      </w:r>
      <w:r w:rsidRPr="00470CB7">
        <w:rPr>
          <w:rFonts w:ascii="Times New Roman" w:hAnsi="Times New Roman" w:cs="Times New Roman"/>
          <w:sz w:val="24"/>
          <w:szCs w:val="24"/>
        </w:rPr>
        <w:t>at the Faculty of Animal Science, Padjadjaran University, Sumedang, West Java, from November to</w:t>
      </w:r>
      <w:r>
        <w:rPr>
          <w:rFonts w:ascii="Times New Roman" w:hAnsi="Times New Roman" w:cs="Times New Roman"/>
          <w:sz w:val="24"/>
          <w:szCs w:val="24"/>
        </w:rPr>
        <w:t xml:space="preserve"> </w:t>
      </w:r>
      <w:r w:rsidRPr="00470CB7">
        <w:rPr>
          <w:rFonts w:ascii="Times New Roman" w:hAnsi="Times New Roman" w:cs="Times New Roman"/>
          <w:sz w:val="24"/>
          <w:szCs w:val="24"/>
        </w:rPr>
        <w:t>December 2025. This study utilized equipment including silage-making tools, namely</w:t>
      </w:r>
      <w:r>
        <w:rPr>
          <w:rFonts w:ascii="Times New Roman" w:hAnsi="Times New Roman" w:cs="Times New Roman"/>
          <w:sz w:val="24"/>
          <w:szCs w:val="24"/>
        </w:rPr>
        <w:t xml:space="preserve"> </w:t>
      </w:r>
      <w:r w:rsidRPr="00470CB7">
        <w:rPr>
          <w:rFonts w:ascii="Times New Roman" w:hAnsi="Times New Roman" w:cs="Times New Roman"/>
          <w:sz w:val="24"/>
          <w:szCs w:val="24"/>
        </w:rPr>
        <w:t>10-liter plastic jar, 40×60 cm plastic bag, 8×6 m tarp, vacuum, machete</w:t>
      </w:r>
      <w:r>
        <w:rPr>
          <w:rFonts w:ascii="Times New Roman" w:hAnsi="Times New Roman" w:cs="Times New Roman"/>
          <w:sz w:val="24"/>
          <w:szCs w:val="24"/>
        </w:rPr>
        <w:t xml:space="preserve">, </w:t>
      </w:r>
      <w:r w:rsidRPr="00470CB7">
        <w:rPr>
          <w:rFonts w:ascii="Times New Roman" w:hAnsi="Times New Roman" w:cs="Times New Roman"/>
          <w:sz w:val="24"/>
          <w:szCs w:val="24"/>
        </w:rPr>
        <w:t>Five-point balance, for testing dry matter and organic matter as well as in vitro digestibility, electric oven, analytical balance, desiccator, forceps, furnace, fermenter tubes, and</w:t>
      </w:r>
      <w:r>
        <w:rPr>
          <w:rFonts w:ascii="Times New Roman" w:hAnsi="Times New Roman" w:cs="Times New Roman"/>
          <w:sz w:val="24"/>
          <w:szCs w:val="24"/>
        </w:rPr>
        <w:t xml:space="preserve"> </w:t>
      </w:r>
      <w:r w:rsidRPr="00470CB7">
        <w:rPr>
          <w:rFonts w:ascii="Times New Roman" w:hAnsi="Times New Roman" w:cs="Times New Roman"/>
          <w:sz w:val="24"/>
          <w:szCs w:val="24"/>
        </w:rPr>
        <w:t>stopper with a valve, beakers, magnetic stirrer, water bath at 39–40°C, thermos, muslin cloth, pH meter,</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fermentor tube rack, 50-ml volumetric pipette, centrifuge, centrifuge tubes, porcelain </w:t>
      </w:r>
      <w:r>
        <w:rPr>
          <w:rFonts w:ascii="Times New Roman" w:hAnsi="Times New Roman" w:cs="Times New Roman"/>
          <w:sz w:val="24"/>
          <w:szCs w:val="24"/>
        </w:rPr>
        <w:t>uses</w:t>
      </w:r>
      <w:r w:rsidRPr="00470CB7">
        <w:rPr>
          <w:rFonts w:ascii="Times New Roman" w:hAnsi="Times New Roman" w:cs="Times New Roman"/>
          <w:sz w:val="24"/>
          <w:szCs w:val="24"/>
        </w:rPr>
        <w:t>. This study</w:t>
      </w:r>
      <w:r>
        <w:rPr>
          <w:rFonts w:ascii="Times New Roman" w:hAnsi="Times New Roman" w:cs="Times New Roman"/>
          <w:sz w:val="24"/>
          <w:szCs w:val="24"/>
        </w:rPr>
        <w:t xml:space="preserve"> uses</w:t>
      </w:r>
      <w:r w:rsidRPr="00470CB7">
        <w:rPr>
          <w:rFonts w:ascii="Times New Roman" w:hAnsi="Times New Roman" w:cs="Times New Roman"/>
          <w:sz w:val="24"/>
          <w:szCs w:val="24"/>
        </w:rPr>
        <w:t xml:space="preserve"> two main groups of materials. The first group consisted of corn stover (90 days after harvest), red calliandra, and molasses. The second set of materials was for in vitro digestibility testing, namel</w:t>
      </w:r>
      <w:r>
        <w:rPr>
          <w:rFonts w:ascii="Times New Roman" w:hAnsi="Times New Roman" w:cs="Times New Roman"/>
          <w:sz w:val="24"/>
          <w:szCs w:val="24"/>
        </w:rPr>
        <w:t xml:space="preserve">y </w:t>
      </w:r>
      <w:r w:rsidRPr="00470CB7">
        <w:rPr>
          <w:rFonts w:ascii="Times New Roman" w:hAnsi="Times New Roman" w:cs="Times New Roman"/>
          <w:sz w:val="24"/>
          <w:szCs w:val="24"/>
        </w:rPr>
        <w:t>corn stover silage, McDougall’s solution (pH 6.8–7.0, neutral), beef cattle rumen fluid (39°C from the</w:t>
      </w:r>
      <w:r>
        <w:rPr>
          <w:rFonts w:ascii="Times New Roman" w:hAnsi="Times New Roman" w:cs="Times New Roman"/>
          <w:sz w:val="24"/>
          <w:szCs w:val="24"/>
        </w:rPr>
        <w:t xml:space="preserve"> C</w:t>
      </w:r>
      <w:r w:rsidRPr="00470CB7">
        <w:rPr>
          <w:rFonts w:ascii="Times New Roman" w:hAnsi="Times New Roman" w:cs="Times New Roman"/>
          <w:sz w:val="24"/>
          <w:szCs w:val="24"/>
        </w:rPr>
        <w:t>iroyom in Bandung), distilled water, CO₂gas, 2%HgCl₂, 0.2% pepsin HCl solution,</w:t>
      </w:r>
      <w:r>
        <w:rPr>
          <w:rFonts w:ascii="Times New Roman" w:hAnsi="Times New Roman" w:cs="Times New Roman"/>
          <w:sz w:val="24"/>
          <w:szCs w:val="24"/>
        </w:rPr>
        <w:t xml:space="preserve"> and </w:t>
      </w:r>
      <w:r w:rsidRPr="00470CB7">
        <w:rPr>
          <w:rFonts w:ascii="Times New Roman" w:hAnsi="Times New Roman" w:cs="Times New Roman"/>
          <w:sz w:val="24"/>
          <w:szCs w:val="24"/>
        </w:rPr>
        <w:t xml:space="preserve">Whatman filter paper 41 mm. Supporting equipment included a vacuum pump, a cleaver, </w:t>
      </w:r>
      <w:r>
        <w:rPr>
          <w:rFonts w:ascii="Times New Roman" w:hAnsi="Times New Roman" w:cs="Times New Roman"/>
          <w:sz w:val="24"/>
          <w:szCs w:val="24"/>
        </w:rPr>
        <w:t xml:space="preserve">and </w:t>
      </w:r>
      <w:r w:rsidRPr="00470CB7">
        <w:rPr>
          <w:rFonts w:ascii="Times New Roman" w:hAnsi="Times New Roman" w:cs="Times New Roman"/>
          <w:sz w:val="24"/>
          <w:szCs w:val="24"/>
        </w:rPr>
        <w:t>a five-pan balance</w:t>
      </w:r>
      <w:r w:rsidR="00AE3731">
        <w:rPr>
          <w:rFonts w:ascii="Times New Roman" w:hAnsi="Times New Roman" w:cs="Times New Roman"/>
          <w:sz w:val="24"/>
          <w:szCs w:val="24"/>
        </w:rPr>
        <w:t>.</w:t>
      </w:r>
    </w:p>
    <w:p w14:paraId="68E93601" w14:textId="6FC8E614" w:rsid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Observation Parameters</w:t>
      </w:r>
    </w:p>
    <w:p w14:paraId="003647A3" w14:textId="33F60CB5" w:rsidR="00AE3731" w:rsidRPr="00AE3731" w:rsidRDefault="00AE3731" w:rsidP="00470CB7">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The parameters observed were dry matter content, organic matter content, and in vitro digestibility, namely dry matter digestibility and organic matter digestibility.</w:t>
      </w:r>
    </w:p>
    <w:p w14:paraId="197F2724" w14:textId="53A6F31C" w:rsidR="00D53580"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37178E05" w14:textId="0F6F1D83" w:rsidR="00AE3731" w:rsidRP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Silage Production</w:t>
      </w:r>
    </w:p>
    <w:p w14:paraId="4C77C784" w14:textId="02C814B0" w:rsidR="00AE3731" w:rsidRDefault="00AE3731" w:rsidP="00432280">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 xml:space="preserve">To produce silage, the moisture content of corn stalks was reduced by wilting them for 24 hours, and red calliandra for 24 hours. The two materials were then chopped into 2–4 cm pieces using a machete and weighed according to the treatment. Molasses was added at a rate of 4% of the total silage weight per treatment, diluted with water at a 1:1 ratio. All ingredients were then mixed homogeneously into 10-liter jars lined with plastic, compacted, vacuum-sealed to remove air, and tightly sealed to create an anaerobic environment. Fermentation was carried out for 22 days at room temperature. After fermentation, the samples were sun-dried for 2–3 days. The samples, </w:t>
      </w:r>
      <w:r w:rsidR="001D0E5A">
        <w:rPr>
          <w:rFonts w:ascii="Times New Roman" w:hAnsi="Times New Roman" w:cs="Times New Roman"/>
          <w:sz w:val="24"/>
          <w:szCs w:val="24"/>
        </w:rPr>
        <w:t xml:space="preserve">with reduced moisture content, were then ground into flour using a hammer mill fitted </w:t>
      </w:r>
      <w:r w:rsidRPr="00AE3731">
        <w:rPr>
          <w:rFonts w:ascii="Times New Roman" w:hAnsi="Times New Roman" w:cs="Times New Roman"/>
          <w:sz w:val="24"/>
          <w:szCs w:val="24"/>
        </w:rPr>
        <w:t>with a 20-mesh screen. The resulting samples were then examined and tested according to the parameters mentioned.</w:t>
      </w:r>
    </w:p>
    <w:p w14:paraId="5A2D48B2" w14:textId="1852E5AF" w:rsidR="001E63DF" w:rsidRPr="0044793F" w:rsidRDefault="00AE3731" w:rsidP="00432280">
      <w:pPr>
        <w:spacing w:before="240" w:after="24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Dry Matter</w:t>
      </w:r>
    </w:p>
    <w:p w14:paraId="42B62AC5" w14:textId="06FBB736" w:rsidR="00AE3731" w:rsidRDefault="00AE3731" w:rsidP="00432280">
      <w:pPr>
        <w:spacing w:before="240" w:after="240" w:line="240" w:lineRule="auto"/>
        <w:jc w:val="both"/>
        <w:rPr>
          <w:rFonts w:ascii="Times New Roman" w:eastAsiaTheme="minorEastAsia" w:hAnsi="Times New Roman" w:cs="Times New Roman"/>
          <w:sz w:val="24"/>
          <w:szCs w:val="24"/>
        </w:rPr>
      </w:pPr>
      <w:r w:rsidRPr="00AE3731">
        <w:rPr>
          <w:rFonts w:ascii="Times New Roman" w:eastAsiaTheme="minorEastAsia" w:hAnsi="Times New Roman" w:cs="Times New Roman"/>
          <w:sz w:val="24"/>
          <w:szCs w:val="24"/>
        </w:rPr>
        <w:t xml:space="preserve">Dry matter analysis refers to the </w:t>
      </w:r>
      <w:sdt>
        <w:sdtPr>
          <w:rPr>
            <w:rFonts w:ascii="Times New Roman" w:eastAsiaTheme="minorEastAsia" w:hAnsi="Times New Roman" w:cs="Times New Roman"/>
            <w:color w:val="000000"/>
            <w:sz w:val="24"/>
            <w:szCs w:val="24"/>
          </w:rPr>
          <w:tag w:val="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
          <w:id w:val="1521581468"/>
          <w:placeholder>
            <w:docPart w:val="DefaultPlaceholder_-1854013440"/>
          </w:placeholder>
        </w:sdtPr>
        <w:sdtEndPr/>
        <w:sdtContent>
          <w:r w:rsidR="0011406E" w:rsidRPr="0011406E">
            <w:rPr>
              <w:rFonts w:ascii="Times New Roman" w:eastAsiaTheme="minorEastAsia" w:hAnsi="Times New Roman" w:cs="Times New Roman"/>
              <w:color w:val="000000"/>
              <w:sz w:val="24"/>
              <w:szCs w:val="24"/>
            </w:rPr>
            <w:t>AOAC (2005)</w:t>
          </w:r>
        </w:sdtContent>
      </w:sdt>
      <w:r w:rsidRPr="00AE3731">
        <w:rPr>
          <w:rFonts w:ascii="Times New Roman" w:eastAsiaTheme="minorEastAsia" w:hAnsi="Times New Roman" w:cs="Times New Roman"/>
          <w:sz w:val="24"/>
          <w:szCs w:val="24"/>
        </w:rPr>
        <w:t xml:space="preserve"> oven method. This method begins by weighing a 5-gram sample, which is then oven-dried at 105 °C for 24 hours; the moisture content is then determined and calculated as follows</w:t>
      </w:r>
      <w:r>
        <w:rPr>
          <w:rFonts w:ascii="Times New Roman" w:eastAsiaTheme="minorEastAsia" w:hAnsi="Times New Roman" w:cs="Times New Roman"/>
          <w:sz w:val="24"/>
          <w:szCs w:val="24"/>
        </w:rPr>
        <w:t xml:space="preserve"> this</w:t>
      </w:r>
    </w:p>
    <w:p w14:paraId="0D5DF3AF" w14:textId="2F4A4CC0" w:rsidR="00AE3731" w:rsidRDefault="00660B4E" w:rsidP="00432280">
      <w:pPr>
        <w:spacing w:before="240" w:after="24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Dry Matter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=100%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C-A</m:t>
                  </m:r>
                </m:num>
                <m:den>
                  <m:r>
                    <w:rPr>
                      <w:rFonts w:ascii="Cambria Math" w:eastAsiaTheme="minorEastAsia" w:hAnsi="Cambria Math" w:cs="Times New Roman"/>
                      <w:sz w:val="24"/>
                      <w:szCs w:val="24"/>
                    </w:rPr>
                    <m:t>B</m:t>
                  </m:r>
                </m:den>
              </m:f>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m:oMathPara>
    </w:p>
    <w:p w14:paraId="062CE88D" w14:textId="049B2613"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where A is the weight of the alu aluminium dish (g), B is the weight of the oven-dried sample, and C is the weight of the alumunium dish and oven-dried sample (g).</w:t>
      </w:r>
    </w:p>
    <w:p w14:paraId="456D8228" w14:textId="668B535F" w:rsidR="002E4D5B" w:rsidRDefault="002E4D5B"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3A08D1EC" w14:textId="42C68A20" w:rsidR="002E4D5B" w:rsidRDefault="002E4D5B" w:rsidP="00432280">
      <w:pPr>
        <w:spacing w:before="240" w:after="240" w:line="240" w:lineRule="auto"/>
        <w:jc w:val="both"/>
        <w:rPr>
          <w:rFonts w:ascii="Times New Roman" w:hAnsi="Times New Roman" w:cs="Times New Roman"/>
          <w:sz w:val="24"/>
          <w:szCs w:val="24"/>
        </w:rPr>
      </w:pPr>
      <w:r w:rsidRPr="002E4D5B">
        <w:rPr>
          <w:rFonts w:ascii="Times New Roman" w:hAnsi="Times New Roman" w:cs="Times New Roman"/>
          <w:sz w:val="24"/>
          <w:szCs w:val="24"/>
        </w:rPr>
        <w:lastRenderedPageBreak/>
        <w:t>The analysis of organic matter refers to the AOAC (2005) furnace method. This method begins by weighing 2–5 grams of the sample, which is then oven-dried at 105 °C for 1 hour. The sample is then placed on a hot plate until the carbonization process is complete, after which it is incinerated in a furnace at 600°C for 6 hours. The resulting content is calculated as follows</w:t>
      </w:r>
      <w:r>
        <w:rPr>
          <w:rFonts w:ascii="Times New Roman" w:hAnsi="Times New Roman" w:cs="Times New Roman"/>
          <w:sz w:val="24"/>
          <w:szCs w:val="24"/>
        </w:rPr>
        <w:t xml:space="preserve"> </w:t>
      </w:r>
    </w:p>
    <w:p w14:paraId="13802810" w14:textId="046A7B63" w:rsidR="002E4D5B" w:rsidRPr="001F1284" w:rsidRDefault="002E4D5B" w:rsidP="00432280">
      <w:pPr>
        <w:spacing w:before="240" w:after="24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Organic Matter=DM-</m:t>
          </m:r>
          <m:d>
            <m:dPr>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C-A</m:t>
                      </m:r>
                    </m:e>
                  </m:d>
                </m:num>
                <m:den>
                  <m:r>
                    <w:rPr>
                      <w:rFonts w:ascii="Cambria Math" w:hAnsi="Cambria Math" w:cs="Times New Roman"/>
                      <w:sz w:val="24"/>
                      <w:szCs w:val="24"/>
                    </w:rPr>
                    <m:t>B</m:t>
                  </m:r>
                </m:den>
              </m:f>
            </m:e>
          </m:d>
          <m:r>
            <w:rPr>
              <w:rFonts w:ascii="Cambria Math" w:hAnsi="Cambria Math" w:cs="Times New Roman"/>
              <w:sz w:val="24"/>
              <w:szCs w:val="24"/>
            </w:rPr>
            <m:t>×100%)</m:t>
          </m:r>
        </m:oMath>
      </m:oMathPara>
    </w:p>
    <w:p w14:paraId="0672EC5D" w14:textId="2597724A"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where A is the weight of the porcelain dish (g), B is the weight of the oven-dried sample, and C is the weight of the porcelain dish and oven-dried sample (g).</w:t>
      </w:r>
    </w:p>
    <w:p w14:paraId="5EB31DBA" w14:textId="28EE4EC5" w:rsidR="001F1284" w:rsidRDefault="001F1284" w:rsidP="001F1284">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 Vitro Digestibility</w:t>
      </w:r>
    </w:p>
    <w:p w14:paraId="4E2CCFC7" w14:textId="53527A63" w:rsidR="001F1284" w:rsidRDefault="001F1284" w:rsidP="001F1284">
      <w:pPr>
        <w:spacing w:before="240" w:after="240" w:line="240" w:lineRule="auto"/>
        <w:jc w:val="both"/>
        <w:rPr>
          <w:rFonts w:ascii="Times New Roman" w:hAnsi="Times New Roman" w:cs="Times New Roman"/>
          <w:sz w:val="24"/>
          <w:szCs w:val="24"/>
          <w:lang w:val="id-ID"/>
        </w:rPr>
      </w:pPr>
      <w:r w:rsidRPr="001F1284">
        <w:rPr>
          <w:rFonts w:ascii="Times New Roman" w:hAnsi="Times New Roman" w:cs="Times New Roman"/>
          <w:sz w:val="24"/>
          <w:szCs w:val="24"/>
          <w:lang w:val="id-ID"/>
        </w:rPr>
        <w:t xml:space="preserve">In vitro digestibility analysis refers to the method of Tilley &amp; Terry (1963). There are two main phases in this analysis: fermentative digestion by rumen fluid and enzymatic digestion using a pepsin-HCl solution. A sample of 0.5 g per treatment was weighed, then the sample was incubated in a water bath conditioned to resemble the rumen environment at a temperature of 39⸰C and pH 6.5–6.9, with each phase lasting 48 hours. After the enzymatic digestion process was complete, Whatman No. 41 filter paper was used to separate the residue, which was then placed into an aluminum dish. For the dry matter digestibility analysis, the samples were dried in an oven at 105 °C for 24 hours. Next, to determine the digestibility of the dried residue’s organic matter, it was incinerated in a furnace at 600 °C for 4 hours. As a correction factor, the blank value obtained from the residue of fermentation without the sample was used. The calculation is as follows </w:t>
      </w:r>
      <w:sdt>
        <w:sdtPr>
          <w:rPr>
            <w:rFonts w:ascii="Times New Roman" w:hAnsi="Times New Roman" w:cs="Times New Roman"/>
            <w:color w:val="000000"/>
            <w:sz w:val="24"/>
            <w:szCs w:val="24"/>
            <w:lang w:val="id-ID"/>
          </w:rPr>
          <w:tag w:val="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
          <w:id w:val="1348980117"/>
          <w:placeholder>
            <w:docPart w:val="DefaultPlaceholder_-1854013440"/>
          </w:placeholder>
        </w:sdtPr>
        <w:sdtEndPr/>
        <w:sdtContent>
          <w:r w:rsidR="0011406E" w:rsidRPr="0011406E">
            <w:rPr>
              <w:rFonts w:ascii="Times New Roman" w:eastAsia="Times New Roman" w:hAnsi="Times New Roman" w:cs="Times New Roman"/>
              <w:color w:val="000000"/>
              <w:sz w:val="24"/>
            </w:rPr>
            <w:t>Tilley &amp; Terry (1963)</w:t>
          </w:r>
        </w:sdtContent>
      </w:sdt>
    </w:p>
    <w:p w14:paraId="50E5E5DB" w14:textId="240F53AD" w:rsidR="00B42907" w:rsidRPr="00B42907" w:rsidRDefault="00B42907" w:rsidP="001F1284">
      <w:pPr>
        <w:spacing w:before="240" w:after="240" w:line="24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DM-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DM-B</m:t>
                  </m:r>
                  <m:r>
                    <w:rPr>
                      <w:rFonts w:ascii="Cambria Math" w:hAnsi="Cambria Math" w:cs="Times New Roman"/>
                      <w:sz w:val="24"/>
                      <w:szCs w:val="24"/>
                      <w:lang w:val="id-ID"/>
                    </w:rPr>
                    <m:t>lank DM</m:t>
                  </m:r>
                </m:e>
              </m:d>
            </m:num>
            <m:den>
              <m:r>
                <w:rPr>
                  <w:rFonts w:ascii="Cambria Math" w:hAnsi="Cambria Math" w:cs="Times New Roman"/>
                  <w:sz w:val="24"/>
                  <w:szCs w:val="24"/>
                  <w:lang w:val="id-ID"/>
                </w:rPr>
                <m:t>Initial DM</m:t>
              </m:r>
            </m:den>
          </m:f>
          <m:r>
            <w:rPr>
              <w:rFonts w:ascii="Cambria Math" w:hAnsi="Cambria Math" w:cs="Times New Roman"/>
              <w:sz w:val="24"/>
              <w:szCs w:val="24"/>
              <w:lang w:val="id-ID"/>
            </w:rPr>
            <m:t>×100%</m:t>
          </m:r>
        </m:oMath>
      </m:oMathPara>
    </w:p>
    <w:p w14:paraId="282BD8C4" w14:textId="120A1549" w:rsidR="001F1284" w:rsidRPr="001F1284" w:rsidRDefault="00B42907" w:rsidP="001F1284">
      <w:pPr>
        <w:spacing w:before="240" w:after="240" w:line="24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OMD=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OM-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OM-Blank OM</m:t>
                  </m:r>
                </m:e>
              </m:d>
            </m:num>
            <m:den>
              <m:r>
                <w:rPr>
                  <w:rFonts w:ascii="Cambria Math" w:hAnsi="Cambria Math" w:cs="Times New Roman"/>
                  <w:sz w:val="24"/>
                  <w:szCs w:val="24"/>
                  <w:lang w:val="id-ID"/>
                </w:rPr>
                <m:t>Initial OM</m:t>
              </m:r>
            </m:den>
          </m:f>
          <m:r>
            <w:rPr>
              <w:rFonts w:ascii="Cambria Math" w:hAnsi="Cambria Math" w:cs="Times New Roman"/>
              <w:sz w:val="24"/>
              <w:szCs w:val="24"/>
              <w:lang w:val="id-ID"/>
            </w:rPr>
            <m:t>×100%</m:t>
          </m:r>
        </m:oMath>
      </m:oMathPara>
    </w:p>
    <w:p w14:paraId="045B35DA" w14:textId="77777777" w:rsidR="001F1284" w:rsidRPr="001F1284" w:rsidRDefault="001F1284" w:rsidP="001F1284">
      <w:pPr>
        <w:spacing w:before="240" w:after="240" w:line="240" w:lineRule="auto"/>
        <w:jc w:val="both"/>
        <w:rPr>
          <w:rFonts w:ascii="Times New Roman" w:hAnsi="Times New Roman" w:cs="Times New Roman"/>
          <w:b/>
          <w:bCs/>
          <w:sz w:val="24"/>
          <w:szCs w:val="24"/>
        </w:rPr>
      </w:pPr>
    </w:p>
    <w:p w14:paraId="2C4C4EAC" w14:textId="0105393D" w:rsidR="001F1284" w:rsidRPr="002E4D5B" w:rsidRDefault="000E71AF" w:rsidP="000E71AF">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 xml:space="preserve">where Initial </w:t>
      </w:r>
      <w:r>
        <w:rPr>
          <w:rFonts w:ascii="Times New Roman" w:hAnsi="Times New Roman" w:cs="Times New Roman"/>
          <w:sz w:val="24"/>
          <w:szCs w:val="24"/>
        </w:rPr>
        <w:t>DM</w:t>
      </w:r>
      <w:r w:rsidRPr="000E71AF">
        <w:rPr>
          <w:rFonts w:ascii="Times New Roman" w:hAnsi="Times New Roman" w:cs="Times New Roman"/>
          <w:sz w:val="24"/>
          <w:szCs w:val="24"/>
        </w:rPr>
        <w:t xml:space="preserve"> and Initial </w:t>
      </w:r>
      <w:r>
        <w:rPr>
          <w:rFonts w:ascii="Times New Roman" w:hAnsi="Times New Roman" w:cs="Times New Roman"/>
          <w:sz w:val="24"/>
          <w:szCs w:val="24"/>
        </w:rPr>
        <w:t>OM</w:t>
      </w:r>
      <w:r w:rsidRPr="000E71AF">
        <w:rPr>
          <w:rFonts w:ascii="Times New Roman" w:hAnsi="Times New Roman" w:cs="Times New Roman"/>
          <w:sz w:val="24"/>
          <w:szCs w:val="24"/>
        </w:rPr>
        <w:t xml:space="preserve"> are the sample weights before incubation, and Residual </w:t>
      </w:r>
      <w:r>
        <w:rPr>
          <w:rFonts w:ascii="Times New Roman" w:hAnsi="Times New Roman" w:cs="Times New Roman"/>
          <w:sz w:val="24"/>
          <w:szCs w:val="24"/>
        </w:rPr>
        <w:t>DM</w:t>
      </w:r>
      <w:r w:rsidRPr="000E71AF">
        <w:rPr>
          <w:rFonts w:ascii="Times New Roman" w:hAnsi="Times New Roman" w:cs="Times New Roman"/>
          <w:sz w:val="24"/>
          <w:szCs w:val="24"/>
        </w:rPr>
        <w:t xml:space="preserve"> and Residual </w:t>
      </w:r>
      <w:r>
        <w:rPr>
          <w:rFonts w:ascii="Times New Roman" w:hAnsi="Times New Roman" w:cs="Times New Roman"/>
          <w:sz w:val="24"/>
          <w:szCs w:val="24"/>
        </w:rPr>
        <w:t>OM</w:t>
      </w:r>
      <w:r w:rsidRPr="000E71AF">
        <w:rPr>
          <w:rFonts w:ascii="Times New Roman" w:hAnsi="Times New Roman" w:cs="Times New Roman"/>
          <w:sz w:val="24"/>
          <w:szCs w:val="24"/>
        </w:rPr>
        <w:t xml:space="preserve"> are the</w:t>
      </w:r>
    </w:p>
    <w:p w14:paraId="18272731" w14:textId="68DB037B" w:rsidR="00D53580" w:rsidRPr="0044793F" w:rsidRDefault="00D53580" w:rsidP="00432280">
      <w:pPr>
        <w:spacing w:before="240" w:after="240" w:line="240" w:lineRule="auto"/>
        <w:jc w:val="both"/>
        <w:rPr>
          <w:rFonts w:ascii="Times New Roman" w:hAnsi="Times New Roman" w:cs="Times New Roman"/>
          <w:b/>
          <w:bCs/>
          <w:sz w:val="24"/>
          <w:szCs w:val="24"/>
        </w:rPr>
      </w:pPr>
      <w:r w:rsidRPr="0044793F">
        <w:rPr>
          <w:rFonts w:ascii="Times New Roman" w:hAnsi="Times New Roman" w:cs="Times New Roman"/>
          <w:b/>
          <w:bCs/>
          <w:sz w:val="24"/>
          <w:szCs w:val="24"/>
        </w:rPr>
        <w:t>Data Anal</w:t>
      </w:r>
      <w:r w:rsidR="007C6378">
        <w:rPr>
          <w:rFonts w:ascii="Times New Roman" w:hAnsi="Times New Roman" w:cs="Times New Roman"/>
          <w:b/>
          <w:bCs/>
          <w:sz w:val="24"/>
          <w:szCs w:val="24"/>
        </w:rPr>
        <w:t>ysis and Method</w:t>
      </w:r>
    </w:p>
    <w:p w14:paraId="7E0AE6B1" w14:textId="77777777" w:rsidR="000E71AF" w:rsidRDefault="000E71AF" w:rsidP="00432280">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A total of 20 experimental units with 4 treatments and 5 replicates were conducted using a Completely Randomized Design (CRD), with the following details:</w:t>
      </w:r>
    </w:p>
    <w:p w14:paraId="67F8EAE0" w14:textId="6DD21640"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T1 = Silage with a ratio of 90%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10% </w:t>
      </w:r>
      <w:r w:rsidR="000E71AF">
        <w:rPr>
          <w:rFonts w:ascii="Times New Roman" w:hAnsi="Times New Roman" w:cs="Times New Roman"/>
          <w:sz w:val="24"/>
          <w:szCs w:val="24"/>
        </w:rPr>
        <w:t>Red Calliandra</w:t>
      </w:r>
    </w:p>
    <w:p w14:paraId="5357845E" w14:textId="0BA64C9D"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T2 = Silage with a ratio of 80%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20% </w:t>
      </w:r>
      <w:r w:rsidR="000E71AF">
        <w:rPr>
          <w:rFonts w:ascii="Times New Roman" w:hAnsi="Times New Roman" w:cs="Times New Roman"/>
          <w:sz w:val="24"/>
          <w:szCs w:val="24"/>
        </w:rPr>
        <w:t>Red Calliandra</w:t>
      </w:r>
    </w:p>
    <w:p w14:paraId="5F7DE0B0" w14:textId="79453DBB"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T3 = Silage with a ratio of 70%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30% </w:t>
      </w:r>
      <w:r w:rsidR="000E71AF">
        <w:rPr>
          <w:rFonts w:ascii="Times New Roman" w:hAnsi="Times New Roman" w:cs="Times New Roman"/>
          <w:sz w:val="24"/>
          <w:szCs w:val="24"/>
        </w:rPr>
        <w:t>Red Calliandra</w:t>
      </w:r>
    </w:p>
    <w:p w14:paraId="7B21B845" w14:textId="66ED12C6"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T4 = Silage with a ratio of 60%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40% </w:t>
      </w:r>
      <w:r w:rsidR="000E71AF">
        <w:rPr>
          <w:rFonts w:ascii="Times New Roman" w:hAnsi="Times New Roman" w:cs="Times New Roman"/>
          <w:sz w:val="24"/>
          <w:szCs w:val="24"/>
        </w:rPr>
        <w:t>Red Calliandra</w:t>
      </w:r>
    </w:p>
    <w:p w14:paraId="147F26B9" w14:textId="37EC2BE7" w:rsidR="00BB5B83" w:rsidRPr="0044793F" w:rsidRDefault="004F6C5E" w:rsidP="000E294C">
      <w:pPr>
        <w:spacing w:before="240" w:after="240" w:line="240" w:lineRule="auto"/>
        <w:jc w:val="both"/>
        <w:rPr>
          <w:rFonts w:ascii="Times New Roman" w:hAnsi="Times New Roman" w:cs="Times New Roman"/>
          <w:sz w:val="24"/>
          <w:szCs w:val="24"/>
        </w:rPr>
      </w:pPr>
      <w:r w:rsidRPr="004F6C5E">
        <w:rPr>
          <w:rFonts w:ascii="Times New Roman" w:hAnsi="Times New Roman" w:cs="Times New Roman"/>
          <w:sz w:val="24"/>
          <w:szCs w:val="24"/>
        </w:rPr>
        <w:t xml:space="preserve">A total of 20 experimental units were used for the analysis of </w:t>
      </w:r>
      <w:r w:rsidR="000E71AF">
        <w:rPr>
          <w:rFonts w:ascii="Times New Roman" w:hAnsi="Times New Roman" w:cs="Times New Roman"/>
          <w:sz w:val="24"/>
          <w:szCs w:val="24"/>
        </w:rPr>
        <w:t>dry matter</w:t>
      </w:r>
      <w:r w:rsidRPr="004F6C5E">
        <w:rPr>
          <w:rFonts w:ascii="Times New Roman" w:hAnsi="Times New Roman" w:cs="Times New Roman"/>
          <w:sz w:val="24"/>
          <w:szCs w:val="24"/>
        </w:rPr>
        <w:t>, o</w:t>
      </w:r>
      <w:r w:rsidR="000E71AF">
        <w:rPr>
          <w:rFonts w:ascii="Times New Roman" w:hAnsi="Times New Roman" w:cs="Times New Roman"/>
          <w:sz w:val="24"/>
          <w:szCs w:val="24"/>
        </w:rPr>
        <w:t>rganic matter</w:t>
      </w:r>
      <w:r w:rsidRPr="004F6C5E">
        <w:rPr>
          <w:rFonts w:ascii="Times New Roman" w:hAnsi="Times New Roman" w:cs="Times New Roman"/>
          <w:sz w:val="24"/>
          <w:szCs w:val="24"/>
        </w:rPr>
        <w:t xml:space="preserve">, and </w:t>
      </w:r>
      <w:r w:rsidR="000E294C">
        <w:rPr>
          <w:rFonts w:ascii="Times New Roman" w:hAnsi="Times New Roman" w:cs="Times New Roman"/>
          <w:sz w:val="24"/>
          <w:szCs w:val="24"/>
        </w:rPr>
        <w:t>in vitro digestibility</w:t>
      </w:r>
      <w:r w:rsidRPr="004F6C5E">
        <w:rPr>
          <w:rFonts w:ascii="Times New Roman" w:hAnsi="Times New Roman" w:cs="Times New Roman"/>
          <w:sz w:val="24"/>
          <w:szCs w:val="24"/>
        </w:rPr>
        <w:t xml:space="preserve">, with </w:t>
      </w:r>
      <w:r w:rsidR="000E294C">
        <w:rPr>
          <w:rFonts w:ascii="Times New Roman" w:hAnsi="Times New Roman" w:cs="Times New Roman"/>
          <w:sz w:val="24"/>
          <w:szCs w:val="24"/>
        </w:rPr>
        <w:t>three</w:t>
      </w:r>
      <w:r w:rsidRPr="004F6C5E">
        <w:rPr>
          <w:rFonts w:ascii="Times New Roman" w:hAnsi="Times New Roman" w:cs="Times New Roman"/>
          <w:sz w:val="24"/>
          <w:szCs w:val="24"/>
        </w:rPr>
        <w:t xml:space="preserve"> additional </w:t>
      </w:r>
      <w:r w:rsidR="000E294C">
        <w:rPr>
          <w:rFonts w:ascii="Times New Roman" w:hAnsi="Times New Roman" w:cs="Times New Roman"/>
          <w:sz w:val="24"/>
          <w:szCs w:val="24"/>
        </w:rPr>
        <w:t>units</w:t>
      </w:r>
      <w:r w:rsidRPr="004F6C5E">
        <w:rPr>
          <w:rFonts w:ascii="Times New Roman" w:hAnsi="Times New Roman" w:cs="Times New Roman"/>
          <w:sz w:val="24"/>
          <w:szCs w:val="24"/>
        </w:rPr>
        <w:t xml:space="preserve"> serving as a blank. </w:t>
      </w:r>
      <w:r w:rsidR="000E294C" w:rsidRPr="000E294C">
        <w:rPr>
          <w:rFonts w:ascii="Times New Roman" w:hAnsi="Times New Roman" w:cs="Times New Roman"/>
          <w:sz w:val="24"/>
          <w:szCs w:val="24"/>
        </w:rPr>
        <w:t>Statistical analysis was performed using an analysis of variance (ANOVA) via SPSS</w:t>
      </w:r>
      <w:r w:rsidR="000E294C">
        <w:rPr>
          <w:rFonts w:ascii="Times New Roman" w:hAnsi="Times New Roman" w:cs="Times New Roman"/>
          <w:sz w:val="24"/>
          <w:szCs w:val="24"/>
        </w:rPr>
        <w:t xml:space="preserve"> </w:t>
      </w:r>
      <w:r w:rsidR="000E294C" w:rsidRPr="000E294C">
        <w:rPr>
          <w:rFonts w:ascii="Times New Roman" w:hAnsi="Times New Roman" w:cs="Times New Roman"/>
          <w:sz w:val="24"/>
          <w:szCs w:val="24"/>
        </w:rPr>
        <w:t>version 27. If significant differences (P&lt;0.05) were found between treatments, to determine the differences</w:t>
      </w:r>
      <w:r w:rsidR="000E294C">
        <w:rPr>
          <w:rFonts w:ascii="Times New Roman" w:hAnsi="Times New Roman" w:cs="Times New Roman"/>
          <w:sz w:val="24"/>
          <w:szCs w:val="24"/>
        </w:rPr>
        <w:t xml:space="preserve"> in </w:t>
      </w:r>
      <w:r w:rsidR="000E294C" w:rsidRPr="000E294C">
        <w:rPr>
          <w:rFonts w:ascii="Times New Roman" w:hAnsi="Times New Roman" w:cs="Times New Roman"/>
          <w:sz w:val="24"/>
          <w:szCs w:val="24"/>
        </w:rPr>
        <w:t>mean values between treatments, Duncan’s multiple range test was performed at a 5% significance level.</w:t>
      </w:r>
    </w:p>
    <w:p w14:paraId="39A595B6" w14:textId="2296382D" w:rsidR="00D53580" w:rsidRPr="00D435D2" w:rsidRDefault="002654F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RESULT AND DISCUSSION</w:t>
      </w:r>
    </w:p>
    <w:p w14:paraId="19064068" w14:textId="528D05F6" w:rsidR="0004053A" w:rsidRDefault="0004053A" w:rsidP="00432280">
      <w:pPr>
        <w:spacing w:before="240" w:after="240" w:line="240" w:lineRule="auto"/>
        <w:jc w:val="both"/>
        <w:rPr>
          <w:rFonts w:ascii="Times New Roman" w:hAnsi="Times New Roman" w:cs="Times New Roman"/>
          <w:sz w:val="24"/>
          <w:szCs w:val="24"/>
        </w:rPr>
      </w:pPr>
      <w:r w:rsidRPr="0004053A">
        <w:rPr>
          <w:rFonts w:ascii="Times New Roman" w:hAnsi="Times New Roman" w:cs="Times New Roman"/>
          <w:sz w:val="24"/>
          <w:szCs w:val="24"/>
        </w:rPr>
        <w:lastRenderedPageBreak/>
        <w:t xml:space="preserve">This study evaluated the effects of different ratios of corn stover and </w:t>
      </w:r>
      <w:r w:rsidR="000E71AF">
        <w:rPr>
          <w:rFonts w:ascii="Times New Roman" w:hAnsi="Times New Roman" w:cs="Times New Roman"/>
          <w:sz w:val="24"/>
          <w:szCs w:val="24"/>
        </w:rPr>
        <w:t>Red Calliandra</w:t>
      </w:r>
      <w:r w:rsidRPr="0004053A">
        <w:rPr>
          <w:rFonts w:ascii="Times New Roman" w:hAnsi="Times New Roman" w:cs="Times New Roman"/>
          <w:sz w:val="24"/>
          <w:szCs w:val="24"/>
        </w:rPr>
        <w:t xml:space="preserve"> silage on </w:t>
      </w:r>
      <w:r w:rsidR="00255748">
        <w:rPr>
          <w:rFonts w:ascii="Times New Roman" w:hAnsi="Times New Roman" w:cs="Times New Roman"/>
          <w:sz w:val="24"/>
          <w:szCs w:val="24"/>
        </w:rPr>
        <w:t>dry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organic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dry matter digestibility, and organic matter digestibility</w:t>
      </w:r>
      <w:r w:rsidRPr="0004053A">
        <w:rPr>
          <w:rFonts w:ascii="Times New Roman" w:hAnsi="Times New Roman" w:cs="Times New Roman"/>
          <w:sz w:val="24"/>
          <w:szCs w:val="24"/>
        </w:rPr>
        <w:t xml:space="preserve"> under in vitro conditions. The results are presented in Table 1.</w:t>
      </w:r>
    </w:p>
    <w:p w14:paraId="206D3F29" w14:textId="622017E8" w:rsidR="00D53580" w:rsidRPr="0044793F" w:rsidRDefault="002654FF"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Table </w:t>
      </w:r>
      <w:r w:rsidR="00A2701D">
        <w:rPr>
          <w:rFonts w:ascii="Times New Roman" w:hAnsi="Times New Roman" w:cs="Times New Roman"/>
          <w:sz w:val="24"/>
          <w:szCs w:val="24"/>
        </w:rPr>
        <w:t>1</w:t>
      </w:r>
      <w:r w:rsidRPr="0044793F">
        <w:rPr>
          <w:rFonts w:ascii="Times New Roman" w:hAnsi="Times New Roman" w:cs="Times New Roman"/>
          <w:sz w:val="24"/>
          <w:szCs w:val="24"/>
        </w:rPr>
        <w:t xml:space="preserve">. </w:t>
      </w:r>
      <w:r w:rsidR="00E96CF6" w:rsidRPr="00E96CF6">
        <w:rPr>
          <w:rFonts w:ascii="Times New Roman" w:hAnsi="Times New Roman" w:cs="Times New Roman"/>
          <w:sz w:val="24"/>
          <w:szCs w:val="24"/>
        </w:rPr>
        <w:t xml:space="preserve">The Effect of Corn Stover and </w:t>
      </w:r>
      <w:r w:rsidR="000E71AF">
        <w:rPr>
          <w:rFonts w:ascii="Times New Roman" w:hAnsi="Times New Roman" w:cs="Times New Roman"/>
          <w:sz w:val="24"/>
          <w:szCs w:val="24"/>
        </w:rPr>
        <w:t>Red Calliandra</w:t>
      </w:r>
      <w:r w:rsidR="00E96CF6" w:rsidRPr="00E96CF6">
        <w:rPr>
          <w:rFonts w:ascii="Times New Roman" w:hAnsi="Times New Roman" w:cs="Times New Roman"/>
          <w:sz w:val="24"/>
          <w:szCs w:val="24"/>
        </w:rPr>
        <w:t xml:space="preserve"> Ratio in Silage </w:t>
      </w:r>
      <w:r w:rsidRPr="0044793F">
        <w:rPr>
          <w:rFonts w:ascii="Times New Roman" w:hAnsi="Times New Roman" w:cs="Times New Roman"/>
          <w:sz w:val="24"/>
          <w:szCs w:val="24"/>
        </w:rPr>
        <w:t xml:space="preserve">on </w:t>
      </w:r>
      <w:r w:rsidR="00B871F9">
        <w:rPr>
          <w:rFonts w:ascii="Times New Roman" w:hAnsi="Times New Roman" w:cs="Times New Roman"/>
          <w:sz w:val="24"/>
          <w:szCs w:val="24"/>
        </w:rPr>
        <w:t>Dry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Organic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Dry Matter Digestibility</w:t>
      </w:r>
      <w:r w:rsidR="00255748">
        <w:rPr>
          <w:rFonts w:ascii="Times New Roman" w:hAnsi="Times New Roman" w:cs="Times New Roman"/>
          <w:sz w:val="24"/>
          <w:szCs w:val="24"/>
        </w:rPr>
        <w:t xml:space="preserve">, </w:t>
      </w:r>
      <w:r w:rsidR="00B871F9">
        <w:rPr>
          <w:rFonts w:ascii="Times New Roman" w:hAnsi="Times New Roman" w:cs="Times New Roman"/>
          <w:sz w:val="24"/>
          <w:szCs w:val="24"/>
        </w:rPr>
        <w:t xml:space="preserve">and Organic Matter </w:t>
      </w:r>
      <w:r w:rsidR="00255748">
        <w:rPr>
          <w:rFonts w:ascii="Times New Roman" w:hAnsi="Times New Roman" w:cs="Times New Roman"/>
          <w:sz w:val="24"/>
          <w:szCs w:val="24"/>
        </w:rPr>
        <w:t>Digestibility</w:t>
      </w:r>
      <w:r w:rsidR="00933D6C" w:rsidRPr="0044793F">
        <w:rPr>
          <w:rFonts w:ascii="Times New Roman" w:hAnsi="Times New Roman" w:cs="Times New Roman"/>
          <w:sz w:val="24"/>
          <w:szCs w:val="24"/>
        </w:rPr>
        <w:t xml:space="preserve"> </w:t>
      </w:r>
      <w:r w:rsidR="00E96CF6">
        <w:rPr>
          <w:rFonts w:ascii="Times New Roman" w:hAnsi="Times New Roman" w:cs="Times New Roman"/>
          <w:sz w:val="24"/>
          <w:szCs w:val="24"/>
        </w:rPr>
        <w:t>(</w:t>
      </w:r>
      <w:r w:rsidR="00933D6C" w:rsidRPr="0044793F">
        <w:rPr>
          <w:rFonts w:ascii="Times New Roman" w:hAnsi="Times New Roman" w:cs="Times New Roman"/>
          <w:sz w:val="24"/>
          <w:szCs w:val="24"/>
        </w:rPr>
        <w:t>In Vitro</w:t>
      </w:r>
      <w:r w:rsidR="00E96CF6">
        <w:rPr>
          <w:rFonts w:ascii="Times New Roman" w:hAnsi="Times New Roman" w:cs="Times New Roman"/>
          <w:sz w:val="24"/>
          <w:szCs w:val="24"/>
        </w:rPr>
        <w:t>)</w:t>
      </w:r>
      <w:r w:rsidR="0025574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264"/>
        <w:gridCol w:w="1816"/>
        <w:gridCol w:w="1919"/>
        <w:gridCol w:w="1971"/>
        <w:gridCol w:w="1945"/>
      </w:tblGrid>
      <w:tr w:rsidR="00D53580" w:rsidRPr="0044793F" w14:paraId="09D66386" w14:textId="77777777" w:rsidTr="00432280">
        <w:tc>
          <w:tcPr>
            <w:tcW w:w="1495" w:type="pct"/>
            <w:vMerge w:val="restart"/>
            <w:vAlign w:val="center"/>
          </w:tcPr>
          <w:p w14:paraId="1A1CCBC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Parameter</w:t>
            </w:r>
          </w:p>
        </w:tc>
        <w:tc>
          <w:tcPr>
            <w:tcW w:w="3505" w:type="pct"/>
            <w:gridSpan w:val="4"/>
            <w:vAlign w:val="center"/>
          </w:tcPr>
          <w:p w14:paraId="5DC280DC"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Treatment</w:t>
            </w:r>
          </w:p>
        </w:tc>
      </w:tr>
      <w:tr w:rsidR="00432280" w:rsidRPr="0044793F" w14:paraId="33ECD726" w14:textId="77777777" w:rsidTr="00432280">
        <w:tc>
          <w:tcPr>
            <w:tcW w:w="1495" w:type="pct"/>
            <w:vMerge/>
            <w:vAlign w:val="center"/>
          </w:tcPr>
          <w:p w14:paraId="00B4B8DE" w14:textId="77777777" w:rsidR="00D53580" w:rsidRPr="0044793F" w:rsidRDefault="00D53580" w:rsidP="00432280">
            <w:pPr>
              <w:rPr>
                <w:rFonts w:ascii="Times New Roman" w:hAnsi="Times New Roman" w:cs="Times New Roman"/>
                <w:sz w:val="24"/>
                <w:szCs w:val="24"/>
              </w:rPr>
            </w:pPr>
          </w:p>
        </w:tc>
        <w:tc>
          <w:tcPr>
            <w:tcW w:w="832" w:type="pct"/>
            <w:vAlign w:val="center"/>
          </w:tcPr>
          <w:p w14:paraId="3024BE1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T1</w:t>
            </w:r>
          </w:p>
        </w:tc>
        <w:tc>
          <w:tcPr>
            <w:tcW w:w="879" w:type="pct"/>
            <w:vAlign w:val="center"/>
          </w:tcPr>
          <w:p w14:paraId="0C9C6C7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T2</w:t>
            </w:r>
          </w:p>
        </w:tc>
        <w:tc>
          <w:tcPr>
            <w:tcW w:w="903" w:type="pct"/>
            <w:vAlign w:val="center"/>
          </w:tcPr>
          <w:p w14:paraId="67F9F1D9"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T3</w:t>
            </w:r>
          </w:p>
        </w:tc>
        <w:tc>
          <w:tcPr>
            <w:tcW w:w="891" w:type="pct"/>
            <w:vAlign w:val="center"/>
          </w:tcPr>
          <w:p w14:paraId="7AC0078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T4</w:t>
            </w:r>
          </w:p>
        </w:tc>
      </w:tr>
      <w:tr w:rsidR="00432280" w:rsidRPr="0044793F" w14:paraId="72326786" w14:textId="77777777" w:rsidTr="00432280">
        <w:tc>
          <w:tcPr>
            <w:tcW w:w="1495" w:type="pct"/>
          </w:tcPr>
          <w:p w14:paraId="2006AD3D" w14:textId="046613B4" w:rsidR="00D53580" w:rsidRPr="0044793F" w:rsidRDefault="000E294C" w:rsidP="001F3D43">
            <w:pPr>
              <w:jc w:val="both"/>
              <w:rPr>
                <w:rFonts w:ascii="Times New Roman" w:hAnsi="Times New Roman" w:cs="Times New Roman"/>
                <w:sz w:val="24"/>
                <w:szCs w:val="24"/>
              </w:rPr>
            </w:pPr>
            <w:r>
              <w:rPr>
                <w:rFonts w:ascii="Times New Roman" w:hAnsi="Times New Roman" w:cs="Times New Roman"/>
                <w:sz w:val="24"/>
                <w:szCs w:val="24"/>
              </w:rPr>
              <w:t>Dry Matter (%)</w:t>
            </w:r>
          </w:p>
        </w:tc>
        <w:tc>
          <w:tcPr>
            <w:tcW w:w="832" w:type="pct"/>
            <w:vAlign w:val="center"/>
          </w:tcPr>
          <w:p w14:paraId="3B30CE3C" w14:textId="64C4493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31.77</w:t>
            </w:r>
            <w:r w:rsidR="00D53580" w:rsidRPr="0044793F">
              <w:rPr>
                <w:rFonts w:ascii="Times New Roman" w:hAnsi="Times New Roman" w:cs="Times New Roman"/>
                <w:sz w:val="24"/>
                <w:szCs w:val="24"/>
              </w:rPr>
              <w:t>±</w:t>
            </w:r>
            <w:r>
              <w:rPr>
                <w:rFonts w:ascii="Times New Roman" w:hAnsi="Times New Roman" w:cs="Times New Roman"/>
                <w:sz w:val="24"/>
                <w:szCs w:val="24"/>
              </w:rPr>
              <w:t>1.47</w:t>
            </w:r>
          </w:p>
        </w:tc>
        <w:tc>
          <w:tcPr>
            <w:tcW w:w="879" w:type="pct"/>
            <w:vAlign w:val="center"/>
          </w:tcPr>
          <w:p w14:paraId="5A649BCD" w14:textId="6E53A8C9"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35.04</w:t>
            </w:r>
            <w:r w:rsidR="00D53580" w:rsidRPr="0044793F">
              <w:rPr>
                <w:rFonts w:ascii="Times New Roman" w:hAnsi="Times New Roman" w:cs="Times New Roman"/>
                <w:sz w:val="24"/>
                <w:szCs w:val="24"/>
              </w:rPr>
              <w:t>±</w:t>
            </w:r>
            <w:r>
              <w:rPr>
                <w:rFonts w:ascii="Times New Roman" w:hAnsi="Times New Roman" w:cs="Times New Roman"/>
                <w:sz w:val="24"/>
                <w:szCs w:val="24"/>
              </w:rPr>
              <w:t>2.98</w:t>
            </w:r>
          </w:p>
        </w:tc>
        <w:tc>
          <w:tcPr>
            <w:tcW w:w="903" w:type="pct"/>
            <w:vAlign w:val="center"/>
          </w:tcPr>
          <w:p w14:paraId="60B9F6AA" w14:textId="388F102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4</w:t>
            </w:r>
            <w:r>
              <w:rPr>
                <w:rFonts w:ascii="Times New Roman" w:hAnsi="Times New Roman" w:cs="Times New Roman"/>
                <w:sz w:val="24"/>
                <w:szCs w:val="24"/>
              </w:rPr>
              <w:t>.</w:t>
            </w:r>
            <w:r w:rsidR="00BF00E5">
              <w:rPr>
                <w:rFonts w:ascii="Times New Roman" w:hAnsi="Times New Roman" w:cs="Times New Roman"/>
                <w:sz w:val="24"/>
                <w:szCs w:val="24"/>
              </w:rPr>
              <w:t>74</w:t>
            </w:r>
            <w:r w:rsidR="00D53580" w:rsidRPr="0044793F">
              <w:rPr>
                <w:rFonts w:ascii="Times New Roman" w:hAnsi="Times New Roman" w:cs="Times New Roman"/>
                <w:sz w:val="24"/>
                <w:szCs w:val="24"/>
              </w:rPr>
              <w:t>±</w:t>
            </w:r>
            <w:r>
              <w:rPr>
                <w:rFonts w:ascii="Times New Roman" w:hAnsi="Times New Roman" w:cs="Times New Roman"/>
                <w:sz w:val="24"/>
                <w:szCs w:val="24"/>
              </w:rPr>
              <w:t>1.</w:t>
            </w:r>
            <w:r w:rsidR="00BF00E5">
              <w:rPr>
                <w:rFonts w:ascii="Times New Roman" w:hAnsi="Times New Roman" w:cs="Times New Roman"/>
                <w:sz w:val="24"/>
                <w:szCs w:val="24"/>
              </w:rPr>
              <w:t>99</w:t>
            </w:r>
          </w:p>
        </w:tc>
        <w:tc>
          <w:tcPr>
            <w:tcW w:w="891" w:type="pct"/>
            <w:vAlign w:val="center"/>
          </w:tcPr>
          <w:p w14:paraId="5938C6E0" w14:textId="3F858981"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3.22</w:t>
            </w:r>
            <w:r w:rsidR="00D53580" w:rsidRPr="0044793F">
              <w:rPr>
                <w:rFonts w:ascii="Times New Roman" w:hAnsi="Times New Roman" w:cs="Times New Roman"/>
                <w:sz w:val="24"/>
                <w:szCs w:val="24"/>
              </w:rPr>
              <w:t>±</w:t>
            </w:r>
            <w:r w:rsidR="00BF00E5">
              <w:rPr>
                <w:rFonts w:ascii="Times New Roman" w:hAnsi="Times New Roman" w:cs="Times New Roman"/>
                <w:sz w:val="24"/>
                <w:szCs w:val="24"/>
              </w:rPr>
              <w:t>3.13</w:t>
            </w:r>
          </w:p>
        </w:tc>
      </w:tr>
      <w:tr w:rsidR="00432280" w:rsidRPr="0044793F" w14:paraId="43EC835C" w14:textId="77777777" w:rsidTr="00432280">
        <w:tc>
          <w:tcPr>
            <w:tcW w:w="1495" w:type="pct"/>
          </w:tcPr>
          <w:p w14:paraId="12BA6BF4" w14:textId="5A41B2A1" w:rsidR="00D53580" w:rsidRPr="0044793F" w:rsidRDefault="00BF00E5" w:rsidP="001F3D43">
            <w:pPr>
              <w:jc w:val="both"/>
              <w:rPr>
                <w:rFonts w:ascii="Times New Roman" w:hAnsi="Times New Roman" w:cs="Times New Roman"/>
                <w:sz w:val="24"/>
                <w:szCs w:val="24"/>
              </w:rPr>
            </w:pPr>
            <w:r>
              <w:rPr>
                <w:rFonts w:ascii="Times New Roman" w:hAnsi="Times New Roman" w:cs="Times New Roman"/>
                <w:sz w:val="24"/>
                <w:szCs w:val="24"/>
              </w:rPr>
              <w:t>Organic Matter (%)</w:t>
            </w:r>
          </w:p>
        </w:tc>
        <w:tc>
          <w:tcPr>
            <w:tcW w:w="832" w:type="pct"/>
            <w:vAlign w:val="center"/>
          </w:tcPr>
          <w:p w14:paraId="14CC3541" w14:textId="7C7A3526"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.1</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1.39</w:t>
            </w:r>
          </w:p>
        </w:tc>
        <w:tc>
          <w:tcPr>
            <w:tcW w:w="879" w:type="pct"/>
            <w:vAlign w:val="center"/>
          </w:tcPr>
          <w:p w14:paraId="7923A845" w14:textId="50F001B5"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3</w:t>
            </w:r>
            <w:r w:rsidRPr="0044793F">
              <w:rPr>
                <w:rFonts w:ascii="Times New Roman" w:hAnsi="Times New Roman" w:cs="Times New Roman"/>
                <w:sz w:val="24"/>
                <w:szCs w:val="24"/>
              </w:rPr>
              <w:t>.</w:t>
            </w:r>
            <w:r w:rsidR="00BF00E5">
              <w:rPr>
                <w:rFonts w:ascii="Times New Roman" w:hAnsi="Times New Roman" w:cs="Times New Roman"/>
                <w:sz w:val="24"/>
                <w:szCs w:val="24"/>
              </w:rPr>
              <w:t>05</w:t>
            </w:r>
            <w:r w:rsidRPr="0044793F">
              <w:rPr>
                <w:rFonts w:ascii="Times New Roman" w:hAnsi="Times New Roman" w:cs="Times New Roman"/>
                <w:sz w:val="24"/>
                <w:szCs w:val="24"/>
              </w:rPr>
              <w:t>±</w:t>
            </w:r>
            <w:r w:rsidR="00BF00E5">
              <w:rPr>
                <w:rFonts w:ascii="Times New Roman" w:hAnsi="Times New Roman" w:cs="Times New Roman"/>
                <w:sz w:val="24"/>
                <w:szCs w:val="24"/>
              </w:rPr>
              <w:t>2.98</w:t>
            </w:r>
          </w:p>
        </w:tc>
        <w:tc>
          <w:tcPr>
            <w:tcW w:w="903" w:type="pct"/>
            <w:vAlign w:val="center"/>
          </w:tcPr>
          <w:p w14:paraId="67FB5EF8" w14:textId="21078048"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66</w:t>
            </w:r>
            <w:r w:rsidRPr="0044793F">
              <w:rPr>
                <w:rFonts w:ascii="Times New Roman" w:hAnsi="Times New Roman" w:cs="Times New Roman"/>
                <w:sz w:val="24"/>
                <w:szCs w:val="24"/>
              </w:rPr>
              <w:t>±</w:t>
            </w:r>
            <w:r w:rsidR="00BF00E5">
              <w:rPr>
                <w:rFonts w:ascii="Times New Roman" w:hAnsi="Times New Roman" w:cs="Times New Roman"/>
                <w:sz w:val="24"/>
                <w:szCs w:val="24"/>
              </w:rPr>
              <w:t>1</w:t>
            </w:r>
            <w:r w:rsidRPr="0044793F">
              <w:rPr>
                <w:rFonts w:ascii="Times New Roman" w:hAnsi="Times New Roman" w:cs="Times New Roman"/>
                <w:sz w:val="24"/>
                <w:szCs w:val="24"/>
              </w:rPr>
              <w:t>.</w:t>
            </w:r>
            <w:r w:rsidR="00BF00E5">
              <w:rPr>
                <w:rFonts w:ascii="Times New Roman" w:hAnsi="Times New Roman" w:cs="Times New Roman"/>
                <w:sz w:val="24"/>
                <w:szCs w:val="24"/>
              </w:rPr>
              <w:t>83</w:t>
            </w:r>
          </w:p>
        </w:tc>
        <w:tc>
          <w:tcPr>
            <w:tcW w:w="891" w:type="pct"/>
            <w:vAlign w:val="center"/>
          </w:tcPr>
          <w:p w14:paraId="31772C55" w14:textId="6910144C"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1</w:t>
            </w: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9</w:t>
            </w:r>
            <w:r w:rsidRPr="0044793F">
              <w:rPr>
                <w:rFonts w:ascii="Times New Roman" w:hAnsi="Times New Roman" w:cs="Times New Roman"/>
                <w:sz w:val="24"/>
                <w:szCs w:val="24"/>
              </w:rPr>
              <w:t>8</w:t>
            </w:r>
          </w:p>
        </w:tc>
      </w:tr>
      <w:tr w:rsidR="00432280" w:rsidRPr="0044793F" w14:paraId="4F1CFC8D" w14:textId="77777777" w:rsidTr="00432280">
        <w:tc>
          <w:tcPr>
            <w:tcW w:w="1495" w:type="pct"/>
          </w:tcPr>
          <w:p w14:paraId="63782907" w14:textId="61998078" w:rsidR="00D53580" w:rsidRPr="0044793F" w:rsidRDefault="00BF00E5" w:rsidP="001F3D43">
            <w:pPr>
              <w:tabs>
                <w:tab w:val="left" w:pos="1260"/>
              </w:tabs>
              <w:jc w:val="both"/>
              <w:rPr>
                <w:rFonts w:ascii="Times New Roman" w:hAnsi="Times New Roman" w:cs="Times New Roman"/>
                <w:sz w:val="24"/>
                <w:szCs w:val="24"/>
              </w:rPr>
            </w:pPr>
            <w:r>
              <w:rPr>
                <w:rFonts w:ascii="Times New Roman" w:hAnsi="Times New Roman" w:cs="Times New Roman"/>
                <w:sz w:val="24"/>
                <w:szCs w:val="24"/>
              </w:rPr>
              <w:t>Dry Matter Digestibility</w:t>
            </w:r>
            <w:r w:rsidR="003704CB" w:rsidRPr="0044793F">
              <w:rPr>
                <w:rFonts w:ascii="Times New Roman" w:hAnsi="Times New Roman" w:cs="Times New Roman"/>
                <w:sz w:val="24"/>
                <w:szCs w:val="24"/>
              </w:rPr>
              <w:t xml:space="preserve"> </w:t>
            </w:r>
            <w:r w:rsidR="00D53580" w:rsidRPr="0044793F">
              <w:rPr>
                <w:rFonts w:ascii="Times New Roman" w:hAnsi="Times New Roman" w:cs="Times New Roman"/>
                <w:sz w:val="24"/>
                <w:szCs w:val="24"/>
              </w:rPr>
              <w:t>(</w:t>
            </w:r>
            <w:r>
              <w:rPr>
                <w:rFonts w:ascii="Times New Roman" w:hAnsi="Times New Roman" w:cs="Times New Roman"/>
                <w:sz w:val="24"/>
                <w:szCs w:val="24"/>
              </w:rPr>
              <w:t>%</w:t>
            </w:r>
            <w:r w:rsidR="00D53580" w:rsidRPr="0044793F">
              <w:rPr>
                <w:rFonts w:ascii="Times New Roman" w:hAnsi="Times New Roman" w:cs="Times New Roman"/>
                <w:sz w:val="24"/>
                <w:szCs w:val="24"/>
              </w:rPr>
              <w:t>)</w:t>
            </w:r>
          </w:p>
        </w:tc>
        <w:tc>
          <w:tcPr>
            <w:tcW w:w="832" w:type="pct"/>
            <w:vAlign w:val="center"/>
          </w:tcPr>
          <w:p w14:paraId="13CACBC2" w14:textId="5AE9BB10"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53.91</w:t>
            </w:r>
            <w:r w:rsidR="00D53580" w:rsidRPr="0044793F">
              <w:rPr>
                <w:rFonts w:ascii="Times New Roman" w:hAnsi="Times New Roman" w:cs="Times New Roman"/>
                <w:sz w:val="24"/>
                <w:szCs w:val="24"/>
              </w:rPr>
              <w:t>±</w:t>
            </w:r>
            <w:r>
              <w:rPr>
                <w:rFonts w:ascii="Times New Roman" w:hAnsi="Times New Roman" w:cs="Times New Roman"/>
                <w:sz w:val="24"/>
                <w:szCs w:val="24"/>
              </w:rPr>
              <w:t>1.10</w:t>
            </w:r>
            <w:r w:rsidR="0007714A">
              <w:rPr>
                <w:rFonts w:ascii="Times New Roman" w:hAnsi="Times New Roman" w:cs="Times New Roman"/>
                <w:sz w:val="24"/>
                <w:szCs w:val="24"/>
                <w:vertAlign w:val="superscript"/>
              </w:rPr>
              <w:t>c</w:t>
            </w:r>
          </w:p>
        </w:tc>
        <w:tc>
          <w:tcPr>
            <w:tcW w:w="879" w:type="pct"/>
            <w:vAlign w:val="center"/>
          </w:tcPr>
          <w:p w14:paraId="65F79FA0" w14:textId="65AEB149"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54.03</w:t>
            </w:r>
            <w:r w:rsidR="00D53580" w:rsidRPr="0044793F">
              <w:rPr>
                <w:rFonts w:ascii="Times New Roman" w:hAnsi="Times New Roman" w:cs="Times New Roman"/>
                <w:sz w:val="24"/>
                <w:szCs w:val="24"/>
              </w:rPr>
              <w:t>±</w:t>
            </w:r>
            <w:r>
              <w:rPr>
                <w:rFonts w:ascii="Times New Roman" w:hAnsi="Times New Roman" w:cs="Times New Roman"/>
                <w:sz w:val="24"/>
                <w:szCs w:val="24"/>
              </w:rPr>
              <w:t>1.07</w:t>
            </w:r>
            <w:r w:rsidR="0007714A">
              <w:rPr>
                <w:rFonts w:ascii="Times New Roman" w:hAnsi="Times New Roman" w:cs="Times New Roman"/>
                <w:sz w:val="24"/>
                <w:szCs w:val="24"/>
                <w:vertAlign w:val="superscript"/>
              </w:rPr>
              <w:t>c</w:t>
            </w:r>
          </w:p>
        </w:tc>
        <w:tc>
          <w:tcPr>
            <w:tcW w:w="903" w:type="pct"/>
            <w:vAlign w:val="center"/>
          </w:tcPr>
          <w:p w14:paraId="67B3A845" w14:textId="16E325C0"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52.15</w:t>
            </w:r>
            <w:r w:rsidR="00D53580" w:rsidRPr="0044793F">
              <w:rPr>
                <w:rFonts w:ascii="Times New Roman" w:hAnsi="Times New Roman" w:cs="Times New Roman"/>
                <w:sz w:val="24"/>
                <w:szCs w:val="24"/>
              </w:rPr>
              <w:t>±0.</w:t>
            </w:r>
            <w:r>
              <w:rPr>
                <w:rFonts w:ascii="Times New Roman" w:hAnsi="Times New Roman" w:cs="Times New Roman"/>
                <w:sz w:val="24"/>
                <w:szCs w:val="24"/>
              </w:rPr>
              <w:t>57</w:t>
            </w:r>
            <w:r>
              <w:rPr>
                <w:rFonts w:ascii="Times New Roman" w:hAnsi="Times New Roman" w:cs="Times New Roman"/>
                <w:sz w:val="24"/>
                <w:szCs w:val="24"/>
                <w:vertAlign w:val="superscript"/>
              </w:rPr>
              <w:t>b</w:t>
            </w:r>
          </w:p>
        </w:tc>
        <w:tc>
          <w:tcPr>
            <w:tcW w:w="891" w:type="pct"/>
            <w:vAlign w:val="center"/>
          </w:tcPr>
          <w:p w14:paraId="724B5586" w14:textId="77DDF141"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46.47</w:t>
            </w:r>
            <w:r w:rsidR="00D53580" w:rsidRPr="0044793F">
              <w:rPr>
                <w:rFonts w:ascii="Times New Roman" w:hAnsi="Times New Roman" w:cs="Times New Roman"/>
                <w:sz w:val="24"/>
                <w:szCs w:val="24"/>
              </w:rPr>
              <w:t>±0.</w:t>
            </w:r>
            <w:r>
              <w:rPr>
                <w:rFonts w:ascii="Times New Roman" w:hAnsi="Times New Roman" w:cs="Times New Roman"/>
                <w:sz w:val="24"/>
                <w:szCs w:val="24"/>
              </w:rPr>
              <w:t>51</w:t>
            </w:r>
            <w:r>
              <w:rPr>
                <w:rFonts w:ascii="Times New Roman" w:hAnsi="Times New Roman" w:cs="Times New Roman"/>
                <w:sz w:val="24"/>
                <w:szCs w:val="24"/>
                <w:vertAlign w:val="superscript"/>
              </w:rPr>
              <w:t>a</w:t>
            </w:r>
          </w:p>
        </w:tc>
      </w:tr>
      <w:tr w:rsidR="00255748" w:rsidRPr="0044793F" w14:paraId="0E0F7911" w14:textId="77777777" w:rsidTr="00432280">
        <w:tc>
          <w:tcPr>
            <w:tcW w:w="1495" w:type="pct"/>
          </w:tcPr>
          <w:p w14:paraId="26118544" w14:textId="0A178C54" w:rsidR="00255748" w:rsidRPr="0044793F" w:rsidRDefault="00255748" w:rsidP="001F3D43">
            <w:pPr>
              <w:jc w:val="both"/>
              <w:rPr>
                <w:rFonts w:ascii="Times New Roman" w:hAnsi="Times New Roman" w:cs="Times New Roman"/>
                <w:sz w:val="24"/>
                <w:szCs w:val="24"/>
              </w:rPr>
            </w:pPr>
            <w:r>
              <w:rPr>
                <w:rFonts w:ascii="Times New Roman" w:hAnsi="Times New Roman" w:cs="Times New Roman"/>
                <w:sz w:val="24"/>
                <w:szCs w:val="24"/>
              </w:rPr>
              <w:t>Organic Matter Digestibility</w:t>
            </w:r>
            <w:r w:rsidRPr="0044793F">
              <w:rPr>
                <w:rFonts w:ascii="Times New Roman" w:hAnsi="Times New Roman" w:cs="Times New Roman"/>
                <w:sz w:val="24"/>
                <w:szCs w:val="24"/>
              </w:rPr>
              <w:t xml:space="preserve"> (</w:t>
            </w:r>
            <w:r>
              <w:rPr>
                <w:rFonts w:ascii="Times New Roman" w:hAnsi="Times New Roman" w:cs="Times New Roman"/>
                <w:sz w:val="24"/>
                <w:szCs w:val="24"/>
              </w:rPr>
              <w:t>%</w:t>
            </w:r>
            <w:r w:rsidRPr="0044793F">
              <w:rPr>
                <w:rFonts w:ascii="Times New Roman" w:hAnsi="Times New Roman" w:cs="Times New Roman"/>
                <w:sz w:val="24"/>
                <w:szCs w:val="24"/>
              </w:rPr>
              <w:t>)</w:t>
            </w:r>
          </w:p>
        </w:tc>
        <w:tc>
          <w:tcPr>
            <w:tcW w:w="832" w:type="pct"/>
            <w:vAlign w:val="center"/>
          </w:tcPr>
          <w:p w14:paraId="09324598" w14:textId="5F9C0934" w:rsidR="00255748" w:rsidRPr="000A31FC"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9</w:t>
            </w:r>
            <w:r w:rsidRPr="0044793F">
              <w:rPr>
                <w:rFonts w:ascii="Times New Roman" w:hAnsi="Times New Roman" w:cs="Times New Roman"/>
                <w:sz w:val="24"/>
                <w:szCs w:val="24"/>
              </w:rPr>
              <w:t>.</w:t>
            </w:r>
            <w:r>
              <w:rPr>
                <w:rFonts w:ascii="Times New Roman" w:hAnsi="Times New Roman" w:cs="Times New Roman"/>
                <w:sz w:val="24"/>
                <w:szCs w:val="24"/>
              </w:rPr>
              <w:t>07</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16</w:t>
            </w:r>
            <w:r>
              <w:rPr>
                <w:rFonts w:ascii="Times New Roman" w:hAnsi="Times New Roman" w:cs="Times New Roman"/>
                <w:sz w:val="24"/>
                <w:szCs w:val="24"/>
                <w:vertAlign w:val="superscript"/>
              </w:rPr>
              <w:t>c</w:t>
            </w:r>
          </w:p>
        </w:tc>
        <w:tc>
          <w:tcPr>
            <w:tcW w:w="879" w:type="pct"/>
            <w:vAlign w:val="center"/>
          </w:tcPr>
          <w:p w14:paraId="68A47B0F" w14:textId="3CDC0441" w:rsidR="00255748" w:rsidRPr="000A31FC" w:rsidRDefault="00255748" w:rsidP="00D3387D">
            <w:pPr>
              <w:jc w:val="left"/>
              <w:rPr>
                <w:rFonts w:ascii="Times New Roman" w:hAnsi="Times New Roman" w:cs="Times New Roman"/>
                <w:sz w:val="24"/>
                <w:szCs w:val="24"/>
                <w:vertAlign w:val="superscript"/>
              </w:rPr>
            </w:pPr>
            <w:r>
              <w:rPr>
                <w:rFonts w:ascii="Times New Roman" w:hAnsi="Times New Roman" w:cs="Times New Roman"/>
                <w:sz w:val="24"/>
                <w:szCs w:val="24"/>
              </w:rPr>
              <w:t>59.72</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2</w:t>
            </w:r>
            <w:r w:rsidRPr="0044793F">
              <w:rPr>
                <w:rFonts w:ascii="Times New Roman" w:hAnsi="Times New Roman" w:cs="Times New Roman"/>
                <w:sz w:val="24"/>
                <w:szCs w:val="24"/>
              </w:rPr>
              <w:t>3</w:t>
            </w:r>
            <w:r>
              <w:rPr>
                <w:rFonts w:ascii="Times New Roman" w:hAnsi="Times New Roman" w:cs="Times New Roman"/>
                <w:sz w:val="24"/>
                <w:szCs w:val="24"/>
                <w:vertAlign w:val="superscript"/>
              </w:rPr>
              <w:t>c</w:t>
            </w:r>
          </w:p>
        </w:tc>
        <w:tc>
          <w:tcPr>
            <w:tcW w:w="903" w:type="pct"/>
            <w:vAlign w:val="center"/>
          </w:tcPr>
          <w:p w14:paraId="0911DA0D" w14:textId="3DF2539F"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w:t>
            </w:r>
            <w:r>
              <w:rPr>
                <w:rFonts w:ascii="Times New Roman" w:hAnsi="Times New Roman" w:cs="Times New Roman"/>
                <w:sz w:val="24"/>
                <w:szCs w:val="24"/>
              </w:rPr>
              <w:t>74</w:t>
            </w:r>
            <w:r w:rsidRPr="0044793F">
              <w:rPr>
                <w:rFonts w:ascii="Times New Roman" w:hAnsi="Times New Roman" w:cs="Times New Roman"/>
                <w:sz w:val="24"/>
                <w:szCs w:val="24"/>
              </w:rPr>
              <w:t>±0.4</w:t>
            </w:r>
            <w:r>
              <w:rPr>
                <w:rFonts w:ascii="Times New Roman" w:hAnsi="Times New Roman" w:cs="Times New Roman"/>
                <w:sz w:val="24"/>
                <w:szCs w:val="24"/>
              </w:rPr>
              <w:t>8</w:t>
            </w:r>
            <w:r>
              <w:rPr>
                <w:rFonts w:ascii="Times New Roman" w:hAnsi="Times New Roman" w:cs="Times New Roman"/>
                <w:sz w:val="24"/>
                <w:szCs w:val="24"/>
                <w:vertAlign w:val="superscript"/>
              </w:rPr>
              <w:t>b</w:t>
            </w:r>
          </w:p>
        </w:tc>
        <w:tc>
          <w:tcPr>
            <w:tcW w:w="891" w:type="pct"/>
            <w:vAlign w:val="center"/>
          </w:tcPr>
          <w:p w14:paraId="0CE6D1E8" w14:textId="4BC2091C"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.5</w:t>
            </w:r>
            <w:r>
              <w:rPr>
                <w:rFonts w:ascii="Times New Roman" w:hAnsi="Times New Roman" w:cs="Times New Roman"/>
                <w:sz w:val="24"/>
                <w:szCs w:val="24"/>
              </w:rPr>
              <w:t>2</w:t>
            </w:r>
            <w:r w:rsidRPr="0044793F">
              <w:rPr>
                <w:rFonts w:ascii="Times New Roman" w:hAnsi="Times New Roman" w:cs="Times New Roman"/>
                <w:sz w:val="24"/>
                <w:szCs w:val="24"/>
              </w:rPr>
              <w:t>±0</w:t>
            </w:r>
            <w:r>
              <w:rPr>
                <w:rFonts w:ascii="Times New Roman" w:hAnsi="Times New Roman" w:cs="Times New Roman"/>
                <w:sz w:val="24"/>
                <w:szCs w:val="24"/>
              </w:rPr>
              <w:t>.44</w:t>
            </w:r>
            <w:r>
              <w:rPr>
                <w:rFonts w:ascii="Times New Roman" w:hAnsi="Times New Roman" w:cs="Times New Roman"/>
                <w:sz w:val="24"/>
                <w:szCs w:val="24"/>
                <w:vertAlign w:val="superscript"/>
              </w:rPr>
              <w:t>a</w:t>
            </w:r>
          </w:p>
        </w:tc>
      </w:tr>
    </w:tbl>
    <w:p w14:paraId="50841FFF" w14:textId="572EC432" w:rsidR="00AE5FEC" w:rsidRDefault="001F1D13" w:rsidP="00432280">
      <w:pPr>
        <w:spacing w:before="240" w:after="240" w:line="240" w:lineRule="auto"/>
        <w:jc w:val="both"/>
        <w:rPr>
          <w:rFonts w:ascii="Times New Roman" w:hAnsi="Times New Roman" w:cs="Times New Roman"/>
          <w:sz w:val="24"/>
          <w:szCs w:val="24"/>
        </w:rPr>
      </w:pPr>
      <w:r w:rsidRPr="001F1D13">
        <w:rPr>
          <w:rFonts w:ascii="Times New Roman" w:hAnsi="Times New Roman" w:cs="Times New Roman"/>
          <w:sz w:val="24"/>
          <w:szCs w:val="24"/>
        </w:rPr>
        <w:t xml:space="preserve">Data are presented as mean ± SD. Based on ANOVA, only the </w:t>
      </w:r>
      <w:r w:rsidR="000A31FC">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w:t>
      </w:r>
      <w:r w:rsidR="000A31FC">
        <w:rPr>
          <w:rFonts w:ascii="Times New Roman" w:hAnsi="Times New Roman" w:cs="Times New Roman"/>
          <w:sz w:val="24"/>
          <w:szCs w:val="24"/>
        </w:rPr>
        <w:t>were</w:t>
      </w:r>
      <w:r w:rsidRPr="001F1D13">
        <w:rPr>
          <w:rFonts w:ascii="Times New Roman" w:hAnsi="Times New Roman" w:cs="Times New Roman"/>
          <w:sz w:val="24"/>
          <w:szCs w:val="24"/>
        </w:rPr>
        <w:t xml:space="preserve"> significantly affected by the treatments (P ≤ 0.05), whereas </w:t>
      </w:r>
      <w:r w:rsidR="000A31FC">
        <w:rPr>
          <w:rFonts w:ascii="Times New Roman" w:hAnsi="Times New Roman" w:cs="Times New Roman"/>
          <w:sz w:val="24"/>
          <w:szCs w:val="24"/>
        </w:rPr>
        <w:t>dry matter and organic matter</w:t>
      </w:r>
      <w:r w:rsidRPr="001F1D13">
        <w:rPr>
          <w:rFonts w:ascii="Times New Roman" w:hAnsi="Times New Roman" w:cs="Times New Roman"/>
          <w:sz w:val="24"/>
          <w:szCs w:val="24"/>
        </w:rPr>
        <w:t xml:space="preserve"> showed no significant differences among treatments (P &gt; 0.05). Different superscript letters indicate significant differences exclusively within the </w:t>
      </w:r>
      <w:r w:rsidR="00B871F9">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row</w:t>
      </w:r>
      <w:r>
        <w:rPr>
          <w:rFonts w:ascii="Times New Roman" w:hAnsi="Times New Roman" w:cs="Times New Roman"/>
          <w:sz w:val="24"/>
          <w:szCs w:val="24"/>
        </w:rPr>
        <w:t xml:space="preserve">. </w:t>
      </w:r>
      <w:r w:rsidR="00AE5FEC" w:rsidRPr="00AE5FEC">
        <w:rPr>
          <w:rFonts w:ascii="Times New Roman" w:hAnsi="Times New Roman" w:cs="Times New Roman"/>
          <w:sz w:val="24"/>
          <w:szCs w:val="24"/>
        </w:rPr>
        <w:t xml:space="preserve">T1 = 90%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+ 10%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T2 = 80%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+ 20%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T3 = 70%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+ 30%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T4 = 60%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+ 40% </w:t>
      </w:r>
      <w:r w:rsidR="000E71AF">
        <w:rPr>
          <w:rFonts w:ascii="Times New Roman" w:hAnsi="Times New Roman" w:cs="Times New Roman"/>
          <w:sz w:val="24"/>
          <w:szCs w:val="24"/>
        </w:rPr>
        <w:t>Red Calliandra</w:t>
      </w:r>
      <w:r w:rsidR="00AE5FEC">
        <w:rPr>
          <w:rFonts w:ascii="Times New Roman" w:hAnsi="Times New Roman" w:cs="Times New Roman"/>
          <w:sz w:val="24"/>
          <w:szCs w:val="24"/>
        </w:rPr>
        <w:t>.</w:t>
      </w:r>
      <w:r w:rsidR="00CB4E3A">
        <w:rPr>
          <w:rFonts w:ascii="Times New Roman" w:hAnsi="Times New Roman" w:cs="Times New Roman"/>
          <w:sz w:val="24"/>
          <w:szCs w:val="24"/>
        </w:rPr>
        <w:t xml:space="preserve"> </w:t>
      </w:r>
    </w:p>
    <w:p w14:paraId="2C1BE67A" w14:textId="77777777" w:rsidR="0004053A" w:rsidRDefault="0004053A" w:rsidP="00432280">
      <w:pPr>
        <w:spacing w:before="240" w:after="240" w:line="240" w:lineRule="auto"/>
        <w:jc w:val="both"/>
        <w:rPr>
          <w:rFonts w:ascii="Times New Roman" w:hAnsi="Times New Roman" w:cs="Times New Roman"/>
          <w:b/>
          <w:bCs/>
          <w:sz w:val="24"/>
          <w:szCs w:val="24"/>
        </w:rPr>
      </w:pPr>
    </w:p>
    <w:p w14:paraId="79F3B314" w14:textId="080DE717" w:rsidR="00D53580" w:rsidRPr="00AE5FEC" w:rsidRDefault="00B871F9"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w:t>
      </w:r>
    </w:p>
    <w:p w14:paraId="718A7EB3" w14:textId="5423EA8F" w:rsidR="00591719" w:rsidRPr="00591719" w:rsidRDefault="00B871F9" w:rsidP="00591719">
      <w:pPr>
        <w:spacing w:before="240" w:after="240" w:line="240" w:lineRule="auto"/>
        <w:jc w:val="both"/>
        <w:rPr>
          <w:rFonts w:ascii="Times New Roman" w:hAnsi="Times New Roman" w:cs="Times New Roman"/>
          <w:sz w:val="24"/>
          <w:szCs w:val="24"/>
        </w:rPr>
      </w:pPr>
      <w:r w:rsidRPr="00B871F9">
        <w:rPr>
          <w:rFonts w:ascii="Times New Roman" w:hAnsi="Times New Roman" w:cs="Times New Roman"/>
          <w:sz w:val="24"/>
          <w:szCs w:val="24"/>
        </w:rPr>
        <w:t xml:space="preserve">Looking at the table of ANOVA results, the effects of the corn and red </w:t>
      </w:r>
      <w:r>
        <w:rPr>
          <w:rFonts w:ascii="Times New Roman" w:hAnsi="Times New Roman" w:cs="Times New Roman"/>
          <w:sz w:val="24"/>
          <w:szCs w:val="24"/>
        </w:rPr>
        <w:t xml:space="preserve">Calliandra </w:t>
      </w:r>
      <w:r w:rsidRPr="00B871F9">
        <w:rPr>
          <w:rFonts w:ascii="Times New Roman" w:hAnsi="Times New Roman" w:cs="Times New Roman"/>
          <w:sz w:val="24"/>
          <w:szCs w:val="24"/>
        </w:rPr>
        <w:t>on dry matter did not have a significant effect (p &gt; 0.05). Dry matter content results</w:t>
      </w:r>
      <w:r>
        <w:rPr>
          <w:rFonts w:ascii="Times New Roman" w:hAnsi="Times New Roman" w:cs="Times New Roman"/>
          <w:sz w:val="24"/>
          <w:szCs w:val="24"/>
        </w:rPr>
        <w:t xml:space="preserve"> range</w:t>
      </w:r>
      <w:r w:rsidRPr="00B871F9">
        <w:rPr>
          <w:rFonts w:ascii="Times New Roman" w:hAnsi="Times New Roman" w:cs="Times New Roman"/>
          <w:sz w:val="24"/>
          <w:szCs w:val="24"/>
        </w:rPr>
        <w:t xml:space="preserve"> from 31.77% to 35.04%. The lowest BK content was found in P1 at 31.77%, followed by P4 at</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33.22%, followed by P3 at 34.74%, and the highest average was found in P2 at 35.04%. A study by </w:t>
      </w:r>
      <w:sdt>
        <w:sdtPr>
          <w:rPr>
            <w:rFonts w:ascii="Times New Roman" w:hAnsi="Times New Roman" w:cs="Times New Roman"/>
            <w:color w:val="000000"/>
            <w:sz w:val="24"/>
            <w:szCs w:val="24"/>
          </w:rPr>
          <w:tag w:val="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
          <w:id w:val="-1460100674"/>
          <w:placeholder>
            <w:docPart w:val="DefaultPlaceholder_-1854013440"/>
          </w:placeholder>
        </w:sdtPr>
        <w:sdtEndPr/>
        <w:sdtContent>
          <w:r w:rsidR="0011406E" w:rsidRPr="0011406E">
            <w:rPr>
              <w:rFonts w:ascii="Times New Roman" w:hAnsi="Times New Roman" w:cs="Times New Roman"/>
              <w:color w:val="000000"/>
              <w:sz w:val="24"/>
              <w:szCs w:val="24"/>
            </w:rPr>
            <w:t>Li et al. (2022)</w:t>
          </w:r>
        </w:sdtContent>
      </w:sdt>
      <w:r>
        <w:rPr>
          <w:rFonts w:ascii="Times New Roman" w:hAnsi="Times New Roman" w:cs="Times New Roman"/>
          <w:sz w:val="24"/>
          <w:szCs w:val="24"/>
        </w:rPr>
        <w:t xml:space="preserve"> </w:t>
      </w:r>
      <w:r w:rsidRPr="00B871F9">
        <w:rPr>
          <w:rFonts w:ascii="Times New Roman" w:hAnsi="Times New Roman" w:cs="Times New Roman"/>
          <w:sz w:val="24"/>
          <w:szCs w:val="24"/>
        </w:rPr>
        <w:t>showed higher values, ranging from 24.53% to 31.55%, in a study of corn and soybean silage.</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However, these values are nearly comparable to those in the study by </w:t>
      </w:r>
      <w:sdt>
        <w:sdtPr>
          <w:rPr>
            <w:rFonts w:ascii="Times New Roman" w:hAnsi="Times New Roman" w:cs="Times New Roman"/>
            <w:color w:val="000000"/>
            <w:sz w:val="24"/>
            <w:szCs w:val="24"/>
          </w:rPr>
          <w:tag w:val="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
          <w:id w:val="1858931229"/>
          <w:placeholder>
            <w:docPart w:val="DefaultPlaceholder_-1854013440"/>
          </w:placeholder>
        </w:sdtPr>
        <w:sdtEndPr/>
        <w:sdtContent>
          <w:r w:rsidR="0011406E" w:rsidRPr="0011406E">
            <w:rPr>
              <w:rFonts w:ascii="Times New Roman" w:hAnsi="Times New Roman" w:cs="Times New Roman"/>
              <w:color w:val="000000"/>
              <w:sz w:val="24"/>
              <w:szCs w:val="24"/>
            </w:rPr>
            <w:t>Ayuni et al. (2017)</w:t>
          </w:r>
        </w:sdtContent>
      </w:sdt>
      <w:r w:rsidRPr="00B871F9">
        <w:rPr>
          <w:rFonts w:ascii="Times New Roman" w:hAnsi="Times New Roman" w:cs="Times New Roman"/>
          <w:sz w:val="24"/>
          <w:szCs w:val="24"/>
        </w:rPr>
        <w:t xml:space="preserve">, which reported 27.28–34.16% for </w:t>
      </w:r>
      <w:r>
        <w:rPr>
          <w:rFonts w:ascii="Times New Roman" w:hAnsi="Times New Roman" w:cs="Times New Roman"/>
          <w:sz w:val="24"/>
          <w:szCs w:val="24"/>
        </w:rPr>
        <w:t xml:space="preserve">corn stover </w:t>
      </w:r>
      <w:r w:rsidRPr="00B871F9">
        <w:rPr>
          <w:rFonts w:ascii="Times New Roman" w:hAnsi="Times New Roman" w:cs="Times New Roman"/>
          <w:sz w:val="24"/>
          <w:szCs w:val="24"/>
        </w:rPr>
        <w:t xml:space="preserve">and </w:t>
      </w:r>
      <w:r w:rsidR="0092224C">
        <w:rPr>
          <w:rFonts w:ascii="Times New Roman" w:hAnsi="Times New Roman" w:cs="Times New Roman"/>
          <w:sz w:val="24"/>
          <w:szCs w:val="24"/>
        </w:rPr>
        <w:t>gliricida leaves</w:t>
      </w:r>
      <w:r w:rsidRPr="00B871F9">
        <w:rPr>
          <w:rFonts w:ascii="Times New Roman" w:hAnsi="Times New Roman" w:cs="Times New Roman"/>
          <w:sz w:val="24"/>
          <w:szCs w:val="24"/>
        </w:rPr>
        <w:t xml:space="preserve"> Although there were variations in the mean values among the silage treatments, these differences</w:t>
      </w:r>
      <w:r>
        <w:rPr>
          <w:rFonts w:ascii="Times New Roman" w:hAnsi="Times New Roman" w:cs="Times New Roman"/>
          <w:sz w:val="24"/>
          <w:szCs w:val="24"/>
        </w:rPr>
        <w:t xml:space="preserve"> </w:t>
      </w:r>
      <w:r w:rsidRPr="00B871F9">
        <w:rPr>
          <w:rFonts w:ascii="Times New Roman" w:hAnsi="Times New Roman" w:cs="Times New Roman"/>
          <w:sz w:val="24"/>
          <w:szCs w:val="24"/>
        </w:rPr>
        <w:t>do not indicate statistically significant differences.</w:t>
      </w:r>
    </w:p>
    <w:p w14:paraId="7CEF1193" w14:textId="40274961" w:rsidR="00C70CD1"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This result is due to the fact that treatment P1 had a higher proportion of corn stalks,</w:t>
      </w:r>
      <w:r>
        <w:rPr>
          <w:rFonts w:ascii="Times New Roman" w:hAnsi="Times New Roman" w:cs="Times New Roman"/>
          <w:sz w:val="24"/>
          <w:szCs w:val="24"/>
        </w:rPr>
        <w:t xml:space="preserve"> </w:t>
      </w:r>
      <w:r w:rsidRPr="00255748">
        <w:rPr>
          <w:rFonts w:ascii="Times New Roman" w:hAnsi="Times New Roman" w:cs="Times New Roman"/>
          <w:sz w:val="24"/>
          <w:szCs w:val="24"/>
        </w:rPr>
        <w:t>whereas</w:t>
      </w:r>
      <w:r>
        <w:rPr>
          <w:rFonts w:ascii="Times New Roman" w:hAnsi="Times New Roman" w:cs="Times New Roman"/>
          <w:sz w:val="24"/>
          <w:szCs w:val="24"/>
        </w:rPr>
        <w:t xml:space="preserve"> treatment </w:t>
      </w:r>
      <w:r w:rsidRPr="00255748">
        <w:rPr>
          <w:rFonts w:ascii="Times New Roman" w:hAnsi="Times New Roman" w:cs="Times New Roman"/>
          <w:sz w:val="24"/>
          <w:szCs w:val="24"/>
        </w:rPr>
        <w:t>P4</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had</w:t>
      </w:r>
      <w:r>
        <w:rPr>
          <w:rFonts w:ascii="Times New Roman" w:hAnsi="Times New Roman" w:cs="Times New Roman"/>
          <w:sz w:val="24"/>
          <w:szCs w:val="24"/>
        </w:rPr>
        <w:t xml:space="preserve"> </w:t>
      </w:r>
      <w:r w:rsidRPr="00255748">
        <w:rPr>
          <w:rFonts w:ascii="Times New Roman" w:hAnsi="Times New Roman" w:cs="Times New Roman"/>
          <w:sz w:val="24"/>
          <w:szCs w:val="24"/>
        </w:rPr>
        <w:t>a</w:t>
      </w:r>
      <w:r>
        <w:rPr>
          <w:rFonts w:ascii="Times New Roman" w:hAnsi="Times New Roman" w:cs="Times New Roman"/>
          <w:sz w:val="24"/>
          <w:szCs w:val="24"/>
        </w:rPr>
        <w:t xml:space="preserve"> </w:t>
      </w:r>
      <w:r w:rsidRPr="00255748">
        <w:rPr>
          <w:rFonts w:ascii="Times New Roman" w:hAnsi="Times New Roman" w:cs="Times New Roman"/>
          <w:sz w:val="24"/>
          <w:szCs w:val="24"/>
        </w:rPr>
        <w:t>balance</w:t>
      </w:r>
      <w:r>
        <w:rPr>
          <w:rFonts w:ascii="Times New Roman" w:hAnsi="Times New Roman" w:cs="Times New Roman"/>
          <w:sz w:val="24"/>
          <w:szCs w:val="24"/>
        </w:rPr>
        <w:t xml:space="preserve"> </w:t>
      </w:r>
      <w:r w:rsidRPr="00255748">
        <w:rPr>
          <w:rFonts w:ascii="Times New Roman" w:hAnsi="Times New Roman" w:cs="Times New Roman"/>
          <w:sz w:val="24"/>
          <w:szCs w:val="24"/>
        </w:rPr>
        <w:t>of</w:t>
      </w:r>
      <w:r>
        <w:rPr>
          <w:rFonts w:ascii="Times New Roman" w:hAnsi="Times New Roman" w:cs="Times New Roman"/>
          <w:sz w:val="24"/>
          <w:szCs w:val="24"/>
        </w:rPr>
        <w:t xml:space="preserve"> </w:t>
      </w:r>
      <w:r w:rsidRPr="00255748">
        <w:rPr>
          <w:rFonts w:ascii="Times New Roman" w:hAnsi="Times New Roman" w:cs="Times New Roman"/>
          <w:sz w:val="24"/>
          <w:szCs w:val="24"/>
        </w:rPr>
        <w:t>kaliandra</w:t>
      </w:r>
      <w:r>
        <w:rPr>
          <w:rFonts w:ascii="Times New Roman" w:hAnsi="Times New Roman" w:cs="Times New Roman"/>
          <w:sz w:val="24"/>
          <w:szCs w:val="24"/>
        </w:rPr>
        <w:t xml:space="preserve"> </w:t>
      </w:r>
      <w:r w:rsidRPr="00255748">
        <w:rPr>
          <w:rFonts w:ascii="Times New Roman" w:hAnsi="Times New Roman" w:cs="Times New Roman"/>
          <w:sz w:val="24"/>
          <w:szCs w:val="24"/>
        </w:rPr>
        <w:t>red.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663669236"/>
          <w:placeholder>
            <w:docPart w:val="DefaultPlaceholder_-1854013440"/>
          </w:placeholder>
        </w:sdtPr>
        <w:sdtEndPr/>
        <w:sdtContent>
          <w:r w:rsidR="0011406E" w:rsidRPr="0011406E">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noted in their study that the increase in red calliandra substitution only increased</w:t>
      </w:r>
      <w:r>
        <w:rPr>
          <w:rFonts w:ascii="Times New Roman" w:hAnsi="Times New Roman" w:cs="Times New Roman"/>
          <w:sz w:val="24"/>
          <w:szCs w:val="24"/>
        </w:rPr>
        <w:t xml:space="preserve"> </w:t>
      </w:r>
      <w:r w:rsidRPr="00255748">
        <w:rPr>
          <w:rFonts w:ascii="Times New Roman" w:hAnsi="Times New Roman" w:cs="Times New Roman"/>
          <w:sz w:val="24"/>
          <w:szCs w:val="24"/>
        </w:rPr>
        <w:t>with the addition of 20% red calliandra; after a 20% addition of red calliandra, the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will decrease further. </w:t>
      </w:r>
      <w:sdt>
        <w:sdtPr>
          <w:rPr>
            <w:rFonts w:ascii="Times New Roman" w:hAnsi="Times New Roman" w:cs="Times New Roman"/>
            <w:color w:val="000000"/>
            <w:sz w:val="24"/>
            <w:szCs w:val="24"/>
          </w:rPr>
          <w:tag w:val="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433014621"/>
          <w:placeholder>
            <w:docPart w:val="DefaultPlaceholder_-1854013440"/>
          </w:placeholder>
        </w:sdtPr>
        <w:sdtEndPr/>
        <w:sdtContent>
          <w:r w:rsidR="0011406E" w:rsidRPr="0011406E">
            <w:rPr>
              <w:rFonts w:ascii="Times New Roman" w:hAnsi="Times New Roman" w:cs="Times New Roman"/>
              <w:color w:val="000000"/>
              <w:sz w:val="24"/>
              <w:szCs w:val="24"/>
            </w:rPr>
            <w:t>Harjono et al. (2023)</w:t>
          </w:r>
        </w:sdtContent>
      </w:sdt>
      <w:r w:rsidRPr="00255748">
        <w:rPr>
          <w:rFonts w:ascii="Times New Roman" w:hAnsi="Times New Roman" w:cs="Times New Roman"/>
          <w:sz w:val="24"/>
          <w:szCs w:val="24"/>
        </w:rPr>
        <w:t xml:space="preserve"> in their study demonstrated that 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legumes to corn stover silage, with higher proportions</w:t>
      </w:r>
      <w:r>
        <w:rPr>
          <w:rFonts w:ascii="Times New Roman" w:hAnsi="Times New Roman" w:cs="Times New Roman"/>
          <w:sz w:val="24"/>
          <w:szCs w:val="24"/>
        </w:rPr>
        <w:t>, reduces</w:t>
      </w:r>
      <w:r w:rsidRPr="00255748">
        <w:rPr>
          <w:rFonts w:ascii="Times New Roman" w:hAnsi="Times New Roman" w:cs="Times New Roman"/>
          <w:sz w:val="24"/>
          <w:szCs w:val="24"/>
        </w:rPr>
        <w:t xml:space="preserve"> the dry matter content. This decrease in dry matter content is consistent with the findings of </w:t>
      </w:r>
      <w:sdt>
        <w:sdtPr>
          <w:rPr>
            <w:rFonts w:ascii="Times New Roman" w:hAnsi="Times New Roman" w:cs="Times New Roman"/>
            <w:color w:val="000000"/>
            <w:sz w:val="24"/>
            <w:szCs w:val="24"/>
          </w:rPr>
          <w:tag w:val="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
          <w:id w:val="-574587223"/>
          <w:placeholder>
            <w:docPart w:val="DefaultPlaceholder_-1854013440"/>
          </w:placeholder>
        </w:sdtPr>
        <w:sdtEndPr/>
        <w:sdtContent>
          <w:r w:rsidR="0011406E" w:rsidRPr="0011406E">
            <w:rPr>
              <w:rFonts w:ascii="Times New Roman" w:hAnsi="Times New Roman" w:cs="Times New Roman"/>
              <w:color w:val="000000"/>
              <w:sz w:val="24"/>
              <w:szCs w:val="24"/>
            </w:rPr>
            <w:t>Surono et al. (2006)</w:t>
          </w:r>
        </w:sdtContent>
      </w:sdt>
      <w:r w:rsidR="00A27852">
        <w:rPr>
          <w:rFonts w:ascii="Times New Roman" w:hAnsi="Times New Roman" w:cs="Times New Roman"/>
          <w:color w:val="000000"/>
          <w:sz w:val="24"/>
          <w:szCs w:val="24"/>
        </w:rPr>
        <w:t xml:space="preserve"> </w:t>
      </w:r>
      <w:r w:rsidRPr="00255748">
        <w:rPr>
          <w:rFonts w:ascii="Times New Roman" w:hAnsi="Times New Roman" w:cs="Times New Roman"/>
          <w:sz w:val="24"/>
          <w:szCs w:val="24"/>
        </w:rPr>
        <w:t>that</w:t>
      </w:r>
      <w:r>
        <w:rPr>
          <w:rFonts w:ascii="Times New Roman" w:hAnsi="Times New Roman" w:cs="Times New Roman"/>
          <w:sz w:val="24"/>
          <w:szCs w:val="24"/>
        </w:rPr>
        <w:t xml:space="preserve"> </w:t>
      </w:r>
      <w:r w:rsidRPr="00255748">
        <w:rPr>
          <w:rFonts w:ascii="Times New Roman" w:hAnsi="Times New Roman" w:cs="Times New Roman"/>
          <w:sz w:val="24"/>
          <w:szCs w:val="24"/>
        </w:rPr>
        <w:t>respiratory activity degrades nutrient content, while fermentation produces lactic acid</w:t>
      </w:r>
      <w:r>
        <w:rPr>
          <w:rFonts w:ascii="Times New Roman" w:hAnsi="Times New Roman" w:cs="Times New Roman"/>
          <w:sz w:val="24"/>
          <w:szCs w:val="24"/>
        </w:rPr>
        <w:t xml:space="preserve"> </w:t>
      </w:r>
      <w:r w:rsidRPr="00255748">
        <w:rPr>
          <w:rFonts w:ascii="Times New Roman" w:hAnsi="Times New Roman" w:cs="Times New Roman"/>
          <w:sz w:val="24"/>
          <w:szCs w:val="24"/>
        </w:rPr>
        <w:t>and water, which increases the moisture content.</w:t>
      </w:r>
      <w:r>
        <w:rPr>
          <w:rFonts w:ascii="Times New Roman" w:hAnsi="Times New Roman" w:cs="Times New Roman"/>
          <w:sz w:val="24"/>
          <w:szCs w:val="24"/>
        </w:rPr>
        <w:t xml:space="preserve"> </w:t>
      </w:r>
    </w:p>
    <w:p w14:paraId="6A043155" w14:textId="1C7B8BEA" w:rsidR="00255748" w:rsidRPr="0044793F"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The increase in moisture content can act as a trigger leading to a decrease in dry matter,</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caused by the fermentation of simple sugars. According to </w:t>
      </w:r>
      <w:sdt>
        <w:sdtPr>
          <w:rPr>
            <w:rFonts w:ascii="Times New Roman" w:hAnsi="Times New Roman" w:cs="Times New Roman"/>
            <w:color w:val="000000"/>
            <w:sz w:val="24"/>
            <w:szCs w:val="24"/>
          </w:rPr>
          <w:tag w:val="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151716543"/>
          <w:placeholder>
            <w:docPart w:val="DefaultPlaceholder_-1854013440"/>
          </w:placeholder>
        </w:sdtPr>
        <w:sdtEndPr/>
        <w:sdtContent>
          <w:r w:rsidR="0011406E" w:rsidRPr="0011406E">
            <w:rPr>
              <w:rFonts w:ascii="Times New Roman" w:hAnsi="Times New Roman" w:cs="Times New Roman"/>
              <w:color w:val="000000"/>
              <w:sz w:val="24"/>
              <w:szCs w:val="24"/>
            </w:rPr>
            <w:t>Harjono et al. (2023)</w:t>
          </w:r>
        </w:sdtContent>
      </w:sdt>
      <w:r w:rsidR="00D93C85">
        <w:rPr>
          <w:rFonts w:ascii="Times New Roman" w:hAnsi="Times New Roman" w:cs="Times New Roman"/>
          <w:color w:val="000000"/>
          <w:sz w:val="24"/>
          <w:szCs w:val="24"/>
        </w:rPr>
        <w:t xml:space="preserve">, </w:t>
      </w:r>
      <w:r w:rsidRPr="00255748">
        <w:rPr>
          <w:rFonts w:ascii="Times New Roman" w:hAnsi="Times New Roman" w:cs="Times New Roman"/>
          <w:sz w:val="24"/>
          <w:szCs w:val="24"/>
        </w:rPr>
        <w:t>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molasses is also thought to stimulate this fermentation process, thereby increasing water production,</w:t>
      </w:r>
      <w:r>
        <w:rPr>
          <w:rFonts w:ascii="Times New Roman" w:hAnsi="Times New Roman" w:cs="Times New Roman"/>
          <w:sz w:val="24"/>
          <w:szCs w:val="24"/>
        </w:rPr>
        <w:t xml:space="preserve"> </w:t>
      </w:r>
      <w:r w:rsidRPr="00255748">
        <w:rPr>
          <w:rFonts w:ascii="Times New Roman" w:hAnsi="Times New Roman" w:cs="Times New Roman"/>
          <w:sz w:val="24"/>
          <w:szCs w:val="24"/>
        </w:rPr>
        <w:t>which causes a reduction in dry matter in silage. Thus, the fermentation of simple sugars</w:t>
      </w:r>
      <w:r>
        <w:rPr>
          <w:rFonts w:ascii="Times New Roman" w:hAnsi="Times New Roman" w:cs="Times New Roman"/>
          <w:sz w:val="24"/>
          <w:szCs w:val="24"/>
        </w:rPr>
        <w:t xml:space="preserve"> </w:t>
      </w:r>
      <w:r w:rsidRPr="00255748">
        <w:rPr>
          <w:rFonts w:ascii="Times New Roman" w:hAnsi="Times New Roman" w:cs="Times New Roman"/>
          <w:sz w:val="24"/>
          <w:szCs w:val="24"/>
        </w:rPr>
        <w:t>can be a factor in the reduction of dry matter.</w:t>
      </w:r>
    </w:p>
    <w:p w14:paraId="6EED75A3" w14:textId="363BD814" w:rsidR="0010534F"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53BBC426" w14:textId="4F19B727" w:rsidR="00255748" w:rsidRPr="00255748"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Referring to the table of analysis of variance results, the effect of the corn-sugarcane-callistemon</w:t>
      </w:r>
      <w:r>
        <w:rPr>
          <w:rFonts w:ascii="Times New Roman" w:hAnsi="Times New Roman" w:cs="Times New Roman"/>
          <w:sz w:val="24"/>
          <w:szCs w:val="24"/>
        </w:rPr>
        <w:t xml:space="preserve"> </w:t>
      </w:r>
      <w:r w:rsidRPr="00255748">
        <w:rPr>
          <w:rFonts w:ascii="Times New Roman" w:hAnsi="Times New Roman" w:cs="Times New Roman"/>
          <w:sz w:val="24"/>
          <w:szCs w:val="24"/>
        </w:rPr>
        <w:t>on organic matter did not have a significant effect (p &gt; 0.05). The</w:t>
      </w:r>
      <w:r>
        <w:rPr>
          <w:rFonts w:ascii="Times New Roman" w:hAnsi="Times New Roman" w:cs="Times New Roman"/>
          <w:sz w:val="24"/>
          <w:szCs w:val="24"/>
        </w:rPr>
        <w:t xml:space="preserve"> value </w:t>
      </w:r>
      <w:r w:rsidRPr="00255748">
        <w:rPr>
          <w:rFonts w:ascii="Times New Roman" w:hAnsi="Times New Roman" w:cs="Times New Roman"/>
          <w:sz w:val="24"/>
          <w:szCs w:val="24"/>
        </w:rPr>
        <w:t>was highest in P3 at 33.05, followed by P2 at 32.66, P4 at 31.3, and finally P1 at 30.1.</w:t>
      </w:r>
      <w:r>
        <w:rPr>
          <w:rFonts w:ascii="Times New Roman" w:hAnsi="Times New Roman" w:cs="Times New Roman"/>
          <w:sz w:val="24"/>
          <w:szCs w:val="24"/>
        </w:rPr>
        <w:t xml:space="preserve"> </w:t>
      </w:r>
      <w:r w:rsidRPr="00255748">
        <w:rPr>
          <w:rFonts w:ascii="Times New Roman" w:hAnsi="Times New Roman" w:cs="Times New Roman"/>
          <w:sz w:val="24"/>
          <w:szCs w:val="24"/>
        </w:rPr>
        <w:t>Although there were variations in results among treatments, according to statistical calculations, these results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had no significant effect. The data obtained are consistent with the study </w:t>
      </w:r>
      <w:r w:rsidRPr="00255748">
        <w:rPr>
          <w:rFonts w:ascii="Times New Roman" w:hAnsi="Times New Roman" w:cs="Times New Roman"/>
          <w:sz w:val="24"/>
          <w:szCs w:val="24"/>
        </w:rPr>
        <w:lastRenderedPageBreak/>
        <w:t xml:space="preserve">by </w:t>
      </w:r>
      <w:sdt>
        <w:sdtPr>
          <w:rPr>
            <w:rFonts w:ascii="Times New Roman" w:hAnsi="Times New Roman" w:cs="Times New Roman"/>
            <w:color w:val="000000"/>
            <w:sz w:val="24"/>
            <w:szCs w:val="24"/>
          </w:rPr>
          <w:tag w:val="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1167331256"/>
          <w:placeholder>
            <w:docPart w:val="DefaultPlaceholder_-1854013440"/>
          </w:placeholder>
        </w:sdtPr>
        <w:sdtEndPr/>
        <w:sdtContent>
          <w:r w:rsidR="0011406E" w:rsidRPr="0011406E">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 which showed that the increase in red calliandra substitution only increased with</w:t>
      </w:r>
      <w:r>
        <w:rPr>
          <w:rFonts w:ascii="Times New Roman" w:hAnsi="Times New Roman" w:cs="Times New Roman"/>
          <w:sz w:val="24"/>
          <w:szCs w:val="24"/>
        </w:rPr>
        <w:t xml:space="preserve"> </w:t>
      </w:r>
      <w:r w:rsidRPr="00255748">
        <w:rPr>
          <w:rFonts w:ascii="Times New Roman" w:hAnsi="Times New Roman" w:cs="Times New Roman"/>
          <w:sz w:val="24"/>
          <w:szCs w:val="24"/>
        </w:rPr>
        <w:t>20% of red calliandra; after a 20% addition of red calliandra, the organic matter content</w:t>
      </w:r>
      <w:r>
        <w:rPr>
          <w:rFonts w:ascii="Times New Roman" w:hAnsi="Times New Roman" w:cs="Times New Roman"/>
          <w:sz w:val="24"/>
          <w:szCs w:val="24"/>
        </w:rPr>
        <w:t xml:space="preserve"> decreased</w:t>
      </w:r>
      <w:r w:rsidRPr="00255748">
        <w:rPr>
          <w:rFonts w:ascii="Times New Roman" w:hAnsi="Times New Roman" w:cs="Times New Roman"/>
          <w:sz w:val="24"/>
          <w:szCs w:val="24"/>
        </w:rPr>
        <w:t xml:space="preserve"> further.</w:t>
      </w:r>
    </w:p>
    <w:p w14:paraId="2783CC28" w14:textId="6ED609A0" w:rsidR="00766C66" w:rsidRPr="00766C66" w:rsidRDefault="00255748" w:rsidP="00766C66">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Organic matter content is related to dry matter content. A high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reflects a higher organic matter content, whereas a low</w:t>
      </w:r>
      <w:r>
        <w:rPr>
          <w:rFonts w:ascii="Times New Roman" w:hAnsi="Times New Roman" w:cs="Times New Roman"/>
          <w:sz w:val="24"/>
          <w:szCs w:val="24"/>
        </w:rPr>
        <w:t xml:space="preserve"> </w:t>
      </w:r>
      <w:r w:rsidRPr="00255748">
        <w:rPr>
          <w:rFonts w:ascii="Times New Roman" w:hAnsi="Times New Roman" w:cs="Times New Roman"/>
          <w:sz w:val="24"/>
          <w:szCs w:val="24"/>
        </w:rPr>
        <w:t>dry matter content implies a low organic matter content. Ash content</w:t>
      </w:r>
      <w:r>
        <w:rPr>
          <w:rFonts w:ascii="Times New Roman" w:hAnsi="Times New Roman" w:cs="Times New Roman"/>
          <w:sz w:val="24"/>
          <w:szCs w:val="24"/>
        </w:rPr>
        <w:t xml:space="preserve"> </w:t>
      </w:r>
      <w:r w:rsidRPr="00255748">
        <w:rPr>
          <w:rFonts w:ascii="Times New Roman" w:hAnsi="Times New Roman" w:cs="Times New Roman"/>
          <w:sz w:val="24"/>
          <w:szCs w:val="24"/>
        </w:rPr>
        <w:t>in silage can be a factor in the decline of organic matter content.</w:t>
      </w:r>
      <w:sdt>
        <w:sdtPr>
          <w:rPr>
            <w:rFonts w:ascii="Times New Roman" w:hAnsi="Times New Roman" w:cs="Times New Roman"/>
            <w:color w:val="000000"/>
            <w:sz w:val="24"/>
            <w:szCs w:val="24"/>
          </w:rPr>
          <w:tag w:val="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
          <w:id w:val="1517818815"/>
          <w:placeholder>
            <w:docPart w:val="DefaultPlaceholder_-1854013440"/>
          </w:placeholder>
        </w:sdtPr>
        <w:sdtEndPr/>
        <w:sdtContent>
          <w:r w:rsidR="0011406E" w:rsidRPr="0011406E">
            <w:rPr>
              <w:rFonts w:ascii="Times New Roman" w:hAnsi="Times New Roman" w:cs="Times New Roman"/>
              <w:color w:val="000000"/>
              <w:sz w:val="24"/>
              <w:szCs w:val="24"/>
            </w:rPr>
            <w:t>(Bagus et al., 2024)</w:t>
          </w:r>
        </w:sdtContent>
      </w:sdt>
      <w:r>
        <w:rPr>
          <w:rFonts w:ascii="Times New Roman" w:hAnsi="Times New Roman" w:cs="Times New Roman"/>
          <w:sz w:val="24"/>
          <w:szCs w:val="24"/>
        </w:rPr>
        <w:t xml:space="preserve"> </w:t>
      </w:r>
      <w:r w:rsidRPr="00255748">
        <w:rPr>
          <w:rFonts w:ascii="Times New Roman" w:hAnsi="Times New Roman" w:cs="Times New Roman"/>
          <w:sz w:val="24"/>
          <w:szCs w:val="24"/>
        </w:rPr>
        <w:t>argue that the activity of bacteria that consume easily soluble carbohydrates leads to</w:t>
      </w:r>
      <w:r>
        <w:rPr>
          <w:rFonts w:ascii="Times New Roman" w:hAnsi="Times New Roman" w:cs="Times New Roman"/>
          <w:sz w:val="24"/>
          <w:szCs w:val="24"/>
        </w:rPr>
        <w:t xml:space="preserve"> </w:t>
      </w:r>
      <w:r w:rsidRPr="00255748">
        <w:rPr>
          <w:rFonts w:ascii="Times New Roman" w:hAnsi="Times New Roman" w:cs="Times New Roman"/>
          <w:sz w:val="24"/>
          <w:szCs w:val="24"/>
        </w:rPr>
        <w:t>a decrease in organic matter content. This may also be due to differences in material characteristics.</w:t>
      </w:r>
      <w:r>
        <w:rPr>
          <w:rFonts w:ascii="Times New Roman" w:hAnsi="Times New Roman" w:cs="Times New Roman"/>
          <w:sz w:val="24"/>
          <w:szCs w:val="24"/>
        </w:rPr>
        <w:t xml:space="preserve"> </w:t>
      </w:r>
      <w:r w:rsidRPr="00255748">
        <w:rPr>
          <w:rFonts w:ascii="Times New Roman" w:hAnsi="Times New Roman" w:cs="Times New Roman"/>
          <w:sz w:val="24"/>
          <w:szCs w:val="24"/>
        </w:rPr>
        <w:t>Red calliandra has a high protein content, whereas corn stalks have a high soluble carbohydrate, which can accelerate the decrease in pH, followed by a phase</w:t>
      </w:r>
      <w:r>
        <w:rPr>
          <w:rFonts w:ascii="Times New Roman" w:hAnsi="Times New Roman" w:cs="Times New Roman"/>
          <w:sz w:val="24"/>
          <w:szCs w:val="24"/>
        </w:rPr>
        <w:t xml:space="preserve"> where </w:t>
      </w:r>
      <w:r w:rsidRPr="00255748">
        <w:rPr>
          <w:rFonts w:ascii="Times New Roman" w:hAnsi="Times New Roman" w:cs="Times New Roman"/>
          <w:sz w:val="24"/>
          <w:szCs w:val="24"/>
        </w:rPr>
        <w:t>anaerobic activity ceases more rapidly. The continued activity of aerobic bacteria during the aerobic phase can convert</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the substrate into </w:t>
      </w:r>
      <w:proofErr w:type="gramStart"/>
      <w:r w:rsidRPr="00255748">
        <w:rPr>
          <w:rFonts w:ascii="Times New Roman" w:hAnsi="Times New Roman" w:cs="Times New Roman"/>
          <w:sz w:val="24"/>
          <w:szCs w:val="24"/>
        </w:rPr>
        <w:t>CO₂ ,</w:t>
      </w:r>
      <w:proofErr w:type="gramEnd"/>
      <w:r w:rsidRPr="00255748">
        <w:rPr>
          <w:rFonts w:ascii="Times New Roman" w:hAnsi="Times New Roman" w:cs="Times New Roman"/>
          <w:sz w:val="24"/>
          <w:szCs w:val="24"/>
        </w:rPr>
        <w:t xml:space="preserve"> H₂O, and heat from respiration. This decrease in organic matter </w:t>
      </w:r>
      <w:r>
        <w:rPr>
          <w:rFonts w:ascii="Times New Roman" w:hAnsi="Times New Roman" w:cs="Times New Roman"/>
          <w:sz w:val="24"/>
          <w:szCs w:val="24"/>
        </w:rPr>
        <w:t>content indicates</w:t>
      </w:r>
      <w:r w:rsidRPr="00255748">
        <w:rPr>
          <w:rFonts w:ascii="Times New Roman" w:hAnsi="Times New Roman" w:cs="Times New Roman"/>
          <w:sz w:val="24"/>
          <w:szCs w:val="24"/>
        </w:rPr>
        <w:t xml:space="preserve"> that fermentation leading to degradation occurs during the ensilage process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793707364"/>
          <w:placeholder>
            <w:docPart w:val="DefaultPlaceholder_-1854013440"/>
          </w:placeholder>
        </w:sdtPr>
        <w:sdtEndPr/>
        <w:sdtContent>
          <w:r w:rsidR="0011406E" w:rsidRPr="0011406E">
            <w:rPr>
              <w:rFonts w:ascii="Times New Roman" w:hAnsi="Times New Roman" w:cs="Times New Roman"/>
              <w:color w:val="000000"/>
              <w:sz w:val="24"/>
              <w:szCs w:val="24"/>
            </w:rPr>
            <w:t>Harjono et al. (2023)</w:t>
          </w:r>
        </w:sdtContent>
      </w:sdt>
      <w:r w:rsidRPr="00255748">
        <w:rPr>
          <w:rFonts w:ascii="Times New Roman" w:hAnsi="Times New Roman" w:cs="Times New Roman"/>
          <w:sz w:val="24"/>
          <w:szCs w:val="24"/>
        </w:rPr>
        <w:t>.</w:t>
      </w:r>
      <w:r>
        <w:rPr>
          <w:rFonts w:ascii="Times New Roman" w:hAnsi="Times New Roman" w:cs="Times New Roman"/>
          <w:sz w:val="24"/>
          <w:szCs w:val="24"/>
        </w:rPr>
        <w:t xml:space="preserve"> </w:t>
      </w:r>
    </w:p>
    <w:p w14:paraId="27AAF5C3" w14:textId="199088A6" w:rsidR="00D53580" w:rsidRPr="006A30BC"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 Digestibility</w:t>
      </w:r>
    </w:p>
    <w:p w14:paraId="6909D7E3" w14:textId="231148B8" w:rsidR="000F7AD4" w:rsidRPr="000F7AD4"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Based on the results of the analysis of variance, the effect of the corn st</w:t>
      </w:r>
      <w:r>
        <w:rPr>
          <w:rFonts w:ascii="Times New Roman" w:hAnsi="Times New Roman" w:cs="Times New Roman"/>
          <w:sz w:val="24"/>
          <w:szCs w:val="24"/>
        </w:rPr>
        <w:t>over</w:t>
      </w:r>
      <w:r w:rsidRPr="00255748">
        <w:rPr>
          <w:rFonts w:ascii="Times New Roman" w:hAnsi="Times New Roman" w:cs="Times New Roman"/>
          <w:sz w:val="24"/>
          <w:szCs w:val="24"/>
        </w:rPr>
        <w:t xml:space="preserve"> and red calliandra ratio on</w:t>
      </w:r>
      <w:r>
        <w:rPr>
          <w:rFonts w:ascii="Times New Roman" w:hAnsi="Times New Roman" w:cs="Times New Roman"/>
          <w:sz w:val="24"/>
          <w:szCs w:val="24"/>
        </w:rPr>
        <w:t xml:space="preserve"> </w:t>
      </w:r>
      <w:r w:rsidRPr="00255748">
        <w:rPr>
          <w:rFonts w:ascii="Times New Roman" w:hAnsi="Times New Roman" w:cs="Times New Roman"/>
          <w:sz w:val="24"/>
          <w:szCs w:val="24"/>
        </w:rPr>
        <w:t>dry matter digestibility was highly significant (p&lt;0.01). Multiple range test</w:t>
      </w:r>
      <w:r>
        <w:rPr>
          <w:rFonts w:ascii="Times New Roman" w:hAnsi="Times New Roman" w:cs="Times New Roman"/>
          <w:sz w:val="24"/>
          <w:szCs w:val="24"/>
        </w:rPr>
        <w:t xml:space="preserve">, </w:t>
      </w:r>
      <w:r w:rsidRPr="00255748">
        <w:rPr>
          <w:rFonts w:ascii="Times New Roman" w:hAnsi="Times New Roman" w:cs="Times New Roman"/>
          <w:sz w:val="24"/>
          <w:szCs w:val="24"/>
        </w:rPr>
        <w:t>Duncan’s test was used to examine the differences in the effects of each treatment. From the test results, it was found that P2 had a result of 54.03, followed by P1 with an average value of 53.91.</w:t>
      </w:r>
      <w:r>
        <w:rPr>
          <w:rFonts w:ascii="Times New Roman" w:hAnsi="Times New Roman" w:cs="Times New Roman"/>
          <w:sz w:val="24"/>
          <w:szCs w:val="24"/>
        </w:rPr>
        <w:t xml:space="preserve"> </w:t>
      </w:r>
      <w:r w:rsidRPr="00255748">
        <w:rPr>
          <w:rFonts w:ascii="Times New Roman" w:hAnsi="Times New Roman" w:cs="Times New Roman"/>
          <w:sz w:val="24"/>
          <w:szCs w:val="24"/>
        </w:rPr>
        <w:t>This indicates that there is no significant difference between P1 and P2, but they differ significantly from</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P3, which had a mean of 52.15, and P4, which had a mean of 46.47. These test results are lower than those of </w:t>
      </w:r>
      <w:sdt>
        <w:sdtPr>
          <w:rPr>
            <w:rFonts w:ascii="Times New Roman" w:hAnsi="Times New Roman" w:cs="Times New Roman"/>
            <w:color w:val="000000"/>
            <w:sz w:val="24"/>
            <w:szCs w:val="24"/>
          </w:rPr>
          <w:tag w:val="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012983345"/>
          <w:placeholder>
            <w:docPart w:val="DefaultPlaceholder_-1854013440"/>
          </w:placeholder>
        </w:sdtPr>
        <w:sdtEndPr/>
        <w:sdtContent>
          <w:r w:rsidR="0011406E" w:rsidRPr="0011406E">
            <w:rPr>
              <w:rFonts w:ascii="Times New Roman" w:hAnsi="Times New Roman" w:cs="Times New Roman"/>
              <w:color w:val="000000"/>
              <w:sz w:val="24"/>
              <w:szCs w:val="24"/>
            </w:rPr>
            <w:t>Parwata et al. (2025)</w:t>
          </w:r>
        </w:sdtContent>
      </w:sdt>
      <w:r w:rsidRPr="00255748">
        <w:rPr>
          <w:rFonts w:ascii="Times New Roman" w:hAnsi="Times New Roman" w:cs="Times New Roman"/>
          <w:sz w:val="24"/>
          <w:szCs w:val="24"/>
        </w:rPr>
        <w:t>, who tested elephant grass silage with various types of legumes</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t>
      </w:r>
      <w:r w:rsidR="0092224C">
        <w:rPr>
          <w:rFonts w:ascii="Times New Roman" w:hAnsi="Times New Roman" w:cs="Times New Roman"/>
          <w:sz w:val="24"/>
          <w:szCs w:val="24"/>
        </w:rPr>
        <w:t>gliricida</w:t>
      </w:r>
      <w:r w:rsidRPr="00255748">
        <w:rPr>
          <w:rFonts w:ascii="Times New Roman" w:hAnsi="Times New Roman" w:cs="Times New Roman"/>
          <w:sz w:val="24"/>
          <w:szCs w:val="24"/>
        </w:rPr>
        <w:t xml:space="preserve"> leaves,</w:t>
      </w:r>
      <w:r>
        <w:rPr>
          <w:rFonts w:ascii="Times New Roman" w:hAnsi="Times New Roman" w:cs="Times New Roman"/>
          <w:sz w:val="24"/>
          <w:szCs w:val="24"/>
        </w:rPr>
        <w:t xml:space="preserve"> </w:t>
      </w:r>
      <w:r w:rsidR="0092224C">
        <w:rPr>
          <w:rFonts w:ascii="Times New Roman" w:hAnsi="Times New Roman" w:cs="Times New Roman"/>
          <w:sz w:val="24"/>
          <w:szCs w:val="24"/>
        </w:rPr>
        <w:t>c</w:t>
      </w:r>
      <w:r w:rsidRPr="00255748">
        <w:rPr>
          <w:rFonts w:ascii="Times New Roman" w:hAnsi="Times New Roman" w:cs="Times New Roman"/>
          <w:sz w:val="24"/>
          <w:szCs w:val="24"/>
        </w:rPr>
        <w:t>aliandra (Indigofera zollingeriana)</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with</w:t>
      </w:r>
      <w:r w:rsidR="0092224C">
        <w:rPr>
          <w:rFonts w:ascii="Times New Roman" w:hAnsi="Times New Roman" w:cs="Times New Roman"/>
          <w:sz w:val="24"/>
          <w:szCs w:val="24"/>
        </w:rPr>
        <w:t xml:space="preserve"> DMD</w:t>
      </w:r>
      <w:r w:rsidRPr="00255748">
        <w:rPr>
          <w:rFonts w:ascii="Times New Roman" w:hAnsi="Times New Roman" w:cs="Times New Roman"/>
          <w:sz w:val="24"/>
          <w:szCs w:val="24"/>
        </w:rPr>
        <w:t xml:space="preserve"> values ranging from 56.22 to 69.12. However, this is consistent</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 xml:space="preserve">the study by </w:t>
      </w:r>
      <w:sdt>
        <w:sdtPr>
          <w:rPr>
            <w:rFonts w:ascii="Times New Roman" w:hAnsi="Times New Roman" w:cs="Times New Roman"/>
            <w:color w:val="000000"/>
            <w:sz w:val="24"/>
            <w:szCs w:val="24"/>
          </w:rPr>
          <w:tag w:val="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255945202"/>
          <w:placeholder>
            <w:docPart w:val="DefaultPlaceholder_-1854013440"/>
          </w:placeholder>
        </w:sdtPr>
        <w:sdtEndPr/>
        <w:sdtContent>
          <w:r w:rsidR="0011406E" w:rsidRPr="0011406E">
            <w:rPr>
              <w:rFonts w:ascii="Times New Roman" w:hAnsi="Times New Roman" w:cs="Times New Roman"/>
              <w:color w:val="000000"/>
              <w:sz w:val="24"/>
              <w:szCs w:val="24"/>
            </w:rPr>
            <w:t>Mudhita et al. (2024)</w:t>
          </w:r>
        </w:sdtContent>
      </w:sdt>
      <w:r w:rsidRPr="00255748">
        <w:rPr>
          <w:rFonts w:ascii="Times New Roman" w:hAnsi="Times New Roman" w:cs="Times New Roman"/>
          <w:sz w:val="24"/>
          <w:szCs w:val="24"/>
        </w:rPr>
        <w:t>, which tested elephant grass silage with red calliandra and</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Lactiplantibacillus plantarum, yielding average values ranging from 45.95 to 54.</w:t>
      </w:r>
      <w:r w:rsidR="0092224C">
        <w:rPr>
          <w:rFonts w:ascii="Times New Roman" w:hAnsi="Times New Roman" w:cs="Times New Roman"/>
          <w:sz w:val="24"/>
          <w:szCs w:val="24"/>
        </w:rPr>
        <w:t>00.</w:t>
      </w:r>
    </w:p>
    <w:p w14:paraId="2DA748C8" w14:textId="38DFF7B2"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Dry matter digestibility is one of the crucial parameters in feed quality evaluation. </w:t>
      </w:r>
      <w:sdt>
        <w:sdtPr>
          <w:rPr>
            <w:rFonts w:ascii="Times New Roman" w:hAnsi="Times New Roman" w:cs="Times New Roman"/>
            <w:color w:val="000000"/>
            <w:sz w:val="24"/>
            <w:szCs w:val="24"/>
          </w:rPr>
          <w:tag w:val="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381983144"/>
          <w:placeholder>
            <w:docPart w:val="DefaultPlaceholder_-1854013440"/>
          </w:placeholder>
        </w:sdtPr>
        <w:sdtEndPr/>
        <w:sdtContent>
          <w:r w:rsidR="0011406E" w:rsidRPr="0011406E">
            <w:rPr>
              <w:rFonts w:ascii="Times New Roman" w:hAnsi="Times New Roman" w:cs="Times New Roman"/>
              <w:color w:val="000000"/>
              <w:sz w:val="24"/>
              <w:szCs w:val="24"/>
            </w:rPr>
            <w:t>Dilaga et al. (2022)</w:t>
          </w:r>
        </w:sdtContent>
      </w:sdt>
      <w:r w:rsidRPr="0092224C">
        <w:rPr>
          <w:rFonts w:ascii="Times New Roman" w:hAnsi="Times New Roman" w:cs="Times New Roman"/>
          <w:sz w:val="24"/>
          <w:szCs w:val="24"/>
        </w:rPr>
        <w:t xml:space="preserve"> state that high nutrient availability can be indicated by</w:t>
      </w:r>
      <w:r>
        <w:rPr>
          <w:rFonts w:ascii="Times New Roman" w:hAnsi="Times New Roman" w:cs="Times New Roman"/>
          <w:sz w:val="24"/>
          <w:szCs w:val="24"/>
        </w:rPr>
        <w:t xml:space="preserve"> </w:t>
      </w:r>
      <w:r w:rsidRPr="0092224C">
        <w:rPr>
          <w:rFonts w:ascii="Times New Roman" w:hAnsi="Times New Roman" w:cs="Times New Roman"/>
          <w:sz w:val="24"/>
          <w:szCs w:val="24"/>
        </w:rPr>
        <w:t>high digestibility. The increase in dry matter digestibility can be attributed to</w:t>
      </w:r>
      <w:r>
        <w:rPr>
          <w:rFonts w:ascii="Times New Roman" w:hAnsi="Times New Roman" w:cs="Times New Roman"/>
          <w:sz w:val="24"/>
          <w:szCs w:val="24"/>
        </w:rPr>
        <w:t xml:space="preserve"> </w:t>
      </w:r>
      <w:r w:rsidRPr="0092224C">
        <w:rPr>
          <w:rFonts w:ascii="Times New Roman" w:hAnsi="Times New Roman" w:cs="Times New Roman"/>
          <w:sz w:val="24"/>
          <w:szCs w:val="24"/>
        </w:rPr>
        <w:t>the high crude protein content in the silage. The results of the study by</w:t>
      </w:r>
      <w:r w:rsidR="001D0E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623692316"/>
          <w:placeholder>
            <w:docPart w:val="DefaultPlaceholder_-1854013440"/>
          </w:placeholder>
        </w:sdtPr>
        <w:sdtEndPr/>
        <w:sdtContent>
          <w:r w:rsidR="0011406E" w:rsidRPr="0011406E">
            <w:rPr>
              <w:rFonts w:ascii="Times New Roman" w:hAnsi="Times New Roman" w:cs="Times New Roman"/>
              <w:color w:val="000000"/>
              <w:sz w:val="24"/>
              <w:szCs w:val="24"/>
            </w:rPr>
            <w:t>Mudhita et al. (2024)</w:t>
          </w:r>
        </w:sdtContent>
      </w:sdt>
      <w:r w:rsidRPr="0092224C">
        <w:rPr>
          <w:rFonts w:ascii="Times New Roman" w:hAnsi="Times New Roman" w:cs="Times New Roman"/>
          <w:sz w:val="24"/>
          <w:szCs w:val="24"/>
        </w:rPr>
        <w:t xml:space="preserve"> show that the addition of red calliandra increases dry matter digestibility. They</w:t>
      </w:r>
      <w:r>
        <w:rPr>
          <w:rFonts w:ascii="Times New Roman" w:hAnsi="Times New Roman" w:cs="Times New Roman"/>
          <w:sz w:val="24"/>
          <w:szCs w:val="24"/>
        </w:rPr>
        <w:t xml:space="preserve"> </w:t>
      </w:r>
      <w:r w:rsidRPr="0092224C">
        <w:rPr>
          <w:rFonts w:ascii="Times New Roman" w:hAnsi="Times New Roman" w:cs="Times New Roman"/>
          <w:sz w:val="24"/>
          <w:szCs w:val="24"/>
        </w:rPr>
        <w:t>explained that the increased crude protein content stimulates microbial activity to</w:t>
      </w:r>
      <w:r>
        <w:rPr>
          <w:rFonts w:ascii="Times New Roman" w:hAnsi="Times New Roman" w:cs="Times New Roman"/>
          <w:sz w:val="24"/>
          <w:szCs w:val="24"/>
        </w:rPr>
        <w:t xml:space="preserve"> </w:t>
      </w:r>
      <w:r w:rsidRPr="0092224C">
        <w:rPr>
          <w:rFonts w:ascii="Times New Roman" w:hAnsi="Times New Roman" w:cs="Times New Roman"/>
          <w:sz w:val="24"/>
          <w:szCs w:val="24"/>
        </w:rPr>
        <w:t>degrade silage during the dry matter digestibility test. According to Sutaryono</w:t>
      </w:r>
      <w:r>
        <w:rPr>
          <w:rFonts w:ascii="Times New Roman" w:hAnsi="Times New Roman" w:cs="Times New Roman"/>
          <w:sz w:val="24"/>
          <w:szCs w:val="24"/>
        </w:rPr>
        <w:t xml:space="preserve"> </w:t>
      </w:r>
      <w:r w:rsidRPr="0092224C">
        <w:rPr>
          <w:rFonts w:ascii="Times New Roman" w:hAnsi="Times New Roman" w:cs="Times New Roman"/>
          <w:sz w:val="24"/>
          <w:szCs w:val="24"/>
        </w:rPr>
        <w:t>et al. (2023), the addition of legumes can provide a source of nitrogen for rumen microbes.</w:t>
      </w:r>
    </w:p>
    <w:p w14:paraId="41B08CE1" w14:textId="2ADC629E" w:rsidR="00D53580" w:rsidRDefault="0092224C" w:rsidP="00432280">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An increase in dry matter digestibility occurred only at 10% to 20% substitution of red calliandra, whereas a substitution of 30% to 40% resulted in a decrease in dry matter digestibility due</w:t>
      </w:r>
      <w:r>
        <w:rPr>
          <w:rFonts w:ascii="Times New Roman" w:hAnsi="Times New Roman" w:cs="Times New Roman"/>
          <w:sz w:val="24"/>
          <w:szCs w:val="24"/>
        </w:rPr>
        <w:t xml:space="preserve"> to </w:t>
      </w:r>
      <w:r w:rsidRPr="0092224C">
        <w:rPr>
          <w:rFonts w:ascii="Times New Roman" w:hAnsi="Times New Roman" w:cs="Times New Roman"/>
          <w:sz w:val="24"/>
          <w:szCs w:val="24"/>
        </w:rPr>
        <w:t xml:space="preserve">lower carbohydrate content, as red calliandra contains tannins. </w:t>
      </w:r>
      <w:r>
        <w:rPr>
          <w:rFonts w:ascii="Times New Roman" w:hAnsi="Times New Roman" w:cs="Times New Roman"/>
          <w:sz w:val="24"/>
          <w:szCs w:val="24"/>
        </w:rPr>
        <w:t xml:space="preserve">These findings </w:t>
      </w:r>
      <w:r w:rsidRPr="0092224C">
        <w:rPr>
          <w:rFonts w:ascii="Times New Roman" w:hAnsi="Times New Roman" w:cs="Times New Roman"/>
          <w:sz w:val="24"/>
          <w:szCs w:val="24"/>
        </w:rPr>
        <w:t xml:space="preserve">are consistent with the findings of Sulistyawati et al. (2024) that red calliandra has tannins. </w:t>
      </w:r>
      <w:sdt>
        <w:sdtPr>
          <w:rPr>
            <w:rFonts w:ascii="Times New Roman" w:hAnsi="Times New Roman" w:cs="Times New Roman"/>
            <w:color w:val="000000"/>
            <w:sz w:val="24"/>
            <w:szCs w:val="24"/>
          </w:rPr>
          <w:tag w:val="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
          <w:id w:val="-508821404"/>
          <w:placeholder>
            <w:docPart w:val="DefaultPlaceholder_-1854013440"/>
          </w:placeholder>
        </w:sdtPr>
        <w:sdtEndPr/>
        <w:sdtContent>
          <w:r w:rsidR="0011406E" w:rsidRPr="0011406E">
            <w:rPr>
              <w:rFonts w:ascii="Times New Roman" w:eastAsia="Times New Roman" w:hAnsi="Times New Roman" w:cs="Times New Roman"/>
              <w:color w:val="000000"/>
              <w:sz w:val="24"/>
            </w:rPr>
            <w:t>Tanuwiria &amp; Hidayat (2019)</w:t>
          </w:r>
        </w:sdtContent>
      </w:sdt>
      <w:r w:rsidR="001D0E5A">
        <w:rPr>
          <w:rFonts w:ascii="Times New Roman" w:hAnsi="Times New Roman" w:cs="Times New Roman"/>
          <w:color w:val="000000"/>
          <w:sz w:val="24"/>
          <w:szCs w:val="24"/>
        </w:rPr>
        <w:t xml:space="preserve"> </w:t>
      </w:r>
      <w:r w:rsidRPr="0092224C">
        <w:rPr>
          <w:rFonts w:ascii="Times New Roman" w:hAnsi="Times New Roman" w:cs="Times New Roman"/>
          <w:sz w:val="24"/>
          <w:szCs w:val="24"/>
        </w:rPr>
        <w:t>note that high tannin content causes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from the mastication process all the way to the rumen. This unintended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significantly </w:t>
      </w:r>
      <w:r>
        <w:rPr>
          <w:rFonts w:ascii="Times New Roman" w:hAnsi="Times New Roman" w:cs="Times New Roman"/>
          <w:sz w:val="24"/>
          <w:szCs w:val="24"/>
        </w:rPr>
        <w:t>limits</w:t>
      </w:r>
      <w:r w:rsidRPr="0092224C">
        <w:rPr>
          <w:rFonts w:ascii="Times New Roman" w:hAnsi="Times New Roman" w:cs="Times New Roman"/>
          <w:sz w:val="24"/>
          <w:szCs w:val="24"/>
        </w:rPr>
        <w:t xml:space="preserve"> nutrients available to microbes, which results in the inhibition of</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growth and the activity of microorganisms in degrading feed; </w:t>
      </w:r>
      <w:sdt>
        <w:sdtPr>
          <w:rPr>
            <w:rFonts w:ascii="Times New Roman" w:hAnsi="Times New Roman" w:cs="Times New Roman"/>
            <w:color w:val="000000"/>
            <w:sz w:val="24"/>
            <w:szCs w:val="24"/>
          </w:rPr>
          <w:tag w:val="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
          <w:id w:val="-1686052757"/>
          <w:placeholder>
            <w:docPart w:val="DefaultPlaceholder_-1854013440"/>
          </w:placeholder>
        </w:sdtPr>
        <w:sdtEndPr/>
        <w:sdtContent>
          <w:r w:rsidR="0011406E" w:rsidRPr="0011406E">
            <w:rPr>
              <w:rFonts w:ascii="Times New Roman" w:hAnsi="Times New Roman" w:cs="Times New Roman"/>
              <w:color w:val="000000"/>
              <w:sz w:val="24"/>
              <w:szCs w:val="24"/>
            </w:rPr>
            <w:t>Zhao et al. (2025)</w:t>
          </w:r>
        </w:sdtContent>
      </w:sdt>
      <w:r w:rsidRPr="0092224C">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92224C">
        <w:rPr>
          <w:rFonts w:ascii="Times New Roman" w:hAnsi="Times New Roman" w:cs="Times New Roman"/>
          <w:sz w:val="24"/>
          <w:szCs w:val="24"/>
        </w:rPr>
        <w:t>state that tannins can inhibit fibrolytic activity by binding to enzymes</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on the microbial surface or by binding to cellulose, which has the potential to suppress the growth of degrading bacteria. A study by </w:t>
      </w:r>
      <w:sdt>
        <w:sdtPr>
          <w:rPr>
            <w:rFonts w:ascii="Times New Roman" w:hAnsi="Times New Roman" w:cs="Times New Roman"/>
            <w:color w:val="000000"/>
            <w:sz w:val="24"/>
            <w:szCs w:val="24"/>
          </w:rPr>
          <w:tag w:val="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481976969"/>
          <w:placeholder>
            <w:docPart w:val="DefaultPlaceholder_-1854013440"/>
          </w:placeholder>
        </w:sdtPr>
        <w:sdtEndPr/>
        <w:sdtContent>
          <w:r w:rsidR="0011406E" w:rsidRPr="0011406E">
            <w:rPr>
              <w:rFonts w:ascii="Times New Roman" w:hAnsi="Times New Roman" w:cs="Times New Roman"/>
              <w:color w:val="000000"/>
              <w:sz w:val="24"/>
              <w:szCs w:val="24"/>
            </w:rPr>
            <w:t>Mudhita et al. (2024)</w:t>
          </w:r>
        </w:sdtContent>
      </w:sdt>
      <w:r w:rsidRPr="0092224C">
        <w:rPr>
          <w:rFonts w:ascii="Times New Roman" w:hAnsi="Times New Roman" w:cs="Times New Roman"/>
          <w:sz w:val="24"/>
          <w:szCs w:val="24"/>
        </w:rPr>
        <w:t xml:space="preserve"> found that adding more than 30%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to gamma umami grass silage reduces dry matter digestibility</w:t>
      </w:r>
      <w:r>
        <w:rPr>
          <w:rFonts w:ascii="Times New Roman" w:hAnsi="Times New Roman" w:cs="Times New Roman"/>
          <w:sz w:val="24"/>
          <w:szCs w:val="24"/>
        </w:rPr>
        <w:t>.</w:t>
      </w:r>
    </w:p>
    <w:p w14:paraId="628E4954" w14:textId="79963B1C" w:rsidR="0092224C" w:rsidRPr="0092224C" w:rsidRDefault="0092224C"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 Digestibility</w:t>
      </w:r>
    </w:p>
    <w:p w14:paraId="72B8D967" w14:textId="2A72F0A4" w:rsidR="009E34FD"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Referring to the</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analysis of variance, the effect of the corn stalk and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on organic matter digestibility had a highly significant effect (p&lt;0.01). The Duncan multiple range test</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was used to examine the differences between treatments. From the test results, it was found </w:t>
      </w:r>
      <w:r>
        <w:rPr>
          <w:rFonts w:ascii="Times New Roman" w:hAnsi="Times New Roman" w:cs="Times New Roman"/>
          <w:sz w:val="24"/>
          <w:szCs w:val="24"/>
        </w:rPr>
        <w:t>that</w:t>
      </w:r>
      <w:r w:rsidRPr="0092224C">
        <w:rPr>
          <w:rFonts w:ascii="Times New Roman" w:hAnsi="Times New Roman" w:cs="Times New Roman"/>
          <w:sz w:val="24"/>
          <w:szCs w:val="24"/>
        </w:rPr>
        <w:t xml:space="preserve"> P2 had a mean score of 59.72, followed by P1 with a mean score of 59.07.This</w:t>
      </w:r>
      <w:r>
        <w:rPr>
          <w:rFonts w:ascii="Times New Roman" w:hAnsi="Times New Roman" w:cs="Times New Roman"/>
          <w:sz w:val="24"/>
          <w:szCs w:val="24"/>
        </w:rPr>
        <w:t xml:space="preserve"> </w:t>
      </w:r>
      <w:r w:rsidRPr="0092224C">
        <w:rPr>
          <w:rFonts w:ascii="Times New Roman" w:hAnsi="Times New Roman" w:cs="Times New Roman"/>
          <w:sz w:val="24"/>
          <w:szCs w:val="24"/>
        </w:rPr>
        <w:t>indicates that there is no significant difference between P1 and P2, but there is a significant difference compared to</w:t>
      </w:r>
      <w:r>
        <w:rPr>
          <w:rFonts w:ascii="Times New Roman" w:hAnsi="Times New Roman" w:cs="Times New Roman"/>
          <w:sz w:val="24"/>
          <w:szCs w:val="24"/>
        </w:rPr>
        <w:t xml:space="preserve"> </w:t>
      </w:r>
      <w:r w:rsidRPr="0092224C">
        <w:rPr>
          <w:rFonts w:ascii="Times New Roman" w:hAnsi="Times New Roman" w:cs="Times New Roman"/>
          <w:sz w:val="24"/>
          <w:szCs w:val="24"/>
        </w:rPr>
        <w:t>P3, which had an average yield of 56.74, and P4, with an average yield of 50.55. When compared to the study</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by </w:t>
      </w:r>
      <w:sdt>
        <w:sdtPr>
          <w:rPr>
            <w:rFonts w:ascii="Times New Roman" w:hAnsi="Times New Roman" w:cs="Times New Roman"/>
            <w:color w:val="000000"/>
            <w:sz w:val="24"/>
            <w:szCs w:val="24"/>
          </w:rPr>
          <w:tag w:val="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619424200"/>
          <w:placeholder>
            <w:docPart w:val="DefaultPlaceholder_-1854013440"/>
          </w:placeholder>
        </w:sdtPr>
        <w:sdtEndPr/>
        <w:sdtContent>
          <w:r w:rsidR="0011406E" w:rsidRPr="0011406E">
            <w:rPr>
              <w:rFonts w:ascii="Times New Roman" w:hAnsi="Times New Roman" w:cs="Times New Roman"/>
              <w:color w:val="000000"/>
              <w:sz w:val="24"/>
              <w:szCs w:val="24"/>
            </w:rPr>
            <w:t>Parwata et al. (2025)</w:t>
          </w:r>
        </w:sdtContent>
      </w:sdt>
      <w:r w:rsidRPr="0092224C">
        <w:rPr>
          <w:rFonts w:ascii="Times New Roman" w:hAnsi="Times New Roman" w:cs="Times New Roman"/>
          <w:sz w:val="24"/>
          <w:szCs w:val="24"/>
        </w:rPr>
        <w:t>, who tested the</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of elephant grass silage with various types of legumes (gamal leaves, calliandra leaves, Indigofera zollingeriana), the results were lower, with </w:t>
      </w:r>
      <w:r>
        <w:rPr>
          <w:rFonts w:ascii="Times New Roman" w:hAnsi="Times New Roman" w:cs="Times New Roman"/>
          <w:sz w:val="24"/>
          <w:szCs w:val="24"/>
        </w:rPr>
        <w:t>DMO</w:t>
      </w:r>
      <w:r w:rsidRPr="0092224C">
        <w:rPr>
          <w:rFonts w:ascii="Times New Roman" w:hAnsi="Times New Roman" w:cs="Times New Roman"/>
          <w:sz w:val="24"/>
          <w:szCs w:val="24"/>
        </w:rPr>
        <w:t xml:space="preserve"> values ranging from 58.78 to 70.00. However, these were lower than those reported in the </w:t>
      </w:r>
      <w:r w:rsidRPr="0092224C">
        <w:rPr>
          <w:rFonts w:ascii="Times New Roman" w:hAnsi="Times New Roman" w:cs="Times New Roman"/>
          <w:sz w:val="24"/>
          <w:szCs w:val="24"/>
        </w:rPr>
        <w:lastRenderedPageBreak/>
        <w:t xml:space="preserve">study by </w:t>
      </w:r>
      <w:sdt>
        <w:sdtPr>
          <w:rPr>
            <w:rFonts w:ascii="Times New Roman" w:hAnsi="Times New Roman" w:cs="Times New Roman"/>
            <w:color w:val="000000"/>
            <w:sz w:val="24"/>
            <w:szCs w:val="24"/>
          </w:rPr>
          <w:tag w:val="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487662060"/>
          <w:placeholder>
            <w:docPart w:val="DefaultPlaceholder_-1854013440"/>
          </w:placeholder>
        </w:sdtPr>
        <w:sdtEndPr/>
        <w:sdtContent>
          <w:r w:rsidR="0011406E" w:rsidRPr="0011406E">
            <w:rPr>
              <w:rFonts w:ascii="Times New Roman" w:hAnsi="Times New Roman" w:cs="Times New Roman"/>
              <w:color w:val="000000"/>
              <w:sz w:val="24"/>
              <w:szCs w:val="24"/>
            </w:rPr>
            <w:t>Mudhita et al. (2024)</w:t>
          </w:r>
        </w:sdtContent>
      </w:sdt>
      <w:r w:rsidRPr="0092224C">
        <w:rPr>
          <w:rFonts w:ascii="Times New Roman" w:hAnsi="Times New Roman" w:cs="Times New Roman"/>
          <w:sz w:val="24"/>
          <w:szCs w:val="24"/>
        </w:rPr>
        <w:t>, which tested</w:t>
      </w:r>
      <w:r>
        <w:rPr>
          <w:rFonts w:ascii="Times New Roman" w:hAnsi="Times New Roman" w:cs="Times New Roman"/>
          <w:sz w:val="24"/>
          <w:szCs w:val="24"/>
        </w:rPr>
        <w:t xml:space="preserve"> </w:t>
      </w:r>
      <w:r w:rsidRPr="0092224C">
        <w:rPr>
          <w:rFonts w:ascii="Times New Roman" w:hAnsi="Times New Roman" w:cs="Times New Roman"/>
          <w:sz w:val="24"/>
          <w:szCs w:val="24"/>
        </w:rPr>
        <w:t>elephant grass silage with red calliandra and Lactiplantibacillus plantarum, which yielded an average</w:t>
      </w:r>
      <w:r>
        <w:rPr>
          <w:rFonts w:ascii="Times New Roman" w:hAnsi="Times New Roman" w:cs="Times New Roman"/>
          <w:sz w:val="24"/>
          <w:szCs w:val="24"/>
        </w:rPr>
        <w:t xml:space="preserve"> </w:t>
      </w:r>
      <w:r w:rsidRPr="0092224C">
        <w:rPr>
          <w:rFonts w:ascii="Times New Roman" w:hAnsi="Times New Roman" w:cs="Times New Roman"/>
          <w:sz w:val="24"/>
          <w:szCs w:val="24"/>
        </w:rPr>
        <w:t>ranging from 43.39 to 53.65.</w:t>
      </w:r>
      <w:r>
        <w:rPr>
          <w:rFonts w:ascii="Times New Roman" w:hAnsi="Times New Roman" w:cs="Times New Roman"/>
          <w:sz w:val="24"/>
          <w:szCs w:val="24"/>
        </w:rPr>
        <w:t xml:space="preserve"> </w:t>
      </w:r>
    </w:p>
    <w:p w14:paraId="10429089" w14:textId="00D7414B"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The digestibility of organic matter is related to that of dry matter; that is, organic matter, which consists of major nutrients such as carbohydrates, crude fat, and protein, </w:t>
      </w:r>
      <w:r>
        <w:rPr>
          <w:rFonts w:ascii="Times New Roman" w:hAnsi="Times New Roman" w:cs="Times New Roman"/>
          <w:sz w:val="24"/>
          <w:szCs w:val="24"/>
        </w:rPr>
        <w:t>constitutes the</w:t>
      </w:r>
      <w:r w:rsidRPr="0092224C">
        <w:rPr>
          <w:rFonts w:ascii="Times New Roman" w:hAnsi="Times New Roman" w:cs="Times New Roman"/>
          <w:sz w:val="24"/>
          <w:szCs w:val="24"/>
        </w:rPr>
        <w:t xml:space="preserve"> major component of dry matter content </w:t>
      </w:r>
      <w:sdt>
        <w:sdtPr>
          <w:rPr>
            <w:rFonts w:ascii="Times New Roman" w:hAnsi="Times New Roman" w:cs="Times New Roman"/>
            <w:color w:val="000000"/>
            <w:sz w:val="24"/>
            <w:szCs w:val="24"/>
          </w:rPr>
          <w:tag w:val="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103070790"/>
          <w:placeholder>
            <w:docPart w:val="DefaultPlaceholder_-1854013440"/>
          </w:placeholder>
        </w:sdtPr>
        <w:sdtEndPr/>
        <w:sdtContent>
          <w:r w:rsidR="0011406E" w:rsidRPr="0011406E">
            <w:rPr>
              <w:rFonts w:ascii="Times New Roman" w:hAnsi="Times New Roman" w:cs="Times New Roman"/>
              <w:color w:val="000000"/>
              <w:sz w:val="24"/>
              <w:szCs w:val="24"/>
            </w:rPr>
            <w:t>Parwata et al. (2025)</w:t>
          </w:r>
        </w:sdtContent>
      </w:sdt>
      <w:r w:rsidRPr="0092224C">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925293874"/>
          <w:placeholder>
            <w:docPart w:val="DefaultPlaceholder_-1854013440"/>
          </w:placeholder>
        </w:sdtPr>
        <w:sdtEndPr/>
        <w:sdtContent>
          <w:r w:rsidR="0011406E" w:rsidRPr="0011406E">
            <w:rPr>
              <w:rFonts w:ascii="Times New Roman" w:hAnsi="Times New Roman" w:cs="Times New Roman"/>
              <w:color w:val="000000"/>
              <w:sz w:val="24"/>
              <w:szCs w:val="24"/>
            </w:rPr>
            <w:t>Dilaga et al. (2022)</w:t>
          </w:r>
        </w:sdtContent>
      </w:sdt>
      <w:r w:rsidRPr="0092224C">
        <w:rPr>
          <w:rFonts w:ascii="Times New Roman" w:hAnsi="Times New Roman" w:cs="Times New Roman"/>
          <w:sz w:val="24"/>
          <w:szCs w:val="24"/>
        </w:rPr>
        <w:t>, the results</w:t>
      </w:r>
      <w:r>
        <w:rPr>
          <w:rFonts w:ascii="Times New Roman" w:hAnsi="Times New Roman" w:cs="Times New Roman"/>
          <w:sz w:val="24"/>
          <w:szCs w:val="24"/>
        </w:rPr>
        <w:t xml:space="preserve"> </w:t>
      </w:r>
      <w:r w:rsidRPr="0092224C">
        <w:rPr>
          <w:rFonts w:ascii="Times New Roman" w:hAnsi="Times New Roman" w:cs="Times New Roman"/>
          <w:sz w:val="24"/>
          <w:szCs w:val="24"/>
        </w:rPr>
        <w:t>The digestibility of organic matter is directly proportional to the digestibility of dry matter, because the composition</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of dry matter is dominated by organic matter, which makes the results obtained almost consistent </w:t>
      </w:r>
      <w:r w:rsidR="009E34FD">
        <w:rPr>
          <w:rFonts w:ascii="Times New Roman" w:hAnsi="Times New Roman" w:cs="Times New Roman"/>
          <w:sz w:val="24"/>
          <w:szCs w:val="24"/>
        </w:rPr>
        <w:t>with dry</w:t>
      </w:r>
      <w:r w:rsidRPr="0092224C">
        <w:rPr>
          <w:rFonts w:ascii="Times New Roman" w:hAnsi="Times New Roman" w:cs="Times New Roman"/>
          <w:sz w:val="24"/>
          <w:szCs w:val="24"/>
        </w:rPr>
        <w:t xml:space="preserve"> matter digestibility, increasing in P1 and P2, then decreasing in P2, P3, and P4. The</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content is one of the factors in increasing the digestibility of the material</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has a positive effect on the digestibility of organic matter because rumen microbes</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can easily degrade crude protein </w:t>
      </w:r>
      <w:sdt>
        <w:sdtPr>
          <w:rPr>
            <w:rFonts w:ascii="Times New Roman" w:hAnsi="Times New Roman" w:cs="Times New Roman"/>
            <w:color w:val="000000"/>
            <w:sz w:val="24"/>
            <w:szCs w:val="24"/>
          </w:rPr>
          <w:tag w:val="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
          <w:id w:val="1966536529"/>
          <w:placeholder>
            <w:docPart w:val="DefaultPlaceholder_-1854013440"/>
          </w:placeholder>
        </w:sdtPr>
        <w:sdtEndPr/>
        <w:sdtContent>
          <w:r w:rsidR="0011406E" w:rsidRPr="0011406E">
            <w:rPr>
              <w:rFonts w:ascii="Times New Roman" w:hAnsi="Times New Roman" w:cs="Times New Roman"/>
              <w:color w:val="000000"/>
              <w:sz w:val="24"/>
              <w:szCs w:val="24"/>
            </w:rPr>
            <w:t>Makmur et al. (2022)</w:t>
          </w:r>
        </w:sdtContent>
      </w:sdt>
      <w:r w:rsidRPr="0092224C">
        <w:rPr>
          <w:rFonts w:ascii="Times New Roman" w:hAnsi="Times New Roman" w:cs="Times New Roman"/>
          <w:sz w:val="24"/>
          <w:szCs w:val="24"/>
        </w:rPr>
        <w:t>.</w:t>
      </w:r>
    </w:p>
    <w:p w14:paraId="16A1F2C8" w14:textId="6819CD5A" w:rsidR="009E34FD" w:rsidRDefault="0092224C" w:rsidP="009E34FD">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Meanwhile, the decrease from P2 to P3 and P4 was caused by the increased tannin content</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tannins. According to </w:t>
      </w:r>
      <w:sdt>
        <w:sdtPr>
          <w:rPr>
            <w:rFonts w:ascii="Times New Roman" w:hAnsi="Times New Roman" w:cs="Times New Roman"/>
            <w:color w:val="000000"/>
            <w:sz w:val="24"/>
            <w:szCs w:val="24"/>
          </w:rPr>
          <w:tag w:val="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
          <w:id w:val="1611237364"/>
          <w:placeholder>
            <w:docPart w:val="DefaultPlaceholder_-1854013440"/>
          </w:placeholder>
        </w:sdtPr>
        <w:sdtEndPr/>
        <w:sdtContent>
          <w:r w:rsidR="0011406E" w:rsidRPr="0011406E">
            <w:rPr>
              <w:rFonts w:ascii="Times New Roman" w:eastAsia="Times New Roman" w:hAnsi="Times New Roman" w:cs="Times New Roman"/>
              <w:color w:val="000000"/>
              <w:sz w:val="24"/>
            </w:rPr>
            <w:t>Tanuwiria &amp; Hidayat (2019)</w:t>
          </w:r>
        </w:sdtContent>
      </w:sdt>
      <w:r w:rsidRPr="0092224C">
        <w:rPr>
          <w:rFonts w:ascii="Times New Roman" w:hAnsi="Times New Roman" w:cs="Times New Roman"/>
          <w:sz w:val="24"/>
          <w:szCs w:val="24"/>
        </w:rPr>
        <w:t>, tannins are antinutritional compounds that can</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help protect proteins from microbial degradation in the rumen due to their ability to form</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complex compounds that reduce protein degradation. Microorganism growth can</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inhibited by the presence of tannins, which can alter the rumen microbial population, and</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affects the ability of rumen microbes to degrade nutrients in feed </w:t>
      </w:r>
      <w:sdt>
        <w:sdtPr>
          <w:rPr>
            <w:rFonts w:ascii="Times New Roman" w:hAnsi="Times New Roman" w:cs="Times New Roman"/>
            <w:color w:val="000000"/>
            <w:sz w:val="24"/>
            <w:szCs w:val="24"/>
          </w:rPr>
          <w:tag w:val="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
          <w:id w:val="-1520687590"/>
          <w:placeholder>
            <w:docPart w:val="DefaultPlaceholder_-1854013440"/>
          </w:placeholder>
        </w:sdtPr>
        <w:sdtEndPr/>
        <w:sdtContent>
          <w:r w:rsidR="0011406E" w:rsidRPr="0011406E">
            <w:rPr>
              <w:rFonts w:ascii="Times New Roman" w:hAnsi="Times New Roman" w:cs="Times New Roman"/>
              <w:color w:val="000000"/>
              <w:sz w:val="24"/>
              <w:szCs w:val="24"/>
            </w:rPr>
            <w:t>Bain et al. (2025)</w:t>
          </w:r>
        </w:sdtContent>
      </w:sdt>
      <w:r w:rsidR="009E34FD" w:rsidRPr="009E34FD">
        <w:rPr>
          <w:rFonts w:ascii="Times New Roman" w:hAnsi="Times New Roman" w:cs="Times New Roman"/>
          <w:sz w:val="24"/>
          <w:szCs w:val="24"/>
        </w:rPr>
        <w:t>; furthermore, excess tannins can bind to post-rumen enzymes, causing</w:t>
      </w:r>
      <w:r w:rsidR="009E34FD">
        <w:rPr>
          <w:rFonts w:ascii="Times New Roman" w:hAnsi="Times New Roman" w:cs="Times New Roman"/>
          <w:sz w:val="24"/>
          <w:szCs w:val="24"/>
        </w:rPr>
        <w:t xml:space="preserve"> </w:t>
      </w:r>
      <w:r w:rsidR="009E34FD" w:rsidRPr="009E34FD">
        <w:rPr>
          <w:rFonts w:ascii="Times New Roman" w:hAnsi="Times New Roman" w:cs="Times New Roman"/>
          <w:sz w:val="24"/>
          <w:szCs w:val="24"/>
        </w:rPr>
        <w:t>reduced hydrolytic activity and a decrease in digestibility.</w:t>
      </w:r>
    </w:p>
    <w:p w14:paraId="65347D4D" w14:textId="749F197E" w:rsidR="00D53580" w:rsidRPr="009E34FD" w:rsidRDefault="00F33528" w:rsidP="0092224C">
      <w:pPr>
        <w:spacing w:before="240" w:after="240" w:line="240" w:lineRule="auto"/>
        <w:jc w:val="both"/>
        <w:rPr>
          <w:rFonts w:ascii="Times New Roman" w:hAnsi="Times New Roman" w:cs="Times New Roman"/>
          <w:sz w:val="24"/>
          <w:szCs w:val="24"/>
        </w:rPr>
      </w:pPr>
      <w:r w:rsidRPr="006A30BC">
        <w:rPr>
          <w:rFonts w:ascii="Times New Roman" w:hAnsi="Times New Roman" w:cs="Times New Roman"/>
          <w:b/>
          <w:bCs/>
          <w:sz w:val="28"/>
          <w:szCs w:val="28"/>
        </w:rPr>
        <w:t>CONCLUSIONS</w:t>
      </w:r>
    </w:p>
    <w:p w14:paraId="162D1B0A" w14:textId="7106542A"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combination of corn stover and red calliandra proved to have </w:t>
      </w:r>
      <w:r>
        <w:rPr>
          <w:rFonts w:ascii="Times New Roman" w:hAnsi="Times New Roman" w:cs="Times New Roman"/>
          <w:sz w:val="24"/>
          <w:szCs w:val="24"/>
        </w:rPr>
        <w:t xml:space="preserve">an improvement </w:t>
      </w:r>
      <w:r w:rsidRPr="009E34FD">
        <w:rPr>
          <w:rFonts w:ascii="Times New Roman" w:hAnsi="Times New Roman" w:cs="Times New Roman"/>
          <w:sz w:val="24"/>
          <w:szCs w:val="24"/>
        </w:rPr>
        <w:t>in the digestibility of silage in vitro. Although this combination did not significantly alter</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the total dry matter and organic matter content, the proportion of raw materials determines the efficiency of nutrient degradation. A mixture of 80% corn stalks and 20% red </w:t>
      </w:r>
      <w:r>
        <w:rPr>
          <w:rFonts w:ascii="Times New Roman" w:hAnsi="Times New Roman" w:cs="Times New Roman"/>
          <w:sz w:val="24"/>
          <w:szCs w:val="24"/>
        </w:rPr>
        <w:t xml:space="preserve">Calliandra </w:t>
      </w:r>
      <w:r w:rsidRPr="009E34FD">
        <w:rPr>
          <w:rFonts w:ascii="Times New Roman" w:hAnsi="Times New Roman" w:cs="Times New Roman"/>
          <w:sz w:val="24"/>
          <w:szCs w:val="24"/>
        </w:rPr>
        <w:t>proved to be the optimal mixture. This combination resulted in stable fermentation and</w:t>
      </w:r>
      <w:r>
        <w:rPr>
          <w:rFonts w:ascii="Times New Roman" w:hAnsi="Times New Roman" w:cs="Times New Roman"/>
          <w:sz w:val="24"/>
          <w:szCs w:val="24"/>
        </w:rPr>
        <w:t xml:space="preserve"> </w:t>
      </w:r>
      <w:r w:rsidRPr="009E34FD">
        <w:rPr>
          <w:rFonts w:ascii="Times New Roman" w:hAnsi="Times New Roman" w:cs="Times New Roman"/>
          <w:sz w:val="24"/>
          <w:szCs w:val="24"/>
        </w:rPr>
        <w:t>high digestibility, before the limiting effect of the antinutritional compound tannin in red calliandra suppresses</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microbial activity and </w:t>
      </w:r>
      <w:r>
        <w:rPr>
          <w:rFonts w:ascii="Times New Roman" w:hAnsi="Times New Roman" w:cs="Times New Roman"/>
          <w:sz w:val="24"/>
          <w:szCs w:val="24"/>
        </w:rPr>
        <w:t>reduces</w:t>
      </w:r>
      <w:r w:rsidRPr="009E34FD">
        <w:rPr>
          <w:rFonts w:ascii="Times New Roman" w:hAnsi="Times New Roman" w:cs="Times New Roman"/>
          <w:sz w:val="24"/>
          <w:szCs w:val="24"/>
        </w:rPr>
        <w:t xml:space="preserve"> feed quality. To test direct effectiveness,</w:t>
      </w:r>
      <w:r>
        <w:rPr>
          <w:rFonts w:ascii="Times New Roman" w:hAnsi="Times New Roman" w:cs="Times New Roman"/>
          <w:sz w:val="24"/>
          <w:szCs w:val="24"/>
        </w:rPr>
        <w:t xml:space="preserve"> </w:t>
      </w:r>
      <w:r w:rsidRPr="009E34FD">
        <w:rPr>
          <w:rFonts w:ascii="Times New Roman" w:hAnsi="Times New Roman" w:cs="Times New Roman"/>
          <w:sz w:val="24"/>
          <w:szCs w:val="24"/>
        </w:rPr>
        <w:t>further studies using in vivo methods.</w:t>
      </w:r>
    </w:p>
    <w:p w14:paraId="26438592" w14:textId="37B0D6CC" w:rsidR="00D53580" w:rsidRPr="00C4716F"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ACNOWLEDGEMENT</w:t>
      </w:r>
    </w:p>
    <w:p w14:paraId="7B486CCA" w14:textId="52360A5E"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The researcher would like to thank Padjadjaran University for funding</w:t>
      </w:r>
      <w:r>
        <w:rPr>
          <w:rFonts w:ascii="Times New Roman" w:hAnsi="Times New Roman" w:cs="Times New Roman"/>
          <w:sz w:val="24"/>
          <w:szCs w:val="24"/>
        </w:rPr>
        <w:t xml:space="preserve"> </w:t>
      </w:r>
      <w:r w:rsidRPr="009E34FD">
        <w:rPr>
          <w:rFonts w:ascii="Times New Roman" w:hAnsi="Times New Roman" w:cs="Times New Roman"/>
          <w:sz w:val="24"/>
          <w:szCs w:val="24"/>
        </w:rPr>
        <w:t>this research</w:t>
      </w:r>
      <w:r>
        <w:rPr>
          <w:rFonts w:ascii="Times New Roman" w:hAnsi="Times New Roman" w:cs="Times New Roman"/>
          <w:sz w:val="24"/>
          <w:szCs w:val="24"/>
        </w:rPr>
        <w:t xml:space="preserve"> </w:t>
      </w:r>
      <w:r w:rsidRPr="009E34FD">
        <w:rPr>
          <w:rFonts w:ascii="Times New Roman" w:hAnsi="Times New Roman" w:cs="Times New Roman"/>
          <w:sz w:val="24"/>
          <w:szCs w:val="24"/>
        </w:rPr>
        <w:t>under the</w:t>
      </w:r>
      <w:r>
        <w:rPr>
          <w:rFonts w:ascii="Times New Roman" w:hAnsi="Times New Roman" w:cs="Times New Roman"/>
          <w:sz w:val="24"/>
          <w:szCs w:val="24"/>
        </w:rPr>
        <w:t xml:space="preserve"> </w:t>
      </w:r>
      <w:r w:rsidRPr="009E34FD">
        <w:rPr>
          <w:rFonts w:ascii="Times New Roman" w:hAnsi="Times New Roman" w:cs="Times New Roman"/>
          <w:sz w:val="24"/>
          <w:szCs w:val="24"/>
        </w:rPr>
        <w:t>Academi</w:t>
      </w:r>
      <w:r>
        <w:rPr>
          <w:rFonts w:ascii="Times New Roman" w:hAnsi="Times New Roman" w:cs="Times New Roman"/>
          <w:sz w:val="24"/>
          <w:szCs w:val="24"/>
        </w:rPr>
        <w:t xml:space="preserve">c </w:t>
      </w:r>
      <w:r w:rsidRPr="009E34FD">
        <w:rPr>
          <w:rFonts w:ascii="Times New Roman" w:hAnsi="Times New Roman" w:cs="Times New Roman"/>
          <w:sz w:val="24"/>
          <w:szCs w:val="24"/>
        </w:rPr>
        <w:t>Leadership</w:t>
      </w:r>
      <w:r>
        <w:rPr>
          <w:rFonts w:ascii="Times New Roman" w:hAnsi="Times New Roman" w:cs="Times New Roman"/>
          <w:sz w:val="24"/>
          <w:szCs w:val="24"/>
        </w:rPr>
        <w:t xml:space="preserve"> </w:t>
      </w:r>
      <w:r w:rsidRPr="009E34FD">
        <w:rPr>
          <w:rFonts w:ascii="Times New Roman" w:hAnsi="Times New Roman" w:cs="Times New Roman"/>
          <w:sz w:val="24"/>
          <w:szCs w:val="24"/>
        </w:rPr>
        <w:t>Grant</w:t>
      </w:r>
      <w:r>
        <w:rPr>
          <w:rFonts w:ascii="Times New Roman" w:hAnsi="Times New Roman" w:cs="Times New Roman"/>
          <w:sz w:val="24"/>
          <w:szCs w:val="24"/>
        </w:rPr>
        <w:t xml:space="preserve"> </w:t>
      </w:r>
      <w:r w:rsidRPr="009E34FD">
        <w:rPr>
          <w:rFonts w:ascii="Times New Roman" w:hAnsi="Times New Roman" w:cs="Times New Roman"/>
          <w:sz w:val="24"/>
          <w:szCs w:val="24"/>
        </w:rPr>
        <w:t>Research</w:t>
      </w:r>
      <w:r>
        <w:rPr>
          <w:rFonts w:ascii="Times New Roman" w:hAnsi="Times New Roman" w:cs="Times New Roman"/>
          <w:sz w:val="24"/>
          <w:szCs w:val="24"/>
        </w:rPr>
        <w:t xml:space="preserve"> </w:t>
      </w:r>
      <w:r w:rsidRPr="009E34FD">
        <w:rPr>
          <w:rFonts w:ascii="Times New Roman" w:hAnsi="Times New Roman" w:cs="Times New Roman"/>
          <w:sz w:val="24"/>
          <w:szCs w:val="24"/>
        </w:rPr>
        <w:t>with</w:t>
      </w:r>
      <w:r>
        <w:rPr>
          <w:rFonts w:ascii="Times New Roman" w:hAnsi="Times New Roman" w:cs="Times New Roman"/>
          <w:sz w:val="24"/>
          <w:szCs w:val="24"/>
        </w:rPr>
        <w:t xml:space="preserve"> contract number </w:t>
      </w:r>
      <w:r w:rsidRPr="009E34FD">
        <w:rPr>
          <w:rFonts w:ascii="Times New Roman" w:hAnsi="Times New Roman" w:cs="Times New Roman"/>
          <w:sz w:val="24"/>
          <w:szCs w:val="24"/>
        </w:rPr>
        <w:t>3208/UN6.J/PT.00/2025 dated April 21, 2025.</w:t>
      </w:r>
    </w:p>
    <w:p w14:paraId="3B8D5607" w14:textId="7F4E560F" w:rsidR="00D53580"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REFERENCES</w:t>
      </w:r>
    </w:p>
    <w:p w14:paraId="0132B45E" w14:textId="22BBD9C2"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Ali, M., Rosyidi, M. S. B., Rohim, A., Hasma, H., Wariate, I. W., Rosyidi, A., Sriasih, M., &amp; Depamede, S. N. (2024). LAMTORO FERMENTASI (LaFer): PAKAN PENYANGGA MUSIM KEMARAU. Jurnal Warta Desa (JWD), 6(2), 110–118. </w:t>
      </w:r>
      <w:hyperlink r:id="rId9" w:history="1">
        <w:r w:rsidRPr="00323333">
          <w:rPr>
            <w:rStyle w:val="Hyperlink"/>
            <w:rFonts w:ascii="Times New Roman" w:hAnsi="Times New Roman" w:cs="Times New Roman"/>
            <w:sz w:val="24"/>
            <w:szCs w:val="24"/>
          </w:rPr>
          <w:t>https://doi.org/10.29303/jwd.v6i2.304</w:t>
        </w:r>
      </w:hyperlink>
      <w:r w:rsidRPr="00323333">
        <w:rPr>
          <w:rFonts w:ascii="Times New Roman" w:hAnsi="Times New Roman" w:cs="Times New Roman"/>
          <w:sz w:val="24"/>
          <w:szCs w:val="24"/>
        </w:rPr>
        <w:t xml:space="preserve">  </w:t>
      </w:r>
    </w:p>
    <w:p w14:paraId="113E2A7B"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Anjalani, R., Silitonga, L., &amp; Astuti, M. H. (2017). Kualitas Silase Rumput Gajah yang Diberi Tepung Umbi Talas Sebagai Aditif Silase. Jurnal Ilmu Hewani Tropika, 6(1), 29.</w:t>
      </w:r>
    </w:p>
    <w:p w14:paraId="18F06A3B"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Ayuni, T., Kurniawan, W., &amp; Napirah, A. (2017). Fermentation Characteristics of Corn Stover and Gliricydia sepium Combination Silage with Different Presentations. Proceedings of the 7th International Seminar on Tropical Animal Production (ISTAP), 107. </w:t>
      </w:r>
    </w:p>
    <w:p w14:paraId="5A282B97" w14:textId="4CA36260"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Bagus, A., Mulyani, S., Dianti, D., Syafrizal, Erwin, &amp; Hidayati, S. G. (2024). Subtitusi Leguminosa Indigofera Dalam Pembuatan Silase Rumput Packhong Terhadap Kualitas Zat-Zat </w:t>
      </w:r>
      <w:proofErr w:type="gramStart"/>
      <w:r w:rsidRPr="00323333">
        <w:rPr>
          <w:rFonts w:ascii="Times New Roman" w:hAnsi="Times New Roman" w:cs="Times New Roman"/>
          <w:sz w:val="24"/>
          <w:szCs w:val="24"/>
        </w:rPr>
        <w:t>Makanan(</w:t>
      </w:r>
      <w:proofErr w:type="gramEnd"/>
      <w:r w:rsidRPr="00323333">
        <w:rPr>
          <w:rFonts w:ascii="Times New Roman" w:hAnsi="Times New Roman" w:cs="Times New Roman"/>
          <w:sz w:val="24"/>
          <w:szCs w:val="24"/>
        </w:rPr>
        <w:t xml:space="preserve">BK, BO, BETN danAir). Embrio Journal, 16(2), 100–114. </w:t>
      </w:r>
      <w:hyperlink r:id="rId10" w:history="1">
        <w:r w:rsidRPr="00323333">
          <w:rPr>
            <w:rStyle w:val="Hyperlink"/>
            <w:rFonts w:ascii="Times New Roman" w:hAnsi="Times New Roman" w:cs="Times New Roman"/>
            <w:sz w:val="24"/>
            <w:szCs w:val="24"/>
          </w:rPr>
          <w:t>https://doi.org/https://doi.org/10.31317/embrio.v16i2.1089</w:t>
        </w:r>
      </w:hyperlink>
      <w:r w:rsidRPr="00323333">
        <w:rPr>
          <w:rFonts w:ascii="Times New Roman" w:hAnsi="Times New Roman" w:cs="Times New Roman"/>
          <w:sz w:val="24"/>
          <w:szCs w:val="24"/>
        </w:rPr>
        <w:t xml:space="preserve">  </w:t>
      </w:r>
    </w:p>
    <w:p w14:paraId="521D335B" w14:textId="4684F41C"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Bain, A., Sandhy, Y. N., Asminaya, N. S., Munadi, L. O. M., Zulkarnain, D., Muhsafaat, L. O., Rahman, R., Malesi, L., &amp; Tasse, A. M. (2025). In vitro fermentation characteristics and nutrient digestibility of rations based on corn stover silage (Zea mays L., 1973) and Ceara rubber tree leaves (Manihot glaziovii Mull. Arg., 1874) for Etawa crossbred goats. Brazilian Journal of Biology, 85. </w:t>
      </w:r>
      <w:hyperlink r:id="rId11" w:history="1">
        <w:r w:rsidRPr="00323333">
          <w:rPr>
            <w:rStyle w:val="Hyperlink"/>
            <w:rFonts w:ascii="Times New Roman" w:hAnsi="Times New Roman" w:cs="Times New Roman"/>
            <w:sz w:val="24"/>
            <w:szCs w:val="24"/>
          </w:rPr>
          <w:t>https://doi.org/10.1590/1519-6984.287849</w:t>
        </w:r>
      </w:hyperlink>
      <w:r w:rsidRPr="00323333">
        <w:rPr>
          <w:rFonts w:ascii="Times New Roman" w:hAnsi="Times New Roman" w:cs="Times New Roman"/>
          <w:sz w:val="24"/>
          <w:szCs w:val="24"/>
        </w:rPr>
        <w:t xml:space="preserve">  </w:t>
      </w:r>
    </w:p>
    <w:p w14:paraId="45481701" w14:textId="6E2BE90F"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lastRenderedPageBreak/>
        <w:t xml:space="preserve">Borreani, G., Tabacco, E., Schmidt, R. J., Holmes, B. J., &amp; Muck, R. E. (2018). Silage review: Factors affecting dry matter and quality losses in silages. In Journal of Dairy Science (Vol. 101, Number 5, pp. 3952–3979). Elsevier Inc. </w:t>
      </w:r>
      <w:hyperlink r:id="rId12" w:history="1">
        <w:r w:rsidRPr="00323333">
          <w:rPr>
            <w:rStyle w:val="Hyperlink"/>
            <w:rFonts w:ascii="Times New Roman" w:hAnsi="Times New Roman" w:cs="Times New Roman"/>
            <w:sz w:val="24"/>
            <w:szCs w:val="24"/>
          </w:rPr>
          <w:t>https://doi.org/10.3168/jds.2017-13837</w:t>
        </w:r>
      </w:hyperlink>
      <w:r w:rsidRPr="00323333">
        <w:rPr>
          <w:rFonts w:ascii="Times New Roman" w:hAnsi="Times New Roman" w:cs="Times New Roman"/>
          <w:sz w:val="24"/>
          <w:szCs w:val="24"/>
        </w:rPr>
        <w:t xml:space="preserve">  </w:t>
      </w:r>
    </w:p>
    <w:p w14:paraId="79A75F3F" w14:textId="325B256F"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BPS (Badan Pusat Statistik). (2025). Populasi Sapi Potong menurut Provinsi (Ekor), 2024. </w:t>
      </w:r>
      <w:r w:rsidRPr="00323333">
        <w:rPr>
          <w:rFonts w:ascii="Times New Roman" w:hAnsi="Times New Roman" w:cs="Times New Roman"/>
          <w:sz w:val="24"/>
          <w:szCs w:val="24"/>
        </w:rPr>
        <w:t xml:space="preserve">Badan Pusat Statistik Indonesia. </w:t>
      </w:r>
      <w:hyperlink r:id="rId13" w:history="1">
        <w:r w:rsidRPr="00323333">
          <w:rPr>
            <w:rStyle w:val="Hyperlink"/>
            <w:rFonts w:ascii="Times New Roman" w:hAnsi="Times New Roman" w:cs="Times New Roman"/>
            <w:sz w:val="24"/>
            <w:szCs w:val="24"/>
          </w:rPr>
          <w:t>https://www.bps.go.id/id/statistics-table/2/NDY5IzI=/populasi-sapi-potong-menurut-provinsi.html</w:t>
        </w:r>
      </w:hyperlink>
      <w:r w:rsidRPr="00323333">
        <w:rPr>
          <w:rFonts w:ascii="Times New Roman" w:hAnsi="Times New Roman" w:cs="Times New Roman"/>
          <w:sz w:val="24"/>
          <w:szCs w:val="24"/>
        </w:rPr>
        <w:t xml:space="preserve"> </w:t>
      </w:r>
    </w:p>
    <w:p w14:paraId="24FDE495" w14:textId="0B311485"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Dilaga, S. H., Putra, R. A., Pratama, A. N. T., Yanuarianto, O., Amin, M., &amp; Suhubdy, S. (2022). Nutritional quality and in vitro digestibility of fermented rice bran based on different types and doses of inoculants. Journal of Advanced Veterinary and Animal Research, 9(4), 625–633. </w:t>
      </w:r>
      <w:hyperlink r:id="rId14" w:history="1">
        <w:r w:rsidRPr="00323333">
          <w:rPr>
            <w:rStyle w:val="Hyperlink"/>
            <w:rFonts w:ascii="Times New Roman" w:hAnsi="Times New Roman" w:cs="Times New Roman"/>
            <w:sz w:val="24"/>
            <w:szCs w:val="24"/>
          </w:rPr>
          <w:t>https://doi.org/10.5455/JAVAR.2022.I632</w:t>
        </w:r>
      </w:hyperlink>
      <w:r w:rsidRPr="00323333">
        <w:rPr>
          <w:rFonts w:ascii="Times New Roman" w:hAnsi="Times New Roman" w:cs="Times New Roman"/>
          <w:sz w:val="24"/>
          <w:szCs w:val="24"/>
        </w:rPr>
        <w:t xml:space="preserve"> </w:t>
      </w:r>
    </w:p>
    <w:p w14:paraId="3B36E2CC"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Harjono, Akhyar S. Y, &amp; Sukarne. </w:t>
      </w:r>
      <w:r w:rsidRPr="00323333">
        <w:rPr>
          <w:rFonts w:ascii="Times New Roman" w:hAnsi="Times New Roman" w:cs="Times New Roman"/>
          <w:sz w:val="24"/>
          <w:szCs w:val="24"/>
          <w:lang w:val="da-DK"/>
        </w:rPr>
        <w:t xml:space="preserve">(2023). Karakteristik Fisik, Kandungan Bahan Kering, Bahan Organik dan Protein Kasar Silase Campuran Jerami Jagung dan Daun Turi (Sesbania grandiflora) Dengan Aditif Stimulan Molases. </w:t>
      </w:r>
      <w:r w:rsidRPr="00323333">
        <w:rPr>
          <w:rFonts w:ascii="Times New Roman" w:hAnsi="Times New Roman" w:cs="Times New Roman"/>
          <w:sz w:val="24"/>
          <w:szCs w:val="24"/>
        </w:rPr>
        <w:t>Jurnal Ilmu Dan Teknologi Peternakan Indonesia, 9(2), 70–80.</w:t>
      </w:r>
    </w:p>
    <w:p w14:paraId="43A78E91"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Horwitz, William. (2005). Official methods of analysis of AOAC International. AOAC International.</w:t>
      </w:r>
    </w:p>
    <w:p w14:paraId="0E151E15"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Kurniawan, W., Lestari, N. A., Dhian Isnaeni, P., &amp; Sandiah, N. (2022). Different Composition of Indigofera zolingeriana and Corn Stover Mix on Silage Quality and Fermentation Characteristic. International Conference on Improving Tropical Animal Production for Food Security, 335–339. </w:t>
      </w:r>
    </w:p>
    <w:p w14:paraId="5B2FB117" w14:textId="434630F9"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Li, J., Wen, X., Yang, J., Yang, W., Xin, Y., Zhang, L., Liu, H., He, Y., &amp; Yan, Y. (2022). Effects of Maize Varieties on Biomass Yield and Silage Quality of Maize–Soybean Intercropping in the Qinghai–Tibet Plateau. Fermentation, 8(10). </w:t>
      </w:r>
      <w:hyperlink r:id="rId15" w:history="1">
        <w:r w:rsidRPr="00323333">
          <w:rPr>
            <w:rStyle w:val="Hyperlink"/>
            <w:rFonts w:ascii="Times New Roman" w:hAnsi="Times New Roman" w:cs="Times New Roman"/>
            <w:sz w:val="24"/>
            <w:szCs w:val="24"/>
          </w:rPr>
          <w:t>https://doi.org/10.3390/fermentation8100542</w:t>
        </w:r>
      </w:hyperlink>
      <w:r w:rsidRPr="00323333">
        <w:rPr>
          <w:rFonts w:ascii="Times New Roman" w:hAnsi="Times New Roman" w:cs="Times New Roman"/>
          <w:sz w:val="24"/>
          <w:szCs w:val="24"/>
        </w:rPr>
        <w:t xml:space="preserve"> </w:t>
      </w:r>
    </w:p>
    <w:p w14:paraId="4FA9B8AA" w14:textId="07B8CB50"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Makmur, M., Zain, M., Sholikin, M. M., Suharlina, &amp; Jayanegara, A. (2022). Modulatory effects of dietary tannins on polyunsaturated fatty acid biohydrogenation in the rumen: A meta-analysis. Heliyon, 8(7). </w:t>
      </w:r>
      <w:hyperlink r:id="rId16" w:history="1">
        <w:r w:rsidRPr="00323333">
          <w:rPr>
            <w:rStyle w:val="Hyperlink"/>
            <w:rFonts w:ascii="Times New Roman" w:hAnsi="Times New Roman" w:cs="Times New Roman"/>
            <w:sz w:val="24"/>
            <w:szCs w:val="24"/>
          </w:rPr>
          <w:t>https://doi.org/10.1016/j.heliyon.2022.e09828</w:t>
        </w:r>
      </w:hyperlink>
      <w:r w:rsidRPr="00323333">
        <w:rPr>
          <w:rFonts w:ascii="Times New Roman" w:hAnsi="Times New Roman" w:cs="Times New Roman"/>
          <w:sz w:val="24"/>
          <w:szCs w:val="24"/>
        </w:rPr>
        <w:t xml:space="preserve"> </w:t>
      </w:r>
    </w:p>
    <w:p w14:paraId="3D1E2E85" w14:textId="04AD1F7D"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Mudhita, I. K., Putra, R. A., Rahman, M. M., Widyobroto, B. P., Agussalim, &amp; Umami, N. (2024). The Silage Quality of Pennisetum purpureum Cultivar Gamma Umami Mixed with Calliandra calothyrsus and Lactiplantibacillus plantarum. Tropical Animal Science Journal, 47(1), 112–124. </w:t>
      </w:r>
      <w:hyperlink r:id="rId17" w:history="1">
        <w:r w:rsidRPr="00323333">
          <w:rPr>
            <w:rStyle w:val="Hyperlink"/>
            <w:rFonts w:ascii="Times New Roman" w:hAnsi="Times New Roman" w:cs="Times New Roman"/>
            <w:sz w:val="24"/>
            <w:szCs w:val="24"/>
          </w:rPr>
          <w:t>https://doi.org/10.5398/tasj.2024.47.1.112</w:t>
        </w:r>
      </w:hyperlink>
      <w:r w:rsidRPr="00323333">
        <w:rPr>
          <w:rFonts w:ascii="Times New Roman" w:hAnsi="Times New Roman" w:cs="Times New Roman"/>
          <w:sz w:val="24"/>
          <w:szCs w:val="24"/>
        </w:rPr>
        <w:t xml:space="preserve"> </w:t>
      </w:r>
    </w:p>
    <w:p w14:paraId="49EB7936" w14:textId="729C6FED"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Mustika, L. M., &amp; Hartutik, H. (2021). Kualitas Silase Tebon Jagung (Zea mays L.) dengan Penambahan Berbagai Bahan Aditif Ditinjau dari Kandungan Nutrisi. Jurnal Nutrisi Ternak Tropis, 4(1), 55–59. </w:t>
      </w:r>
      <w:hyperlink r:id="rId18" w:history="1">
        <w:r w:rsidRPr="00323333">
          <w:rPr>
            <w:rStyle w:val="Hyperlink"/>
            <w:rFonts w:ascii="Times New Roman" w:hAnsi="Times New Roman" w:cs="Times New Roman"/>
            <w:sz w:val="24"/>
            <w:szCs w:val="24"/>
          </w:rPr>
          <w:t>https://doi.org/10.21776/ub.jnt.2021.004.01.7</w:t>
        </w:r>
      </w:hyperlink>
      <w:r w:rsidRPr="00323333">
        <w:rPr>
          <w:rFonts w:ascii="Times New Roman" w:hAnsi="Times New Roman" w:cs="Times New Roman"/>
          <w:sz w:val="24"/>
          <w:szCs w:val="24"/>
        </w:rPr>
        <w:t xml:space="preserve"> </w:t>
      </w:r>
    </w:p>
    <w:p w14:paraId="6995DEBD" w14:textId="22DF5819"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Parwata, I. N. T. A</w:t>
      </w:r>
      <w:proofErr w:type="gramStart"/>
      <w:r w:rsidRPr="00323333">
        <w:rPr>
          <w:rFonts w:ascii="Times New Roman" w:hAnsi="Times New Roman" w:cs="Times New Roman"/>
          <w:sz w:val="24"/>
          <w:szCs w:val="24"/>
        </w:rPr>
        <w:t>. ,</w:t>
      </w:r>
      <w:proofErr w:type="gramEnd"/>
      <w:r w:rsidRPr="00323333">
        <w:rPr>
          <w:rFonts w:ascii="Times New Roman" w:hAnsi="Times New Roman" w:cs="Times New Roman"/>
          <w:sz w:val="24"/>
          <w:szCs w:val="24"/>
        </w:rPr>
        <w:t xml:space="preserve"> Cakra, I. G. L. O., &amp; Trisnadewi, A. A. . S. (2025). Pengaruh Penambahan Berbagai Macam Legum Dalam Silase Rumput Gajah Terhadap Kecernaan Dan Produk Fermentasi In-Vitro. Journal of Tropical Animal Science, 13, 152–164. </w:t>
      </w:r>
    </w:p>
    <w:p w14:paraId="358ED57F" w14:textId="2AF9D8BE"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lang w:val="da-DK"/>
        </w:rPr>
      </w:pPr>
      <w:r w:rsidRPr="00323333">
        <w:rPr>
          <w:rFonts w:ascii="Times New Roman" w:hAnsi="Times New Roman" w:cs="Times New Roman"/>
          <w:sz w:val="24"/>
          <w:szCs w:val="24"/>
        </w:rPr>
        <w:t xml:space="preserve">Pudjawati, N. H., Fita Ayu Widyaningtyas, Wisnu Arya Seta, Wafa Mei Diinaa Ibrahim, Ferlisca Sashy Reva, Harwin Fadia Lutfiyatus Sholichah, Dwi Cahyo Sampurno, Hafidz Amiruddin, Retno Cahyakinasih, &amp; Komala, I. (2024). Peningkatan Ketahanan Pakan Ternak Melalui Pembuatan Silase di Desa Pesantren, Kecamatan Blado, Kabupaten Batang. </w:t>
      </w:r>
      <w:r w:rsidRPr="00323333">
        <w:rPr>
          <w:rFonts w:ascii="Times New Roman" w:hAnsi="Times New Roman" w:cs="Times New Roman"/>
          <w:sz w:val="24"/>
          <w:szCs w:val="24"/>
          <w:lang w:val="da-DK"/>
        </w:rPr>
        <w:t xml:space="preserve">Jurnal Pusat Inovasi Masyarakat (PIM), 6(Khusus), 14–23. </w:t>
      </w:r>
      <w:hyperlink r:id="rId19" w:history="1">
        <w:r w:rsidRPr="00323333">
          <w:rPr>
            <w:rStyle w:val="Hyperlink"/>
            <w:rFonts w:ascii="Times New Roman" w:hAnsi="Times New Roman" w:cs="Times New Roman"/>
            <w:sz w:val="24"/>
            <w:szCs w:val="24"/>
            <w:lang w:val="da-DK"/>
          </w:rPr>
          <w:t>https://doi.org/10.29244/jpim.6.khusus.14-23</w:t>
        </w:r>
      </w:hyperlink>
      <w:r w:rsidRPr="00323333">
        <w:rPr>
          <w:rFonts w:ascii="Times New Roman" w:hAnsi="Times New Roman" w:cs="Times New Roman"/>
          <w:sz w:val="24"/>
          <w:szCs w:val="24"/>
          <w:lang w:val="da-DK"/>
        </w:rPr>
        <w:t xml:space="preserve"> </w:t>
      </w:r>
    </w:p>
    <w:p w14:paraId="43A14500" w14:textId="31AF8965"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lang w:val="da-DK"/>
        </w:rPr>
      </w:pPr>
      <w:r w:rsidRPr="00323333">
        <w:rPr>
          <w:rFonts w:ascii="Times New Roman" w:hAnsi="Times New Roman" w:cs="Times New Roman"/>
          <w:sz w:val="24"/>
          <w:szCs w:val="24"/>
          <w:lang w:val="da-DK"/>
        </w:rPr>
        <w:t xml:space="preserve">Sulistyawati, D., Susilawati, I., &amp; Indriani, N. P. (2024). Pengaruh Komposisi Campuran Hijauan Jagung G (Zea mays) dan Legum Kalliandra Merah (Calliandra calothyrsus) Terhadap Kualitas Fisik Wafer Pakan. Jurnal Nutrisi Ternak Tropis Dan Ilmu Pakan, 6(2), 75–83. </w:t>
      </w:r>
      <w:hyperlink r:id="rId20" w:history="1">
        <w:r w:rsidRPr="00323333">
          <w:rPr>
            <w:rStyle w:val="Hyperlink"/>
            <w:rFonts w:ascii="Times New Roman" w:hAnsi="Times New Roman" w:cs="Times New Roman"/>
            <w:sz w:val="24"/>
            <w:szCs w:val="24"/>
            <w:lang w:val="da-DK"/>
          </w:rPr>
          <w:t>https://doi.org/https://doi.org/10.24198/jnttip.v6i2.53720</w:t>
        </w:r>
      </w:hyperlink>
      <w:r w:rsidRPr="00323333">
        <w:rPr>
          <w:rFonts w:ascii="Times New Roman" w:hAnsi="Times New Roman" w:cs="Times New Roman"/>
          <w:sz w:val="24"/>
          <w:szCs w:val="24"/>
          <w:lang w:val="da-DK"/>
        </w:rPr>
        <w:t xml:space="preserve">  </w:t>
      </w:r>
    </w:p>
    <w:p w14:paraId="1CE0DF01"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Surono, M., Soejono, &amp; Budhi, S. P. S. (2006). Kehilangan Bahan Kering dan Bahan Organik Silase Rumput Gajah Pada Umur Potong dan Level Aditif yang Berbeda. </w:t>
      </w:r>
      <w:r w:rsidRPr="00323333">
        <w:rPr>
          <w:rFonts w:ascii="Times New Roman" w:hAnsi="Times New Roman" w:cs="Times New Roman"/>
          <w:sz w:val="24"/>
          <w:szCs w:val="24"/>
        </w:rPr>
        <w:t xml:space="preserve">Journal of the Indonesian Tropical Animal Agriculture, 31(1), 62–67. </w:t>
      </w:r>
    </w:p>
    <w:p w14:paraId="79D7E035"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lang w:val="da-DK"/>
        </w:rPr>
      </w:pPr>
      <w:r w:rsidRPr="00323333">
        <w:rPr>
          <w:rFonts w:ascii="Times New Roman" w:hAnsi="Times New Roman" w:cs="Times New Roman"/>
          <w:sz w:val="24"/>
          <w:szCs w:val="24"/>
        </w:rPr>
        <w:t xml:space="preserve">Susilawati, I., &amp; Khairani, D. L. (2017). </w:t>
      </w:r>
      <w:r w:rsidRPr="00323333">
        <w:rPr>
          <w:rFonts w:ascii="Times New Roman" w:hAnsi="Times New Roman" w:cs="Times New Roman"/>
          <w:sz w:val="24"/>
          <w:szCs w:val="24"/>
          <w:lang w:val="da-DK"/>
        </w:rPr>
        <w:t>Introduksi Pembuatan Pelet Hijauan Pakan Ternak Ruminansia di Arjasari Kabupaten Bandung. Jurnal Pengabdian Kepada Masyarakat, 1(4), 244–247.</w:t>
      </w:r>
    </w:p>
    <w:p w14:paraId="69C14FF5" w14:textId="0D2E6275"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Sutaryono, Y. A., Putra, R. A., Mardiansyah, M., Yuliani, E., Harjono, H., Mastur, M., Sukarne, S., Enawati, L. S., &amp; Dahlanuddin, D. (2023). </w:t>
      </w:r>
      <w:r w:rsidRPr="00323333">
        <w:rPr>
          <w:rFonts w:ascii="Times New Roman" w:hAnsi="Times New Roman" w:cs="Times New Roman"/>
          <w:sz w:val="24"/>
          <w:szCs w:val="24"/>
        </w:rPr>
        <w:t xml:space="preserve">Mixed Leucaena and molasses can increase the nutritional quality and rumen degradation of corn stover silage. Journal of Advanced Veterinary and Animal Research, 10(1), 118–125. </w:t>
      </w:r>
      <w:hyperlink r:id="rId21" w:history="1">
        <w:r w:rsidRPr="00323333">
          <w:rPr>
            <w:rStyle w:val="Hyperlink"/>
            <w:rFonts w:ascii="Times New Roman" w:hAnsi="Times New Roman" w:cs="Times New Roman"/>
            <w:sz w:val="24"/>
            <w:szCs w:val="24"/>
          </w:rPr>
          <w:t>https://doi.org/10.5455/javar.2023.j660</w:t>
        </w:r>
      </w:hyperlink>
      <w:r w:rsidRPr="00323333">
        <w:rPr>
          <w:rFonts w:ascii="Times New Roman" w:hAnsi="Times New Roman" w:cs="Times New Roman"/>
          <w:sz w:val="24"/>
          <w:szCs w:val="24"/>
        </w:rPr>
        <w:t xml:space="preserve">  </w:t>
      </w:r>
    </w:p>
    <w:p w14:paraId="382549D7" w14:textId="7C30A070"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Tanuwiria, U. H., &amp; Hidayat, R. (2019). Efek Level Tanin pada Proteksi Protein Tepung Keong Mas (Pomacea canaliculata) terhadap Fermentabilitas dan Kecernaan in vitro. Jurnal Ilmu Ternak, Desember, 19(2), 122–130. </w:t>
      </w:r>
      <w:hyperlink r:id="rId22" w:history="1">
        <w:r w:rsidRPr="00323333">
          <w:rPr>
            <w:rStyle w:val="Hyperlink"/>
            <w:rFonts w:ascii="Times New Roman" w:hAnsi="Times New Roman" w:cs="Times New Roman"/>
            <w:sz w:val="24"/>
            <w:szCs w:val="24"/>
          </w:rPr>
          <w:t>https://doi.org/10.24198/jit.v19i2.25730</w:t>
        </w:r>
      </w:hyperlink>
      <w:r w:rsidRPr="00323333">
        <w:rPr>
          <w:rFonts w:ascii="Times New Roman" w:hAnsi="Times New Roman" w:cs="Times New Roman"/>
          <w:sz w:val="24"/>
          <w:szCs w:val="24"/>
        </w:rPr>
        <w:t xml:space="preserve">  </w:t>
      </w:r>
    </w:p>
    <w:p w14:paraId="098E7CCC"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lastRenderedPageBreak/>
        <w:t xml:space="preserve">Tilley, J. M. A., &amp; Terry, R. A. (1963). A TWO-STAGE TECHNIQUE FOR THE IN VITRO DIGESTION OF FORAGE CROPS. The Grassland Research Institute, 104–111. </w:t>
      </w:r>
    </w:p>
    <w:p w14:paraId="3A5660B9" w14:textId="5673B382"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Wardana, I. K. A., Tonga, Y., &amp; Sutapa, I. G. (2019). Berbagai Imbangan Jerami Padi Dengan Kaliandra (Calliandracalothyrsus) Terfermentasi Terhadap Penampilan Fisik dan Nutrisi Silase. Gema Agro, 24(1), 47–53. </w:t>
      </w:r>
      <w:hyperlink r:id="rId23" w:history="1">
        <w:r w:rsidRPr="00323333">
          <w:rPr>
            <w:rStyle w:val="Hyperlink"/>
            <w:rFonts w:ascii="Times New Roman" w:hAnsi="Times New Roman" w:cs="Times New Roman"/>
            <w:sz w:val="24"/>
            <w:szCs w:val="24"/>
          </w:rPr>
          <w:t>https://doi.org/https://doi.org/10.22225/ga.24.1.1699.47-53</w:t>
        </w:r>
      </w:hyperlink>
      <w:r w:rsidRPr="00323333">
        <w:rPr>
          <w:rFonts w:ascii="Times New Roman" w:hAnsi="Times New Roman" w:cs="Times New Roman"/>
          <w:sz w:val="24"/>
          <w:szCs w:val="24"/>
        </w:rPr>
        <w:t xml:space="preserve">    </w:t>
      </w:r>
    </w:p>
    <w:p w14:paraId="1EC95F0B" w14:textId="7777777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Widyastuti, U. (2008). </w:t>
      </w:r>
      <w:r w:rsidRPr="00323333">
        <w:rPr>
          <w:rFonts w:ascii="Times New Roman" w:hAnsi="Times New Roman" w:cs="Times New Roman"/>
          <w:sz w:val="24"/>
          <w:szCs w:val="24"/>
          <w:lang w:val="da-DK"/>
        </w:rPr>
        <w:t xml:space="preserve">Fermentasi Silase dan Manfaat Probiotik Silase bagi Ruminansia. </w:t>
      </w:r>
      <w:r w:rsidRPr="00323333">
        <w:rPr>
          <w:rFonts w:ascii="Times New Roman" w:hAnsi="Times New Roman" w:cs="Times New Roman"/>
          <w:sz w:val="24"/>
          <w:szCs w:val="24"/>
        </w:rPr>
        <w:t xml:space="preserve">Media Peternakan, 31(3), 225–232. </w:t>
      </w:r>
    </w:p>
    <w:p w14:paraId="62F487CE" w14:textId="62C8D8D7" w:rsidR="00323333" w:rsidRPr="00323333" w:rsidRDefault="00323333" w:rsidP="00323333">
      <w:pPr>
        <w:pStyle w:val="ListParagraph"/>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nl-BE"/>
        </w:rPr>
        <w:t xml:space="preserve">Zhao, R., Sun, J., Lin, Y., Yan, H., Zhang, S., Huo, W., Chen, L., Liu, Q., Wang, C., &amp; Guo, G. (2025). </w:t>
      </w:r>
      <w:r w:rsidRPr="00323333">
        <w:rPr>
          <w:rFonts w:ascii="Times New Roman" w:hAnsi="Times New Roman" w:cs="Times New Roman"/>
          <w:sz w:val="24"/>
          <w:szCs w:val="24"/>
        </w:rPr>
        <w:t xml:space="preserve">Effects of Dietary Tannic Acid and Tea Polyphenol Supplementation on Rumen Fermentation, Methane Emissions, Milk Protein Synthesis and Microbiota in Cows. Microorganisms, 13(8). </w:t>
      </w:r>
      <w:hyperlink r:id="rId24" w:history="1">
        <w:r w:rsidRPr="00323333">
          <w:rPr>
            <w:rStyle w:val="Hyperlink"/>
            <w:rFonts w:ascii="Times New Roman" w:hAnsi="Times New Roman" w:cs="Times New Roman"/>
            <w:sz w:val="24"/>
            <w:szCs w:val="24"/>
          </w:rPr>
          <w:t>https://doi.org/10.3390/microorganisms13081848</w:t>
        </w:r>
      </w:hyperlink>
      <w:r w:rsidRPr="00323333">
        <w:rPr>
          <w:rFonts w:ascii="Times New Roman" w:hAnsi="Times New Roman" w:cs="Times New Roman"/>
          <w:sz w:val="24"/>
          <w:szCs w:val="24"/>
        </w:rPr>
        <w:t xml:space="preserve"> </w:t>
      </w:r>
    </w:p>
    <w:p w14:paraId="11DE7613" w14:textId="03C25A61" w:rsidR="00323333" w:rsidRPr="00323333" w:rsidRDefault="00323333" w:rsidP="00323333">
      <w:pPr>
        <w:autoSpaceDE w:val="0"/>
        <w:autoSpaceDN w:val="0"/>
        <w:ind w:left="480"/>
        <w:jc w:val="both"/>
        <w:divId w:val="657466328"/>
        <w:rPr>
          <w:rFonts w:ascii="Times New Roman" w:eastAsia="Times New Roman" w:hAnsi="Times New Roman" w:cs="Times New Roman"/>
          <w:color w:val="000000"/>
          <w:sz w:val="24"/>
        </w:rPr>
      </w:pPr>
    </w:p>
    <w:p w14:paraId="0BC89495" w14:textId="15AEAE3F" w:rsidR="00456232" w:rsidRPr="0044793F" w:rsidRDefault="00456232" w:rsidP="001D0E5A">
      <w:pPr>
        <w:spacing w:before="240" w:after="240" w:line="240" w:lineRule="auto"/>
        <w:jc w:val="both"/>
        <w:rPr>
          <w:rFonts w:ascii="Times New Roman" w:hAnsi="Times New Roman" w:cs="Times New Roman"/>
          <w:sz w:val="24"/>
          <w:szCs w:val="24"/>
        </w:rPr>
      </w:pPr>
    </w:p>
    <w:sectPr w:rsidR="00456232" w:rsidRPr="0044793F" w:rsidSect="00A63CF0">
      <w:pgSz w:w="11909" w:h="16834" w:code="9"/>
      <w:pgMar w:top="1080" w:right="605" w:bottom="605" w:left="605" w:header="878"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1B851" w14:textId="77777777" w:rsidR="00D817AD" w:rsidRDefault="00D817AD" w:rsidP="00277064">
      <w:pPr>
        <w:spacing w:line="240" w:lineRule="auto"/>
      </w:pPr>
      <w:r>
        <w:separator/>
      </w:r>
    </w:p>
  </w:endnote>
  <w:endnote w:type="continuationSeparator" w:id="0">
    <w:p w14:paraId="3641B95C" w14:textId="77777777" w:rsidR="00D817AD" w:rsidRDefault="00D817AD" w:rsidP="0027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A40A8" w14:textId="77777777" w:rsidR="00D817AD" w:rsidRDefault="00D817AD" w:rsidP="00277064">
      <w:pPr>
        <w:spacing w:line="240" w:lineRule="auto"/>
      </w:pPr>
      <w:r>
        <w:separator/>
      </w:r>
    </w:p>
  </w:footnote>
  <w:footnote w:type="continuationSeparator" w:id="0">
    <w:p w14:paraId="634A6A7B" w14:textId="77777777" w:rsidR="00D817AD" w:rsidRDefault="00D817AD" w:rsidP="002770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1C4A"/>
    <w:multiLevelType w:val="hybridMultilevel"/>
    <w:tmpl w:val="FFD2D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0D7922"/>
    <w:multiLevelType w:val="hybridMultilevel"/>
    <w:tmpl w:val="BDC6F3A0"/>
    <w:lvl w:ilvl="0" w:tplc="64DE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57654"/>
    <w:multiLevelType w:val="hybridMultilevel"/>
    <w:tmpl w:val="7688CA8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A0710"/>
    <w:multiLevelType w:val="hybridMultilevel"/>
    <w:tmpl w:val="3694271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95246"/>
    <w:multiLevelType w:val="hybridMultilevel"/>
    <w:tmpl w:val="101EAC86"/>
    <w:lvl w:ilvl="0" w:tplc="155249FE">
      <w:start w:val="63"/>
      <w:numFmt w:val="decimal"/>
      <w:lvlText w:val="%1"/>
      <w:lvlJc w:val="left"/>
      <w:pPr>
        <w:ind w:left="1599" w:hanging="1306"/>
      </w:pPr>
      <w:rPr>
        <w:rFonts w:ascii="Calibri" w:eastAsia="Calibri" w:hAnsi="Calibri" w:cs="Calibri" w:hint="default"/>
        <w:b w:val="0"/>
        <w:bCs w:val="0"/>
        <w:i w:val="0"/>
        <w:iCs w:val="0"/>
        <w:spacing w:val="0"/>
        <w:w w:val="100"/>
        <w:sz w:val="22"/>
        <w:szCs w:val="22"/>
        <w:lang w:val="en-US" w:eastAsia="en-US" w:bidi="ar-SA"/>
      </w:rPr>
    </w:lvl>
    <w:lvl w:ilvl="1" w:tplc="E8B2B064">
      <w:numFmt w:val="bullet"/>
      <w:lvlText w:val="•"/>
      <w:lvlJc w:val="left"/>
      <w:pPr>
        <w:ind w:left="2531" w:hanging="1306"/>
      </w:pPr>
      <w:rPr>
        <w:lang w:val="en-US" w:eastAsia="en-US" w:bidi="ar-SA"/>
      </w:rPr>
    </w:lvl>
    <w:lvl w:ilvl="2" w:tplc="6172C3B6">
      <w:numFmt w:val="bullet"/>
      <w:lvlText w:val="•"/>
      <w:lvlJc w:val="left"/>
      <w:pPr>
        <w:ind w:left="3463" w:hanging="1306"/>
      </w:pPr>
      <w:rPr>
        <w:lang w:val="en-US" w:eastAsia="en-US" w:bidi="ar-SA"/>
      </w:rPr>
    </w:lvl>
    <w:lvl w:ilvl="3" w:tplc="987C67E2">
      <w:numFmt w:val="bullet"/>
      <w:lvlText w:val="•"/>
      <w:lvlJc w:val="left"/>
      <w:pPr>
        <w:ind w:left="4395" w:hanging="1306"/>
      </w:pPr>
      <w:rPr>
        <w:lang w:val="en-US" w:eastAsia="en-US" w:bidi="ar-SA"/>
      </w:rPr>
    </w:lvl>
    <w:lvl w:ilvl="4" w:tplc="C5F49DC0">
      <w:numFmt w:val="bullet"/>
      <w:lvlText w:val="•"/>
      <w:lvlJc w:val="left"/>
      <w:pPr>
        <w:ind w:left="5327" w:hanging="1306"/>
      </w:pPr>
      <w:rPr>
        <w:lang w:val="en-US" w:eastAsia="en-US" w:bidi="ar-SA"/>
      </w:rPr>
    </w:lvl>
    <w:lvl w:ilvl="5" w:tplc="721E7622">
      <w:numFmt w:val="bullet"/>
      <w:lvlText w:val="•"/>
      <w:lvlJc w:val="left"/>
      <w:pPr>
        <w:ind w:left="6259" w:hanging="1306"/>
      </w:pPr>
      <w:rPr>
        <w:lang w:val="en-US" w:eastAsia="en-US" w:bidi="ar-SA"/>
      </w:rPr>
    </w:lvl>
    <w:lvl w:ilvl="6" w:tplc="5CF47590">
      <w:numFmt w:val="bullet"/>
      <w:lvlText w:val="•"/>
      <w:lvlJc w:val="left"/>
      <w:pPr>
        <w:ind w:left="7191" w:hanging="1306"/>
      </w:pPr>
      <w:rPr>
        <w:lang w:val="en-US" w:eastAsia="en-US" w:bidi="ar-SA"/>
      </w:rPr>
    </w:lvl>
    <w:lvl w:ilvl="7" w:tplc="7BCCD424">
      <w:numFmt w:val="bullet"/>
      <w:lvlText w:val="•"/>
      <w:lvlJc w:val="left"/>
      <w:pPr>
        <w:ind w:left="8123" w:hanging="1306"/>
      </w:pPr>
      <w:rPr>
        <w:lang w:val="en-US" w:eastAsia="en-US" w:bidi="ar-SA"/>
      </w:rPr>
    </w:lvl>
    <w:lvl w:ilvl="8" w:tplc="205015CE">
      <w:numFmt w:val="bullet"/>
      <w:lvlText w:val="•"/>
      <w:lvlJc w:val="left"/>
      <w:pPr>
        <w:ind w:left="9055" w:hanging="1306"/>
      </w:pPr>
      <w:rPr>
        <w:lang w:val="en-US" w:eastAsia="en-US" w:bidi="ar-SA"/>
      </w:rPr>
    </w:lvl>
  </w:abstractNum>
  <w:abstractNum w:abstractNumId="5">
    <w:nsid w:val="5A9556E2"/>
    <w:multiLevelType w:val="hybridMultilevel"/>
    <w:tmpl w:val="DFA8E8E0"/>
    <w:lvl w:ilvl="0" w:tplc="C5C6E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66E70334"/>
    <w:multiLevelType w:val="hybridMultilevel"/>
    <w:tmpl w:val="2E1E8D2C"/>
    <w:lvl w:ilvl="0" w:tplc="CE6235BE">
      <w:numFmt w:val="bullet"/>
      <w:lvlText w:val=""/>
      <w:lvlJc w:val="left"/>
      <w:pPr>
        <w:ind w:left="-280" w:hanging="44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6F734DC7"/>
    <w:multiLevelType w:val="hybridMultilevel"/>
    <w:tmpl w:val="4EB048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AEA3740"/>
    <w:multiLevelType w:val="multilevel"/>
    <w:tmpl w:val="C1D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3"/>
  </w:num>
  <w:num w:numId="5">
    <w:abstractNumId w:val="7"/>
  </w:num>
  <w:num w:numId="6">
    <w:abstractNumId w:val="5"/>
  </w:num>
  <w:num w:numId="7">
    <w:abstractNumId w:val="6"/>
  </w:num>
  <w:num w:numId="8">
    <w:abstractNumId w:val="4"/>
    <w:lvlOverride w:ilvl="0">
      <w:startOverride w:val="63"/>
    </w:lvlOverride>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CB"/>
    <w:rsid w:val="000113FD"/>
    <w:rsid w:val="00012D53"/>
    <w:rsid w:val="00013C41"/>
    <w:rsid w:val="00013F32"/>
    <w:rsid w:val="000342CE"/>
    <w:rsid w:val="00037EA8"/>
    <w:rsid w:val="0004053A"/>
    <w:rsid w:val="000552D1"/>
    <w:rsid w:val="00060E8B"/>
    <w:rsid w:val="00061E2A"/>
    <w:rsid w:val="00065249"/>
    <w:rsid w:val="000663D1"/>
    <w:rsid w:val="00071929"/>
    <w:rsid w:val="0007596E"/>
    <w:rsid w:val="0007714A"/>
    <w:rsid w:val="00086B0C"/>
    <w:rsid w:val="00095281"/>
    <w:rsid w:val="000A079E"/>
    <w:rsid w:val="000A31FC"/>
    <w:rsid w:val="000A3DBC"/>
    <w:rsid w:val="000A5901"/>
    <w:rsid w:val="000A7795"/>
    <w:rsid w:val="000B1276"/>
    <w:rsid w:val="000D26DD"/>
    <w:rsid w:val="000E0D1C"/>
    <w:rsid w:val="000E294C"/>
    <w:rsid w:val="000E40BA"/>
    <w:rsid w:val="000E71AF"/>
    <w:rsid w:val="000F7AD4"/>
    <w:rsid w:val="00100395"/>
    <w:rsid w:val="0010534F"/>
    <w:rsid w:val="0011406E"/>
    <w:rsid w:val="001155F6"/>
    <w:rsid w:val="00115CD9"/>
    <w:rsid w:val="00120EF3"/>
    <w:rsid w:val="00136057"/>
    <w:rsid w:val="00153380"/>
    <w:rsid w:val="00155D21"/>
    <w:rsid w:val="00156136"/>
    <w:rsid w:val="00170D64"/>
    <w:rsid w:val="00191258"/>
    <w:rsid w:val="00192423"/>
    <w:rsid w:val="001A379F"/>
    <w:rsid w:val="001A523F"/>
    <w:rsid w:val="001B26B3"/>
    <w:rsid w:val="001D0A0D"/>
    <w:rsid w:val="001D0E5A"/>
    <w:rsid w:val="001D6327"/>
    <w:rsid w:val="001E63DF"/>
    <w:rsid w:val="001F1284"/>
    <w:rsid w:val="001F1D13"/>
    <w:rsid w:val="001F3141"/>
    <w:rsid w:val="001F3D43"/>
    <w:rsid w:val="002064EF"/>
    <w:rsid w:val="0020657E"/>
    <w:rsid w:val="00206B50"/>
    <w:rsid w:val="00224848"/>
    <w:rsid w:val="00227C57"/>
    <w:rsid w:val="00232397"/>
    <w:rsid w:val="0025081C"/>
    <w:rsid w:val="00255748"/>
    <w:rsid w:val="002569DF"/>
    <w:rsid w:val="002654FF"/>
    <w:rsid w:val="00265DA4"/>
    <w:rsid w:val="0026733C"/>
    <w:rsid w:val="00275533"/>
    <w:rsid w:val="00277064"/>
    <w:rsid w:val="00281D81"/>
    <w:rsid w:val="0029137D"/>
    <w:rsid w:val="00292A85"/>
    <w:rsid w:val="002A0835"/>
    <w:rsid w:val="002B7A71"/>
    <w:rsid w:val="002D2BFE"/>
    <w:rsid w:val="002D6187"/>
    <w:rsid w:val="002E047C"/>
    <w:rsid w:val="002E4D5B"/>
    <w:rsid w:val="002E7F7D"/>
    <w:rsid w:val="002F44EA"/>
    <w:rsid w:val="002F5E52"/>
    <w:rsid w:val="00314504"/>
    <w:rsid w:val="003145EA"/>
    <w:rsid w:val="00323333"/>
    <w:rsid w:val="00330307"/>
    <w:rsid w:val="00344727"/>
    <w:rsid w:val="0034606E"/>
    <w:rsid w:val="00356B92"/>
    <w:rsid w:val="00370486"/>
    <w:rsid w:val="003704CB"/>
    <w:rsid w:val="00371AF3"/>
    <w:rsid w:val="00372A95"/>
    <w:rsid w:val="00374936"/>
    <w:rsid w:val="00377E4A"/>
    <w:rsid w:val="003846B1"/>
    <w:rsid w:val="00386212"/>
    <w:rsid w:val="00392826"/>
    <w:rsid w:val="00396EC7"/>
    <w:rsid w:val="003B51B5"/>
    <w:rsid w:val="003B554B"/>
    <w:rsid w:val="003C4AAF"/>
    <w:rsid w:val="003E15AA"/>
    <w:rsid w:val="003E3532"/>
    <w:rsid w:val="003E3A90"/>
    <w:rsid w:val="003F74B4"/>
    <w:rsid w:val="00404CDC"/>
    <w:rsid w:val="00406A37"/>
    <w:rsid w:val="00407376"/>
    <w:rsid w:val="00412AF6"/>
    <w:rsid w:val="00426B7D"/>
    <w:rsid w:val="00432280"/>
    <w:rsid w:val="0043470D"/>
    <w:rsid w:val="00436DA5"/>
    <w:rsid w:val="0044793F"/>
    <w:rsid w:val="00456232"/>
    <w:rsid w:val="0046373D"/>
    <w:rsid w:val="004669D0"/>
    <w:rsid w:val="00470CB7"/>
    <w:rsid w:val="0047391D"/>
    <w:rsid w:val="00477629"/>
    <w:rsid w:val="00486B55"/>
    <w:rsid w:val="004873CA"/>
    <w:rsid w:val="004A2A24"/>
    <w:rsid w:val="004A2F12"/>
    <w:rsid w:val="004A6B1F"/>
    <w:rsid w:val="004B24C4"/>
    <w:rsid w:val="004B36D6"/>
    <w:rsid w:val="004D42CC"/>
    <w:rsid w:val="004E2F66"/>
    <w:rsid w:val="004F1A12"/>
    <w:rsid w:val="004F6C5E"/>
    <w:rsid w:val="005105EB"/>
    <w:rsid w:val="005106FB"/>
    <w:rsid w:val="005255E3"/>
    <w:rsid w:val="00533242"/>
    <w:rsid w:val="00533BC1"/>
    <w:rsid w:val="005475C5"/>
    <w:rsid w:val="0056503D"/>
    <w:rsid w:val="0057378E"/>
    <w:rsid w:val="00574618"/>
    <w:rsid w:val="00581F2A"/>
    <w:rsid w:val="00591719"/>
    <w:rsid w:val="00594C27"/>
    <w:rsid w:val="00597DB8"/>
    <w:rsid w:val="005A07E4"/>
    <w:rsid w:val="005B327C"/>
    <w:rsid w:val="005D1EED"/>
    <w:rsid w:val="005D36E9"/>
    <w:rsid w:val="005D4FA8"/>
    <w:rsid w:val="005D6AA9"/>
    <w:rsid w:val="005D6B02"/>
    <w:rsid w:val="005D760B"/>
    <w:rsid w:val="005D7727"/>
    <w:rsid w:val="005E708B"/>
    <w:rsid w:val="005F23D2"/>
    <w:rsid w:val="005F6FA5"/>
    <w:rsid w:val="005F7C47"/>
    <w:rsid w:val="00600DF0"/>
    <w:rsid w:val="00604814"/>
    <w:rsid w:val="00616FBD"/>
    <w:rsid w:val="00622DEA"/>
    <w:rsid w:val="00623CE5"/>
    <w:rsid w:val="00625E46"/>
    <w:rsid w:val="00631EF9"/>
    <w:rsid w:val="00641AAA"/>
    <w:rsid w:val="006516EF"/>
    <w:rsid w:val="00660B4E"/>
    <w:rsid w:val="006636E7"/>
    <w:rsid w:val="00670147"/>
    <w:rsid w:val="006767E6"/>
    <w:rsid w:val="006A034D"/>
    <w:rsid w:val="006A30BC"/>
    <w:rsid w:val="006A41AD"/>
    <w:rsid w:val="006A6062"/>
    <w:rsid w:val="006A7FB4"/>
    <w:rsid w:val="006D02E6"/>
    <w:rsid w:val="006D0D0E"/>
    <w:rsid w:val="006D64E5"/>
    <w:rsid w:val="006E3881"/>
    <w:rsid w:val="006E6DB9"/>
    <w:rsid w:val="006F02A4"/>
    <w:rsid w:val="006F7172"/>
    <w:rsid w:val="007020BE"/>
    <w:rsid w:val="00714782"/>
    <w:rsid w:val="00766C66"/>
    <w:rsid w:val="00774C73"/>
    <w:rsid w:val="00777069"/>
    <w:rsid w:val="007B4952"/>
    <w:rsid w:val="007B5C7E"/>
    <w:rsid w:val="007C3283"/>
    <w:rsid w:val="007C6378"/>
    <w:rsid w:val="007D7C0D"/>
    <w:rsid w:val="007F4DF0"/>
    <w:rsid w:val="0081188C"/>
    <w:rsid w:val="00825140"/>
    <w:rsid w:val="008329D2"/>
    <w:rsid w:val="00853796"/>
    <w:rsid w:val="00855BA5"/>
    <w:rsid w:val="0085642C"/>
    <w:rsid w:val="00860A4C"/>
    <w:rsid w:val="00863051"/>
    <w:rsid w:val="00864B05"/>
    <w:rsid w:val="0086699E"/>
    <w:rsid w:val="008934CE"/>
    <w:rsid w:val="008952BE"/>
    <w:rsid w:val="0089760C"/>
    <w:rsid w:val="008A0E52"/>
    <w:rsid w:val="008B6742"/>
    <w:rsid w:val="008B6930"/>
    <w:rsid w:val="008C3AC0"/>
    <w:rsid w:val="008C5CCE"/>
    <w:rsid w:val="008D4A45"/>
    <w:rsid w:val="008E1517"/>
    <w:rsid w:val="008F0E29"/>
    <w:rsid w:val="008F38CB"/>
    <w:rsid w:val="009035A9"/>
    <w:rsid w:val="0092224C"/>
    <w:rsid w:val="009267B8"/>
    <w:rsid w:val="009267C6"/>
    <w:rsid w:val="00932E32"/>
    <w:rsid w:val="009331A6"/>
    <w:rsid w:val="00933D6C"/>
    <w:rsid w:val="0094290D"/>
    <w:rsid w:val="00960C7D"/>
    <w:rsid w:val="00986250"/>
    <w:rsid w:val="00986A3D"/>
    <w:rsid w:val="009A15D3"/>
    <w:rsid w:val="009A483A"/>
    <w:rsid w:val="009A6C9E"/>
    <w:rsid w:val="009A7F1A"/>
    <w:rsid w:val="009E34FD"/>
    <w:rsid w:val="009E4E48"/>
    <w:rsid w:val="009F4751"/>
    <w:rsid w:val="00A006C1"/>
    <w:rsid w:val="00A07AF5"/>
    <w:rsid w:val="00A221A4"/>
    <w:rsid w:val="00A2701D"/>
    <w:rsid w:val="00A27852"/>
    <w:rsid w:val="00A370BC"/>
    <w:rsid w:val="00A54854"/>
    <w:rsid w:val="00A554D2"/>
    <w:rsid w:val="00A63310"/>
    <w:rsid w:val="00A63CF0"/>
    <w:rsid w:val="00A71DE3"/>
    <w:rsid w:val="00A96D76"/>
    <w:rsid w:val="00AA19AF"/>
    <w:rsid w:val="00AB2287"/>
    <w:rsid w:val="00AC5118"/>
    <w:rsid w:val="00AD04D5"/>
    <w:rsid w:val="00AD2DA2"/>
    <w:rsid w:val="00AE3731"/>
    <w:rsid w:val="00AE5FEC"/>
    <w:rsid w:val="00AF494D"/>
    <w:rsid w:val="00B42907"/>
    <w:rsid w:val="00B46F1B"/>
    <w:rsid w:val="00B47FFB"/>
    <w:rsid w:val="00B55D62"/>
    <w:rsid w:val="00B77CCC"/>
    <w:rsid w:val="00B871F9"/>
    <w:rsid w:val="00B900BF"/>
    <w:rsid w:val="00B92D6B"/>
    <w:rsid w:val="00B93406"/>
    <w:rsid w:val="00B9341D"/>
    <w:rsid w:val="00B93BC5"/>
    <w:rsid w:val="00B96FC8"/>
    <w:rsid w:val="00BB45B8"/>
    <w:rsid w:val="00BB5B83"/>
    <w:rsid w:val="00BD7B63"/>
    <w:rsid w:val="00BE1696"/>
    <w:rsid w:val="00BF00E5"/>
    <w:rsid w:val="00BF55B4"/>
    <w:rsid w:val="00BF616A"/>
    <w:rsid w:val="00C179C7"/>
    <w:rsid w:val="00C22D5A"/>
    <w:rsid w:val="00C24761"/>
    <w:rsid w:val="00C254C8"/>
    <w:rsid w:val="00C271DD"/>
    <w:rsid w:val="00C31412"/>
    <w:rsid w:val="00C36C6F"/>
    <w:rsid w:val="00C4716F"/>
    <w:rsid w:val="00C54751"/>
    <w:rsid w:val="00C661D8"/>
    <w:rsid w:val="00C674B4"/>
    <w:rsid w:val="00C67CD0"/>
    <w:rsid w:val="00C70CD1"/>
    <w:rsid w:val="00C728F5"/>
    <w:rsid w:val="00C754A5"/>
    <w:rsid w:val="00C82249"/>
    <w:rsid w:val="00C97A1C"/>
    <w:rsid w:val="00CA1D5C"/>
    <w:rsid w:val="00CB344E"/>
    <w:rsid w:val="00CB4E3A"/>
    <w:rsid w:val="00CB5457"/>
    <w:rsid w:val="00CC2583"/>
    <w:rsid w:val="00CE7F5B"/>
    <w:rsid w:val="00CF2DFD"/>
    <w:rsid w:val="00CF4297"/>
    <w:rsid w:val="00CF7694"/>
    <w:rsid w:val="00D07194"/>
    <w:rsid w:val="00D12D1D"/>
    <w:rsid w:val="00D13D4B"/>
    <w:rsid w:val="00D1761D"/>
    <w:rsid w:val="00D17A34"/>
    <w:rsid w:val="00D309CC"/>
    <w:rsid w:val="00D31B4E"/>
    <w:rsid w:val="00D32DF4"/>
    <w:rsid w:val="00D3387D"/>
    <w:rsid w:val="00D435D2"/>
    <w:rsid w:val="00D53580"/>
    <w:rsid w:val="00D54C2C"/>
    <w:rsid w:val="00D60830"/>
    <w:rsid w:val="00D62034"/>
    <w:rsid w:val="00D710F1"/>
    <w:rsid w:val="00D7136C"/>
    <w:rsid w:val="00D77F93"/>
    <w:rsid w:val="00D802EF"/>
    <w:rsid w:val="00D817AD"/>
    <w:rsid w:val="00D82E4D"/>
    <w:rsid w:val="00D93C85"/>
    <w:rsid w:val="00DA4862"/>
    <w:rsid w:val="00DC0082"/>
    <w:rsid w:val="00DC308B"/>
    <w:rsid w:val="00E0539D"/>
    <w:rsid w:val="00E30F8E"/>
    <w:rsid w:val="00E3143D"/>
    <w:rsid w:val="00E410CA"/>
    <w:rsid w:val="00E56B23"/>
    <w:rsid w:val="00E61709"/>
    <w:rsid w:val="00E73D91"/>
    <w:rsid w:val="00E77E1A"/>
    <w:rsid w:val="00E800FA"/>
    <w:rsid w:val="00E818FA"/>
    <w:rsid w:val="00E96CF6"/>
    <w:rsid w:val="00EA34AB"/>
    <w:rsid w:val="00EB7DE9"/>
    <w:rsid w:val="00EC5278"/>
    <w:rsid w:val="00ED5D21"/>
    <w:rsid w:val="00EF2DCA"/>
    <w:rsid w:val="00EF42E9"/>
    <w:rsid w:val="00F013B0"/>
    <w:rsid w:val="00F21C87"/>
    <w:rsid w:val="00F2734C"/>
    <w:rsid w:val="00F33528"/>
    <w:rsid w:val="00F427BD"/>
    <w:rsid w:val="00F6521B"/>
    <w:rsid w:val="00F65901"/>
    <w:rsid w:val="00F73E88"/>
    <w:rsid w:val="00F775BA"/>
    <w:rsid w:val="00F96245"/>
    <w:rsid w:val="00FD6149"/>
    <w:rsid w:val="00FE3EA8"/>
    <w:rsid w:val="00FE5132"/>
    <w:rsid w:val="00FF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0"/>
  </w:style>
  <w:style w:type="paragraph" w:styleId="Heading1">
    <w:name w:val="heading 1"/>
    <w:basedOn w:val="Normal"/>
    <w:next w:val="Normal"/>
    <w:link w:val="Heading1Ch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CB"/>
    <w:rPr>
      <w:rFonts w:eastAsiaTheme="majorEastAsia" w:cstheme="majorBidi"/>
      <w:color w:val="272727" w:themeColor="text1" w:themeTint="D8"/>
    </w:rPr>
  </w:style>
  <w:style w:type="paragraph" w:styleId="Title">
    <w:name w:val="Title"/>
    <w:basedOn w:val="Normal"/>
    <w:next w:val="Normal"/>
    <w:link w:val="TitleCh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CB"/>
    <w:pPr>
      <w:spacing w:before="160" w:after="160"/>
    </w:pPr>
    <w:rPr>
      <w:i/>
      <w:iCs/>
      <w:color w:val="404040" w:themeColor="text1" w:themeTint="BF"/>
    </w:rPr>
  </w:style>
  <w:style w:type="character" w:customStyle="1" w:styleId="QuoteChar">
    <w:name w:val="Quote Char"/>
    <w:basedOn w:val="DefaultParagraphFont"/>
    <w:link w:val="Quote"/>
    <w:uiPriority w:val="29"/>
    <w:rsid w:val="008F38CB"/>
    <w:rPr>
      <w:i/>
      <w:iCs/>
      <w:color w:val="404040" w:themeColor="text1" w:themeTint="BF"/>
    </w:rPr>
  </w:style>
  <w:style w:type="paragraph" w:styleId="ListParagraph">
    <w:name w:val="List Paragraph"/>
    <w:basedOn w:val="Normal"/>
    <w:uiPriority w:val="34"/>
    <w:qFormat/>
    <w:rsid w:val="008F38CB"/>
    <w:pPr>
      <w:ind w:left="720"/>
      <w:contextualSpacing/>
    </w:pPr>
  </w:style>
  <w:style w:type="character" w:styleId="IntenseEmphasis">
    <w:name w:val="Intense Emphasis"/>
    <w:basedOn w:val="DefaultParagraphFont"/>
    <w:uiPriority w:val="21"/>
    <w:qFormat/>
    <w:rsid w:val="008F38CB"/>
    <w:rPr>
      <w:i/>
      <w:iCs/>
      <w:color w:val="2F5496" w:themeColor="accent1" w:themeShade="BF"/>
    </w:rPr>
  </w:style>
  <w:style w:type="paragraph" w:styleId="IntenseQuote">
    <w:name w:val="Intense Quote"/>
    <w:basedOn w:val="Normal"/>
    <w:next w:val="Normal"/>
    <w:link w:val="IntenseQuoteCh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F38CB"/>
    <w:rPr>
      <w:i/>
      <w:iCs/>
      <w:color w:val="2F5496" w:themeColor="accent1" w:themeShade="BF"/>
    </w:rPr>
  </w:style>
  <w:style w:type="character" w:styleId="IntenseReference">
    <w:name w:val="Intense Reference"/>
    <w:basedOn w:val="DefaultParagraphFont"/>
    <w:uiPriority w:val="32"/>
    <w:qFormat/>
    <w:rsid w:val="008F38CB"/>
    <w:rPr>
      <w:b/>
      <w:bCs/>
      <w:smallCaps/>
      <w:color w:val="2F5496" w:themeColor="accent1" w:themeShade="BF"/>
      <w:spacing w:val="5"/>
    </w:rPr>
  </w:style>
  <w:style w:type="table" w:styleId="TableGrid">
    <w:name w:val="Table Grid"/>
    <w:basedOn w:val="TableNormal"/>
    <w:uiPriority w:val="39"/>
    <w:rsid w:val="00D5358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3580"/>
    <w:rPr>
      <w:sz w:val="16"/>
      <w:szCs w:val="16"/>
    </w:rPr>
  </w:style>
  <w:style w:type="paragraph" w:styleId="CommentText">
    <w:name w:val="annotation text"/>
    <w:basedOn w:val="Normal"/>
    <w:link w:val="CommentTextChar"/>
    <w:uiPriority w:val="99"/>
    <w:unhideWhenUsed/>
    <w:rsid w:val="00D53580"/>
    <w:pPr>
      <w:spacing w:line="240" w:lineRule="auto"/>
    </w:pPr>
    <w:rPr>
      <w:sz w:val="20"/>
      <w:szCs w:val="20"/>
    </w:rPr>
  </w:style>
  <w:style w:type="character" w:customStyle="1" w:styleId="CommentTextChar">
    <w:name w:val="Comment Text Char"/>
    <w:basedOn w:val="DefaultParagraphFont"/>
    <w:link w:val="CommentText"/>
    <w:uiPriority w:val="99"/>
    <w:rsid w:val="00D53580"/>
    <w:rPr>
      <w:sz w:val="20"/>
      <w:szCs w:val="20"/>
    </w:rPr>
  </w:style>
  <w:style w:type="paragraph" w:styleId="Header">
    <w:name w:val="header"/>
    <w:basedOn w:val="Normal"/>
    <w:link w:val="HeaderChar"/>
    <w:uiPriority w:val="99"/>
    <w:unhideWhenUsed/>
    <w:rsid w:val="00277064"/>
    <w:pPr>
      <w:tabs>
        <w:tab w:val="center" w:pos="4680"/>
        <w:tab w:val="right" w:pos="9360"/>
      </w:tabs>
      <w:spacing w:line="240" w:lineRule="auto"/>
    </w:pPr>
  </w:style>
  <w:style w:type="character" w:customStyle="1" w:styleId="HeaderChar">
    <w:name w:val="Header Char"/>
    <w:basedOn w:val="DefaultParagraphFont"/>
    <w:link w:val="Header"/>
    <w:uiPriority w:val="99"/>
    <w:rsid w:val="00277064"/>
  </w:style>
  <w:style w:type="paragraph" w:styleId="Footer">
    <w:name w:val="footer"/>
    <w:basedOn w:val="Normal"/>
    <w:link w:val="FooterChar"/>
    <w:uiPriority w:val="99"/>
    <w:unhideWhenUsed/>
    <w:rsid w:val="00277064"/>
    <w:pPr>
      <w:tabs>
        <w:tab w:val="center" w:pos="4680"/>
        <w:tab w:val="right" w:pos="9360"/>
      </w:tabs>
      <w:spacing w:line="240" w:lineRule="auto"/>
    </w:pPr>
  </w:style>
  <w:style w:type="character" w:customStyle="1" w:styleId="FooterChar">
    <w:name w:val="Footer Char"/>
    <w:basedOn w:val="DefaultParagraphFont"/>
    <w:link w:val="Footer"/>
    <w:uiPriority w:val="99"/>
    <w:rsid w:val="00277064"/>
  </w:style>
  <w:style w:type="character" w:styleId="Hyperlink">
    <w:name w:val="Hyperlink"/>
    <w:basedOn w:val="DefaultParagraphFont"/>
    <w:uiPriority w:val="99"/>
    <w:unhideWhenUsed/>
    <w:rsid w:val="00616FBD"/>
    <w:rPr>
      <w:color w:val="0563C1" w:themeColor="hyperlink"/>
      <w:u w:val="single"/>
    </w:rPr>
  </w:style>
  <w:style w:type="character" w:customStyle="1" w:styleId="UnresolvedMention">
    <w:name w:val="Unresolved Mention"/>
    <w:basedOn w:val="DefaultParagraphFont"/>
    <w:uiPriority w:val="99"/>
    <w:semiHidden/>
    <w:unhideWhenUsed/>
    <w:rsid w:val="00616FBD"/>
    <w:rPr>
      <w:color w:val="605E5C"/>
      <w:shd w:val="clear" w:color="auto" w:fill="E1DFDD"/>
    </w:rPr>
  </w:style>
  <w:style w:type="character" w:styleId="PlaceholderText">
    <w:name w:val="Placeholder Text"/>
    <w:basedOn w:val="DefaultParagraphFont"/>
    <w:uiPriority w:val="99"/>
    <w:semiHidden/>
    <w:rsid w:val="00660B4E"/>
    <w:rPr>
      <w:color w:val="666666"/>
    </w:rPr>
  </w:style>
  <w:style w:type="paragraph" w:styleId="BalloonText">
    <w:name w:val="Balloon Text"/>
    <w:basedOn w:val="Normal"/>
    <w:link w:val="BalloonTextChar"/>
    <w:uiPriority w:val="99"/>
    <w:semiHidden/>
    <w:unhideWhenUsed/>
    <w:rsid w:val="00372A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0"/>
  </w:style>
  <w:style w:type="paragraph" w:styleId="Heading1">
    <w:name w:val="heading 1"/>
    <w:basedOn w:val="Normal"/>
    <w:next w:val="Normal"/>
    <w:link w:val="Heading1Ch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CB"/>
    <w:rPr>
      <w:rFonts w:eastAsiaTheme="majorEastAsia" w:cstheme="majorBidi"/>
      <w:color w:val="272727" w:themeColor="text1" w:themeTint="D8"/>
    </w:rPr>
  </w:style>
  <w:style w:type="paragraph" w:styleId="Title">
    <w:name w:val="Title"/>
    <w:basedOn w:val="Normal"/>
    <w:next w:val="Normal"/>
    <w:link w:val="TitleCh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CB"/>
    <w:pPr>
      <w:spacing w:before="160" w:after="160"/>
    </w:pPr>
    <w:rPr>
      <w:i/>
      <w:iCs/>
      <w:color w:val="404040" w:themeColor="text1" w:themeTint="BF"/>
    </w:rPr>
  </w:style>
  <w:style w:type="character" w:customStyle="1" w:styleId="QuoteChar">
    <w:name w:val="Quote Char"/>
    <w:basedOn w:val="DefaultParagraphFont"/>
    <w:link w:val="Quote"/>
    <w:uiPriority w:val="29"/>
    <w:rsid w:val="008F38CB"/>
    <w:rPr>
      <w:i/>
      <w:iCs/>
      <w:color w:val="404040" w:themeColor="text1" w:themeTint="BF"/>
    </w:rPr>
  </w:style>
  <w:style w:type="paragraph" w:styleId="ListParagraph">
    <w:name w:val="List Paragraph"/>
    <w:basedOn w:val="Normal"/>
    <w:uiPriority w:val="34"/>
    <w:qFormat/>
    <w:rsid w:val="008F38CB"/>
    <w:pPr>
      <w:ind w:left="720"/>
      <w:contextualSpacing/>
    </w:pPr>
  </w:style>
  <w:style w:type="character" w:styleId="IntenseEmphasis">
    <w:name w:val="Intense Emphasis"/>
    <w:basedOn w:val="DefaultParagraphFont"/>
    <w:uiPriority w:val="21"/>
    <w:qFormat/>
    <w:rsid w:val="008F38CB"/>
    <w:rPr>
      <w:i/>
      <w:iCs/>
      <w:color w:val="2F5496" w:themeColor="accent1" w:themeShade="BF"/>
    </w:rPr>
  </w:style>
  <w:style w:type="paragraph" w:styleId="IntenseQuote">
    <w:name w:val="Intense Quote"/>
    <w:basedOn w:val="Normal"/>
    <w:next w:val="Normal"/>
    <w:link w:val="IntenseQuoteCh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F38CB"/>
    <w:rPr>
      <w:i/>
      <w:iCs/>
      <w:color w:val="2F5496" w:themeColor="accent1" w:themeShade="BF"/>
    </w:rPr>
  </w:style>
  <w:style w:type="character" w:styleId="IntenseReference">
    <w:name w:val="Intense Reference"/>
    <w:basedOn w:val="DefaultParagraphFont"/>
    <w:uiPriority w:val="32"/>
    <w:qFormat/>
    <w:rsid w:val="008F38CB"/>
    <w:rPr>
      <w:b/>
      <w:bCs/>
      <w:smallCaps/>
      <w:color w:val="2F5496" w:themeColor="accent1" w:themeShade="BF"/>
      <w:spacing w:val="5"/>
    </w:rPr>
  </w:style>
  <w:style w:type="table" w:styleId="TableGrid">
    <w:name w:val="Table Grid"/>
    <w:basedOn w:val="TableNormal"/>
    <w:uiPriority w:val="39"/>
    <w:rsid w:val="00D5358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3580"/>
    <w:rPr>
      <w:sz w:val="16"/>
      <w:szCs w:val="16"/>
    </w:rPr>
  </w:style>
  <w:style w:type="paragraph" w:styleId="CommentText">
    <w:name w:val="annotation text"/>
    <w:basedOn w:val="Normal"/>
    <w:link w:val="CommentTextChar"/>
    <w:uiPriority w:val="99"/>
    <w:unhideWhenUsed/>
    <w:rsid w:val="00D53580"/>
    <w:pPr>
      <w:spacing w:line="240" w:lineRule="auto"/>
    </w:pPr>
    <w:rPr>
      <w:sz w:val="20"/>
      <w:szCs w:val="20"/>
    </w:rPr>
  </w:style>
  <w:style w:type="character" w:customStyle="1" w:styleId="CommentTextChar">
    <w:name w:val="Comment Text Char"/>
    <w:basedOn w:val="DefaultParagraphFont"/>
    <w:link w:val="CommentText"/>
    <w:uiPriority w:val="99"/>
    <w:rsid w:val="00D53580"/>
    <w:rPr>
      <w:sz w:val="20"/>
      <w:szCs w:val="20"/>
    </w:rPr>
  </w:style>
  <w:style w:type="paragraph" w:styleId="Header">
    <w:name w:val="header"/>
    <w:basedOn w:val="Normal"/>
    <w:link w:val="HeaderChar"/>
    <w:uiPriority w:val="99"/>
    <w:unhideWhenUsed/>
    <w:rsid w:val="00277064"/>
    <w:pPr>
      <w:tabs>
        <w:tab w:val="center" w:pos="4680"/>
        <w:tab w:val="right" w:pos="9360"/>
      </w:tabs>
      <w:spacing w:line="240" w:lineRule="auto"/>
    </w:pPr>
  </w:style>
  <w:style w:type="character" w:customStyle="1" w:styleId="HeaderChar">
    <w:name w:val="Header Char"/>
    <w:basedOn w:val="DefaultParagraphFont"/>
    <w:link w:val="Header"/>
    <w:uiPriority w:val="99"/>
    <w:rsid w:val="00277064"/>
  </w:style>
  <w:style w:type="paragraph" w:styleId="Footer">
    <w:name w:val="footer"/>
    <w:basedOn w:val="Normal"/>
    <w:link w:val="FooterChar"/>
    <w:uiPriority w:val="99"/>
    <w:unhideWhenUsed/>
    <w:rsid w:val="00277064"/>
    <w:pPr>
      <w:tabs>
        <w:tab w:val="center" w:pos="4680"/>
        <w:tab w:val="right" w:pos="9360"/>
      </w:tabs>
      <w:spacing w:line="240" w:lineRule="auto"/>
    </w:pPr>
  </w:style>
  <w:style w:type="character" w:customStyle="1" w:styleId="FooterChar">
    <w:name w:val="Footer Char"/>
    <w:basedOn w:val="DefaultParagraphFont"/>
    <w:link w:val="Footer"/>
    <w:uiPriority w:val="99"/>
    <w:rsid w:val="00277064"/>
  </w:style>
  <w:style w:type="character" w:styleId="Hyperlink">
    <w:name w:val="Hyperlink"/>
    <w:basedOn w:val="DefaultParagraphFont"/>
    <w:uiPriority w:val="99"/>
    <w:unhideWhenUsed/>
    <w:rsid w:val="00616FBD"/>
    <w:rPr>
      <w:color w:val="0563C1" w:themeColor="hyperlink"/>
      <w:u w:val="single"/>
    </w:rPr>
  </w:style>
  <w:style w:type="character" w:customStyle="1" w:styleId="UnresolvedMention">
    <w:name w:val="Unresolved Mention"/>
    <w:basedOn w:val="DefaultParagraphFont"/>
    <w:uiPriority w:val="99"/>
    <w:semiHidden/>
    <w:unhideWhenUsed/>
    <w:rsid w:val="00616FBD"/>
    <w:rPr>
      <w:color w:val="605E5C"/>
      <w:shd w:val="clear" w:color="auto" w:fill="E1DFDD"/>
    </w:rPr>
  </w:style>
  <w:style w:type="character" w:styleId="PlaceholderText">
    <w:name w:val="Placeholder Text"/>
    <w:basedOn w:val="DefaultParagraphFont"/>
    <w:uiPriority w:val="99"/>
    <w:semiHidden/>
    <w:rsid w:val="00660B4E"/>
    <w:rPr>
      <w:color w:val="666666"/>
    </w:rPr>
  </w:style>
  <w:style w:type="paragraph" w:styleId="BalloonText">
    <w:name w:val="Balloon Text"/>
    <w:basedOn w:val="Normal"/>
    <w:link w:val="BalloonTextChar"/>
    <w:uiPriority w:val="99"/>
    <w:semiHidden/>
    <w:unhideWhenUsed/>
    <w:rsid w:val="00372A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7246">
      <w:marLeft w:val="480"/>
      <w:marRight w:val="0"/>
      <w:marTop w:val="0"/>
      <w:marBottom w:val="0"/>
      <w:divBdr>
        <w:top w:val="none" w:sz="0" w:space="0" w:color="auto"/>
        <w:left w:val="none" w:sz="0" w:space="0" w:color="auto"/>
        <w:bottom w:val="none" w:sz="0" w:space="0" w:color="auto"/>
        <w:right w:val="none" w:sz="0" w:space="0" w:color="auto"/>
      </w:divBdr>
    </w:div>
    <w:div w:id="202525247">
      <w:marLeft w:val="480"/>
      <w:marRight w:val="0"/>
      <w:marTop w:val="0"/>
      <w:marBottom w:val="0"/>
      <w:divBdr>
        <w:top w:val="none" w:sz="0" w:space="0" w:color="auto"/>
        <w:left w:val="none" w:sz="0" w:space="0" w:color="auto"/>
        <w:bottom w:val="none" w:sz="0" w:space="0" w:color="auto"/>
        <w:right w:val="none" w:sz="0" w:space="0" w:color="auto"/>
      </w:divBdr>
    </w:div>
    <w:div w:id="234896432">
      <w:marLeft w:val="480"/>
      <w:marRight w:val="0"/>
      <w:marTop w:val="0"/>
      <w:marBottom w:val="0"/>
      <w:divBdr>
        <w:top w:val="none" w:sz="0" w:space="0" w:color="auto"/>
        <w:left w:val="none" w:sz="0" w:space="0" w:color="auto"/>
        <w:bottom w:val="none" w:sz="0" w:space="0" w:color="auto"/>
        <w:right w:val="none" w:sz="0" w:space="0" w:color="auto"/>
      </w:divBdr>
    </w:div>
    <w:div w:id="281310628">
      <w:marLeft w:val="480"/>
      <w:marRight w:val="0"/>
      <w:marTop w:val="0"/>
      <w:marBottom w:val="0"/>
      <w:divBdr>
        <w:top w:val="none" w:sz="0" w:space="0" w:color="auto"/>
        <w:left w:val="none" w:sz="0" w:space="0" w:color="auto"/>
        <w:bottom w:val="none" w:sz="0" w:space="0" w:color="auto"/>
        <w:right w:val="none" w:sz="0" w:space="0" w:color="auto"/>
      </w:divBdr>
    </w:div>
    <w:div w:id="446244313">
      <w:marLeft w:val="480"/>
      <w:marRight w:val="0"/>
      <w:marTop w:val="0"/>
      <w:marBottom w:val="0"/>
      <w:divBdr>
        <w:top w:val="none" w:sz="0" w:space="0" w:color="auto"/>
        <w:left w:val="none" w:sz="0" w:space="0" w:color="auto"/>
        <w:bottom w:val="none" w:sz="0" w:space="0" w:color="auto"/>
        <w:right w:val="none" w:sz="0" w:space="0" w:color="auto"/>
      </w:divBdr>
    </w:div>
    <w:div w:id="478422769">
      <w:marLeft w:val="480"/>
      <w:marRight w:val="0"/>
      <w:marTop w:val="0"/>
      <w:marBottom w:val="0"/>
      <w:divBdr>
        <w:top w:val="none" w:sz="0" w:space="0" w:color="auto"/>
        <w:left w:val="none" w:sz="0" w:space="0" w:color="auto"/>
        <w:bottom w:val="none" w:sz="0" w:space="0" w:color="auto"/>
        <w:right w:val="none" w:sz="0" w:space="0" w:color="auto"/>
      </w:divBdr>
    </w:div>
    <w:div w:id="587158384">
      <w:marLeft w:val="480"/>
      <w:marRight w:val="0"/>
      <w:marTop w:val="0"/>
      <w:marBottom w:val="0"/>
      <w:divBdr>
        <w:top w:val="none" w:sz="0" w:space="0" w:color="auto"/>
        <w:left w:val="none" w:sz="0" w:space="0" w:color="auto"/>
        <w:bottom w:val="none" w:sz="0" w:space="0" w:color="auto"/>
        <w:right w:val="none" w:sz="0" w:space="0" w:color="auto"/>
      </w:divBdr>
    </w:div>
    <w:div w:id="651174804">
      <w:marLeft w:val="480"/>
      <w:marRight w:val="0"/>
      <w:marTop w:val="0"/>
      <w:marBottom w:val="0"/>
      <w:divBdr>
        <w:top w:val="none" w:sz="0" w:space="0" w:color="auto"/>
        <w:left w:val="none" w:sz="0" w:space="0" w:color="auto"/>
        <w:bottom w:val="none" w:sz="0" w:space="0" w:color="auto"/>
        <w:right w:val="none" w:sz="0" w:space="0" w:color="auto"/>
      </w:divBdr>
    </w:div>
    <w:div w:id="657466328">
      <w:marLeft w:val="480"/>
      <w:marRight w:val="0"/>
      <w:marTop w:val="0"/>
      <w:marBottom w:val="0"/>
      <w:divBdr>
        <w:top w:val="none" w:sz="0" w:space="0" w:color="auto"/>
        <w:left w:val="none" w:sz="0" w:space="0" w:color="auto"/>
        <w:bottom w:val="none" w:sz="0" w:space="0" w:color="auto"/>
        <w:right w:val="none" w:sz="0" w:space="0" w:color="auto"/>
      </w:divBdr>
    </w:div>
    <w:div w:id="676149874">
      <w:marLeft w:val="480"/>
      <w:marRight w:val="0"/>
      <w:marTop w:val="0"/>
      <w:marBottom w:val="0"/>
      <w:divBdr>
        <w:top w:val="none" w:sz="0" w:space="0" w:color="auto"/>
        <w:left w:val="none" w:sz="0" w:space="0" w:color="auto"/>
        <w:bottom w:val="none" w:sz="0" w:space="0" w:color="auto"/>
        <w:right w:val="none" w:sz="0" w:space="0" w:color="auto"/>
      </w:divBdr>
    </w:div>
    <w:div w:id="679234037">
      <w:marLeft w:val="480"/>
      <w:marRight w:val="0"/>
      <w:marTop w:val="0"/>
      <w:marBottom w:val="0"/>
      <w:divBdr>
        <w:top w:val="none" w:sz="0" w:space="0" w:color="auto"/>
        <w:left w:val="none" w:sz="0" w:space="0" w:color="auto"/>
        <w:bottom w:val="none" w:sz="0" w:space="0" w:color="auto"/>
        <w:right w:val="none" w:sz="0" w:space="0" w:color="auto"/>
      </w:divBdr>
    </w:div>
    <w:div w:id="763302166">
      <w:marLeft w:val="480"/>
      <w:marRight w:val="0"/>
      <w:marTop w:val="0"/>
      <w:marBottom w:val="0"/>
      <w:divBdr>
        <w:top w:val="none" w:sz="0" w:space="0" w:color="auto"/>
        <w:left w:val="none" w:sz="0" w:space="0" w:color="auto"/>
        <w:bottom w:val="none" w:sz="0" w:space="0" w:color="auto"/>
        <w:right w:val="none" w:sz="0" w:space="0" w:color="auto"/>
      </w:divBdr>
    </w:div>
    <w:div w:id="879973296">
      <w:marLeft w:val="480"/>
      <w:marRight w:val="0"/>
      <w:marTop w:val="0"/>
      <w:marBottom w:val="0"/>
      <w:divBdr>
        <w:top w:val="none" w:sz="0" w:space="0" w:color="auto"/>
        <w:left w:val="none" w:sz="0" w:space="0" w:color="auto"/>
        <w:bottom w:val="none" w:sz="0" w:space="0" w:color="auto"/>
        <w:right w:val="none" w:sz="0" w:space="0" w:color="auto"/>
      </w:divBdr>
    </w:div>
    <w:div w:id="881988967">
      <w:marLeft w:val="480"/>
      <w:marRight w:val="0"/>
      <w:marTop w:val="0"/>
      <w:marBottom w:val="0"/>
      <w:divBdr>
        <w:top w:val="none" w:sz="0" w:space="0" w:color="auto"/>
        <w:left w:val="none" w:sz="0" w:space="0" w:color="auto"/>
        <w:bottom w:val="none" w:sz="0" w:space="0" w:color="auto"/>
        <w:right w:val="none" w:sz="0" w:space="0" w:color="auto"/>
      </w:divBdr>
    </w:div>
    <w:div w:id="906919234">
      <w:marLeft w:val="480"/>
      <w:marRight w:val="0"/>
      <w:marTop w:val="0"/>
      <w:marBottom w:val="0"/>
      <w:divBdr>
        <w:top w:val="none" w:sz="0" w:space="0" w:color="auto"/>
        <w:left w:val="none" w:sz="0" w:space="0" w:color="auto"/>
        <w:bottom w:val="none" w:sz="0" w:space="0" w:color="auto"/>
        <w:right w:val="none" w:sz="0" w:space="0" w:color="auto"/>
      </w:divBdr>
    </w:div>
    <w:div w:id="952857362">
      <w:marLeft w:val="480"/>
      <w:marRight w:val="0"/>
      <w:marTop w:val="0"/>
      <w:marBottom w:val="0"/>
      <w:divBdr>
        <w:top w:val="none" w:sz="0" w:space="0" w:color="auto"/>
        <w:left w:val="none" w:sz="0" w:space="0" w:color="auto"/>
        <w:bottom w:val="none" w:sz="0" w:space="0" w:color="auto"/>
        <w:right w:val="none" w:sz="0" w:space="0" w:color="auto"/>
      </w:divBdr>
    </w:div>
    <w:div w:id="1039236628">
      <w:marLeft w:val="480"/>
      <w:marRight w:val="0"/>
      <w:marTop w:val="0"/>
      <w:marBottom w:val="0"/>
      <w:divBdr>
        <w:top w:val="none" w:sz="0" w:space="0" w:color="auto"/>
        <w:left w:val="none" w:sz="0" w:space="0" w:color="auto"/>
        <w:bottom w:val="none" w:sz="0" w:space="0" w:color="auto"/>
        <w:right w:val="none" w:sz="0" w:space="0" w:color="auto"/>
      </w:divBdr>
    </w:div>
    <w:div w:id="1205020827">
      <w:marLeft w:val="480"/>
      <w:marRight w:val="0"/>
      <w:marTop w:val="0"/>
      <w:marBottom w:val="0"/>
      <w:divBdr>
        <w:top w:val="none" w:sz="0" w:space="0" w:color="auto"/>
        <w:left w:val="none" w:sz="0" w:space="0" w:color="auto"/>
        <w:bottom w:val="none" w:sz="0" w:space="0" w:color="auto"/>
        <w:right w:val="none" w:sz="0" w:space="0" w:color="auto"/>
      </w:divBdr>
    </w:div>
    <w:div w:id="1390302817">
      <w:marLeft w:val="480"/>
      <w:marRight w:val="0"/>
      <w:marTop w:val="0"/>
      <w:marBottom w:val="0"/>
      <w:divBdr>
        <w:top w:val="none" w:sz="0" w:space="0" w:color="auto"/>
        <w:left w:val="none" w:sz="0" w:space="0" w:color="auto"/>
        <w:bottom w:val="none" w:sz="0" w:space="0" w:color="auto"/>
        <w:right w:val="none" w:sz="0" w:space="0" w:color="auto"/>
      </w:divBdr>
    </w:div>
    <w:div w:id="1458258681">
      <w:marLeft w:val="480"/>
      <w:marRight w:val="0"/>
      <w:marTop w:val="0"/>
      <w:marBottom w:val="0"/>
      <w:divBdr>
        <w:top w:val="none" w:sz="0" w:space="0" w:color="auto"/>
        <w:left w:val="none" w:sz="0" w:space="0" w:color="auto"/>
        <w:bottom w:val="none" w:sz="0" w:space="0" w:color="auto"/>
        <w:right w:val="none" w:sz="0" w:space="0" w:color="auto"/>
      </w:divBdr>
    </w:div>
    <w:div w:id="1598903395">
      <w:marLeft w:val="480"/>
      <w:marRight w:val="0"/>
      <w:marTop w:val="0"/>
      <w:marBottom w:val="0"/>
      <w:divBdr>
        <w:top w:val="none" w:sz="0" w:space="0" w:color="auto"/>
        <w:left w:val="none" w:sz="0" w:space="0" w:color="auto"/>
        <w:bottom w:val="none" w:sz="0" w:space="0" w:color="auto"/>
        <w:right w:val="none" w:sz="0" w:space="0" w:color="auto"/>
      </w:divBdr>
    </w:div>
    <w:div w:id="1623226469">
      <w:marLeft w:val="480"/>
      <w:marRight w:val="0"/>
      <w:marTop w:val="0"/>
      <w:marBottom w:val="0"/>
      <w:divBdr>
        <w:top w:val="none" w:sz="0" w:space="0" w:color="auto"/>
        <w:left w:val="none" w:sz="0" w:space="0" w:color="auto"/>
        <w:bottom w:val="none" w:sz="0" w:space="0" w:color="auto"/>
        <w:right w:val="none" w:sz="0" w:space="0" w:color="auto"/>
      </w:divBdr>
    </w:div>
    <w:div w:id="1703898528">
      <w:marLeft w:val="480"/>
      <w:marRight w:val="0"/>
      <w:marTop w:val="0"/>
      <w:marBottom w:val="0"/>
      <w:divBdr>
        <w:top w:val="none" w:sz="0" w:space="0" w:color="auto"/>
        <w:left w:val="none" w:sz="0" w:space="0" w:color="auto"/>
        <w:bottom w:val="none" w:sz="0" w:space="0" w:color="auto"/>
        <w:right w:val="none" w:sz="0" w:space="0" w:color="auto"/>
      </w:divBdr>
    </w:div>
    <w:div w:id="1814449643">
      <w:marLeft w:val="480"/>
      <w:marRight w:val="0"/>
      <w:marTop w:val="0"/>
      <w:marBottom w:val="0"/>
      <w:divBdr>
        <w:top w:val="none" w:sz="0" w:space="0" w:color="auto"/>
        <w:left w:val="none" w:sz="0" w:space="0" w:color="auto"/>
        <w:bottom w:val="none" w:sz="0" w:space="0" w:color="auto"/>
        <w:right w:val="none" w:sz="0" w:space="0" w:color="auto"/>
      </w:divBdr>
    </w:div>
    <w:div w:id="1903516824">
      <w:marLeft w:val="480"/>
      <w:marRight w:val="0"/>
      <w:marTop w:val="0"/>
      <w:marBottom w:val="0"/>
      <w:divBdr>
        <w:top w:val="none" w:sz="0" w:space="0" w:color="auto"/>
        <w:left w:val="none" w:sz="0" w:space="0" w:color="auto"/>
        <w:bottom w:val="none" w:sz="0" w:space="0" w:color="auto"/>
        <w:right w:val="none" w:sz="0" w:space="0" w:color="auto"/>
      </w:divBdr>
    </w:div>
    <w:div w:id="213925277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ps.go.id/id/statistics-table/2/NDY5IzI=/populasi-sapi-potong-menurut-provinsi.html" TargetMode="External"/><Relationship Id="rId18" Type="http://schemas.openxmlformats.org/officeDocument/2006/relationships/hyperlink" Target="https://doi.org/10.21776/ub.jnt.2021.004.01.7"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5455/javar.2023.j660" TargetMode="External"/><Relationship Id="rId7" Type="http://schemas.openxmlformats.org/officeDocument/2006/relationships/footnotes" Target="footnotes.xml"/><Relationship Id="rId12" Type="http://schemas.openxmlformats.org/officeDocument/2006/relationships/hyperlink" Target="https://doi.org/10.3168/jds.2017-13837" TargetMode="External"/><Relationship Id="rId17" Type="http://schemas.openxmlformats.org/officeDocument/2006/relationships/hyperlink" Target="https://doi.org/10.5398/tasj.2024.47.1.1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heliyon.2022.e09828" TargetMode="External"/><Relationship Id="rId20" Type="http://schemas.openxmlformats.org/officeDocument/2006/relationships/hyperlink" Target="https://doi.org/https://doi.org/10.24198/jnttip.v6i2.537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1519-6984.287849" TargetMode="External"/><Relationship Id="rId24" Type="http://schemas.openxmlformats.org/officeDocument/2006/relationships/hyperlink" Target="https://doi.org/10.3390/microorganisms13081848" TargetMode="External"/><Relationship Id="rId5" Type="http://schemas.openxmlformats.org/officeDocument/2006/relationships/settings" Target="settings.xml"/><Relationship Id="rId15" Type="http://schemas.openxmlformats.org/officeDocument/2006/relationships/hyperlink" Target="https://doi.org/10.3390/fermentation8100542" TargetMode="External"/><Relationship Id="rId23" Type="http://schemas.openxmlformats.org/officeDocument/2006/relationships/hyperlink" Target="https://doi.org/https://doi.org/10.22225/ga.24.1.1699.47-53" TargetMode="External"/><Relationship Id="rId10" Type="http://schemas.openxmlformats.org/officeDocument/2006/relationships/hyperlink" Target="https://doi.org/https://doi.org/10.31317/embrio.v16i2.1089" TargetMode="External"/><Relationship Id="rId19" Type="http://schemas.openxmlformats.org/officeDocument/2006/relationships/hyperlink" Target="https://doi.org/10.29244/jpim.6.khusus.14-23" TargetMode="External"/><Relationship Id="rId4" Type="http://schemas.microsoft.com/office/2007/relationships/stylesWithEffects" Target="stylesWithEffects.xml"/><Relationship Id="rId9" Type="http://schemas.openxmlformats.org/officeDocument/2006/relationships/hyperlink" Target="https://doi.org/10.29303/jwd.v6i2.304" TargetMode="External"/><Relationship Id="rId14" Type="http://schemas.openxmlformats.org/officeDocument/2006/relationships/hyperlink" Target="https://doi.org/10.5455/JAVAR.2022.I632" TargetMode="External"/><Relationship Id="rId22" Type="http://schemas.openxmlformats.org/officeDocument/2006/relationships/hyperlink" Target="https://doi.org/10.24198/jit.v19i2.25730"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A377C742-400A-4B56-98BB-1079FEE53F58}"/>
      </w:docPartPr>
      <w:docPartBody>
        <w:p w:rsidR="00CB78A2" w:rsidRDefault="00DB527D">
          <w:r w:rsidRPr="009942F5">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7D"/>
    <w:rsid w:val="00192423"/>
    <w:rsid w:val="00320368"/>
    <w:rsid w:val="00584995"/>
    <w:rsid w:val="006524C6"/>
    <w:rsid w:val="00700F95"/>
    <w:rsid w:val="00986A3D"/>
    <w:rsid w:val="00C54A78"/>
    <w:rsid w:val="00CB78A2"/>
    <w:rsid w:val="00DB52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A78"/>
    <w:rPr>
      <w:color w:val="666666"/>
    </w:rPr>
  </w:style>
  <w:style w:type="paragraph" w:customStyle="1" w:styleId="987609D21A104B2F89588698114DFE3F">
    <w:name w:val="987609D21A104B2F89588698114DFE3F"/>
    <w:rsid w:val="00C54A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A78"/>
    <w:rPr>
      <w:color w:val="666666"/>
    </w:rPr>
  </w:style>
  <w:style w:type="paragraph" w:customStyle="1" w:styleId="987609D21A104B2F89588698114DFE3F">
    <w:name w:val="987609D21A104B2F89588698114DFE3F"/>
    <w:rsid w:val="00C54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0546D-D9E3-4DBC-ABCB-C0614F277148}">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4946959053"/>
    <we:property name="MENDELEY_CITATIONS" value="[{&quot;citationID&quot;:&quot;MENDELEY_CITATION_3abf22fe-accf-4308-a5fe-86ccb8bac493&quot;,&quot;properties&quot;:{&quot;noteIndex&quot;:0,&quot;mode&quot;:&quot;author-only&quot;},&quot;isEdited&quot;:false,&quot;manualOverride&quot;:{&quot;isManuallyOverridden&quot;:true,&quot;citeprocText&quot;:&quot;BPS (Badan Pusat Statistik)&quot;,&quot;manualOverrideText&quot;:&quot;BPS&quot;},&quot;citationTag&quot;:&quot;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quot;,&quot;citationItems&quot;:[{&quot;id&quot;:&quot;002d9a97-0d8f-3c25-b44a-5fcb72ccdebe&quot;,&quot;itemData&quot;:{&quot;type&quot;:&quot;webpage&quot;,&quot;id&quot;:&quot;002d9a97-0d8f-3c25-b44a-5fcb72ccdebe&quot;,&quot;title&quot;:&quot;Populasi Sapi Potong menurut Provinsi (Ekor), 2024&quot;,&quot;author&quot;:[{&quot;family&quot;:&quot;BPS (Badan Pusat Statistik)&quot;,&quot;given&quot;:&quot;&quot;,&quot;parse-names&quot;:false,&quot;dropping-particle&quot;:&quot;&quot;,&quot;non-dropping-particle&quot;:&quot;&quot;}],&quot;container-title&quot;:&quot;Badan Pusat Statistik Indonesia&quot;,&quot;accessed&quot;:{&quot;date-parts&quot;:[[2026,1,20]]},&quot;URL&quot;:&quot;https://www.bps.go.id/id/statistics-table/2/NDY5IzI=/populasi-sapi-potong-menurut-provinsi.html&quot;,&quot;issued&quot;:{&quot;date-parts&quot;:[[2025]]},&quot;container-title-short&quot;:&quot;&quot;},&quot;isTemporary&quot;:false,&quot;displayAs&quot;:&quot;author-only&quot;,&quot;suppress-author&quot;:false,&quot;composite&quot;:false,&quot;author-only&quot;:true}]},{&quot;citationID&quot;:&quot;MENDELEY_CITATION_04e1ccba-b333-4ca2-983a-99196c0f67cf&quot;,&quot;properties&quot;:{&quot;noteIndex&quot;:0},&quot;isEdited&quot;:false,&quot;manualOverride&quot;:{&quot;isManuallyOverridden&quot;:false,&quot;citeprocText&quot;:&quot;(Ali et al., 2024)&quot;,&quot;manualOverrideText&quot;:&quot;&quot;},&quot;citationTag&quot;:&quot;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quot;,&quot;citationItems&quot;:[{&quot;id&quot;:&quot;eefac00a-58d9-3350-a213-aba2a67ce40e&quot;,&quot;itemData&quot;:{&quot;type&quot;:&quot;article-journal&quot;,&quot;id&quot;:&quot;eefac00a-58d9-3350-a213-aba2a67ce40e&quot;,&quot;title&quot;:&quot;LAMTORO FERMENTASI (LaFer): PAKAN PENYANGGA MUSIM KEMARAU&quot;,&quot;author&quot;:[{&quot;family&quot;:&quot;Ali&quot;,&quot;given&quot;:&quot;Muhamad&quot;,&quot;parse-names&quot;:false,&quot;dropping-particle&quot;:&quot;&quot;,&quot;non-dropping-particle&quot;:&quot;&quot;},{&quot;family&quot;:&quot;Rosyidi&quot;,&quot;given&quot;:&quot;Muhammad Subhan Bahruddin&quot;,&quot;parse-names&quot;:false,&quot;dropping-particle&quot;:&quot;&quot;,&quot;non-dropping-particle&quot;:&quot;&quot;},{&quot;family&quot;:&quot;Rohim&quot;,&quot;given&quot;:&quot;Abdul&quot;,&quot;parse-names&quot;:false,&quot;dropping-particle&quot;:&quot;&quot;,&quot;non-dropping-particle&quot;:&quot;&quot;},{&quot;family&quot;:&quot;Hasma&quot;,&quot;given&quot;:&quot;Hasma&quot;,&quot;parse-names&quot;:false,&quot;dropping-particle&quot;:&quot;&quot;,&quot;non-dropping-particle&quot;:&quot;&quot;},{&quot;family&quot;:&quot;Wariate&quot;,&quot;given&quot;:&quot;I Wayan&quot;,&quot;parse-names&quot;:false,&quot;dropping-particle&quot;:&quot;&quot;,&quot;non-dropping-particle&quot;:&quot;&quot;},{&quot;family&quot;:&quot;Rosyidi&quot;,&quot;given&quot;:&quot;Anwar&quot;,&quot;parse-names&quot;:false,&quot;dropping-particle&quot;:&quot;&quot;,&quot;non-dropping-particle&quot;:&quot;&quot;},{&quot;family&quot;:&quot;Sriasih&quot;,&quot;given&quot;:&quot;Made&quot;,&quot;parse-names&quot;:false,&quot;dropping-particle&quot;:&quot;&quot;,&quot;non-dropping-particle&quot;:&quot;&quot;},{&quot;family&quot;:&quot;Depamede&quot;,&quot;given&quot;:&quot;Sulaiman N.&quot;,&quot;parse-names&quot;:false,&quot;dropping-particle&quot;:&quot;&quot;,&quot;non-dropping-particle&quot;:&quot;&quot;}],&quot;container-title&quot;:&quot;Jurnal Warta Desa (JWD)&quot;,&quot;DOI&quot;:&quot;10.29303/jwd.v6i2.304&quot;,&quot;ISSN&quot;:&quot;2776-2572&quot;,&quot;issued&quot;:{&quot;date-parts&quot;:[[2024,8,31]]},&quot;page&quot;:&quot;110-118&quot;,&quot;abstract&quot;:&quot;The availability of feed throughout the season is a problem in livestock development in West Nusa Tenggara Province. The abundance of feed sources in the rainy season is inversely proportional to the shortage of forage and other feed sources in the dry season. As a result, the condition of livestock in the dry season is very thin and malnourished, leading to miscarriage and death. To overcome these problems, processing technology and storage of abundant feed sources in the rainy season so that they can be used in the dry season are very necessary. Lamtoro Fermentation (LaFer) is a feed from lamtoro (Leuchaena sp.) that is fermented with other ingredients so that it can be stored for a long time for use in the dry season. The LaFer was made at the Agropreneur Center of the Faculty of Animal Husbandry, University of Mataram in Sambik Elen Village, Bayan District, North Lombok Regency, which is a research center for lamtoro as animal feed. The results of the activity showed that fresh lamtoro that was wilted for 24 hours, chopped and mixed with chopped corn straw, then sprayed with lactic acid bacteria mixture and fermented for at least 1 month in silo with the addition of rice bran can produce silage with good quality characterized by the absence of mold, tape-like smell, greenish color, and has high palatability for goats. The lamtoro silage is a bit dark in color because it loses Mg in chlorophyll when it reacts with organic acids to become brown phaeophytin and as an indicator that lamtoro silage contains a high pigment. Fermentation technology can be used to extend the shelf life of lamtoro so that it becomes a source of feed source protein throughout the season for livestock.&quot;,&quot;publisher&quot;:&quot;Universitas Mataram&quot;,&quot;issue&quot;:&quot;2&quot;,&quot;volume&quot;:&quot;6&quot;,&quot;container-title-short&quot;:&quot;&quot;},&quot;isTemporary&quot;:false}]},{&quot;citationID&quot;:&quot;MENDELEY_CITATION_5ed9e92c-d6eb-4840-8d1c-a7b467854a33&quot;,&quot;properties&quot;:{&quot;noteIndex&quot;:0},&quot;isEdited&quot;:false,&quot;manualOverride&quot;:{&quot;isManuallyOverridden&quot;:false,&quot;citeprocText&quot;:&quot;(Pudjawati et al., 2024)&quot;,&quot;manualOverrideText&quot;:&quot;&quot;},&quot;citationTag&quot;:&quot;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quot;,&quot;citationItems&quot;:[{&quot;id&quot;:&quot;eb301da3-9e55-35cf-ad81-394c0b1ebd1a&quot;,&quot;itemData&quot;:{&quot;type&quot;:&quot;article-journal&quot;,&quot;id&quot;:&quot;eb301da3-9e55-35cf-ad81-394c0b1ebd1a&quot;,&quot;title&quot;:&quot;Peningkatan Ketahanan Pakan Ternak Melalui Pembuatan Silase di Desa Pesantren, Kecamatan Blado, Kabupaten Batang&quot;,&quot;author&quot;:[{&quot;family&quot;:&quot;Pudjawati&quot;,&quot;given&quot;:&quot;Nihawa Hajar&quot;,&quot;parse-names&quot;:false,&quot;dropping-particle&quot;:&quot;&quot;,&quot;non-dropping-particle&quot;:&quot;&quot;},{&quot;family&quot;:&quot;Fita Ayu Widyaningtyas&quot;,&quot;given&quot;:&quot;&quot;,&quot;parse-names&quot;:false,&quot;dropping-particle&quot;:&quot;&quot;,&quot;non-dropping-particle&quot;:&quot;&quot;},{&quot;family&quot;:&quot;Wisnu Arya Seta&quot;,&quot;given&quot;:&quot;&quot;,&quot;parse-names&quot;:false,&quot;dropping-particle&quot;:&quot;&quot;,&quot;non-dropping-particle&quot;:&quot;&quot;},{&quot;family&quot;:&quot;Wafa Mei Diinaa Ibrahim&quot;,&quot;given&quot;:&quot;&quot;,&quot;parse-names&quot;:false,&quot;dropping-particle&quot;:&quot;&quot;,&quot;non-dropping-particle&quot;:&quot;&quot;},{&quot;family&quot;:&quot;Ferlisca Sashy Reva&quot;,&quot;given&quot;:&quot;&quot;,&quot;parse-names&quot;:false,&quot;dropping-particle&quot;:&quot;&quot;,&quot;non-dropping-particle&quot;:&quot;&quot;},{&quot;family&quot;:&quot;Harwin Fadia Lutfiyatus Sholichah&quot;,&quot;given&quot;:&quot;&quot;,&quot;parse-names&quot;:false,&quot;dropping-particle&quot;:&quot;&quot;,&quot;non-dropping-particle&quot;:&quot;&quot;},{&quot;family&quot;:&quot;Dwi Cahyo Sampurno&quot;,&quot;given&quot;:&quot;&quot;,&quot;parse-names&quot;:false,&quot;dropping-particle&quot;:&quot;&quot;,&quot;non-dropping-particle&quot;:&quot;&quot;},{&quot;family&quot;:&quot;Hafidz Amiruddin&quot;,&quot;given&quot;:&quot;&quot;,&quot;parse-names&quot;:false,&quot;dropping-particle&quot;:&quot;&quot;,&quot;non-dropping-particle&quot;:&quot;&quot;},{&quot;family&quot;:&quot;Retno Cahyakinasih&quot;,&quot;given&quot;:&quot;&quot;,&quot;parse-names&quot;:false,&quot;dropping-particle&quot;:&quot;&quot;,&quot;non-dropping-particle&quot;:&quot;&quot;},{&quot;family&quot;:&quot;Komala&quot;,&quot;given&quot;:&quot;Iyep&quot;,&quot;parse-names&quot;:false,&quot;dropping-particle&quot;:&quot;&quot;,&quot;non-dropping-particle&quot;:&quot;&quot;}],&quot;container-title&quot;:&quot;Jurnal Pusat Inovasi Masyarakat (PIM)&quot;,&quot;DOI&quot;:&quot;10.29244/jpim.6.khusus.14-23&quot;,&quot;issued&quot;:{&quot;date-parts&quot;:[[2024,12,27]]},&quot;page&quot;:&quot;14-23&quot;,&quot;abstract&quot;:&quot;Silage is forage processing done by fermentation using lactic acid under anaerobic conditions. Silage is an alternative animal feed that can fulfil animal feed needs when it is difficult to obtain. The rich nutrient content in silage, such as protein, carbohydrates and minerals can fulfil the nutritional needs of animals and support optimal productivity. This activity aims to provide in-depth knowledge and skills to farmers regarding silage making techniques as quality animal feed. Activities start from information gathering; preparation and making of silage materials, concepts, and samples; preparation and procurement of silage material tools; implementation of socialisation; opening of silage results, and evaluation of activities that have been carried out. This test consists of several variables including; aroma, texture, colour and the presence of fungi. The results of the activity showed an increase in farmers' knowledge about silage making, there were 82% of farmers who understood the material presented and 55% of farmers were very satisfied with the activities that had been carried out. The silage results that have been made show some characteristics that are less in accordance with the category of good quality silage at the top of the silage, but the silage results at the bottom are still in the category that can be accepted by livestock. Good quality silage can be determined through its physical quality, so an organoleptic test is carried out to see the physical quality of silage.  The quality of the silage produced based on organoleptic tests has a brownish green colour, a slightly smelly aroma, a slightly watery mushy texture and the presence of fungi in the top layer. Thus, making silage has the potential to be a solution to overcome the problem of feed availability in the dry season and increase the capacity of farmers in managing feed.&quot;,&quot;publisher&quot;:&quot;Institut Pertanian Bogor&quot;,&quot;issue&quot;:&quot;Khusus&quot;,&quot;volume&quot;:&quot;6&quot;,&quot;container-title-short&quot;:&quot;&quot;},&quot;isTemporary&quot;:false}]},{&quot;citationID&quot;:&quot;MENDELEY_CITATION_e2d83b98-aef9-4fc4-80ff-ea726e995264&quot;,&quot;properties&quot;:{&quot;noteIndex&quot;:0},&quot;isEdited&quot;:false,&quot;manualOverride&quot;:{&quot;isManuallyOverridden&quot;:false,&quot;citeprocText&quot;:&quot;(Widyastuti, 2008)&quot;,&quot;manualOverrideText&quot;:&quot;&quot;},&quot;citationTag&quot;:&quot;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quot;,&quot;citationItems&quot;:[{&quot;id&quot;:&quot;02931fed-7d8d-3df3-92e3-90123a5a7140&quot;,&quot;itemData&quot;:{&quot;type&quot;:&quot;article-journal&quot;,&quot;id&quot;:&quot;02931fed-7d8d-3df3-92e3-90123a5a7140&quot;,&quot;title&quot;:&quot;Fermentasi Silase dan Manfaat Probiotik Silase bagi Ruminansia&quot;,&quot;author&quot;:[{&quot;family&quot;:&quot;Widyastuti&quot;,&quot;given&quot;:&quot;U&quot;,&quot;parse-names&quot;:false,&quot;dropping-particle&quot;:&quot;&quot;,&quot;non-dropping-particle&quot;:&quot;&quot;}],&quot;container-title&quot;:&quot;Media Peternakan&quot;,&quot;container-title-short&quot;:&quot;Media Peternakan Fakultas. Peternakan Institut. Pertanian. Bogor.&quot;,&quot;issued&quot;:{&quot;date-parts&quot;:[[2008,12,1]]},&quot;page&quot;:&quot;225-232&quot;,&quot;issue&quot;:&quot;3&quot;,&quot;volume&quot;:&quot;31&quot;},&quot;isTemporary&quot;:false}]},{&quot;citationID&quot;:&quot;MENDELEY_CITATION_cfb7a076-5359-492a-bdde-6b1505d4723c&quot;,&quot;properties&quot;:{&quot;noteIndex&quot;:0},&quot;isEdited&quot;:false,&quot;manualOverride&quot;:{&quot;isManuallyOverridden&quot;:false,&quot;citeprocText&quot;:&quot;(Anjalani et al., 2017)&quot;,&quot;manualOverrideText&quot;:&quot;&quot;},&quot;citationTag&quot;:&quot;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quot;,&quot;citationItems&quot;:[{&quot;id&quot;:&quot;d565d0fe-4eed-3ed1-adfb-da1af973bbd3&quot;,&quot;itemData&quot;:{&quot;type&quot;:&quot;article-journal&quot;,&quot;id&quot;:&quot;d565d0fe-4eed-3ed1-adfb-da1af973bbd3&quot;,&quot;title&quot;:&quot;Kualitas Silase Rumput Gajah yang Diberi Tepung Umbi Talas Sebagai Aditif Silase&quot;,&quot;author&quot;:[{&quot;family&quot;:&quot;Anjalani&quot;,&quot;given&quot;:&quot;Ria&quot;,&quot;parse-names&quot;:false,&quot;dropping-particle&quot;:&quot;&quot;,&quot;non-dropping-particle&quot;:&quot;&quot;},{&quot;family&quot;:&quot;Silitonga&quot;,&quot;given&quot;:&quot;Lisnawaty&quot;,&quot;parse-names&quot;:false,&quot;dropping-particle&quot;:&quot;&quot;,&quot;non-dropping-particle&quot;:&quot;&quot;},{&quot;family&quot;:&quot;Astuti&quot;,&quot;given&quot;:&quot;Maria Haryulin&quot;,&quot;parse-names&quot;:false,&quot;dropping-particle&quot;:&quot;&quot;,&quot;non-dropping-particle&quot;:&quot;&quot;}],&quot;container-title&quot;:&quot;Jurnal Ilmu Hewani Tropika&quot;,&quot;ISSN&quot;:&quot;2301-7783&quot;,&quot;issued&quot;:{&quot;date-parts&quot;:[[2017]]},&quot;page&quot;:&quot;29&quot;,&quot;abstract&quot;:&quot;This study was conducted to obtain the effects of taro corm meal addition level on quality of elephant grass silage. There were four levels of taro corm meal (DM basis) i.e. 0% (control), 5% (P1), 10% (P2), and 15% (P3) (w/w). Each treatments consisted of 5 replications. Silage were placed in plastic bags as silo. This study was designed in Completely Randomized Design. The observation conducted to physical quality and chemical composition of silage. The physical quality of silage were color, odor, texture, and growth of fungi. Chemical composition of silage consisted of dry matter (DM), organic matter (OM), crude protein (CP), crude fiber (CF), extract ether (EE), and Nitrogen Free Extract (NFE). The study showed that silage from P0, P1, P2, and P3 had brownish green color, acid odor, non-sticky texture, and no fungus found. The addition of taro corm meal significantly affected DM, OM, CP, CF, EE, and NFE content of elephant grass silage (P&lt;0.05). The addition of 5% taro corm meal (PI) showed the best result with the average content of DM, OM, CP, CF, EE, and NFE were 20.37%; 90.73%; 10.21%; 40.44%; 2.92%; dan 36.49%., respectively.&quot;,&quot;issue&quot;:&quot;1&quot;,&quot;volume&quot;:&quot;6&quot;,&quot;container-title-short&quot;:&quot;&quot;},&quot;isTemporary&quot;:false}]},{&quot;citationID&quot;:&quot;MENDELEY_CITATION_c0739f9f-7877-4e2e-9ede-84a1ea840f15&quot;,&quot;properties&quot;:{&quot;noteIndex&quot;:0},&quot;isEdited&quot;:false,&quot;manualOverride&quot;:{&quot;isManuallyOverridden&quot;:false,&quot;citeprocText&quot;:&quot;(Borreani et al., 2018)&quot;,&quot;manualOverrideText&quot;:&quot;&quot;},&quot;citationTag&quot;:&quot;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quot;,&quot;citationItems&quot;:[{&quot;id&quot;:&quot;bf7072b5-f1e1-3a7e-880a-378cd5e93c55&quot;,&quot;itemData&quot;:{&quot;type&quot;:&quot;article&quot;,&quot;id&quot;:&quot;bf7072b5-f1e1-3a7e-880a-378cd5e93c55&quot;,&quot;title&quot;:&quot;Silage review: Factors affecting dry matter and quality losses in silages&quot;,&quot;author&quot;:[{&quot;family&quot;:&quot;Borreani&quot;,&quot;given&quot;:&quot;G.&quot;,&quot;parse-names&quot;:false,&quot;dropping-particle&quot;:&quot;&quot;,&quot;non-dropping-particle&quot;:&quot;&quot;},{&quot;family&quot;:&quot;Tabacco&quot;,&quot;given&quot;:&quot;E.&quot;,&quot;parse-names&quot;:false,&quot;dropping-particle&quot;:&quot;&quot;,&quot;non-dropping-particle&quot;:&quot;&quot;},{&quot;family&quot;:&quot;Schmidt&quot;,&quot;given&quot;:&quot;R. J.&quot;,&quot;parse-names&quot;:false,&quot;dropping-particle&quot;:&quot;&quot;,&quot;non-dropping-particle&quot;:&quot;&quot;},{&quot;family&quot;:&quot;Holmes&quot;,&quot;given&quot;:&quot;B. J.&quot;,&quot;parse-names&quot;:false,&quot;dropping-particle&quot;:&quot;&quot;,&quot;non-dropping-particle&quot;:&quot;&quot;},{&quot;family&quot;:&quot;Muck&quot;,&quot;given&quot;:&quot;R. E.&quot;,&quot;parse-names&quot;:false,&quot;dropping-particle&quot;:&quot;&quot;,&quot;non-dropping-particle&quot;:&quot;&quot;}],&quot;container-title&quot;:&quot;Journal of Dairy Science&quot;,&quot;container-title-short&quot;:&quot;J. Dairy Sci.&quot;,&quot;DOI&quot;:&quot;10.3168/jds.2017-13837&quot;,&quot;ISSN&quot;:&quot;15253198&quot;,&quot;PMID&quot;:&quot;29685272&quot;,&quot;issued&quot;:{&quot;date-parts&quot;:[[2018,5,1]]},&quot;page&quot;:&quot;3952-3979&quot;,&quot;abstract&quot;:&quot;An overview was made of dry matter (DM) and quality losses that occur during the ensiling process from the field through the feeding phase. The aim was to review the relevant published literature of the last 15 yr focusing on developments achieved after the publication of the book Silage Science and Technology. This review discusses the factors affecting DM and quality losses in terms of field and pre-ensiling conditions, respiration and temperature at ensiling, fermentation patterns, methods of covering and weighting the silage cover, and management of aerobic deterioration. The possibility of reducing DM and quality losses during the ensiling process requires knowledge of how to measure losses on farm and establish the status of the silage during the feed-out phase, implementing the most effective management practices to avoid air exposure during conservation and reduce silage aerobic deterioration during feeding. The paper concludes with future perspectives and recommended management practices to reduce losses and increase efficiency over the whole ensiling process in view of increasing sustainability of the livestock production chain.&quot;,&quot;publisher&quot;:&quot;Elsevier Inc.&quot;,&quot;issue&quot;:&quot;5&quot;,&quot;volume&quot;:&quot;101&quot;},&quot;isTemporary&quot;:false}]},{&quot;citationID&quot;:&quot;MENDELEY_CITATION_c80a71b0-3fb8-4f9a-a8e1-9e1131a2f37d&quot;,&quot;properties&quot;:{&quot;noteIndex&quot;:0},&quot;isEdited&quot;:false,&quot;manualOverride&quot;:{&quot;isManuallyOverridden&quot;:false,&quot;citeprocText&quot;:&quot;(Mustika &amp;#38; Hartutik, 2021)&quot;,&quot;manualOverrideText&quot;:&quot;&quot;},&quot;citationTag&quot;:&quot;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quot;,&quot;citationItems&quot;:[{&quot;id&quot;:&quot;08318c64-d037-3f8e-8cba-89781842aba0&quot;,&quot;itemData&quot;:{&quot;type&quot;:&quot;article-journal&quot;,&quot;id&quot;:&quot;08318c64-d037-3f8e-8cba-89781842aba0&quot;,&quot;title&quot;:&quot;Kualitas Silase Tebon Jagung (Zea mays L.) dengan Penambahan Berbagai Bahan Aditif Ditinjau dari Kandungan Nutrisi&quot;,&quot;author&quot;:[{&quot;family&quot;:&quot;Mustika&quot;,&quot;given&quot;:&quot;Lisa Mufida&quot;,&quot;parse-names&quot;:false,&quot;dropping-particle&quot;:&quot;&quot;,&quot;non-dropping-particle&quot;:&quot;&quot;},{&quot;family&quot;:&quot;Hartutik&quot;,&quot;given&quot;:&quot;Hartutik&quot;,&quot;parse-names&quot;:false,&quot;dropping-particle&quot;:&quot;&quot;,&quot;non-dropping-particle&quot;:&quot;&quot;}],&quot;container-title&quot;:&quot;Jurnal Nutrisi Ternak Tropis&quot;,&quot;DOI&quot;:&quot;10.21776/ub.jnt.2021.004.01.7&quot;,&quot;ISSN&quot;:&quot;27148068&quot;,&quot;issued&quot;:{&quot;date-parts&quot;:[[2021,3,1]]},&quot;page&quot;:&quot;55-59&quot;,&quot;abstract&quot;:&quot;Penelitian ini menggunakan berbagai aditif dalam proses pembuatan silase tebon jagung (Zea mays). Tujuan penelitian ini adalah mengevaluasi penggunaan bahan aditif terhadap kandungan nutrisi silase tebon jagung. Bahan yang digunakan adalah tebon jagung, bekatul, pollard, molases, dan tepung gaplek. Metode penelitian yang digunakan adalah uji laboratorium dengan menggunakan Rancangan Acak Lengkap (RAL) tersarang yang terdiri dari dua faktor yaitu jenis bahan aditif yang digunakan dan level penggunaannya dalam pembuatan silase. Variabel penelitian terdiri dari kandungan nutrisi meliputi Bahan Kering (BK), Bahan Organik (BO), dan Protein Kasar (PK). Data dianalisis dengan analisis ragam dan apabila terdapat perbedaan yang signifikan dilanjutkan analisis Uji Jarak Berganda Duncan (UJBD). Hasil penelitian menunjukkan bahwa penambahan bahan aditif yaitu bekatul, pollard, molases, dan tepung gaplek mampu meningkatkan kualitas silase tebon jagung, namun perlakuan yang terbaik adalah penggunaan pollard dengan level optimal 10%.&quot;,&quot;publisher&quot;:&quot;Brawijaya University&quot;,&quot;issue&quot;:&quot;1&quot;,&quot;volume&quot;:&quot;4&quot;,&quot;container-title-short&quot;:&quot;&quot;},&quot;isTemporary&quot;:false}]},{&quot;citationID&quot;:&quot;MENDELEY_CITATION_1b2fceb8-09dc-4bda-99b5-152f96e59054&quot;,&quot;properties&quot;:{&quot;noteIndex&quot;:0,&quot;mode&quot;:&quot;composite&quot;},&quot;isEdited&quot;:false,&quot;manualOverride&quot;:{&quot;isManuallyOverridden&quot;:false,&quot;citeprocText&quot;:&quot;Kurniawan et al. (2022)&quot;,&quot;manualOverrideText&quot;:&quot;&quot;},&quot;citationTag&quot;:&quot;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quot;,&quot;citationItems&quot;:[{&quot;id&quot;:&quot;42c1ff9a-cee9-32a2-a405-bb90a60bed6c&quot;,&quot;itemData&quot;:{&quot;type&quot;:&quot;paper-conference&quot;,&quot;id&quot;:&quot;42c1ff9a-cee9-32a2-a405-bb90a60bed6c&quot;,&quot;title&quot;:&quot;Different Composition of Indigofera zolingeriana and Corn Stover Mix on Silage Quality and Fermentation Characteristic&quot;,&quot;author&quot;:[{&quot;family&quot;:&quot;Kurniawan&quot;,&quot;given&quot;:&quot;Widhi&quot;,&quot;parse-names&quot;:false,&quot;dropping-particle&quot;:&quot;&quot;,&quot;non-dropping-particle&quot;:&quot;&quot;},{&quot;family&quot;:&quot;Lestari&quot;,&quot;given&quot;:&quot;Nina Ayu&quot;,&quot;parse-names&quot;:false,&quot;dropping-particle&quot;:&quot;&quot;,&quot;non-dropping-particle&quot;:&quot;&quot;},{&quot;family&quot;:&quot;Dhian Isnaeni&quot;,&quot;given&quot;:&quot;Purnaning&quot;,&quot;parse-names&quot;:false,&quot;dropping-particle&quot;:&quot;&quot;,&quot;non-dropping-particle&quot;:&quot;&quot;},{&quot;family&quot;:&quot;Sandiah&quot;,&quot;given&quot;:&quot;Natsir&quot;,&quot;parse-names&quot;:false,&quot;dropping-particle&quot;:&quot;&quot;,&quot;non-dropping-particle&quot;:&quot;&quot;}],&quot;container-title&quot;:&quot;International Conference on Improving Tropical Animal Production for Food Security&quot;,&quot;issued&quot;:{&quot;date-parts&quot;:[[2022]]},&quot;publisher-place&quot;:&quot;Kendari&quot;,&quot;page&quot;:&quot;335-339&quot;,&quot;abstract&quot;:&quot;Agricultural by-products utilization is one of the solutions for feed shortage problem. Agricultural by-products have high potential to be used for feed, but its utilization is limited by the low nutrient quality. Silage is a type of by-product utilization that can increase the nutrient quality. Adding good quality forage to silage may augment the nutrient content and quality of silage. This study aimed to analyse the quality and characteristics of different composition percentages of corn stover (CS) and Indigofera zolingeriana (IZ) mix silage. The complete randomized design was applied in this research with four treatments consisting of T1 (90% CS + 10% milled corn), T2 (80% CS + 10% IZ + 10% milled corn), T3 (70% CS + 20% IZ + 10% milled corn), and T4 (50% CS + 40% IZ + 10% milled corn). The variables observed were pH level, dry matter, crude protein content, and Fleigh score. The results show that 10%, 20% and 40% Indigofera zolingeriana addition in silage yield high DM content (30,04±0,80, 30,85±2,00 and 33,03±0,99 respectfully) and increase CP content (2,87±0,04, 3,20±0,19 and 3,77±0,16 respectfully), and Fleigh score 150,5±0,9, 138,7±10,6 and 120,4±4,9 respectfully.&quot;,&quot;publisher&quot;:&quot;Advances in Biological Sciences Research,&quot;,&quot;container-title-short&quot;:&quot;&quot;},&quot;isTemporary&quot;:false,&quot;displayAs&quot;:&quot;composite&quot;,&quot;suppress-author&quot;:false,&quot;composite&quot;:true,&quot;author-only&quot;:false}]},{&quot;citationID&quot;:&quot;MENDELEY_CITATION_74873378-266a-4c90-a484-eac838c6f2b5&quot;,&quot;properties&quot;:{&quot;noteIndex&quot;:0,&quot;mode&quot;:&quot;composite&quot;},&quot;isEdited&quot;:false,&quot;manualOverride&quot;:{&quot;isManuallyOverridden&quot;:false,&quot;citeprocText&quot;:&quot;Sutaryono et al. (2023)&quot;,&quot;manualOverrideText&quot;:&quot;&quot;},&quot;citationTag&quot;:&quot;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quot;,&quot;citationItems&quot;:[{&quot;id&quot;:&quot;30041f8c-63b3-3afc-a1e4-f5aac338be4d&quot;,&quot;itemData&quot;:{&quot;type&quot;:&quot;article-journal&quot;,&quot;id&quot;:&quot;30041f8c-63b3-3afc-a1e4-f5aac338be4d&quot;,&quot;title&quot;:&quot;Mixed Leucaena and molasses can increase the nutritional quality and rumen degradation of corn stover silage&quot;,&quot;author&quot;:[{&quot;family&quot;:&quot;Sutaryono&quot;,&quot;given&quot;:&quot;Yusuf Akhyar&quot;,&quot;parse-names&quot;:false,&quot;dropping-particle&quot;:&quot;&quot;,&quot;non-dropping-particle&quot;:&quot;&quot;},{&quot;family&quot;:&quot;Putra&quot;,&quot;given&quot;:&quot;Ryan Aryadin&quot;,&quot;parse-names&quot;:false,&quot;dropping-particle&quot;:&quot;&quot;,&quot;non-dropping-particle&quot;:&quot;&quot;},{&quot;family&quot;:&quot;Mardiansyah&quot;,&quot;given&quot;:&quot;Mardiansyah&quot;,&quot;parse-names&quot;:false,&quot;dropping-particle&quot;:&quot;&quot;,&quot;non-dropping-particle&quot;:&quot;&quot;},{&quot;family&quot;:&quot;Yuliani&quot;,&quot;given&quot;:&quot;Enny&quot;,&quot;parse-names&quot;:false,&quot;dropping-particle&quot;:&quot;&quot;,&quot;non-dropping-particle&quot;:&quot;&quot;},{&quot;family&quot;:&quot;Harjono&quot;,&quot;given&quot;:&quot;Harjono&quot;,&quot;parse-names&quot;:false,&quot;dropping-particle&quot;:&quot;&quot;,&quot;non-dropping-particle&quot;:&quot;&quot;},{&quot;family&quot;:&quot;Mastur&quot;,&quot;given&quot;:&quot;Mastur&quot;,&quot;parse-names&quot;:false,&quot;dropping-particle&quot;:&quot;&quot;,&quot;non-dropping-particle&quot;:&quot;&quot;},{&quot;family&quot;:&quot;Sukarne&quot;,&quot;given&quot;:&quot;Sukarne&quot;,&quot;parse-names&quot;:false,&quot;dropping-particle&quot;:&quot;&quot;,&quot;non-dropping-particle&quot;:&quot;&quot;},{&quot;family&quot;:&quot;Enawati&quot;,&quot;given&quot;:&quot;Luh Sri&quot;,&quot;parse-names&quot;:false,&quot;dropping-particle&quot;:&quot;&quot;,&quot;non-dropping-particle&quot;:&quot;&quot;},{&quot;family&quot;:&quot;Dahlanuddin&quot;,&quot;given&quot;:&quot;Dahlanuddin&quot;,&quot;parse-names&quot;:false,&quot;dropping-particle&quot;:&quot;&quot;,&quot;non-dropping-particle&quot;:&quot;&quot;}],&quot;container-title&quot;:&quot;Journal of Advanced Veterinary and Animal Research&quot;,&quot;container-title-short&quot;:&quot;J. Adv. Vet. Anim. Res.&quot;,&quot;DOI&quot;:&quot;10.5455/javar.2023.j660&quot;,&quot;ISSN&quot;:&quot;23117710&quot;,&quot;issued&quot;:{&quot;date-parts&quot;:[[2023,3,1]]},&quot;page&quot;:&quot;118-125&quot;,&quot;abstract&quot;:&quot;Objective: The study was conducted to determine the effect of Leucaena at different proportions and doses of molasses on the nutritional quality, silage fermentation characteristic, and in vitro digestibility of corn stover silage. Materials and Methods: The study was designed in a completely randomized factorial design 3*3 pattern. The first factor was the proportion addition of Leucaena, i.e., L0 (0%), L15 (15%), L30 (30%), and L45 (45%) of inclusion of Leucaena on the dry matter (DM) basis of corn stover. The second factor was the dose of inclusion of molasses, i.e., M2 (2%), M4 (4%), and M6 (6%) on the fed basis of silage. Each treatment had five replications. The variables observed included chemical composition [DM, organic matter (OM), crude protein (CP), crude fiber (CF), hemicellulose, acid detergent fiber, and neutral detergent fiber], silage fermentation characteristics (pH and NH3-N), DM digestibility (DMD), and OM digestibility (OMD) under in vitro conditions. Results: The result shows that the inclusion of Leucaena in the proportion of 30%–45% is very effective in increasing and improving the chemical composition of corn stover silage, significantly suppresses the content of CF, and increases the CP content of the silage. Likewise, the inclusion of molasses at a dose of 4% also positively contributed to the quality of the resulting silage, especially its effect in suppressing the buffer capacity of proteins resulting in low pH values and NH3-N concentrations in silage. Conclusions: It was concluded that the inclusion of Leucaena in 30%–45% and the inclusion of molasses at a dose of 4% is very effective in increasing and improving the chemical composition, silage fermentability characteristics, and rumen degradation of corn stover silage&quot;,&quot;publisher&quot;:&quot;Network for the Veterinarians of Bangladesh&quot;,&quot;issue&quot;:&quot;1&quot;,&quot;volume&quot;:&quot;10&quot;},&quot;isTemporary&quot;:false,&quot;displayAs&quot;:&quot;composite&quot;,&quot;suppress-author&quot;:false,&quot;composite&quot;:true,&quot;author-only&quot;:false}]},{&quot;citationID&quot;:&quot;MENDELEY_CITATION_ba01e4aa-42b6-43f8-ad0b-53dfa54f2c5f&quot;,&quot;properties&quot;:{&quot;noteIndex&quot;:0},&quot;isEdited&quot;:false,&quot;manualOverride&quot;:{&quot;isManuallyOverridden&quot;:false,&quot;citeprocText&quot;:&quot;(Susilawati &amp;#38; Khairani, 2017)&quot;,&quot;manualOverrideText&quot;:&quot;&quot;},&quot;citationTag&quot;:&quot;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quot;,&quot;citationItems&quot;:[{&quot;id&quot;:&quot;3021244b-8460-363b-9143-43e8ed97691a&quot;,&quot;itemData&quot;:{&quot;type&quot;:&quot;article-journal&quot;,&quot;id&quot;:&quot;3021244b-8460-363b-9143-43e8ed97691a&quot;,&quot;title&quot;:&quot;Introduksi Pembuatan Pelet Hijauan Pakan Ternak Ruminansia di Arjasari Kabupaten Bandung&quot;,&quot;author&quot;:[{&quot;family&quot;:&quot;Susilawati&quot;,&quot;given&quot;:&quot;Iin&quot;,&quot;parse-names&quot;:false,&quot;dropping-particle&quot;:&quot;&quot;,&quot;non-dropping-particle&quot;:&quot;&quot;},{&quot;family&quot;:&quot;Khairani&quot;,&quot;given&quot;:&quot;Dan Lizah&quot;,&quot;parse-names&quot;:false,&quot;dropping-particle&quot;:&quot;&quot;,&quot;non-dropping-particle&quot;:&quot;&quot;}],&quot;container-title&quot;:&quot;Jurnal Pengabdian Kepada Masyarakat&quot;,&quot;ISSN&quot;:&quot;1410-5675&quot;,&quot;issued&quot;:{&quot;date-parts&quot;:[[2017,8,1]]},&quot;page&quot;:&quot;244-247&quot;,&quot;issue&quot;:&quot;4&quot;,&quot;volume&quot;:&quot;1&quot;,&quot;container-title-short&quot;:&quot;&quot;},&quot;isTemporary&quot;:false}]},{&quot;citationID&quot;:&quot;MENDELEY_CITATION_3b083185-444e-4864-9856-3f6e22a72ee4&quot;,&quot;properties&quot;:{&quot;noteIndex&quot;:0},&quot;isEdited&quot;:false,&quot;manualOverride&quot;:{&quot;isManuallyOverridden&quot;:false,&quot;citeprocText&quot;:&quot;(Sulistyawati et al., 2024)&quot;,&quot;manualOverrideText&quot;:&quot;&quot;},&quot;citationTag&quot;:&quot;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quot;,&quot;citationItems&quot;:[{&quot;id&quot;:&quot;afd5271c-3cdf-3a78-b1c1-aa6b337263c9&quot;,&quot;itemData&quot;:{&quot;type&quot;:&quot;article-journal&quot;,&quot;id&quot;:&quot;afd5271c-3cdf-3a78-b1c1-aa6b337263c9&quot;,&quot;title&quot;:&quot;Pengaruh Komposisi Campuran Hijauan Jagung G (Zea\nmays) dan Legum Kalliandra Merah (Calliandra calothyrsus)\nTerhadap Kualitas Fisik Wafer Pakan&quot;,&quot;author&quot;:[{&quot;family&quot;:&quot;Sulistyawati&quot;,&quot;given&quot;:&quot;D&quot;,&quot;parse-names&quot;:false,&quot;dropping-particle&quot;:&quot;&quot;,&quot;non-dropping-particle&quot;:&quot;&quot;},{&quot;family&quot;:&quot;Susilawati&quot;,&quot;given&quot;:&quot;I&quot;,&quot;parse-names&quot;:false,&quot;dropping-particle&quot;:&quot;&quot;,&quot;non-dropping-particle&quot;:&quot;&quot;},{&quot;family&quot;:&quot;Indriani&quot;,&quot;given&quot;:&quot;N. P&quot;,&quot;parse-names&quot;:false,&quot;dropping-particle&quot;:&quot;&quot;,&quot;non-dropping-particle&quot;:&quot;&quot;}],&quot;container-title&quot;:&quot;Jurnal Nutrisi Ternak Tropis dan Ilmu Pakan&quot;,&quot;DOI&quot;:&quot;https://doi.org/10.24198/jnttip.v6i2.53720&quot;,&quot;issued&quot;:{&quot;date-parts&quot;:[[2024,6,1]]},&quot;page&quot;:&quot;75-83&quot;,&quot;abstract&quot;:&quot;Hasil samping tanaman jagung untuk pakan ternak\nsangat potensial, akan tetapi pemanfaatannya belum\noptimal dikarenakan kandungan protein hasil samping\ntanaman jagung yang rendah sehingga perlu alternatif\npengolahan dengan dicampurkan dengan legum yang\nmemiliki kandungan protein tinggi salah satunya\nkaliandra merah. Pembuatan wafer dinilai optimal untuk\nmempermudah penyimpanan pakan. Analisis percobaan\nyang digunakan pada penelitian ini adalah metode\neksperimental dengan rancangan percobaan yang\ndigunakan adalah Rancangan Acak Lengkap (RAL)\nperlakuan percobaan yaitu : P1 = Hijauan Jagung 50% +\nKaliandra 50% ; P2 = Hijauan Jagung 40% + Kaliandra\n60% ; P3 = Hijauan Jagung 30% + Kaliandra 70% ; P4 =\nHijauan Jagung 20% + Kaliandra 80% dengan masing-\nmasing enam ulangan. Analisis penelitian meliputi daya\nserap air, berat jenis, kadar air, dan kerapatan. Hasil\nkomposisi campuran hijauan jagung dan kaliandra\nmerah nyata (P&lt;0,05) memberikan pengaruh terhadap\nkualitas fisik wafer pakan. Komposisi campuran paling\nbaik dihasilkan oleh P4 dengan 20% hijauan jagung dan\n80% legum kaliandra merah.&quot;,&quot;issue&quot;:&quot;2&quot;,&quot;volume&quot;:&quot;6&quot;,&quot;container-title-short&quot;:&quot;&quot;},&quot;isTemporary&quot;:false}]},{&quot;citationID&quot;:&quot;MENDELEY_CITATION_bd27c40d-4bca-4f7f-97d9-cad53f22df50&quot;,&quot;properties&quot;:{&quot;noteIndex&quot;:0,&quot;mode&quot;:&quot;composite&quot;},&quot;isEdited&quot;:false,&quot;manualOverride&quot;:{&quot;isManuallyOverridden&quot;:true,&quot;citeprocText&quot;:&quot;Horwitz (2005)&quot;,&quot;manualOverrideText&quot;:&quot;AOAC (2005)&quot;},&quot;citationTag&quot;:&quot;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quot;,&quot;citationItems&quot;:[{&quot;id&quot;:&quot;0c0f9e68-cbe1-3001-9c07-ef5284f1f742&quot;,&quot;itemData&quot;:{&quot;type&quot;:&quot;book&quot;,&quot;id&quot;:&quot;0c0f9e68-cbe1-3001-9c07-ef5284f1f742&quot;,&quot;title&quot;:&quot;Official methods of analysis of AOAC International&quot;,&quot;author&quot;:[{&quot;family&quot;:&quot;Horwitz&quot;,&quot;given&quot;:&quot;William.&quot;,&quot;parse-names&quot;:false,&quot;dropping-particle&quot;:&quot;&quot;,&quot;non-dropping-particle&quot;:&quot;&quot;}],&quot;ISBN&quot;:&quot;0935584773&quot;,&quot;issued&quot;:{&quot;date-parts&quot;:[[2005]]},&quot;abstract&quot;:&quot;18th ed. &quot;,&quot;publisher&quot;:&quot;AOAC International&quot;,&quot;container-title-short&quot;:&quot;&quot;},&quot;isTemporary&quot;:false,&quot;displayAs&quot;:&quot;composite&quot;,&quot;suppress-author&quot;:false,&quot;composite&quot;:true,&quot;author-only&quot;:false}]},{&quot;citationID&quot;:&quot;MENDELEY_CITATION_da1fb04d-fb47-4211-8fb4-c59cca2a0bc0&quot;,&quot;properties&quot;:{&quot;noteIndex&quot;:0,&quot;mode&quot;:&quot;composite&quot;},&quot;isEdited&quot;:false,&quot;manualOverride&quot;:{&quot;isManuallyOverridden&quot;:false,&quot;citeprocText&quot;:&quot;Tilley &amp;#38; Terry (1963)&quot;,&quot;manualOverrideText&quot;:&quot;&quot;},&quot;citationTag&quot;:&quot;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quot;,&quot;citationItems&quot;:[{&quot;id&quot;:&quot;de0b6536-ed1d-3e36-b565-69bdcd8e93d8&quot;,&quot;itemData&quot;:{&quot;type&quot;:&quot;article-journal&quot;,&quot;id&quot;:&quot;de0b6536-ed1d-3e36-b565-69bdcd8e93d8&quot;,&quot;title&quot;:&quot;A TWO-STAGE TECHNIQUE FOR THE IN VITRO DIGESTION OF FORAGE CROPS&quot;,&quot;author&quot;:[{&quot;family&quot;:&quot;Tilley&quot;,&quot;given&quot;:&quot;J M A&quot;,&quot;parse-names&quot;:false,&quot;dropping-particle&quot;:&quot;&quot;,&quot;non-dropping-particle&quot;:&quot;&quot;},{&quot;family&quot;:&quot;Terry&quot;,&quot;given&quot;:&quot;R A&quot;,&quot;parse-names&quot;:false,&quot;dropping-particle&quot;:&quot;&quot;,&quot;non-dropping-particle&quot;:&quot;&quot;}],&quot;container-title&quot;:&quot;The Grassland Research Institute&quot;,&quot;issued&quot;:{&quot;date-parts&quot;:[[1963,2,22]]},&quot;publisher-place&quot;:&quot;Berk&quot;,&quot;page&quot;:&quot;104-111&quot;,&quot;language&quot;:&quot;English&quot;,&quot;abstract&quot;:&quot;A simple technique for the determination in vitro of the dry-or organic-matter digestibility ol small (0-5 g) samples of dried forages is described. It involves incubation first with rumen liquor and then with acid pepsin. Using 146 samples of grass, clover and lucerne of known //i v/vo digestibility (7), the regression equation X = 099 Jf-101 fS.E. ±2-31) has been calculated, where X-in vitro dry-matter digestibility, This technique has been used for the .study of the digestibilities of plant breeder's material, of the leaf and stem fractions of herbage and of herbage consumed by animals.&quot;,&quot;container-title-short&quot;:&quot;&quot;},&quot;isTemporary&quot;:false,&quot;displayAs&quot;:&quot;composite&quot;,&quot;suppress-author&quot;:false,&quot;composite&quot;:true,&quot;author-only&quot;:false}]},{&quot;citationID&quot;:&quot;MENDELEY_CITATION_65b25fb9-47c3-4632-8703-bacdc2886616&quot;,&quot;properties&quot;:{&quot;noteIndex&quot;:0,&quot;mode&quot;:&quot;composite&quot;},&quot;isEdited&quot;:false,&quot;manualOverride&quot;:{&quot;isManuallyOverridden&quot;:false,&quot;citeprocText&quot;:&quot;Li et al. (2022)&quot;,&quot;manualOverrideText&quot;:&quot;&quot;},&quot;citationTag&quot;:&quot;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quot;,&quot;citationItems&quot;:[{&quot;id&quot;:&quot;0e597390-e921-35f6-8ca4-b4d6ae889e3c&quot;,&quot;itemData&quot;:{&quot;type&quot;:&quot;article-journal&quot;,&quot;id&quot;:&quot;0e597390-e921-35f6-8ca4-b4d6ae889e3c&quot;,&quot;title&quot;:&quot;Effects of Maize Varieties on Biomass Yield and Silage Quality of Maize–Soybean Intercropping in the Qinghai–Tibet Plateau&quot;,&quot;author&quot;:[{&quot;family&quot;:&quot;Li&quot;,&quot;given&quot;:&quot;Jiayi&quot;,&quot;parse-names&quot;:false,&quot;dropping-particle&quot;:&quot;&quot;,&quot;non-dropping-particle&quot;:&quot;&quot;},{&quot;family&quot;:&quot;Wen&quot;,&quot;given&quot;:&quot;Xingjin&quot;,&quot;parse-names&quot;:false,&quot;dropping-particle&quot;:&quot;&quot;,&quot;non-dropping-particle&quot;:&quot;&quot;},{&quot;family&quot;:&quot;Yang&quot;,&quot;given&quot;:&quot;Jizhi&quot;,&quot;parse-names&quot;:false,&quot;dropping-particle&quot;:&quot;&quot;,&quot;non-dropping-particle&quot;:&quot;&quot;},{&quot;family&quot;:&quot;Yang&quot;,&quot;given&quot;:&quot;Wenyu&quot;,&quot;parse-names&quot;:false,&quot;dropping-particle&quot;:&quot;&quot;,&quot;non-dropping-particle&quot;:&quot;&quot;},{&quot;family&quot;:&quot;Xin&quot;,&quot;given&quot;:&quot;Yafen&quot;,&quot;parse-names&quot;:false,&quot;dropping-particle&quot;:&quot;&quot;,&quot;non-dropping-particle&quot;:&quot;&quot;},{&quot;family&quot;:&quot;Zhang&quot;,&quot;given&quot;:&quot;Lei&quot;,&quot;parse-names&quot;:false,&quot;dropping-particle&quot;:&quot;&quot;,&quot;non-dropping-particle&quot;:&quot;&quot;},{&quot;family&quot;:&quot;Liu&quot;,&quot;given&quot;:&quot;Haiping&quot;,&quot;parse-names&quot;:false,&quot;dropping-particle&quot;:&quot;&quot;,&quot;non-dropping-particle&quot;:&quot;&quot;},{&quot;family&quot;:&quot;He&quot;,&quot;given&quot;:&quot;Yaling&quot;,&quot;parse-names&quot;:false,&quot;dropping-particle&quot;:&quot;&quot;,&quot;non-dropping-particle&quot;:&quot;&quot;},{&quot;family&quot;:&quot;Yan&quot;,&quot;given&quot;:&quot;Yanhong&quot;,&quot;parse-names&quot;:false,&quot;dropping-particle&quot;:&quot;&quot;,&quot;non-dropping-particle&quot;:&quot;&quot;}],&quot;container-title&quot;:&quot;Fermentation&quot;,&quot;DOI&quot;:&quot;10.3390/fermentation8100542&quot;,&quot;ISSN&quot;:&quot;23115637&quot;,&quot;issued&quot;:{&quot;date-parts&quot;:[[2022,10,1]]},&quot;abstract&quot;:&quot;Forage deficiency is the bottleneck that restricts the development of plateau animal husbandry. Maize (Zea mays L.)–soybean (Glycine max L.) intercropping can improve the forage biomass yield and silage quality. This experiment was conducted in Ganzi Tibetan Autonomous Prefecture to explore the effects of four maize varieties (M1, Rongyu Silage No. 1; M2, Yayu 04889; M3, Demeiya No. 1; M4, Zhenghong 505) on biomass yield, nutritional composition, and silage quality in maize–soybean intercropping. The results showed that M1S had the highest total dry matter yield (18.03 t ha−1), M3S had the highest crude protein (CP) content (8.46% DM), and soybeans had the highest water-soluble carbohydrate (WSC) content (8.55% DM). After silage, the CP content (13.44% DM) of mixed silage in M3S was higher, and the contents of neutral detergent fiber (39.42% DM) and acid detergent fiber (25.42% DM) were lower than those in maize silage alone. The WSC content (4.45% DM) of mixed silage in M3S was higher and the pH value (4.46) and ammonia–nitrogen to total nitrogen (3.97%) were lower than those of soybean silage alone. The results of membership function analysis showed that M3S was the best in fresh feeding and silage utilization, followed by M1S. Therefore, M3S (Demeiya No 1. intercropped with soybeans) is recommended in high-altitude areas.&quot;,&quot;publisher&quot;:&quot;MDPI&quot;,&quot;issue&quot;:&quot;10&quot;,&quot;volume&quot;:&quot;8&quot;,&quot;container-title-short&quot;:&quot;&quot;},&quot;isTemporary&quot;:false,&quot;displayAs&quot;:&quot;composite&quot;,&quot;suppress-author&quot;:false,&quot;composite&quot;:true,&quot;author-only&quot;:false}]},{&quot;citationID&quot;:&quot;MENDELEY_CITATION_02811575-9885-4ed6-bdf2-d5422c0bb940&quot;,&quot;properties&quot;:{&quot;noteIndex&quot;:0,&quot;mode&quot;:&quot;composite&quot;},&quot;isEdited&quot;:false,&quot;manualOverride&quot;:{&quot;isManuallyOverridden&quot;:false,&quot;citeprocText&quot;:&quot;Ayuni et al. (2017)&quot;,&quot;manualOverrideText&quot;:&quot;&quot;},&quot;citationTag&quot;:&quot;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quot;,&quot;citationItems&quot;:[{&quot;id&quot;:&quot;dcc87647-8114-31f5-8d9a-228e6ce72595&quot;,&quot;itemData&quot;:{&quot;type&quot;:&quot;paper-conference&quot;,&quot;id&quot;:&quot;dcc87647-8114-31f5-8d9a-228e6ce72595&quot;,&quot;title&quot;:&quot;Fermentation Characteristics of Corn Stover and Gliricydia sepium Combination Silage with Different Presentations&quot;,&quot;author&quot;:[{&quot;family&quot;:&quot;Ayuni&quot;,&quot;given&quot;:&quot;Trisna&quot;,&quot;parse-names&quot;:false,&quot;dropping-particle&quot;:&quot;&quot;,&quot;non-dropping-particle&quot;:&quot;&quot;},{&quot;family&quot;:&quot;Kurniawan&quot;,&quot;given&quot;:&quot;Widhi&quot;,&quot;parse-names&quot;:false,&quot;dropping-particle&quot;:&quot;&quot;,&quot;non-dropping-particle&quot;:&quot;&quot;},{&quot;family&quot;:&quot;Napirah&quot;,&quot;given&quot;:&quot;Astriana&quot;,&quot;parse-names&quot;:false,&quot;dropping-particle&quot;:&quot;&quot;,&quot;non-dropping-particle&quot;:&quot;&quot;}],&quot;container-title&quot;:&quot;Proceedings of the 7th International Seminar on Tropical Animal Production (ISTAP)&quot;,&quot;accessed&quot;:{&quot;date-parts&quot;:[[2026,1,6]]},&quot;URL&quot;:&quot;https://r.search.yahoo.com/_ylt=AwrKEooyE11pTgIA.APLQwx.;_ylu=Y29sbwNzZzMEcG9zAzEEdnRpZAMEc2VjA3Ny/RV=2/RE=1768917043/RO=10/RU=https%3a%2f%2fjurnal.ugm.ac.id%2fistapproceeding%2farticle%2fviewFile%2f29937%2f18042/RK=2/RS=rUt9gNq23bGSZKXbZT_licKQj6Q-&quot;,&quot;issued&quot;:{&quot;date-parts&quot;:[[2017,9,12]]},&quot;publisher-place&quot;:&quot;Yogyakarta&quot;,&quot;page&quot;:&quot;107&quot;,&quot;language&quot;:&quot;English&quot;,&quot;publisher&quot;:&quot;aculty of Animal Science, Universitas Gadjah Mada (UGM)&quot;,&quot;container-title-short&quot;:&quot;&quot;},&quot;isTemporary&quot;:false,&quot;displayAs&quot;:&quot;composite&quot;,&quot;suppress-author&quot;:false,&quot;composite&quot;:true,&quot;author-only&quot;:false}]},{&quot;citationID&quot;:&quot;MENDELEY_CITATION_379acf01-f07d-463f-bb3e-d7377934f8c2&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f14eba65-5939-4822-864a-012b4a9a70fd&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e2e3b87d-0758-472d-bf53-c66c23ab9952&quot;,&quot;properties&quot;:{&quot;noteIndex&quot;:0,&quot;mode&quot;:&quot;composite&quot;},&quot;isEdited&quot;:false,&quot;manualOverride&quot;:{&quot;isManuallyOverridden&quot;:false,&quot;citeprocText&quot;:&quot;Surono et al. (2006)&quot;,&quot;manualOverrideText&quot;:&quot;&quot;},&quot;citationTag&quot;:&quot;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quot;,&quot;citationItems&quot;:[{&quot;id&quot;:&quot;bd868061-25ee-399a-9036-b0ab96a54b60&quot;,&quot;itemData&quot;:{&quot;type&quot;:&quot;article-journal&quot;,&quot;id&quot;:&quot;bd868061-25ee-399a-9036-b0ab96a54b60&quot;,&quot;title&quot;:&quot;Kehilangan Bahan Kering dan Bahan Organik Silase Rumput Gajah Pada Umur Potong dan Level Aditif yang Berbeda&quot;,&quot;author&quot;:[{&quot;family&quot;:&quot;Surono&quot;,&quot;given&quot;:&quot;M&quot;,&quot;parse-names&quot;:false,&quot;dropping-particle&quot;:&quot;&quot;,&quot;non-dropping-particle&quot;:&quot;&quot;},{&quot;family&quot;:&quot;Soejono&quot;,&quot;given&quot;:&quot;&quot;,&quot;parse-names&quot;:false,&quot;dropping-particle&quot;:&quot;&quot;,&quot;non-dropping-particle&quot;:&quot;&quot;},{&quot;family&quot;:&quot;Budhi&quot;,&quot;given&quot;:&quot;S. P. S&quot;,&quot;parse-names&quot;:false,&quot;dropping-particle&quot;:&quot;&quot;,&quot;non-dropping-particle&quot;:&quot;&quot;}],&quot;container-title&quot;:&quot;Journal of the Indonesian Tropical Animal Agriculture&quot;,&quot;container-title-short&quot;:&quot;J. Indones. Trop. Anim. Agric.&quot;,&quot;ISSN&quot;:&quot;2087-8273&quot;,&quot;issued&quot;:{&quot;date-parts&quot;:[[2006,3]]},&quot;page&quot;:&quot;62-67&quot;,&quot;issue&quot;:&quot;1&quot;,&quot;volume&quot;:&quot;31&quot;},&quot;isTemporary&quot;:false,&quot;displayAs&quot;:&quot;composite&quot;,&quot;suppress-author&quot;:false,&quot;composite&quot;:true,&quot;author-only&quot;:false}]},{&quot;citationID&quot;:&quot;MENDELEY_CITATION_6e28e701-6faf-4692-a805-c1bd47ad3315&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069fdc0e-66ba-4b03-9f3d-a26b00def386&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ed4e7846-a42f-430a-85cb-a38a320a02a0&quot;,&quot;properties&quot;:{&quot;noteIndex&quot;:0},&quot;isEdited&quot;:false,&quot;manualOverride&quot;:{&quot;isManuallyOverridden&quot;:false,&quot;citeprocText&quot;:&quot;(Bagus et al., 2024)&quot;,&quot;manualOverrideText&quot;:&quot;&quot;},&quot;citationTag&quot;:&quot;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quot;,&quot;citationItems&quot;:[{&quot;id&quot;:&quot;330f9277-e11d-37c8-bd86-c9e1c01a0c7d&quot;,&quot;itemData&quot;:{&quot;type&quot;:&quot;article-journal&quot;,&quot;id&quot;:&quot;330f9277-e11d-37c8-bd86-c9e1c01a0c7d&quot;,&quot;title&quot;:&quot;Subtitusi Leguminosa Indigofera Dalam Pembuatan Silase Rumput Packhong Terhadap Kualitas Zat-Zat Makanan(BK, BO, BETN danAir)&quot;,&quot;author&quot;:[{&quot;family&quot;:&quot;Bagus&quot;,&quot;given&quot;:&quot;A&quot;,&quot;parse-names&quot;:false,&quot;dropping-particle&quot;:&quot;&quot;,&quot;non-dropping-particle&quot;:&quot;&quot;},{&quot;family&quot;:&quot;Mulyani&quot;,&quot;given&quot;:&quot;S&quot;,&quot;parse-names&quot;:false,&quot;dropping-particle&quot;:&quot;&quot;,&quot;non-dropping-particle&quot;:&quot;&quot;},{&quot;family&quot;:&quot;Dianti&quot;,&quot;given&quot;:&quot;D&quot;,&quot;parse-names&quot;:false,&quot;dropping-particle&quot;:&quot;&quot;,&quot;non-dropping-particle&quot;:&quot;&quot;},{&quot;family&quot;:&quot;Syafrizal&quot;,&quot;given&quot;:&quot;&quot;,&quot;parse-names&quot;:false,&quot;dropping-particle&quot;:&quot;&quot;,&quot;non-dropping-particle&quot;:&quot;&quot;},{&quot;family&quot;:&quot;Erwin&quot;,&quot;given&quot;:&quot;&quot;,&quot;parse-names&quot;:false,&quot;dropping-particle&quot;:&quot;&quot;,&quot;non-dropping-particle&quot;:&quot;&quot;},{&quot;family&quot;:&quot;Hidayati&quot;,&quot;given&quot;:&quot;S G&quot;,&quot;parse-names&quot;:false,&quot;dropping-particle&quot;:&quot;&quot;,&quot;non-dropping-particle&quot;:&quot;&quot;}],&quot;container-title&quot;:&quot;Embrio Journal&quot;,&quot;DOI&quot;:&quot;https://doi.org/10.31317/embrio.v16i2.1089&quot;,&quot;ISSN&quot;:&quot;2085-403&quot;,&quot;URL&quot;:&quot;https;//ojs.unitas-pdg.ac.id/index.php/embriodoi:1031317/embriohttps;//ojs.unitas-pdg.ac.id/index.php/embrio100&quot;,&quot;issued&quot;:{&quot;date-parts&quot;:[[2024,11,2]]},&quot;page&quot;:&quot;100-114&quot;,&quot;issue&quot;:&quot;2&quot;,&quot;volume&quot;:&quot;16&quot;,&quot;container-title-short&quot;:&quot;&quot;},&quot;isTemporary&quot;:false}]},{&quot;citationID&quot;:&quot;MENDELEY_CITATION_1df04f0f-6664-409d-89a5-3a1961be221f&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24ea15f5-fb89-4739-b1ea-e327b0de6cb0&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2df2c48d-b07f-4110-9a8b-d4d9ceb74bb7&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99c67c50-2e95-4f30-96ac-7a371cecabd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782b2504-d814-45fe-9f18-e984aec55143&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4371e07e-6aab-48ff-9433-3bf2fab3527e&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container-title-short&quot;:&quot;&quot;},&quot;isTemporary&quot;:false,&quot;displayAs&quot;:&quot;composite&quot;,&quot;suppress-author&quot;:false,&quot;composite&quot;:true,&quot;author-only&quot;:false}]},{&quot;citationID&quot;:&quot;MENDELEY_CITATION_5a6ffe38-e123-4b63-9821-05509bc3cc5f&quot;,&quot;properties&quot;:{&quot;noteIndex&quot;:0,&quot;mode&quot;:&quot;composite&quot;},&quot;isEdited&quot;:false,&quot;manualOverride&quot;:{&quot;isManuallyOverridden&quot;:false,&quot;citeprocText&quot;:&quot;Zhao et al. (2025)&quot;,&quot;manualOverrideText&quot;:&quot;&quot;},&quot;citationTag&quot;:&quot;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quot;,&quot;citationItems&quot;:[{&quot;id&quot;:&quot;beecd05c-64f2-3e52-982d-10e935a7e4d2&quot;,&quot;itemData&quot;:{&quot;type&quot;:&quot;article-journal&quot;,&quot;id&quot;:&quot;beecd05c-64f2-3e52-982d-10e935a7e4d2&quot;,&quot;title&quot;:&quot;Effects of Dietary Tannic Acid and Tea Polyphenol Supplementation on Rumen Fermentation, Methane Emissions, Milk Protein Synthesis and Microbiota in Cows&quot;,&quot;author&quot;:[{&quot;family&quot;:&quot;Zhao&quot;,&quot;given&quot;:&quot;Rong&quot;,&quot;parse-names&quot;:false,&quot;dropping-particle&quot;:&quot;&quot;,&quot;non-dropping-particle&quot;:&quot;&quot;},{&quot;family&quot;:&quot;Sun&quot;,&quot;given&quot;:&quot;Jiajin&quot;,&quot;parse-names&quot;:false,&quot;dropping-particle&quot;:&quot;&quot;,&quot;non-dropping-particle&quot;:&quot;&quot;},{&quot;family&quot;:&quot;Lin&quot;,&quot;given&quot;:&quot;Yitong&quot;,&quot;parse-names&quot;:false,&quot;dropping-particle&quot;:&quot;&quot;,&quot;non-dropping-particle&quot;:&quot;&quot;},{&quot;family&quot;:&quot;Yan&quot;,&quot;given&quot;:&quot;Haichao&quot;,&quot;parse-names&quot;:false,&quot;dropping-particle&quot;:&quot;&quot;,&quot;non-dropping-particle&quot;:&quot;&quot;},{&quot;family&quot;:&quot;Zhang&quot;,&quot;given&quot;:&quot;Shiyue&quot;,&quot;parse-names&quot;:false,&quot;dropping-particle&quot;:&quot;&quot;,&quot;non-dropping-particle&quot;:&quot;&quot;},{&quot;family&quot;:&quot;Huo&quot;,&quot;given&quot;:&quot;Wenjie&quot;,&quot;parse-names&quot;:false,&quot;dropping-particle&quot;:&quot;&quot;,&quot;non-dropping-particle&quot;:&quot;&quot;},{&quot;family&quot;:&quot;Chen&quot;,&quot;given&quot;:&quot;Lei&quot;,&quot;parse-names&quot;:false,&quot;dropping-particle&quot;:&quot;&quot;,&quot;non-dropping-particle&quot;:&quot;&quot;},{&quot;family&quot;:&quot;Liu&quot;,&quot;given&quot;:&quot;Qiang&quot;,&quot;parse-names&quot;:false,&quot;dropping-particle&quot;:&quot;&quot;,&quot;non-dropping-particle&quot;:&quot;&quot;},{&quot;family&quot;:&quot;Wang&quot;,&quot;given&quot;:&quot;Cong&quot;,&quot;parse-names&quot;:false,&quot;dropping-particle&quot;:&quot;&quot;,&quot;non-dropping-particle&quot;:&quot;&quot;},{&quot;family&quot;:&quot;Guo&quot;,&quot;given&quot;:&quot;Gang&quot;,&quot;parse-names&quot;:false,&quot;dropping-particle&quot;:&quot;&quot;,&quot;non-dropping-particle&quot;:&quot;&quot;}],&quot;container-title&quot;:&quot;Microorganisms&quot;,&quot;container-title-short&quot;:&quot;Microorganisms&quot;,&quot;DOI&quot;:&quot;10.3390/microorganisms13081848&quot;,&quot;ISSN&quot;:&quot;20762607&quot;,&quot;issued&quot;:{&quot;date-parts&quot;:[[2025,8,1]]},&quot;abstract&quot;:&quot;To develop sustainable strategies for mitigating ruminal methanogenesis and improving nitrogen efficiency in dairy systems, this study investigated how low-dose tannic acid (T), tea polyphenols (TP), and their combination (T+TP; 50:50) modulate rumen microbiota and function. A sample of Holstein cows were given four dietary treatments: (1) control (basal diet); (2) T (basal diet + 0.4% DM tannic acid); (3) TP (basal diet + 0.4% DM tea polyphenols); and (4) T+TP (basal diet + 0.2% DM tannic acid + 0.2% DM tea polyphenols). We comprehensively analyzed rumen fermentation, methane production, nutrient digestibility, milk parameters, and microbiota dynamics. Compared with the control group, all diets supplemented with additives significantly reduced enteric methane production (13.68% for T, 11.40% for TP, and 10.89% for T+TP) and significantly increased milk protein yield. The crude protein digestibility significantly increased in the T group versus control. The results did not impair rumen health or fiber digestion. Critically, microbiota analysis revealed treatment-specific modulation: the T group showed decreased Ruminococcus flavefaciens abundance, while all tannin treatments reduced abundances of Ruminococcus albus and total methanogens. These microbial shifts corresponded with functional outcomes—most notably, the T+TP synergy drove the largest reductions in rumen ammonia-N (34.5%) and milk urea nitrogen (21.1%). Supplementation at 0.4% DM, particularly the T+TP combination, effectively enhances nitrogen efficiency and milk protein synthesis while reducing methane emissions through targeted modulation of key rumen microbiota populations, suggesting potential sustainability benefits linked to altered rumen fermentation.&quot;,&quot;publisher&quot;:&quot;Multidisciplinary Digital Publishing Institute (MDPI)&quot;,&quot;issue&quot;:&quot;8&quot;,&quot;volume&quot;:&quot;13&quot;},&quot;isTemporary&quot;:false,&quot;displayAs&quot;:&quot;composite&quot;,&quot;suppress-author&quot;:false,&quot;composite&quot;:true,&quot;author-only&quot;:false}]},{&quot;citationID&quot;:&quot;MENDELEY_CITATION_a4b16946-57ca-4fa2-b469-7f668a8efc28&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f8330c5b-a731-43dc-a215-2952a494f144&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ff04e0d0-ca01-4ea8-a692-eeedf9210d62&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5e4048f6-f008-4cc1-8f95-240af9dfbde8&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d61b093b-477e-4cc1-91e0-7298865c261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5e31c8cf-dcbd-49e8-87fa-44f2091d982b&quot;,&quot;properties&quot;:{&quot;noteIndex&quot;:0,&quot;mode&quot;:&quot;composite&quot;},&quot;isEdited&quot;:false,&quot;manualOverride&quot;:{&quot;isManuallyOverridden&quot;:false,&quot;citeprocText&quot;:&quot;Makmur et al. (2022)&quot;,&quot;manualOverrideText&quot;:&quot;&quot;},&quot;citationTag&quot;:&quot;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quot;,&quot;citationItems&quot;:[{&quot;id&quot;:&quot;4f2675ce-ea0f-3ce8-b0bd-4e993c55eff8&quot;,&quot;itemData&quot;:{&quot;type&quot;:&quot;article-journal&quot;,&quot;id&quot;:&quot;4f2675ce-ea0f-3ce8-b0bd-4e993c55eff8&quot;,&quot;title&quot;:&quot;Modulatory effects of dietary tannins on polyunsaturated fatty acid biohydrogenation in the rumen: A meta-analysis&quot;,&quot;author&quot;:[{&quot;family&quot;:&quot;Makmur&quot;,&quot;given&quot;:&quot;Malik&quot;,&quot;parse-names&quot;:false,&quot;dropping-particle&quot;:&quot;&quot;,&quot;non-dropping-particle&quot;:&quot;&quot;},{&quot;family&quot;:&quot;Zain&quot;,&quot;given&quot;:&quot;Mardiati&quot;,&quot;parse-names&quot;:false,&quot;dropping-particle&quot;:&quot;&quot;,&quot;non-dropping-particle&quot;:&quot;&quot;},{&quot;family&quot;:&quot;Sholikin&quot;,&quot;given&quot;:&quot;Muhammad Miftakhus&quot;,&quot;parse-names&quot;:false,&quot;dropping-particle&quot;:&quot;&quot;,&quot;non-dropping-particle&quot;:&quot;&quot;},{&quot;family&quot;:&quot;Suharlina&quot;,&quot;given&quot;:&quot;&quot;,&quot;parse-names&quot;:false,&quot;dropping-particle&quot;:&quot;&quot;,&quot;non-dropping-particle&quot;:&quot;&quot;},{&quot;family&quot;:&quot;Jayanegara&quot;,&quot;given&quot;:&quot;Anuraga&quot;,&quot;parse-names&quot;:false,&quot;dropping-particle&quot;:&quot;&quot;,&quot;non-dropping-particle&quot;:&quot;&quot;}],&quot;container-title&quot;:&quot;Heliyon&quot;,&quot;container-title-short&quot;:&quot;Heliyon&quot;,&quot;DOI&quot;:&quot;10.1016/j.heliyon.2022.e09828&quot;,&quot;ISSN&quot;:&quot;24058440&quot;,&quot;issued&quot;:{&quot;date-parts&quot;:[[2022,7,1]]},&quot;abstract&quot;:&quot;Background: Tannins are a group of phenolic compounds that can modify the rumen biohydrogenation (BH) of polyunsaturated fatty acids (PUFA), but to date results obtained have been inconsistent. This study therefore aims to conduct a meta-analysis of the scientific literature related to the effects of tannins on rumen BH and fermentation. Methods: A total of 28 articles were collected from various scientific databases, such as Scopus, Science Direct and Google Scholar, and the data were analysed using a random effects model and meta-regression for rumen BH. The publication bias on the main variables of rumen fermentation was assessed using a funnel plot and Egger's test. Results: An increase in tannin levels significantly reduced methane production (p &lt; 0.001) and the population of Butyrivibrio fibrisolvens (p &lt; 0.05). Dietary tannins also decreased the SFA proportion (p &lt; 0.001) and increased (p &lt; 0.001) the rumen monounsaturated fatty acid (MUFA) and polyunsaturated fatty acid (PUFA) proportions. In additions, there were negative relationships between dietary tannin levels and BH rates of C18:2 n-6 and C18:3 n-3 (p &lt; 0.05). Conclusion: Dietary tannins modulate the rumen fermentation profile, mitigate methane emissions, and inhibit rumen BH of PUFA.&quot;,&quot;publisher&quot;:&quot;Elsevier Ltd&quot;,&quot;issue&quot;:&quot;7&quot;,&quot;volume&quot;:&quot;8&quot;},&quot;isTemporary&quot;:false,&quot;displayAs&quot;:&quot;composite&quot;,&quot;suppress-author&quot;:false,&quot;composite&quot;:true,&quot;author-only&quot;:false}]},{&quot;citationID&quot;:&quot;MENDELEY_CITATION_e9eec2c4-69aa-487b-93f7-aaf6d9d31fac&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container-title-short&quot;:&quot;&quot;},&quot;isTemporary&quot;:false,&quot;displayAs&quot;:&quot;composite&quot;,&quot;suppress-author&quot;:false,&quot;composite&quot;:true,&quot;author-only&quot;:false}]},{&quot;citationID&quot;:&quot;MENDELEY_CITATION_907eb2ff-7484-4d83-94e2-8b9203cabc88&quot;,&quot;properties&quot;:{&quot;noteIndex&quot;:0,&quot;mode&quot;:&quot;composite&quot;},&quot;isEdited&quot;:false,&quot;manualOverride&quot;:{&quot;isManuallyOverridden&quot;:false,&quot;citeprocText&quot;:&quot;Bain et al. (2025)&quot;,&quot;manualOverrideText&quot;:&quot;&quot;},&quot;citationTag&quot;:&quot;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quot;,&quot;citationItems&quot;:[{&quot;id&quot;:&quot;3172fcb4-a4af-3846-b1b2-866e7b7a7d06&quot;,&quot;itemData&quot;:{&quot;type&quot;:&quot;article-journal&quot;,&quot;id&quot;:&quot;3172fcb4-a4af-3846-b1b2-866e7b7a7d06&quot;,&quot;title&quot;:&quot;In vitro fermentation characteristics and nutrient digestibility of rations based on corn stover silage (Zea mays L., 1973) and Ceara rubber tree leaves (Manihot glaziovii Mull. Arg., 1874) for Etawa crossbred goats&quot;,&quot;author&quot;:[{&quot;family&quot;:&quot;Bain&quot;,&quot;given&quot;:&quot;A.&quot;,&quot;parse-names&quot;:false,&quot;dropping-particle&quot;:&quot;&quot;,&quot;non-dropping-particle&quot;:&quot;&quot;},{&quot;family&quot;:&quot;Sandhy&quot;,&quot;given&quot;:&quot;Y. N.&quot;,&quot;parse-names&quot;:false,&quot;dropping-particle&quot;:&quot;&quot;,&quot;non-dropping-particle&quot;:&quot;&quot;},{&quot;family&quot;:&quot;Asminaya&quot;,&quot;given&quot;:&quot;N. S.&quot;,&quot;parse-names&quot;:false,&quot;dropping-particle&quot;:&quot;&quot;,&quot;non-dropping-particle&quot;:&quot;&quot;},{&quot;family&quot;:&quot;Munadi&quot;,&quot;given&quot;:&quot;L. O.M.&quot;,&quot;parse-names&quot;:false,&quot;dropping-particle&quot;:&quot;&quot;,&quot;non-dropping-particle&quot;:&quot;&quot;},{&quot;family&quot;:&quot;Zulkarnain&quot;,&quot;given&quot;:&quot;D.&quot;,&quot;parse-names&quot;:false,&quot;dropping-particle&quot;:&quot;&quot;,&quot;non-dropping-particle&quot;:&quot;&quot;},{&quot;family&quot;:&quot;Muhsafaat&quot;,&quot;given&quot;:&quot;L. O.&quot;,&quot;parse-names&quot;:false,&quot;dropping-particle&quot;:&quot;&quot;,&quot;non-dropping-particle&quot;:&quot;&quot;},{&quot;family&quot;:&quot;Rahman&quot;,&quot;given&quot;:&quot;R.&quot;,&quot;parse-names&quot;:false,&quot;dropping-particle&quot;:&quot;&quot;,&quot;non-dropping-particle&quot;:&quot;&quot;},{&quot;family&quot;:&quot;Malesi&quot;,&quot;given&quot;:&quot;L.&quot;,&quot;parse-names&quot;:false,&quot;dropping-particle&quot;:&quot;&quot;,&quot;non-dropping-particle&quot;:&quot;&quot;},{&quot;family&quot;:&quot;Tasse&quot;,&quot;given&quot;:&quot;A. M.&quot;,&quot;parse-names&quot;:false,&quot;dropping-particle&quot;:&quot;&quot;,&quot;non-dropping-particle&quot;:&quot;&quot;}],&quot;container-title&quot;:&quot;Brazilian Journal of Biology&quot;,&quot;DOI&quot;:&quot;10.1590/1519-6984.287849&quot;,&quot;ISSN&quot;:&quot;16784375&quot;,&quot;PMID&quot;:&quot;40053018&quot;,&quot;issued&quot;:{&quot;date-parts&quot;:[[2025]]},&quot;abstract&quot;:&quot;Despite being abundantly available and nutritious, corn stover and Ceara rubber tree leaves are rarely used as livestock feed. However, these agriculture byproducts contain hard to digest nutrients to be used as feed for livestock. This study evaluates the fermentation characteristics (pH levels, ammoniacal nitrogen (N-NH3 ), and total volatile fatty acid (VFA) production and nutrient digestibility (dry matter digestibility_DMD, organic matter digestibility_OMD) of a silage-based diet composed of a mixture of corn stover and Ceara rubber tree leaves in Etawa crossbred goats in vitro. The hay, based on corn stover and Ceara rubber tree leaves, is supplemented with a concentrate comprising bran, pollard, coconut meal, tapioca waste, molasses, and urea. The research design employs a Randomized Complete Block Design with four treatments and four replications. The four treatments are as follows: T1 (60% forage silage with 60% corn stover, 30% Ceara rubber tree leaves, and 10% ground corn + 40% concentrate), T2 (60% forage silage with 65% corn stover, 27.5% Ceara rubber tree leaves, and 7.5% ground corn + 40% concentrate), T3 (60% forage silage with 70% corn stover, 25% Ceara rubber tree leaves, and 5% ground corn + 40% concentrate), and T4 (60% forage silage with 75% corn stover, 22.5% Ceara rubber tree leaves, and 2.5% ground corn + 40% concentrate). Data analysis involves variance analysis, and differences between treatments are tested using Duncan’s Multiple Range Test. The results indicate that different combinations of corn stover and Ceara rubber tree leaves significantly impacted the N-NH3 level but did not significantly affect the pH, VFA total, DMD and OMD. This study concludes that combining both fermented ingredients creates a normal in vitro fermentation ecosystem capable of supporting the growth and activity of microorganisms in breaking down nutrients with high efficiency. Based on the results of the study, it proves that the implementation of fermentation technology on high fiber and low crude protein feed ingredients combined with ingredients containing nitrogen sources such as Ceara rubber tree can improve the nutrient content of silage from agricultural by-products.&quot;,&quot;publisher&quot;:&quot;Instituto Internacional de Ecologia&quot;,&quot;volume&quot;:&quot;85&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5F55-7A8F-4FB0-B632-48355A04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8</Pages>
  <Words>4384</Words>
  <Characters>24994</Characters>
  <Application>Microsoft Office Word</Application>
  <DocSecurity>0</DocSecurity>
  <Lines>208</Lines>
  <Paragraphs>58</Paragraphs>
  <ScaleCrop>false</ScaleCrop>
  <Company/>
  <LinksUpToDate>false</LinksUpToDate>
  <CharactersWithSpaces>29320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Amalia</dc:creator>
  <cp:keywords/>
  <dc:description/>
  <cp:lastModifiedBy>qwert</cp:lastModifiedBy>
  <cp:revision>10</cp:revision>
  <cp:lastPrinted>2026-01-07T09:13:00Z</cp:lastPrinted>
  <dcterms:created xsi:type="dcterms:W3CDTF">2026-03-30T07:16:00Z</dcterms:created>
  <dcterms:modified xsi:type="dcterms:W3CDTF">2026-04-02T08:09:00Z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http://csl.mendeley.com/styles/818427351/SKRIPSI-SUSI</vt:lpwstr>
  </property>
  <property fmtid="{D5CDD505-2E9C-101B-9397-08002B2CF9AE}" pid="9" name="Mendeley Recent Style Name 3_1">
    <vt:lpwstr>American Psychological Association 7th edition - Susi Amalia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GrammarlyDocumentId">
    <vt:lpwstr>e49f4575-1ea5-48de-b318-2a49aa2ceb30</vt:lpwstr>
  </property>
</Properties>
</file>