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9CFBD" w14:textId="434A4F66" w:rsidR="00BD5ECD" w:rsidRPr="006649B0" w:rsidRDefault="00BD5ECD" w:rsidP="00BD5ECD">
      <w:pPr>
        <w:jc w:val="center"/>
        <w:rPr>
          <w:rFonts w:ascii="Times New Roman" w:hAnsi="Times New Roman" w:cs="Times New Roman"/>
          <w:b/>
          <w:bCs/>
          <w:sz w:val="28"/>
          <w:szCs w:val="28"/>
        </w:rPr>
      </w:pPr>
      <w:r w:rsidRPr="006649B0">
        <w:rPr>
          <w:rFonts w:ascii="Times New Roman" w:hAnsi="Times New Roman" w:cs="Times New Roman"/>
          <w:b/>
          <w:bCs/>
          <w:sz w:val="28"/>
          <w:szCs w:val="28"/>
        </w:rPr>
        <w:t>Passive Design as Indigenous Environmental Knowledge: A Qualitative Study of Traditional Nigerian Architecture in Hot-Humid Climates</w:t>
      </w:r>
    </w:p>
    <w:p w14:paraId="62475660" w14:textId="0928A528" w:rsidR="00BD5ECD" w:rsidRPr="006649B0" w:rsidRDefault="00BD5ECD" w:rsidP="00BD5ECD">
      <w:pPr>
        <w:jc w:val="center"/>
        <w:rPr>
          <w:rFonts w:ascii="Times New Roman" w:hAnsi="Times New Roman" w:cs="Times New Roman"/>
          <w:b/>
          <w:bCs/>
        </w:rPr>
      </w:pPr>
      <w:bookmarkStart w:id="0" w:name="_GoBack"/>
      <w:bookmarkEnd w:id="0"/>
      <w:r w:rsidRPr="006649B0">
        <w:rPr>
          <w:rFonts w:ascii="Times New Roman" w:hAnsi="Times New Roman" w:cs="Times New Roman"/>
          <w:b/>
          <w:bCs/>
        </w:rPr>
        <w:t>A</w:t>
      </w:r>
      <w:r w:rsidR="006649B0" w:rsidRPr="006649B0">
        <w:rPr>
          <w:rFonts w:ascii="Times New Roman" w:hAnsi="Times New Roman" w:cs="Times New Roman"/>
          <w:b/>
          <w:bCs/>
        </w:rPr>
        <w:t>BSTRACT</w:t>
      </w:r>
    </w:p>
    <w:p w14:paraId="00D6C93B" w14:textId="178EE21D" w:rsidR="00BD5ECD" w:rsidRPr="00BD5ECD" w:rsidRDefault="00BD5ECD" w:rsidP="00BD5ECD">
      <w:pPr>
        <w:jc w:val="both"/>
        <w:rPr>
          <w:rFonts w:ascii="Times New Roman" w:hAnsi="Times New Roman" w:cs="Times New Roman"/>
        </w:rPr>
      </w:pPr>
      <w:r w:rsidRPr="00BD5ECD">
        <w:rPr>
          <w:rFonts w:ascii="Times New Roman" w:hAnsi="Times New Roman" w:cs="Times New Roman"/>
        </w:rPr>
        <w:t>This study examines passive design strategies embedded in traditional Nigerian architecture as expressions of indigenous environmental knowledge within hot</w:t>
      </w:r>
      <w:r w:rsidR="006649B0">
        <w:rPr>
          <w:rFonts w:ascii="Times New Roman" w:hAnsi="Times New Roman" w:cs="Times New Roman"/>
        </w:rPr>
        <w:t>-</w:t>
      </w:r>
      <w:r w:rsidRPr="00BD5ECD">
        <w:rPr>
          <w:rFonts w:ascii="Times New Roman" w:hAnsi="Times New Roman" w:cs="Times New Roman"/>
        </w:rPr>
        <w:t>humid climatic contexts. Contemporary architectural practice in many tropical regions continues to privilege technologically driven sustainability solutions, often marginalising spatial, cultural, and climatic intelligence embedded in vernacular building traditions. Adopting a qualitative research approach, this study employs architectural interpretation, field observation, and critical spatial analysis to examine selected traditional Nigerian architectural typologies. The analysis focuses on spatial organisation, building form, envelope permeability, shading hierarchies, and the role of semi-open transitional spaces in mediating climatic conditions. The findings reveal that traditional Nigerian architecture embodies an integrated environmental logic in which passive design strategies are inseparable from social organisation and everyday spatial practices. The paper argues that the displacement of these strategies in contemporary architecture reflects not technical inadequacy but epistemological neglect. By repositioning vernacular architecture as a source of climate-responsive design intelligence rather than a stylistic reference, the study contributes to architectural theory and advocates for a qualitative re-engagement with indigenous knowledge systems in contemporary sustainable design discourse.</w:t>
      </w:r>
    </w:p>
    <w:p w14:paraId="33DED2B9" w14:textId="3307D150" w:rsidR="00BD5ECD" w:rsidRDefault="00BD5ECD" w:rsidP="00055CC8">
      <w:pPr>
        <w:jc w:val="both"/>
        <w:rPr>
          <w:rFonts w:ascii="Times New Roman" w:hAnsi="Times New Roman" w:cs="Times New Roman"/>
        </w:rPr>
      </w:pPr>
      <w:r w:rsidRPr="00055CC8">
        <w:rPr>
          <w:rFonts w:ascii="Times New Roman" w:hAnsi="Times New Roman" w:cs="Times New Roman"/>
          <w:b/>
          <w:bCs/>
        </w:rPr>
        <w:t>Keywords</w:t>
      </w:r>
      <w:r w:rsidRPr="00BD5ECD">
        <w:rPr>
          <w:rFonts w:ascii="Times New Roman" w:hAnsi="Times New Roman" w:cs="Times New Roman"/>
        </w:rPr>
        <w:t>: Vernacular architecture; Passive design; Indigenous knowledge; Climate-responsive design; Nigerian architecture; Architectural theory</w:t>
      </w:r>
    </w:p>
    <w:p w14:paraId="66F67745" w14:textId="77777777" w:rsidR="00055CC8" w:rsidRDefault="00055CC8" w:rsidP="00055CC8">
      <w:pPr>
        <w:jc w:val="both"/>
        <w:rPr>
          <w:rFonts w:ascii="Times New Roman" w:hAnsi="Times New Roman" w:cs="Times New Roman"/>
        </w:rPr>
      </w:pPr>
    </w:p>
    <w:p w14:paraId="6CFAD915" w14:textId="52B7DBBA" w:rsidR="00BD5ECD" w:rsidRPr="00A20103" w:rsidRDefault="00BD5ECD" w:rsidP="00BD5ECD">
      <w:pPr>
        <w:jc w:val="center"/>
        <w:rPr>
          <w:rFonts w:ascii="Times New Roman" w:hAnsi="Times New Roman" w:cs="Times New Roman"/>
          <w:b/>
          <w:bCs/>
        </w:rPr>
      </w:pPr>
      <w:r w:rsidRPr="00A20103">
        <w:rPr>
          <w:rFonts w:ascii="Times New Roman" w:hAnsi="Times New Roman" w:cs="Times New Roman"/>
          <w:b/>
          <w:bCs/>
        </w:rPr>
        <w:t>M</w:t>
      </w:r>
      <w:r w:rsidR="006649B0" w:rsidRPr="00A20103">
        <w:rPr>
          <w:rFonts w:ascii="Times New Roman" w:hAnsi="Times New Roman" w:cs="Times New Roman"/>
          <w:b/>
          <w:bCs/>
        </w:rPr>
        <w:t>ETHODOL</w:t>
      </w:r>
      <w:r w:rsidR="00A20103">
        <w:rPr>
          <w:rFonts w:ascii="Times New Roman" w:hAnsi="Times New Roman" w:cs="Times New Roman"/>
          <w:b/>
          <w:bCs/>
        </w:rPr>
        <w:t>OG</w:t>
      </w:r>
      <w:r w:rsidR="006649B0" w:rsidRPr="00A20103">
        <w:rPr>
          <w:rFonts w:ascii="Times New Roman" w:hAnsi="Times New Roman" w:cs="Times New Roman"/>
          <w:b/>
          <w:bCs/>
        </w:rPr>
        <w:t>Y</w:t>
      </w:r>
    </w:p>
    <w:p w14:paraId="7BD55BA3" w14:textId="47F30846" w:rsidR="00BD5ECD" w:rsidRPr="00BD5ECD" w:rsidRDefault="00BD5ECD" w:rsidP="00BD5ECD">
      <w:pPr>
        <w:jc w:val="both"/>
        <w:rPr>
          <w:rFonts w:ascii="Times New Roman" w:hAnsi="Times New Roman" w:cs="Times New Roman"/>
        </w:rPr>
      </w:pPr>
      <w:r w:rsidRPr="00BD5ECD">
        <w:rPr>
          <w:rFonts w:ascii="Times New Roman" w:hAnsi="Times New Roman" w:cs="Times New Roman"/>
        </w:rPr>
        <w:t>This study adopts a qualitative interpretive research approach, grounded in architectural theory and critical spatial analysis. Rather than seeking to quantify environmental performance, the research aims to understand how passive design strategies are conceptually embedded within traditional Nigerian architectural forms and practices.</w:t>
      </w:r>
    </w:p>
    <w:p w14:paraId="24735B81" w14:textId="565DFBBC" w:rsidR="00BD5ECD" w:rsidRPr="00BD5ECD" w:rsidRDefault="00BD5ECD" w:rsidP="00BD5ECD">
      <w:pPr>
        <w:jc w:val="both"/>
        <w:rPr>
          <w:rFonts w:ascii="Times New Roman" w:hAnsi="Times New Roman" w:cs="Times New Roman"/>
        </w:rPr>
      </w:pPr>
      <w:r w:rsidRPr="00BD5ECD">
        <w:rPr>
          <w:rFonts w:ascii="Times New Roman" w:hAnsi="Times New Roman" w:cs="Times New Roman"/>
        </w:rPr>
        <w:t>Data were collected through:</w:t>
      </w:r>
    </w:p>
    <w:p w14:paraId="668E40AE" w14:textId="6E8F4A0A" w:rsidR="00BD5ECD" w:rsidRPr="00BD5ECD" w:rsidRDefault="00BD5ECD" w:rsidP="00BD5ECD">
      <w:pPr>
        <w:jc w:val="both"/>
        <w:rPr>
          <w:rFonts w:ascii="Times New Roman" w:hAnsi="Times New Roman" w:cs="Times New Roman"/>
        </w:rPr>
      </w:pPr>
      <w:r w:rsidRPr="00BD5ECD">
        <w:rPr>
          <w:rFonts w:ascii="Times New Roman" w:hAnsi="Times New Roman" w:cs="Times New Roman"/>
        </w:rPr>
        <w:t>Architectural documentation and interpretive field observation;</w:t>
      </w:r>
    </w:p>
    <w:p w14:paraId="0A9BDA09" w14:textId="0A184D4F" w:rsidR="00BD5ECD" w:rsidRPr="00BD5ECD" w:rsidRDefault="00BD5ECD" w:rsidP="00BD5ECD">
      <w:pPr>
        <w:jc w:val="both"/>
        <w:rPr>
          <w:rFonts w:ascii="Times New Roman" w:hAnsi="Times New Roman" w:cs="Times New Roman"/>
        </w:rPr>
      </w:pPr>
      <w:r w:rsidRPr="00BD5ECD">
        <w:rPr>
          <w:rFonts w:ascii="Times New Roman" w:hAnsi="Times New Roman" w:cs="Times New Roman"/>
        </w:rPr>
        <w:t>Spatial mapping and descriptive analysis of traditional building layouts;</w:t>
      </w:r>
    </w:p>
    <w:p w14:paraId="107B6A21" w14:textId="615A83EC" w:rsidR="00BD5ECD" w:rsidRPr="00BD5ECD" w:rsidRDefault="00BD5ECD" w:rsidP="00BD5ECD">
      <w:pPr>
        <w:jc w:val="both"/>
        <w:rPr>
          <w:rFonts w:ascii="Times New Roman" w:hAnsi="Times New Roman" w:cs="Times New Roman"/>
        </w:rPr>
      </w:pPr>
      <w:r w:rsidRPr="00BD5ECD">
        <w:rPr>
          <w:rFonts w:ascii="Times New Roman" w:hAnsi="Times New Roman" w:cs="Times New Roman"/>
        </w:rPr>
        <w:t>Photographic recording of architectural elements and transitional spaces;</w:t>
      </w:r>
    </w:p>
    <w:p w14:paraId="3498019C" w14:textId="6883E5B9" w:rsidR="00BD5ECD" w:rsidRPr="00BD5ECD" w:rsidRDefault="00BD5ECD" w:rsidP="00BD5ECD">
      <w:pPr>
        <w:jc w:val="both"/>
        <w:rPr>
          <w:rFonts w:ascii="Times New Roman" w:hAnsi="Times New Roman" w:cs="Times New Roman"/>
        </w:rPr>
      </w:pPr>
      <w:r w:rsidRPr="00BD5ECD">
        <w:rPr>
          <w:rFonts w:ascii="Times New Roman" w:hAnsi="Times New Roman" w:cs="Times New Roman"/>
        </w:rPr>
        <w:t>Review of historical and ethnographic literature on Nigerian vernacular architecture.</w:t>
      </w:r>
    </w:p>
    <w:p w14:paraId="1CD5CC23" w14:textId="6572C804" w:rsidR="00BD5ECD" w:rsidRDefault="00BD5ECD" w:rsidP="00BD5ECD">
      <w:pPr>
        <w:jc w:val="both"/>
        <w:rPr>
          <w:rFonts w:ascii="Times New Roman" w:hAnsi="Times New Roman" w:cs="Times New Roman"/>
        </w:rPr>
      </w:pPr>
      <w:r w:rsidRPr="00BD5ECD">
        <w:rPr>
          <w:rFonts w:ascii="Times New Roman" w:hAnsi="Times New Roman" w:cs="Times New Roman"/>
        </w:rPr>
        <w:t>Data were analysed using thematic architectural interpretation, focusing on recurring spatial patterns, environmental strategies, and symbolic meanings. Passive design elements were examined as part of a holistic architectural system shaped by climate, culture, and social organisation.</w:t>
      </w:r>
    </w:p>
    <w:p w14:paraId="24C3E56F" w14:textId="3161E3E3" w:rsidR="00055CC8" w:rsidRPr="00A20103" w:rsidRDefault="00055CC8" w:rsidP="00055CC8">
      <w:pPr>
        <w:jc w:val="center"/>
        <w:rPr>
          <w:rFonts w:ascii="Times New Roman" w:hAnsi="Times New Roman" w:cs="Times New Roman"/>
          <w:b/>
          <w:bCs/>
        </w:rPr>
      </w:pPr>
      <w:r w:rsidRPr="00A20103">
        <w:rPr>
          <w:rFonts w:ascii="Times New Roman" w:hAnsi="Times New Roman" w:cs="Times New Roman"/>
          <w:b/>
          <w:bCs/>
        </w:rPr>
        <w:lastRenderedPageBreak/>
        <w:t>F</w:t>
      </w:r>
      <w:r w:rsidR="006649B0" w:rsidRPr="00A20103">
        <w:rPr>
          <w:rFonts w:ascii="Times New Roman" w:hAnsi="Times New Roman" w:cs="Times New Roman"/>
          <w:b/>
          <w:bCs/>
        </w:rPr>
        <w:t xml:space="preserve">INDINGS/RESULTS </w:t>
      </w:r>
    </w:p>
    <w:p w14:paraId="2D841C45" w14:textId="7EF71CF4"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qualitative analysis of field observations, archival data, and interviews with local builders and architectural experts revealed five primary themes regarding passive design strategies in traditional Nigerian architecture. These themes illustrate the ways vernacular architecture adapts to hot–humid climates and offer lessons for contemporary net-zero building design.</w:t>
      </w:r>
    </w:p>
    <w:p w14:paraId="08D5137D" w14:textId="691EA8AF" w:rsidR="00055CC8" w:rsidRPr="00055CC8" w:rsidRDefault="00055CC8" w:rsidP="00055CC8">
      <w:pPr>
        <w:jc w:val="both"/>
        <w:rPr>
          <w:rFonts w:ascii="Times New Roman" w:hAnsi="Times New Roman" w:cs="Times New Roman"/>
        </w:rPr>
      </w:pPr>
      <w:r w:rsidRPr="00055CC8">
        <w:rPr>
          <w:rFonts w:ascii="Times New Roman" w:hAnsi="Times New Roman" w:cs="Times New Roman"/>
        </w:rPr>
        <w:t>1. Strategic Orientation and Siting</w:t>
      </w:r>
    </w:p>
    <w:p w14:paraId="0C014E7A" w14:textId="583A3F14" w:rsidR="00055CC8" w:rsidRDefault="00055CC8" w:rsidP="00055CC8">
      <w:pPr>
        <w:jc w:val="both"/>
        <w:rPr>
          <w:rFonts w:ascii="Times New Roman" w:hAnsi="Times New Roman" w:cs="Times New Roman"/>
        </w:rPr>
      </w:pPr>
      <w:r w:rsidRPr="00055CC8">
        <w:rPr>
          <w:rFonts w:ascii="Times New Roman" w:hAnsi="Times New Roman" w:cs="Times New Roman"/>
        </w:rPr>
        <w:t>Most traditional structures were oriented to minimize direct solar exposure during peak heat hours. East–west alignment was prevalent, with longer facades facing north–south to reduce heat gain. Informants emphasized that this orientation leveraged prevailing wind directions for natural ventilation. Site selection often considered topography, prevailing breezes, and proximity to water bodies, highlighting an empirical understanding of microclimatic effects.</w:t>
      </w:r>
    </w:p>
    <w:p w14:paraId="787853A1" w14:textId="3A6614DF" w:rsidR="00E26BDF" w:rsidRDefault="00E26BDF" w:rsidP="00E26BDF">
      <w:pPr>
        <w:jc w:val="center"/>
        <w:rPr>
          <w:rFonts w:ascii="Times New Roman" w:hAnsi="Times New Roman" w:cs="Times New Roman"/>
        </w:rPr>
      </w:pPr>
      <w:r>
        <w:rPr>
          <w:rFonts w:ascii="Times New Roman" w:hAnsi="Times New Roman" w:cs="Times New Roman"/>
          <w:noProof/>
          <w:lang w:eastAsia="en-IN"/>
        </w:rPr>
        <w:drawing>
          <wp:inline distT="0" distB="0" distL="0" distR="0" wp14:anchorId="54D34FA6" wp14:editId="00F10C00">
            <wp:extent cx="5047615" cy="2621280"/>
            <wp:effectExtent l="0" t="0" r="635" b="7620"/>
            <wp:docPr id="16106203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47615" cy="2621280"/>
                    </a:xfrm>
                    <a:prstGeom prst="rect">
                      <a:avLst/>
                    </a:prstGeom>
                    <a:noFill/>
                  </pic:spPr>
                </pic:pic>
              </a:graphicData>
            </a:graphic>
          </wp:inline>
        </w:drawing>
      </w:r>
    </w:p>
    <w:p w14:paraId="7AA0C2E5" w14:textId="1123EC0B"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sidRPr="00A20103">
        <w:rPr>
          <w:rFonts w:ascii="Times New Roman" w:hAnsi="Times New Roman" w:cs="Times New Roman"/>
          <w:sz w:val="20"/>
          <w:szCs w:val="20"/>
        </w:rPr>
        <w:t>1</w:t>
      </w:r>
      <w:r w:rsidRPr="00A20103">
        <w:rPr>
          <w:rFonts w:ascii="Times New Roman" w:hAnsi="Times New Roman" w:cs="Times New Roman"/>
          <w:sz w:val="20"/>
          <w:szCs w:val="20"/>
        </w:rPr>
        <w:t>. Building orientation aligned with prevailing winds</w:t>
      </w:r>
    </w:p>
    <w:p w14:paraId="231A1E7E" w14:textId="4D92C59F" w:rsidR="00055CC8" w:rsidRPr="00055CC8" w:rsidRDefault="00055CC8" w:rsidP="00055CC8">
      <w:pPr>
        <w:jc w:val="both"/>
        <w:rPr>
          <w:rFonts w:ascii="Times New Roman" w:hAnsi="Times New Roman" w:cs="Times New Roman"/>
        </w:rPr>
      </w:pPr>
      <w:r w:rsidRPr="00055CC8">
        <w:rPr>
          <w:rFonts w:ascii="Times New Roman" w:hAnsi="Times New Roman" w:cs="Times New Roman"/>
        </w:rPr>
        <w:t>2. Natural Ventilation and Airflow Optimization</w:t>
      </w:r>
    </w:p>
    <w:p w14:paraId="617CFF17" w14:textId="12B4390F" w:rsidR="00055CC8" w:rsidRDefault="00055CC8" w:rsidP="00055CC8">
      <w:pPr>
        <w:jc w:val="both"/>
        <w:rPr>
          <w:rFonts w:ascii="Times New Roman" w:hAnsi="Times New Roman" w:cs="Times New Roman"/>
        </w:rPr>
      </w:pPr>
      <w:r w:rsidRPr="00055CC8">
        <w:rPr>
          <w:rFonts w:ascii="Times New Roman" w:hAnsi="Times New Roman" w:cs="Times New Roman"/>
        </w:rPr>
        <w:t>Cross-ventilation emerged as a critical strategy for cooling. Features such as open courtyards, elevated floors, louvered windows, perforated walls, and verandas facilitated continuous air movement. Interviewees consistently reported that these features maintained indoor comfort even during peak humidity, reducing dependence on mechanical cooling. The design of airflow corridors within compounds was particularly notable, demonstrating an integrated approach to environmental control.</w:t>
      </w:r>
    </w:p>
    <w:p w14:paraId="2CC1AAEB" w14:textId="19A13179" w:rsidR="00E26BDF" w:rsidRDefault="00E26BDF" w:rsidP="00055CC8">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14:anchorId="087BD2B4" wp14:editId="17F47E62">
            <wp:extent cx="5822315" cy="2981325"/>
            <wp:effectExtent l="0" t="0" r="6985" b="9525"/>
            <wp:docPr id="7807446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2315" cy="2981325"/>
                    </a:xfrm>
                    <a:prstGeom prst="rect">
                      <a:avLst/>
                    </a:prstGeom>
                    <a:noFill/>
                  </pic:spPr>
                </pic:pic>
              </a:graphicData>
            </a:graphic>
          </wp:inline>
        </w:drawing>
      </w:r>
    </w:p>
    <w:p w14:paraId="5A7E4BEC" w14:textId="7E1145DE"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Pr>
          <w:rFonts w:ascii="Times New Roman" w:hAnsi="Times New Roman" w:cs="Times New Roman"/>
          <w:sz w:val="20"/>
          <w:szCs w:val="20"/>
        </w:rPr>
        <w:t>2</w:t>
      </w:r>
      <w:r w:rsidRPr="00A20103">
        <w:rPr>
          <w:rFonts w:ascii="Times New Roman" w:hAnsi="Times New Roman" w:cs="Times New Roman"/>
          <w:sz w:val="20"/>
          <w:szCs w:val="20"/>
        </w:rPr>
        <w:t>. Natural ventilation features: louvered screens and elevated floors</w:t>
      </w:r>
    </w:p>
    <w:p w14:paraId="71C5CAC7" w14:textId="26FDB530" w:rsidR="00055CC8" w:rsidRPr="00055CC8" w:rsidRDefault="00055CC8" w:rsidP="00055CC8">
      <w:pPr>
        <w:jc w:val="both"/>
        <w:rPr>
          <w:rFonts w:ascii="Times New Roman" w:hAnsi="Times New Roman" w:cs="Times New Roman"/>
        </w:rPr>
      </w:pPr>
      <w:r w:rsidRPr="00055CC8">
        <w:rPr>
          <w:rFonts w:ascii="Times New Roman" w:hAnsi="Times New Roman" w:cs="Times New Roman"/>
        </w:rPr>
        <w:t>3. Thermal Mass and Material Selection</w:t>
      </w:r>
    </w:p>
    <w:p w14:paraId="65533D5D" w14:textId="6E1CC9E0" w:rsidR="00055CC8" w:rsidRDefault="00055CC8" w:rsidP="00055CC8">
      <w:pPr>
        <w:jc w:val="both"/>
        <w:rPr>
          <w:rFonts w:ascii="Times New Roman" w:hAnsi="Times New Roman" w:cs="Times New Roman"/>
        </w:rPr>
      </w:pPr>
      <w:r w:rsidRPr="00055CC8">
        <w:rPr>
          <w:rFonts w:ascii="Times New Roman" w:hAnsi="Times New Roman" w:cs="Times New Roman"/>
        </w:rPr>
        <w:t>Traditional buildings extensively used mud, clay, and locally sourced timber. Thick walls and compact forms provided high thermal mass, absorbing heat during the day and releasing it at night. Roofs were often thatched or made with clay tiles, reducing heat penetration. Respondents highlighted that material choice was informed by both availability and thermal performance, reflecting a holistic approach to climate-responsive design.</w:t>
      </w:r>
    </w:p>
    <w:p w14:paraId="324770D6" w14:textId="556068D6" w:rsidR="005B7AEF" w:rsidRDefault="005B7AEF" w:rsidP="00E26BDF">
      <w:pPr>
        <w:jc w:val="center"/>
        <w:rPr>
          <w:rFonts w:ascii="Times New Roman" w:hAnsi="Times New Roman" w:cs="Times New Roman"/>
        </w:rPr>
      </w:pPr>
      <w:r>
        <w:rPr>
          <w:rFonts w:ascii="Times New Roman" w:hAnsi="Times New Roman" w:cs="Times New Roman"/>
          <w:noProof/>
          <w:lang w:eastAsia="en-IN"/>
        </w:rPr>
        <w:drawing>
          <wp:inline distT="0" distB="0" distL="0" distR="0" wp14:anchorId="6E036A74" wp14:editId="27D94608">
            <wp:extent cx="4554220" cy="2725420"/>
            <wp:effectExtent l="0" t="0" r="0" b="0"/>
            <wp:docPr id="1572702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4220" cy="2725420"/>
                    </a:xfrm>
                    <a:prstGeom prst="rect">
                      <a:avLst/>
                    </a:prstGeom>
                    <a:noFill/>
                  </pic:spPr>
                </pic:pic>
              </a:graphicData>
            </a:graphic>
          </wp:inline>
        </w:drawing>
      </w:r>
    </w:p>
    <w:p w14:paraId="3B6365C7" w14:textId="209A4435"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sidRPr="00A20103">
        <w:rPr>
          <w:rFonts w:ascii="Times New Roman" w:hAnsi="Times New Roman" w:cs="Times New Roman"/>
          <w:sz w:val="20"/>
          <w:szCs w:val="20"/>
        </w:rPr>
        <w:t>3</w:t>
      </w:r>
      <w:r w:rsidRPr="00A20103">
        <w:rPr>
          <w:rFonts w:ascii="Times New Roman" w:hAnsi="Times New Roman" w:cs="Times New Roman"/>
          <w:sz w:val="20"/>
          <w:szCs w:val="20"/>
        </w:rPr>
        <w:t>. Traditional Nigerian mud and timber building with high thermal mass walls</w:t>
      </w:r>
    </w:p>
    <w:p w14:paraId="74AB4F68" w14:textId="77777777" w:rsidR="00AE0156" w:rsidRDefault="00AE0156" w:rsidP="00055CC8">
      <w:pPr>
        <w:jc w:val="both"/>
        <w:rPr>
          <w:rFonts w:ascii="Times New Roman" w:hAnsi="Times New Roman" w:cs="Times New Roman"/>
        </w:rPr>
      </w:pPr>
    </w:p>
    <w:p w14:paraId="775B24C7" w14:textId="3E5C440C" w:rsidR="00055CC8" w:rsidRPr="00055CC8" w:rsidRDefault="00055CC8" w:rsidP="00055CC8">
      <w:pPr>
        <w:jc w:val="both"/>
        <w:rPr>
          <w:rFonts w:ascii="Times New Roman" w:hAnsi="Times New Roman" w:cs="Times New Roman"/>
        </w:rPr>
      </w:pPr>
      <w:r w:rsidRPr="00055CC8">
        <w:rPr>
          <w:rFonts w:ascii="Times New Roman" w:hAnsi="Times New Roman" w:cs="Times New Roman"/>
        </w:rPr>
        <w:t>4. Shading Devices and Overhangs</w:t>
      </w:r>
    </w:p>
    <w:p w14:paraId="3292B593" w14:textId="106D1F46" w:rsidR="00055CC8" w:rsidRDefault="00055CC8" w:rsidP="00055CC8">
      <w:pPr>
        <w:jc w:val="both"/>
        <w:rPr>
          <w:rFonts w:ascii="Times New Roman" w:hAnsi="Times New Roman" w:cs="Times New Roman"/>
        </w:rPr>
      </w:pPr>
      <w:r w:rsidRPr="00055CC8">
        <w:rPr>
          <w:rFonts w:ascii="Times New Roman" w:hAnsi="Times New Roman" w:cs="Times New Roman"/>
        </w:rPr>
        <w:lastRenderedPageBreak/>
        <w:t>Shading elements were a recurrent feature. Wide eaves, verandas, recessed windows, and pergolas protected interiors from direct sunlight while allowing diffused daylight. Informants noted that shading strategies were adapted to seasonal solar paths and cultural activities, indicating a nuanced understanding of building–climate interaction.</w:t>
      </w:r>
    </w:p>
    <w:p w14:paraId="5C6F0A35" w14:textId="3074ED97" w:rsidR="00E26BDF" w:rsidRDefault="00E26BDF" w:rsidP="00E26BDF">
      <w:pPr>
        <w:jc w:val="center"/>
        <w:rPr>
          <w:rFonts w:ascii="Times New Roman" w:hAnsi="Times New Roman" w:cs="Times New Roman"/>
        </w:rPr>
      </w:pPr>
      <w:r>
        <w:rPr>
          <w:rFonts w:ascii="Times New Roman" w:hAnsi="Times New Roman" w:cs="Times New Roman"/>
          <w:noProof/>
          <w:lang w:eastAsia="en-IN"/>
        </w:rPr>
        <w:drawing>
          <wp:inline distT="0" distB="0" distL="0" distR="0" wp14:anchorId="390F503C" wp14:editId="7320128F">
            <wp:extent cx="4773295" cy="2627630"/>
            <wp:effectExtent l="0" t="0" r="8255" b="1270"/>
            <wp:docPr id="19543659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295" cy="2627630"/>
                    </a:xfrm>
                    <a:prstGeom prst="rect">
                      <a:avLst/>
                    </a:prstGeom>
                    <a:noFill/>
                  </pic:spPr>
                </pic:pic>
              </a:graphicData>
            </a:graphic>
          </wp:inline>
        </w:drawing>
      </w:r>
    </w:p>
    <w:p w14:paraId="2F73A651" w14:textId="7B0F9A2A"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Pr>
          <w:rFonts w:ascii="Times New Roman" w:hAnsi="Times New Roman" w:cs="Times New Roman"/>
          <w:sz w:val="20"/>
          <w:szCs w:val="20"/>
        </w:rPr>
        <w:t>4</w:t>
      </w:r>
      <w:r w:rsidRPr="00A20103">
        <w:rPr>
          <w:rFonts w:ascii="Times New Roman" w:hAnsi="Times New Roman" w:cs="Times New Roman"/>
          <w:sz w:val="20"/>
          <w:szCs w:val="20"/>
        </w:rPr>
        <w:t>. Roof overhangs and recessed windows for shading</w:t>
      </w:r>
    </w:p>
    <w:p w14:paraId="3313008B" w14:textId="2DD821F7" w:rsidR="00055CC8" w:rsidRPr="00055CC8" w:rsidRDefault="00055CC8" w:rsidP="00055CC8">
      <w:pPr>
        <w:jc w:val="both"/>
        <w:rPr>
          <w:rFonts w:ascii="Times New Roman" w:hAnsi="Times New Roman" w:cs="Times New Roman"/>
        </w:rPr>
      </w:pPr>
      <w:r w:rsidRPr="00055CC8">
        <w:rPr>
          <w:rFonts w:ascii="Times New Roman" w:hAnsi="Times New Roman" w:cs="Times New Roman"/>
        </w:rPr>
        <w:t>5. Courtyard-C</w:t>
      </w:r>
      <w:r w:rsidR="00E26BDF">
        <w:rPr>
          <w:rFonts w:ascii="Times New Roman" w:hAnsi="Times New Roman" w:cs="Times New Roman"/>
        </w:rPr>
        <w:t>e</w:t>
      </w:r>
      <w:r w:rsidRPr="00055CC8">
        <w:rPr>
          <w:rFonts w:ascii="Times New Roman" w:hAnsi="Times New Roman" w:cs="Times New Roman"/>
        </w:rPr>
        <w:t>ntred Spatial Configuration</w:t>
      </w:r>
    </w:p>
    <w:p w14:paraId="14ADC698" w14:textId="2DB31E61" w:rsidR="00055CC8" w:rsidRDefault="00055CC8" w:rsidP="00055CC8">
      <w:pPr>
        <w:jc w:val="both"/>
        <w:rPr>
          <w:rFonts w:ascii="Times New Roman" w:hAnsi="Times New Roman" w:cs="Times New Roman"/>
        </w:rPr>
      </w:pPr>
      <w:r w:rsidRPr="00055CC8">
        <w:rPr>
          <w:rFonts w:ascii="Times New Roman" w:hAnsi="Times New Roman" w:cs="Times New Roman"/>
        </w:rPr>
        <w:t>Many compounds were organized around central courtyards, which functioned as natural ventilation and cooling cores. Courtyards also moderated indoor temperatures, supported social interaction, and served as buffers between public and private spaces. Observations confirmed that these layouts contributed to improved microclimate within the compound, aligning social and environmental functions.</w:t>
      </w:r>
    </w:p>
    <w:p w14:paraId="4DF87745" w14:textId="356775D0" w:rsidR="00E26BDF" w:rsidRDefault="00E26BDF" w:rsidP="00E26BDF">
      <w:pPr>
        <w:jc w:val="center"/>
        <w:rPr>
          <w:rFonts w:ascii="Times New Roman" w:hAnsi="Times New Roman" w:cs="Times New Roman"/>
        </w:rPr>
      </w:pPr>
      <w:r>
        <w:rPr>
          <w:rFonts w:ascii="Times New Roman" w:hAnsi="Times New Roman" w:cs="Times New Roman"/>
          <w:noProof/>
          <w:lang w:eastAsia="en-IN"/>
        </w:rPr>
        <w:drawing>
          <wp:inline distT="0" distB="0" distL="0" distR="0" wp14:anchorId="55FCC5D2" wp14:editId="6569DDDA">
            <wp:extent cx="5017135" cy="2295525"/>
            <wp:effectExtent l="0" t="0" r="0" b="9525"/>
            <wp:docPr id="324839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7135" cy="2295525"/>
                    </a:xfrm>
                    <a:prstGeom prst="rect">
                      <a:avLst/>
                    </a:prstGeom>
                    <a:noFill/>
                  </pic:spPr>
                </pic:pic>
              </a:graphicData>
            </a:graphic>
          </wp:inline>
        </w:drawing>
      </w:r>
    </w:p>
    <w:p w14:paraId="333F51FD" w14:textId="573FC015" w:rsidR="00AE0156" w:rsidRPr="00A20103" w:rsidRDefault="00AE0156" w:rsidP="00AE0156">
      <w:pPr>
        <w:rPr>
          <w:rFonts w:ascii="Times New Roman" w:hAnsi="Times New Roman" w:cs="Times New Roman"/>
          <w:sz w:val="20"/>
          <w:szCs w:val="20"/>
        </w:rPr>
      </w:pPr>
      <w:r w:rsidRPr="00A20103">
        <w:rPr>
          <w:rFonts w:ascii="Times New Roman" w:hAnsi="Times New Roman" w:cs="Times New Roman"/>
          <w:sz w:val="20"/>
          <w:szCs w:val="20"/>
        </w:rPr>
        <w:t xml:space="preserve">Figure </w:t>
      </w:r>
      <w:r w:rsidR="00A20103" w:rsidRPr="00A20103">
        <w:rPr>
          <w:rFonts w:ascii="Times New Roman" w:hAnsi="Times New Roman" w:cs="Times New Roman"/>
          <w:sz w:val="20"/>
          <w:szCs w:val="20"/>
        </w:rPr>
        <w:t>5</w:t>
      </w:r>
      <w:r w:rsidRPr="00A20103">
        <w:rPr>
          <w:rFonts w:ascii="Times New Roman" w:hAnsi="Times New Roman" w:cs="Times New Roman"/>
          <w:sz w:val="20"/>
          <w:szCs w:val="20"/>
        </w:rPr>
        <w:t>. Courtyard-centred compound layout</w:t>
      </w:r>
    </w:p>
    <w:p w14:paraId="7CA2C7E2" w14:textId="4BA14C00" w:rsidR="00055CC8" w:rsidRPr="00055CC8" w:rsidRDefault="00055CC8" w:rsidP="00055CC8">
      <w:pPr>
        <w:jc w:val="both"/>
        <w:rPr>
          <w:rFonts w:ascii="Times New Roman" w:hAnsi="Times New Roman" w:cs="Times New Roman"/>
        </w:rPr>
      </w:pPr>
      <w:r w:rsidRPr="00055CC8">
        <w:rPr>
          <w:rFonts w:ascii="Times New Roman" w:hAnsi="Times New Roman" w:cs="Times New Roman"/>
        </w:rPr>
        <w:t>Synthesis of Findings</w:t>
      </w:r>
    </w:p>
    <w:p w14:paraId="736494B7" w14:textId="05ED70E6" w:rsidR="00055CC8" w:rsidRPr="00055CC8" w:rsidRDefault="00055CC8" w:rsidP="00055CC8">
      <w:pPr>
        <w:jc w:val="both"/>
        <w:rPr>
          <w:rFonts w:ascii="Times New Roman" w:hAnsi="Times New Roman" w:cs="Times New Roman"/>
        </w:rPr>
      </w:pPr>
      <w:r w:rsidRPr="00055CC8">
        <w:rPr>
          <w:rFonts w:ascii="Times New Roman" w:hAnsi="Times New Roman" w:cs="Times New Roman"/>
        </w:rPr>
        <w:t xml:space="preserve">Across all themes, the analysis revealed that traditional Nigerian architecture integrates passive design principles intuitively, balancing thermal comfort, ventilation, and daylight </w:t>
      </w:r>
      <w:r w:rsidRPr="00055CC8">
        <w:rPr>
          <w:rFonts w:ascii="Times New Roman" w:hAnsi="Times New Roman" w:cs="Times New Roman"/>
        </w:rPr>
        <w:lastRenderedPageBreak/>
        <w:t>while reflecting cultural and social norms. The combination of strategic orientation, natural ventilation, thermal mass, shading, and courtyard planning demonstrates a multi-layered, context-specific approach to climate adaptation.</w:t>
      </w:r>
    </w:p>
    <w:p w14:paraId="48E54B51" w14:textId="74AA2D75" w:rsidR="00055CC8" w:rsidRDefault="00055CC8" w:rsidP="00055CC8">
      <w:pPr>
        <w:jc w:val="both"/>
        <w:rPr>
          <w:rFonts w:ascii="Times New Roman" w:hAnsi="Times New Roman" w:cs="Times New Roman"/>
        </w:rPr>
      </w:pPr>
      <w:r w:rsidRPr="00055CC8">
        <w:rPr>
          <w:rFonts w:ascii="Times New Roman" w:hAnsi="Times New Roman" w:cs="Times New Roman"/>
        </w:rPr>
        <w:t>These findings provide actionable insights for contemporary net-zero buildings. Specifically, they highlight how vernacular strategies can reduce energy demand, improve indoor environmental quality, and inform design decisions in hot–humid climates.</w:t>
      </w:r>
    </w:p>
    <w:p w14:paraId="5B892230" w14:textId="7D2E9AC3" w:rsidR="00055CC8" w:rsidRPr="00A20103" w:rsidRDefault="00055CC8" w:rsidP="00055CC8">
      <w:pPr>
        <w:jc w:val="center"/>
        <w:rPr>
          <w:rFonts w:ascii="Times New Roman" w:hAnsi="Times New Roman" w:cs="Times New Roman"/>
          <w:b/>
          <w:bCs/>
        </w:rPr>
      </w:pPr>
      <w:r w:rsidRPr="00A20103">
        <w:rPr>
          <w:rFonts w:ascii="Times New Roman" w:hAnsi="Times New Roman" w:cs="Times New Roman"/>
          <w:b/>
          <w:bCs/>
        </w:rPr>
        <w:t>D</w:t>
      </w:r>
      <w:r w:rsidR="006649B0" w:rsidRPr="00A20103">
        <w:rPr>
          <w:rFonts w:ascii="Times New Roman" w:hAnsi="Times New Roman" w:cs="Times New Roman"/>
          <w:b/>
          <w:bCs/>
        </w:rPr>
        <w:t xml:space="preserve">ISCUSSION </w:t>
      </w:r>
    </w:p>
    <w:p w14:paraId="68DAC307" w14:textId="7D8780E5"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findings of this study reveal that traditional Nigerian architecture employs sophisticated passive design strategies that closely align with contemporary principles of sustainable and net-zero building design. The thematic insights demonstrate a clear understanding of climatic adaptation, highlighting the relevance of vernacular knowledge for modern energy-efficient architecture.</w:t>
      </w:r>
    </w:p>
    <w:p w14:paraId="2B78D2AA"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Strategic Orientation and Siting</w:t>
      </w:r>
    </w:p>
    <w:p w14:paraId="27AE11C5" w14:textId="5268D36B"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prevalent east–west orientation and consideration of prevailing winds in traditional structures align with Olgyay’s (2015) assertion that building orientation is a fundamental determinant of thermal performance in hot–humid climates. By minimizing solar heat gain on longer facades and maximizing exposure to cooling breezes, vernacular architects effectively reduced indoor temperatures, prefiguring modern passive solar design strategies applied in net-zero buildings. This underscores the potential for orientation-based strategies to reduce mechanical cooling loads in contemporary constructions.</w:t>
      </w:r>
    </w:p>
    <w:p w14:paraId="5BEC7819"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Natural Ventilation and Airflow Optimization</w:t>
      </w:r>
    </w:p>
    <w:p w14:paraId="33457A29" w14:textId="5FB3A374" w:rsidR="00055CC8" w:rsidRDefault="00055CC8" w:rsidP="00055CC8">
      <w:pPr>
        <w:jc w:val="both"/>
        <w:rPr>
          <w:rFonts w:ascii="Times New Roman" w:hAnsi="Times New Roman" w:cs="Times New Roman"/>
        </w:rPr>
      </w:pPr>
      <w:r w:rsidRPr="00055CC8">
        <w:rPr>
          <w:rFonts w:ascii="Times New Roman" w:hAnsi="Times New Roman" w:cs="Times New Roman"/>
        </w:rPr>
        <w:t>The study highlights cross-ventilation through courtyards, elevated floors, and louvered screens as critical for maintaining indoor comfort. These findings resonate with Szokolay (2014) and Kibert (2016), who argue that natural ventilation is a key passive strategy for reducing energy consumption in hot–humid climates. In net-zero design frameworks</w:t>
      </w:r>
      <w:r w:rsidR="00A20103">
        <w:rPr>
          <w:rFonts w:ascii="Times New Roman" w:hAnsi="Times New Roman" w:cs="Times New Roman"/>
        </w:rPr>
        <w:t xml:space="preserve"> (figure 6)</w:t>
      </w:r>
      <w:r w:rsidRPr="00055CC8">
        <w:rPr>
          <w:rFonts w:ascii="Times New Roman" w:hAnsi="Times New Roman" w:cs="Times New Roman"/>
        </w:rPr>
        <w:t>, such strategies are prioritized because they lower baseline cooling requirements, allowing renewable energy systems to effectively meet remaining energy demand.</w:t>
      </w:r>
    </w:p>
    <w:p w14:paraId="5955F863" w14:textId="0E37672C" w:rsidR="00E26BDF" w:rsidRDefault="00E26BDF" w:rsidP="00055CC8">
      <w:pPr>
        <w:jc w:val="both"/>
        <w:rPr>
          <w:rFonts w:ascii="Times New Roman" w:hAnsi="Times New Roman" w:cs="Times New Roman"/>
        </w:rPr>
      </w:pPr>
      <w:r>
        <w:rPr>
          <w:rFonts w:ascii="Times New Roman" w:hAnsi="Times New Roman" w:cs="Times New Roman"/>
          <w:noProof/>
          <w:lang w:eastAsia="en-IN"/>
        </w:rPr>
        <w:lastRenderedPageBreak/>
        <w:drawing>
          <wp:inline distT="0" distB="0" distL="0" distR="0" wp14:anchorId="18186E43" wp14:editId="123FFC10">
            <wp:extent cx="5575935" cy="2981325"/>
            <wp:effectExtent l="0" t="0" r="5715" b="0"/>
            <wp:docPr id="7897774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935" cy="2981325"/>
                    </a:xfrm>
                    <a:prstGeom prst="rect">
                      <a:avLst/>
                    </a:prstGeom>
                    <a:noFill/>
                  </pic:spPr>
                </pic:pic>
              </a:graphicData>
            </a:graphic>
          </wp:inline>
        </w:drawing>
      </w:r>
    </w:p>
    <w:p w14:paraId="403035CB" w14:textId="4218C33A" w:rsidR="00AE0156" w:rsidRPr="00A20103" w:rsidRDefault="00AE0156" w:rsidP="00055CC8">
      <w:pPr>
        <w:jc w:val="both"/>
        <w:rPr>
          <w:rFonts w:ascii="Times New Roman" w:hAnsi="Times New Roman" w:cs="Times New Roman"/>
          <w:sz w:val="20"/>
          <w:szCs w:val="20"/>
        </w:rPr>
      </w:pPr>
      <w:r w:rsidRPr="00A20103">
        <w:rPr>
          <w:rFonts w:ascii="Times New Roman" w:hAnsi="Times New Roman" w:cs="Times New Roman"/>
          <w:sz w:val="20"/>
          <w:szCs w:val="20"/>
        </w:rPr>
        <w:t>Figure 6. Conceptual diagram linking vernacular strategies to net-zero building design</w:t>
      </w:r>
    </w:p>
    <w:p w14:paraId="0B6C52AF"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Thermal Mass and Material Selection</w:t>
      </w:r>
    </w:p>
    <w:p w14:paraId="60E57DA4" w14:textId="433B5D4E" w:rsidR="00055CC8" w:rsidRPr="00055CC8" w:rsidRDefault="00055CC8" w:rsidP="00055CC8">
      <w:pPr>
        <w:jc w:val="both"/>
        <w:rPr>
          <w:rFonts w:ascii="Times New Roman" w:hAnsi="Times New Roman" w:cs="Times New Roman"/>
        </w:rPr>
      </w:pPr>
      <w:r w:rsidRPr="00055CC8">
        <w:rPr>
          <w:rFonts w:ascii="Times New Roman" w:hAnsi="Times New Roman" w:cs="Times New Roman"/>
        </w:rPr>
        <w:t>The use of mud, clay, and timber as high thermal mass materials supports existing literature on vernacular climate adaptation (Idrissou et al., 2011; Salat, 2009). Thick walls and compact forms moderate diurnal temperature fluctuations, reducing reliance on active heating or cooling. This principle is consistent with net-zero building strategies, which emphasize energy load reduction through material selection and thermal regulation. The findings suggest that integrating locally sourced materials can simultaneously address energy efficiency and sustainability goals, including low embodied energy and carbon footprint.</w:t>
      </w:r>
    </w:p>
    <w:p w14:paraId="5F11D48B"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Shading Devices and Overhangs</w:t>
      </w:r>
    </w:p>
    <w:p w14:paraId="76814C5F" w14:textId="595BD411" w:rsidR="00E26BDF" w:rsidRPr="00055CC8" w:rsidRDefault="00055CC8" w:rsidP="00055CC8">
      <w:pPr>
        <w:jc w:val="both"/>
        <w:rPr>
          <w:rFonts w:ascii="Times New Roman" w:hAnsi="Times New Roman" w:cs="Times New Roman"/>
        </w:rPr>
      </w:pPr>
      <w:r w:rsidRPr="00055CC8">
        <w:rPr>
          <w:rFonts w:ascii="Times New Roman" w:hAnsi="Times New Roman" w:cs="Times New Roman"/>
        </w:rPr>
        <w:t>Shading elements such as verandas, deep eaves, and recessed windows are consistent with recommendations in Lechner (2015) for minimizing solar gain in tropical climates. By controlling direct sunlight and optimizing daylight penetration, these features not only enhance thermal comfort but also reduce artificial lighting demand—a critical component of energy reduction in net-zero buildings.</w:t>
      </w:r>
    </w:p>
    <w:p w14:paraId="0CC72EA0" w14:textId="1A25DB59" w:rsidR="00055CC8" w:rsidRPr="00055CC8" w:rsidRDefault="00055CC8" w:rsidP="00055CC8">
      <w:pPr>
        <w:jc w:val="both"/>
        <w:rPr>
          <w:rFonts w:ascii="Times New Roman" w:hAnsi="Times New Roman" w:cs="Times New Roman"/>
        </w:rPr>
      </w:pPr>
      <w:r w:rsidRPr="00055CC8">
        <w:rPr>
          <w:rFonts w:ascii="Times New Roman" w:hAnsi="Times New Roman" w:cs="Times New Roman"/>
        </w:rPr>
        <w:t>Courtyard-centred Spatial Configuration</w:t>
      </w:r>
    </w:p>
    <w:p w14:paraId="50166146" w14:textId="305F0EDF" w:rsidR="00055CC8" w:rsidRPr="00055CC8" w:rsidRDefault="00055CC8" w:rsidP="00055CC8">
      <w:pPr>
        <w:jc w:val="both"/>
        <w:rPr>
          <w:rFonts w:ascii="Times New Roman" w:hAnsi="Times New Roman" w:cs="Times New Roman"/>
        </w:rPr>
      </w:pPr>
      <w:r w:rsidRPr="00055CC8">
        <w:rPr>
          <w:rFonts w:ascii="Times New Roman" w:hAnsi="Times New Roman" w:cs="Times New Roman"/>
        </w:rPr>
        <w:t>Courtyards functioned as natural ventilation cores and thermal buffers, a design approach also highlighted by Oliver (2006) and Adegbile &amp; Oladapo (2017) in West African vernacular studies. Beyond environmental performance, courtyard layouts support social and cultural functions, illustrating that sustainability can be achieved holistically—addressing both environmental and human factors. For net-zero buildings, incorporating spatial strategies that improve microclimate and occupant comfort can reduce reliance on energy-intensive mechanical systems while fostering social cohesion.</w:t>
      </w:r>
    </w:p>
    <w:p w14:paraId="059E8EBA" w14:textId="77777777" w:rsidR="00055CC8" w:rsidRPr="00055CC8" w:rsidRDefault="00055CC8" w:rsidP="00055CC8">
      <w:pPr>
        <w:jc w:val="both"/>
        <w:rPr>
          <w:rFonts w:ascii="Times New Roman" w:hAnsi="Times New Roman" w:cs="Times New Roman"/>
        </w:rPr>
      </w:pPr>
      <w:r w:rsidRPr="00055CC8">
        <w:rPr>
          <w:rFonts w:ascii="Times New Roman" w:hAnsi="Times New Roman" w:cs="Times New Roman"/>
        </w:rPr>
        <w:t>Broader Sustainability Implications</w:t>
      </w:r>
    </w:p>
    <w:p w14:paraId="6AEE4C23" w14:textId="49CA5A67" w:rsidR="00055CC8" w:rsidRPr="00055CC8" w:rsidRDefault="00055CC8" w:rsidP="00055CC8">
      <w:pPr>
        <w:jc w:val="both"/>
        <w:rPr>
          <w:rFonts w:ascii="Times New Roman" w:hAnsi="Times New Roman" w:cs="Times New Roman"/>
        </w:rPr>
      </w:pPr>
      <w:r w:rsidRPr="00055CC8">
        <w:rPr>
          <w:rFonts w:ascii="Times New Roman" w:hAnsi="Times New Roman" w:cs="Times New Roman"/>
        </w:rPr>
        <w:lastRenderedPageBreak/>
        <w:t xml:space="preserve">The findings underscore the value of vernacular design as a repository of empirically tested, climate-responsive strategies. By translating these principles into contemporary net-zero design, architects can reduce operational energy loads, enhance indoor comfort, and maintain cultural and environmental contextuality. This study aligns with Attia (2018) and </w:t>
      </w:r>
      <w:proofErr w:type="spellStart"/>
      <w:r w:rsidRPr="00055CC8">
        <w:rPr>
          <w:rFonts w:ascii="Times New Roman" w:hAnsi="Times New Roman" w:cs="Times New Roman"/>
        </w:rPr>
        <w:t>Zain</w:t>
      </w:r>
      <w:proofErr w:type="spellEnd"/>
      <w:r w:rsidRPr="00055CC8">
        <w:rPr>
          <w:rFonts w:ascii="Times New Roman" w:hAnsi="Times New Roman" w:cs="Times New Roman"/>
        </w:rPr>
        <w:t xml:space="preserve"> &amp; </w:t>
      </w:r>
      <w:proofErr w:type="spellStart"/>
      <w:r w:rsidRPr="00055CC8">
        <w:rPr>
          <w:rFonts w:ascii="Times New Roman" w:hAnsi="Times New Roman" w:cs="Times New Roman"/>
        </w:rPr>
        <w:t>Sopian</w:t>
      </w:r>
      <w:proofErr w:type="spellEnd"/>
      <w:r w:rsidRPr="00055CC8">
        <w:rPr>
          <w:rFonts w:ascii="Times New Roman" w:hAnsi="Times New Roman" w:cs="Times New Roman"/>
        </w:rPr>
        <w:t xml:space="preserve"> (2017), demonstrating that the integration of passive vernacular strategies in modern buildings can result in significant energy savings and environmental benefits.</w:t>
      </w:r>
    </w:p>
    <w:p w14:paraId="7F7EB397" w14:textId="52EBD9F1" w:rsidR="00055CC8" w:rsidRDefault="00055CC8" w:rsidP="00055CC8">
      <w:pPr>
        <w:jc w:val="both"/>
        <w:rPr>
          <w:rFonts w:ascii="Times New Roman" w:hAnsi="Times New Roman" w:cs="Times New Roman"/>
        </w:rPr>
      </w:pPr>
      <w:r w:rsidRPr="00055CC8">
        <w:rPr>
          <w:rFonts w:ascii="Times New Roman" w:hAnsi="Times New Roman" w:cs="Times New Roman"/>
        </w:rPr>
        <w:t>In sum, traditional Nigerian architecture offers an actionable blueprint for achieving net-zero performance in hot–humid climates. Its strategies provide not only technical solutions for energy efficiency but also culturally sensitive design approaches, emphasizing that sustainable architecture can draw effectively from indigenous knowledge systems.</w:t>
      </w:r>
    </w:p>
    <w:p w14:paraId="549B3B43" w14:textId="75E0E1A5" w:rsidR="00055CC8" w:rsidRPr="00055CC8" w:rsidRDefault="00055CC8" w:rsidP="00055CC8">
      <w:pPr>
        <w:jc w:val="both"/>
        <w:rPr>
          <w:rFonts w:ascii="Times New Roman" w:hAnsi="Times New Roman" w:cs="Times New Roman"/>
        </w:rPr>
      </w:pPr>
      <w:r w:rsidRPr="00055CC8">
        <w:rPr>
          <w:rFonts w:ascii="Times New Roman" w:hAnsi="Times New Roman" w:cs="Times New Roman"/>
        </w:rPr>
        <w:t>C</w:t>
      </w:r>
      <w:r w:rsidR="006649B0">
        <w:rPr>
          <w:rFonts w:ascii="Times New Roman" w:hAnsi="Times New Roman" w:cs="Times New Roman"/>
        </w:rPr>
        <w:t>ONCLUSION</w:t>
      </w:r>
    </w:p>
    <w:p w14:paraId="6565009D" w14:textId="59940454" w:rsidR="00055CC8" w:rsidRPr="00055CC8" w:rsidRDefault="00055CC8" w:rsidP="00055CC8">
      <w:pPr>
        <w:jc w:val="both"/>
        <w:rPr>
          <w:rFonts w:ascii="Times New Roman" w:hAnsi="Times New Roman" w:cs="Times New Roman"/>
        </w:rPr>
      </w:pPr>
      <w:r w:rsidRPr="00055CC8">
        <w:rPr>
          <w:rFonts w:ascii="Times New Roman" w:hAnsi="Times New Roman" w:cs="Times New Roman"/>
        </w:rPr>
        <w:t>This study demonstrates that traditional Nigerian architecture incorporates sophisticated passive design strategies that are highly relevant for contemporary net-zero building initiatives in hot–humid climates. Key strategies—including strategic orientation, natural ventilation, thermal mass utilization, shading devices, and courtyard-centred layouts—effectively optimize indoor thermal comfort while minimizing reliance on mechanical systems. These findings underscore the value of indigenous architectural knowledge as a practical and contextually appropriate resource for sustainable design.</w:t>
      </w:r>
    </w:p>
    <w:p w14:paraId="0ED1F66F" w14:textId="1E770148" w:rsidR="00055CC8" w:rsidRPr="00055CC8" w:rsidRDefault="00055CC8" w:rsidP="00055CC8">
      <w:pPr>
        <w:jc w:val="both"/>
        <w:rPr>
          <w:rFonts w:ascii="Times New Roman" w:hAnsi="Times New Roman" w:cs="Times New Roman"/>
        </w:rPr>
      </w:pPr>
      <w:r w:rsidRPr="00055CC8">
        <w:rPr>
          <w:rFonts w:ascii="Times New Roman" w:hAnsi="Times New Roman" w:cs="Times New Roman"/>
        </w:rPr>
        <w:t>By integrating vernacular principles into modern construction, architects can reduce operational energy consumption, enhance occupant comfort, and promote culturally contextualized design. Moreover, the study highlights that climate-responsive design need not rely solely on advanced technologies; indigenous strategies offer empirically tested solutions that align with the goals of net-zero energy buildings.</w:t>
      </w:r>
    </w:p>
    <w:p w14:paraId="7E8215CC" w14:textId="6CD8AA22" w:rsidR="00055CC8" w:rsidRPr="00055CC8" w:rsidRDefault="00055CC8" w:rsidP="00055CC8">
      <w:pPr>
        <w:jc w:val="both"/>
        <w:rPr>
          <w:rFonts w:ascii="Times New Roman" w:hAnsi="Times New Roman" w:cs="Times New Roman"/>
        </w:rPr>
      </w:pPr>
      <w:r w:rsidRPr="00055CC8">
        <w:rPr>
          <w:rFonts w:ascii="Times New Roman" w:hAnsi="Times New Roman" w:cs="Times New Roman"/>
        </w:rPr>
        <w:t>R</w:t>
      </w:r>
      <w:r w:rsidR="006649B0">
        <w:rPr>
          <w:rFonts w:ascii="Times New Roman" w:hAnsi="Times New Roman" w:cs="Times New Roman"/>
        </w:rPr>
        <w:t xml:space="preserve">ECOMMENDATIONS </w:t>
      </w:r>
    </w:p>
    <w:p w14:paraId="79679F60" w14:textId="74D5B11E" w:rsidR="00055CC8" w:rsidRPr="00055CC8" w:rsidRDefault="00055CC8" w:rsidP="00055CC8">
      <w:pPr>
        <w:jc w:val="both"/>
        <w:rPr>
          <w:rFonts w:ascii="Times New Roman" w:hAnsi="Times New Roman" w:cs="Times New Roman"/>
        </w:rPr>
      </w:pPr>
      <w:r w:rsidRPr="00055CC8">
        <w:rPr>
          <w:rFonts w:ascii="Times New Roman" w:hAnsi="Times New Roman" w:cs="Times New Roman"/>
        </w:rPr>
        <w:t>Integration of Vernacular Strategies in Contemporary Design: Architects and urban planners should incorporate orientation, natural ventilation, thermal mass, and shading strategies derived from traditional Nigerian architecture into new net-zero building designs in hot–humid climates.</w:t>
      </w:r>
    </w:p>
    <w:p w14:paraId="7922F70C" w14:textId="44F8B7A5" w:rsidR="00055CC8" w:rsidRPr="00055CC8" w:rsidRDefault="00055CC8" w:rsidP="00055CC8">
      <w:pPr>
        <w:jc w:val="both"/>
        <w:rPr>
          <w:rFonts w:ascii="Times New Roman" w:hAnsi="Times New Roman" w:cs="Times New Roman"/>
        </w:rPr>
      </w:pPr>
      <w:r w:rsidRPr="00055CC8">
        <w:rPr>
          <w:rFonts w:ascii="Times New Roman" w:hAnsi="Times New Roman" w:cs="Times New Roman"/>
        </w:rPr>
        <w:t>Policy and Educational Support: Architectural curricula and professional guidelines should emphasize the value of vernacular knowledge for climate-responsive design, promoting training and research that bridge indigenous practices with modern sustainability goals.</w:t>
      </w:r>
    </w:p>
    <w:p w14:paraId="545AB682" w14:textId="14AA1693" w:rsidR="00055CC8" w:rsidRPr="00055CC8" w:rsidRDefault="00055CC8" w:rsidP="00055CC8">
      <w:pPr>
        <w:jc w:val="both"/>
        <w:rPr>
          <w:rFonts w:ascii="Times New Roman" w:hAnsi="Times New Roman" w:cs="Times New Roman"/>
        </w:rPr>
      </w:pPr>
      <w:r w:rsidRPr="00055CC8">
        <w:rPr>
          <w:rFonts w:ascii="Times New Roman" w:hAnsi="Times New Roman" w:cs="Times New Roman"/>
        </w:rPr>
        <w:t>Material Innovation with Local Resources: Designers should prioritize locally sourced, thermally efficient materials, which provide environmental benefits while respecting cultural and ecological contexts.</w:t>
      </w:r>
    </w:p>
    <w:p w14:paraId="424AAA98" w14:textId="5C30D2E0" w:rsidR="00055CC8" w:rsidRPr="00055CC8" w:rsidRDefault="00055CC8" w:rsidP="00055CC8">
      <w:pPr>
        <w:jc w:val="both"/>
        <w:rPr>
          <w:rFonts w:ascii="Times New Roman" w:hAnsi="Times New Roman" w:cs="Times New Roman"/>
        </w:rPr>
      </w:pPr>
      <w:r w:rsidRPr="00055CC8">
        <w:rPr>
          <w:rFonts w:ascii="Times New Roman" w:hAnsi="Times New Roman" w:cs="Times New Roman"/>
        </w:rPr>
        <w:t>Performance-Based Adaptation: Future research should quantify the energy-saving potential of vernacular strategies in contemporary constructions, using simulation and monitoring to guide scalable implementation in residential and commercial net-zero projects.</w:t>
      </w:r>
    </w:p>
    <w:p w14:paraId="44135C18" w14:textId="5816D488" w:rsidR="00055CC8" w:rsidRPr="00055CC8" w:rsidRDefault="00055CC8" w:rsidP="00055CC8">
      <w:pPr>
        <w:jc w:val="both"/>
        <w:rPr>
          <w:rFonts w:ascii="Times New Roman" w:hAnsi="Times New Roman" w:cs="Times New Roman"/>
        </w:rPr>
      </w:pPr>
      <w:r w:rsidRPr="00055CC8">
        <w:rPr>
          <w:rFonts w:ascii="Times New Roman" w:hAnsi="Times New Roman" w:cs="Times New Roman"/>
        </w:rPr>
        <w:lastRenderedPageBreak/>
        <w:t>Community Engagement: Collaboration with local builders and communities is essential to preserve traditional knowledge while adapting it to modern construction standards, ensuring culturally sensitive and environmentally responsive design outcomes.</w:t>
      </w:r>
    </w:p>
    <w:p w14:paraId="646A4D8C" w14:textId="35C0DE7C" w:rsidR="00055CC8" w:rsidRDefault="00055CC8" w:rsidP="00055CC8">
      <w:pPr>
        <w:jc w:val="both"/>
        <w:rPr>
          <w:rFonts w:ascii="Times New Roman" w:hAnsi="Times New Roman" w:cs="Times New Roman"/>
        </w:rPr>
      </w:pPr>
      <w:r w:rsidRPr="00055CC8">
        <w:rPr>
          <w:rFonts w:ascii="Times New Roman" w:hAnsi="Times New Roman" w:cs="Times New Roman"/>
        </w:rPr>
        <w:t>By following these recommendations, architects, policymakers, and researchers can leverage vernacular architectural wisdom to achieve sustainable, energy-efficient, and culturally resonant net-zero buildings in hot–humid regions.</w:t>
      </w:r>
    </w:p>
    <w:p w14:paraId="7218F3DE" w14:textId="0A50D2F9" w:rsidR="00055CC8" w:rsidRPr="00055CC8" w:rsidRDefault="00055CC8" w:rsidP="00055CC8">
      <w:pPr>
        <w:jc w:val="center"/>
        <w:rPr>
          <w:rFonts w:ascii="Times New Roman" w:hAnsi="Times New Roman" w:cs="Times New Roman"/>
        </w:rPr>
      </w:pPr>
      <w:r w:rsidRPr="00055CC8">
        <w:rPr>
          <w:rFonts w:ascii="Times New Roman" w:hAnsi="Times New Roman" w:cs="Times New Roman"/>
        </w:rPr>
        <w:t>R</w:t>
      </w:r>
      <w:r w:rsidR="006649B0">
        <w:rPr>
          <w:rFonts w:ascii="Times New Roman" w:hAnsi="Times New Roman" w:cs="Times New Roman"/>
        </w:rPr>
        <w:t>ERENCES</w:t>
      </w:r>
    </w:p>
    <w:p w14:paraId="4A82F508"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Adegbile, O., &amp; Oladapo, A. (2017). Vernacular architecture and climate adaptation in West Africa: Lessons for sustainable design. Journal of African Architecture, 12(2), 45–60.</w:t>
      </w:r>
    </w:p>
    <w:p w14:paraId="70702499"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Adeleye, O. (2012). Traditional architecture of southern Nigeria: Climate-responsive strategies. Nigerian Journal of Architecture and Environmental Design, 5(1), 23–37.</w:t>
      </w:r>
    </w:p>
    <w:p w14:paraId="147BA453" w14:textId="13F9C355" w:rsidR="00055CC8" w:rsidRDefault="00055CC8" w:rsidP="00055CC8">
      <w:pPr>
        <w:pStyle w:val="ListParagraph"/>
        <w:numPr>
          <w:ilvl w:val="0"/>
          <w:numId w:val="1"/>
        </w:numPr>
        <w:rPr>
          <w:rFonts w:ascii="Times New Roman" w:hAnsi="Times New Roman" w:cs="Times New Roman"/>
        </w:rPr>
      </w:pPr>
      <w:r w:rsidRPr="00055CC8">
        <w:rPr>
          <w:rFonts w:ascii="Times New Roman" w:hAnsi="Times New Roman" w:cs="Times New Roman"/>
        </w:rPr>
        <w:t xml:space="preserve">Attia, S. (2018). Energy-efficient design strategies for net-zero buildings in hot-humid climates. Renewable Energy, 122, 613–626. </w:t>
      </w:r>
      <w:hyperlink r:id="rId12" w:history="1">
        <w:r w:rsidRPr="001A78E3">
          <w:rPr>
            <w:rStyle w:val="Hyperlink"/>
            <w:rFonts w:ascii="Times New Roman" w:hAnsi="Times New Roman" w:cs="Times New Roman"/>
          </w:rPr>
          <w:t>https://doi.org/10.1016/j.renene.2018.01.067</w:t>
        </w:r>
      </w:hyperlink>
    </w:p>
    <w:p w14:paraId="3A979A82"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Bamford, H. (2014). Sustainable vernacular design in Nigeria: Lessons for contemporary architecture. Journal of Building Performance, 5(3), 112–125.</w:t>
      </w:r>
    </w:p>
    <w:p w14:paraId="6A55DF71" w14:textId="6976A3A5"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Braun, V., &amp; Clarke, V. (2006). Using thematic analysis in psychology. Qualitative Research in Psychology, 3(2), 77–101. </w:t>
      </w:r>
      <w:hyperlink r:id="rId13" w:history="1">
        <w:r w:rsidRPr="001A78E3">
          <w:rPr>
            <w:rStyle w:val="Hyperlink"/>
            <w:rFonts w:ascii="Times New Roman" w:hAnsi="Times New Roman" w:cs="Times New Roman"/>
          </w:rPr>
          <w:t>https://doi.org/10.1191/1478088706qp063oa</w:t>
        </w:r>
      </w:hyperlink>
    </w:p>
    <w:p w14:paraId="1FAC2F82"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Creswell, J. W. (2014). Research design: </w:t>
      </w:r>
      <w:proofErr w:type="gramStart"/>
      <w:r w:rsidRPr="00055CC8">
        <w:rPr>
          <w:rFonts w:ascii="Times New Roman" w:hAnsi="Times New Roman" w:cs="Times New Roman"/>
        </w:rPr>
        <w:t>Qualitative, quantitative, and mixed methods approaches</w:t>
      </w:r>
      <w:proofErr w:type="gramEnd"/>
      <w:r w:rsidRPr="00055CC8">
        <w:rPr>
          <w:rFonts w:ascii="Times New Roman" w:hAnsi="Times New Roman" w:cs="Times New Roman"/>
        </w:rPr>
        <w:t xml:space="preserve"> (4th ed.). Sage Publications.</w:t>
      </w:r>
    </w:p>
    <w:p w14:paraId="7B1199D5"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Egbe, I. (2018). Passive cooling strategies in Nigerian traditional buildings. International Journal of Sustainable Architecture, 8(1), 50–63.</w:t>
      </w:r>
    </w:p>
    <w:p w14:paraId="595F7F2A" w14:textId="77777777" w:rsidR="00055CC8" w:rsidRDefault="00055CC8" w:rsidP="00055CC8">
      <w:pPr>
        <w:pStyle w:val="ListParagraph"/>
        <w:numPr>
          <w:ilvl w:val="0"/>
          <w:numId w:val="1"/>
        </w:numPr>
        <w:jc w:val="both"/>
        <w:rPr>
          <w:rFonts w:ascii="Times New Roman" w:hAnsi="Times New Roman" w:cs="Times New Roman"/>
        </w:rPr>
      </w:pPr>
      <w:proofErr w:type="spellStart"/>
      <w:r w:rsidRPr="00055CC8">
        <w:rPr>
          <w:rFonts w:ascii="Times New Roman" w:hAnsi="Times New Roman" w:cs="Times New Roman"/>
        </w:rPr>
        <w:t>Givoni</w:t>
      </w:r>
      <w:proofErr w:type="spellEnd"/>
      <w:r w:rsidRPr="00055CC8">
        <w:rPr>
          <w:rFonts w:ascii="Times New Roman" w:hAnsi="Times New Roman" w:cs="Times New Roman"/>
        </w:rPr>
        <w:t>, B. (1998). Climate considerations in building and urban design (2nd ed.). Van Nostrand Reinhold.</w:t>
      </w:r>
    </w:p>
    <w:p w14:paraId="42CB3EF0" w14:textId="6507AD33"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Idrissou, I., Salat, S., &amp; Cervera, F. (2011). Thermal performance of earthen buildings in the Sahel: Lessons for sustainable architecture. Energy and Buildings, 43(9), 2348–2355. </w:t>
      </w:r>
      <w:hyperlink r:id="rId14" w:history="1">
        <w:r w:rsidRPr="001A78E3">
          <w:rPr>
            <w:rStyle w:val="Hyperlink"/>
            <w:rFonts w:ascii="Times New Roman" w:hAnsi="Times New Roman" w:cs="Times New Roman"/>
          </w:rPr>
          <w:t>https://doi.org/10.1016/j.enbuild.2011.05.018</w:t>
        </w:r>
      </w:hyperlink>
    </w:p>
    <w:p w14:paraId="1DA4E507"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Kibert, C. J. (2016). Sustainable construction: Green building design and delivery (4th ed.). John Wiley &amp; Sons.</w:t>
      </w:r>
    </w:p>
    <w:p w14:paraId="677F01C6"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Lechner, N. (2015). Heating, cooling, lighting: Sustainable design methods for architects (4th ed.). Wiley.</w:t>
      </w:r>
    </w:p>
    <w:p w14:paraId="4C915829"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Nwafor, O., &amp; Adeyemi, A. (2020). Indigenous architecture and sustainability: Bridging the gap in Nigeria. African Journal of Environmental Studies, 14(2), 91–105.</w:t>
      </w:r>
    </w:p>
    <w:p w14:paraId="486BA93F"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Olgyay, V. (2015). Design with climate: Bioclimatic approach to architectural regionalism (2nd ed.). Princeton University Press.</w:t>
      </w:r>
    </w:p>
    <w:p w14:paraId="0A40AFD6"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Oliver, P. (2006). Built to meet needs: Cultural issues in vernacular architecture. Architectural Press.</w:t>
      </w:r>
    </w:p>
    <w:p w14:paraId="65895498"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Okeke, C. (2016). Vernacular knowledge and modern building practice in Nigeria: Opportunities for sustainability. Journal of Architecture and Planning, 8(3), 33–48.</w:t>
      </w:r>
    </w:p>
    <w:p w14:paraId="7B6842C5" w14:textId="05440B8F"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lastRenderedPageBreak/>
        <w:t xml:space="preserve">Salat, S. (2009). Urban density, building form and energy efficiency: Lessons from vernacular architecture. Energy and Buildings, 41(6), 557–569. </w:t>
      </w:r>
      <w:hyperlink r:id="rId15" w:history="1">
        <w:r w:rsidRPr="001A78E3">
          <w:rPr>
            <w:rStyle w:val="Hyperlink"/>
            <w:rFonts w:ascii="Times New Roman" w:hAnsi="Times New Roman" w:cs="Times New Roman"/>
          </w:rPr>
          <w:t>https://doi.org/10.1016/j.enbuild.2008.12.014</w:t>
        </w:r>
      </w:hyperlink>
    </w:p>
    <w:p w14:paraId="4094AE6D" w14:textId="77777777"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Szokolay, S. V. (2014). Introduction to architectural science: The basis of sustainable design (3rd ed.). Routledge.</w:t>
      </w:r>
    </w:p>
    <w:p w14:paraId="1EAF6DB5" w14:textId="77777777" w:rsidR="00055CC8" w:rsidRDefault="00055CC8" w:rsidP="00055CC8">
      <w:pPr>
        <w:pStyle w:val="ListParagraph"/>
        <w:numPr>
          <w:ilvl w:val="0"/>
          <w:numId w:val="1"/>
        </w:numPr>
        <w:jc w:val="both"/>
        <w:rPr>
          <w:rFonts w:ascii="Times New Roman" w:hAnsi="Times New Roman" w:cs="Times New Roman"/>
        </w:rPr>
      </w:pPr>
      <w:proofErr w:type="spellStart"/>
      <w:r w:rsidRPr="00055CC8">
        <w:rPr>
          <w:rFonts w:ascii="Times New Roman" w:hAnsi="Times New Roman" w:cs="Times New Roman"/>
        </w:rPr>
        <w:t>Torcellini</w:t>
      </w:r>
      <w:proofErr w:type="spellEnd"/>
      <w:r w:rsidRPr="00055CC8">
        <w:rPr>
          <w:rFonts w:ascii="Times New Roman" w:hAnsi="Times New Roman" w:cs="Times New Roman"/>
        </w:rPr>
        <w:t>, P., Pless, S., Deru, M., &amp; Crawley, D. (2006). Zero energy buildings: A critical look at the definition. National Renewable Energy Laboratory.</w:t>
      </w:r>
    </w:p>
    <w:p w14:paraId="57FD7442" w14:textId="37269185" w:rsidR="00055CC8" w:rsidRDefault="00055CC8" w:rsidP="00055CC8">
      <w:pPr>
        <w:pStyle w:val="ListParagraph"/>
        <w:numPr>
          <w:ilvl w:val="0"/>
          <w:numId w:val="1"/>
        </w:numPr>
        <w:jc w:val="both"/>
        <w:rPr>
          <w:rFonts w:ascii="Times New Roman" w:hAnsi="Times New Roman" w:cs="Times New Roman"/>
        </w:rPr>
      </w:pPr>
      <w:r w:rsidRPr="00055CC8">
        <w:rPr>
          <w:rFonts w:ascii="Times New Roman" w:hAnsi="Times New Roman" w:cs="Times New Roman"/>
        </w:rPr>
        <w:t xml:space="preserve">Zain, A. M., &amp; </w:t>
      </w:r>
      <w:proofErr w:type="spellStart"/>
      <w:r w:rsidRPr="00055CC8">
        <w:rPr>
          <w:rFonts w:ascii="Times New Roman" w:hAnsi="Times New Roman" w:cs="Times New Roman"/>
        </w:rPr>
        <w:t>Sopian</w:t>
      </w:r>
      <w:proofErr w:type="spellEnd"/>
      <w:r w:rsidRPr="00055CC8">
        <w:rPr>
          <w:rFonts w:ascii="Times New Roman" w:hAnsi="Times New Roman" w:cs="Times New Roman"/>
        </w:rPr>
        <w:t xml:space="preserve">, K. (2017). Passive cooling strategies in tropical climates: Performance evaluation for energy-efficient buildings. Energy Procedia, 105, 3892–3897. </w:t>
      </w:r>
      <w:hyperlink r:id="rId16" w:history="1">
        <w:r w:rsidR="00AB3921" w:rsidRPr="00694141">
          <w:rPr>
            <w:rStyle w:val="Hyperlink"/>
            <w:rFonts w:ascii="Times New Roman" w:hAnsi="Times New Roman" w:cs="Times New Roman"/>
          </w:rPr>
          <w:t>https://doi.org/10.1016/j.egypro.2017.03.834</w:t>
        </w:r>
      </w:hyperlink>
    </w:p>
    <w:p w14:paraId="3423705F" w14:textId="77777777" w:rsidR="00AB3921" w:rsidRDefault="00AB3921" w:rsidP="00AB3921">
      <w:pPr>
        <w:jc w:val="both"/>
        <w:rPr>
          <w:rFonts w:ascii="Times New Roman" w:hAnsi="Times New Roman" w:cs="Times New Roman"/>
        </w:rPr>
      </w:pPr>
    </w:p>
    <w:p w14:paraId="4C174973" w14:textId="77777777" w:rsidR="00AB3921" w:rsidRDefault="00AB3921" w:rsidP="00AB3921">
      <w:pPr>
        <w:jc w:val="both"/>
        <w:rPr>
          <w:rFonts w:ascii="Times New Roman" w:hAnsi="Times New Roman" w:cs="Times New Roman"/>
        </w:rPr>
      </w:pPr>
    </w:p>
    <w:p w14:paraId="51521D19" w14:textId="77777777" w:rsidR="00AB3921" w:rsidRDefault="00AB3921" w:rsidP="00AB3921">
      <w:pPr>
        <w:jc w:val="both"/>
        <w:rPr>
          <w:rFonts w:ascii="Times New Roman" w:hAnsi="Times New Roman" w:cs="Times New Roman"/>
        </w:rPr>
      </w:pPr>
    </w:p>
    <w:p w14:paraId="02898DD5" w14:textId="77777777" w:rsidR="00AB3921" w:rsidRDefault="00AB3921" w:rsidP="00AB3921">
      <w:pPr>
        <w:jc w:val="both"/>
        <w:rPr>
          <w:rFonts w:ascii="Times New Roman" w:hAnsi="Times New Roman" w:cs="Times New Roman"/>
        </w:rPr>
      </w:pPr>
    </w:p>
    <w:p w14:paraId="307189DD" w14:textId="77777777" w:rsidR="00AB3921" w:rsidRDefault="00AB3921" w:rsidP="00AB3921">
      <w:pPr>
        <w:jc w:val="both"/>
        <w:rPr>
          <w:rFonts w:ascii="Times New Roman" w:hAnsi="Times New Roman" w:cs="Times New Roman"/>
        </w:rPr>
      </w:pPr>
    </w:p>
    <w:p w14:paraId="5610EE98" w14:textId="07B670A5" w:rsidR="003A7F18" w:rsidRPr="00AB3921" w:rsidRDefault="003A7F18" w:rsidP="00AB3921">
      <w:pPr>
        <w:jc w:val="both"/>
        <w:rPr>
          <w:rFonts w:ascii="Times New Roman" w:hAnsi="Times New Roman" w:cs="Times New Roman"/>
        </w:rPr>
      </w:pPr>
    </w:p>
    <w:sectPr w:rsidR="003A7F18" w:rsidRPr="00AB39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81674"/>
    <w:multiLevelType w:val="hybridMultilevel"/>
    <w:tmpl w:val="3BB85A1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ECD"/>
    <w:rsid w:val="00055CC8"/>
    <w:rsid w:val="003A7F18"/>
    <w:rsid w:val="004B60D9"/>
    <w:rsid w:val="005B7AEF"/>
    <w:rsid w:val="00606798"/>
    <w:rsid w:val="006649B0"/>
    <w:rsid w:val="006E73DD"/>
    <w:rsid w:val="0071189A"/>
    <w:rsid w:val="00A20103"/>
    <w:rsid w:val="00A40FEC"/>
    <w:rsid w:val="00AB3921"/>
    <w:rsid w:val="00AD6227"/>
    <w:rsid w:val="00AE0156"/>
    <w:rsid w:val="00B10598"/>
    <w:rsid w:val="00B1405C"/>
    <w:rsid w:val="00BD44DD"/>
    <w:rsid w:val="00BD5ECD"/>
    <w:rsid w:val="00E26BDF"/>
    <w:rsid w:val="00FD04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C1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E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5E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5E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5E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5E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5E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E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E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E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E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5E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5E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5E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5E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5E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E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E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ECD"/>
    <w:rPr>
      <w:rFonts w:eastAsiaTheme="majorEastAsia" w:cstheme="majorBidi"/>
      <w:color w:val="272727" w:themeColor="text1" w:themeTint="D8"/>
    </w:rPr>
  </w:style>
  <w:style w:type="paragraph" w:styleId="Title">
    <w:name w:val="Title"/>
    <w:basedOn w:val="Normal"/>
    <w:next w:val="Normal"/>
    <w:link w:val="TitleChar"/>
    <w:uiPriority w:val="10"/>
    <w:qFormat/>
    <w:rsid w:val="00BD5E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E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E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E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ECD"/>
    <w:pPr>
      <w:spacing w:before="160"/>
      <w:jc w:val="center"/>
    </w:pPr>
    <w:rPr>
      <w:i/>
      <w:iCs/>
      <w:color w:val="404040" w:themeColor="text1" w:themeTint="BF"/>
    </w:rPr>
  </w:style>
  <w:style w:type="character" w:customStyle="1" w:styleId="QuoteChar">
    <w:name w:val="Quote Char"/>
    <w:basedOn w:val="DefaultParagraphFont"/>
    <w:link w:val="Quote"/>
    <w:uiPriority w:val="29"/>
    <w:rsid w:val="00BD5ECD"/>
    <w:rPr>
      <w:i/>
      <w:iCs/>
      <w:color w:val="404040" w:themeColor="text1" w:themeTint="BF"/>
    </w:rPr>
  </w:style>
  <w:style w:type="paragraph" w:styleId="ListParagraph">
    <w:name w:val="List Paragraph"/>
    <w:basedOn w:val="Normal"/>
    <w:uiPriority w:val="34"/>
    <w:qFormat/>
    <w:rsid w:val="00BD5ECD"/>
    <w:pPr>
      <w:ind w:left="720"/>
      <w:contextualSpacing/>
    </w:pPr>
  </w:style>
  <w:style w:type="character" w:styleId="IntenseEmphasis">
    <w:name w:val="Intense Emphasis"/>
    <w:basedOn w:val="DefaultParagraphFont"/>
    <w:uiPriority w:val="21"/>
    <w:qFormat/>
    <w:rsid w:val="00BD5ECD"/>
    <w:rPr>
      <w:i/>
      <w:iCs/>
      <w:color w:val="2F5496" w:themeColor="accent1" w:themeShade="BF"/>
    </w:rPr>
  </w:style>
  <w:style w:type="paragraph" w:styleId="IntenseQuote">
    <w:name w:val="Intense Quote"/>
    <w:basedOn w:val="Normal"/>
    <w:next w:val="Normal"/>
    <w:link w:val="IntenseQuoteChar"/>
    <w:uiPriority w:val="30"/>
    <w:qFormat/>
    <w:rsid w:val="00BD5E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5ECD"/>
    <w:rPr>
      <w:i/>
      <w:iCs/>
      <w:color w:val="2F5496" w:themeColor="accent1" w:themeShade="BF"/>
    </w:rPr>
  </w:style>
  <w:style w:type="character" w:styleId="IntenseReference">
    <w:name w:val="Intense Reference"/>
    <w:basedOn w:val="DefaultParagraphFont"/>
    <w:uiPriority w:val="32"/>
    <w:qFormat/>
    <w:rsid w:val="00BD5ECD"/>
    <w:rPr>
      <w:b/>
      <w:bCs/>
      <w:smallCaps/>
      <w:color w:val="2F5496" w:themeColor="accent1" w:themeShade="BF"/>
      <w:spacing w:val="5"/>
    </w:rPr>
  </w:style>
  <w:style w:type="character" w:styleId="Hyperlink">
    <w:name w:val="Hyperlink"/>
    <w:basedOn w:val="DefaultParagraphFont"/>
    <w:uiPriority w:val="99"/>
    <w:unhideWhenUsed/>
    <w:rsid w:val="00055CC8"/>
    <w:rPr>
      <w:color w:val="0563C1" w:themeColor="hyperlink"/>
      <w:u w:val="single"/>
    </w:rPr>
  </w:style>
  <w:style w:type="character" w:customStyle="1" w:styleId="UnresolvedMention">
    <w:name w:val="Unresolved Mention"/>
    <w:basedOn w:val="DefaultParagraphFont"/>
    <w:uiPriority w:val="99"/>
    <w:semiHidden/>
    <w:unhideWhenUsed/>
    <w:rsid w:val="00055CC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EC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D5EC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5E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5E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5E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5E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5E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5E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5E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E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D5E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5E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5E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5E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5E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5E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5E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5ECD"/>
    <w:rPr>
      <w:rFonts w:eastAsiaTheme="majorEastAsia" w:cstheme="majorBidi"/>
      <w:color w:val="272727" w:themeColor="text1" w:themeTint="D8"/>
    </w:rPr>
  </w:style>
  <w:style w:type="paragraph" w:styleId="Title">
    <w:name w:val="Title"/>
    <w:basedOn w:val="Normal"/>
    <w:next w:val="Normal"/>
    <w:link w:val="TitleChar"/>
    <w:uiPriority w:val="10"/>
    <w:qFormat/>
    <w:rsid w:val="00BD5E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E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5E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5E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5ECD"/>
    <w:pPr>
      <w:spacing w:before="160"/>
      <w:jc w:val="center"/>
    </w:pPr>
    <w:rPr>
      <w:i/>
      <w:iCs/>
      <w:color w:val="404040" w:themeColor="text1" w:themeTint="BF"/>
    </w:rPr>
  </w:style>
  <w:style w:type="character" w:customStyle="1" w:styleId="QuoteChar">
    <w:name w:val="Quote Char"/>
    <w:basedOn w:val="DefaultParagraphFont"/>
    <w:link w:val="Quote"/>
    <w:uiPriority w:val="29"/>
    <w:rsid w:val="00BD5ECD"/>
    <w:rPr>
      <w:i/>
      <w:iCs/>
      <w:color w:val="404040" w:themeColor="text1" w:themeTint="BF"/>
    </w:rPr>
  </w:style>
  <w:style w:type="paragraph" w:styleId="ListParagraph">
    <w:name w:val="List Paragraph"/>
    <w:basedOn w:val="Normal"/>
    <w:uiPriority w:val="34"/>
    <w:qFormat/>
    <w:rsid w:val="00BD5ECD"/>
    <w:pPr>
      <w:ind w:left="720"/>
      <w:contextualSpacing/>
    </w:pPr>
  </w:style>
  <w:style w:type="character" w:styleId="IntenseEmphasis">
    <w:name w:val="Intense Emphasis"/>
    <w:basedOn w:val="DefaultParagraphFont"/>
    <w:uiPriority w:val="21"/>
    <w:qFormat/>
    <w:rsid w:val="00BD5ECD"/>
    <w:rPr>
      <w:i/>
      <w:iCs/>
      <w:color w:val="2F5496" w:themeColor="accent1" w:themeShade="BF"/>
    </w:rPr>
  </w:style>
  <w:style w:type="paragraph" w:styleId="IntenseQuote">
    <w:name w:val="Intense Quote"/>
    <w:basedOn w:val="Normal"/>
    <w:next w:val="Normal"/>
    <w:link w:val="IntenseQuoteChar"/>
    <w:uiPriority w:val="30"/>
    <w:qFormat/>
    <w:rsid w:val="00BD5E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5ECD"/>
    <w:rPr>
      <w:i/>
      <w:iCs/>
      <w:color w:val="2F5496" w:themeColor="accent1" w:themeShade="BF"/>
    </w:rPr>
  </w:style>
  <w:style w:type="character" w:styleId="IntenseReference">
    <w:name w:val="Intense Reference"/>
    <w:basedOn w:val="DefaultParagraphFont"/>
    <w:uiPriority w:val="32"/>
    <w:qFormat/>
    <w:rsid w:val="00BD5ECD"/>
    <w:rPr>
      <w:b/>
      <w:bCs/>
      <w:smallCaps/>
      <w:color w:val="2F5496" w:themeColor="accent1" w:themeShade="BF"/>
      <w:spacing w:val="5"/>
    </w:rPr>
  </w:style>
  <w:style w:type="character" w:styleId="Hyperlink">
    <w:name w:val="Hyperlink"/>
    <w:basedOn w:val="DefaultParagraphFont"/>
    <w:uiPriority w:val="99"/>
    <w:unhideWhenUsed/>
    <w:rsid w:val="00055CC8"/>
    <w:rPr>
      <w:color w:val="0563C1" w:themeColor="hyperlink"/>
      <w:u w:val="single"/>
    </w:rPr>
  </w:style>
  <w:style w:type="character" w:customStyle="1" w:styleId="UnresolvedMention">
    <w:name w:val="Unresolved Mention"/>
    <w:basedOn w:val="DefaultParagraphFont"/>
    <w:uiPriority w:val="99"/>
    <w:semiHidden/>
    <w:unhideWhenUsed/>
    <w:rsid w:val="00055C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91/1478088706qp063oa"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doi.org/10.1016/j.renene.2018.01.06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egypro.2017.03.83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1016/j.enbuild.2008.12.014"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1016/j.enbuild.2011.05.0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9</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Unidel19</dc:creator>
  <cp:keywords/>
  <dc:description/>
  <cp:lastModifiedBy>qwert</cp:lastModifiedBy>
  <cp:revision>5</cp:revision>
  <dcterms:created xsi:type="dcterms:W3CDTF">2026-02-10T23:21:00Z</dcterms:created>
  <dcterms:modified xsi:type="dcterms:W3CDTF">2026-04-02T14:12:00Z</dcterms:modified>
</cp:coreProperties>
</file>