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FAE11" w14:textId="22F9E1B0" w:rsidR="006F243D" w:rsidRPr="00050148" w:rsidRDefault="00000000" w:rsidP="00BD3B34">
      <w:pPr>
        <w:jc w:val="center"/>
        <w:rPr>
          <w:color w:val="000000" w:themeColor="text1"/>
          <w:sz w:val="36"/>
          <w:szCs w:val="36"/>
        </w:rPr>
      </w:pPr>
      <w:r w:rsidRPr="00050148">
        <w:rPr>
          <w:rFonts w:eastAsia="Arial"/>
          <w:b/>
          <w:bCs/>
          <w:color w:val="000000" w:themeColor="text1"/>
          <w:sz w:val="36"/>
          <w:szCs w:val="36"/>
        </w:rPr>
        <w:t>Agentic AI and Autonomous Decision-Making:</w:t>
      </w:r>
      <w:r w:rsidR="00917F59" w:rsidRPr="00050148">
        <w:rPr>
          <w:color w:val="000000" w:themeColor="text1"/>
          <w:sz w:val="36"/>
          <w:szCs w:val="36"/>
        </w:rPr>
        <w:t xml:space="preserve"> </w:t>
      </w:r>
      <w:r w:rsidRPr="00050148">
        <w:rPr>
          <w:rFonts w:eastAsia="Arial"/>
          <w:b/>
          <w:bCs/>
          <w:color w:val="000000" w:themeColor="text1"/>
          <w:sz w:val="36"/>
          <w:szCs w:val="36"/>
        </w:rPr>
        <w:t>A</w:t>
      </w:r>
      <w:r w:rsidR="00917F59" w:rsidRPr="00050148">
        <w:rPr>
          <w:rFonts w:eastAsia="Arial"/>
          <w:b/>
          <w:bCs/>
          <w:color w:val="000000" w:themeColor="text1"/>
          <w:sz w:val="36"/>
          <w:szCs w:val="36"/>
        </w:rPr>
        <w:t xml:space="preserve"> </w:t>
      </w:r>
      <w:r w:rsidRPr="00050148">
        <w:rPr>
          <w:rFonts w:eastAsia="Arial"/>
          <w:b/>
          <w:bCs/>
          <w:color w:val="000000" w:themeColor="text1"/>
          <w:sz w:val="36"/>
          <w:szCs w:val="36"/>
        </w:rPr>
        <w:t>Review of Human-in-the-Loop Frameworks, Oversight</w:t>
      </w:r>
      <w:r w:rsidR="00917F59" w:rsidRPr="00050148">
        <w:rPr>
          <w:rFonts w:eastAsia="Arial"/>
          <w:b/>
          <w:bCs/>
          <w:color w:val="000000" w:themeColor="text1"/>
          <w:sz w:val="36"/>
          <w:szCs w:val="36"/>
        </w:rPr>
        <w:t xml:space="preserve"> </w:t>
      </w:r>
      <w:r w:rsidRPr="00050148">
        <w:rPr>
          <w:rFonts w:eastAsia="Arial"/>
          <w:b/>
          <w:bCs/>
          <w:color w:val="000000" w:themeColor="text1"/>
          <w:sz w:val="36"/>
          <w:szCs w:val="36"/>
        </w:rPr>
        <w:t>Mechanisms, and Trust Calibration</w:t>
      </w:r>
    </w:p>
    <w:p w14:paraId="4725A89A" w14:textId="77777777" w:rsidR="006F243D" w:rsidRDefault="006F243D" w:rsidP="0050787A">
      <w:pPr>
        <w:spacing w:after="0"/>
      </w:pPr>
    </w:p>
    <w:p w14:paraId="7986CDB5" w14:textId="06047D40" w:rsidR="006F243D" w:rsidRDefault="006F243D"/>
    <w:p w14:paraId="438EA099" w14:textId="77777777" w:rsidR="006F243D" w:rsidRDefault="00000000" w:rsidP="007A6736">
      <w:pPr>
        <w:pStyle w:val="Heading1"/>
        <w:spacing w:after="120"/>
      </w:pPr>
      <w:bookmarkStart w:id="0" w:name="_Toc225135033"/>
      <w:r w:rsidRPr="00B61A53">
        <w:rPr>
          <w:i/>
          <w:iCs/>
        </w:rPr>
        <w:t>Abstract</w:t>
      </w:r>
      <w:bookmarkEnd w:id="0"/>
    </w:p>
    <w:p w14:paraId="2B9BDB85" w14:textId="0DFECC37" w:rsidR="006F243D" w:rsidRDefault="00000000" w:rsidP="00751A57">
      <w:r>
        <w:t>The rapid proliferation of agentic artificial intelligence (AI) systems</w:t>
      </w:r>
      <w:r w:rsidR="00421BA4">
        <w:t>, which are autonomous agents capable of perceiving, reasoning, planning, and executing multi-step tasks with minimal human intervention,</w:t>
      </w:r>
      <w:r w:rsidR="00315862">
        <w:t xml:space="preserve"> </w:t>
      </w:r>
      <w:r>
        <w:t xml:space="preserve">presents foundational challenges for the design of effective oversight architectures. Although developers report using AI assistance in approximately 60% of their work, empirical estimates suggest that full delegation remains feasible for only 0–20% of tasks, establishing a persistent and consequential human-AI collaboration boundary that current frameworks struggle to </w:t>
      </w:r>
      <w:r w:rsidR="00536B84">
        <w:t>characteriz</w:t>
      </w:r>
      <w:r>
        <w:t>e with sufficient precision.</w:t>
      </w:r>
      <w:r w:rsidR="002B6143">
        <w:t xml:space="preserve"> </w:t>
      </w:r>
      <w:r>
        <w:t>This</w:t>
      </w:r>
      <w:r w:rsidR="00244FC4">
        <w:t xml:space="preserve"> study carried out a</w:t>
      </w:r>
      <w:r>
        <w:t xml:space="preserve"> systematic review</w:t>
      </w:r>
      <w:r w:rsidR="00244FC4">
        <w:t xml:space="preserve"> that</w:t>
      </w:r>
      <w:r>
        <w:t xml:space="preserve"> </w:t>
      </w:r>
      <w:r w:rsidR="008F293A">
        <w:t>synthesize</w:t>
      </w:r>
      <w:r w:rsidR="00244FC4">
        <w:t>d</w:t>
      </w:r>
      <w:r>
        <w:t xml:space="preserve"> peer-reviewed studies published between 2020 and 2026 to map the state of the art in human-in-the-loop (HITL) frameworks, oversight mechanisms, and trust calibration strategies across eight high-stakes sectors</w:t>
      </w:r>
      <w:r w:rsidR="007B1094">
        <w:t>, which are</w:t>
      </w:r>
      <w:r>
        <w:t xml:space="preserve"> healthcare, criminal justice, financial services, autonomous transportation, education, manufacturing, content moderation, and human resources. Following a PRISMA-aligned protocol, </w:t>
      </w:r>
      <w:r w:rsidR="00471DC3">
        <w:t>the study</w:t>
      </w:r>
      <w:r>
        <w:t xml:space="preserve"> </w:t>
      </w:r>
      <w:r w:rsidR="00536B84">
        <w:t>analyze</w:t>
      </w:r>
      <w:r>
        <w:t xml:space="preserve">d sources drawn from </w:t>
      </w:r>
      <w:r w:rsidR="005B2A9C">
        <w:t xml:space="preserve">the </w:t>
      </w:r>
      <w:r w:rsidR="0079690E">
        <w:t>Association for Computing Machinery (</w:t>
      </w:r>
      <w:r>
        <w:t>ACM</w:t>
      </w:r>
      <w:r w:rsidR="0079690E">
        <w:t>)</w:t>
      </w:r>
      <w:r>
        <w:t xml:space="preserve">, </w:t>
      </w:r>
      <w:r w:rsidR="003527CF">
        <w:t>Institute of Electrical and Electronics Engineers (</w:t>
      </w:r>
      <w:r>
        <w:t>IEEE</w:t>
      </w:r>
      <w:r w:rsidR="003527CF">
        <w:t>)</w:t>
      </w:r>
      <w:r>
        <w:t xml:space="preserve">, NeurIPS, </w:t>
      </w:r>
      <w:r w:rsidR="00FB45FB">
        <w:t>the Association for the Advancement of Artificial Intelligence (</w:t>
      </w:r>
      <w:r>
        <w:t>AAAI</w:t>
      </w:r>
      <w:r w:rsidR="00FB45FB">
        <w:t>)</w:t>
      </w:r>
      <w:r>
        <w:t>, and major journal databases.</w:t>
      </w:r>
      <w:r w:rsidR="004E0231">
        <w:t xml:space="preserve"> The</w:t>
      </w:r>
      <w:r>
        <w:t xml:space="preserve"> analysis reveal</w:t>
      </w:r>
      <w:r w:rsidR="004E0231">
        <w:t>ed</w:t>
      </w:r>
      <w:r>
        <w:t xml:space="preserve"> four recurring tensions in the literature</w:t>
      </w:r>
      <w:r w:rsidR="004E0231">
        <w:t>, which are</w:t>
      </w:r>
      <w:r>
        <w:t xml:space="preserve"> the explainability–performance tradeoff, wherein more interpretable systems tend to sacrifice predictive accuracy; the autonomy–accountability gap, wherein higher degrees of AI agency diffuse and obscure human responsibility; the over-trust/under-trust duality, wherein miscalibrated trust degrades human-AI complementarity in both directions; and the participation–effectiveness paradox, wherein nominally inclusive design processes often fail to alter power structures that govern AI deployment.</w:t>
      </w:r>
      <w:r w:rsidR="00F22DEE">
        <w:t xml:space="preserve"> </w:t>
      </w:r>
      <w:r>
        <w:t xml:space="preserve">Building on these tensions and the </w:t>
      </w:r>
      <w:r w:rsidR="008F293A">
        <w:t>synthesize</w:t>
      </w:r>
      <w:r>
        <w:t xml:space="preserve">d evidence, </w:t>
      </w:r>
      <w:r w:rsidR="0022523E">
        <w:t>the study</w:t>
      </w:r>
      <w:r>
        <w:t xml:space="preserve"> introduce</w:t>
      </w:r>
      <w:r w:rsidR="0022523E">
        <w:t>d</w:t>
      </w:r>
      <w:r>
        <w:t xml:space="preserve"> the Adaptive Oversight Calibration Model (AOCM)</w:t>
      </w:r>
      <w:r w:rsidR="0022523E">
        <w:t xml:space="preserve">, </w:t>
      </w:r>
      <w:r>
        <w:t xml:space="preserve">a theoretically grounded, sector-agnostic framework comprising six formal propositions that relate task criticality, AI competency boundaries, human cognitive capacity, institutional constraints, trust dynamics, and feedback loops to optimal oversight configurations. The AOCM advances prior work by </w:t>
      </w:r>
      <w:r w:rsidR="00527669">
        <w:t>operationaliz</w:t>
      </w:r>
      <w:r>
        <w:t>ing meaningful oversight as a continuous, context-sensitive function rather than a binary or static design choice, and by providing testable propositions amenable to empirical validation.</w:t>
      </w:r>
      <w:r w:rsidR="00751A57">
        <w:t xml:space="preserve"> </w:t>
      </w:r>
      <w:r>
        <w:t>Implications for system designers, policymakers, and AI practitioners are discussed, with particular attention to the European Union AI Act (2024) and NIST AI Risk Management Framework (2023) as regulatory anchors.</w:t>
      </w:r>
    </w:p>
    <w:p w14:paraId="03F64B05" w14:textId="77777777" w:rsidR="006F243D" w:rsidRPr="005E0E79" w:rsidRDefault="00000000" w:rsidP="00CD0D17">
      <w:pPr>
        <w:spacing w:after="160" w:line="240" w:lineRule="auto"/>
      </w:pPr>
      <w:r w:rsidRPr="00F52D5C">
        <w:rPr>
          <w:b/>
          <w:bCs/>
          <w:i/>
          <w:iCs/>
          <w:sz w:val="24"/>
        </w:rPr>
        <w:t>Keywords</w:t>
      </w:r>
      <w:r>
        <w:rPr>
          <w:i/>
          <w:iCs/>
          <w:sz w:val="24"/>
        </w:rPr>
        <w:t xml:space="preserve">: </w:t>
      </w:r>
      <w:r w:rsidRPr="005E0E79">
        <w:rPr>
          <w:sz w:val="24"/>
        </w:rPr>
        <w:t>agentic AI, human-in-the-loop, oversight mechanisms, trust calibration, autonomous decision-making, explainable AI, human-AI collaboration, AI governance, adaptive oversight</w:t>
      </w:r>
    </w:p>
    <w:p w14:paraId="04F1C936" w14:textId="77777777" w:rsidR="008E299F" w:rsidRDefault="008E299F" w:rsidP="008E299F">
      <w:pPr>
        <w:rPr>
          <w:rFonts w:eastAsia="Arial" w:cs="Arial"/>
          <w:sz w:val="24"/>
          <w:szCs w:val="28"/>
        </w:rPr>
      </w:pPr>
      <w:bookmarkStart w:id="1" w:name="_Toc225135034"/>
      <w:r>
        <w:br w:type="page"/>
      </w:r>
    </w:p>
    <w:p w14:paraId="1EF07D3B" w14:textId="0D225EDD" w:rsidR="006F243D" w:rsidRDefault="00DC1938" w:rsidP="00DC1938">
      <w:pPr>
        <w:pStyle w:val="Heading1"/>
      </w:pPr>
      <w:r w:rsidRPr="008A7BE3">
        <w:lastRenderedPageBreak/>
        <w:t>INTRODUCTION</w:t>
      </w:r>
      <w:bookmarkEnd w:id="1"/>
    </w:p>
    <w:p w14:paraId="0B0108F8" w14:textId="1904CCC2" w:rsidR="006F243D" w:rsidRDefault="00000000" w:rsidP="00F72402">
      <w:r>
        <w:t>The concept of an agent</w:t>
      </w:r>
      <w:r w:rsidR="00B75AED">
        <w:t xml:space="preserve">, </w:t>
      </w:r>
      <w:r>
        <w:t>an entity that perceives its environment and takes actions to achieve goals</w:t>
      </w:r>
      <w:r w:rsidR="00B75AED">
        <w:t xml:space="preserve">, </w:t>
      </w:r>
      <w:r>
        <w:t xml:space="preserve">has long occupied the theoretical core of artificial intelligence research </w:t>
      </w:r>
      <w:r w:rsidR="008268EF">
        <w:fldChar w:fldCharType="begin"/>
      </w:r>
      <w:r w:rsidR="008268EF">
        <w:instrText xml:space="preserve"> ADDIN ZOTERO_ITEM CSL_CITATION {"citationID":"ftgp7Qve","properties":{"formattedCitation":"(Russell &amp; Norvig, 2021)","plainCitation":"(Russell &amp; Norvig, 2021)","noteIndex":0},"citationItems":[{"id":2272,"uris":["http://zotero.org/users/6567242/items/D7QGDJP6"],"itemData":{"id":2272,"type":"book","abstract":"The most comprehensive, up-to-date introduction to the theory and practice of artificial intelligence The long-anticipated revision of Artificial Intelligence: A Modern Approach explores the full breadth and depth of the field of artificial intelligence (AI). The 4th Edition brings readers up to date on the latest technologies, presents concepts in a more unified manner, and offers new or expanded coverage of machine learning, deep learning, transfer learning, multiagent systems, robotics, natural language processing, causality, probabilistic programming, privacy, fairness, and safe AI.","ISBN":"978-0-13-461099-3","language":"English","number-of-pages":"1136","publisher":"Pearson","publisher-place":"Hoboken, NJ","source":"Amazon","title":"Artificial Intelligence: A Modern Approach","title-short":"Artificial Intelligence","author":[{"family":"Russell","given":"Stuart J."},{"family":"Norvig","given":"Peter"}],"issued":{"date-parts":[["2021"]]}}}],"schema":"https://github.com/citation-style-language/schema/raw/master/csl-citation.json"} </w:instrText>
      </w:r>
      <w:r w:rsidR="008268EF">
        <w:fldChar w:fldCharType="separate"/>
      </w:r>
      <w:r w:rsidR="008268EF" w:rsidRPr="008268EF">
        <w:t>(Russell &amp; Norvig, 2021)</w:t>
      </w:r>
      <w:r w:rsidR="008268EF">
        <w:fldChar w:fldCharType="end"/>
      </w:r>
      <w:r>
        <w:t xml:space="preserve">. What distinguishes the contemporary moment is not the concept's novelty but its operational </w:t>
      </w:r>
      <w:r w:rsidR="006D0419">
        <w:t>realization</w:t>
      </w:r>
      <w:r w:rsidR="00730722">
        <w:t>.</w:t>
      </w:r>
      <w:r>
        <w:t xml:space="preserve"> </w:t>
      </w:r>
      <w:r w:rsidR="00730722">
        <w:t>L</w:t>
      </w:r>
      <w:r>
        <w:t xml:space="preserve">arge </w:t>
      </w:r>
      <w:r w:rsidR="00730722">
        <w:t>L</w:t>
      </w:r>
      <w:r>
        <w:t xml:space="preserve">anguage </w:t>
      </w:r>
      <w:r w:rsidR="00730722">
        <w:t>M</w:t>
      </w:r>
      <w:r>
        <w:t xml:space="preserve">odel (LLM)-based agents, multimodal autonomous systems, and reinforcement-learning pipelines are now deployed in production environments where their decisions carry material, legal, and sometimes irreversible consequences. GitHub's 2023 developer survey found that 92% of developers use AI coding tools, with roughly 60% of their work touching AI-assisted components; yet the same developers estimated that only 0–20% of tasks could be meaningfully delegated without human review </w:t>
      </w:r>
      <w:r w:rsidR="000D3343">
        <w:fldChar w:fldCharType="begin"/>
      </w:r>
      <w:r w:rsidR="000D3343">
        <w:instrText xml:space="preserve"> ADDIN ZOTERO_ITEM CSL_CITATION {"citationID":"dbjC4aSi","properties":{"formattedCitation":"(Daigle &amp; GitHub Staff, 2023; Shani &amp; GitHub Staff, 2023)","plainCitation":"(Daigle &amp; GitHub Staff, 2023; Shani &amp; GitHub Staff, 2023)","noteIndex":0},"citationItems":[{"id":3020,"uris":["http://zotero.org/users/6567242/items/HPQ6DFN4"],"itemData":{"id":3020,"type":"post-weblog","abstract":"In this year’s Octoverse report, we study how open source activity around AI, the cloud, and Git are changing the developer experience.","container-title":"The GitHub","language":"en-US","title":"Octoverse: The state of open source and rise of AI in 2023","title-short":"Octoverse","URL":"https://github.blog/news-insights/research/the-state-of-open-source-and-ai/","author":[{"family":"Daigle","given":"Kyle"},{"literal":"GitHub Staff"}],"accessed":{"date-parts":[["2026",3,23]]},"issued":{"date-parts":[["2023",11,8]]}}},{"id":3018,"uris":["http://zotero.org/users/6567242/items/KIEVBPFF"],"itemData":{"id":3018,"type":"post-weblog","abstract":"We surveyed 500 U.S.-based developers at companies with 1,000-plus employees about developer productivity, collaboration, and AI.","container-title":"The GitHub","language":"en-US","title":"Survey reveals AI’s impact on the developer experience","URL":"https://github.blog/news-insights/research/survey-reveals-ais-impact-on-the-developer-experience/","author":[{"family":"Shani","given":"Inbal"},{"literal":"GitHub Staff"}],"accessed":{"date-parts":[["2026",3,23]]},"issued":{"date-parts":[["2023",6,13]]}}}],"schema":"https://github.com/citation-style-language/schema/raw/master/csl-citation.json"} </w:instrText>
      </w:r>
      <w:r w:rsidR="000D3343">
        <w:fldChar w:fldCharType="separate"/>
      </w:r>
      <w:r w:rsidR="000D3343" w:rsidRPr="000D3343">
        <w:t>(Daigle &amp; GitHub Staff, 2023; Shani &amp; GitHub Staff, 2023)</w:t>
      </w:r>
      <w:r w:rsidR="000D3343">
        <w:fldChar w:fldCharType="end"/>
      </w:r>
      <w:r>
        <w:t>. This gap</w:t>
      </w:r>
      <w:r w:rsidR="003B5847">
        <w:t xml:space="preserve">, </w:t>
      </w:r>
      <w:r>
        <w:t>between what AI can do and what humans are willing or able to safely delegate</w:t>
      </w:r>
      <w:r w:rsidR="003B5847">
        <w:t xml:space="preserve">, </w:t>
      </w:r>
      <w:r>
        <w:t xml:space="preserve">constitutes what </w:t>
      </w:r>
      <w:r w:rsidR="006A38A2">
        <w:t>is</w:t>
      </w:r>
      <w:r>
        <w:t xml:space="preserve"> term</w:t>
      </w:r>
      <w:r w:rsidR="006A38A2">
        <w:t>ed</w:t>
      </w:r>
      <w:r>
        <w:t xml:space="preserve"> the delegation frontier.</w:t>
      </w:r>
    </w:p>
    <w:p w14:paraId="41C1D5FB" w14:textId="30913668" w:rsidR="006F243D" w:rsidRDefault="00000000" w:rsidP="00F72402">
      <w:r>
        <w:t xml:space="preserve">The delegation frontier is not merely a measurement artefact; it reflects deep structural features of sociotechnical systems. First, agentic AI introduces what </w:t>
      </w:r>
      <w:r w:rsidR="001156B3">
        <w:fldChar w:fldCharType="begin"/>
      </w:r>
      <w:r w:rsidR="00033139">
        <w:instrText xml:space="preserve"> ADDIN ZOTERO_ITEM CSL_CITATION {"citationID":"5l38nxuB","properties":{"formattedCitation":"(Endsley, 2023)","plainCitation":"(Endsley, 2023)","dontUpdate":true,"noteIndex":0},"citationItems":[{"id":3015,"uris":["http://zotero.org/users/6567242/items/KT62PGZ3"],"itemData":{"id":3015,"type":"article-journal","container-title":"Human Factors","DOI":"10.1177/00187208211059252","issue":"1","language":"su","page":"99–111","title":"Situation awareness in future autonomous systems","volume":"65","author":[{"family":"Endsley","given":"M.R."}],"issued":{"date-parts":[["2023"]]}}}],"schema":"https://github.com/citation-style-language/schema/raw/master/csl-citation.json"} </w:instrText>
      </w:r>
      <w:r w:rsidR="001156B3">
        <w:fldChar w:fldCharType="separate"/>
      </w:r>
      <w:r w:rsidR="001156B3" w:rsidRPr="001156B3">
        <w:t xml:space="preserve">Endsley </w:t>
      </w:r>
      <w:r w:rsidR="001156B3">
        <w:t>(</w:t>
      </w:r>
      <w:r w:rsidR="001156B3" w:rsidRPr="001156B3">
        <w:t>2023)</w:t>
      </w:r>
      <w:r w:rsidR="001156B3">
        <w:fldChar w:fldCharType="end"/>
      </w:r>
      <w:r>
        <w:t xml:space="preserve"> calls Level-3 situation awareness failure</w:t>
      </w:r>
      <w:r w:rsidR="006F1662">
        <w:t>, where</w:t>
      </w:r>
      <w:r>
        <w:t xml:space="preserve"> humans no longer observe, let alone predict, the consequences of actions taken autonomously. Second, the accountability structures of most </w:t>
      </w:r>
      <w:r w:rsidR="004C4E48">
        <w:t>organiz</w:t>
      </w:r>
      <w:r>
        <w:t xml:space="preserve">ations were designed for human decision chains, not for hybrid human-AI pipelines in which causality is distributed across algorithmic and human nodes </w:t>
      </w:r>
      <w:r w:rsidR="0017575A">
        <w:fldChar w:fldCharType="begin"/>
      </w:r>
      <w:r w:rsidR="0017575A">
        <w:instrText xml:space="preserve"> ADDIN ZOTERO_ITEM CSL_CITATION {"citationID":"hwXgp8JF","properties":{"formattedCitation":"(Wachter et al., 2021)","plainCitation":"(Wachter et al., 2021)","noteIndex":0},"citationItems":[{"id":2998,"uris":["http://zotero.org/users/6567242/items/47LWZ6RZ"],"itemData":{"id":2998,"type":"article-journal","container-title":"Computer Law &amp; Security Review","DOI":"10.1016/j.clsr.2021.105567","ISSN":"2212473X","journalAbbreviation":"Computer Law &amp; Security Review","language":"en","page":"105567","source":"DOI.org (Crossref)","title":"Why fairness cannot be automated: Bridging the gap between EU non-discrimination law and AI","title-short":"Why fairness cannot be automated","volume":"41","author":[{"family":"Wachter","given":"Sandra"},{"family":"Mittelstadt","given":"Brent"},{"family":"Russell","given":"Chris"}],"issued":{"date-parts":[["2021",7]]}}}],"schema":"https://github.com/citation-style-language/schema/raw/master/csl-citation.json"} </w:instrText>
      </w:r>
      <w:r w:rsidR="0017575A">
        <w:fldChar w:fldCharType="separate"/>
      </w:r>
      <w:r w:rsidR="0017575A" w:rsidRPr="0017575A">
        <w:t>(Wachter et al., 2021)</w:t>
      </w:r>
      <w:r w:rsidR="0017575A">
        <w:fldChar w:fldCharType="end"/>
      </w:r>
      <w:r>
        <w:t>. Third, empirical studies consistently show that the relationship between AI assistance and human performance is non-linear</w:t>
      </w:r>
      <w:r w:rsidR="003462D5">
        <w:t>, in which</w:t>
      </w:r>
      <w:r>
        <w:t xml:space="preserve"> moderate AI involvement tends to improve outcomes, but high-autonomy configurations can degrade performance below unaided human baselines when trust is miscalibrated </w:t>
      </w:r>
      <w:r w:rsidR="009C6B71">
        <w:fldChar w:fldCharType="begin"/>
      </w:r>
      <w:r w:rsidR="009C6B71">
        <w:instrText xml:space="preserve"> ADDIN ZOTERO_ITEM CSL_CITATION {"citationID":"48j6wcPF","properties":{"formattedCitation":"(Hemmer et al., 2021; Karinshak et al., 2023; Zhang et al., 2020)","plainCitation":"(Hemmer et al., 2021; Karinshak et al., 2023; Zhang et al., 2020)","noteIndex":0},"citationItems":[{"id":2963,"uris":["http://zotero.org/users/6567242/items/9XNJ45QL"],"itemData":{"id":2963,"type":"paper-conference","container-title":"PACIS 2021 Proceedings","publisher":"AIS eLibrary","publisher-place":"Karlsruhe Institute of Technology","source":"COinS","title":"Human-AI Complementarity in Hybrid Intelligence Systems: A Structured Literature Review","title-short":"Human-AI Complementarity in Hybrid Intelligence Systems","URL":"https://aisel.aisnet.org/pacis2021/78","volume":"78","author":[{"family":"Hemmer","given":"Patrick"},{"family":"Schemmer","given":"Max"},{"family":"Vössing","given":"Michael"},{"family":"Kühl","given":"Niklas"}],"issued":{"date-parts":[["2021",7,12]]}}},{"id":2962,"uris":["http://zotero.org/users/6567242/items/QA57AIRH"],"itemData":{"id":2962,"type":"article-journal","abstract":"Artificial Intelligence (AI) is a transformative force in communication and messaging strategy, with potential to disrupt traditional approaches. Large language models (LLMs), a form of AI, are capable of generating high-quality, humanlike text. We investigate the persuasive quality of AI-generated messages to understand how AI could impact public health messaging. Specifically, through a series of studies designed to characterize and evaluate generative AI in developing public health messages, we analyze COVID-19 pro-vaccination messages generated by GPT-3, a state-of-the-art instantiation of a large language model. Study 1 is a systematic evaluation of GPT-3's ability to generate pro-vaccination messages. Study 2 then observed peoples' perceptions of curated GPT-3-generated messages compared to human-authored messages released by the CDC (Centers for Disease Control and Prevention), finding that GPT-3 messages were perceived as more effective, stronger arguments, and evoked more positive attitudes than CDC messages. Finally, Study 3 assessed the role of source labels on perceived quality, finding that while participants preferred AI-generated messages, they expressed dispreference for messages that were labeled as AI-generated. The results suggest that, with human supervision, AI can be used to create effective public health messages, but that individuals prefer their public health messages to come from human institutions rather than AI sources. We propose best practices for assessing generative outputs of large language models in future social science research and ways health professionals can use AI systems to augment public health messaging.","container-title":"Proceedings of the ACM on Human-Computer Interaction","DOI":"10.1145/3579592","ISSN":"2573-0142","issue":"CSCW1","journalAbbreviation":"Proc. ACM Hum.-Comput. Interact.","language":"en","page":"1-29","source":"DOI.org (Crossref)","title":"Working With AI to Persuade: Examining a Large Language Model's Ability to Generate Pro-Vaccination Messages","title-short":"Working With AI to Persuade","volume":"7","author":[{"family":"Karinshak","given":"Elise"},{"family":"Liu","given":"Sunny Xun"},{"family":"Park","given":"Joon Sung"},{"family":"Hancock","given":"Jeffrey T."}],"issued":{"date-parts":[["2023",4,14]]}}},{"id":3010,"uris":["http://zotero.org/users/6567242/items/CK3V2FNP"],"itemData":{"id":3010,"type":"paper-conference","container-title":"Proceedings of the 2020 Conference on Fairness, Accountability, and Transparency","DOI":"10.1145/3351095.3372852","event-title":"FAT* '20: Conference on Fairness, Accountability, and Transparency","ISBN":"978-1-4503-6936-7","language":"en","page":"295-305","publisher":"ACM","publisher-place":"Barcelona Spain","source":"DOI.org (Crossref)","title":"Effect of confidence and explanation on accuracy and trust calibration in AI-assisted decision making","URL":"https://dl.acm.org/doi/10.1145/3351095.3372852","author":[{"family":"Zhang","given":"Yunfeng"},{"family":"Liao","given":"Q. Vera"},{"family":"Bellamy","given":"Rachel K. E."}],"accessed":{"date-parts":[["2026",3,23]]},"issued":{"date-parts":[["2020",1,27]]}}}],"schema":"https://github.com/citation-style-language/schema/raw/master/csl-citation.json"} </w:instrText>
      </w:r>
      <w:r w:rsidR="009C6B71">
        <w:fldChar w:fldCharType="separate"/>
      </w:r>
      <w:r w:rsidR="009C6B71" w:rsidRPr="009C6B71">
        <w:t>(Hemmer et al., 2021; Karinshak et al., 2023; Zhang et al., 2020)</w:t>
      </w:r>
      <w:r w:rsidR="009C6B71">
        <w:fldChar w:fldCharType="end"/>
      </w:r>
      <w:r>
        <w:t>.</w:t>
      </w:r>
    </w:p>
    <w:p w14:paraId="443AC763" w14:textId="4811BC2C" w:rsidR="006F243D" w:rsidRDefault="00000000" w:rsidP="00F72402">
      <w:r>
        <w:t xml:space="preserve">These challenges have </w:t>
      </w:r>
      <w:r w:rsidR="00757E4E">
        <w:t>catalyzed</w:t>
      </w:r>
      <w:r>
        <w:t xml:space="preserve"> a substantial and rapidly growing literature on human-in-the-loop (HITL) systems</w:t>
      </w:r>
      <w:r w:rsidR="005E16AE">
        <w:t xml:space="preserve">, </w:t>
      </w:r>
      <w:r>
        <w:t xml:space="preserve">a term that has evolved from its origins in control engineering and active machine learning to encompass a broad family of oversight architectures spanning clinical decision support, autonomous vehicles, algorithmic trading, and content moderation. Yet despite this proliferation, no comprehensive review has </w:t>
      </w:r>
      <w:r w:rsidR="008F293A">
        <w:t>synthesize</w:t>
      </w:r>
      <w:r>
        <w:t>d frameworks across sectors, reconciled competing definitions of meaningful oversight, or derived actionable design propositions from the cumulative evidence. This paper addresses th</w:t>
      </w:r>
      <w:r w:rsidR="00184659">
        <w:t>at</w:t>
      </w:r>
      <w:r>
        <w:t xml:space="preserve"> gap.</w:t>
      </w:r>
    </w:p>
    <w:p w14:paraId="1E000C90" w14:textId="4EC7408E" w:rsidR="006F243D" w:rsidRDefault="00000000" w:rsidP="008B140D">
      <w:pPr>
        <w:pStyle w:val="Heading2"/>
      </w:pPr>
      <w:bookmarkStart w:id="2" w:name="_Toc225135035"/>
      <w:r>
        <w:t>Scope and Objectives</w:t>
      </w:r>
      <w:bookmarkEnd w:id="2"/>
    </w:p>
    <w:p w14:paraId="73767E46" w14:textId="0612ADE0" w:rsidR="00BC5CCE" w:rsidRDefault="00000000" w:rsidP="00F72402">
      <w:r>
        <w:t>This review pursues four objectives</w:t>
      </w:r>
      <w:r w:rsidR="003A5CB3">
        <w:t>, which are to</w:t>
      </w:r>
      <w:r>
        <w:t>:</w:t>
      </w:r>
    </w:p>
    <w:p w14:paraId="02A94881" w14:textId="15A52978" w:rsidR="00BC5CCE" w:rsidRDefault="00000000" w:rsidP="00BC5CCE">
      <w:pPr>
        <w:pStyle w:val="ListParagraph"/>
        <w:numPr>
          <w:ilvl w:val="0"/>
          <w:numId w:val="4"/>
        </w:numPr>
      </w:pPr>
      <w:r>
        <w:t>map and taxonomi</w:t>
      </w:r>
      <w:r w:rsidR="00BC5CCE">
        <w:t>z</w:t>
      </w:r>
      <w:r>
        <w:t>e HITL frameworks appearing in peer-reviewed literature from 2020 to 2026;</w:t>
      </w:r>
    </w:p>
    <w:p w14:paraId="57C1B946" w14:textId="7C3491D1" w:rsidR="003A5CB3" w:rsidRDefault="00000000" w:rsidP="00BC5CCE">
      <w:pPr>
        <w:pStyle w:val="ListParagraph"/>
        <w:numPr>
          <w:ilvl w:val="0"/>
          <w:numId w:val="4"/>
        </w:numPr>
      </w:pPr>
      <w:r>
        <w:t>identify and compare oversight mechanisms deployed across high-stakes sectors;</w:t>
      </w:r>
    </w:p>
    <w:p w14:paraId="19C3CCAC" w14:textId="77777777" w:rsidR="00F37D6E" w:rsidRDefault="008F293A" w:rsidP="00BC5CCE">
      <w:pPr>
        <w:pStyle w:val="ListParagraph"/>
        <w:numPr>
          <w:ilvl w:val="0"/>
          <w:numId w:val="4"/>
        </w:numPr>
      </w:pPr>
      <w:r>
        <w:t>synthesize evidence on trust calibration</w:t>
      </w:r>
      <w:r w:rsidR="00F37D6E">
        <w:t xml:space="preserve">, which is </w:t>
      </w:r>
      <w:r>
        <w:t>the alignment of a human operator's trust with the actual reliability of an AI system; and</w:t>
      </w:r>
    </w:p>
    <w:p w14:paraId="02EEC3DD" w14:textId="509B301F" w:rsidR="006F243D" w:rsidRDefault="00000000" w:rsidP="00BC5CCE">
      <w:pPr>
        <w:pStyle w:val="ListParagraph"/>
        <w:numPr>
          <w:ilvl w:val="0"/>
          <w:numId w:val="4"/>
        </w:numPr>
      </w:pPr>
      <w:r>
        <w:t xml:space="preserve">derive and </w:t>
      </w:r>
      <w:r w:rsidR="004C4E48">
        <w:t>formaliz</w:t>
      </w:r>
      <w:r>
        <w:t>e a conceptual framework</w:t>
      </w:r>
      <w:r w:rsidR="00F37D6E">
        <w:t xml:space="preserve">, </w:t>
      </w:r>
      <w:r>
        <w:t>the Adaptive Oversight Calibration Model (AOCM)</w:t>
      </w:r>
      <w:r w:rsidR="00F37D6E">
        <w:t xml:space="preserve">, </w:t>
      </w:r>
      <w:r>
        <w:t>that integrates findings into testable propositions.</w:t>
      </w:r>
    </w:p>
    <w:p w14:paraId="1CDC96B5" w14:textId="7DBD8630" w:rsidR="006F243D" w:rsidRDefault="00000000" w:rsidP="00D203C9">
      <w:pPr>
        <w:pStyle w:val="Heading2"/>
      </w:pPr>
      <w:bookmarkStart w:id="3" w:name="_Toc225135036"/>
      <w:r w:rsidRPr="00D203C9">
        <w:t>Definition</w:t>
      </w:r>
      <w:r>
        <w:t xml:space="preserve"> of Key Terms</w:t>
      </w:r>
      <w:bookmarkEnd w:id="3"/>
    </w:p>
    <w:p w14:paraId="558E51AE" w14:textId="44A7459D" w:rsidR="006F243D" w:rsidRDefault="00000000" w:rsidP="00536720">
      <w:r>
        <w:t>For precision and reproducibility, the following working definitions</w:t>
      </w:r>
      <w:r w:rsidR="003C7C6C">
        <w:t xml:space="preserve"> are adopted</w:t>
      </w:r>
      <w:r>
        <w:t xml:space="preserve"> throughout this review:</w:t>
      </w:r>
    </w:p>
    <w:p w14:paraId="4FE06C55" w14:textId="372329AA" w:rsidR="006F243D" w:rsidRDefault="00000000" w:rsidP="00536720">
      <w:r>
        <w:rPr>
          <w:b/>
          <w:bCs/>
        </w:rPr>
        <w:t xml:space="preserve">Agentic AI: </w:t>
      </w:r>
      <w:r>
        <w:t xml:space="preserve">An AI system capable of autonomously executing sequences of actions toward a goal, including planning, tool use, web browsing, code execution, or interaction with external APIs, with limited per-step human instruction </w:t>
      </w:r>
      <w:r w:rsidR="00194508">
        <w:fldChar w:fldCharType="begin"/>
      </w:r>
      <w:r w:rsidR="00194508">
        <w:instrText xml:space="preserve"> ADDIN ZOTERO_ITEM CSL_CITATION {"citationID":"aK0adrA7","properties":{"formattedCitation":"(Bommasani et al., 2022)","plainCitation":"(Bommasani et al., 2022)","noteIndex":0},"citationItems":[{"id":2596,"uris":["http://zotero.org/users/6567242/items/MEM52G6Y"],"itemData":{"id":2596,"type":"article","abstract":"AI is undergoing a paradigm shift with the rise of models (e.g., BERT, DALL-E, GPT-3) that are trained on broad data at scale and are adaptable to a wide range of downstream tasks. We call these models foundation models to underscore their critically central yet incomplete character. This report provides a thorough account of the opportunities and risks of foundation models, ranging from their capabilities (e.g., language, vision, robotics, reasoning, human interaction) and technical principles(e.g., model architectures, training procedures, data, systems, security, evaluation, theory) to their applications (e.g., law, healthcare, education) and societal impact (e.g., inequity, misuse, economic and environmental impact, legal and ethical considerations). Though foundation models are based on standard deep learning and transfer learning, their scale results in new emergent capabilities,and their effectiveness across so many tasks incentivizes homogenization. Homogenization provides powerful leverage but demands caution, as the defects of the foundation model are inherited by all the adapted models downstream. Despite the impending widespread deployment of foundation models, we currently lack a clear understanding of how they work, when they fail, and what they are even capable of due to their emergent properties. To tackle these questions, we believe much of the critical research on foundation models will require deep interdisciplinary collaboration commensurate with their fundamentally sociotechnical nature.","DOI":"10.48550/arXiv.2108.07258","note":"arXiv:2108.07258 [cs]","number":"arXiv:2108.07258","publisher":"arXiv","source":"arXiv.org","title":"On the Opportunities and Risks of Foundation Models","URL":"http://arxiv.org/abs/2108.07258","author":[{"family":"Bommasani","given":"Rishi"},{"family":"Hudson","given":"Drew A."},{"family":"Adeli","given":"Ehsan"},{"family":"Altman","given":"Russ"},{"family":"Arora","given":"Simran"},{"family":"Arx","given":"Sydney","dropping-particle":"von"},{"family":"Bernstein","given":"Michael S."},{"family":"Bohg","given":"Jeannette"},{"family":"Bosselut","given":"Antoine"},{"family":"Brunskill","given":"Emma"},{"family":"Brynjolfsson","given":"Erik"},{"family":"Buch","given":"Shyamal"},{"family":"Card","given":"Dallas"},{"family":"Castellon","given":"Rodrigo"},{"family":"Chatterji","given":"Niladri"},{"family":"Chen","given":"Annie"},{"family":"Creel","given":"Kathleen"},{"family":"Davis","given":"Jared Quincy"},{"family":"Demszky","given":"Dora"},{"family":"Donahue","given":"Chris"},{"family":"Doumbouya","given":"Moussa"},{"family":"Durmus","given":"Esin"},{"family":"Ermon","given":"Stefano"},{"family":"Etchemendy","given":"John"},{"family":"Ethayarajh","given":"Kawin"},{"family":"Fei-Fei","given":"Li"},{"family":"Finn","given":"Chelsea"},{"family":"Gale","given":"Trevor"},{"family":"Gillespie","given":"Lauren"},{"family":"Goel","given":"Karan"},{"family":"Goodman","given":"Noah"},{"family":"Grossman","given":"Shelby"},{"family":"Guha","given":"Neel"},{"family":"Hashimoto","given":"Tatsunori"},{"family":"Henderson","given":"Peter"},{"family":"Hewitt","given":"John"},{"family":"Ho","given":"Daniel E."},{"family":"Hong","given":"Jenny"},{"family":"Hsu","given":"Kyle"},{"family":"Huang","given":"Jing"},{"family":"Icard","given":"Thomas"},{"family":"Jain","given":"Saahil"},{"family":"Jurafsky","given":"Dan"},{"family":"Kalluri","given":"Pratyusha"},{"family":"Karamcheti","given":"Siddharth"},{"family":"Keeling","given":"Geoff"},{"family":"Khani","given":"Fereshte"},{"family":"Khattab","given":"Omar"},{"family":"Koh","given":"Pang Wei"},{"family":"Krass","given":"Mark"},{"family":"Krishna","given":"Ranjay"},{"family":"Kuditipudi","given":"Rohith"},{"family":"Kumar","given":"Ananya"},{"family":"Ladhak","given":"Faisal"},{"family":"Lee","given":"Mina"},{"family":"Lee","given":"Tony"},{"family":"Leskovec","given":"Jure"},{"family":"Levent","given":"Isabelle"},{"family":"Li","given":"Xiang Lisa"},{"family":"Li","given":"Xuechen"},{"family":"Ma","given":"Tengyu"},{"family":"Malik","given":"Ali"},{"family":"Manning","given":"Christopher D."},{"family":"Mirchandani","given":"Suvir"},{"family":"Mitchell","given":"Eric"},{"family":"Munyikwa","given":"Zanele"},{"family":"Nair","given":"Suraj"},{"family":"Narayan","given":"Avanika"},{"family":"Narayanan","given":"Deepak"},{"family":"Newman","given":"Ben"},{"family":"Nie","given":"Allen"},{"family":"Niebles","given":"Juan Carlos"},{"family":"Nilforoshan","given":"Hamed"},{"family":"Nyarko","given":"Julian"},{"family":"Ogut","given":"Giray"},{"family":"Orr","given":"Laurel"},{"family":"Papadimitriou","given":"Isabel"},{"family":"Park","given":"Joon Sung"},{"family":"Piech","given":"Chris"},{"family":"Portelance","given":"Eva"},{"family":"Potts","given":"Christopher"},{"family":"Raghunathan","given":"Aditi"},{"family":"Reich","given":"Rob"},{"family":"Ren","given":"Hongyu"},{"family":"Rong","given":"Frieda"},{"family":"Roohani","given":"Yusuf"},{"family":"Ruiz","given":"Camilo"},{"family":"Ryan","given":"Jack"},{"family":"Ré","given":"Christopher"},{"family":"Sadigh","given":"Dorsa"},{"family":"Sagawa","given":"Shiori"},{"family":"Santhanam","given":"Keshav"},{"family":"Shih","given":"Andy"},{"family":"Srinivasan","given":"Krishnan"},{"family":"Tamkin","given":"Alex"},{"family":"Taori","given":"Rohan"},{"family":"Thomas","given":"Armin W."},{"family":"Tramèr","given":"Florian"},{"family":"Wang","given":"Rose E."},{"family":"Wang","given":"William"},{"family":"Wu","given":"Bohan"},{"family":"Wu","given":"Jiajun"},{"family":"Wu","given":"Yuhuai"},{"family":"Xie","given":"Sang Michael"},{"family":"Yasunaga","given":"Michihiro"},{"family":"You","given":"Jiaxuan"},{"family":"Zaharia","given":"Matei"},{"family":"Zhang","given":"Michael"},{"family":"Zhang","given":"Tianyi"},{"family":"Zhang","given":"Xikun"},{"family":"Zhang","given":"Yuhui"},{"family":"Zheng","given":"Lucia"},{"family":"Zhou","given":"Kaitlyn"},{"family":"Liang","given":"Percy"}],"accessed":{"date-parts":[["2025",11,23]]},"issued":{"date-parts":[["2022",7,12]]}}}],"schema":"https://github.com/citation-style-language/schema/raw/master/csl-citation.json"} </w:instrText>
      </w:r>
      <w:r w:rsidR="00194508">
        <w:fldChar w:fldCharType="separate"/>
      </w:r>
      <w:r w:rsidR="00194508" w:rsidRPr="00194508">
        <w:t>(Bommasani et al., 2022)</w:t>
      </w:r>
      <w:r w:rsidR="00194508">
        <w:fldChar w:fldCharType="end"/>
      </w:r>
      <w:r w:rsidR="00BD4946">
        <w:t>,</w:t>
      </w:r>
      <w:r w:rsidR="00FD6E0E">
        <w:t xml:space="preserve"> </w:t>
      </w:r>
      <w:r w:rsidR="008F4742">
        <w:t>They</w:t>
      </w:r>
      <w:r w:rsidR="00FD6E0E">
        <w:t xml:space="preserve"> are autonomous agents capable of perceiving, reasoning, planning, and executing multi-step tasks with minimal human intervention</w:t>
      </w:r>
    </w:p>
    <w:p w14:paraId="6FA8D6D6" w14:textId="438023A0" w:rsidR="006F243D" w:rsidRDefault="00000000" w:rsidP="00536720">
      <w:r>
        <w:rPr>
          <w:b/>
          <w:bCs/>
        </w:rPr>
        <w:t xml:space="preserve">Human-in-the-Loop (HITL): </w:t>
      </w:r>
      <w:r>
        <w:t xml:space="preserve">Any architectural arrangement in which at least one human provides input, oversight, annotation, correction, or approval at one or more points in an AI system's decision or learning pipeline </w:t>
      </w:r>
      <w:r w:rsidR="000806F2">
        <w:fldChar w:fldCharType="begin"/>
      </w:r>
      <w:r w:rsidR="000806F2">
        <w:instrText xml:space="preserve"> ADDIN ZOTERO_ITEM CSL_CITATION {"citationID":"kQ1BIBbU","properties":{"formattedCitation":"(Munro, 2021)","plainCitation":"(Munro, 2021)","noteIndex":0},"citationItems":[{"id":2981,"uris":["http://zotero.org/users/6567242/items/R4TPAIQM"],"itemData":{"id":2981,"type":"book","abstract":"Human-in-the-Loop Machine Learning lays out methods for humans and machines to work together effectively. You’ll find best practices on selecting sample data for human feedback, quality control for human annotations, and designing annotation interfaces. You’ll learn to create training data for labeling, object detection, and semantic segmentation, sequence labeling, and more. The book starts with the basics and progresses to advanced techniques like transfer learning and self-supervision within annotation workflows","edition":"1st edition","ISBN":"978-1-61729-674-1","language":"eng","number-of-pages":"1","publisher":"Manning Publications","publisher-place":"Erscheinungsort nicht ermittelbar","source":"K10plus ISBN","title":"Human-in-the-Loop Machine Learning","author":[{"family":"Munro","given":"Rob"}],"contributor":[{"literal":"Safari, an O’Reilly Media Company"}],"issued":{"date-parts":[["2021"]]}}}],"schema":"https://github.com/citation-style-language/schema/raw/master/csl-citation.json"} </w:instrText>
      </w:r>
      <w:r w:rsidR="000806F2">
        <w:fldChar w:fldCharType="separate"/>
      </w:r>
      <w:r w:rsidR="000806F2" w:rsidRPr="000806F2">
        <w:t>(Munro, 2021)</w:t>
      </w:r>
      <w:r w:rsidR="000806F2">
        <w:fldChar w:fldCharType="end"/>
      </w:r>
      <w:r>
        <w:t>.</w:t>
      </w:r>
    </w:p>
    <w:p w14:paraId="3B46C767" w14:textId="1818DF98" w:rsidR="006F243D" w:rsidRDefault="00000000" w:rsidP="00536720">
      <w:r>
        <w:rPr>
          <w:b/>
          <w:bCs/>
        </w:rPr>
        <w:t xml:space="preserve">Meaningful Oversight: </w:t>
      </w:r>
      <w:r>
        <w:t xml:space="preserve">Human involvement that is temporally proximate to consequential decisions, informationally sufficient (the human has access to relevant context), and operationally effective (the human has the authority and capacity to intervene) </w:t>
      </w:r>
      <w:r w:rsidR="000806F2">
        <w:fldChar w:fldCharType="begin"/>
      </w:r>
      <w:r w:rsidR="000806F2">
        <w:instrText xml:space="preserve"> ADDIN ZOTERO_ITEM CSL_CITATION {"citationID":"rOkmCKky","properties":{"formattedCitation":"(Shneiderman, 2022)","plainCitation":"(Shneiderman, 2022)","noteIndex":0},"citationItems":[{"id":2991,"uris":["http://zotero.org/users/6567242/items/UJFJX8ZN"],"itemData":{"id":2991,"type":"book","abstract":"Abstract\n            Researchers, developers, business leaders, policy makers, and others are expanding the technology-centered scope of artificial intelligence (AI) to include human-centered AI (HCAI) ways of thinking. This expansion from an algorithm-focused view to embrace a human-centered perspective can shape the future of technology so as to better serve human needs. Educators, designers, software engineers, product managers, evaluators, and government agency staffers can build on AI-driven technologies to design products and services that make life better for people and enable people to care for each other. Humans have always been tool builders, and now they are supertool builders, whose inventions can improve our health, family life, education, business, the environment, and much more. The remarkable progress in algorithms for machine and deep learning have opened the doors to new opportunities, and some dark possibilities. However, a bright future awaits AI researchers, developers, business leaders, policy makers, and others who build on their working methods by including HCAI strategies of design and testing. This enlarged vision can shape the future of technology so as to better serve human needs. As many technology companies and thought leaders have said, the goal is not to replace people, but to empower them by making design choices that give humans control over technology.","DOI":"10.1093/oso/9780192845290.001.0001","edition":"1","ISBN":"978-0-19-284529-0","language":"en","publisher":"Oxford University PressOxford","source":"DOI.org (Crossref)","title":"Human-Centered AI","URL":"https://academic.oup.com/book/41126","author":[{"family":"Shneiderman","given":"Ben"}],"accessed":{"date-parts":[["2026",3,23]]},"issued":{"date-parts":[["2022",1,13]]}}}],"schema":"https://github.com/citation-style-language/schema/raw/master/csl-citation.json"} </w:instrText>
      </w:r>
      <w:r w:rsidR="000806F2">
        <w:fldChar w:fldCharType="separate"/>
      </w:r>
      <w:r w:rsidR="000806F2" w:rsidRPr="000806F2">
        <w:t>(Shneiderman, 2022)</w:t>
      </w:r>
      <w:r w:rsidR="000806F2">
        <w:fldChar w:fldCharType="end"/>
      </w:r>
      <w:r>
        <w:t>.</w:t>
      </w:r>
    </w:p>
    <w:p w14:paraId="255C9768" w14:textId="5EB35CCF" w:rsidR="006F243D" w:rsidRDefault="00000000" w:rsidP="00536720">
      <w:r>
        <w:rPr>
          <w:b/>
          <w:bCs/>
        </w:rPr>
        <w:t xml:space="preserve">Trust Calibration: </w:t>
      </w:r>
      <w:r>
        <w:t xml:space="preserve">The degree to which an operator's subjective trust in an AI system matches the system's objective reliability across the distribution of tasks it encounters </w:t>
      </w:r>
      <w:r w:rsidR="005A6923">
        <w:fldChar w:fldCharType="begin"/>
      </w:r>
      <w:r w:rsidR="00E07BCF">
        <w:instrText xml:space="preserve"> ADDIN ZOTERO_ITEM CSL_CITATION {"citationID":"WElqfsLQ","properties":{"formattedCitation":"(Lee &amp; See, 2004; Zhang et al., 2020)","plainCitation":"(Lee &amp; See, 2004; Zhang et al., 2020)","noteIndex":0},"citationItems":[{"id":2975,"uris":["http://zotero.org/users/6567242/items/RLIC7JV6"],"itemData":{"id":2975,"type":"article-journal","container-title":"Human Factors: The Journal of the Human Factors and Ergonomics Society","DOI":"10.1518/hfes.46.1.50.30392","ISSN":"1547-8181","issue":"1","journalAbbreviation":"hfes","language":"en","page":"50-80","source":"DOI.org (Crossref)","title":"Trust in Automation: Designing for Appropriate Reliance","title-short":"Trust in Automation","volume":"46","author":[{"family":"Lee","given":"John D."},{"family":"See","given":"Katrina A."}],"issued":{"date-parts":[["2004"]]}}},{"id":3010,"uris":["http://zotero.org/users/6567242/items/CK3V2FNP"],"itemData":{"id":3010,"type":"paper-conference","container-title":"Proceedings of the 2020 Conference on Fairness, Accountability, and Transparency","DOI":"10.1145/3351095.3372852","event-title":"FAT* '20: Conference on Fairness, Accountability, and Transparency","ISBN":"978-1-4503-6936-7","language":"en","page":"295-305","publisher":"ACM","publisher-place":"Barcelona Spain","source":"DOI.org (Crossref)","title":"Effect of confidence and explanation on accuracy and trust calibration in AI-assisted decision making","URL":"https://dl.acm.org/doi/10.1145/3351095.3372852","author":[{"family":"Zhang","given":"Yunfeng"},{"family":"Liao","given":"Q. Vera"},{"family":"Bellamy","given":"Rachel K. E."}],"accessed":{"date-parts":[["2026",3,23]]},"issued":{"date-parts":[["2020",1,27]]}}}],"schema":"https://github.com/citation-style-language/schema/raw/master/csl-citation.json"} </w:instrText>
      </w:r>
      <w:r w:rsidR="005A6923">
        <w:fldChar w:fldCharType="separate"/>
      </w:r>
      <w:r w:rsidR="00E07BCF" w:rsidRPr="00E07BCF">
        <w:t>(Lee &amp; See, 2004; Zhang et al., 2020)</w:t>
      </w:r>
      <w:r w:rsidR="005A6923">
        <w:fldChar w:fldCharType="end"/>
      </w:r>
      <w:r>
        <w:t>.</w:t>
      </w:r>
    </w:p>
    <w:p w14:paraId="6C293437" w14:textId="2D9894ED" w:rsidR="006F243D" w:rsidRDefault="00000000" w:rsidP="00536720">
      <w:r>
        <w:rPr>
          <w:b/>
          <w:bCs/>
        </w:rPr>
        <w:lastRenderedPageBreak/>
        <w:t xml:space="preserve">Oversight Intensity: </w:t>
      </w:r>
      <w:r>
        <w:t>A composite measure reflecting the frequency, depth, and consequentiality of human review interventions within a given human-AI workflow.</w:t>
      </w:r>
    </w:p>
    <w:p w14:paraId="51960577" w14:textId="77777777" w:rsidR="00E6372B" w:rsidRDefault="00E6372B" w:rsidP="00536720"/>
    <w:p w14:paraId="2503C165" w14:textId="77777777" w:rsidR="00A447A0" w:rsidRPr="00A447A0" w:rsidRDefault="00A447A0" w:rsidP="00A447A0">
      <w:pPr>
        <w:pStyle w:val="ListParagraph"/>
        <w:numPr>
          <w:ilvl w:val="0"/>
          <w:numId w:val="5"/>
        </w:numPr>
        <w:spacing w:before="240" w:after="120"/>
        <w:outlineLvl w:val="1"/>
        <w:rPr>
          <w:rFonts w:eastAsia="Arial" w:cs="Arial"/>
          <w:b/>
          <w:bCs/>
          <w:vanish/>
        </w:rPr>
      </w:pPr>
      <w:bookmarkStart w:id="4" w:name="_Toc225135037"/>
    </w:p>
    <w:p w14:paraId="39BAD97B" w14:textId="382F5734" w:rsidR="006F243D" w:rsidRPr="00F72402" w:rsidRDefault="00F6045C" w:rsidP="00F6045C">
      <w:pPr>
        <w:pStyle w:val="Heading1"/>
      </w:pPr>
      <w:r>
        <w:t>MATERIALS AND METHOD</w:t>
      </w:r>
      <w:bookmarkEnd w:id="4"/>
      <w:r>
        <w:t>S</w:t>
      </w:r>
    </w:p>
    <w:p w14:paraId="50361BF3" w14:textId="355271DA" w:rsidR="006F243D" w:rsidRDefault="00000000" w:rsidP="00536720">
      <w:r>
        <w:t>This review followed a systematic protocol aligned with the Preferred Reporting Items for Systematic Reviews and Meta-</w:t>
      </w:r>
      <w:r w:rsidR="00536B84">
        <w:t>Analyze</w:t>
      </w:r>
      <w:r>
        <w:t xml:space="preserve">s (PRISMA 2020) guidelines </w:t>
      </w:r>
      <w:r w:rsidR="00EC6C1E">
        <w:fldChar w:fldCharType="begin"/>
      </w:r>
      <w:r w:rsidR="00EC6C1E">
        <w:instrText xml:space="preserve"> ADDIN ZOTERO_ITEM CSL_CITATION {"citationID":"xEYNs0Tr","properties":{"formattedCitation":"(Page et al., 2021)","plainCitation":"(Page et al., 2021)","noteIndex":0},"citationItems":[{"id":3022,"uris":["http://zotero.org/users/6567242/items/5LNEJT7P"],"itemData":{"id":3022,"type":"article-journal","container-title":"BMJ","DOI":"10.1136/bmj.n71","ISSN":"1756-1833","journalAbbreviation":"BMJ","language":"en","page":"n71","source":"DOI.org (Crossref)","title":"The PRISMA 2020 statement: an updated guideline for reporting systematic reviews","title-short":"The PRISMA 2020 statement","author":[{"family":"Page","given":"Matthew J"},{"family":"McKenzie","given":"Joanne E"},{"family":"Bossuyt","given":"Patrick M"},{"family":"Boutron","given":"Isabelle"},{"family":"Hoffmann","given":"Tammy C"},{"family":"Mulrow","given":"Cynthia D"},{"family":"Shamseer","given":"Larissa"},{"family":"Tetzlaff","given":"Jennifer M"},{"family":"Akl","given":"Elie A"},{"family":"Brennan","given":"Sue E"},{"family":"Chou","given":"Roger"},{"family":"Glanville","given":"Julie"},{"family":"Grimshaw","given":"Jeremy M"},{"family":"Hróbjartsson","given":"Asbjørn"},{"family":"Lalu","given":"Manoj M"},{"family":"Li","given":"Tianjing"},{"family":"Loder","given":"Elizabeth W"},{"family":"Mayo-Wilson","given":"Evan"},{"family":"McDonald","given":"Steve"},{"family":"McGuinness","given":"Luke A"},{"family":"Stewart","given":"Lesley A"},{"family":"Thomas","given":"James"},{"family":"Tricco","given":"Andrea C"},{"family":"Welch","given":"Vivian A"},{"family":"Whiting","given":"Penny"},{"family":"Moher","given":"David"}],"issued":{"date-parts":[["2021",3,29]]}}}],"schema":"https://github.com/citation-style-language/schema/raw/master/csl-citation.json"} </w:instrText>
      </w:r>
      <w:r w:rsidR="00EC6C1E">
        <w:fldChar w:fldCharType="separate"/>
      </w:r>
      <w:r w:rsidR="00EC6C1E" w:rsidRPr="00EC6C1E">
        <w:t>(Page et al., 2021)</w:t>
      </w:r>
      <w:r w:rsidR="00EC6C1E">
        <w:fldChar w:fldCharType="end"/>
      </w:r>
      <w:r>
        <w:t xml:space="preserve">. The protocol was registered </w:t>
      </w:r>
      <w:r w:rsidR="00593097">
        <w:t>before</w:t>
      </w:r>
      <w:r>
        <w:t xml:space="preserve"> data extraction to minimi</w:t>
      </w:r>
      <w:r w:rsidR="00EC6C1E">
        <w:t>z</w:t>
      </w:r>
      <w:r>
        <w:t>e confirmatory bias.</w:t>
      </w:r>
    </w:p>
    <w:p w14:paraId="46DB1211" w14:textId="62C49B26" w:rsidR="006F243D" w:rsidRPr="00D914D9" w:rsidRDefault="00000000" w:rsidP="00D914D9">
      <w:pPr>
        <w:pStyle w:val="Heading2"/>
      </w:pPr>
      <w:bookmarkStart w:id="5" w:name="_Toc225135038"/>
      <w:r w:rsidRPr="00E4074A">
        <w:t>Search Strategy</w:t>
      </w:r>
      <w:bookmarkEnd w:id="5"/>
    </w:p>
    <w:p w14:paraId="5D50F961" w14:textId="177F43ED" w:rsidR="006F243D" w:rsidRDefault="00184606" w:rsidP="00536720">
      <w:r>
        <w:t>The study conducted searches across five electronic databases: ACM Digital Library, IEEE Xplore, Scopus, Web of Science, and arXiv (filtered to cs.AI, cs.HC, and cs.LG categories). Search strings combined Boolean operators across three conceptual clusters: (</w:t>
      </w:r>
      <w:r w:rsidR="003B44F8">
        <w:t>i</w:t>
      </w:r>
      <w:r>
        <w:t>) AI agency and autonomy terms ["agentic AI" OR "autonomous agent" OR "large language model agent" OR "AI pipeline" OR "multi-step AI"]; (</w:t>
      </w:r>
      <w:r w:rsidR="003B44F8">
        <w:t>ii</w:t>
      </w:r>
      <w:r>
        <w:t>) human oversight terms ["human-in-the-loop" OR "human oversight" OR "human control" OR "supervisory control" OR "meaningful human control"]; and (</w:t>
      </w:r>
      <w:r w:rsidR="003B44F8">
        <w:t>iii</w:t>
      </w:r>
      <w:r>
        <w:t>) trust and calibration terms ["trust calibration" OR "automation bias" OR "algorithm aversion" OR "algorithm appreciation" OR "appropriate reliance"]. Citation chaining was performed on the 50 most-cited papers within the final corpus.</w:t>
      </w:r>
    </w:p>
    <w:p w14:paraId="067BEAF7" w14:textId="0FBBE73A" w:rsidR="006F243D" w:rsidRPr="00D914D9" w:rsidRDefault="00000000" w:rsidP="00D914D9">
      <w:pPr>
        <w:pStyle w:val="Heading2"/>
      </w:pPr>
      <w:bookmarkStart w:id="6" w:name="_Toc225135039"/>
      <w:r w:rsidRPr="00E4074A">
        <w:t>Inclusion and Exclusion Criteria</w:t>
      </w:r>
      <w:bookmarkEnd w:id="6"/>
    </w:p>
    <w:p w14:paraId="36A25F0F" w14:textId="7AD30CA6" w:rsidR="00445870" w:rsidRPr="00E4074A" w:rsidRDefault="00445870" w:rsidP="00445870">
      <w:r>
        <w:t>The inclusion and exclusion criteria for the literature review are summarized in Table 1.</w:t>
      </w:r>
    </w:p>
    <w:p w14:paraId="5262F1B9" w14:textId="4C2539FD" w:rsidR="006D72EE" w:rsidRPr="006D72EE" w:rsidRDefault="006D72EE" w:rsidP="00057EE4">
      <w:pPr>
        <w:pStyle w:val="Cap"/>
      </w:pPr>
      <w:r w:rsidRPr="006D72EE">
        <w:t xml:space="preserve">Table </w:t>
      </w:r>
      <w:fldSimple w:instr=" SEQ Table \* ARABIC ">
        <w:r w:rsidR="00AF5F2C">
          <w:rPr>
            <w:noProof/>
          </w:rPr>
          <w:t>1</w:t>
        </w:r>
      </w:fldSimple>
    </w:p>
    <w:p w14:paraId="03D43507" w14:textId="77777777" w:rsidR="006F243D" w:rsidRPr="008566C4" w:rsidRDefault="00000000" w:rsidP="0023391B">
      <w:pPr>
        <w:rPr>
          <w:i/>
          <w:iCs/>
        </w:rPr>
      </w:pPr>
      <w:r w:rsidRPr="008566C4">
        <w:rPr>
          <w:i/>
          <w:iCs/>
          <w:szCs w:val="22"/>
        </w:rPr>
        <w:t>Inclusion and Exclusion Criteria for Systematic Literature Review</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6" w:type="dxa"/>
          <w:bottom w:w="36" w:type="dxa"/>
        </w:tblCellMar>
        <w:tblLook w:val="0000" w:firstRow="0" w:lastRow="0" w:firstColumn="0" w:lastColumn="0" w:noHBand="0" w:noVBand="0"/>
      </w:tblPr>
      <w:tblGrid>
        <w:gridCol w:w="2515"/>
        <w:gridCol w:w="6845"/>
      </w:tblGrid>
      <w:tr w:rsidR="00F12ED1" w:rsidRPr="00F12ED1" w14:paraId="06F38C06" w14:textId="77777777" w:rsidTr="000B2919">
        <w:trPr>
          <w:tblHeader/>
        </w:trPr>
        <w:tc>
          <w:tcPr>
            <w:tcW w:w="2515" w:type="dxa"/>
            <w:tcBorders>
              <w:top w:val="single" w:sz="8" w:space="0" w:color="auto"/>
              <w:bottom w:val="single" w:sz="8" w:space="0" w:color="auto"/>
            </w:tcBorders>
          </w:tcPr>
          <w:p w14:paraId="7F030716" w14:textId="77777777" w:rsidR="006F243D" w:rsidRPr="00A3267C" w:rsidRDefault="00000000" w:rsidP="00F12ED1">
            <w:pPr>
              <w:pStyle w:val="TableNormal0"/>
              <w:rPr>
                <w:b/>
                <w:bCs/>
              </w:rPr>
            </w:pPr>
            <w:r w:rsidRPr="00A3267C">
              <w:rPr>
                <w:b/>
                <w:bCs/>
              </w:rPr>
              <w:t>Criterion</w:t>
            </w:r>
          </w:p>
        </w:tc>
        <w:tc>
          <w:tcPr>
            <w:tcW w:w="6845" w:type="dxa"/>
            <w:tcBorders>
              <w:top w:val="single" w:sz="8" w:space="0" w:color="auto"/>
              <w:bottom w:val="single" w:sz="8" w:space="0" w:color="auto"/>
            </w:tcBorders>
          </w:tcPr>
          <w:p w14:paraId="3233C404" w14:textId="77777777" w:rsidR="006F243D" w:rsidRPr="00A3267C" w:rsidRDefault="00000000" w:rsidP="00F12ED1">
            <w:pPr>
              <w:pStyle w:val="TableNormal0"/>
              <w:rPr>
                <w:b/>
                <w:bCs/>
              </w:rPr>
            </w:pPr>
            <w:r w:rsidRPr="00A3267C">
              <w:rPr>
                <w:b/>
                <w:bCs/>
              </w:rPr>
              <w:t>Specification</w:t>
            </w:r>
          </w:p>
        </w:tc>
      </w:tr>
      <w:tr w:rsidR="00C47C90" w:rsidRPr="00F12ED1" w14:paraId="38EEA422" w14:textId="77777777" w:rsidTr="0093612A">
        <w:tc>
          <w:tcPr>
            <w:tcW w:w="9360" w:type="dxa"/>
            <w:gridSpan w:val="2"/>
            <w:tcBorders>
              <w:top w:val="single" w:sz="8" w:space="0" w:color="auto"/>
            </w:tcBorders>
          </w:tcPr>
          <w:p w14:paraId="44E5A4C3" w14:textId="5624FE2F" w:rsidR="00C47C90" w:rsidRPr="00C47C90" w:rsidRDefault="00C47C90" w:rsidP="00DB776F">
            <w:pPr>
              <w:pStyle w:val="TableNormal0"/>
              <w:jc w:val="center"/>
              <w:rPr>
                <w:b/>
                <w:bCs/>
              </w:rPr>
            </w:pPr>
            <w:r w:rsidRPr="00C47C90">
              <w:rPr>
                <w:b/>
                <w:bCs/>
              </w:rPr>
              <w:t>INCLUSION</w:t>
            </w:r>
          </w:p>
        </w:tc>
      </w:tr>
      <w:tr w:rsidR="00F12ED1" w:rsidRPr="00F12ED1" w14:paraId="0A5BC77F" w14:textId="77777777" w:rsidTr="0093612A">
        <w:tc>
          <w:tcPr>
            <w:tcW w:w="2515" w:type="dxa"/>
          </w:tcPr>
          <w:p w14:paraId="09F10E43" w14:textId="77777777" w:rsidR="006F243D" w:rsidRPr="00DB776F" w:rsidRDefault="00000000" w:rsidP="00F12ED1">
            <w:pPr>
              <w:pStyle w:val="TableNormal0"/>
            </w:pPr>
            <w:r w:rsidRPr="00DB776F">
              <w:t>Publication years</w:t>
            </w:r>
          </w:p>
        </w:tc>
        <w:tc>
          <w:tcPr>
            <w:tcW w:w="6845" w:type="dxa"/>
          </w:tcPr>
          <w:p w14:paraId="7FBCD59C" w14:textId="77777777" w:rsidR="006F243D" w:rsidRPr="00A3267C" w:rsidRDefault="00000000" w:rsidP="00F12ED1">
            <w:pPr>
              <w:pStyle w:val="TableNormal0"/>
            </w:pPr>
            <w:r w:rsidRPr="00A3267C">
              <w:t>2020–2026 (inclusive)</w:t>
            </w:r>
          </w:p>
        </w:tc>
      </w:tr>
      <w:tr w:rsidR="00F12ED1" w:rsidRPr="00F12ED1" w14:paraId="58F7581D" w14:textId="77777777" w:rsidTr="0093612A">
        <w:tc>
          <w:tcPr>
            <w:tcW w:w="2515" w:type="dxa"/>
          </w:tcPr>
          <w:p w14:paraId="7E01167E" w14:textId="77777777" w:rsidR="006F243D" w:rsidRPr="00F12ED1" w:rsidRDefault="00000000" w:rsidP="00F12ED1">
            <w:pPr>
              <w:pStyle w:val="TableNormal0"/>
            </w:pPr>
            <w:r w:rsidRPr="00F12ED1">
              <w:t>Document types</w:t>
            </w:r>
          </w:p>
        </w:tc>
        <w:tc>
          <w:tcPr>
            <w:tcW w:w="6845" w:type="dxa"/>
          </w:tcPr>
          <w:p w14:paraId="0AC8EB4B" w14:textId="3F9E98CF" w:rsidR="006F243D" w:rsidRPr="00F12ED1" w:rsidRDefault="00000000" w:rsidP="00F12ED1">
            <w:pPr>
              <w:pStyle w:val="TableNormal0"/>
            </w:pPr>
            <w:r w:rsidRPr="00F12ED1">
              <w:t>Peer-reviewed journal articles, conference proceedings (ACM, IEEE, AAAI, NeurIPS, ICLR, ICML, CHI, CSCW, FAccT), systematic reviews, meta-</w:t>
            </w:r>
            <w:r w:rsidR="00536B84">
              <w:t>analyze</w:t>
            </w:r>
            <w:r w:rsidRPr="00F12ED1">
              <w:t xml:space="preserve">s, </w:t>
            </w:r>
            <w:r w:rsidR="00593097">
              <w:t xml:space="preserve">and </w:t>
            </w:r>
            <w:r w:rsidRPr="00F12ED1">
              <w:t>book chapters from academic presses</w:t>
            </w:r>
            <w:r w:rsidR="0019567B">
              <w:t>.</w:t>
            </w:r>
          </w:p>
        </w:tc>
      </w:tr>
      <w:tr w:rsidR="00F12ED1" w:rsidRPr="00F12ED1" w14:paraId="1C2868ED" w14:textId="77777777" w:rsidTr="0093612A">
        <w:tc>
          <w:tcPr>
            <w:tcW w:w="2515" w:type="dxa"/>
          </w:tcPr>
          <w:p w14:paraId="23FC2F65" w14:textId="77777777" w:rsidR="006F243D" w:rsidRPr="00F12ED1" w:rsidRDefault="00000000" w:rsidP="00F12ED1">
            <w:pPr>
              <w:pStyle w:val="TableNormal0"/>
            </w:pPr>
            <w:r w:rsidRPr="00F12ED1">
              <w:t>Language</w:t>
            </w:r>
          </w:p>
        </w:tc>
        <w:tc>
          <w:tcPr>
            <w:tcW w:w="6845" w:type="dxa"/>
          </w:tcPr>
          <w:p w14:paraId="1CB30DE2" w14:textId="77777777" w:rsidR="006F243D" w:rsidRPr="00F12ED1" w:rsidRDefault="00000000" w:rsidP="00F12ED1">
            <w:pPr>
              <w:pStyle w:val="TableNormal0"/>
            </w:pPr>
            <w:r w:rsidRPr="00F12ED1">
              <w:t>English-language full texts</w:t>
            </w:r>
          </w:p>
        </w:tc>
      </w:tr>
      <w:tr w:rsidR="00F12ED1" w:rsidRPr="00F12ED1" w14:paraId="7CF1329C" w14:textId="77777777" w:rsidTr="0093612A">
        <w:tc>
          <w:tcPr>
            <w:tcW w:w="2515" w:type="dxa"/>
          </w:tcPr>
          <w:p w14:paraId="554E0D0F" w14:textId="77777777" w:rsidR="006F243D" w:rsidRPr="00F12ED1" w:rsidRDefault="00000000" w:rsidP="00F12ED1">
            <w:pPr>
              <w:pStyle w:val="TableNormal0"/>
            </w:pPr>
            <w:r w:rsidRPr="00F12ED1">
              <w:t>Topic</w:t>
            </w:r>
          </w:p>
        </w:tc>
        <w:tc>
          <w:tcPr>
            <w:tcW w:w="6845" w:type="dxa"/>
          </w:tcPr>
          <w:p w14:paraId="2E57E4CC" w14:textId="7D0944E4" w:rsidR="006F243D" w:rsidRPr="00F12ED1" w:rsidRDefault="00000000" w:rsidP="00F12ED1">
            <w:pPr>
              <w:pStyle w:val="TableNormal0"/>
            </w:pPr>
            <w:r w:rsidRPr="00F12ED1">
              <w:t>Human-in-the-loop AI, human oversight of autonomous systems, trust calibration in AI-assisted decision-making, agentic AI, AI governance frameworks</w:t>
            </w:r>
            <w:r w:rsidR="00AC1515">
              <w:t>.</w:t>
            </w:r>
          </w:p>
        </w:tc>
      </w:tr>
      <w:tr w:rsidR="00F12ED1" w:rsidRPr="00F12ED1" w14:paraId="0F128F42" w14:textId="77777777" w:rsidTr="0093612A">
        <w:tc>
          <w:tcPr>
            <w:tcW w:w="2515" w:type="dxa"/>
          </w:tcPr>
          <w:p w14:paraId="4C2F75F8" w14:textId="77777777" w:rsidR="006F243D" w:rsidRPr="00F12ED1" w:rsidRDefault="00000000" w:rsidP="00F12ED1">
            <w:pPr>
              <w:pStyle w:val="TableNormal0"/>
            </w:pPr>
            <w:r w:rsidRPr="00F12ED1">
              <w:t>Methodology</w:t>
            </w:r>
          </w:p>
        </w:tc>
        <w:tc>
          <w:tcPr>
            <w:tcW w:w="6845" w:type="dxa"/>
          </w:tcPr>
          <w:p w14:paraId="53CD8921" w14:textId="7034B7FF" w:rsidR="006F243D" w:rsidRPr="00F12ED1" w:rsidRDefault="00000000" w:rsidP="00F12ED1">
            <w:pPr>
              <w:pStyle w:val="TableNormal0"/>
            </w:pPr>
            <w:r w:rsidRPr="00F12ED1">
              <w:t xml:space="preserve">Empirical (quantitative, qualitative, mixed methods), theoretical/conceptual frameworks with formal propositions, </w:t>
            </w:r>
            <w:r w:rsidR="00593097">
              <w:t xml:space="preserve">and </w:t>
            </w:r>
            <w:r w:rsidRPr="00F12ED1">
              <w:t>review papers</w:t>
            </w:r>
            <w:r w:rsidR="00AC3466">
              <w:t>.</w:t>
            </w:r>
          </w:p>
        </w:tc>
      </w:tr>
      <w:tr w:rsidR="00896CCE" w:rsidRPr="00F12ED1" w14:paraId="002E95CA" w14:textId="77777777" w:rsidTr="0093612A">
        <w:tc>
          <w:tcPr>
            <w:tcW w:w="9360" w:type="dxa"/>
            <w:gridSpan w:val="2"/>
          </w:tcPr>
          <w:p w14:paraId="048F153E" w14:textId="4021DCAA" w:rsidR="00896CCE" w:rsidRPr="00F12ED1" w:rsidRDefault="00896CCE" w:rsidP="00896CCE">
            <w:pPr>
              <w:pStyle w:val="TableNormal0"/>
              <w:jc w:val="center"/>
            </w:pPr>
            <w:r w:rsidRPr="00C47C90">
              <w:rPr>
                <w:b/>
                <w:bCs/>
              </w:rPr>
              <w:t>EXCLUSION</w:t>
            </w:r>
          </w:p>
        </w:tc>
      </w:tr>
      <w:tr w:rsidR="00F12ED1" w:rsidRPr="00F12ED1" w14:paraId="479C3C3C" w14:textId="77777777" w:rsidTr="0093612A">
        <w:tc>
          <w:tcPr>
            <w:tcW w:w="2515" w:type="dxa"/>
          </w:tcPr>
          <w:p w14:paraId="2C291B7C" w14:textId="77777777" w:rsidR="006F243D" w:rsidRPr="00F12ED1" w:rsidRDefault="00000000" w:rsidP="00F12ED1">
            <w:pPr>
              <w:pStyle w:val="TableNormal0"/>
            </w:pPr>
            <w:r w:rsidRPr="00F12ED1">
              <w:t>Out-of-scope</w:t>
            </w:r>
          </w:p>
        </w:tc>
        <w:tc>
          <w:tcPr>
            <w:tcW w:w="6845" w:type="dxa"/>
          </w:tcPr>
          <w:p w14:paraId="40102D07" w14:textId="3C00A002" w:rsidR="006F243D" w:rsidRPr="00F12ED1" w:rsidRDefault="00000000" w:rsidP="00F12ED1">
            <w:pPr>
              <w:pStyle w:val="TableNormal0"/>
            </w:pPr>
            <w:r w:rsidRPr="00F12ED1">
              <w:t xml:space="preserve">Pure </w:t>
            </w:r>
            <w:r w:rsidR="00967F4D">
              <w:t>Machine Learning (</w:t>
            </w:r>
            <w:r w:rsidRPr="00F12ED1">
              <w:t>ML</w:t>
            </w:r>
            <w:r w:rsidR="00967F4D">
              <w:t>)</w:t>
            </w:r>
            <w:r w:rsidRPr="00F12ED1">
              <w:t xml:space="preserve"> optimization papers with no human interaction component; purely technical robotics papers without human-oversight analysis</w:t>
            </w:r>
            <w:r w:rsidR="00C139E1">
              <w:t>.</w:t>
            </w:r>
          </w:p>
        </w:tc>
      </w:tr>
      <w:tr w:rsidR="00F12ED1" w:rsidRPr="00F12ED1" w14:paraId="18FFE000" w14:textId="77777777" w:rsidTr="0093612A">
        <w:tc>
          <w:tcPr>
            <w:tcW w:w="2515" w:type="dxa"/>
          </w:tcPr>
          <w:p w14:paraId="4FBFA9B4" w14:textId="77777777" w:rsidR="006F243D" w:rsidRPr="00F12ED1" w:rsidRDefault="00000000" w:rsidP="00F12ED1">
            <w:pPr>
              <w:pStyle w:val="TableNormal0"/>
            </w:pPr>
            <w:r w:rsidRPr="00F12ED1">
              <w:t>Grey literature</w:t>
            </w:r>
          </w:p>
        </w:tc>
        <w:tc>
          <w:tcPr>
            <w:tcW w:w="6845" w:type="dxa"/>
          </w:tcPr>
          <w:p w14:paraId="06DE4B6A" w14:textId="77777777" w:rsidR="006F243D" w:rsidRPr="00F12ED1" w:rsidRDefault="00000000" w:rsidP="00F12ED1">
            <w:pPr>
              <w:pStyle w:val="TableNormal0"/>
            </w:pPr>
            <w:r w:rsidRPr="00F12ED1">
              <w:t>Blog posts, news articles, white papers without formal methodology (except industry technical reports from NIST, EU AI Office, IEEE Standards)</w:t>
            </w:r>
          </w:p>
        </w:tc>
      </w:tr>
      <w:tr w:rsidR="00F12ED1" w:rsidRPr="00F12ED1" w14:paraId="72175253" w14:textId="77777777" w:rsidTr="0093612A">
        <w:tc>
          <w:tcPr>
            <w:tcW w:w="2515" w:type="dxa"/>
            <w:tcBorders>
              <w:bottom w:val="single" w:sz="8" w:space="0" w:color="auto"/>
            </w:tcBorders>
          </w:tcPr>
          <w:p w14:paraId="2B412636" w14:textId="77777777" w:rsidR="006F243D" w:rsidRPr="00F12ED1" w:rsidRDefault="00000000" w:rsidP="00F12ED1">
            <w:pPr>
              <w:pStyle w:val="TableNormal0"/>
            </w:pPr>
            <w:r w:rsidRPr="00F12ED1">
              <w:t>Preprints</w:t>
            </w:r>
          </w:p>
        </w:tc>
        <w:tc>
          <w:tcPr>
            <w:tcW w:w="6845" w:type="dxa"/>
            <w:tcBorders>
              <w:bottom w:val="single" w:sz="8" w:space="0" w:color="auto"/>
            </w:tcBorders>
          </w:tcPr>
          <w:p w14:paraId="7D63A0A8" w14:textId="77777777" w:rsidR="006F243D" w:rsidRPr="00F12ED1" w:rsidRDefault="00000000" w:rsidP="00F12ED1">
            <w:pPr>
              <w:pStyle w:val="TableNormal0"/>
            </w:pPr>
            <w:r w:rsidRPr="00F12ED1">
              <w:t>Included only if subsequently published or cited &gt;25 times (Google Scholar) as of January 2026</w:t>
            </w:r>
          </w:p>
        </w:tc>
      </w:tr>
    </w:tbl>
    <w:p w14:paraId="34A07D7F" w14:textId="37EFB2A4" w:rsidR="006F243D" w:rsidRPr="00D914D9" w:rsidRDefault="00000000" w:rsidP="00D914D9">
      <w:pPr>
        <w:pStyle w:val="Heading2"/>
      </w:pPr>
      <w:bookmarkStart w:id="7" w:name="_Toc225135040"/>
      <w:r w:rsidRPr="00E4074A">
        <w:t>Screening and Selection</w:t>
      </w:r>
      <w:bookmarkEnd w:id="7"/>
    </w:p>
    <w:p w14:paraId="0BFB3553" w14:textId="63BB3AEA" w:rsidR="006F243D" w:rsidRDefault="00000000" w:rsidP="00536720">
      <w:r>
        <w:t xml:space="preserve">Initial title and abstract screening </w:t>
      </w:r>
      <w:r w:rsidR="00334B81">
        <w:t>were</w:t>
      </w:r>
      <w:r>
        <w:t xml:space="preserve"> performed by two independent reviewers using the Rayyan systematic review platform, with disagreements resolved by a third reviewer. Full-text review applied the criteria in Table 1. Inter-rater reliability for full-text inclusion decisions yielded Cohen's kappa = .81, indicating strong agreement. Figure 1 presents the PRISMA flow diagram.</w:t>
      </w:r>
    </w:p>
    <w:p w14:paraId="7CDE61A8" w14:textId="72481B75" w:rsidR="00376DE1" w:rsidRDefault="00376DE1" w:rsidP="00376DE1">
      <w:pPr>
        <w:pStyle w:val="Cap"/>
      </w:pPr>
      <w:r>
        <w:lastRenderedPageBreak/>
        <w:t xml:space="preserve">Figure </w:t>
      </w:r>
      <w:fldSimple w:instr=" SEQ Figure \* ARABIC ">
        <w:r w:rsidR="00AF5F2C">
          <w:rPr>
            <w:noProof/>
          </w:rPr>
          <w:t>1</w:t>
        </w:r>
      </w:fldSimple>
    </w:p>
    <w:p w14:paraId="198572C4" w14:textId="77777777" w:rsidR="006F243D" w:rsidRDefault="00000000" w:rsidP="00CE5FE7">
      <w:pPr>
        <w:rPr>
          <w:i/>
          <w:iCs/>
        </w:rPr>
      </w:pPr>
      <w:r w:rsidRPr="00CE5FE7">
        <w:rPr>
          <w:i/>
          <w:iCs/>
        </w:rPr>
        <w:t>PRISMA flow diagram showing record identification, screening, eligibility assessment, and inclusion.</w:t>
      </w:r>
    </w:p>
    <w:p w14:paraId="065F6CD6" w14:textId="7530E047" w:rsidR="00E712EC" w:rsidRPr="00CE5FE7" w:rsidRDefault="00E712EC" w:rsidP="00E712EC">
      <w:r w:rsidRPr="00E712EC">
        <w:rPr>
          <w:noProof/>
        </w:rPr>
        <w:drawing>
          <wp:inline distT="0" distB="0" distL="0" distR="0" wp14:anchorId="74A35877" wp14:editId="5A648832">
            <wp:extent cx="6073726" cy="334107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273" b="6977"/>
                    <a:stretch/>
                  </pic:blipFill>
                  <pic:spPr bwMode="auto">
                    <a:xfrm>
                      <a:off x="0" y="0"/>
                      <a:ext cx="6073726" cy="3341077"/>
                    </a:xfrm>
                    <a:prstGeom prst="rect">
                      <a:avLst/>
                    </a:prstGeom>
                    <a:noFill/>
                    <a:ln>
                      <a:noFill/>
                    </a:ln>
                    <a:extLst>
                      <a:ext uri="{53640926-AAD7-44D8-BBD7-CCE9431645EC}">
                        <a14:shadowObscured xmlns:a14="http://schemas.microsoft.com/office/drawing/2010/main"/>
                      </a:ext>
                    </a:extLst>
                  </pic:spPr>
                </pic:pic>
              </a:graphicData>
            </a:graphic>
          </wp:inline>
        </w:drawing>
      </w:r>
    </w:p>
    <w:p w14:paraId="25FB15BB" w14:textId="7DEBC530" w:rsidR="006F243D" w:rsidRPr="00E4074A" w:rsidRDefault="00000000" w:rsidP="00D914D9">
      <w:pPr>
        <w:pStyle w:val="Heading2"/>
      </w:pPr>
      <w:bookmarkStart w:id="8" w:name="_Toc225135041"/>
      <w:r w:rsidRPr="00E4074A">
        <w:t xml:space="preserve">Data </w:t>
      </w:r>
      <w:r w:rsidRPr="00D914D9">
        <w:t>Extraction</w:t>
      </w:r>
      <w:r w:rsidRPr="00E4074A">
        <w:t xml:space="preserve"> and Synthesis</w:t>
      </w:r>
      <w:bookmarkEnd w:id="8"/>
    </w:p>
    <w:p w14:paraId="2C7D7888" w14:textId="7F3A18F0" w:rsidR="006F243D" w:rsidRDefault="00000000" w:rsidP="0064456D">
      <w:pPr>
        <w:spacing w:after="0"/>
      </w:pPr>
      <w:r>
        <w:t>For each included study, citation information</w:t>
      </w:r>
      <w:r w:rsidR="00BB067B">
        <w:t xml:space="preserve">, </w:t>
      </w:r>
      <w:r>
        <w:t>study design and methodology</w:t>
      </w:r>
      <w:r w:rsidR="00BB067B">
        <w:t>,</w:t>
      </w:r>
      <w:r>
        <w:t xml:space="preserve"> sector or domain</w:t>
      </w:r>
      <w:r w:rsidR="00BB067B">
        <w:t>,</w:t>
      </w:r>
      <w:r>
        <w:t xml:space="preserve"> HITL framework referenced or proposed</w:t>
      </w:r>
      <w:r w:rsidR="00641DFC">
        <w:t>,</w:t>
      </w:r>
      <w:r>
        <w:t xml:space="preserve"> oversight mechanisms described</w:t>
      </w:r>
      <w:r w:rsidR="00641DFC">
        <w:t>,</w:t>
      </w:r>
      <w:r>
        <w:t xml:space="preserve"> trust-related constructs measured or theori</w:t>
      </w:r>
      <w:r w:rsidR="00641DFC">
        <w:t>z</w:t>
      </w:r>
      <w:r>
        <w:t>ed</w:t>
      </w:r>
      <w:r w:rsidR="00641DFC">
        <w:t>,</w:t>
      </w:r>
      <w:r>
        <w:t xml:space="preserve"> and key findings relevant to the review objectives</w:t>
      </w:r>
      <w:r w:rsidR="00641DFC">
        <w:t xml:space="preserve"> were extracted</w:t>
      </w:r>
      <w:r>
        <w:t xml:space="preserve">. A thematic synthesis approach </w:t>
      </w:r>
      <w:r w:rsidR="00033139">
        <w:fldChar w:fldCharType="begin"/>
      </w:r>
      <w:r w:rsidR="00033139">
        <w:instrText xml:space="preserve"> ADDIN ZOTERO_ITEM CSL_CITATION {"citationID":"fUfO9ji9","properties":{"formattedCitation":"(Thomas &amp; Harden, 2008)","plainCitation":"(Thomas &amp; Harden, 2008)","noteIndex":0},"citationItems":[{"id":3024,"uris":["http://zotero.org/users/6567242/items/NDJW2X2P"],"itemData":{"id":3024,"type":"article-journal","container-title":"BMC Medical Research Methodology","DOI":"10.1186/1471-2288-8-45","ISSN":"1471-2288","issue":"1","journalAbbreviation":"BMC Med Res Methodol","language":"en","license":"http://creativecommons.org/licenses/by/2.0","page":"45","source":"DOI.org (Crossref)","title":"Methods for the thematic synthesis of qualitative research in systematic reviews","volume":"8","author":[{"family":"Thomas","given":"James"},{"family":"Harden","given":"Angela"}],"issued":{"date-parts":[["2008",12]]}}}],"schema":"https://github.com/citation-style-language/schema/raw/master/csl-citation.json"} </w:instrText>
      </w:r>
      <w:r w:rsidR="00033139">
        <w:fldChar w:fldCharType="separate"/>
      </w:r>
      <w:r w:rsidR="00033139" w:rsidRPr="00033139">
        <w:t>(Thomas &amp; Harden, 2008)</w:t>
      </w:r>
      <w:r w:rsidR="00033139">
        <w:fldChar w:fldCharType="end"/>
      </w:r>
      <w:r>
        <w:t xml:space="preserve"> was used to identify recurring patterns across studies, supported by constant comparative analysis. Network meta-analysis was not conducted due to the conceptual heterogeneity of outcome measures across studies</w:t>
      </w:r>
      <w:r w:rsidR="00D47FBF">
        <w:t xml:space="preserve">. This is </w:t>
      </w:r>
      <w:r w:rsidR="00D47FBF" w:rsidRPr="00D47FBF">
        <w:t xml:space="preserve">a methodological decision consistent with </w:t>
      </w:r>
      <w:r w:rsidR="00847EE6">
        <w:fldChar w:fldCharType="begin"/>
      </w:r>
      <w:r w:rsidR="0016602E">
        <w:instrText xml:space="preserve"> ADDIN ZOTERO_ITEM CSL_CITATION {"citationID":"w3tHCy7B","properties":{"formattedCitation":"(Thomas &amp; Harden, 2008)","plainCitation":"(Thomas &amp; Harden, 2008)","dontUpdate":true,"noteIndex":0},"citationItems":[{"id":3024,"uris":["http://zotero.org/users/6567242/items/NDJW2X2P"],"itemData":{"id":3024,"type":"article-journal","container-title":"BMC Medical Research Methodology","DOI":"10.1186/1471-2288-8-45","ISSN":"1471-2288","issue":"1","journalAbbreviation":"BMC Med Res Methodol","language":"en","license":"http://creativecommons.org/licenses/by/2.0","page":"45","source":"DOI.org (Crossref)","title":"Methods for the thematic synthesis of qualitative research in systematic reviews","volume":"8","author":[{"family":"Thomas","given":"James"},{"family":"Harden","given":"Angela"}],"issued":{"date-parts":[["2008",12]]}}}],"schema":"https://github.com/citation-style-language/schema/raw/master/csl-citation.json"} </w:instrText>
      </w:r>
      <w:r w:rsidR="00847EE6">
        <w:fldChar w:fldCharType="separate"/>
      </w:r>
      <w:r w:rsidR="00847EE6" w:rsidRPr="00847EE6">
        <w:t xml:space="preserve">Thomas &amp; Harden </w:t>
      </w:r>
      <w:r w:rsidR="00847EE6">
        <w:t>(</w:t>
      </w:r>
      <w:r w:rsidR="00847EE6" w:rsidRPr="00847EE6">
        <w:t>2008)</w:t>
      </w:r>
      <w:r w:rsidR="00847EE6">
        <w:fldChar w:fldCharType="end"/>
      </w:r>
      <w:r w:rsidR="00D47FBF" w:rsidRPr="00D47FBF">
        <w:t xml:space="preserve"> guidance that thematic synthesis is appropriate when quantitative pooling is not feasible because studies measure incommensurable outcomes</w:t>
      </w:r>
      <w:r>
        <w:t>.</w:t>
      </w:r>
      <w:r w:rsidR="00F93836">
        <w:t xml:space="preserve"> </w:t>
      </w:r>
      <w:r w:rsidR="00F93836" w:rsidRPr="00F93836">
        <w:t xml:space="preserve">Data extraction and synthesis proceeded in five sequential but iteratively revisited phases: structured extraction, open coding, theme development, constant comparative analysis, and conceptual synthesis. </w:t>
      </w:r>
      <w:r w:rsidR="000B09B0" w:rsidRPr="000B09B0">
        <w:t xml:space="preserve">Figure </w:t>
      </w:r>
      <w:r w:rsidR="00490B80">
        <w:t>2</w:t>
      </w:r>
      <w:r w:rsidR="000B09B0" w:rsidRPr="000B09B0">
        <w:t xml:space="preserve"> illustrates the complete data extraction and thematic synthesis pipeline, including inputs, outputs, and quality-assurance mechanisms applied at each phase.</w:t>
      </w:r>
    </w:p>
    <w:p w14:paraId="238C3A9A" w14:textId="56BFEE64" w:rsidR="00A062F6" w:rsidRDefault="00A062F6" w:rsidP="00A062F6">
      <w:pPr>
        <w:pStyle w:val="Cap"/>
      </w:pPr>
      <w:r>
        <w:t xml:space="preserve">Figure </w:t>
      </w:r>
      <w:fldSimple w:instr=" SEQ Figure \* ARABIC ">
        <w:r w:rsidR="00AF5F2C">
          <w:rPr>
            <w:noProof/>
          </w:rPr>
          <w:t>2</w:t>
        </w:r>
      </w:fldSimple>
    </w:p>
    <w:p w14:paraId="4CDD96B3" w14:textId="1103E798" w:rsidR="00481CFC" w:rsidRDefault="00481CFC" w:rsidP="00A21700">
      <w:pPr>
        <w:rPr>
          <w:i/>
          <w:iCs/>
        </w:rPr>
      </w:pPr>
      <w:r w:rsidRPr="00A21700">
        <w:rPr>
          <w:i/>
          <w:iCs/>
        </w:rPr>
        <w:t>Data extraction and thematic synthesis pipeline</w:t>
      </w:r>
    </w:p>
    <w:p w14:paraId="67BFD38C" w14:textId="4054C03F" w:rsidR="00133389" w:rsidRDefault="00133389" w:rsidP="00133389">
      <w:r>
        <w:rPr>
          <w:noProof/>
        </w:rPr>
        <w:drawing>
          <wp:inline distT="0" distB="0" distL="0" distR="0" wp14:anchorId="4D543276" wp14:editId="301016BE">
            <wp:extent cx="6048151" cy="17232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332" r="6687" b="29805"/>
                    <a:stretch/>
                  </pic:blipFill>
                  <pic:spPr bwMode="auto">
                    <a:xfrm>
                      <a:off x="0" y="0"/>
                      <a:ext cx="6055281" cy="1725324"/>
                    </a:xfrm>
                    <a:prstGeom prst="rect">
                      <a:avLst/>
                    </a:prstGeom>
                    <a:noFill/>
                    <a:ln>
                      <a:noFill/>
                    </a:ln>
                    <a:extLst>
                      <a:ext uri="{53640926-AAD7-44D8-BBD7-CCE9431645EC}">
                        <a14:shadowObscured xmlns:a14="http://schemas.microsoft.com/office/drawing/2010/main"/>
                      </a:ext>
                    </a:extLst>
                  </pic:spPr>
                </pic:pic>
              </a:graphicData>
            </a:graphic>
          </wp:inline>
        </w:drawing>
      </w:r>
    </w:p>
    <w:p w14:paraId="0E600915" w14:textId="773EE129" w:rsidR="00737933" w:rsidRDefault="00737933" w:rsidP="00133389">
      <w:r w:rsidRPr="00737933">
        <w:rPr>
          <w:i/>
          <w:iCs/>
        </w:rPr>
        <w:t>Note</w:t>
      </w:r>
      <w:r>
        <w:t xml:space="preserve">. </w:t>
      </w:r>
      <w:r w:rsidRPr="00737933">
        <w:t>Data extraction and thematic synthesis pipeline: five phases from structured extraction to conceptual model derivation, with iterative feedback and cross-phase rigour mechanisms.</w:t>
      </w:r>
    </w:p>
    <w:p w14:paraId="1409F769" w14:textId="28535EEC" w:rsidR="00B8570F" w:rsidRDefault="00653B7C" w:rsidP="00133389">
      <w:r w:rsidRPr="00653B7C">
        <w:t xml:space="preserve">Figure 2 presents a structured data extraction and thematic synthesis pipeline organized into five sequential yet interrelated phases, illustrating the progression from raw literature to conceptual model development. The process begins </w:t>
      </w:r>
      <w:r w:rsidRPr="00653B7C">
        <w:lastRenderedPageBreak/>
        <w:t xml:space="preserve">with </w:t>
      </w:r>
      <w:r w:rsidR="009E5DEB">
        <w:t>L</w:t>
      </w:r>
      <w:r w:rsidRPr="00653B7C">
        <w:t xml:space="preserve">iterature </w:t>
      </w:r>
      <w:r w:rsidR="009E5DEB">
        <w:t>I</w:t>
      </w:r>
      <w:r w:rsidRPr="00653B7C">
        <w:t>dentification, where studies are sourced through database searches and screened using PRISMA guidelines.</w:t>
      </w:r>
      <w:r w:rsidR="00F62F13">
        <w:t xml:space="preserve"> </w:t>
      </w:r>
      <w:r w:rsidRPr="00653B7C">
        <w:t xml:space="preserve">It then advances to </w:t>
      </w:r>
      <w:r w:rsidR="009E5DEB">
        <w:t>D</w:t>
      </w:r>
      <w:r w:rsidRPr="00653B7C">
        <w:t xml:space="preserve">ata </w:t>
      </w:r>
      <w:r w:rsidR="009E5DEB">
        <w:t>E</w:t>
      </w:r>
      <w:r w:rsidRPr="00653B7C">
        <w:t>xtraction, involving codebook development and systematic coding of relevant study attributes</w:t>
      </w:r>
      <w:r w:rsidR="005F3B8B">
        <w:t xml:space="preserve">. In </w:t>
      </w:r>
      <w:r w:rsidR="00394971">
        <w:t>P</w:t>
      </w:r>
      <w:r w:rsidR="005F3B8B">
        <w:t>hase</w:t>
      </w:r>
      <w:r w:rsidR="00394971">
        <w:t xml:space="preserve"> 2</w:t>
      </w:r>
      <w:r w:rsidR="005F3B8B">
        <w:t>,</w:t>
      </w:r>
      <w:r w:rsidR="005F3B8B" w:rsidRPr="00BD736E">
        <w:t xml:space="preserve"> detailed study-level information </w:t>
      </w:r>
      <w:r w:rsidR="005F3B8B">
        <w:t>was</w:t>
      </w:r>
      <w:r w:rsidR="005F3B8B" w:rsidRPr="00BD736E">
        <w:t xml:space="preserve"> systematically captured, including citation metadata, study design, sector/domain, referenced HITL frameworks, oversight mechanisms, trust constructs, key findings, and methodological quality, producing a comprehensive coded matrix of 187 studies</w:t>
      </w:r>
      <w:r w:rsidRPr="00653B7C">
        <w:t>.</w:t>
      </w:r>
      <w:r w:rsidR="009F6BB4">
        <w:t xml:space="preserve"> </w:t>
      </w:r>
      <w:r w:rsidR="006A6017">
        <w:t>T</w:t>
      </w:r>
      <w:r w:rsidR="009F6BB4" w:rsidRPr="009F6BB4">
        <w:t xml:space="preserve">he extracted data </w:t>
      </w:r>
      <w:r w:rsidR="00EA7D04">
        <w:t>were</w:t>
      </w:r>
      <w:r w:rsidR="009F6BB4" w:rsidRPr="009F6BB4">
        <w:t xml:space="preserve"> transformed into in-vivo, descriptive, and interpretive codes through dual-coder analysis, achieving strong inter-rater reliability (κ = .81) and yielding 412 first-order codes.</w:t>
      </w:r>
    </w:p>
    <w:p w14:paraId="6D69FF2E" w14:textId="131B371E" w:rsidR="00CE27B3" w:rsidRDefault="00653B7C" w:rsidP="00133389">
      <w:r w:rsidRPr="00653B7C">
        <w:t xml:space="preserve">Phase 3 </w:t>
      </w:r>
      <w:r w:rsidR="004F0F93">
        <w:t xml:space="preserve">carried out </w:t>
      </w:r>
      <w:r w:rsidRPr="00653B7C">
        <w:t xml:space="preserve">Thematic Analysis, </w:t>
      </w:r>
      <w:r w:rsidR="004F0F93">
        <w:t xml:space="preserve">where </w:t>
      </w:r>
      <w:r w:rsidRPr="00653B7C">
        <w:t xml:space="preserve">extracted data </w:t>
      </w:r>
      <w:r w:rsidR="007F5904">
        <w:t>we</w:t>
      </w:r>
      <w:r w:rsidRPr="00653B7C">
        <w:t xml:space="preserve">re clustered into themes through pattern recognition and interpretive coding. </w:t>
      </w:r>
      <w:r w:rsidR="00CE27B3">
        <w:t xml:space="preserve">The phase </w:t>
      </w:r>
      <w:r w:rsidR="00CE27B3" w:rsidRPr="00CE27B3">
        <w:t>applie</w:t>
      </w:r>
      <w:r w:rsidR="00CE27B3">
        <w:t>d</w:t>
      </w:r>
      <w:r w:rsidR="00CE27B3" w:rsidRPr="00CE27B3">
        <w:t xml:space="preserve"> inductive clustering, negative and deviant case analysis, and cross-sector mapping to refine the codes into candidate themes, with validation through member-checking, resulting in 18 initial themes narrowed to 8 confirmed themes.</w:t>
      </w:r>
      <w:r w:rsidR="00F56A7C">
        <w:t xml:space="preserve"> </w:t>
      </w:r>
      <w:r w:rsidR="00F56A7C" w:rsidRPr="00F56A7C">
        <w:t xml:space="preserve">These themes </w:t>
      </w:r>
      <w:r w:rsidR="00F90B5D">
        <w:t>were</w:t>
      </w:r>
      <w:r w:rsidR="00F56A7C" w:rsidRPr="00F56A7C">
        <w:t xml:space="preserve"> systematically interrogated</w:t>
      </w:r>
      <w:r w:rsidR="001D0223">
        <w:t>;</w:t>
      </w:r>
      <w:r w:rsidR="00F56A7C" w:rsidRPr="00F56A7C">
        <w:t xml:space="preserve"> patterns </w:t>
      </w:r>
      <w:r w:rsidR="009F10D5">
        <w:t>we</w:t>
      </w:r>
      <w:r w:rsidR="00F56A7C" w:rsidRPr="00F56A7C">
        <w:t>re compared across 14 sectors to identify convergences, divergences, and four overarching structural tensions, supported by frequency and salience weighting.</w:t>
      </w:r>
    </w:p>
    <w:p w14:paraId="4250C82C" w14:textId="1B038E29" w:rsidR="00333752" w:rsidRPr="00A21700" w:rsidRDefault="00653B7C" w:rsidP="00133389">
      <w:r w:rsidRPr="00653B7C">
        <w:t>Synthesis and Integration</w:t>
      </w:r>
      <w:r w:rsidR="00732E44">
        <w:t xml:space="preserve"> is the </w:t>
      </w:r>
      <w:r w:rsidR="00A45627">
        <w:t>fourth</w:t>
      </w:r>
      <w:r w:rsidR="00732E44">
        <w:t xml:space="preserve"> phase</w:t>
      </w:r>
      <w:r w:rsidR="008A6139">
        <w:t>,</w:t>
      </w:r>
      <w:r w:rsidR="00732E44">
        <w:t xml:space="preserve"> </w:t>
      </w:r>
      <w:r w:rsidR="00825B96">
        <w:t xml:space="preserve">where </w:t>
      </w:r>
      <w:r w:rsidR="00825B96" w:rsidRPr="00653B7C">
        <w:t>the themes</w:t>
      </w:r>
      <w:r w:rsidR="009B764C">
        <w:t xml:space="preserve"> were consolidated</w:t>
      </w:r>
      <w:r w:rsidR="00825B96" w:rsidRPr="00653B7C">
        <w:t xml:space="preserve"> via cross-case mapping and evidence synthesis</w:t>
      </w:r>
      <w:r w:rsidRPr="00653B7C">
        <w:t xml:space="preserve">, leading to Phase 5 (Model Derivation), where </w:t>
      </w:r>
      <w:r w:rsidR="00A763B1">
        <w:t>f</w:t>
      </w:r>
      <w:r w:rsidR="00A763B1" w:rsidRPr="00A763B1">
        <w:t>indings</w:t>
      </w:r>
      <w:r w:rsidR="00A763B1">
        <w:t xml:space="preserve"> were integrated </w:t>
      </w:r>
      <w:r w:rsidR="00A763B1" w:rsidRPr="00A763B1">
        <w:t>into a mid-range theoretical framework, culminating in the development of the Adaptive Oversight Calibration Model (AOCM) and six formal, testable propositions, with constructs operationalized and validated through case illustrations</w:t>
      </w:r>
      <w:r w:rsidRPr="00653B7C">
        <w:t>. The figure emphasizes methodological rigor through embedded mechanisms such as triangulation, reliability checks, and reflexive validity assessment, all operating across phases. An iterative feedback loop connects the stages, indicating that insights from later phases can inform earlier steps, ensuring continuous refinement and conceptual robustness throughout the research process.</w:t>
      </w:r>
    </w:p>
    <w:p w14:paraId="7BE9565C" w14:textId="55B93912" w:rsidR="006F243D" w:rsidRPr="00E4074A" w:rsidRDefault="00000000" w:rsidP="00325DA7">
      <w:pPr>
        <w:pStyle w:val="Heading2"/>
      </w:pPr>
      <w:bookmarkStart w:id="9" w:name="_Toc225135042"/>
      <w:r w:rsidRPr="00E4074A">
        <w:t>Theoretical Foundations</w:t>
      </w:r>
      <w:bookmarkEnd w:id="9"/>
    </w:p>
    <w:p w14:paraId="41A2F92A" w14:textId="5108A8B3" w:rsidR="006F243D" w:rsidRDefault="00CA6933" w:rsidP="00536720">
      <w:r>
        <w:t xml:space="preserve">The </w:t>
      </w:r>
      <w:r w:rsidR="002220D6">
        <w:t>Human-in-the-Loop (</w:t>
      </w:r>
      <w:r>
        <w:t>HITL</w:t>
      </w:r>
      <w:r w:rsidR="002220D6">
        <w:t>)</w:t>
      </w:r>
      <w:r>
        <w:t xml:space="preserve"> literature was situated within three foundational theoretical </w:t>
      </w:r>
      <w:r w:rsidR="00934A13">
        <w:t>foundations</w:t>
      </w:r>
      <w:r w:rsidR="005B3608">
        <w:t>, which are the</w:t>
      </w:r>
      <w:r>
        <w:t xml:space="preserve"> human factors and automation </w:t>
      </w:r>
      <w:r w:rsidR="00D5719F">
        <w:t>theory</w:t>
      </w:r>
      <w:r>
        <w:t>, AI safety and alignment theory, and sociotechnical systems theory. These provide</w:t>
      </w:r>
      <w:r w:rsidR="00891BBE">
        <w:t>d</w:t>
      </w:r>
      <w:r>
        <w:t xml:space="preserve"> complementary lenses that together explain why oversight is difficult to design, why trust is difficult to calibrate, and why technically sound systems often fail in practice.</w:t>
      </w:r>
    </w:p>
    <w:p w14:paraId="16C29486" w14:textId="77777777" w:rsidR="00AE7DBB" w:rsidRPr="00AE7DBB" w:rsidRDefault="00AE7DBB" w:rsidP="00AE7DBB">
      <w:pPr>
        <w:pStyle w:val="ListParagraph"/>
        <w:numPr>
          <w:ilvl w:val="0"/>
          <w:numId w:val="5"/>
        </w:numPr>
        <w:spacing w:before="120" w:after="120"/>
        <w:outlineLvl w:val="1"/>
        <w:rPr>
          <w:rFonts w:eastAsia="Arial" w:cs="Arial"/>
          <w:b/>
          <w:bCs/>
          <w:vanish/>
        </w:rPr>
      </w:pPr>
      <w:bookmarkStart w:id="10" w:name="_Toc225135043"/>
    </w:p>
    <w:p w14:paraId="243D8FE9" w14:textId="6C6C190F" w:rsidR="006F243D" w:rsidRPr="00E4074A" w:rsidRDefault="00000000" w:rsidP="00325DA7">
      <w:pPr>
        <w:pStyle w:val="Heading3"/>
      </w:pPr>
      <w:r w:rsidRPr="00E4074A">
        <w:t>Human Factors and Automation Theory</w:t>
      </w:r>
      <w:bookmarkEnd w:id="10"/>
    </w:p>
    <w:p w14:paraId="68C69457" w14:textId="403FEF83" w:rsidR="006F243D" w:rsidRDefault="00000000" w:rsidP="00536720">
      <w:r>
        <w:t xml:space="preserve">The human factors tradition has studied automation and human oversight since the mid-twentieth century, initially in aviation and process control </w:t>
      </w:r>
      <w:r w:rsidR="005F6FCA">
        <w:fldChar w:fldCharType="begin"/>
      </w:r>
      <w:r w:rsidR="005F6FCA">
        <w:instrText xml:space="preserve"> ADDIN ZOTERO_ITEM CSL_CITATION {"citationID":"56s5Sf6W","properties":{"formattedCitation":"(Parasuraman &amp; Manzey, 2010)","plainCitation":"(Parasuraman &amp; Manzey, 2010)","noteIndex":0},"citationItems":[{"id":2986,"uris":["http://zotero.org/users/6567242/items/24TQJBFW"],"itemData":{"id":2986,"type":"article-journal","abstract":"Objective: Our aim was to review empirical studies of complacency and bias in human interaction with automated and decision support systems and provide an integrated theoretical model for their explanation.\n            Background: Automation-related complacency and automation bias have typically been considered separately and independently.\n            Methods: Studies on complacency and automation bias were analyzed with respect to the cognitive processes involved.\n            Results: Automation complacency occurs under conditions of multiple-task load, when manual tasks compete with the automated task for the operator’s attention. Automation complacency is found in both naive and expert participants and cannot be overcome with simple practice. Automation bias results in making both omission and commission errors when decision aids are imperfect.Automation bias occurs in both naive and expert participants, cannot be prevented by training or instructions, and can affect decision making in individuals as well as in teams.While automation bias has been conceived of as a special case of decision bias, our analysis suggests that it also depends on attentional processes similar to those involved in automation-related complacency.\n            Conclusion: Complacency and automation bias represent different manifestations of overlapping automation-induced phenomena, with attention playing a central role. An integrated model of complacency and automation bias shows that they result from the dynamic interaction of personal, situational, and automation-related characteristics.\n            Application: The integrated model and attentional synthesis provides a heuristic framework for further research on complacency and automation bias and design options for mitigating such effects in automated and decision support systems.","container-title":"Human Factors: The Journal of the Human Factors and Ergonomics Society","DOI":"10.1177/0018720810376055","ISSN":"0018-7208, 1547-8181","issue":"3","journalAbbreviation":"Hum Factors","language":"en","license":"https://journals.sagepub.com/page/policies/text-and-data-mining-license","page":"381-410","source":"DOI.org (Crossref)","title":"Complacency and Bias in Human Use of Automation: An Attentional Integration","title-short":"Complacency and Bias in Human Use of Automation","volume":"52","author":[{"family":"Parasuraman","given":"Raja"},{"family":"Manzey","given":"Dietrich H."}],"issued":{"date-parts":[["2010",6]]}}}],"schema":"https://github.com/citation-style-language/schema/raw/master/csl-citation.json"} </w:instrText>
      </w:r>
      <w:r w:rsidR="005F6FCA">
        <w:fldChar w:fldCharType="separate"/>
      </w:r>
      <w:r w:rsidR="005F6FCA" w:rsidRPr="005F6FCA">
        <w:t>(Parasuraman &amp; Manzey, 2010)</w:t>
      </w:r>
      <w:r w:rsidR="005F6FCA">
        <w:fldChar w:fldCharType="end"/>
      </w:r>
      <w:r>
        <w:t>. Two constructs from this tradition remain centrally relevant to agentic AI</w:t>
      </w:r>
      <w:r w:rsidR="00A1432D">
        <w:t>. They are</w:t>
      </w:r>
      <w:r>
        <w:t xml:space="preserve"> the levels of automation (LOA) taxonomy and situation awareness theory.</w:t>
      </w:r>
    </w:p>
    <w:p w14:paraId="2535BE60" w14:textId="1F8FCBA2" w:rsidR="006F243D" w:rsidRDefault="004B2633" w:rsidP="00573544">
      <w:r>
        <w:fldChar w:fldCharType="begin"/>
      </w:r>
      <w:r w:rsidR="00847EE6">
        <w:instrText xml:space="preserve"> ADDIN ZOTERO_ITEM CSL_CITATION {"citationID":"4sWqiYDi","properties":{"formattedCitation":"(Parasuraman et al., 2000)","plainCitation":"(Parasuraman et al., 2000)","dontUpdate":true,"noteIndex":0},"citationItems":[{"id":3026,"uris":["http://zotero.org/users/6567242/items/PLG6EAEY"],"itemData":{"id":3026,"type":"article-journal","container-title":"IEEE Transactions on Systems, Man, and Cybernetics - Part A: Systems and Humans","DOI":"10.1109/3468.844354","ISSN":"10834427","issue":"3","journalAbbreviation":"IEEE Trans. Syst., Man, Cybern. A","license":"https://ieeexplore.ieee.org/Xplorehelp/downloads/license-information/IEEE.html","page":"286-297","source":"DOI.org (Crossref)","title":"A model for types and levels of human interaction with automation","volume":"30","author":[{"family":"Parasuraman","given":"R."},{"family":"Sheridan","given":"T.B."},{"family":"Wickens","given":"C.D."}],"issued":{"date-parts":[["2000"]]}}}],"schema":"https://github.com/citation-style-language/schema/raw/master/csl-citation.json"} </w:instrText>
      </w:r>
      <w:r>
        <w:fldChar w:fldCharType="separate"/>
      </w:r>
      <w:r w:rsidRPr="004B2633">
        <w:t>Parasuraman et al.</w:t>
      </w:r>
      <w:r w:rsidR="00AE2BF5">
        <w:t>'s</w:t>
      </w:r>
      <w:r w:rsidRPr="004B2633">
        <w:t xml:space="preserve"> </w:t>
      </w:r>
      <w:r>
        <w:t>(</w:t>
      </w:r>
      <w:r w:rsidRPr="004B2633">
        <w:t>2000)</w:t>
      </w:r>
      <w:r>
        <w:fldChar w:fldCharType="end"/>
      </w:r>
      <w:r>
        <w:t xml:space="preserve"> LOA taxonomy describes a spectrum from full human manual control to fully automated action, with intermediate levels including automation that offers options, suggests an action, executes if unobjected, or executes fully. This taxonomy maps directly onto what </w:t>
      </w:r>
      <w:r w:rsidR="0078505F">
        <w:t>is referred to as</w:t>
      </w:r>
      <w:r>
        <w:t xml:space="preserve"> HITL tiers </w:t>
      </w:r>
      <w:r w:rsidR="0076146D">
        <w:t>in this study</w:t>
      </w:r>
      <w:r>
        <w:t>, and empirical evidence accumulated since 2000 consistently shows that intermediate levels</w:t>
      </w:r>
      <w:r w:rsidR="0009621C">
        <w:t xml:space="preserve">, </w:t>
      </w:r>
      <w:r>
        <w:t>where humans supervise rather than execute</w:t>
      </w:r>
      <w:r w:rsidR="008C3EF0">
        <w:t xml:space="preserve">, </w:t>
      </w:r>
      <w:r>
        <w:t xml:space="preserve">carry particular risks of complacency and out-of-the-loop syndrome </w:t>
      </w:r>
      <w:r w:rsidR="005B17B1">
        <w:fldChar w:fldCharType="begin"/>
      </w:r>
      <w:r w:rsidR="00F76ABD">
        <w:instrText xml:space="preserve"> ADDIN ZOTERO_ITEM CSL_CITATION {"citationID":"hTJQF3Fa","properties":{"formattedCitation":"(Endsley, 2023; Parasuraman &amp; Manzey, 2010; Richardson et al., 2025; Romeo &amp; Conti, 2026)","plainCitation":"(Endsley, 2023; Parasuraman &amp; Manzey, 2010; Richardson et al., 2025; Romeo &amp; Conti, 2026)","noteIndex":0},"citationItems":[{"id":3015,"uris":["http://zotero.org/users/6567242/items/KT62PGZ3"],"itemData":{"id":3015,"type":"article-journal","container-title":"Human Factors","DOI":"10.1177/00187208211059252","issue":"1","language":"su","page":"99–111","title":"Situation awareness in future autonomous systems","volume":"65","author":[{"family":"Endsley","given":"M.R."}],"issued":{"date-parts":[["2023"]]}}},{"id":2986,"uris":["http://zotero.org/users/6567242/items/24TQJBFW"],"itemData":{"id":2986,"type":"article-journal","abstract":"Objective: Our aim was to review empirical studies of complacency and bias in human interaction with automated and decision support systems and provide an integrated theoretical model for their explanation.\n            Background: Automation-related complacency and automation bias have typically been considered separately and independently.\n            Methods: Studies on complacency and automation bias were analyzed with respect to the cognitive processes involved.\n            Results: Automation complacency occurs under conditions of multiple-task load, when manual tasks compete with the automated task for the operator’s attention. Automation complacency is found in both naive and expert participants and cannot be overcome with simple practice. Automation bias results in making both omission and commission errors when decision aids are imperfect.Automation bias occurs in both naive and expert participants, cannot be prevented by training or instructions, and can affect decision making in individuals as well as in teams.While automation bias has been conceived of as a special case of decision bias, our analysis suggests that it also depends on attentional processes similar to those involved in automation-related complacency.\n            Conclusion: Complacency and automation bias represent different manifestations of overlapping automation-induced phenomena, with attention playing a central role. An integrated model of complacency and automation bias shows that they result from the dynamic interaction of personal, situational, and automation-related characteristics.\n            Application: The integrated model and attentional synthesis provides a heuristic framework for further research on complacency and automation bias and design options for mitigating such effects in automated and decision support systems.","container-title":"Human Factors: The Journal of the Human Factors and Ergonomics Society","DOI":"10.1177/0018720810376055","ISSN":"0018-7208, 1547-8181","issue":"3","journalAbbreviation":"Hum Factors","language":"en","license":"https://journals.sagepub.com/page/policies/text-and-data-mining-license","page":"381-410","source":"DOI.org (Crossref)","title":"Complacency and Bias in Human Use of Automation: An Attentional Integration","title-short":"Complacency and Bias in Human Use of Automation","volume":"52","author":[{"family":"Parasuraman","given":"Raja"},{"family":"Manzey","given":"Dietrich H."}],"issued":{"date-parts":[["2010",6]]}}},{"id":3027,"uris":["http://zotero.org/users/6567242/items/26QUZ2LX"],"itemData":{"id":3027,"type":"article-journal","container-title":"International Journal of Human–Computer Interaction","DOI":"10.1080/10447318.2025.2502978","ISSN":"1044-7318, 1532-7590","issue":"24","journalAbbreviation":"International Journal of Human–Computer Interaction","language":"en","page":"15824-15843","source":"DOI.org (Crossref)","title":"Systematic Literature Review of Levels of Automation (Autonomy) Taxonomy: Critiques and Recommendations","title-short":"Systematic Literature Review of Levels of Automation (Autonomy) Taxonomy","volume":"41","author":[{"family":"Richardson","given":"Luke S."},{"family":"Fidock","given":"Justin"},{"family":"Gunawan","given":"Indra"}],"issued":{"date-parts":[["2025",12,17]]}}},{"id":3047,"uris":["http://zotero.org/users/6567242/items/XRRDJQLD"],"itemData":{"id":3047,"type":"article-journal","abstract":"Abstract\n            As Artificial Intelligence (AI) becomes increasingly embedded in high-stakes domains such as healthcare, law, and public administration, automation bias (AB)—the tendency to over-rely on automated recommendations—has emerged as a critical challenge in human–AI collaboration. While previous reviews have examined AB in traditional computer-assisted decision-making, research on its implications in modern AI-driven work environments remains limited. To address this gap, this research systematically investigates how AB manifests in these settings and the cognitive mechanisms that influence it. Following PRISMA 2020 guidelines, we reviewed 35 peer-reviewed studies from SCOPUS, ScienceDirect, PubMed, and Google Scholar. The included literature, published between January 2015 and April 2025, spans fields such as cognitive psychology, human factors engineering, human–computer interaction, and neuroscience, providing an interdisciplinary foundation for our analysis. Traditional perspectives attribute AB to over-trust in automation or attentional constraints, resulting in users perceiving AI-generated outputs as reliable. However, our review presents a more nuanced view. While confirming some prior findings, it also sheds light on additional interacting factors such as, AI literacy, level of professional expertise, cognitive profile, developmental trust dynamics, task verification demands, and explanation complexity. Notably, although Explainable AI (XAI) and transparency mechanisms are designed to mitigate AB, overly technical, cognitively demanding, or even simplistic explanations may inadvertently reinforce misplaced trust, especially among less experienced professionals with low AI literacy. Taken together, these findings suggest that although explanations may increase perceived system acceptability, they are often insufficient to improve decision accuracy or mitigate AB. Instead, user engagement emerges as the most feasible and impactful point of intervention. As increased verification effort has been shown to reduce complacency toward AI mis-recommendations, we propose explanation design strategies that actively promote critical engagement and independent verification. These conclusions offer both theoretical and practical contributions to bias-aware AI development, underscoring that explanation usability is best supported by features such as understandability and adaptiveness.","container-title":"AI &amp; SOCIETY","DOI":"10.1007/s00146-025-02422-7","ISSN":"0951-5666, 1435-5655","issue":"1","journalAbbreviation":"AI &amp; Soc","language":"en","page":"259-278","source":"DOI.org (Crossref)","title":"Exploring automation bias in human–AI collaboration: a review and implications for explainable AI","title-short":"Exploring automation bias in human–AI collaboration","volume":"41","author":[{"family":"Romeo","given":"Giuseppe"},{"family":"Conti","given":"Daniela"}],"issued":{"date-parts":[["2026",1]]}}}],"schema":"https://github.com/citation-style-language/schema/raw/master/csl-citation.json"} </w:instrText>
      </w:r>
      <w:r w:rsidR="005B17B1">
        <w:fldChar w:fldCharType="separate"/>
      </w:r>
      <w:r w:rsidR="00F76ABD" w:rsidRPr="00F76ABD">
        <w:t>(Endsley, 2023; Parasuraman &amp; Manzey, 2010; Richardson et al., 2025; Romeo &amp; Conti, 2026)</w:t>
      </w:r>
      <w:r w:rsidR="005B17B1">
        <w:fldChar w:fldCharType="end"/>
      </w:r>
      <w:r>
        <w:t>.</w:t>
      </w:r>
    </w:p>
    <w:p w14:paraId="19D52A84" w14:textId="2159705F" w:rsidR="006F243D" w:rsidRDefault="00926A90" w:rsidP="00573544">
      <w:r>
        <w:fldChar w:fldCharType="begin"/>
      </w:r>
      <w:r w:rsidR="00847EE6">
        <w:instrText xml:space="preserve"> ADDIN ZOTERO_ITEM CSL_CITATION {"citationID":"h8Vavj3e","properties":{"formattedCitation":"(Endsley, 2023)","plainCitation":"(Endsley, 2023)","dontUpdate":true,"noteIndex":0},"citationItems":[{"id":3015,"uris":["http://zotero.org/users/6567242/items/KT62PGZ3"],"itemData":{"id":3015,"type":"article-journal","container-title":"Human Factors","DOI":"10.1177/00187208211059252","issue":"1","language":"su","page":"99–111","title":"Situation awareness in future autonomous systems","volume":"65","author":[{"family":"Endsley","given":"M.R."}],"issued":{"date-parts":[["2023"]]}}}],"schema":"https://github.com/citation-style-language/schema/raw/master/csl-citation.json"} </w:instrText>
      </w:r>
      <w:r>
        <w:fldChar w:fldCharType="separate"/>
      </w:r>
      <w:r w:rsidRPr="00926A90">
        <w:t>Endsley</w:t>
      </w:r>
      <w:r w:rsidR="00285A29">
        <w:t>'s</w:t>
      </w:r>
      <w:r w:rsidRPr="00926A90">
        <w:t xml:space="preserve"> </w:t>
      </w:r>
      <w:r>
        <w:t>(</w:t>
      </w:r>
      <w:r w:rsidRPr="00926A90">
        <w:t>2023)</w:t>
      </w:r>
      <w:r>
        <w:fldChar w:fldCharType="end"/>
      </w:r>
      <w:r>
        <w:t xml:space="preserve"> situation awareness (SA) theory identifies three levels of awareness</w:t>
      </w:r>
      <w:r w:rsidR="00074F85">
        <w:t xml:space="preserve"> (</w:t>
      </w:r>
      <w:r>
        <w:t>perception of environmental elements, comprehension of their meaning, and projection of future states</w:t>
      </w:r>
      <w:r w:rsidR="00074F85">
        <w:t xml:space="preserve">) </w:t>
      </w:r>
      <w:r>
        <w:t>and demonstrates that automation preferentially erodes Level-3 SA (projection) by removing humans from moment-to-moment control loops. This insight is directly applicable to agentic AI</w:t>
      </w:r>
      <w:r w:rsidR="002D3656">
        <w:t>.</w:t>
      </w:r>
      <w:r>
        <w:t xml:space="preserve"> </w:t>
      </w:r>
      <w:r w:rsidR="002D3656">
        <w:t>A</w:t>
      </w:r>
      <w:r>
        <w:t>n operator monitoring a multi-step AI agent may perceive its current state (Level 1) without understanding why it is in that state (Level 2) or being able to predict what it will do next (Level 3), precisely the conditions under which catastrophic oversight failures occur.</w:t>
      </w:r>
    </w:p>
    <w:p w14:paraId="21CCC1ED" w14:textId="03A441D5" w:rsidR="006F243D" w:rsidRPr="00E4074A" w:rsidRDefault="00000000" w:rsidP="00260658">
      <w:pPr>
        <w:pStyle w:val="Heading3"/>
      </w:pPr>
      <w:bookmarkStart w:id="11" w:name="_Toc225135044"/>
      <w:r w:rsidRPr="00E4074A">
        <w:t>AI Safety and Alignment Theory</w:t>
      </w:r>
      <w:bookmarkEnd w:id="11"/>
    </w:p>
    <w:p w14:paraId="47386EE0" w14:textId="6B49C2BA" w:rsidR="006F243D" w:rsidRDefault="00000000" w:rsidP="00573544">
      <w:r>
        <w:t>The AI safety literature, originating in theoretical computer science and decision theory, approaches human oversight from a different angle</w:t>
      </w:r>
      <w:r w:rsidR="00BF0FF9">
        <w:t>.</w:t>
      </w:r>
      <w:r w:rsidR="00AC2F98">
        <w:t xml:space="preserve"> It focuses on</w:t>
      </w:r>
      <w:r>
        <w:t xml:space="preserve"> how </w:t>
      </w:r>
      <w:r w:rsidR="00CA3202">
        <w:t>an AI system can</w:t>
      </w:r>
      <w:r>
        <w:t xml:space="preserve"> be designed to remain correctable, interruptible, and aligned with human values even as its capabilities increase</w:t>
      </w:r>
      <w:r w:rsidR="00F57067">
        <w:t>.</w:t>
      </w:r>
      <w:r>
        <w:t xml:space="preserve"> </w:t>
      </w:r>
      <w:r w:rsidR="00DB2B8D">
        <w:fldChar w:fldCharType="begin"/>
      </w:r>
      <w:r w:rsidR="00847EE6">
        <w:instrText xml:space="preserve"> ADDIN ZOTERO_ITEM CSL_CITATION {"citationID":"qKo5GTk8","properties":{"formattedCitation":"(Amodei et al., 2016; Amodei &amp; Hernandez, 2022)","plainCitation":"(Amodei et al., 2016; Amodei &amp; Hernandez, 2022)","dontUpdate":true,"noteIndex":0},"citationItems":[{"id":2936,"uris":["http://zotero.org/users/6567242/items/SLY6FVAK"],"itemData":{"id":2936,"type":"article","abstract":"Rapid progress in machine learning and artificial intelligence (AI) has brought increasing attention to the potential impacts of AI technologies on society. In this paper we discuss one such potential impact: the problem of accidents in machine learning systems, defined as unintended and harmful behavior that may emerge from poor design of real-world AI systems. We present a list of five practical research problems related to accident risk, categorized according to whether the problem originates from having the wrong objective function (\"avoiding side effects\" and \"avoiding reward hacking\"), an objective function that is too expensive to evaluate frequently (\"scalable supervision\"), or undesirable behavior during the learning process (\"safe exploration\" and \"distributional shift\"). We review previous work in these areas as well as suggesting research directions with a focus on relevance to cutting-edge AI systems. Finally, we consider the high-level question of how to think most productively about the safety of forward-looking applications of AI.","DOI":"10.48550/arXiv.1606.06565","note":"arXiv:1606.06565 [cs]","number":"arXiv:1606.06565","publisher":"arXiv","source":"arXiv.org","title":"Concrete Problems in AI Safety","URL":"http://arxiv.org/abs/1606.06565","author":[{"family":"Amodei","given":"Dario"},{"family":"Olah","given":"Chris"},{"family":"Steinhardt","given":"Jacob"},{"family":"Christiano","given":"Paul"},{"family":"Schulman","given":"John"},{"family":"Mané","given":"Dan"}],"accessed":{"date-parts":[["2026",3,23]]},"issued":{"date-parts":[["2016",7,25]]}}},{"id":3012,"uris":["http://zotero.org/users/6567242/items/HJCGHMTS"],"itemData":{"id":3012,"type":"article-journal","container-title":"Anthropic Technical Report","language":"en","title":"AI and compute: Revisiting the exponential","author":[{"family":"Amodei","given":"D."},{"family":"Hernandez","given":"D."}],"issued":{"date-parts":[["2022"]]}}}],"schema":"https://github.com/citation-style-language/schema/raw/master/csl-citation.json"} </w:instrText>
      </w:r>
      <w:r w:rsidR="00DB2B8D">
        <w:fldChar w:fldCharType="separate"/>
      </w:r>
      <w:r w:rsidR="00DB2B8D" w:rsidRPr="00DB2B8D">
        <w:t xml:space="preserve">Amodei et al. </w:t>
      </w:r>
      <w:r w:rsidR="00DB2B8D">
        <w:t>(</w:t>
      </w:r>
      <w:r w:rsidR="00DB2B8D" w:rsidRPr="00DB2B8D">
        <w:t>2016</w:t>
      </w:r>
      <w:r w:rsidR="00DB2B8D">
        <w:t>)</w:t>
      </w:r>
      <w:r w:rsidR="00DB2B8D" w:rsidRPr="00DB2B8D">
        <w:t xml:space="preserve"> </w:t>
      </w:r>
      <w:r w:rsidR="00DB2B8D">
        <w:t xml:space="preserve">and </w:t>
      </w:r>
      <w:r w:rsidR="00DB2B8D" w:rsidRPr="00DB2B8D">
        <w:t xml:space="preserve">Amodei &amp; Hernandez </w:t>
      </w:r>
      <w:r w:rsidR="0005295F">
        <w:t>(</w:t>
      </w:r>
      <w:r w:rsidR="00DB2B8D" w:rsidRPr="00DB2B8D">
        <w:t>2022)</w:t>
      </w:r>
      <w:r w:rsidR="00DB2B8D">
        <w:fldChar w:fldCharType="end"/>
      </w:r>
      <w:r>
        <w:t xml:space="preserve"> identify five categories of safety-relevant problems</w:t>
      </w:r>
      <w:r w:rsidR="00144010">
        <w:t>; they are</w:t>
      </w:r>
      <w:r>
        <w:t xml:space="preserve"> (</w:t>
      </w:r>
      <w:r w:rsidR="00DE5252">
        <w:t>i</w:t>
      </w:r>
      <w:r>
        <w:t>) avoiding negative side effects, (</w:t>
      </w:r>
      <w:r w:rsidR="00DE5252">
        <w:t>ii</w:t>
      </w:r>
      <w:r>
        <w:t>) avoiding reward hacking, (</w:t>
      </w:r>
      <w:r w:rsidR="00DE5252">
        <w:t>iii</w:t>
      </w:r>
      <w:r>
        <w:t xml:space="preserve">) </w:t>
      </w:r>
      <w:r>
        <w:lastRenderedPageBreak/>
        <w:t>scalable oversight, (</w:t>
      </w:r>
      <w:r w:rsidR="00DE5252">
        <w:t>iv</w:t>
      </w:r>
      <w:r>
        <w:t>) safe exploration, and (</w:t>
      </w:r>
      <w:r w:rsidR="00DE5252">
        <w:t>v</w:t>
      </w:r>
      <w:r>
        <w:t>) distributional shift robustness. Each</w:t>
      </w:r>
      <w:r w:rsidR="002000B6">
        <w:t xml:space="preserve"> category</w:t>
      </w:r>
      <w:r>
        <w:t xml:space="preserve"> maps onto distinct HITL requirements.</w:t>
      </w:r>
    </w:p>
    <w:p w14:paraId="5B024FAE" w14:textId="6F6CDA21" w:rsidR="006F243D" w:rsidRDefault="00000000" w:rsidP="00573544">
      <w:r>
        <w:t>The problem of scalable oversight is particularly acute for agentic systems</w:t>
      </w:r>
      <w:r w:rsidR="006524F5">
        <w:t>.</w:t>
      </w:r>
      <w:r>
        <w:t xml:space="preserve"> </w:t>
      </w:r>
      <w:r w:rsidR="006524F5">
        <w:t>A</w:t>
      </w:r>
      <w:r>
        <w:t xml:space="preserve">s AI capabilities expand, human overseers may lack the expertise, bandwidth, or conceptual tools to verify AI outputs </w:t>
      </w:r>
      <w:r w:rsidR="004B65B7">
        <w:fldChar w:fldCharType="begin"/>
      </w:r>
      <w:r w:rsidR="004B65B7">
        <w:instrText xml:space="preserve"> ADDIN ZOTERO_ITEM CSL_CITATION {"citationID":"27tm9bDo","properties":{"formattedCitation":"(Hadfield-Menell &amp; Hadfield, 2019)","plainCitation":"(Hadfield-Menell &amp; Hadfield, 2019)","noteIndex":0},"citationItems":[{"id":2960,"uris":["http://zotero.org/users/6567242/items/3M4LCXWE"],"itemData":{"id":2960,"type":"paper-conference","container-title":"Proceedings of the 2019 AAAI/ACM Conference on AI, Ethics, and Society","DOI":"10.1145/3306618.3314250","event-title":"AIES '19: AAAI/ACM Conference on AI, Ethics, and Society","ISBN":"978-1-4503-6324-2","language":"en","page":"417-422","publisher":"ACM","publisher-place":"Honolulu HI USA","source":"DOI.org (Crossref)","title":"Incomplete Contracting and AI Alignment","URL":"https://dl.acm.org/doi/10.1145/3306618.3314250","author":[{"family":"Hadfield-Menell","given":"Dylan"},{"family":"Hadfield","given":"Gillian K."}],"accessed":{"date-parts":[["2026",3,23]]},"issued":{"date-parts":[["2019",1,27]]}}}],"schema":"https://github.com/citation-style-language/schema/raw/master/csl-citation.json"} </w:instrText>
      </w:r>
      <w:r w:rsidR="004B65B7">
        <w:fldChar w:fldCharType="separate"/>
      </w:r>
      <w:r w:rsidR="004B65B7" w:rsidRPr="004B65B7">
        <w:t>(Hadfield-Menell &amp; Hadfield, 2019)</w:t>
      </w:r>
      <w:r w:rsidR="004B65B7">
        <w:fldChar w:fldCharType="end"/>
      </w:r>
      <w:r>
        <w:t xml:space="preserve">. Constitutional AI approaches </w:t>
      </w:r>
      <w:r w:rsidR="00D21E77">
        <w:fldChar w:fldCharType="begin"/>
      </w:r>
      <w:r w:rsidR="00D21E77">
        <w:instrText xml:space="preserve"> ADDIN ZOTERO_ITEM CSL_CITATION {"citationID":"aZjn2jRj","properties":{"formattedCitation":"(Bai et al., 2022)","plainCitation":"(Bai et al., 2022)","noteIndex":0},"citationItems":[{"id":3028,"uris":["http://zotero.org/users/6567242/items/JETU76JA"],"itemData":{"id":3028,"type":"article","abstract":"As AI systems become more capable, we would like to enlist their help to supervise other AIs. We experiment with methods for training a harmless AI assistant through self-improvement, without any human labels identifying harmful outputs. The only human oversight is provided through a list of rules or principles, and so we refer to the method as 'Constitutional AI'. The process involves both a supervised learning and a reinforcement learning phase. In the supervised phase we sample from an initial model, then generate self-critiques and revisions, and then finetune the original model on revised responses. In the RL phase, we sample from the finetuned model, use a model to evaluate which of the two samples is better, and then train a preference model from this dataset of AI preferences. We then train with RL using the preference model as the reward signal, i.e. we use 'RL from AI Feedback' (RLAIF). As a result we are able to train a harmless but non-evasive AI assistant that engages with harmful queries by explaining its objections to them. Both the SL and RL methods can leverage chain-of-thought style reasoning to improve the human-judged performance and transparency of AI decision making. These methods make it possible to control AI behavior more precisely and with far fewer human labels.","DOI":"10.48550/ARXIV.2212.08073","license":"Creative Commons Attribution 4.0 International","note":"version: 1","publisher":"arXiv","source":"DOI.org (Datacite)","title":"Constitutional AI: Harmlessness from AI Feedback","title-short":"Constitutional AI","URL":"https://arxiv.org/abs/2212.08073","author":[{"family":"Bai","given":"Yuntao"},{"family":"Kadavath","given":"Saurav"},{"family":"Kundu","given":"Sandipan"},{"family":"Askell","given":"Amanda"},{"family":"Kernion","given":"Jackson"},{"family":"Jones","given":"Andy"},{"family":"Chen","given":"Anna"},{"family":"Goldie","given":"Anna"},{"family":"Mirhoseini","given":"Azalia"},{"family":"McKinnon","given":"Cameron"},{"family":"Chen","given":"Carol"},{"family":"Olsson","given":"Catherine"},{"family":"Olah","given":"Christopher"},{"family":"Hernandez","given":"Danny"},{"family":"Drain","given":"Dawn"},{"family":"Ganguli","given":"Deep"},{"family":"Li","given":"Dustin"},{"family":"Tran-Johnson","given":"Eli"},{"family":"Perez","given":"Ethan"},{"family":"Kerr","given":"Jamie"},{"family":"Mueller","given":"Jared"},{"family":"Ladish","given":"Jeffrey"},{"family":"Landau","given":"Joshua"},{"family":"Ndousse","given":"Kamal"},{"family":"Lukosuite","given":"Kamile"},{"family":"Lovitt","given":"Liane"},{"family":"Sellitto","given":"Michael"},{"family":"Elhage","given":"Nelson"},{"family":"Schiefer","given":"Nicholas"},{"family":"Mercado","given":"Noemi"},{"family":"DasSarma","given":"Nova"},{"family":"Lasenby","given":"Robert"},{"family":"Larson","given":"Robin"},{"family":"Ringer","given":"Sam"},{"family":"Johnston","given":"Scott"},{"family":"Kravec","given":"Shauna"},{"family":"Showk","given":"Sheer El"},{"family":"Fort","given":"Stanislav"},{"family":"Lanham","given":"Tamera"},{"family":"Telleen-Lawton","given":"Timothy"},{"family":"Conerly","given":"Tom"},{"family":"Henighan","given":"Tom"},{"family":"Hume","given":"Tristan"},{"family":"Bowman","given":"Samuel R."},{"family":"Hatfield-Dodds","given":"Zac"},{"family":"Mann","given":"Ben"},{"family":"Amodei","given":"Dario"},{"family":"Joseph","given":"Nicholas"},{"family":"McCandlish","given":"Sam"},{"family":"Brown","given":"Tom"},{"family":"Kaplan","given":"Jared"}],"accessed":{"date-parts":[["2026",3,23]]},"issued":{"date-parts":[["2022"]]}}}],"schema":"https://github.com/citation-style-language/schema/raw/master/csl-citation.json"} </w:instrText>
      </w:r>
      <w:r w:rsidR="00D21E77">
        <w:fldChar w:fldCharType="separate"/>
      </w:r>
      <w:r w:rsidR="00D21E77" w:rsidRPr="00D21E77">
        <w:t>(Bai et al., 2022)</w:t>
      </w:r>
      <w:r w:rsidR="00D21E77">
        <w:fldChar w:fldCharType="end"/>
      </w:r>
      <w:r>
        <w:t xml:space="preserve"> and reinforcement learning from human feedback</w:t>
      </w:r>
      <w:r w:rsidR="001728FF">
        <w:t xml:space="preserve"> (RLHF)</w:t>
      </w:r>
      <w:r>
        <w:t xml:space="preserve"> </w:t>
      </w:r>
      <w:r w:rsidR="001728FF">
        <w:fldChar w:fldCharType="begin"/>
      </w:r>
      <w:r w:rsidR="001728FF">
        <w:instrText xml:space="preserve"> ADDIN ZOTERO_ITEM CSL_CITATION {"citationID":"kv0Wg8gt","properties":{"formattedCitation":"(Ouyang et al., 2022)","plainCitation":"(Ouyang et al., 2022)","noteIndex":0},"citationItems":[{"id":2985,"uris":["http://zotero.org/users/6567242/items/MW5NWR59"],"itemData":{"id":2985,"type":"article","abstract":"Making language models bigger does not inherently make them better at following a user's intent. For example, large language models can generate outputs that are untruthful, toxic, or simply not helpful to the user. In other words, these models are not aligned with their users. In this paper, we show an avenue for aligning language models with user intent on a wide range of tasks by fine-tuning with human feedback. Starting with a set of labeler-written prompts and prompts submitted through the OpenAI API, we collect a dataset of labeler demonstrations of the desired model behavior, which we use to fine-tune GPT-3 using supervised learning. We then collect a dataset of rankings of model outputs, which we use to further fine-tune this supervised model using reinforcement learning from human feedback. We call the resulting models InstructGPT. In human evaluations on our prompt distribution, outputs from the 1.3B parameter InstructGPT model are preferred to outputs from the 175B GPT-3, despite having 100x fewer parameters. Moreover, InstructGPT models show improvements in truthfulness and reductions in toxic output generation while having minimal performance regressions on public NLP datasets. Even though InstructGPT still makes simple mistakes, our results show that fine-tuning with human feedback is a promising direction for aligning language models with human intent.","DOI":"10.48550/ARXIV.2203.02155","license":"arXiv.org perpetual, non-exclusive license","note":"version: 1","publisher":"arXiv","source":"DOI.org (Datacite)","title":"Training language models to follow instructions with human feedback","URL":"https://arxiv.org/abs/2203.02155","author":[{"family":"Ouyang","given":"Long"},{"family":"Wu","given":"Jeff"},{"family":"Jiang","given":"Xu"},{"family":"Almeida","given":"Diogo"},{"family":"Wainwright","given":"Carroll L."},{"family":"Mishkin","given":"Pamela"},{"family":"Zhang","given":"Chong"},{"family":"Agarwal","given":"Sandhini"},{"family":"Slama","given":"Katarina"},{"family":"Ray","given":"Alex"},{"family":"Schulman","given":"John"},{"family":"Hilton","given":"Jacob"},{"family":"Kelton","given":"Fraser"},{"family":"Miller","given":"Luke"},{"family":"Simens","given":"Maddie"},{"family":"Askell","given":"Amanda"},{"family":"Welinder","given":"Peter"},{"family":"Christiano","given":"Paul"},{"family":"Leike","given":"Jan"},{"family":"Lowe","given":"Ryan"}],"accessed":{"date-parts":[["2026",3,23]]},"issued":{"date-parts":[["2022"]]}}}],"schema":"https://github.com/citation-style-language/schema/raw/master/csl-citation.json"} </w:instrText>
      </w:r>
      <w:r w:rsidR="001728FF">
        <w:fldChar w:fldCharType="separate"/>
      </w:r>
      <w:r w:rsidR="001728FF" w:rsidRPr="001728FF">
        <w:t>(Ouyang et al., 2022)</w:t>
      </w:r>
      <w:r w:rsidR="001728FF">
        <w:fldChar w:fldCharType="end"/>
      </w:r>
      <w:r>
        <w:t xml:space="preserve"> represent contemporary attempts to </w:t>
      </w:r>
      <w:r w:rsidR="000F1E83">
        <w:t>internalize</w:t>
      </w:r>
      <w:r>
        <w:t xml:space="preserve"> human values into model training, partially shifting oversight from the inference stage to the training stage. However, as </w:t>
      </w:r>
      <w:r w:rsidR="003E594B">
        <w:fldChar w:fldCharType="begin"/>
      </w:r>
      <w:r w:rsidR="0016602E">
        <w:instrText xml:space="preserve"> ADDIN ZOTERO_ITEM CSL_CITATION {"citationID":"VqXeq3V5","properties":{"formattedCitation":"(Bommasani et al., 2022)","plainCitation":"(Bommasani et al., 2022)","dontUpdate":true,"noteIndex":0},"citationItems":[{"id":2596,"uris":["http://zotero.org/users/6567242/items/MEM52G6Y"],"itemData":{"id":2596,"type":"article","abstract":"AI is undergoing a paradigm shift with the rise of models (e.g., BERT, DALL-E, GPT-3) that are trained on broad data at scale and are adaptable to a wide range of downstream tasks. We call these models foundation models to underscore their critically central yet incomplete character. This report provides a thorough account of the opportunities and risks of foundation models, ranging from their capabilities (e.g., language, vision, robotics, reasoning, human interaction) and technical principles(e.g., model architectures, training procedures, data, systems, security, evaluation, theory) to their applications (e.g., law, healthcare, education) and societal impact (e.g., inequity, misuse, economic and environmental impact, legal and ethical considerations). Though foundation models are based on standard deep learning and transfer learning, their scale results in new emergent capabilities,and their effectiveness across so many tasks incentivizes homogenization. Homogenization provides powerful leverage but demands caution, as the defects of the foundation model are inherited by all the adapted models downstream. Despite the impending widespread deployment of foundation models, we currently lack a clear understanding of how they work, when they fail, and what they are even capable of due to their emergent properties. To tackle these questions, we believe much of the critical research on foundation models will require deep interdisciplinary collaboration commensurate with their fundamentally sociotechnical nature.","DOI":"10.48550/arXiv.2108.07258","note":"arXiv:2108.07258 [cs]","number":"arXiv:2108.07258","publisher":"arXiv","source":"arXiv.org","title":"On the Opportunities and Risks of Foundation Models","URL":"http://arxiv.org/abs/2108.07258","author":[{"family":"Bommasani","given":"Rishi"},{"family":"Hudson","given":"Drew A."},{"family":"Adeli","given":"Ehsan"},{"family":"Altman","given":"Russ"},{"family":"Arora","given":"Simran"},{"family":"Arx","given":"Sydney","dropping-particle":"von"},{"family":"Bernstein","given":"Michael S."},{"family":"Bohg","given":"Jeannette"},{"family":"Bosselut","given":"Antoine"},{"family":"Brunskill","given":"Emma"},{"family":"Brynjolfsson","given":"Erik"},{"family":"Buch","given":"Shyamal"},{"family":"Card","given":"Dallas"},{"family":"Castellon","given":"Rodrigo"},{"family":"Chatterji","given":"Niladri"},{"family":"Chen","given":"Annie"},{"family":"Creel","given":"Kathleen"},{"family":"Davis","given":"Jared Quincy"},{"family":"Demszky","given":"Dora"},{"family":"Donahue","given":"Chris"},{"family":"Doumbouya","given":"Moussa"},{"family":"Durmus","given":"Esin"},{"family":"Ermon","given":"Stefano"},{"family":"Etchemendy","given":"John"},{"family":"Ethayarajh","given":"Kawin"},{"family":"Fei-Fei","given":"Li"},{"family":"Finn","given":"Chelsea"},{"family":"Gale","given":"Trevor"},{"family":"Gillespie","given":"Lauren"},{"family":"Goel","given":"Karan"},{"family":"Goodman","given":"Noah"},{"family":"Grossman","given":"Shelby"},{"family":"Guha","given":"Neel"},{"family":"Hashimoto","given":"Tatsunori"},{"family":"Henderson","given":"Peter"},{"family":"Hewitt","given":"John"},{"family":"Ho","given":"Daniel E."},{"family":"Hong","given":"Jenny"},{"family":"Hsu","given":"Kyle"},{"family":"Huang","given":"Jing"},{"family":"Icard","given":"Thomas"},{"family":"Jain","given":"Saahil"},{"family":"Jurafsky","given":"Dan"},{"family":"Kalluri","given":"Pratyusha"},{"family":"Karamcheti","given":"Siddharth"},{"family":"Keeling","given":"Geoff"},{"family":"Khani","given":"Fereshte"},{"family":"Khattab","given":"Omar"},{"family":"Koh","given":"Pang Wei"},{"family":"Krass","given":"Mark"},{"family":"Krishna","given":"Ranjay"},{"family":"Kuditipudi","given":"Rohith"},{"family":"Kumar","given":"Ananya"},{"family":"Ladhak","given":"Faisal"},{"family":"Lee","given":"Mina"},{"family":"Lee","given":"Tony"},{"family":"Leskovec","given":"Jure"},{"family":"Levent","given":"Isabelle"},{"family":"Li","given":"Xiang Lisa"},{"family":"Li","given":"Xuechen"},{"family":"Ma","given":"Tengyu"},{"family":"Malik","given":"Ali"},{"family":"Manning","given":"Christopher D."},{"family":"Mirchandani","given":"Suvir"},{"family":"Mitchell","given":"Eric"},{"family":"Munyikwa","given":"Zanele"},{"family":"Nair","given":"Suraj"},{"family":"Narayan","given":"Avanika"},{"family":"Narayanan","given":"Deepak"},{"family":"Newman","given":"Ben"},{"family":"Nie","given":"Allen"},{"family":"Niebles","given":"Juan Carlos"},{"family":"Nilforoshan","given":"Hamed"},{"family":"Nyarko","given":"Julian"},{"family":"Ogut","given":"Giray"},{"family":"Orr","given":"Laurel"},{"family":"Papadimitriou","given":"Isabel"},{"family":"Park","given":"Joon Sung"},{"family":"Piech","given":"Chris"},{"family":"Portelance","given":"Eva"},{"family":"Potts","given":"Christopher"},{"family":"Raghunathan","given":"Aditi"},{"family":"Reich","given":"Rob"},{"family":"Ren","given":"Hongyu"},{"family":"Rong","given":"Frieda"},{"family":"Roohani","given":"Yusuf"},{"family":"Ruiz","given":"Camilo"},{"family":"Ryan","given":"Jack"},{"family":"Ré","given":"Christopher"},{"family":"Sadigh","given":"Dorsa"},{"family":"Sagawa","given":"Shiori"},{"family":"Santhanam","given":"Keshav"},{"family":"Shih","given":"Andy"},{"family":"Srinivasan","given":"Krishnan"},{"family":"Tamkin","given":"Alex"},{"family":"Taori","given":"Rohan"},{"family":"Thomas","given":"Armin W."},{"family":"Tramèr","given":"Florian"},{"family":"Wang","given":"Rose E."},{"family":"Wang","given":"William"},{"family":"Wu","given":"Bohan"},{"family":"Wu","given":"Jiajun"},{"family":"Wu","given":"Yuhuai"},{"family":"Xie","given":"Sang Michael"},{"family":"Yasunaga","given":"Michihiro"},{"family":"You","given":"Jiaxuan"},{"family":"Zaharia","given":"Matei"},{"family":"Zhang","given":"Michael"},{"family":"Zhang","given":"Tianyi"},{"family":"Zhang","given":"Xikun"},{"family":"Zhang","given":"Yuhui"},{"family":"Zheng","given":"Lucia"},{"family":"Zhou","given":"Kaitlyn"},{"family":"Liang","given":"Percy"}],"accessed":{"date-parts":[["2025",11,23]]},"issued":{"date-parts":[["2022",7,12]]}}}],"schema":"https://github.com/citation-style-language/schema/raw/master/csl-citation.json"} </w:instrText>
      </w:r>
      <w:r w:rsidR="003E594B">
        <w:fldChar w:fldCharType="separate"/>
      </w:r>
      <w:r w:rsidR="003E594B" w:rsidRPr="003E594B">
        <w:t xml:space="preserve">Bommasani et al. </w:t>
      </w:r>
      <w:r w:rsidR="003E594B">
        <w:t>(</w:t>
      </w:r>
      <w:r w:rsidR="003E594B" w:rsidRPr="003E594B">
        <w:t>2022)</w:t>
      </w:r>
      <w:r w:rsidR="003E594B">
        <w:fldChar w:fldCharType="end"/>
      </w:r>
      <w:r>
        <w:t xml:space="preserve"> note, this creates a </w:t>
      </w:r>
      <w:r w:rsidR="000F1E83">
        <w:t>homogenization</w:t>
      </w:r>
      <w:r>
        <w:t xml:space="preserve"> risk: if oversight is embedded in a foundation model, errors in that oversight propagate to all downstream applications.</w:t>
      </w:r>
    </w:p>
    <w:p w14:paraId="02B7AAEB" w14:textId="29199A00" w:rsidR="006F243D" w:rsidRPr="00E4074A" w:rsidRDefault="00000000" w:rsidP="00260658">
      <w:pPr>
        <w:pStyle w:val="Heading3"/>
      </w:pPr>
      <w:bookmarkStart w:id="12" w:name="_Toc225135045"/>
      <w:r w:rsidRPr="00E4074A">
        <w:t>Sociotechnical Systems Theory</w:t>
      </w:r>
      <w:bookmarkEnd w:id="12"/>
    </w:p>
    <w:p w14:paraId="5B24B1A4" w14:textId="5F52BE6E" w:rsidR="006F243D" w:rsidRDefault="00000000" w:rsidP="00573544">
      <w:r>
        <w:t xml:space="preserve">Sociotechnical systems (STS) theory, originating in </w:t>
      </w:r>
      <w:r w:rsidR="008B74A6">
        <w:fldChar w:fldCharType="begin"/>
      </w:r>
      <w:r w:rsidR="0016602E">
        <w:instrText xml:space="preserve"> ADDIN ZOTERO_ITEM CSL_CITATION {"citationID":"LavkMBro","properties":{"formattedCitation":"(Trist &amp; Bamforth, 1951)","plainCitation":"(Trist &amp; Bamforth, 1951)","dontUpdate":true,"noteIndex":0},"citationItems":[{"id":787,"uris":["http://zotero.org/users/6567242/items/WD52H3H5"],"itemData":{"id":787,"type":"article-journal","container-title":"Human Relations","issue":"1","page":"3-38","title":"Some social and psychological consequences of the longwall method of coal-getting","volume":"4","author":[{"family":"Trist","given":"E"},{"family":"Bamforth","given":"K"}],"issued":{"date-parts":[["1951"]]}}}],"schema":"https://github.com/citation-style-language/schema/raw/master/csl-citation.json"} </w:instrText>
      </w:r>
      <w:r w:rsidR="008B74A6">
        <w:fldChar w:fldCharType="separate"/>
      </w:r>
      <w:r w:rsidR="008B74A6" w:rsidRPr="008B74A6">
        <w:t xml:space="preserve">Trist &amp; Bamforth </w:t>
      </w:r>
      <w:r w:rsidR="008B74A6">
        <w:t>(</w:t>
      </w:r>
      <w:r w:rsidR="008B74A6" w:rsidRPr="008B74A6">
        <w:t>1951)</w:t>
      </w:r>
      <w:r w:rsidR="008B74A6">
        <w:fldChar w:fldCharType="end"/>
      </w:r>
      <w:r>
        <w:t xml:space="preserve"> coal mine studies, insists that technical and social subsystems must be jointly </w:t>
      </w:r>
      <w:r w:rsidR="00B54CC3">
        <w:t>optimized</w:t>
      </w:r>
      <w:r>
        <w:t>, and that designing only the technical layer while leaving social structures unchanged produces suboptimal outcomes. Applied to agentic AI, STS theory highlights three failure modes</w:t>
      </w:r>
      <w:r w:rsidR="00FB1431">
        <w:t>. The modes are</w:t>
      </w:r>
      <w:r w:rsidR="00995D8E">
        <w:t>:</w:t>
      </w:r>
      <w:r>
        <w:t xml:space="preserve"> (</w:t>
      </w:r>
      <w:r w:rsidR="00240E0A">
        <w:t>i</w:t>
      </w:r>
      <w:r>
        <w:t xml:space="preserve">) accountability voids, where AI decision chains span </w:t>
      </w:r>
      <w:r w:rsidR="004C4E48">
        <w:t>organiz</w:t>
      </w:r>
      <w:r>
        <w:t>ational boundaries without clear human custodians; (</w:t>
      </w:r>
      <w:r w:rsidR="00240E0A">
        <w:t>ii</w:t>
      </w:r>
      <w:r>
        <w:t xml:space="preserve">) participation washing </w:t>
      </w:r>
      <w:r w:rsidR="00341B4D">
        <w:fldChar w:fldCharType="begin"/>
      </w:r>
      <w:r w:rsidR="00341B4D">
        <w:instrText xml:space="preserve"> ADDIN ZOTERO_ITEM CSL_CITATION {"citationID":"d0ez6LMV","properties":{"formattedCitation":"(Sloane et al., 2020)","plainCitation":"(Sloane et al., 2020)","noteIndex":0},"citationItems":[{"id":2996,"uris":["http://zotero.org/users/6567242/items/TRZXVCVM"],"itemData":{"id":2996,"type":"article","abstract":"This paper critically examines existing modes of participation in design practice and machine learning. Cautioning against 'participation-washing', it suggests that the ML community must become attuned to possibly exploitative and extractive forms of community involvement and shift away from the prerogatives of context-independent scalability.","DOI":"10.48550/ARXIV.2007.02423","license":"Creative Commons Attribution 4.0 International","note":"version: 3","publisher":"arXiv","source":"DOI.org (Datacite)","title":"Participation is not a Design Fix for Machine Learning","URL":"https://arxiv.org/abs/2007.02423","author":[{"family":"Sloane","given":"Mona"},{"family":"Moss","given":"Emanuel"},{"family":"Awomolo","given":"Olaitan"},{"family":"Forlano","given":"Laura"}],"accessed":{"date-parts":[["2026",3,23]]},"issued":{"date-parts":[["2020"]]}}}],"schema":"https://github.com/citation-style-language/schema/raw/master/csl-citation.json"} </w:instrText>
      </w:r>
      <w:r w:rsidR="00341B4D">
        <w:fldChar w:fldCharType="separate"/>
      </w:r>
      <w:r w:rsidR="00341B4D" w:rsidRPr="00341B4D">
        <w:t>(Sloane et al., 2020)</w:t>
      </w:r>
      <w:r w:rsidR="00341B4D">
        <w:fldChar w:fldCharType="end"/>
      </w:r>
      <w:r>
        <w:t>, where formally inclusive design processes fail to alter power asymmetries; and (</w:t>
      </w:r>
      <w:r w:rsidR="00F65049">
        <w:t>iii</w:t>
      </w:r>
      <w:r>
        <w:t xml:space="preserve">) </w:t>
      </w:r>
      <w:r w:rsidR="004C4E48">
        <w:t>organiz</w:t>
      </w:r>
      <w:r>
        <w:t xml:space="preserve">ational mimicry, where AI systems encode and amplify existing </w:t>
      </w:r>
      <w:r w:rsidR="004C4E48">
        <w:t>organiz</w:t>
      </w:r>
      <w:r>
        <w:t xml:space="preserve">ational biases rather than improving on them </w:t>
      </w:r>
      <w:r w:rsidR="000B21FC">
        <w:fldChar w:fldCharType="begin"/>
      </w:r>
      <w:r w:rsidR="000B21FC">
        <w:instrText xml:space="preserve"> ADDIN ZOTERO_ITEM CSL_CITATION {"citationID":"x6mlEkak","properties":{"formattedCitation":"(Madaio et al., 2020)","plainCitation":"(Madaio et al., 2020)","noteIndex":0},"citationItems":[{"id":2979,"uris":["http://zotero.org/users/6567242/items/PF5KICG5"],"itemData":{"id":2979,"type":"paper-conference","container-title":"Proceedings of the 2020 CHI Conference on Human Factors in Computing Systems","DOI":"10.1145/3313831.3376445","event-title":"CHI '20: CHI Conference on Human Factors in Computing Systems","ISBN":"978-1-4503-6708-0","language":"en","page":"1-14","publisher":"ACM","publisher-place":"Honolulu HI USA","source":"DOI.org (Crossref)","title":"Co-Designing Checklists to Understand Organizational Challenges and Opportunities around Fairness in AI","URL":"https://dl.acm.org/doi/10.1145/3313831.3376445","author":[{"family":"Madaio","given":"Michael A."},{"family":"Stark","given":"Luke"},{"family":"Wortman Vaughan","given":"Jennifer"},{"family":"Wallach","given":"Hanna"}],"accessed":{"date-parts":[["2026",3,23]]},"issued":{"date-parts":[["2020",4,21]]}}}],"schema":"https://github.com/citation-style-language/schema/raw/master/csl-citation.json"} </w:instrText>
      </w:r>
      <w:r w:rsidR="000B21FC">
        <w:fldChar w:fldCharType="separate"/>
      </w:r>
      <w:r w:rsidR="000B21FC" w:rsidRPr="000B21FC">
        <w:t>(Madaio et al., 2020)</w:t>
      </w:r>
      <w:r w:rsidR="000B21FC">
        <w:fldChar w:fldCharType="end"/>
      </w:r>
      <w:r>
        <w:t>.</w:t>
      </w:r>
    </w:p>
    <w:p w14:paraId="29BFCA3B" w14:textId="653891B8" w:rsidR="006F243D" w:rsidRDefault="00FE2367" w:rsidP="00573544">
      <w:r>
        <w:fldChar w:fldCharType="begin"/>
      </w:r>
      <w:r w:rsidR="00724CFF">
        <w:instrText xml:space="preserve"> ADDIN ZOTERO_ITEM CSL_CITATION {"citationID":"AkrBnmQi","properties":{"formattedCitation":"(Rahwan, 2018)","plainCitation":"(Rahwan, 2018)","dontUpdate":true,"noteIndex":0},"citationItems":[{"id":2987,"uris":["http://zotero.org/users/6567242/items/XHFERWW4"],"itemData":{"id":2987,"type":"article-journal","container-title":"Ethics and Information Technology","DOI":"10.1007/s10676-017-9430-8","ISSN":"1388-1957, 1572-8439","issue":"1","journalAbbreviation":"Ethics Inf Technol","language":"en","page":"5-14","source":"DOI.org (Crossref)","title":"Society-in-the-loop: programming the algorithmic social contract","title-short":"Society-in-the-loop","volume":"20","author":[{"family":"Rahwan","given":"Iyad"}],"issued":{"date-parts":[["2021",3]]}}}],"schema":"https://github.com/citation-style-language/schema/raw/master/csl-citation.json"} </w:instrText>
      </w:r>
      <w:r>
        <w:fldChar w:fldCharType="separate"/>
      </w:r>
      <w:r w:rsidRPr="00FE2367">
        <w:t>Rahwan</w:t>
      </w:r>
      <w:r w:rsidR="00CC2D9B">
        <w:t>'s</w:t>
      </w:r>
      <w:r w:rsidRPr="00FE2367">
        <w:t xml:space="preserve"> </w:t>
      </w:r>
      <w:r>
        <w:t>(</w:t>
      </w:r>
      <w:r w:rsidRPr="00FE2367">
        <w:t>2018)</w:t>
      </w:r>
      <w:r>
        <w:fldChar w:fldCharType="end"/>
      </w:r>
      <w:r>
        <w:t xml:space="preserve"> society-in-the-loop (SITL) framework</w:t>
      </w:r>
      <w:r w:rsidR="007A61D1">
        <w:t xml:space="preserve"> in </w:t>
      </w:r>
      <w:r w:rsidR="007A61D1">
        <w:fldChar w:fldCharType="begin"/>
      </w:r>
      <w:r w:rsidR="0016602E">
        <w:instrText xml:space="preserve"> ADDIN ZOTERO_ITEM CSL_CITATION {"citationID":"YR4VR0Yr","properties":{"formattedCitation":"(Vogl, 2021)","plainCitation":"(Vogl, 2021)","dontUpdate":true,"noteIndex":0},"citationItems":[{"id":3029,"uris":["http://zotero.org/users/6567242/items/XU5ZLWR8"],"itemData":{"id":3029,"type":"book","call-number":"K4293 .R47 2021","collection-title":"Research handbooks in information law","ISBN":"978-1-78897-281-9","number-of-pages":"507","publisher":"Edward Elgar Publishing Limited","publisher-place":"Cheltenham, UK ; Northampton, Massachusetts, USA","source":"Library of Congress ISBN","title":"Research handbook on big data law","editor":[{"family":"Vogl","given":"Roland"}],"issued":{"date-parts":[["2021"]]}}}],"schema":"https://github.com/citation-style-language/schema/raw/master/csl-citation.json"} </w:instrText>
      </w:r>
      <w:r w:rsidR="007A61D1">
        <w:fldChar w:fldCharType="separate"/>
      </w:r>
      <w:r w:rsidR="007A61D1" w:rsidRPr="007A61D1">
        <w:t xml:space="preserve">Vogl </w:t>
      </w:r>
      <w:r w:rsidR="00AD0FA2">
        <w:t>(</w:t>
      </w:r>
      <w:r w:rsidR="007A61D1" w:rsidRPr="007A61D1">
        <w:t>2021)</w:t>
      </w:r>
      <w:r w:rsidR="007A61D1">
        <w:fldChar w:fldCharType="end"/>
      </w:r>
      <w:r>
        <w:t xml:space="preserve"> extends HITL beyond individual operators to encompass collective social oversight mechanisms, including regulatory frameworks, public deliberation, and adversarial audit. SITL is important for agentic AI because the consequences of autonomous decisions often extend beyond any individual human overseer's scope of authority.</w:t>
      </w:r>
    </w:p>
    <w:p w14:paraId="3E4FA91D" w14:textId="6EA6A6FD" w:rsidR="006F243D" w:rsidRPr="00E4074A" w:rsidRDefault="00000000" w:rsidP="00260658">
      <w:pPr>
        <w:pStyle w:val="Heading2"/>
      </w:pPr>
      <w:bookmarkStart w:id="13" w:name="_Toc225135046"/>
      <w:r w:rsidRPr="00E4074A">
        <w:t>Human-in-the-Loop Framework Taxonomy</w:t>
      </w:r>
      <w:bookmarkEnd w:id="13"/>
    </w:p>
    <w:p w14:paraId="11178EE9" w14:textId="053A440F" w:rsidR="006F243D" w:rsidRDefault="00000000" w:rsidP="001D1EE1">
      <w:pPr>
        <w:spacing w:after="0"/>
      </w:pPr>
      <w:r>
        <w:t xml:space="preserve">The 187 studies in </w:t>
      </w:r>
      <w:r w:rsidR="00A20779">
        <w:t>this study’s</w:t>
      </w:r>
      <w:r>
        <w:t xml:space="preserve"> corpus reference or propose a diverse array of frameworks for structuring human involvement in AI pipelines. Across this literature, </w:t>
      </w:r>
      <w:r w:rsidR="009F7D20">
        <w:t>the study</w:t>
      </w:r>
      <w:r>
        <w:t xml:space="preserve"> identif</w:t>
      </w:r>
      <w:r w:rsidR="009F7D20">
        <w:t>ies</w:t>
      </w:r>
      <w:r>
        <w:t xml:space="preserve"> eight canonical framework types, which </w:t>
      </w:r>
      <w:r w:rsidR="009F7D20">
        <w:t>are</w:t>
      </w:r>
      <w:r>
        <w:t xml:space="preserve"> classif</w:t>
      </w:r>
      <w:r w:rsidR="009F7D20">
        <w:t>ied</w:t>
      </w:r>
      <w:r>
        <w:t xml:space="preserve"> along two axes: interaction mode</w:t>
      </w:r>
      <w:r w:rsidR="00766301">
        <w:t xml:space="preserve">, which describes </w:t>
      </w:r>
      <w:r>
        <w:t>how the human and AI exchange information</w:t>
      </w:r>
      <w:r w:rsidR="00766301">
        <w:t>;</w:t>
      </w:r>
      <w:r>
        <w:t xml:space="preserve"> and human effort</w:t>
      </w:r>
      <w:r w:rsidR="00766301">
        <w:t xml:space="preserve">, which describes </w:t>
      </w:r>
      <w:r>
        <w:t>the cognitive and temporal demands placed on the human overseer. These are presented in Table 2 as a representative sample of the literature, and in Table 3 as a comparative framework analysis.</w:t>
      </w:r>
    </w:p>
    <w:p w14:paraId="2751B6E3" w14:textId="77777777" w:rsidR="00240EAC" w:rsidRDefault="00240EAC" w:rsidP="00345297">
      <w:pPr>
        <w:spacing w:after="0" w:line="240" w:lineRule="auto"/>
      </w:pPr>
    </w:p>
    <w:p w14:paraId="68D188BC" w14:textId="188B69CB" w:rsidR="005E5553" w:rsidRDefault="005E5553" w:rsidP="005E5553">
      <w:pPr>
        <w:pStyle w:val="Cap"/>
      </w:pPr>
      <w:r>
        <w:t xml:space="preserve">Table </w:t>
      </w:r>
      <w:fldSimple w:instr=" SEQ Table \* ARABIC ">
        <w:r w:rsidR="00AF5F2C">
          <w:rPr>
            <w:noProof/>
          </w:rPr>
          <w:t>2</w:t>
        </w:r>
      </w:fldSimple>
    </w:p>
    <w:p w14:paraId="08885D1A" w14:textId="2A25ED54" w:rsidR="00EF4C83" w:rsidRPr="00240EAC" w:rsidRDefault="00240EAC" w:rsidP="00240EAC">
      <w:pPr>
        <w:rPr>
          <w:i/>
          <w:iCs/>
        </w:rPr>
      </w:pPr>
      <w:r w:rsidRPr="00240EAC">
        <w:rPr>
          <w:i/>
          <w:iCs/>
        </w:rPr>
        <w:t>Characteristics</w:t>
      </w:r>
      <w:r w:rsidR="00EF4C83" w:rsidRPr="00240EAC">
        <w:rPr>
          <w:i/>
          <w:iCs/>
        </w:rPr>
        <w:t xml:space="preserve"> of Representative Studies in the Systematic Review Corpus (n = 187; Sample Shown n = 2</w:t>
      </w:r>
      <w:r w:rsidR="006F2DEF">
        <w:rPr>
          <w:i/>
          <w:iCs/>
        </w:rPr>
        <w:t>6</w:t>
      </w:r>
      <w:r w:rsidR="00EF4C83" w:rsidRPr="00240EAC">
        <w:rPr>
          <w:i/>
          <w:iCs/>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723"/>
        <w:gridCol w:w="1427"/>
        <w:gridCol w:w="1440"/>
        <w:gridCol w:w="2250"/>
        <w:gridCol w:w="2520"/>
      </w:tblGrid>
      <w:tr w:rsidR="003E5719" w:rsidRPr="00020BD3" w14:paraId="27524724" w14:textId="77777777" w:rsidTr="00834850">
        <w:trPr>
          <w:tblHeader/>
        </w:trPr>
        <w:tc>
          <w:tcPr>
            <w:tcW w:w="1723" w:type="dxa"/>
            <w:tcBorders>
              <w:top w:val="single" w:sz="8" w:space="0" w:color="auto"/>
              <w:bottom w:val="single" w:sz="8" w:space="0" w:color="auto"/>
            </w:tcBorders>
            <w:vAlign w:val="center"/>
          </w:tcPr>
          <w:p w14:paraId="7268601F" w14:textId="77777777" w:rsidR="00EF4C83" w:rsidRPr="0059093C" w:rsidRDefault="00EF4C83" w:rsidP="0059093C">
            <w:pPr>
              <w:spacing w:after="0" w:line="240" w:lineRule="auto"/>
              <w:jc w:val="left"/>
              <w:rPr>
                <w:b/>
                <w:bCs/>
              </w:rPr>
            </w:pPr>
            <w:r w:rsidRPr="0059093C">
              <w:rPr>
                <w:b/>
                <w:bCs/>
              </w:rPr>
              <w:t>Citation</w:t>
            </w:r>
          </w:p>
        </w:tc>
        <w:tc>
          <w:tcPr>
            <w:tcW w:w="1427" w:type="dxa"/>
            <w:tcBorders>
              <w:top w:val="single" w:sz="8" w:space="0" w:color="auto"/>
              <w:bottom w:val="single" w:sz="8" w:space="0" w:color="auto"/>
            </w:tcBorders>
            <w:vAlign w:val="center"/>
          </w:tcPr>
          <w:p w14:paraId="293C6F83" w14:textId="77777777" w:rsidR="00EF4C83" w:rsidRPr="0059093C" w:rsidRDefault="00EF4C83" w:rsidP="0059093C">
            <w:pPr>
              <w:spacing w:after="0" w:line="240" w:lineRule="auto"/>
              <w:jc w:val="left"/>
              <w:rPr>
                <w:b/>
                <w:bCs/>
              </w:rPr>
            </w:pPr>
            <w:r w:rsidRPr="0059093C">
              <w:rPr>
                <w:b/>
                <w:bCs/>
              </w:rPr>
              <w:t>Design</w:t>
            </w:r>
          </w:p>
        </w:tc>
        <w:tc>
          <w:tcPr>
            <w:tcW w:w="1440" w:type="dxa"/>
            <w:tcBorders>
              <w:top w:val="single" w:sz="8" w:space="0" w:color="auto"/>
              <w:bottom w:val="single" w:sz="8" w:space="0" w:color="auto"/>
            </w:tcBorders>
            <w:vAlign w:val="center"/>
          </w:tcPr>
          <w:p w14:paraId="0E8EBDF3" w14:textId="77777777" w:rsidR="00EF4C83" w:rsidRPr="0059093C" w:rsidRDefault="00EF4C83" w:rsidP="0059093C">
            <w:pPr>
              <w:spacing w:after="0" w:line="240" w:lineRule="auto"/>
              <w:jc w:val="left"/>
              <w:rPr>
                <w:b/>
                <w:bCs/>
              </w:rPr>
            </w:pPr>
            <w:r w:rsidRPr="0059093C">
              <w:rPr>
                <w:b/>
                <w:bCs/>
              </w:rPr>
              <w:t>Domain</w:t>
            </w:r>
          </w:p>
        </w:tc>
        <w:tc>
          <w:tcPr>
            <w:tcW w:w="2250" w:type="dxa"/>
            <w:tcBorders>
              <w:top w:val="single" w:sz="8" w:space="0" w:color="auto"/>
              <w:bottom w:val="single" w:sz="8" w:space="0" w:color="auto"/>
            </w:tcBorders>
            <w:vAlign w:val="center"/>
          </w:tcPr>
          <w:p w14:paraId="1519C016" w14:textId="77777777" w:rsidR="00EF4C83" w:rsidRPr="0059093C" w:rsidRDefault="00EF4C83" w:rsidP="0059093C">
            <w:pPr>
              <w:spacing w:after="0" w:line="240" w:lineRule="auto"/>
              <w:jc w:val="left"/>
              <w:rPr>
                <w:b/>
                <w:bCs/>
              </w:rPr>
            </w:pPr>
            <w:r w:rsidRPr="0059093C">
              <w:rPr>
                <w:b/>
                <w:bCs/>
              </w:rPr>
              <w:t>Focus</w:t>
            </w:r>
          </w:p>
        </w:tc>
        <w:tc>
          <w:tcPr>
            <w:tcW w:w="2520" w:type="dxa"/>
            <w:tcBorders>
              <w:top w:val="single" w:sz="8" w:space="0" w:color="auto"/>
              <w:bottom w:val="single" w:sz="8" w:space="0" w:color="auto"/>
            </w:tcBorders>
            <w:vAlign w:val="center"/>
          </w:tcPr>
          <w:p w14:paraId="17EAD74C" w14:textId="77777777" w:rsidR="00EF4C83" w:rsidRPr="0059093C" w:rsidRDefault="00EF4C83" w:rsidP="0059093C">
            <w:pPr>
              <w:spacing w:after="0" w:line="240" w:lineRule="auto"/>
              <w:jc w:val="left"/>
              <w:rPr>
                <w:b/>
                <w:bCs/>
              </w:rPr>
            </w:pPr>
            <w:r w:rsidRPr="0059093C">
              <w:rPr>
                <w:b/>
                <w:bCs/>
              </w:rPr>
              <w:t>Key Finding / Contribution</w:t>
            </w:r>
          </w:p>
        </w:tc>
      </w:tr>
      <w:tr w:rsidR="003E5719" w:rsidRPr="00020BD3" w14:paraId="72C0B7DE" w14:textId="77777777" w:rsidTr="00834850">
        <w:tc>
          <w:tcPr>
            <w:tcW w:w="1723" w:type="dxa"/>
            <w:tcBorders>
              <w:top w:val="single" w:sz="8" w:space="0" w:color="auto"/>
            </w:tcBorders>
          </w:tcPr>
          <w:p w14:paraId="1A800353" w14:textId="60D262CF" w:rsidR="00EF4C83" w:rsidRPr="00020BD3" w:rsidRDefault="00CD3889" w:rsidP="002070FE">
            <w:pPr>
              <w:spacing w:after="0" w:line="240" w:lineRule="auto"/>
              <w:jc w:val="left"/>
            </w:pPr>
            <w:r>
              <w:fldChar w:fldCharType="begin"/>
            </w:r>
            <w:r w:rsidR="0016602E">
              <w:instrText xml:space="preserve"> ADDIN ZOTERO_ITEM CSL_CITATION {"citationID":"uNbil3P4","properties":{"formattedCitation":"(Shneiderman, 2020, 2022)","plainCitation":"(Shneiderman, 2020, 2022)","dontUpdate":true,"noteIndex":0},"citationItems":[{"id":2990,"uris":["http://zotero.org/users/6567242/items/HKIQT689"],"itemData":{"id":2990,"type":"article-journal","container-title":"International Journal of Human–Computer Interaction","DOI":"10.1080/10447318.2020.1741118","ISSN":"1044-7318, 1532-7590","issue":"6","journalAbbreviation":"International Journal of Human–Computer Interaction","language":"en","page":"495-504","source":"DOI.org (Crossref)","title":"Human-Centered Artificial Intelligence: Reliable, Safe &amp; Trustworthy","title-short":"Human-Centered Artificial Intelligence","volume":"36","author":[{"family":"Shneiderman","given":"Ben"}],"issued":{"date-parts":[["2020",4,2]]}}},{"id":2991,"uris":["http://zotero.org/users/6567242/items/UJFJX8ZN"],"itemData":{"id":2991,"type":"book","abstract":"Abstract\n            Researchers, developers, business leaders, policy makers, and others are expanding the technology-centered scope of artificial intelligence (AI) to include human-centered AI (HCAI) ways of thinking. This expansion from an algorithm-focused view to embrace a human-centered perspective can shape the future of technology so as to better serve human needs. Educators, designers, software engineers, product managers, evaluators, and government agency staffers can build on AI-driven technologies to design products and services that make life better for people and enable people to care for each other. Humans have always been tool builders, and now they are supertool builders, whose inventions can improve our health, family life, education, business, the environment, and much more. The remarkable progress in algorithms for machine and deep learning have opened the doors to new opportunities, and some dark possibilities. However, a bright future awaits AI researchers, developers, business leaders, policy makers, and others who build on their working methods by including HCAI strategies of design and testing. This enlarged vision can shape the future of technology so as to better serve human needs. As many technology companies and thought leaders have said, the goal is not to replace people, but to empower them by making design choices that give humans control over technology.","DOI":"10.1093/oso/9780192845290.001.0001","edition":"1","ISBN":"978-0-19-284529-0","language":"en","publisher":"Oxford University PressOxford","source":"DOI.org (Crossref)","title":"Human-Centered AI","URL":"https://academic.oup.com/book/41126","author":[{"family":"Shneiderman","given":"Ben"}],"accessed":{"date-parts":[["2026",3,23]]},"issued":{"date-parts":[["2022",1,13]]}}}],"schema":"https://github.com/citation-style-language/schema/raw/master/csl-citation.json"} </w:instrText>
            </w:r>
            <w:r>
              <w:fldChar w:fldCharType="separate"/>
            </w:r>
            <w:r w:rsidRPr="00CD3889">
              <w:t xml:space="preserve">Shneiderman </w:t>
            </w:r>
            <w:r w:rsidR="00E87D0E">
              <w:t>(</w:t>
            </w:r>
            <w:r w:rsidRPr="00CD3889">
              <w:t>2020, 2022)</w:t>
            </w:r>
            <w:r>
              <w:fldChar w:fldCharType="end"/>
            </w:r>
          </w:p>
        </w:tc>
        <w:tc>
          <w:tcPr>
            <w:tcW w:w="1427" w:type="dxa"/>
            <w:tcBorders>
              <w:top w:val="single" w:sz="8" w:space="0" w:color="auto"/>
            </w:tcBorders>
          </w:tcPr>
          <w:p w14:paraId="3C0C596D" w14:textId="77777777" w:rsidR="00EF4C83" w:rsidRPr="00020BD3" w:rsidRDefault="00EF4C83" w:rsidP="002070FE">
            <w:pPr>
              <w:spacing w:after="0" w:line="240" w:lineRule="auto"/>
              <w:jc w:val="left"/>
            </w:pPr>
            <w:r w:rsidRPr="00020BD3">
              <w:t>Conceptual</w:t>
            </w:r>
          </w:p>
        </w:tc>
        <w:tc>
          <w:tcPr>
            <w:tcW w:w="1440" w:type="dxa"/>
            <w:tcBorders>
              <w:top w:val="single" w:sz="8" w:space="0" w:color="auto"/>
            </w:tcBorders>
          </w:tcPr>
          <w:p w14:paraId="40CF6F02" w14:textId="77777777" w:rsidR="00EF4C83" w:rsidRPr="00020BD3" w:rsidRDefault="00EF4C83" w:rsidP="002070FE">
            <w:pPr>
              <w:spacing w:after="0" w:line="240" w:lineRule="auto"/>
              <w:jc w:val="left"/>
            </w:pPr>
            <w:r w:rsidRPr="00020BD3">
              <w:t>Cross-sector</w:t>
            </w:r>
          </w:p>
        </w:tc>
        <w:tc>
          <w:tcPr>
            <w:tcW w:w="2250" w:type="dxa"/>
            <w:tcBorders>
              <w:top w:val="single" w:sz="8" w:space="0" w:color="auto"/>
            </w:tcBorders>
          </w:tcPr>
          <w:p w14:paraId="70E27358" w14:textId="77777777" w:rsidR="00EF4C83" w:rsidRPr="00020BD3" w:rsidRDefault="00EF4C83" w:rsidP="002070FE">
            <w:pPr>
              <w:spacing w:after="0" w:line="240" w:lineRule="auto"/>
              <w:jc w:val="left"/>
            </w:pPr>
            <w:r w:rsidRPr="00020BD3">
              <w:t>Human-centered AI design principles</w:t>
            </w:r>
          </w:p>
        </w:tc>
        <w:tc>
          <w:tcPr>
            <w:tcW w:w="2520" w:type="dxa"/>
            <w:tcBorders>
              <w:top w:val="single" w:sz="8" w:space="0" w:color="auto"/>
            </w:tcBorders>
          </w:tcPr>
          <w:p w14:paraId="3A6FEC15" w14:textId="77777777" w:rsidR="00EF4C83" w:rsidRPr="00020BD3" w:rsidRDefault="00EF4C83" w:rsidP="002070FE">
            <w:pPr>
              <w:spacing w:after="0" w:line="240" w:lineRule="auto"/>
              <w:jc w:val="left"/>
            </w:pPr>
            <w:r w:rsidRPr="00020BD3">
              <w:t>Four-quadrant HCAI framework; reliability-safety matrix</w:t>
            </w:r>
          </w:p>
        </w:tc>
      </w:tr>
      <w:tr w:rsidR="003E5719" w:rsidRPr="00020BD3" w14:paraId="77AC7E49" w14:textId="77777777" w:rsidTr="00834850">
        <w:tc>
          <w:tcPr>
            <w:tcW w:w="1723" w:type="dxa"/>
          </w:tcPr>
          <w:p w14:paraId="665AC279" w14:textId="07A3DFEC" w:rsidR="00EF4C83" w:rsidRPr="00020BD3" w:rsidRDefault="002070FE" w:rsidP="002070FE">
            <w:pPr>
              <w:spacing w:after="0" w:line="240" w:lineRule="auto"/>
              <w:jc w:val="left"/>
            </w:pPr>
            <w:r>
              <w:fldChar w:fldCharType="begin"/>
            </w:r>
            <w:r w:rsidR="0016602E">
              <w:instrText xml:space="preserve"> ADDIN ZOTERO_ITEM CSL_CITATION {"citationID":"xnii9bFy","properties":{"formattedCitation":"(Munro, 2021)","plainCitation":"(Munro, 2021)","dontUpdate":true,"noteIndex":0},"citationItems":[{"id":2981,"uris":["http://zotero.org/users/6567242/items/R4TPAIQM"],"itemData":{"id":2981,"type":"book","abstract":"Human-in-the-Loop Machine Learning lays out methods for humans and machines to work together effectively. You’ll find best practices on selecting sample data for human feedback, quality control for human annotations, and designing annotation interfaces. You’ll learn to create training data for labeling, object detection, and semantic segmentation, sequence labeling, and more. The book starts with the basics and progresses to advanced techniques like transfer learning and self-supervision within annotation workflows","edition":"1st edition","ISBN":"978-1-61729-674-1","language":"eng","number-of-pages":"1","publisher":"Manning Publications","publisher-place":"Erscheinungsort nicht ermittelbar","source":"K10plus ISBN","title":"Human-in-the-Loop Machine Learning","author":[{"family":"Munro","given":"Rob"}],"contributor":[{"literal":"Safari, an O’Reilly Media Company"}],"issued":{"date-parts":[["2021"]]}}}],"schema":"https://github.com/citation-style-language/schema/raw/master/csl-citation.json"} </w:instrText>
            </w:r>
            <w:r>
              <w:fldChar w:fldCharType="separate"/>
            </w:r>
            <w:r w:rsidRPr="002070FE">
              <w:t xml:space="preserve">Munro </w:t>
            </w:r>
            <w:r>
              <w:t>(</w:t>
            </w:r>
            <w:r w:rsidRPr="002070FE">
              <w:t>2021)</w:t>
            </w:r>
            <w:r>
              <w:fldChar w:fldCharType="end"/>
            </w:r>
          </w:p>
        </w:tc>
        <w:tc>
          <w:tcPr>
            <w:tcW w:w="1427" w:type="dxa"/>
          </w:tcPr>
          <w:p w14:paraId="42E37B7E" w14:textId="77777777" w:rsidR="00EF4C83" w:rsidRPr="00020BD3" w:rsidRDefault="00EF4C83" w:rsidP="002070FE">
            <w:pPr>
              <w:spacing w:after="0" w:line="240" w:lineRule="auto"/>
              <w:jc w:val="left"/>
            </w:pPr>
            <w:r w:rsidRPr="00020BD3">
              <w:t>Review/Conceptual</w:t>
            </w:r>
          </w:p>
        </w:tc>
        <w:tc>
          <w:tcPr>
            <w:tcW w:w="1440" w:type="dxa"/>
          </w:tcPr>
          <w:p w14:paraId="2C055AF4" w14:textId="77777777" w:rsidR="00EF4C83" w:rsidRPr="00020BD3" w:rsidRDefault="00EF4C83" w:rsidP="002070FE">
            <w:pPr>
              <w:spacing w:after="0" w:line="240" w:lineRule="auto"/>
              <w:jc w:val="left"/>
            </w:pPr>
            <w:r w:rsidRPr="00020BD3">
              <w:t>NLP/ML</w:t>
            </w:r>
          </w:p>
        </w:tc>
        <w:tc>
          <w:tcPr>
            <w:tcW w:w="2250" w:type="dxa"/>
          </w:tcPr>
          <w:p w14:paraId="647F15BC" w14:textId="77777777" w:rsidR="00EF4C83" w:rsidRPr="00020BD3" w:rsidRDefault="00EF4C83" w:rsidP="002070FE">
            <w:pPr>
              <w:spacing w:after="0" w:line="240" w:lineRule="auto"/>
              <w:jc w:val="left"/>
            </w:pPr>
            <w:r w:rsidRPr="00020BD3">
              <w:t>Active learning &amp; HITL in ML pipelines</w:t>
            </w:r>
          </w:p>
        </w:tc>
        <w:tc>
          <w:tcPr>
            <w:tcW w:w="2520" w:type="dxa"/>
          </w:tcPr>
          <w:p w14:paraId="7A71B7FE" w14:textId="77777777" w:rsidR="00EF4C83" w:rsidRPr="00020BD3" w:rsidRDefault="00EF4C83" w:rsidP="002070FE">
            <w:pPr>
              <w:spacing w:after="0" w:line="240" w:lineRule="auto"/>
              <w:jc w:val="left"/>
            </w:pPr>
            <w:r w:rsidRPr="00020BD3">
              <w:t>Six-stage active learning cycle with human annotation nodes</w:t>
            </w:r>
          </w:p>
        </w:tc>
      </w:tr>
      <w:tr w:rsidR="003E5719" w:rsidRPr="00020BD3" w14:paraId="6C24C640" w14:textId="77777777" w:rsidTr="00834850">
        <w:tc>
          <w:tcPr>
            <w:tcW w:w="1723" w:type="dxa"/>
          </w:tcPr>
          <w:p w14:paraId="2F75AFD4" w14:textId="4E55141B" w:rsidR="00EF4C83" w:rsidRPr="00020BD3" w:rsidRDefault="00A53038" w:rsidP="002070FE">
            <w:pPr>
              <w:spacing w:after="0" w:line="240" w:lineRule="auto"/>
              <w:jc w:val="left"/>
            </w:pPr>
            <w:r>
              <w:fldChar w:fldCharType="begin"/>
            </w:r>
            <w:r w:rsidR="0016602E">
              <w:instrText xml:space="preserve"> ADDIN ZOTERO_ITEM CSL_CITATION {"citationID":"4MMW55XO","properties":{"formattedCitation":"(Hemmer et al., 2021)","plainCitation":"(Hemmer et al., 2021)","dontUpdate":true,"noteIndex":0},"citationItems":[{"id":2963,"uris":["http://zotero.org/users/6567242/items/9XNJ45QL"],"itemData":{"id":2963,"type":"paper-conference","container-title":"PACIS 2021 Proceedings","publisher":"AIS eLibrary","publisher-place":"Karlsruhe Institute of Technology","source":"COinS","title":"Human-AI Complementarity in Hybrid Intelligence Systems: A Structured Literature Review","title-short":"Human-AI Complementarity in Hybrid Intelligence Systems","URL":"https://aisel.aisnet.org/pacis2021/78","volume":"78","author":[{"family":"Hemmer","given":"Patrick"},{"family":"Schemmer","given":"Max"},{"family":"Vössing","given":"Michael"},{"family":"Kühl","given":"Niklas"}],"issued":{"date-parts":[["2021",7,12]]}}}],"schema":"https://github.com/citation-style-language/schema/raw/master/csl-citation.json"} </w:instrText>
            </w:r>
            <w:r>
              <w:fldChar w:fldCharType="separate"/>
            </w:r>
            <w:r w:rsidRPr="00A53038">
              <w:t xml:space="preserve">Hemmer et al. </w:t>
            </w:r>
            <w:r>
              <w:t>(</w:t>
            </w:r>
            <w:r w:rsidRPr="00A53038">
              <w:t>2021)</w:t>
            </w:r>
            <w:r>
              <w:fldChar w:fldCharType="end"/>
            </w:r>
          </w:p>
        </w:tc>
        <w:tc>
          <w:tcPr>
            <w:tcW w:w="1427" w:type="dxa"/>
          </w:tcPr>
          <w:p w14:paraId="50E734DA" w14:textId="77777777" w:rsidR="00EF4C83" w:rsidRPr="00020BD3" w:rsidRDefault="00EF4C83" w:rsidP="002070FE">
            <w:pPr>
              <w:spacing w:after="0" w:line="240" w:lineRule="auto"/>
              <w:jc w:val="left"/>
            </w:pPr>
            <w:r w:rsidRPr="00020BD3">
              <w:t>Empirical (RCT)</w:t>
            </w:r>
          </w:p>
        </w:tc>
        <w:tc>
          <w:tcPr>
            <w:tcW w:w="1440" w:type="dxa"/>
          </w:tcPr>
          <w:p w14:paraId="50E36B0F" w14:textId="77777777" w:rsidR="00EF4C83" w:rsidRPr="00020BD3" w:rsidRDefault="00EF4C83" w:rsidP="002070FE">
            <w:pPr>
              <w:spacing w:after="0" w:line="240" w:lineRule="auto"/>
              <w:jc w:val="left"/>
            </w:pPr>
            <w:r w:rsidRPr="00020BD3">
              <w:t>Multiple</w:t>
            </w:r>
          </w:p>
        </w:tc>
        <w:tc>
          <w:tcPr>
            <w:tcW w:w="2250" w:type="dxa"/>
          </w:tcPr>
          <w:p w14:paraId="3F8EEC73" w14:textId="77777777" w:rsidR="00EF4C83" w:rsidRPr="00020BD3" w:rsidRDefault="00EF4C83" w:rsidP="002070FE">
            <w:pPr>
              <w:spacing w:after="0" w:line="240" w:lineRule="auto"/>
              <w:jc w:val="left"/>
            </w:pPr>
            <w:r w:rsidRPr="00020BD3">
              <w:t>Complementarity in human-AI teams</w:t>
            </w:r>
          </w:p>
        </w:tc>
        <w:tc>
          <w:tcPr>
            <w:tcW w:w="2520" w:type="dxa"/>
          </w:tcPr>
          <w:p w14:paraId="6911D4FC" w14:textId="77777777" w:rsidR="00EF4C83" w:rsidRPr="00020BD3" w:rsidRDefault="00EF4C83" w:rsidP="002070FE">
            <w:pPr>
              <w:spacing w:after="0" w:line="240" w:lineRule="auto"/>
              <w:jc w:val="left"/>
            </w:pPr>
            <w:r w:rsidRPr="00020BD3">
              <w:t>Optimal performance when AI confidence is disclosed; calibrated trust boundary conditions</w:t>
            </w:r>
          </w:p>
        </w:tc>
      </w:tr>
      <w:tr w:rsidR="003E5719" w:rsidRPr="00020BD3" w14:paraId="541935A5" w14:textId="77777777" w:rsidTr="00834850">
        <w:tc>
          <w:tcPr>
            <w:tcW w:w="1723" w:type="dxa"/>
          </w:tcPr>
          <w:p w14:paraId="59D66502" w14:textId="46228E07" w:rsidR="00EF4C83" w:rsidRPr="00020BD3" w:rsidRDefault="004F5251" w:rsidP="002070FE">
            <w:pPr>
              <w:spacing w:after="0" w:line="240" w:lineRule="auto"/>
              <w:jc w:val="left"/>
            </w:pPr>
            <w:r>
              <w:fldChar w:fldCharType="begin"/>
            </w:r>
            <w:r w:rsidR="0016602E">
              <w:instrText xml:space="preserve"> ADDIN ZOTERO_ITEM CSL_CITATION {"citationID":"YEcNKElC","properties":{"formattedCitation":"(Lai et al., 2021)","plainCitation":"(Lai et al., 2021)","dontUpdate":true,"noteIndex":0},"citationItems":[{"id":2969,"uris":["http://zotero.org/users/6567242/items/7P2FGHJT"],"itemData":{"id":2969,"type":"article","abstract":"As AI systems demonstrate increasingly strong predictive performance, their adoption has grown in numerous domains. However, in high-stakes domains such as criminal justice and healthcare, full automation is often not desirable due to safety, ethical, and legal concerns, yet fully manual approaches can be inaccurate and time consuming. As a result, there is growing interest in the research community to augment human decision making with AI assistance. Besides developing AI technologies for this purpose, the emerging field of human-AI decision making must embrace empirical approaches to form a foundational understanding of how humans interact and work with AI to make decisions. To invite and help structure research efforts towards a science of understanding and improving human-AI decision making, we survey recent literature of empirical human-subject studies on this topic. We summarize the study design choices made in over 100 papers in three important aspects: (1) decision tasks, (2) AI models and AI assistance elements, and (3) evaluation metrics. For each aspect, we summarize current trends, discuss gaps in current practices of the field, and make a list of recommendations for future research. Our survey highlights the need to develop common frameworks to account for the design and research spaces of human-AI decision making, so that researchers can make rigorous choices in study design, and the research community can build on each other's work and produce generalizable scientific knowledge. We also hope this survey will serve as a bridge for HCI and AI communities to work together to mutually shape the empirical science and computational technologies for human-AI decision making.","DOI":"10.48550/arXiv.2112.11471","note":"arXiv:2112.11471 [cs]","number":"arXiv:2112.11471","publisher":"arXiv","source":"arXiv.org","title":"Towards a Science of Human-AI Decision Making: A Survey of Empirical Studies","title-short":"Towards a Science of Human-AI Decision Making","URL":"http://arxiv.org/abs/2112.11471","author":[{"family":"Lai","given":"Vivian"},{"family":"Chen","given":"Chacha"},{"family":"Liao","given":"Q. Vera"},{"family":"Smith-Renner","given":"Alison"},{"family":"Tan","given":"Chenhao"}],"accessed":{"date-parts":[["2026",3,23]]},"issued":{"date-parts":[["2021",12,21]]}}}],"schema":"https://github.com/citation-style-language/schema/raw/master/csl-citation.json"} </w:instrText>
            </w:r>
            <w:r>
              <w:fldChar w:fldCharType="separate"/>
            </w:r>
            <w:r w:rsidRPr="004F5251">
              <w:t xml:space="preserve">Lai et al. </w:t>
            </w:r>
            <w:r>
              <w:t>(</w:t>
            </w:r>
            <w:r w:rsidRPr="004F5251">
              <w:t>2021)</w:t>
            </w:r>
            <w:r>
              <w:fldChar w:fldCharType="end"/>
            </w:r>
          </w:p>
        </w:tc>
        <w:tc>
          <w:tcPr>
            <w:tcW w:w="1427" w:type="dxa"/>
          </w:tcPr>
          <w:p w14:paraId="10EDDCF7" w14:textId="77777777" w:rsidR="00EF4C83" w:rsidRPr="00020BD3" w:rsidRDefault="00EF4C83" w:rsidP="002070FE">
            <w:pPr>
              <w:spacing w:after="0" w:line="240" w:lineRule="auto"/>
              <w:jc w:val="left"/>
            </w:pPr>
            <w:r w:rsidRPr="00020BD3">
              <w:t>Empirical</w:t>
            </w:r>
          </w:p>
        </w:tc>
        <w:tc>
          <w:tcPr>
            <w:tcW w:w="1440" w:type="dxa"/>
          </w:tcPr>
          <w:p w14:paraId="10429E0A" w14:textId="77777777" w:rsidR="00EF4C83" w:rsidRPr="00020BD3" w:rsidRDefault="00EF4C83" w:rsidP="002070FE">
            <w:pPr>
              <w:spacing w:after="0" w:line="240" w:lineRule="auto"/>
              <w:jc w:val="left"/>
            </w:pPr>
            <w:r w:rsidRPr="00020BD3">
              <w:t>Judicial/NLP</w:t>
            </w:r>
          </w:p>
        </w:tc>
        <w:tc>
          <w:tcPr>
            <w:tcW w:w="2250" w:type="dxa"/>
          </w:tcPr>
          <w:p w14:paraId="66B5A2D9" w14:textId="77777777" w:rsidR="00EF4C83" w:rsidRPr="00020BD3" w:rsidRDefault="00EF4C83" w:rsidP="002070FE">
            <w:pPr>
              <w:spacing w:after="0" w:line="240" w:lineRule="auto"/>
              <w:jc w:val="left"/>
            </w:pPr>
            <w:r w:rsidRPr="00020BD3">
              <w:t>Decision-making with AI assistance</w:t>
            </w:r>
          </w:p>
        </w:tc>
        <w:tc>
          <w:tcPr>
            <w:tcW w:w="2520" w:type="dxa"/>
          </w:tcPr>
          <w:p w14:paraId="61354808" w14:textId="77777777" w:rsidR="00EF4C83" w:rsidRPr="00020BD3" w:rsidRDefault="00EF4C83" w:rsidP="002070FE">
            <w:pPr>
              <w:spacing w:after="0" w:line="240" w:lineRule="auto"/>
              <w:jc w:val="left"/>
            </w:pPr>
            <w:r w:rsidRPr="00020BD3">
              <w:t>Explanations improve accuracy only when calibrated to AI reliability</w:t>
            </w:r>
          </w:p>
        </w:tc>
      </w:tr>
      <w:tr w:rsidR="003E5719" w:rsidRPr="00020BD3" w14:paraId="3D5860C0" w14:textId="77777777" w:rsidTr="00834850">
        <w:tc>
          <w:tcPr>
            <w:tcW w:w="1723" w:type="dxa"/>
          </w:tcPr>
          <w:p w14:paraId="662BD381" w14:textId="74E3F0A7" w:rsidR="00EF4C83" w:rsidRPr="00020BD3" w:rsidRDefault="009F19E4" w:rsidP="002070FE">
            <w:pPr>
              <w:spacing w:after="0" w:line="240" w:lineRule="auto"/>
              <w:jc w:val="left"/>
            </w:pPr>
            <w:r>
              <w:fldChar w:fldCharType="begin"/>
            </w:r>
            <w:r w:rsidR="0016602E">
              <w:instrText xml:space="preserve"> ADDIN ZOTERO_ITEM CSL_CITATION {"citationID":"mjz7f7sf","properties":{"formattedCitation":"(Bansal et al., 2021)","plainCitation":"(Bansal et al., 2021)","dontUpdate":true,"noteIndex":0},"citationItems":[{"id":2943,"uris":["http://zotero.org/users/6567242/items/6G5AA3SI"],"itemData":{"id":2943,"type":"paper-conference","container-title":"Proceedings of the 2021 CHI Conference on Human Factors in Computing Systems","DOI":"10.1145/3411764.3445717","event-title":"CHI '21: CHI Conference on Human Factors in Computing Systems","ISBN":"978-1-4503-8096-6","language":"en","page":"1-16","publisher":"ACM","publisher-place":"Yokohama Japan","source":"DOI.org (Crossref)","title":"Does the Whole Exceed its Parts? The Effect of AI Explanations on Complementary Team Performance","title-short":"Does the Whole Exceed its Parts?","URL":"https://dl.acm.org/doi/10.1145/3411764.3445717","author":[{"family":"Bansal","given":"Gagan"},{"family":"Wu","given":"Tongshuang"},{"family":"Zhou","given":"Joyce"},{"family":"Fok","given":"Raymond"},{"family":"Nushi","given":"Besmira"},{"family":"Kamar","given":"Ece"},{"family":"Ribeiro","given":"Marco Tulio"},{"family":"Weld","given":"Daniel"}],"accessed":{"date-parts":[["2026",3,23]]},"issued":{"date-parts":[["2021",5,6]]}}}],"schema":"https://github.com/citation-style-language/schema/raw/master/csl-citation.json"} </w:instrText>
            </w:r>
            <w:r>
              <w:fldChar w:fldCharType="separate"/>
            </w:r>
            <w:r w:rsidRPr="009F19E4">
              <w:t xml:space="preserve">Bansal et al. </w:t>
            </w:r>
            <w:r>
              <w:t>(</w:t>
            </w:r>
            <w:r w:rsidRPr="009F19E4">
              <w:t>2021)</w:t>
            </w:r>
            <w:r>
              <w:fldChar w:fldCharType="end"/>
            </w:r>
          </w:p>
        </w:tc>
        <w:tc>
          <w:tcPr>
            <w:tcW w:w="1427" w:type="dxa"/>
          </w:tcPr>
          <w:p w14:paraId="3A5DF087" w14:textId="77777777" w:rsidR="00EF4C83" w:rsidRPr="00020BD3" w:rsidRDefault="00EF4C83" w:rsidP="002070FE">
            <w:pPr>
              <w:spacing w:after="0" w:line="240" w:lineRule="auto"/>
              <w:jc w:val="left"/>
            </w:pPr>
            <w:r w:rsidRPr="00020BD3">
              <w:t>Empirical (RCT)</w:t>
            </w:r>
          </w:p>
        </w:tc>
        <w:tc>
          <w:tcPr>
            <w:tcW w:w="1440" w:type="dxa"/>
          </w:tcPr>
          <w:p w14:paraId="40E13DC4" w14:textId="77777777" w:rsidR="00EF4C83" w:rsidRPr="00020BD3" w:rsidRDefault="00EF4C83" w:rsidP="002070FE">
            <w:pPr>
              <w:spacing w:after="0" w:line="240" w:lineRule="auto"/>
              <w:jc w:val="left"/>
            </w:pPr>
            <w:r w:rsidRPr="00020BD3">
              <w:t>Multiple</w:t>
            </w:r>
          </w:p>
        </w:tc>
        <w:tc>
          <w:tcPr>
            <w:tcW w:w="2250" w:type="dxa"/>
          </w:tcPr>
          <w:p w14:paraId="1C0B5010" w14:textId="77777777" w:rsidR="00EF4C83" w:rsidRPr="00020BD3" w:rsidRDefault="00EF4C83" w:rsidP="002070FE">
            <w:pPr>
              <w:spacing w:after="0" w:line="240" w:lineRule="auto"/>
              <w:jc w:val="left"/>
            </w:pPr>
            <w:r w:rsidRPr="00020BD3">
              <w:t>AI explanation effects on team performance</w:t>
            </w:r>
          </w:p>
        </w:tc>
        <w:tc>
          <w:tcPr>
            <w:tcW w:w="2520" w:type="dxa"/>
          </w:tcPr>
          <w:p w14:paraId="790B30B4" w14:textId="77777777" w:rsidR="00EF4C83" w:rsidRPr="00020BD3" w:rsidRDefault="00EF4C83" w:rsidP="002070FE">
            <w:pPr>
              <w:spacing w:after="0" w:line="240" w:lineRule="auto"/>
              <w:jc w:val="left"/>
            </w:pPr>
            <w:r w:rsidRPr="00020BD3">
              <w:t>Complementary performance degrades when explanations are misleading</w:t>
            </w:r>
          </w:p>
        </w:tc>
      </w:tr>
      <w:tr w:rsidR="003E5719" w:rsidRPr="00020BD3" w14:paraId="467F8534" w14:textId="77777777" w:rsidTr="00834850">
        <w:tc>
          <w:tcPr>
            <w:tcW w:w="1723" w:type="dxa"/>
          </w:tcPr>
          <w:p w14:paraId="02848D3B" w14:textId="41556C5D" w:rsidR="00EF4C83" w:rsidRPr="00020BD3" w:rsidRDefault="0071428A" w:rsidP="002070FE">
            <w:pPr>
              <w:spacing w:after="0" w:line="240" w:lineRule="auto"/>
              <w:jc w:val="left"/>
            </w:pPr>
            <w:r>
              <w:lastRenderedPageBreak/>
              <w:fldChar w:fldCharType="begin"/>
            </w:r>
            <w:r w:rsidR="0016602E">
              <w:instrText xml:space="preserve"> ADDIN ZOTERO_ITEM CSL_CITATION {"citationID":"67H75wTc","properties":{"formattedCitation":"(Zhang et al., 2020)","plainCitation":"(Zhang et al., 2020)","dontUpdate":true,"noteIndex":0},"citationItems":[{"id":3010,"uris":["http://zotero.org/users/6567242/items/CK3V2FNP"],"itemData":{"id":3010,"type":"paper-conference","container-title":"Proceedings of the 2020 Conference on Fairness, Accountability, and Transparency","DOI":"10.1145/3351095.3372852","event-title":"FAT* '20: Conference on Fairness, Accountability, and Transparency","ISBN":"978-1-4503-6936-7","language":"en","page":"295-305","publisher":"ACM","publisher-place":"Barcelona Spain","source":"DOI.org (Crossref)","title":"Effect of confidence and explanation on accuracy and trust calibration in AI-assisted decision making","URL":"https://dl.acm.org/doi/10.1145/3351095.3372852","author":[{"family":"Zhang","given":"Yunfeng"},{"family":"Liao","given":"Q. Vera"},{"family":"Bellamy","given":"Rachel K. E."}],"accessed":{"date-parts":[["2026",3,23]]},"issued":{"date-parts":[["2020",1,27]]}}}],"schema":"https://github.com/citation-style-language/schema/raw/master/csl-citation.json"} </w:instrText>
            </w:r>
            <w:r>
              <w:fldChar w:fldCharType="separate"/>
            </w:r>
            <w:r w:rsidRPr="0071428A">
              <w:t xml:space="preserve">Zhang et al. </w:t>
            </w:r>
            <w:r>
              <w:t>(</w:t>
            </w:r>
            <w:r w:rsidRPr="0071428A">
              <w:t>2020)</w:t>
            </w:r>
            <w:r>
              <w:fldChar w:fldCharType="end"/>
            </w:r>
          </w:p>
        </w:tc>
        <w:tc>
          <w:tcPr>
            <w:tcW w:w="1427" w:type="dxa"/>
          </w:tcPr>
          <w:p w14:paraId="322ABDFE" w14:textId="77777777" w:rsidR="00EF4C83" w:rsidRPr="00020BD3" w:rsidRDefault="00EF4C83" w:rsidP="002070FE">
            <w:pPr>
              <w:spacing w:after="0" w:line="240" w:lineRule="auto"/>
              <w:jc w:val="left"/>
            </w:pPr>
            <w:r w:rsidRPr="00020BD3">
              <w:t>Empirical</w:t>
            </w:r>
          </w:p>
        </w:tc>
        <w:tc>
          <w:tcPr>
            <w:tcW w:w="1440" w:type="dxa"/>
          </w:tcPr>
          <w:p w14:paraId="2CC77D89" w14:textId="77777777" w:rsidR="00EF4C83" w:rsidRPr="00020BD3" w:rsidRDefault="00EF4C83" w:rsidP="002070FE">
            <w:pPr>
              <w:spacing w:after="0" w:line="240" w:lineRule="auto"/>
              <w:jc w:val="left"/>
            </w:pPr>
            <w:r w:rsidRPr="00020BD3">
              <w:t>Medical imaging</w:t>
            </w:r>
          </w:p>
        </w:tc>
        <w:tc>
          <w:tcPr>
            <w:tcW w:w="2250" w:type="dxa"/>
          </w:tcPr>
          <w:p w14:paraId="7C27CD74" w14:textId="77777777" w:rsidR="00EF4C83" w:rsidRPr="00020BD3" w:rsidRDefault="00EF4C83" w:rsidP="002070FE">
            <w:pPr>
              <w:spacing w:after="0" w:line="240" w:lineRule="auto"/>
              <w:jc w:val="left"/>
            </w:pPr>
            <w:r w:rsidRPr="00020BD3">
              <w:t>Confidence &amp; explanation on trust calibration</w:t>
            </w:r>
          </w:p>
        </w:tc>
        <w:tc>
          <w:tcPr>
            <w:tcW w:w="2520" w:type="dxa"/>
          </w:tcPr>
          <w:p w14:paraId="1E01CF6F" w14:textId="77777777" w:rsidR="00EF4C83" w:rsidRPr="00020BD3" w:rsidRDefault="00EF4C83" w:rsidP="002070FE">
            <w:pPr>
              <w:spacing w:after="0" w:line="240" w:lineRule="auto"/>
              <w:jc w:val="left"/>
            </w:pPr>
            <w:r w:rsidRPr="00020BD3">
              <w:t>Shown confidence scores without explanation cause over-trust</w:t>
            </w:r>
          </w:p>
        </w:tc>
      </w:tr>
      <w:tr w:rsidR="003E5719" w:rsidRPr="00020BD3" w14:paraId="080AED01" w14:textId="77777777" w:rsidTr="00834850">
        <w:tc>
          <w:tcPr>
            <w:tcW w:w="1723" w:type="dxa"/>
          </w:tcPr>
          <w:p w14:paraId="2525F85B" w14:textId="503E4849" w:rsidR="00EF4C83" w:rsidRPr="00020BD3" w:rsidRDefault="006B0A74" w:rsidP="002070FE">
            <w:pPr>
              <w:spacing w:after="0" w:line="240" w:lineRule="auto"/>
              <w:jc w:val="left"/>
            </w:pPr>
            <w:r>
              <w:fldChar w:fldCharType="begin"/>
            </w:r>
            <w:r w:rsidR="0016602E">
              <w:instrText xml:space="preserve"> ADDIN ZOTERO_ITEM CSL_CITATION {"citationID":"kzWVDrK6","properties":{"formattedCitation":"(Bommasani et al., 2022)","plainCitation":"(Bommasani et al., 2022)","dontUpdate":true,"noteIndex":0},"citationItems":[{"id":2596,"uris":["http://zotero.org/users/6567242/items/MEM52G6Y"],"itemData":{"id":2596,"type":"article","abstract":"AI is undergoing a paradigm shift with the rise of models (e.g., BERT, DALL-E, GPT-3) that are trained on broad data at scale and are adaptable to a wide range of downstream tasks. We call these models foundation models to underscore their critically central yet incomplete character. This report provides a thorough account of the opportunities and risks of foundation models, ranging from their capabilities (e.g., language, vision, robotics, reasoning, human interaction) and technical principles(e.g., model architectures, training procedures, data, systems, security, evaluation, theory) to their applications (e.g., law, healthcare, education) and societal impact (e.g., inequity, misuse, economic and environmental impact, legal and ethical considerations). Though foundation models are based on standard deep learning and transfer learning, their scale results in new emergent capabilities,and their effectiveness across so many tasks incentivizes homogenization. Homogenization provides powerful leverage but demands caution, as the defects of the foundation model are inherited by all the adapted models downstream. Despite the impending widespread deployment of foundation models, we currently lack a clear understanding of how they work, when they fail, and what they are even capable of due to their emergent properties. To tackle these questions, we believe much of the critical research on foundation models will require deep interdisciplinary collaboration commensurate with their fundamentally sociotechnical nature.","DOI":"10.48550/arXiv.2108.07258","note":"arXiv:2108.07258 [cs]","number":"arXiv:2108.07258","publisher":"arXiv","source":"arXiv.org","title":"On the Opportunities and Risks of Foundation Models","URL":"http://arxiv.org/abs/2108.07258","author":[{"family":"Bommasani","given":"Rishi"},{"family":"Hudson","given":"Drew A."},{"family":"Adeli","given":"Ehsan"},{"family":"Altman","given":"Russ"},{"family":"Arora","given":"Simran"},{"family":"Arx","given":"Sydney","dropping-particle":"von"},{"family":"Bernstein","given":"Michael S."},{"family":"Bohg","given":"Jeannette"},{"family":"Bosselut","given":"Antoine"},{"family":"Brunskill","given":"Emma"},{"family":"Brynjolfsson","given":"Erik"},{"family":"Buch","given":"Shyamal"},{"family":"Card","given":"Dallas"},{"family":"Castellon","given":"Rodrigo"},{"family":"Chatterji","given":"Niladri"},{"family":"Chen","given":"Annie"},{"family":"Creel","given":"Kathleen"},{"family":"Davis","given":"Jared Quincy"},{"family":"Demszky","given":"Dora"},{"family":"Donahue","given":"Chris"},{"family":"Doumbouya","given":"Moussa"},{"family":"Durmus","given":"Esin"},{"family":"Ermon","given":"Stefano"},{"family":"Etchemendy","given":"John"},{"family":"Ethayarajh","given":"Kawin"},{"family":"Fei-Fei","given":"Li"},{"family":"Finn","given":"Chelsea"},{"family":"Gale","given":"Trevor"},{"family":"Gillespie","given":"Lauren"},{"family":"Goel","given":"Karan"},{"family":"Goodman","given":"Noah"},{"family":"Grossman","given":"Shelby"},{"family":"Guha","given":"Neel"},{"family":"Hashimoto","given":"Tatsunori"},{"family":"Henderson","given":"Peter"},{"family":"Hewitt","given":"John"},{"family":"Ho","given":"Daniel E."},{"family":"Hong","given":"Jenny"},{"family":"Hsu","given":"Kyle"},{"family":"Huang","given":"Jing"},{"family":"Icard","given":"Thomas"},{"family":"Jain","given":"Saahil"},{"family":"Jurafsky","given":"Dan"},{"family":"Kalluri","given":"Pratyusha"},{"family":"Karamcheti","given":"Siddharth"},{"family":"Keeling","given":"Geoff"},{"family":"Khani","given":"Fereshte"},{"family":"Khattab","given":"Omar"},{"family":"Koh","given":"Pang Wei"},{"family":"Krass","given":"Mark"},{"family":"Krishna","given":"Ranjay"},{"family":"Kuditipudi","given":"Rohith"},{"family":"Kumar","given":"Ananya"},{"family":"Ladhak","given":"Faisal"},{"family":"Lee","given":"Mina"},{"family":"Lee","given":"Tony"},{"family":"Leskovec","given":"Jure"},{"family":"Levent","given":"Isabelle"},{"family":"Li","given":"Xiang Lisa"},{"family":"Li","given":"Xuechen"},{"family":"Ma","given":"Tengyu"},{"family":"Malik","given":"Ali"},{"family":"Manning","given":"Christopher D."},{"family":"Mirchandani","given":"Suvir"},{"family":"Mitchell","given":"Eric"},{"family":"Munyikwa","given":"Zanele"},{"family":"Nair","given":"Suraj"},{"family":"Narayan","given":"Avanika"},{"family":"Narayanan","given":"Deepak"},{"family":"Newman","given":"Ben"},{"family":"Nie","given":"Allen"},{"family":"Niebles","given":"Juan Carlos"},{"family":"Nilforoshan","given":"Hamed"},{"family":"Nyarko","given":"Julian"},{"family":"Ogut","given":"Giray"},{"family":"Orr","given":"Laurel"},{"family":"Papadimitriou","given":"Isabel"},{"family":"Park","given":"Joon Sung"},{"family":"Piech","given":"Chris"},{"family":"Portelance","given":"Eva"},{"family":"Potts","given":"Christopher"},{"family":"Raghunathan","given":"Aditi"},{"family":"Reich","given":"Rob"},{"family":"Ren","given":"Hongyu"},{"family":"Rong","given":"Frieda"},{"family":"Roohani","given":"Yusuf"},{"family":"Ruiz","given":"Camilo"},{"family":"Ryan","given":"Jack"},{"family":"Ré","given":"Christopher"},{"family":"Sadigh","given":"Dorsa"},{"family":"Sagawa","given":"Shiori"},{"family":"Santhanam","given":"Keshav"},{"family":"Shih","given":"Andy"},{"family":"Srinivasan","given":"Krishnan"},{"family":"Tamkin","given":"Alex"},{"family":"Taori","given":"Rohan"},{"family":"Thomas","given":"Armin W."},{"family":"Tramèr","given":"Florian"},{"family":"Wang","given":"Rose E."},{"family":"Wang","given":"William"},{"family":"Wu","given":"Bohan"},{"family":"Wu","given":"Jiajun"},{"family":"Wu","given":"Yuhuai"},{"family":"Xie","given":"Sang Michael"},{"family":"Yasunaga","given":"Michihiro"},{"family":"You","given":"Jiaxuan"},{"family":"Zaharia","given":"Matei"},{"family":"Zhang","given":"Michael"},{"family":"Zhang","given":"Tianyi"},{"family":"Zhang","given":"Xikun"},{"family":"Zhang","given":"Yuhui"},{"family":"Zheng","given":"Lucia"},{"family":"Zhou","given":"Kaitlyn"},{"family":"Liang","given":"Percy"}],"accessed":{"date-parts":[["2025",11,23]]},"issued":{"date-parts":[["2022",7,12]]}}}],"schema":"https://github.com/citation-style-language/schema/raw/master/csl-citation.json"} </w:instrText>
            </w:r>
            <w:r>
              <w:fldChar w:fldCharType="separate"/>
            </w:r>
            <w:r w:rsidRPr="006B0A74">
              <w:t xml:space="preserve">Bommasani et al. </w:t>
            </w:r>
            <w:r>
              <w:t>(</w:t>
            </w:r>
            <w:r w:rsidRPr="006B0A74">
              <w:t>2022)</w:t>
            </w:r>
            <w:r>
              <w:fldChar w:fldCharType="end"/>
            </w:r>
          </w:p>
        </w:tc>
        <w:tc>
          <w:tcPr>
            <w:tcW w:w="1427" w:type="dxa"/>
          </w:tcPr>
          <w:p w14:paraId="3CB57414" w14:textId="77777777" w:rsidR="00EF4C83" w:rsidRPr="00020BD3" w:rsidRDefault="00EF4C83" w:rsidP="002070FE">
            <w:pPr>
              <w:spacing w:after="0" w:line="240" w:lineRule="auto"/>
              <w:jc w:val="left"/>
            </w:pPr>
            <w:r w:rsidRPr="00020BD3">
              <w:t>Review</w:t>
            </w:r>
          </w:p>
        </w:tc>
        <w:tc>
          <w:tcPr>
            <w:tcW w:w="1440" w:type="dxa"/>
          </w:tcPr>
          <w:p w14:paraId="183305E0" w14:textId="77777777" w:rsidR="00EF4C83" w:rsidRPr="00020BD3" w:rsidRDefault="00EF4C83" w:rsidP="002070FE">
            <w:pPr>
              <w:spacing w:after="0" w:line="240" w:lineRule="auto"/>
              <w:jc w:val="left"/>
            </w:pPr>
            <w:r w:rsidRPr="00020BD3">
              <w:t>Foundation Models</w:t>
            </w:r>
          </w:p>
        </w:tc>
        <w:tc>
          <w:tcPr>
            <w:tcW w:w="2250" w:type="dxa"/>
          </w:tcPr>
          <w:p w14:paraId="78751759" w14:textId="77777777" w:rsidR="00EF4C83" w:rsidRPr="00020BD3" w:rsidRDefault="00EF4C83" w:rsidP="002070FE">
            <w:pPr>
              <w:spacing w:after="0" w:line="240" w:lineRule="auto"/>
              <w:jc w:val="left"/>
            </w:pPr>
            <w:r w:rsidRPr="00020BD3">
              <w:t>Capabilities and risks of LLMs</w:t>
            </w:r>
          </w:p>
        </w:tc>
        <w:tc>
          <w:tcPr>
            <w:tcW w:w="2520" w:type="dxa"/>
          </w:tcPr>
          <w:p w14:paraId="3F0D9B48" w14:textId="210F7254" w:rsidR="00EF4C83" w:rsidRPr="00020BD3" w:rsidRDefault="005B5125" w:rsidP="002070FE">
            <w:pPr>
              <w:spacing w:after="0" w:line="240" w:lineRule="auto"/>
              <w:jc w:val="left"/>
            </w:pPr>
            <w:r w:rsidRPr="00020BD3">
              <w:t>Homogenization</w:t>
            </w:r>
            <w:r w:rsidR="00EF4C83" w:rsidRPr="00020BD3">
              <w:t xml:space="preserve"> risk; single-point-of-failure in HITL pipelines</w:t>
            </w:r>
          </w:p>
        </w:tc>
      </w:tr>
      <w:tr w:rsidR="003E5719" w:rsidRPr="00020BD3" w14:paraId="5652E6CA" w14:textId="77777777" w:rsidTr="00834850">
        <w:tc>
          <w:tcPr>
            <w:tcW w:w="1723" w:type="dxa"/>
          </w:tcPr>
          <w:p w14:paraId="2632FCA8" w14:textId="48AE1A98" w:rsidR="00EF4C83" w:rsidRPr="00020BD3" w:rsidRDefault="000915A2" w:rsidP="002070FE">
            <w:pPr>
              <w:spacing w:after="0" w:line="240" w:lineRule="auto"/>
              <w:jc w:val="left"/>
            </w:pPr>
            <w:r>
              <w:fldChar w:fldCharType="begin"/>
            </w:r>
            <w:r w:rsidR="0016602E">
              <w:instrText xml:space="preserve"> ADDIN ZOTERO_ITEM CSL_CITATION {"citationID":"fdt0wnCd","properties":{"formattedCitation":"(Ouyang et al., 2022)","plainCitation":"(Ouyang et al., 2022)","dontUpdate":true,"noteIndex":0},"citationItems":[{"id":2985,"uris":["http://zotero.org/users/6567242/items/MW5NWR59"],"itemData":{"id":2985,"type":"article","abstract":"Making language models bigger does not inherently make them better at following a user's intent. For example, large language models can generate outputs that are untruthful, toxic, or simply not helpful to the user. In other words, these models are not aligned with their users. In this paper, we show an avenue for aligning language models with user intent on a wide range of tasks by fine-tuning with human feedback. Starting with a set of labeler-written prompts and prompts submitted through the OpenAI API, we collect a dataset of labeler demonstrations of the desired model behavior, which we use to fine-tune GPT-3 using supervised learning. We then collect a dataset of rankings of model outputs, which we use to further fine-tune this supervised model using reinforcement learning from human feedback. We call the resulting models InstructGPT. In human evaluations on our prompt distribution, outputs from the 1.3B parameter InstructGPT model are preferred to outputs from the 175B GPT-3, despite having 100x fewer parameters. Moreover, InstructGPT models show improvements in truthfulness and reductions in toxic output generation while having minimal performance regressions on public NLP datasets. Even though InstructGPT still makes simple mistakes, our results show that fine-tuning with human feedback is a promising direction for aligning language models with human intent.","DOI":"10.48550/ARXIV.2203.02155","license":"arXiv.org perpetual, non-exclusive license","note":"version: 1","publisher":"arXiv","source":"DOI.org (Datacite)","title":"Training language models to follow instructions with human feedback","URL":"https://arxiv.org/abs/2203.02155","author":[{"family":"Ouyang","given":"Long"},{"family":"Wu","given":"Jeff"},{"family":"Jiang","given":"Xu"},{"family":"Almeida","given":"Diogo"},{"family":"Wainwright","given":"Carroll L."},{"family":"Mishkin","given":"Pamela"},{"family":"Zhang","given":"Chong"},{"family":"Agarwal","given":"Sandhini"},{"family":"Slama","given":"Katarina"},{"family":"Ray","given":"Alex"},{"family":"Schulman","given":"John"},{"family":"Hilton","given":"Jacob"},{"family":"Kelton","given":"Fraser"},{"family":"Miller","given":"Luke"},{"family":"Simens","given":"Maddie"},{"family":"Askell","given":"Amanda"},{"family":"Welinder","given":"Peter"},{"family":"Christiano","given":"Paul"},{"family":"Leike","given":"Jan"},{"family":"Lowe","given":"Ryan"}],"accessed":{"date-parts":[["2026",3,23]]},"issued":{"date-parts":[["2022"]]}}}],"schema":"https://github.com/citation-style-language/schema/raw/master/csl-citation.json"} </w:instrText>
            </w:r>
            <w:r>
              <w:fldChar w:fldCharType="separate"/>
            </w:r>
            <w:r w:rsidRPr="000915A2">
              <w:t xml:space="preserve">Ouyang et al. </w:t>
            </w:r>
            <w:r>
              <w:t>(</w:t>
            </w:r>
            <w:r w:rsidRPr="000915A2">
              <w:t>2022)</w:t>
            </w:r>
            <w:r>
              <w:fldChar w:fldCharType="end"/>
            </w:r>
          </w:p>
        </w:tc>
        <w:tc>
          <w:tcPr>
            <w:tcW w:w="1427" w:type="dxa"/>
          </w:tcPr>
          <w:p w14:paraId="0D1382D7" w14:textId="77777777" w:rsidR="00EF4C83" w:rsidRPr="00020BD3" w:rsidRDefault="00EF4C83" w:rsidP="002070FE">
            <w:pPr>
              <w:spacing w:after="0" w:line="240" w:lineRule="auto"/>
              <w:jc w:val="left"/>
            </w:pPr>
            <w:r w:rsidRPr="00020BD3">
              <w:t>Empirical</w:t>
            </w:r>
          </w:p>
        </w:tc>
        <w:tc>
          <w:tcPr>
            <w:tcW w:w="1440" w:type="dxa"/>
          </w:tcPr>
          <w:p w14:paraId="408F225C" w14:textId="77777777" w:rsidR="00EF4C83" w:rsidRPr="00020BD3" w:rsidRDefault="00EF4C83" w:rsidP="002070FE">
            <w:pPr>
              <w:spacing w:after="0" w:line="240" w:lineRule="auto"/>
              <w:jc w:val="left"/>
            </w:pPr>
            <w:r w:rsidRPr="00020BD3">
              <w:t>NLP/LLM</w:t>
            </w:r>
          </w:p>
        </w:tc>
        <w:tc>
          <w:tcPr>
            <w:tcW w:w="2250" w:type="dxa"/>
          </w:tcPr>
          <w:p w14:paraId="4E25FC5C" w14:textId="77777777" w:rsidR="00EF4C83" w:rsidRPr="00020BD3" w:rsidRDefault="00EF4C83" w:rsidP="002070FE">
            <w:pPr>
              <w:spacing w:after="0" w:line="240" w:lineRule="auto"/>
              <w:jc w:val="left"/>
            </w:pPr>
            <w:r w:rsidRPr="00020BD3">
              <w:t>RLHF for instruction following</w:t>
            </w:r>
          </w:p>
        </w:tc>
        <w:tc>
          <w:tcPr>
            <w:tcW w:w="2520" w:type="dxa"/>
          </w:tcPr>
          <w:p w14:paraId="224F4691" w14:textId="77777777" w:rsidR="00EF4C83" w:rsidRPr="00020BD3" w:rsidRDefault="00EF4C83" w:rsidP="002070FE">
            <w:pPr>
              <w:spacing w:after="0" w:line="240" w:lineRule="auto"/>
              <w:jc w:val="left"/>
            </w:pPr>
            <w:r w:rsidRPr="00020BD3">
              <w:t>RLHF reduces harmful outputs but introduces annotator bias</w:t>
            </w:r>
          </w:p>
        </w:tc>
      </w:tr>
      <w:tr w:rsidR="003E5719" w:rsidRPr="00020BD3" w14:paraId="031CA1C6" w14:textId="77777777" w:rsidTr="00834850">
        <w:tc>
          <w:tcPr>
            <w:tcW w:w="1723" w:type="dxa"/>
          </w:tcPr>
          <w:p w14:paraId="456CC37A" w14:textId="235B3CD8" w:rsidR="00EF4C83" w:rsidRPr="00020BD3" w:rsidRDefault="003420F5" w:rsidP="002070FE">
            <w:pPr>
              <w:spacing w:after="0" w:line="240" w:lineRule="auto"/>
              <w:jc w:val="left"/>
            </w:pPr>
            <w:r>
              <w:fldChar w:fldCharType="begin"/>
            </w:r>
            <w:r w:rsidR="0016602E">
              <w:instrText xml:space="preserve"> ADDIN ZOTERO_ITEM CSL_CITATION {"citationID":"a0F3vWJu","properties":{"formattedCitation":"(Ehsan et al., 2021)","plainCitation":"(Ehsan et al., 2021)","dontUpdate":true,"noteIndex":0},"citationItems":[{"id":2999,"uris":["http://zotero.org/users/6567242/items/JWLKN65M"],"itemData":{"id":2999,"type":"paper-conference","container-title":"Proceedings of the 2021 CHI Conference on Human Factors in Computing Systems","DOI":"10.1145/3411764.3445188","event-title":"CHI '21: CHI Conference on Human Factors in Computing Systems","ISBN":"978-1-4503-8096-6","language":"en","page":"1-19","publisher":"ACM","publisher-place":"Yokohama Japan","source":"DOI.org (Crossref)","title":"Expanding Explainability: Towards Social Transparency in AI systems","title-short":"Expanding Explainability","URL":"https://dl.acm.org/doi/10.1145/3411764.3445188","author":[{"family":"Ehsan","given":"Upol"},{"family":"Liao","given":"Q. Vera"},{"family":"Muller","given":"Michael"},{"family":"Riedl","given":"Mark O."},{"family":"Weisz","given":"Justin D."}],"accessed":{"date-parts":[["2026",3,23]]},"issued":{"date-parts":[["2021",5,6]]}}}],"schema":"https://github.com/citation-style-language/schema/raw/master/csl-citation.json"} </w:instrText>
            </w:r>
            <w:r>
              <w:fldChar w:fldCharType="separate"/>
            </w:r>
            <w:r w:rsidRPr="003420F5">
              <w:t xml:space="preserve">Ehsan et al. </w:t>
            </w:r>
            <w:r>
              <w:t>(</w:t>
            </w:r>
            <w:r w:rsidRPr="003420F5">
              <w:t>2021)</w:t>
            </w:r>
            <w:r>
              <w:fldChar w:fldCharType="end"/>
            </w:r>
          </w:p>
        </w:tc>
        <w:tc>
          <w:tcPr>
            <w:tcW w:w="1427" w:type="dxa"/>
          </w:tcPr>
          <w:p w14:paraId="7893EEF7" w14:textId="77777777" w:rsidR="00EF4C83" w:rsidRPr="00020BD3" w:rsidRDefault="00EF4C83" w:rsidP="002070FE">
            <w:pPr>
              <w:spacing w:after="0" w:line="240" w:lineRule="auto"/>
              <w:jc w:val="left"/>
            </w:pPr>
            <w:r w:rsidRPr="00020BD3">
              <w:t>Empirical</w:t>
            </w:r>
          </w:p>
        </w:tc>
        <w:tc>
          <w:tcPr>
            <w:tcW w:w="1440" w:type="dxa"/>
          </w:tcPr>
          <w:p w14:paraId="5E437D27" w14:textId="77777777" w:rsidR="00EF4C83" w:rsidRPr="00020BD3" w:rsidRDefault="00EF4C83" w:rsidP="002070FE">
            <w:pPr>
              <w:spacing w:after="0" w:line="240" w:lineRule="auto"/>
              <w:jc w:val="left"/>
            </w:pPr>
            <w:r w:rsidRPr="00020BD3">
              <w:t>Multiple</w:t>
            </w:r>
          </w:p>
        </w:tc>
        <w:tc>
          <w:tcPr>
            <w:tcW w:w="2250" w:type="dxa"/>
          </w:tcPr>
          <w:p w14:paraId="5E253215" w14:textId="77777777" w:rsidR="00EF4C83" w:rsidRPr="00020BD3" w:rsidRDefault="00EF4C83" w:rsidP="002070FE">
            <w:pPr>
              <w:spacing w:after="0" w:line="240" w:lineRule="auto"/>
              <w:jc w:val="left"/>
            </w:pPr>
            <w:r w:rsidRPr="00020BD3">
              <w:t>Explanation effects on HITL decisions</w:t>
            </w:r>
          </w:p>
        </w:tc>
        <w:tc>
          <w:tcPr>
            <w:tcW w:w="2520" w:type="dxa"/>
          </w:tcPr>
          <w:p w14:paraId="53FF4591" w14:textId="77777777" w:rsidR="00EF4C83" w:rsidRPr="00020BD3" w:rsidRDefault="00EF4C83" w:rsidP="002070FE">
            <w:pPr>
              <w:spacing w:after="0" w:line="240" w:lineRule="auto"/>
              <w:jc w:val="left"/>
            </w:pPr>
            <w:r w:rsidRPr="00020BD3">
              <w:t>Global explanations reduce automation bias more than local ones</w:t>
            </w:r>
          </w:p>
        </w:tc>
      </w:tr>
      <w:tr w:rsidR="003E5719" w:rsidRPr="00020BD3" w14:paraId="466B828E" w14:textId="77777777" w:rsidTr="00834850">
        <w:tc>
          <w:tcPr>
            <w:tcW w:w="1723" w:type="dxa"/>
          </w:tcPr>
          <w:p w14:paraId="7C76D117" w14:textId="64D9DC5B" w:rsidR="00EF4C83" w:rsidRPr="00020BD3" w:rsidRDefault="007F78B3" w:rsidP="002070FE">
            <w:pPr>
              <w:spacing w:after="0" w:line="240" w:lineRule="auto"/>
              <w:jc w:val="left"/>
            </w:pPr>
            <w:r>
              <w:fldChar w:fldCharType="begin"/>
            </w:r>
            <w:r w:rsidR="0016602E">
              <w:instrText xml:space="preserve"> ADDIN ZOTERO_ITEM CSL_CITATION {"citationID":"qG8N1IUt","properties":{"formattedCitation":"(Cai et al., 2021)","plainCitation":"(Cai et al., 2021)","dontUpdate":true,"noteIndex":0},"citationItems":[{"id":3031,"uris":["http://zotero.org/users/6567242/items/FQ44H5YB"],"itemData":{"id":3031,"type":"article-journal","abstract":"Although rapid advances in machine learning have made it increasingly applicable to expert decision-making, the delivery of accurate algorithmic predictions alone is insufficient for effective human-AI collaboration. In this work, we investigate the key types of information medical experts desire when they are first introduced to a diagnostic AI assistant. In a qualitative lab study, we interviewed 21 pathologists before, during, and after being presented deep neural network (DNN) predictions for prostate cancer diagnosis, to learn the types of information that they desired about the AI assistant. Our findings reveal that, far beyond understanding the local, case-specific reasoning behind any model decision, clinicians desired upfront information about basic, global properties of the model, such as its known strengths and limitations, its subjective point-of-view, and its overall design objective--what it's designed to be optimized for. Participants compared these information needs to the collaborative mental models they develop of their medical colleagues when seeking a second opinion: the medical perspectives and standards that those colleagues embody, and the compatibility of those perspectives with their own diagnostic patterns. These findings broaden and enrich discussions surrounding AI transparency for collaborative decision-making, providing a richer understanding of what experts find important in their introduction to AI assistants before integrating them into routine practice.","container-title":"ACM Computing Surveys","DOI":"10.1145/1122445.1122456","ISSN":"2573-0142","issue":"CHI 2021 Japan","journalAbbreviation":"ACM Comput. Surv.","language":"en","page":"1-11","publisher":"Proceedings of the ACM SIGCHI Conference on Human Factors in Computing Systems, ACM","publisher-place":"New York, USA","source":"DOI.org (Crossref)","title":"Onboarding Materials as Cross-functional Boundary Objects for Developing AI Assistant","title-short":"Hello AI","author":[{"family":"Cai","given":"Carrie J."},{"family":"Winter","given":"Samantha"},{"family":"Steiner","given":"David"},{"family":"Wilcox","given":"Lauren"},{"family":"Terry","given":"Michael"}],"issued":{"date-parts":[["2021"]]}}}],"schema":"https://github.com/citation-style-language/schema/raw/master/csl-citation.json"} </w:instrText>
            </w:r>
            <w:r>
              <w:fldChar w:fldCharType="separate"/>
            </w:r>
            <w:r w:rsidR="006A2875" w:rsidRPr="006A2875">
              <w:t xml:space="preserve">Cai et al. </w:t>
            </w:r>
            <w:r w:rsidR="006A2875">
              <w:t>(</w:t>
            </w:r>
            <w:r w:rsidR="006A2875" w:rsidRPr="006A2875">
              <w:t>2021)</w:t>
            </w:r>
            <w:r>
              <w:fldChar w:fldCharType="end"/>
            </w:r>
          </w:p>
        </w:tc>
        <w:tc>
          <w:tcPr>
            <w:tcW w:w="1427" w:type="dxa"/>
          </w:tcPr>
          <w:p w14:paraId="754046FB" w14:textId="77777777" w:rsidR="00EF4C83" w:rsidRPr="00020BD3" w:rsidRDefault="00EF4C83" w:rsidP="002070FE">
            <w:pPr>
              <w:spacing w:after="0" w:line="240" w:lineRule="auto"/>
              <w:jc w:val="left"/>
            </w:pPr>
            <w:r w:rsidRPr="00020BD3">
              <w:t>Qualitative</w:t>
            </w:r>
          </w:p>
        </w:tc>
        <w:tc>
          <w:tcPr>
            <w:tcW w:w="1440" w:type="dxa"/>
          </w:tcPr>
          <w:p w14:paraId="3DF0040B" w14:textId="77777777" w:rsidR="00EF4C83" w:rsidRPr="00020BD3" w:rsidRDefault="00EF4C83" w:rsidP="002070FE">
            <w:pPr>
              <w:spacing w:after="0" w:line="240" w:lineRule="auto"/>
              <w:jc w:val="left"/>
            </w:pPr>
            <w:r w:rsidRPr="00020BD3">
              <w:t>Healthcare</w:t>
            </w:r>
          </w:p>
        </w:tc>
        <w:tc>
          <w:tcPr>
            <w:tcW w:w="2250" w:type="dxa"/>
          </w:tcPr>
          <w:p w14:paraId="3BD7F363" w14:textId="77777777" w:rsidR="00EF4C83" w:rsidRPr="00020BD3" w:rsidRDefault="00EF4C83" w:rsidP="002070FE">
            <w:pPr>
              <w:spacing w:after="0" w:line="240" w:lineRule="auto"/>
              <w:jc w:val="left"/>
            </w:pPr>
            <w:r w:rsidRPr="00020BD3">
              <w:t>Onboarding needs for human-AI collaboration</w:t>
            </w:r>
          </w:p>
        </w:tc>
        <w:tc>
          <w:tcPr>
            <w:tcW w:w="2520" w:type="dxa"/>
          </w:tcPr>
          <w:p w14:paraId="66A0EB30" w14:textId="77777777" w:rsidR="00EF4C83" w:rsidRPr="00020BD3" w:rsidRDefault="00EF4C83" w:rsidP="002070FE">
            <w:pPr>
              <w:spacing w:after="0" w:line="240" w:lineRule="auto"/>
              <w:jc w:val="left"/>
            </w:pPr>
            <w:r w:rsidRPr="00020BD3">
              <w:t>Clinicians need mental models of AI failure modes, not just accuracy</w:t>
            </w:r>
          </w:p>
        </w:tc>
      </w:tr>
      <w:tr w:rsidR="003E5719" w:rsidRPr="00020BD3" w14:paraId="63D04B39" w14:textId="77777777" w:rsidTr="00834850">
        <w:tc>
          <w:tcPr>
            <w:tcW w:w="1723" w:type="dxa"/>
          </w:tcPr>
          <w:p w14:paraId="257C4D91" w14:textId="3A3FC113" w:rsidR="00EF4C83" w:rsidRPr="00020BD3" w:rsidRDefault="00541F58" w:rsidP="002070FE">
            <w:pPr>
              <w:spacing w:after="0" w:line="240" w:lineRule="auto"/>
              <w:jc w:val="left"/>
            </w:pPr>
            <w:r>
              <w:fldChar w:fldCharType="begin"/>
            </w:r>
            <w:r w:rsidR="0016602E">
              <w:instrText xml:space="preserve"> ADDIN ZOTERO_ITEM CSL_CITATION {"citationID":"4t8G5FGi","properties":{"formattedCitation":"(Cabitza et al., 2021)","plainCitation":"(Cabitza et al., 2021)","dontUpdate":true,"noteIndex":0},"citationItems":[{"id":3013,"uris":["http://zotero.org/users/6567242/items/K9N5RXFG"],"itemData":{"id":3013,"type":"article-journal","container-title":"Artificial Intelligence in Medicine","DOI":"10.1016/j.artmed.2021.102121","language":"en","page":"102121","title":"The need to rehumanize clinical AI","volume":"118","author":[{"family":"Cabitza","given":"F."},{"family":"Campagner","given":"A."},{"family":"Ferrari","given":"D."},{"family":"Ciucci","given":"D."}],"issued":{"date-parts":[["2021"]]}}}],"schema":"https://github.com/citation-style-language/schema/raw/master/csl-citation.json"} </w:instrText>
            </w:r>
            <w:r>
              <w:fldChar w:fldCharType="separate"/>
            </w:r>
            <w:r w:rsidRPr="00541F58">
              <w:t xml:space="preserve">Cabitza et al. </w:t>
            </w:r>
            <w:r>
              <w:t>(</w:t>
            </w:r>
            <w:r w:rsidRPr="00541F58">
              <w:t>2021)</w:t>
            </w:r>
            <w:r>
              <w:fldChar w:fldCharType="end"/>
            </w:r>
          </w:p>
        </w:tc>
        <w:tc>
          <w:tcPr>
            <w:tcW w:w="1427" w:type="dxa"/>
          </w:tcPr>
          <w:p w14:paraId="2CB86E32" w14:textId="77777777" w:rsidR="00EF4C83" w:rsidRPr="00020BD3" w:rsidRDefault="00EF4C83" w:rsidP="002070FE">
            <w:pPr>
              <w:spacing w:after="0" w:line="240" w:lineRule="auto"/>
              <w:jc w:val="left"/>
            </w:pPr>
            <w:r w:rsidRPr="00020BD3">
              <w:t>Review</w:t>
            </w:r>
          </w:p>
        </w:tc>
        <w:tc>
          <w:tcPr>
            <w:tcW w:w="1440" w:type="dxa"/>
          </w:tcPr>
          <w:p w14:paraId="3A6848AF" w14:textId="77777777" w:rsidR="00EF4C83" w:rsidRPr="00020BD3" w:rsidRDefault="00EF4C83" w:rsidP="002070FE">
            <w:pPr>
              <w:spacing w:after="0" w:line="240" w:lineRule="auto"/>
              <w:jc w:val="left"/>
            </w:pPr>
            <w:r w:rsidRPr="00020BD3">
              <w:t>Clinical AI</w:t>
            </w:r>
          </w:p>
        </w:tc>
        <w:tc>
          <w:tcPr>
            <w:tcW w:w="2250" w:type="dxa"/>
          </w:tcPr>
          <w:p w14:paraId="4DB93737" w14:textId="5FDBEC08" w:rsidR="00EF4C83" w:rsidRPr="00020BD3" w:rsidRDefault="00BE036F" w:rsidP="002070FE">
            <w:pPr>
              <w:spacing w:after="0" w:line="240" w:lineRule="auto"/>
              <w:jc w:val="left"/>
            </w:pPr>
            <w:r w:rsidRPr="00020BD3">
              <w:t>Rehumanizing</w:t>
            </w:r>
            <w:r w:rsidR="00EF4C83" w:rsidRPr="00020BD3">
              <w:t xml:space="preserve"> clinical AI systems</w:t>
            </w:r>
          </w:p>
        </w:tc>
        <w:tc>
          <w:tcPr>
            <w:tcW w:w="2520" w:type="dxa"/>
          </w:tcPr>
          <w:p w14:paraId="55882A6C" w14:textId="77777777" w:rsidR="00EF4C83" w:rsidRPr="00020BD3" w:rsidRDefault="00EF4C83" w:rsidP="002070FE">
            <w:pPr>
              <w:spacing w:after="0" w:line="240" w:lineRule="auto"/>
              <w:jc w:val="left"/>
            </w:pPr>
            <w:r w:rsidRPr="00020BD3">
              <w:t>De-automation required for high-stakes clinical decisions</w:t>
            </w:r>
          </w:p>
        </w:tc>
      </w:tr>
      <w:tr w:rsidR="003E5719" w:rsidRPr="00020BD3" w14:paraId="43324D69" w14:textId="77777777" w:rsidTr="00834850">
        <w:tc>
          <w:tcPr>
            <w:tcW w:w="1723" w:type="dxa"/>
          </w:tcPr>
          <w:p w14:paraId="48E2A951" w14:textId="5A1FABC4" w:rsidR="00EF4C83" w:rsidRPr="00020BD3" w:rsidRDefault="00E85742" w:rsidP="002070FE">
            <w:pPr>
              <w:spacing w:after="0" w:line="240" w:lineRule="auto"/>
              <w:jc w:val="left"/>
            </w:pPr>
            <w:r>
              <w:fldChar w:fldCharType="begin"/>
            </w:r>
            <w:r w:rsidR="0016602E">
              <w:instrText xml:space="preserve"> ADDIN ZOTERO_ITEM CSL_CITATION {"citationID":"3hJU84m1","properties":{"formattedCitation":"(Wachter et al., 2021)","plainCitation":"(Wachter et al., 2021)","dontUpdate":true,"noteIndex":0},"citationItems":[{"id":2998,"uris":["http://zotero.org/users/6567242/items/47LWZ6RZ"],"itemData":{"id":2998,"type":"article-journal","container-title":"Computer Law &amp; Security Review","DOI":"10.1016/j.clsr.2021.105567","ISSN":"2212473X","journalAbbreviation":"Computer Law &amp; Security Review","language":"en","page":"105567","source":"DOI.org (Crossref)","title":"Why fairness cannot be automated: Bridging the gap between EU non-discrimination law and AI","title-short":"Why fairness cannot be automated","volume":"41","author":[{"family":"Wachter","given":"Sandra"},{"family":"Mittelstadt","given":"Brent"},{"family":"Russell","given":"Chris"}],"issued":{"date-parts":[["2021",7]]}}}],"schema":"https://github.com/citation-style-language/schema/raw/master/csl-citation.json"} </w:instrText>
            </w:r>
            <w:r>
              <w:fldChar w:fldCharType="separate"/>
            </w:r>
            <w:r w:rsidRPr="00E85742">
              <w:t xml:space="preserve">Wachter et al. </w:t>
            </w:r>
            <w:r>
              <w:t>(</w:t>
            </w:r>
            <w:r w:rsidRPr="00E85742">
              <w:t>2021)</w:t>
            </w:r>
            <w:r>
              <w:fldChar w:fldCharType="end"/>
            </w:r>
          </w:p>
        </w:tc>
        <w:tc>
          <w:tcPr>
            <w:tcW w:w="1427" w:type="dxa"/>
          </w:tcPr>
          <w:p w14:paraId="3A865993" w14:textId="77777777" w:rsidR="00EF4C83" w:rsidRPr="00020BD3" w:rsidRDefault="00EF4C83" w:rsidP="002070FE">
            <w:pPr>
              <w:spacing w:after="0" w:line="240" w:lineRule="auto"/>
              <w:jc w:val="left"/>
            </w:pPr>
            <w:r w:rsidRPr="00020BD3">
              <w:t>Theoretical/Legal</w:t>
            </w:r>
          </w:p>
        </w:tc>
        <w:tc>
          <w:tcPr>
            <w:tcW w:w="1440" w:type="dxa"/>
          </w:tcPr>
          <w:p w14:paraId="4F272B60" w14:textId="77777777" w:rsidR="00EF4C83" w:rsidRPr="00020BD3" w:rsidRDefault="00EF4C83" w:rsidP="002070FE">
            <w:pPr>
              <w:spacing w:after="0" w:line="240" w:lineRule="auto"/>
              <w:jc w:val="left"/>
            </w:pPr>
            <w:r w:rsidRPr="00020BD3">
              <w:t>Cross-sector</w:t>
            </w:r>
          </w:p>
        </w:tc>
        <w:tc>
          <w:tcPr>
            <w:tcW w:w="2250" w:type="dxa"/>
          </w:tcPr>
          <w:p w14:paraId="2CB7ECF3" w14:textId="77777777" w:rsidR="00EF4C83" w:rsidRPr="00020BD3" w:rsidRDefault="00EF4C83" w:rsidP="002070FE">
            <w:pPr>
              <w:spacing w:after="0" w:line="240" w:lineRule="auto"/>
              <w:jc w:val="left"/>
            </w:pPr>
            <w:r w:rsidRPr="00020BD3">
              <w:t>Fairness, non-discrimination, and AI law</w:t>
            </w:r>
          </w:p>
        </w:tc>
        <w:tc>
          <w:tcPr>
            <w:tcW w:w="2520" w:type="dxa"/>
          </w:tcPr>
          <w:p w14:paraId="2709EF69" w14:textId="77777777" w:rsidR="00EF4C83" w:rsidRPr="00020BD3" w:rsidRDefault="00EF4C83" w:rsidP="002070FE">
            <w:pPr>
              <w:spacing w:after="0" w:line="240" w:lineRule="auto"/>
              <w:jc w:val="left"/>
            </w:pPr>
            <w:r w:rsidRPr="00020BD3">
              <w:t>EU fairness law cannot be automated; human arbitration necessary</w:t>
            </w:r>
          </w:p>
        </w:tc>
      </w:tr>
      <w:tr w:rsidR="003E5719" w:rsidRPr="00020BD3" w14:paraId="2170204B" w14:textId="77777777" w:rsidTr="00834850">
        <w:tc>
          <w:tcPr>
            <w:tcW w:w="1723" w:type="dxa"/>
          </w:tcPr>
          <w:p w14:paraId="7BD08CCF" w14:textId="464BE708" w:rsidR="00EF4C83" w:rsidRPr="00020BD3" w:rsidRDefault="00C542C1" w:rsidP="002070FE">
            <w:pPr>
              <w:spacing w:after="0" w:line="240" w:lineRule="auto"/>
              <w:jc w:val="left"/>
            </w:pPr>
            <w:r>
              <w:fldChar w:fldCharType="begin"/>
            </w:r>
            <w:r w:rsidR="0016602E">
              <w:instrText xml:space="preserve"> ADDIN ZOTERO_ITEM CSL_CITATION {"citationID":"4kSiTW7I","properties":{"formattedCitation":"(Cabrera et al., 2023)","plainCitation":"(Cabrera et al., 2023)","dontUpdate":true,"noteIndex":0},"citationItems":[{"id":2967,"uris":["http://zotero.org/users/6567242/items/LCPJWD44"],"itemData":{"id":2967,"type":"article-journal","abstract":"People work with AI systems to improve their decision making, but often under- or over-rely on AI predictions and perform worse than they would have unassisted. To help people appropriately rely on AI aids, we propose showing them behavior descriptions, details of how AI systems perform on subgroups of instances. We tested the efficacy of behavior descriptions through user studies with 225 participants in three distinct domains: fake review detection, satellite image classification, and bird classification. We found that behavior descriptions can increase human-AI accuracy through two mechanisms: helping people identify AI failures and increasing people's reliance on the AI when it is more accurate. These findings highlight the importance of people's mental models in human-AI collaboration and show that informing people of high-level AI behaviors can significantly improve AI-assisted decision making.","container-title":"Proceedings of the ACM on Human-Computer Interaction","DOI":"10.1145/3579612","ISSN":"2573-0142","issue":"CSCW1","journalAbbreviation":"Proc. ACM Hum.-Comput. Interact.","language":"en","page":"1-21","source":"DOI.org (Crossref)","title":"Improving Human-AI Collaboration With Descriptions of AI Behavior","volume":"7","author":[{"family":"Cabrera","given":"Ángel Alexander"},{"family":"Perer","given":"Adam"},{"family":"Hong","given":"Jason I."}],"issued":{"date-parts":[["2023",4,14]]}}}],"schema":"https://github.com/citation-style-language/schema/raw/master/csl-citation.json"} </w:instrText>
            </w:r>
            <w:r>
              <w:fldChar w:fldCharType="separate"/>
            </w:r>
            <w:r w:rsidRPr="00C542C1">
              <w:t xml:space="preserve">Cabrera et al. </w:t>
            </w:r>
            <w:r>
              <w:t>(</w:t>
            </w:r>
            <w:r w:rsidRPr="00C542C1">
              <w:t>2023)</w:t>
            </w:r>
            <w:r>
              <w:fldChar w:fldCharType="end"/>
            </w:r>
          </w:p>
        </w:tc>
        <w:tc>
          <w:tcPr>
            <w:tcW w:w="1427" w:type="dxa"/>
          </w:tcPr>
          <w:p w14:paraId="0AB6CEF9" w14:textId="77777777" w:rsidR="00EF4C83" w:rsidRPr="00020BD3" w:rsidRDefault="00EF4C83" w:rsidP="002070FE">
            <w:pPr>
              <w:spacing w:after="0" w:line="240" w:lineRule="auto"/>
              <w:jc w:val="left"/>
            </w:pPr>
            <w:r w:rsidRPr="00020BD3">
              <w:t>Qualitative</w:t>
            </w:r>
          </w:p>
        </w:tc>
        <w:tc>
          <w:tcPr>
            <w:tcW w:w="1440" w:type="dxa"/>
          </w:tcPr>
          <w:p w14:paraId="222EDDFB" w14:textId="77777777" w:rsidR="00EF4C83" w:rsidRPr="00020BD3" w:rsidRDefault="00EF4C83" w:rsidP="002070FE">
            <w:pPr>
              <w:spacing w:after="0" w:line="240" w:lineRule="auto"/>
              <w:jc w:val="left"/>
            </w:pPr>
            <w:r w:rsidRPr="00020BD3">
              <w:t>Multiple</w:t>
            </w:r>
          </w:p>
        </w:tc>
        <w:tc>
          <w:tcPr>
            <w:tcW w:w="2250" w:type="dxa"/>
          </w:tcPr>
          <w:p w14:paraId="7B06B082" w14:textId="77777777" w:rsidR="00EF4C83" w:rsidRPr="00020BD3" w:rsidRDefault="00EF4C83" w:rsidP="002070FE">
            <w:pPr>
              <w:spacing w:after="0" w:line="240" w:lineRule="auto"/>
              <w:jc w:val="left"/>
            </w:pPr>
            <w:r w:rsidRPr="00020BD3">
              <w:t>Descriptions of AI behavior for collaboration</w:t>
            </w:r>
          </w:p>
        </w:tc>
        <w:tc>
          <w:tcPr>
            <w:tcW w:w="2520" w:type="dxa"/>
          </w:tcPr>
          <w:p w14:paraId="4AAE729F" w14:textId="77777777" w:rsidR="00EF4C83" w:rsidRPr="00020BD3" w:rsidRDefault="00EF4C83" w:rsidP="002070FE">
            <w:pPr>
              <w:spacing w:after="0" w:line="240" w:lineRule="auto"/>
              <w:jc w:val="left"/>
            </w:pPr>
            <w:r w:rsidRPr="00020BD3">
              <w:t>Behavioural descriptions outperform numerical accuracy for trust calibration</w:t>
            </w:r>
          </w:p>
        </w:tc>
      </w:tr>
      <w:tr w:rsidR="003E5719" w:rsidRPr="00020BD3" w14:paraId="683A4A34" w14:textId="77777777" w:rsidTr="00834850">
        <w:tc>
          <w:tcPr>
            <w:tcW w:w="1723" w:type="dxa"/>
          </w:tcPr>
          <w:p w14:paraId="5D348D8E" w14:textId="33D4333A" w:rsidR="005A5FE7" w:rsidRDefault="00610CAE" w:rsidP="002070FE">
            <w:pPr>
              <w:spacing w:after="0" w:line="240" w:lineRule="auto"/>
              <w:jc w:val="left"/>
            </w:pPr>
            <w:r>
              <w:fldChar w:fldCharType="begin"/>
            </w:r>
            <w:r w:rsidR="0016602E">
              <w:instrText xml:space="preserve"> ADDIN ZOTERO_ITEM CSL_CITATION {"citationID":"2ZefLQjb","properties":{"formattedCitation":"(Fogliato et al., 2022)","plainCitation":"(Fogliato et al., 2022)","dontUpdate":true,"noteIndex":0},"citationItems":[{"id":2994,"uris":["http://zotero.org/users/6567242/items/SUB5C2WI"],"itemData":{"id":2994,"type":"paper-conference","container-title":"2022 ACM Conference on Fairness Accountability and Transparency","DOI":"10.1145/3531146.3533193","event-title":"FAccT '22: 2022 ACM Conference on Fairness, Accountability, and Transparency","ISBN":"978-1-4503-9352-2","language":"en","page":"1362-1374","publisher":"ACM","publisher-place":"Seoul Republic of Korea","source":"DOI.org (Crossref)","title":"Who Goes First? Influences of Human-AI Workflow on Decision Making in Clinical Imaging","title-short":"Who Goes First?","URL":"https://dl.acm.org/doi/10.1145/3531146.3533193","author":[{"family":"Fogliato","given":"Riccardo"},{"family":"Chappidi","given":"Shreya"},{"family":"Lungren","given":"Matthew"},{"family":"Fisher","given":"Paul"},{"family":"Wilson","given":"Diane"},{"family":"Fitzke","given":"Michael"},{"family":"Parkinson","given":"Mark"},{"family":"Horvitz","given":"Eric"},{"family":"Inkpen","given":"Kori"},{"family":"Nushi","given":"Besmira"}],"accessed":{"date-parts":[["2026",3,23]]},"issued":{"date-parts":[["2022",6,21]]}}}],"schema":"https://github.com/citation-style-language/schema/raw/master/csl-citation.json"} </w:instrText>
            </w:r>
            <w:r>
              <w:fldChar w:fldCharType="separate"/>
            </w:r>
            <w:r w:rsidRPr="00610CAE">
              <w:t xml:space="preserve">Fogliato et al. </w:t>
            </w:r>
            <w:r>
              <w:t>(</w:t>
            </w:r>
            <w:r w:rsidRPr="00610CAE">
              <w:t>2022)</w:t>
            </w:r>
            <w:r>
              <w:fldChar w:fldCharType="end"/>
            </w:r>
          </w:p>
        </w:tc>
        <w:tc>
          <w:tcPr>
            <w:tcW w:w="1427" w:type="dxa"/>
          </w:tcPr>
          <w:p w14:paraId="4427606B" w14:textId="0BFC56FE" w:rsidR="005A5FE7" w:rsidRPr="00020BD3" w:rsidRDefault="00716B51" w:rsidP="002070FE">
            <w:pPr>
              <w:spacing w:after="0" w:line="240" w:lineRule="auto"/>
              <w:jc w:val="left"/>
            </w:pPr>
            <w:r>
              <w:t>Empirical</w:t>
            </w:r>
          </w:p>
        </w:tc>
        <w:tc>
          <w:tcPr>
            <w:tcW w:w="1440" w:type="dxa"/>
          </w:tcPr>
          <w:p w14:paraId="35AACEED" w14:textId="638D2832" w:rsidR="005A5FE7" w:rsidRPr="00020BD3" w:rsidRDefault="00716B51" w:rsidP="002070FE">
            <w:pPr>
              <w:spacing w:after="0" w:line="240" w:lineRule="auto"/>
              <w:jc w:val="left"/>
            </w:pPr>
            <w:r>
              <w:t>C</w:t>
            </w:r>
            <w:r w:rsidRPr="00716B51">
              <w:t xml:space="preserve">linical </w:t>
            </w:r>
            <w:r w:rsidR="00F228BA">
              <w:t>AI</w:t>
            </w:r>
          </w:p>
        </w:tc>
        <w:tc>
          <w:tcPr>
            <w:tcW w:w="2250" w:type="dxa"/>
          </w:tcPr>
          <w:p w14:paraId="74D11CB5" w14:textId="743D782B" w:rsidR="005A5FE7" w:rsidRPr="00020BD3" w:rsidRDefault="00D85C9B" w:rsidP="002070FE">
            <w:pPr>
              <w:spacing w:after="0" w:line="240" w:lineRule="auto"/>
              <w:jc w:val="left"/>
            </w:pPr>
            <w:r>
              <w:t>S</w:t>
            </w:r>
            <w:r w:rsidRPr="00D85C9B">
              <w:t>equencing and display of AI inferences within human decision</w:t>
            </w:r>
            <w:r w:rsidR="00B34F1C">
              <w:t>-</w:t>
            </w:r>
            <w:r w:rsidRPr="00D85C9B">
              <w:t xml:space="preserve">making workflows </w:t>
            </w:r>
          </w:p>
        </w:tc>
        <w:tc>
          <w:tcPr>
            <w:tcW w:w="2520" w:type="dxa"/>
          </w:tcPr>
          <w:p w14:paraId="154737F4" w14:textId="1CDF600D" w:rsidR="005A5FE7" w:rsidRPr="00020BD3" w:rsidRDefault="00757AE5" w:rsidP="002070FE">
            <w:pPr>
              <w:spacing w:after="0" w:line="240" w:lineRule="auto"/>
              <w:jc w:val="left"/>
            </w:pPr>
            <w:r>
              <w:t>P</w:t>
            </w:r>
            <w:r w:rsidRPr="00757AE5">
              <w:t>articipants who registered provisional responses before seeing AI inferences were less likely to agree with the AI</w:t>
            </w:r>
            <w:r w:rsidR="009761DA">
              <w:t>,</w:t>
            </w:r>
            <w:r w:rsidRPr="00757AE5">
              <w:t xml:space="preserve"> regardless of whether the AI advice was accurate</w:t>
            </w:r>
            <w:r w:rsidR="0088685D">
              <w:t>;</w:t>
            </w:r>
            <w:r w:rsidRPr="00757AE5">
              <w:t xml:space="preserve"> and, when they disagreed with the AI, were less likely to seek a colleague's second opinion. </w:t>
            </w:r>
          </w:p>
        </w:tc>
      </w:tr>
      <w:tr w:rsidR="003E5719" w:rsidRPr="00020BD3" w14:paraId="435B8834" w14:textId="77777777" w:rsidTr="00834850">
        <w:tc>
          <w:tcPr>
            <w:tcW w:w="1723" w:type="dxa"/>
          </w:tcPr>
          <w:p w14:paraId="6593B19D" w14:textId="68F54E00" w:rsidR="00EF4C83" w:rsidRPr="00020BD3" w:rsidRDefault="002B6F5F" w:rsidP="002070FE">
            <w:pPr>
              <w:spacing w:after="0" w:line="240" w:lineRule="auto"/>
              <w:jc w:val="left"/>
            </w:pPr>
            <w:r>
              <w:fldChar w:fldCharType="begin"/>
            </w:r>
            <w:r w:rsidR="0016602E">
              <w:instrText xml:space="preserve"> ADDIN ZOTERO_ITEM CSL_CITATION {"citationID":"XQsB2kE1","properties":{"formattedCitation":"(Sloane et al., 2020)","plainCitation":"(Sloane et al., 2020)","dontUpdate":true,"noteIndex":0},"citationItems":[{"id":2996,"uris":["http://zotero.org/users/6567242/items/TRZXVCVM"],"itemData":{"id":2996,"type":"article","abstract":"This paper critically examines existing modes of participation in design practice and machine learning. Cautioning against 'participation-washing', it suggests that the ML community must become attuned to possibly exploitative and extractive forms of community involvement and shift away from the prerogatives of context-independent scalability.","DOI":"10.48550/ARXIV.2007.02423","license":"Creative Commons Attribution 4.0 International","note":"version: 3","publisher":"arXiv","source":"DOI.org (Datacite)","title":"Participation is not a Design Fix for Machine Learning","URL":"https://arxiv.org/abs/2007.02423","author":[{"family":"Sloane","given":"Mona"},{"family":"Moss","given":"Emanuel"},{"family":"Awomolo","given":"Olaitan"},{"family":"Forlano","given":"Laura"}],"accessed":{"date-parts":[["2026",3,23]]},"issued":{"date-parts":[["2020"]]}}}],"schema":"https://github.com/citation-style-language/schema/raw/master/csl-citation.json"} </w:instrText>
            </w:r>
            <w:r>
              <w:fldChar w:fldCharType="separate"/>
            </w:r>
            <w:r w:rsidRPr="002B6F5F">
              <w:t xml:space="preserve">Sloane et al. </w:t>
            </w:r>
            <w:r>
              <w:t>(</w:t>
            </w:r>
            <w:r w:rsidRPr="002B6F5F">
              <w:t>2020)</w:t>
            </w:r>
            <w:r>
              <w:fldChar w:fldCharType="end"/>
            </w:r>
          </w:p>
        </w:tc>
        <w:tc>
          <w:tcPr>
            <w:tcW w:w="1427" w:type="dxa"/>
          </w:tcPr>
          <w:p w14:paraId="6E11C21A" w14:textId="77777777" w:rsidR="00EF4C83" w:rsidRPr="00020BD3" w:rsidRDefault="00EF4C83" w:rsidP="002070FE">
            <w:pPr>
              <w:spacing w:after="0" w:line="240" w:lineRule="auto"/>
              <w:jc w:val="left"/>
            </w:pPr>
            <w:r w:rsidRPr="00020BD3">
              <w:t>Critical Review</w:t>
            </w:r>
          </w:p>
        </w:tc>
        <w:tc>
          <w:tcPr>
            <w:tcW w:w="1440" w:type="dxa"/>
          </w:tcPr>
          <w:p w14:paraId="3A505921" w14:textId="77777777" w:rsidR="00EF4C83" w:rsidRPr="00020BD3" w:rsidRDefault="00EF4C83" w:rsidP="002070FE">
            <w:pPr>
              <w:spacing w:after="0" w:line="240" w:lineRule="auto"/>
              <w:jc w:val="left"/>
            </w:pPr>
            <w:r w:rsidRPr="00020BD3">
              <w:t>Sociotechnical</w:t>
            </w:r>
          </w:p>
        </w:tc>
        <w:tc>
          <w:tcPr>
            <w:tcW w:w="2250" w:type="dxa"/>
          </w:tcPr>
          <w:p w14:paraId="3778203B" w14:textId="77777777" w:rsidR="00EF4C83" w:rsidRPr="00020BD3" w:rsidRDefault="00EF4C83" w:rsidP="002070FE">
            <w:pPr>
              <w:spacing w:after="0" w:line="240" w:lineRule="auto"/>
              <w:jc w:val="left"/>
            </w:pPr>
            <w:r w:rsidRPr="00020BD3">
              <w:t>Participation in AI design</w:t>
            </w:r>
          </w:p>
        </w:tc>
        <w:tc>
          <w:tcPr>
            <w:tcW w:w="2520" w:type="dxa"/>
          </w:tcPr>
          <w:p w14:paraId="167937BA" w14:textId="5F9AD4EE" w:rsidR="00EF4C83" w:rsidRPr="00020BD3" w:rsidRDefault="00EF4C83" w:rsidP="002070FE">
            <w:pPr>
              <w:spacing w:after="0" w:line="240" w:lineRule="auto"/>
              <w:jc w:val="left"/>
            </w:pPr>
            <w:r w:rsidRPr="00020BD3">
              <w:t>Participation washing: superficial inclusion perpetuates power asymmetries</w:t>
            </w:r>
            <w:r w:rsidR="002B5022">
              <w:t>.</w:t>
            </w:r>
          </w:p>
        </w:tc>
      </w:tr>
      <w:tr w:rsidR="003E5719" w:rsidRPr="00020BD3" w14:paraId="5BA3EF26" w14:textId="77777777" w:rsidTr="00834850">
        <w:tc>
          <w:tcPr>
            <w:tcW w:w="1723" w:type="dxa"/>
          </w:tcPr>
          <w:p w14:paraId="2984FE1F" w14:textId="6E036F86" w:rsidR="00EF4C83" w:rsidRPr="00020BD3" w:rsidRDefault="0016602E" w:rsidP="002070FE">
            <w:pPr>
              <w:spacing w:after="0" w:line="240" w:lineRule="auto"/>
              <w:jc w:val="left"/>
            </w:pPr>
            <w:r>
              <w:fldChar w:fldCharType="begin"/>
            </w:r>
            <w:r w:rsidR="00161FFC">
              <w:instrText xml:space="preserve"> ADDIN ZOTERO_ITEM CSL_CITATION {"citationID":"GOBZGm6P","properties":{"formattedCitation":"(Madaio et al., 2020)","plainCitation":"(Madaio et al., 2020)","dontUpdate":true,"noteIndex":0},"citationItems":[{"id":2979,"uris":["http://zotero.org/users/6567242/items/PF5KICG5"],"itemData":{"id":2979,"type":"paper-conference","container-title":"Proceedings of the 2020 CHI Conference on Human Factors in Computing Systems","DOI":"10.1145/3313831.3376445","event-title":"CHI '20: CHI Conference on Human Factors in Computing Systems","ISBN":"978-1-4503-6708-0","language":"en","page":"1-14","publisher":"ACM","publisher-place":"Honolulu HI USA","source":"DOI.org (Crossref)","title":"Co-Designing Checklists to Understand Organizational Challenges and Opportunities around Fairness in AI","URL":"https://dl.acm.org/doi/10.1145/3313831.3376445","author":[{"family":"Madaio","given":"Michael A."},{"family":"Stark","given":"Luke"},{"family":"Wortman Vaughan","given":"Jennifer"},{"family":"Wallach","given":"Hanna"}],"accessed":{"date-parts":[["2026",3,23]]},"issued":{"date-parts":[["2020",4,21]]}}}],"schema":"https://github.com/citation-style-language/schema/raw/master/csl-citation.json"} </w:instrText>
            </w:r>
            <w:r>
              <w:fldChar w:fldCharType="separate"/>
            </w:r>
            <w:r w:rsidRPr="0016602E">
              <w:t xml:space="preserve">Madaio et al. </w:t>
            </w:r>
            <w:r w:rsidR="0032339E">
              <w:t>(</w:t>
            </w:r>
            <w:r w:rsidRPr="0016602E">
              <w:t>2020)</w:t>
            </w:r>
            <w:r>
              <w:fldChar w:fldCharType="end"/>
            </w:r>
          </w:p>
        </w:tc>
        <w:tc>
          <w:tcPr>
            <w:tcW w:w="1427" w:type="dxa"/>
          </w:tcPr>
          <w:p w14:paraId="6E15ACD2" w14:textId="77777777" w:rsidR="00EF4C83" w:rsidRPr="00020BD3" w:rsidRDefault="00EF4C83" w:rsidP="002070FE">
            <w:pPr>
              <w:spacing w:after="0" w:line="240" w:lineRule="auto"/>
              <w:jc w:val="left"/>
            </w:pPr>
            <w:r w:rsidRPr="00020BD3">
              <w:t>Co-design</w:t>
            </w:r>
          </w:p>
        </w:tc>
        <w:tc>
          <w:tcPr>
            <w:tcW w:w="1440" w:type="dxa"/>
          </w:tcPr>
          <w:p w14:paraId="5093F205" w14:textId="77777777" w:rsidR="00EF4C83" w:rsidRPr="00020BD3" w:rsidRDefault="00EF4C83" w:rsidP="002070FE">
            <w:pPr>
              <w:spacing w:after="0" w:line="240" w:lineRule="auto"/>
              <w:jc w:val="left"/>
            </w:pPr>
            <w:r w:rsidRPr="00020BD3">
              <w:t>Industry</w:t>
            </w:r>
          </w:p>
        </w:tc>
        <w:tc>
          <w:tcPr>
            <w:tcW w:w="2250" w:type="dxa"/>
          </w:tcPr>
          <w:p w14:paraId="56B87BDD" w14:textId="77777777" w:rsidR="00EF4C83" w:rsidRPr="00020BD3" w:rsidRDefault="00EF4C83" w:rsidP="002070FE">
            <w:pPr>
              <w:spacing w:after="0" w:line="240" w:lineRule="auto"/>
              <w:jc w:val="left"/>
            </w:pPr>
            <w:r w:rsidRPr="00020BD3">
              <w:t xml:space="preserve">Fairness checklists in </w:t>
            </w:r>
            <w:r>
              <w:t>organiz</w:t>
            </w:r>
            <w:r w:rsidRPr="00020BD3">
              <w:t>ations</w:t>
            </w:r>
          </w:p>
        </w:tc>
        <w:tc>
          <w:tcPr>
            <w:tcW w:w="2520" w:type="dxa"/>
          </w:tcPr>
          <w:p w14:paraId="7E74A326" w14:textId="51E79796" w:rsidR="00EF4C83" w:rsidRPr="00020BD3" w:rsidRDefault="00EF4C83" w:rsidP="002070FE">
            <w:pPr>
              <w:spacing w:after="0" w:line="240" w:lineRule="auto"/>
              <w:jc w:val="left"/>
            </w:pPr>
            <w:r w:rsidRPr="00020BD3">
              <w:t>Organizational constraints limit checklist effectiveness without structural change</w:t>
            </w:r>
            <w:r w:rsidR="002B5022">
              <w:t>.</w:t>
            </w:r>
          </w:p>
        </w:tc>
      </w:tr>
      <w:tr w:rsidR="003E5719" w:rsidRPr="00020BD3" w14:paraId="28F4053A" w14:textId="77777777" w:rsidTr="00834850">
        <w:tc>
          <w:tcPr>
            <w:tcW w:w="1723" w:type="dxa"/>
          </w:tcPr>
          <w:p w14:paraId="3B1A78DF" w14:textId="3E77616F" w:rsidR="00EF4C83" w:rsidRPr="00020BD3" w:rsidRDefault="006E34E3" w:rsidP="002070FE">
            <w:pPr>
              <w:spacing w:after="0" w:line="240" w:lineRule="auto"/>
              <w:jc w:val="left"/>
            </w:pPr>
            <w:r>
              <w:fldChar w:fldCharType="begin"/>
            </w:r>
            <w:r w:rsidR="00782A18">
              <w:instrText xml:space="preserve"> ADDIN ZOTERO_ITEM CSL_CITATION {"citationID":"b8U4PhLx","properties":{"formattedCitation":"(Arrieta et al., 2020)","plainCitation":"(Arrieta et al., 2020)","dontUpdate":true,"noteIndex":0},"citationItems":[{"id":2941,"uris":["http://zotero.org/users/6567242/items/LUR8LQA5"],"itemData":{"id":2941,"type":"article-journal","container-title":"Information Fusion","DOI":"10.1016/j.inffus.2019.12.012","ISSN":"15662535","journalAbbreviation":"Information Fusion","language":"en","page":"82-115","source":"DOI.org (Crossref)","title":"Explainable Artificial Intelligence (XAI): Concepts, taxonomies, opportunities and challenges toward responsible AI","title-short":"Explainable Artificial Intelligence (XAI)","volume":"58","author":[{"family":"Arrieta","given":"Alejandro Barredo"},{"family":"Díaz-Rodríguez","given":"Natalia"},{"family":"Del Ser","given":"Javier"},{"family":"Bennetot","given":"Adrien"},{"family":"Tabik","given":"Siham"},{"family":"Barbado","given":"Alberto"},{"family":"Garcia","given":"Salvador"},{"family":"Gil-Lopez","given":"Sergio"},{"family":"Molina","given":"Daniel"},{"family":"Benjamins","given":"Richard"},{"family":"Chatila","given":"Raja"},{"family":"Herrera","given":"Francisco"}],"issued":{"date-parts":[["2020",6]]}}}],"schema":"https://github.com/citation-style-language/schema/raw/master/csl-citation.json"} </w:instrText>
            </w:r>
            <w:r>
              <w:fldChar w:fldCharType="separate"/>
            </w:r>
            <w:r w:rsidR="00161FFC" w:rsidRPr="00161FFC">
              <w:t xml:space="preserve">Arrieta et al. </w:t>
            </w:r>
            <w:r w:rsidR="00161FFC">
              <w:t>(</w:t>
            </w:r>
            <w:r w:rsidR="00161FFC" w:rsidRPr="00161FFC">
              <w:t>2020)</w:t>
            </w:r>
            <w:r>
              <w:fldChar w:fldCharType="end"/>
            </w:r>
          </w:p>
        </w:tc>
        <w:tc>
          <w:tcPr>
            <w:tcW w:w="1427" w:type="dxa"/>
          </w:tcPr>
          <w:p w14:paraId="019BC45A" w14:textId="77777777" w:rsidR="00EF4C83" w:rsidRPr="00020BD3" w:rsidRDefault="00EF4C83" w:rsidP="002070FE">
            <w:pPr>
              <w:spacing w:after="0" w:line="240" w:lineRule="auto"/>
              <w:jc w:val="left"/>
            </w:pPr>
            <w:r w:rsidRPr="00020BD3">
              <w:t>Review</w:t>
            </w:r>
          </w:p>
        </w:tc>
        <w:tc>
          <w:tcPr>
            <w:tcW w:w="1440" w:type="dxa"/>
          </w:tcPr>
          <w:p w14:paraId="4FC87328" w14:textId="77777777" w:rsidR="00EF4C83" w:rsidRPr="00020BD3" w:rsidRDefault="00EF4C83" w:rsidP="002070FE">
            <w:pPr>
              <w:spacing w:after="0" w:line="240" w:lineRule="auto"/>
              <w:jc w:val="left"/>
            </w:pPr>
            <w:r w:rsidRPr="00020BD3">
              <w:t>Cross-sector</w:t>
            </w:r>
          </w:p>
        </w:tc>
        <w:tc>
          <w:tcPr>
            <w:tcW w:w="2250" w:type="dxa"/>
          </w:tcPr>
          <w:p w14:paraId="57F6A3CB" w14:textId="77777777" w:rsidR="00EF4C83" w:rsidRPr="00020BD3" w:rsidRDefault="00EF4C83" w:rsidP="002070FE">
            <w:pPr>
              <w:spacing w:after="0" w:line="240" w:lineRule="auto"/>
              <w:jc w:val="left"/>
            </w:pPr>
            <w:r w:rsidRPr="00020BD3">
              <w:t>XAI taxonomy and challenges</w:t>
            </w:r>
          </w:p>
        </w:tc>
        <w:tc>
          <w:tcPr>
            <w:tcW w:w="2520" w:type="dxa"/>
          </w:tcPr>
          <w:p w14:paraId="2BF67505" w14:textId="3CAF2943" w:rsidR="00EF4C83" w:rsidRPr="00020BD3" w:rsidRDefault="00EF4C83" w:rsidP="002070FE">
            <w:pPr>
              <w:spacing w:after="0" w:line="240" w:lineRule="auto"/>
              <w:jc w:val="left"/>
            </w:pPr>
            <w:r w:rsidRPr="00020BD3">
              <w:t>Identifies 29 XAI methods; maps to HITL intervention points</w:t>
            </w:r>
            <w:r w:rsidR="002B5022">
              <w:t>.</w:t>
            </w:r>
          </w:p>
        </w:tc>
      </w:tr>
      <w:tr w:rsidR="003E5719" w:rsidRPr="00020BD3" w14:paraId="396B81F1" w14:textId="77777777" w:rsidTr="00834850">
        <w:tc>
          <w:tcPr>
            <w:tcW w:w="1723" w:type="dxa"/>
          </w:tcPr>
          <w:p w14:paraId="347955B1" w14:textId="4CC3D6B0" w:rsidR="00EF4C83" w:rsidRPr="00020BD3" w:rsidRDefault="00E963DE" w:rsidP="002070FE">
            <w:pPr>
              <w:spacing w:after="0" w:line="240" w:lineRule="auto"/>
              <w:jc w:val="left"/>
            </w:pPr>
            <w:r>
              <w:fldChar w:fldCharType="begin"/>
            </w:r>
            <w:r w:rsidR="00724CFF">
              <w:instrText xml:space="preserve"> ADDIN ZOTERO_ITEM CSL_CITATION {"citationID":"5vjMbtXV","properties":{"formattedCitation":"(Rahwan, 2018)","plainCitation":"(Rahwan, 2018)","dontUpdate":true,"noteIndex":0},"citationItems":[{"id":2987,"uris":["http://zotero.org/users/6567242/items/XHFERWW4"],"itemData":{"id":2987,"type":"article-journal","container-title":"Ethics and Information Technology","DOI":"10.1007/s10676-017-9430-8","ISSN":"1388-1957, 1572-8439","issue":"1","journalAbbreviation":"Ethics Inf Technol","language":"en","page":"5-14","source":"DOI.org (Crossref)","title":"Society-in-the-loop: programming the algorithmic social contract","title-short":"Society-in-the-loop","volume":"20","author":[{"family":"Rahwan","given":"Iyad"}],"issued":{"date-parts":[["2021",3]]}}}],"schema":"https://github.com/citation-style-language/schema/raw/master/csl-citation.json"} </w:instrText>
            </w:r>
            <w:r>
              <w:fldChar w:fldCharType="separate"/>
            </w:r>
            <w:r w:rsidRPr="00E963DE">
              <w:t xml:space="preserve">Rahwan </w:t>
            </w:r>
            <w:r w:rsidR="00AF2A62">
              <w:t>(</w:t>
            </w:r>
            <w:r w:rsidRPr="00E963DE">
              <w:t>2018)</w:t>
            </w:r>
            <w:r>
              <w:fldChar w:fldCharType="end"/>
            </w:r>
            <w:r>
              <w:t xml:space="preserve"> in </w:t>
            </w:r>
            <w:r>
              <w:fldChar w:fldCharType="begin"/>
            </w:r>
            <w:r w:rsidR="00BF461A">
              <w:instrText xml:space="preserve"> ADDIN ZOTERO_ITEM CSL_CITATION {"citationID":"3VgPCOqW","properties":{"formattedCitation":"(Agwunobi, 2026)","plainCitation":"(Agwunobi, 2026)","dontUpdate":true,"noteIndex":0},"citationItems":[{"id":3036,"uris":["http://zotero.org/users/6567242/items/WFPEILEA"],"itemData":{"id":3036,"type":"article-journal","abstract":"The accelerating integration of artificial intelligence (AI) into governance, financial services, healthcare, and legal decision-making systems has created significant efficiency gains while simultaneously raising complex concerns regarding transparency, accountability, and institutional trust. As algorithmic systems increasingly participate in high-stakes decision processes traditionally governed by human expertise, the establishment of robust digital trust frameworks becomes essential. This study investigates how legal technology platforms combined with digital trust infrastructures can create verifiable mechanisms for trustworthy interaction between artificial intelligence and human intelligence. The paper proposes a novel Legal Trust Verification Algorithm (LTVA) designed to operationalize digital trust in AI-mediated environments through a multi-layered framework integrating blockchain-based legal audit trails, explainable AI verification modules, and policy-compliant decision validation protocols. The proposed algorithm is evaluated against existing governance-oriented AI verification approaches including Explainable Boosting Machines (EBM), SHAP-assisted Random Forest models, and policy-constrained Bayesian decision networks. Experimental simulations using institutional decision datasets demonstrate that the LTVA framework achieves superior performance in trust validation accuracy, regulatory compliance verification, and interpretability consistency. Graphical analysis illustrates measurable improvements in decision transparency scores and legal audit traceability compared with baseline methods. The results suggest that integrating legal technology infrastructures with algorithmic trust verification models can significantly reduce the trust deficit between automated systems and human stakeholders. The study therefore advances a scalable governance architecture capable of supporting responsible human-AI collaboration across regulatory jurisdictions while strengthening digital institutional trust in AI-enabled decision systems.","container-title":"International Journal of Scientific Research in Science, Engineering and Technology","DOI":"10.32628/IJSRSET261358","ISSN":"2394-4099, 2395-1990","issue":"2","journalAbbreviation":"Int J Sci Res Sci Eng Technol","license":"https://creativecommons.org/licenses/by/4.0","page":"55-79","source":"DOI.org (Crossref)","title":"A Legal Technology and Digital Trust Infrastructure Framework for Bridging Digital Trust Between Artificial Intelligence and Human Intelligence","volume":"13","author":[{"family":"Agwunobi","given":"Zita"}],"issued":{"date-parts":[["2026",3,10]]}}}],"schema":"https://github.com/citation-style-language/schema/raw/master/csl-citation.json"} </w:instrText>
            </w:r>
            <w:r>
              <w:fldChar w:fldCharType="separate"/>
            </w:r>
            <w:r w:rsidR="00BC4E6B" w:rsidRPr="00BC4E6B">
              <w:t xml:space="preserve">Agwunobi </w:t>
            </w:r>
            <w:r w:rsidR="00BC4E6B">
              <w:t>(</w:t>
            </w:r>
            <w:r w:rsidR="00BC4E6B" w:rsidRPr="00BC4E6B">
              <w:t>2026)</w:t>
            </w:r>
            <w:r>
              <w:fldChar w:fldCharType="end"/>
            </w:r>
          </w:p>
        </w:tc>
        <w:tc>
          <w:tcPr>
            <w:tcW w:w="1427" w:type="dxa"/>
          </w:tcPr>
          <w:p w14:paraId="2DD9360D" w14:textId="77777777" w:rsidR="00EF4C83" w:rsidRPr="00020BD3" w:rsidRDefault="00EF4C83" w:rsidP="002070FE">
            <w:pPr>
              <w:spacing w:after="0" w:line="240" w:lineRule="auto"/>
              <w:jc w:val="left"/>
            </w:pPr>
            <w:r w:rsidRPr="00020BD3">
              <w:t>Theoretical</w:t>
            </w:r>
          </w:p>
        </w:tc>
        <w:tc>
          <w:tcPr>
            <w:tcW w:w="1440" w:type="dxa"/>
          </w:tcPr>
          <w:p w14:paraId="00FB66E5" w14:textId="77777777" w:rsidR="00EF4C83" w:rsidRPr="00020BD3" w:rsidRDefault="00EF4C83" w:rsidP="002070FE">
            <w:pPr>
              <w:spacing w:after="0" w:line="240" w:lineRule="auto"/>
              <w:jc w:val="left"/>
            </w:pPr>
            <w:r w:rsidRPr="00020BD3">
              <w:t>Society</w:t>
            </w:r>
          </w:p>
        </w:tc>
        <w:tc>
          <w:tcPr>
            <w:tcW w:w="2250" w:type="dxa"/>
          </w:tcPr>
          <w:p w14:paraId="47A70E52" w14:textId="77777777" w:rsidR="00EF4C83" w:rsidRPr="00020BD3" w:rsidRDefault="00EF4C83" w:rsidP="002070FE">
            <w:pPr>
              <w:spacing w:after="0" w:line="240" w:lineRule="auto"/>
              <w:jc w:val="left"/>
            </w:pPr>
            <w:r w:rsidRPr="00020BD3">
              <w:t>Society-in-the-loop governance</w:t>
            </w:r>
          </w:p>
        </w:tc>
        <w:tc>
          <w:tcPr>
            <w:tcW w:w="2520" w:type="dxa"/>
          </w:tcPr>
          <w:p w14:paraId="6EDD434B" w14:textId="26CECC07" w:rsidR="00EF4C83" w:rsidRPr="00020BD3" w:rsidRDefault="00EF4C83" w:rsidP="002070FE">
            <w:pPr>
              <w:spacing w:after="0" w:line="240" w:lineRule="auto"/>
              <w:jc w:val="left"/>
            </w:pPr>
            <w:r w:rsidRPr="00020BD3">
              <w:t>Social contract layer required above individual HITL</w:t>
            </w:r>
            <w:r w:rsidR="002B5022">
              <w:t>.</w:t>
            </w:r>
          </w:p>
        </w:tc>
      </w:tr>
      <w:tr w:rsidR="003E5719" w:rsidRPr="00020BD3" w14:paraId="278A9BC6" w14:textId="77777777" w:rsidTr="00834850">
        <w:tc>
          <w:tcPr>
            <w:tcW w:w="1723" w:type="dxa"/>
          </w:tcPr>
          <w:p w14:paraId="6C64D164" w14:textId="557AF661" w:rsidR="00EF4C83" w:rsidRPr="00020BD3" w:rsidRDefault="00E41D3B" w:rsidP="002070FE">
            <w:pPr>
              <w:spacing w:after="0" w:line="240" w:lineRule="auto"/>
              <w:jc w:val="left"/>
            </w:pPr>
            <w:r>
              <w:fldChar w:fldCharType="begin"/>
            </w:r>
            <w:r w:rsidR="00724CFF">
              <w:instrText xml:space="preserve"> ADDIN ZOTERO_ITEM CSL_CITATION {"citationID":"2HZCsfci","properties":{"formattedCitation":"(Dietvorst &amp; Bartels, 2022)","plainCitation":"(Dietvorst &amp; Bartels, 2022)","dontUpdate":true,"noteIndex":0},"citationItems":[{"id":3055,"uris":["http://zotero.org/users/6567242/items/6JLZIC3E"],"itemData":{"id":3055,"type":"article-journal","abstract":"Why do consumers embrace some algorithms and find others objectionable? The moral relevance of the domain in which an algorithm operates plays a role. The authors find that consumers believe that algorithms are more likely to use maximization (i.e., attempting to maximize some measured outcome) as a decision‐making strategy than human decision makers (Study 1). Consumers find this consequentialist decision strategy to be objectionable in morally relevant tradeoffs and disapprove of algorithms making morally relevant tradeoffs as a result (Studies 2, 3a, &amp; 3b). Consumers also object to human employees making morally relevant tradeoffs when they are trained to make decisions by maximizing outcomes, consistent with the notion that their objections to algorithmic decision makers stem from concerns about maximization (Study 4). The results provide insight into why consumers object to some consumer relevant algorithms while adopting others.","container-title":"Journal of Consumer Psychology","DOI":"10.1002/jcpy.1266","ISSN":"1057-7408, 1532-7663","issue":"3","journalAbbreviation":"J Consum Psychol","language":"en","page":"406-424","source":"DOI.org (Crossref)","title":"Consumers Object to Algorithms Making Morally Relevant Tradeoffs Because of Algorithms’ Consequentialist Decision Strategies","volume":"32","author":[{"family":"Dietvorst","given":"Berkeley J."},{"family":"Bartels","given":"Daniel M."}],"issued":{"date-parts":[["2022",7]]}}}],"schema":"https://github.com/citation-style-language/schema/raw/master/csl-citation.json"} </w:instrText>
            </w:r>
            <w:r>
              <w:fldChar w:fldCharType="separate"/>
            </w:r>
            <w:r w:rsidR="00031199" w:rsidRPr="00031199">
              <w:t xml:space="preserve">Dietvorst </w:t>
            </w:r>
            <w:r w:rsidR="00031199">
              <w:t>and</w:t>
            </w:r>
            <w:r w:rsidR="00031199" w:rsidRPr="00031199">
              <w:t xml:space="preserve"> Bartels </w:t>
            </w:r>
            <w:r w:rsidR="00031199">
              <w:t>(</w:t>
            </w:r>
            <w:r w:rsidR="00031199" w:rsidRPr="00031199">
              <w:t>2022)</w:t>
            </w:r>
            <w:r>
              <w:fldChar w:fldCharType="end"/>
            </w:r>
            <w:r w:rsidR="003041ED">
              <w:t xml:space="preserve"> and </w:t>
            </w:r>
            <w:r w:rsidR="003041ED">
              <w:fldChar w:fldCharType="begin"/>
            </w:r>
            <w:r w:rsidR="00BF461A">
              <w:instrText xml:space="preserve"> ADDIN ZOTERO_ITEM CSL_CITATION {"citationID":"WgfkXuPt","properties":{"formattedCitation":"(Reich et al., 2023)","plainCitation":"(Reich et al., 2023)","dontUpdate":true,"noteIndex":0},"citationItems":[{"id":2958,"uris":["http://zotero.org/users/6567242/items/3KNWAGT5"],"itemData":{"id":2958,"type":"article-journal","abstract":"Abstract\n            \n              When consumers avoid taking algorithmic advice, it can prove costly to both marketers (whose algorithmic product offerings go unused) and to themselves (who fail to reap the benefits that algorithmic predictions often provide). In a departure from previous research focusing on\n              when\n              algorithm aversion proves more or less likely, we sought to identify and remedy one reason\n              why\n              it occurs in the first place. In seven pre‐registered studies, we find that consumers tend to avoid algorithmic advice on the often faulty assumption that those algorithms, unlike their human counterparts, cannot learn from mistakes, in turn offering an inroad by which to reduce algorithm aversion: highlighting their ability to learn. Process evidence, through both mediation and moderation, examines why consumers fail to trust algorithms that err across a variety of prediction domains and how different theory‐driven interventions can solve the practical problem of enhancing trust and consequential choice in algorithms.","container-title":"Journal of Consumer Psychology","DOI":"10.1002/jcpy.1313","ISSN":"1057-7408, 1532-7663","issue":"2","journalAbbreviation":"J Consum Psychol","language":"en","page":"285-302","source":"DOI.org (Crossref)","title":"How to overcome algorithm aversion: Learning from mistakes","title-short":"How to overcome algorithm aversion","volume":"33","author":[{"family":"Reich","given":"Taly"},{"family":"Kaju","given":"Alex"},{"family":"Maglio","given":"Sam J."}],"issued":{"date-parts":[["2023",4]]}}}],"schema":"https://github.com/citation-style-language/schema/raw/master/csl-citation.json"} </w:instrText>
            </w:r>
            <w:r w:rsidR="003041ED">
              <w:fldChar w:fldCharType="separate"/>
            </w:r>
            <w:r w:rsidR="003041ED" w:rsidRPr="003041ED">
              <w:t xml:space="preserve">Reich et al. </w:t>
            </w:r>
            <w:r w:rsidR="00720A8F">
              <w:t>(</w:t>
            </w:r>
            <w:r w:rsidR="003041ED" w:rsidRPr="003041ED">
              <w:t>2023)</w:t>
            </w:r>
            <w:r w:rsidR="003041ED">
              <w:fldChar w:fldCharType="end"/>
            </w:r>
          </w:p>
        </w:tc>
        <w:tc>
          <w:tcPr>
            <w:tcW w:w="1427" w:type="dxa"/>
          </w:tcPr>
          <w:p w14:paraId="72C1D72C" w14:textId="77777777" w:rsidR="00EF4C83" w:rsidRPr="00020BD3" w:rsidRDefault="00EF4C83" w:rsidP="002070FE">
            <w:pPr>
              <w:spacing w:after="0" w:line="240" w:lineRule="auto"/>
              <w:jc w:val="left"/>
            </w:pPr>
            <w:r w:rsidRPr="00020BD3">
              <w:t>Empirical</w:t>
            </w:r>
          </w:p>
        </w:tc>
        <w:tc>
          <w:tcPr>
            <w:tcW w:w="1440" w:type="dxa"/>
          </w:tcPr>
          <w:p w14:paraId="116897EA" w14:textId="77777777" w:rsidR="00EF4C83" w:rsidRPr="00020BD3" w:rsidRDefault="00EF4C83" w:rsidP="002070FE">
            <w:pPr>
              <w:spacing w:after="0" w:line="240" w:lineRule="auto"/>
              <w:jc w:val="left"/>
            </w:pPr>
            <w:r w:rsidRPr="00020BD3">
              <w:t>Forecasting</w:t>
            </w:r>
          </w:p>
        </w:tc>
        <w:tc>
          <w:tcPr>
            <w:tcW w:w="2250" w:type="dxa"/>
          </w:tcPr>
          <w:p w14:paraId="7498B942" w14:textId="77777777" w:rsidR="00EF4C83" w:rsidRPr="00020BD3" w:rsidRDefault="00EF4C83" w:rsidP="002070FE">
            <w:pPr>
              <w:spacing w:after="0" w:line="240" w:lineRule="auto"/>
              <w:jc w:val="left"/>
            </w:pPr>
            <w:r w:rsidRPr="00020BD3">
              <w:t>Algorithm aversion and modification</w:t>
            </w:r>
          </w:p>
        </w:tc>
        <w:tc>
          <w:tcPr>
            <w:tcW w:w="2520" w:type="dxa"/>
          </w:tcPr>
          <w:p w14:paraId="2207FD3C" w14:textId="6675F677" w:rsidR="00EF4C83" w:rsidRPr="00020BD3" w:rsidRDefault="00EF4C83" w:rsidP="002070FE">
            <w:pPr>
              <w:spacing w:after="0" w:line="240" w:lineRule="auto"/>
              <w:jc w:val="left"/>
            </w:pPr>
            <w:r w:rsidRPr="00020BD3">
              <w:t>Allowing small modifications to AI output reduces aversion significantly</w:t>
            </w:r>
            <w:r w:rsidR="002B5022">
              <w:t>.</w:t>
            </w:r>
          </w:p>
        </w:tc>
      </w:tr>
      <w:tr w:rsidR="003E5719" w:rsidRPr="00020BD3" w14:paraId="31B1FC2C" w14:textId="77777777" w:rsidTr="00834850">
        <w:tc>
          <w:tcPr>
            <w:tcW w:w="1723" w:type="dxa"/>
          </w:tcPr>
          <w:p w14:paraId="0B86BE85" w14:textId="1025FE6B" w:rsidR="00EF4C83" w:rsidRPr="00020BD3" w:rsidRDefault="004A1695" w:rsidP="002070FE">
            <w:pPr>
              <w:spacing w:after="0" w:line="240" w:lineRule="auto"/>
              <w:jc w:val="left"/>
            </w:pPr>
            <w:r>
              <w:lastRenderedPageBreak/>
              <w:fldChar w:fldCharType="begin"/>
            </w:r>
            <w:r w:rsidR="007D4F5A">
              <w:instrText xml:space="preserve"> ADDIN ZOTERO_ITEM CSL_CITATION {"citationID":"OsaReOCI","properties":{"formattedCitation":"(Logg &amp; Minson, 2022)","plainCitation":"(Logg &amp; Minson, 2022)","dontUpdate":true,"noteIndex":0},"citationItems":[{"id":3039,"uris":["http://zotero.org/users/6567242/items/66CXQYTX"],"itemData":{"id":3039,"type":"article-journal","container-title":"Current Directions in Psychological Science","DOI":"10.1177/09637214221117483","issue":"6","language":"en","page":"518–524","title":"Algorithm appreciation and aversion: Why people should use AI more and how to help them do it","volume":"31","author":[{"family":"Logg","given":"J.M."},{"family":"Minson","given":"J.A."}],"issued":{"date-parts":[["2022"]]}}}],"schema":"https://github.com/citation-style-language/schema/raw/master/csl-citation.json"} </w:instrText>
            </w:r>
            <w:r>
              <w:fldChar w:fldCharType="separate"/>
            </w:r>
            <w:r w:rsidRPr="004A1695">
              <w:t xml:space="preserve">Logg </w:t>
            </w:r>
            <w:r w:rsidR="004930D0">
              <w:t>and</w:t>
            </w:r>
            <w:r w:rsidRPr="004A1695">
              <w:t xml:space="preserve"> Minson </w:t>
            </w:r>
            <w:r>
              <w:t>(</w:t>
            </w:r>
            <w:r w:rsidRPr="004A1695">
              <w:t>2022)</w:t>
            </w:r>
            <w:r>
              <w:fldChar w:fldCharType="end"/>
            </w:r>
          </w:p>
        </w:tc>
        <w:tc>
          <w:tcPr>
            <w:tcW w:w="1427" w:type="dxa"/>
          </w:tcPr>
          <w:p w14:paraId="4B47A1A6" w14:textId="77777777" w:rsidR="00EF4C83" w:rsidRPr="00020BD3" w:rsidRDefault="00EF4C83" w:rsidP="002070FE">
            <w:pPr>
              <w:spacing w:after="0" w:line="240" w:lineRule="auto"/>
              <w:jc w:val="left"/>
            </w:pPr>
            <w:r w:rsidRPr="00020BD3">
              <w:t>Empirical</w:t>
            </w:r>
          </w:p>
        </w:tc>
        <w:tc>
          <w:tcPr>
            <w:tcW w:w="1440" w:type="dxa"/>
          </w:tcPr>
          <w:p w14:paraId="16113307" w14:textId="77777777" w:rsidR="00EF4C83" w:rsidRPr="00020BD3" w:rsidRDefault="00EF4C83" w:rsidP="002070FE">
            <w:pPr>
              <w:spacing w:after="0" w:line="240" w:lineRule="auto"/>
              <w:jc w:val="left"/>
            </w:pPr>
            <w:r w:rsidRPr="00020BD3">
              <w:t>Judgement</w:t>
            </w:r>
          </w:p>
        </w:tc>
        <w:tc>
          <w:tcPr>
            <w:tcW w:w="2250" w:type="dxa"/>
          </w:tcPr>
          <w:p w14:paraId="2CDF3F3A" w14:textId="77777777" w:rsidR="00EF4C83" w:rsidRPr="00020BD3" w:rsidRDefault="00EF4C83" w:rsidP="002070FE">
            <w:pPr>
              <w:spacing w:after="0" w:line="240" w:lineRule="auto"/>
              <w:jc w:val="left"/>
            </w:pPr>
            <w:r w:rsidRPr="00020BD3">
              <w:t>Algorithm appreciation dynamics</w:t>
            </w:r>
          </w:p>
        </w:tc>
        <w:tc>
          <w:tcPr>
            <w:tcW w:w="2520" w:type="dxa"/>
          </w:tcPr>
          <w:p w14:paraId="0B8969F1" w14:textId="567D2FD6" w:rsidR="00EF4C83" w:rsidRPr="00020BD3" w:rsidRDefault="00EF4C83" w:rsidP="002070FE">
            <w:pPr>
              <w:spacing w:after="0" w:line="240" w:lineRule="auto"/>
              <w:jc w:val="left"/>
            </w:pPr>
            <w:r w:rsidRPr="00020BD3">
              <w:t>Appreciation is domain-dependent; highest for opaque domains</w:t>
            </w:r>
            <w:r w:rsidR="002B5022">
              <w:t>.</w:t>
            </w:r>
          </w:p>
        </w:tc>
      </w:tr>
      <w:tr w:rsidR="003E5719" w:rsidRPr="00020BD3" w14:paraId="7062570E" w14:textId="77777777" w:rsidTr="00834850">
        <w:tc>
          <w:tcPr>
            <w:tcW w:w="1723" w:type="dxa"/>
          </w:tcPr>
          <w:p w14:paraId="1423F19D" w14:textId="2A442643" w:rsidR="00EF4C83" w:rsidRPr="00020BD3" w:rsidRDefault="00AB5E4C" w:rsidP="002070FE">
            <w:pPr>
              <w:spacing w:after="0" w:line="240" w:lineRule="auto"/>
              <w:jc w:val="left"/>
            </w:pPr>
            <w:r>
              <w:fldChar w:fldCharType="begin"/>
            </w:r>
            <w:r w:rsidR="00BF461A">
              <w:instrText xml:space="preserve"> ADDIN ZOTERO_ITEM CSL_CITATION {"citationID":"7owwkTkc","properties":{"formattedCitation":"(Choudhury, 2023)","plainCitation":"(Choudhury, 2023)","dontUpdate":true,"noteIndex":0},"citationItems":[{"id":3014,"uris":["http://zotero.org/users/6567242/items/55ESRD3X"],"itemData":{"id":3014,"type":"article-journal","container-title":"Frontiers in Neuroergonomics","DOI":"10.3389/fnrgo.2023.1093982","language":"en","page":"1093982","title":"Speeding up to fall behind: A critical review of human-machine teaming","volume":"4","author":[{"family":"Choudhury","given":"S."}],"issued":{"date-parts":[["2023"]]}}}],"schema":"https://github.com/citation-style-language/schema/raw/master/csl-citation.json"} </w:instrText>
            </w:r>
            <w:r>
              <w:fldChar w:fldCharType="separate"/>
            </w:r>
            <w:r w:rsidRPr="00AB5E4C">
              <w:t xml:space="preserve">Choudhury </w:t>
            </w:r>
            <w:r w:rsidR="00AD28E9">
              <w:t>(</w:t>
            </w:r>
            <w:r w:rsidRPr="00AB5E4C">
              <w:t>2023)</w:t>
            </w:r>
            <w:r>
              <w:fldChar w:fldCharType="end"/>
            </w:r>
          </w:p>
        </w:tc>
        <w:tc>
          <w:tcPr>
            <w:tcW w:w="1427" w:type="dxa"/>
          </w:tcPr>
          <w:p w14:paraId="41F8CE68" w14:textId="77777777" w:rsidR="00EF4C83" w:rsidRPr="00020BD3" w:rsidRDefault="00EF4C83" w:rsidP="002070FE">
            <w:pPr>
              <w:spacing w:after="0" w:line="240" w:lineRule="auto"/>
              <w:jc w:val="left"/>
            </w:pPr>
            <w:r w:rsidRPr="00020BD3">
              <w:t>Review</w:t>
            </w:r>
          </w:p>
        </w:tc>
        <w:tc>
          <w:tcPr>
            <w:tcW w:w="1440" w:type="dxa"/>
          </w:tcPr>
          <w:p w14:paraId="0113325E" w14:textId="77777777" w:rsidR="00EF4C83" w:rsidRPr="00020BD3" w:rsidRDefault="00EF4C83" w:rsidP="002070FE">
            <w:pPr>
              <w:spacing w:after="0" w:line="240" w:lineRule="auto"/>
              <w:jc w:val="left"/>
            </w:pPr>
            <w:r w:rsidRPr="00020BD3">
              <w:t>Defence/NLP</w:t>
            </w:r>
          </w:p>
        </w:tc>
        <w:tc>
          <w:tcPr>
            <w:tcW w:w="2250" w:type="dxa"/>
          </w:tcPr>
          <w:p w14:paraId="587FF7AB" w14:textId="77777777" w:rsidR="00EF4C83" w:rsidRPr="00020BD3" w:rsidRDefault="00EF4C83" w:rsidP="002070FE">
            <w:pPr>
              <w:spacing w:after="0" w:line="240" w:lineRule="auto"/>
              <w:jc w:val="left"/>
            </w:pPr>
            <w:r w:rsidRPr="00020BD3">
              <w:t>Human-machine teaming frameworks</w:t>
            </w:r>
          </w:p>
        </w:tc>
        <w:tc>
          <w:tcPr>
            <w:tcW w:w="2520" w:type="dxa"/>
          </w:tcPr>
          <w:p w14:paraId="404D4BD1" w14:textId="1BA10135" w:rsidR="00EF4C83" w:rsidRPr="00020BD3" w:rsidRDefault="00EF4C83" w:rsidP="002070FE">
            <w:pPr>
              <w:spacing w:after="0" w:line="240" w:lineRule="auto"/>
              <w:jc w:val="left"/>
            </w:pPr>
            <w:r w:rsidRPr="00020BD3">
              <w:t>Proposes trust, workload, and SA as primary teaming mediators</w:t>
            </w:r>
            <w:r w:rsidR="002B5022">
              <w:t>.</w:t>
            </w:r>
          </w:p>
        </w:tc>
      </w:tr>
      <w:tr w:rsidR="003E5719" w:rsidRPr="00020BD3" w14:paraId="34DEF7EA" w14:textId="77777777" w:rsidTr="00834850">
        <w:tc>
          <w:tcPr>
            <w:tcW w:w="1723" w:type="dxa"/>
          </w:tcPr>
          <w:p w14:paraId="07B2B4E4" w14:textId="6B17F3B8" w:rsidR="00EF4C83" w:rsidRPr="00020BD3" w:rsidRDefault="00B34AE6" w:rsidP="002070FE">
            <w:pPr>
              <w:spacing w:after="0" w:line="240" w:lineRule="auto"/>
              <w:jc w:val="left"/>
            </w:pPr>
            <w:r>
              <w:fldChar w:fldCharType="begin"/>
            </w:r>
            <w:r w:rsidR="00784556">
              <w:instrText xml:space="preserve"> ADDIN ZOTERO_ITEM CSL_CITATION {"citationID":"PbdxJUoY","properties":{"formattedCitation":"(Romeo &amp; Conti, 2026)","plainCitation":"(Romeo &amp; Conti, 2026)","dontUpdate":true,"noteIndex":0},"citationItems":[{"id":3047,"uris":["http://zotero.org/users/6567242/items/XRRDJQLD"],"itemData":{"id":3047,"type":"article-journal","abstract":"Abstract\n            As Artificial Intelligence (AI) becomes increasingly embedded in high-stakes domains such as healthcare, law, and public administration, automation bias (AB)—the tendency to over-rely on automated recommendations—has emerged as a critical challenge in human–AI collaboration. While previous reviews have examined AB in traditional computer-assisted decision-making, research on its implications in modern AI-driven work environments remains limited. To address this gap, this research systematically investigates how AB manifests in these settings and the cognitive mechanisms that influence it. Following PRISMA 2020 guidelines, we reviewed 35 peer-reviewed studies from SCOPUS, ScienceDirect, PubMed, and Google Scholar. The included literature, published between January 2015 and April 2025, spans fields such as cognitive psychology, human factors engineering, human–computer interaction, and neuroscience, providing an interdisciplinary foundation for our analysis. Traditional perspectives attribute AB to over-trust in automation or attentional constraints, resulting in users perceiving AI-generated outputs as reliable. However, our review presents a more nuanced view. While confirming some prior findings, it also sheds light on additional interacting factors such as, AI literacy, level of professional expertise, cognitive profile, developmental trust dynamics, task verification demands, and explanation complexity. Notably, although Explainable AI (XAI) and transparency mechanisms are designed to mitigate AB, overly technical, cognitively demanding, or even simplistic explanations may inadvertently reinforce misplaced trust, especially among less experienced professionals with low AI literacy. Taken together, these findings suggest that although explanations may increase perceived system acceptability, they are often insufficient to improve decision accuracy or mitigate AB. Instead, user engagement emerges as the most feasible and impactful point of intervention. As increased verification effort has been shown to reduce complacency toward AI mis-recommendations, we propose explanation design strategies that actively promote critical engagement and independent verification. These conclusions offer both theoretical and practical contributions to bias-aware AI development, underscoring that explanation usability is best supported by features such as understandability and adaptiveness.","container-title":"AI &amp; SOCIETY","DOI":"10.1007/s00146-025-02422-7","ISSN":"0951-5666, 1435-5655","issue":"1","journalAbbreviation":"AI &amp; Soc","language":"en","page":"259-278","source":"DOI.org (Crossref)","title":"Exploring automation bias in human–AI collaboration: a review and implications for explainable AI","title-short":"Exploring automation bias in human–AI collaboration","volume":"41","author":[{"family":"Romeo","given":"Giuseppe"},{"family":"Conti","given":"Daniela"}],"issued":{"date-parts":[["2026",1]]}}}],"schema":"https://github.com/citation-style-language/schema/raw/master/csl-citation.json"} </w:instrText>
            </w:r>
            <w:r>
              <w:fldChar w:fldCharType="separate"/>
            </w:r>
            <w:r w:rsidR="00E521BB" w:rsidRPr="00E521BB">
              <w:t xml:space="preserve">Romeo </w:t>
            </w:r>
            <w:r w:rsidR="00E521BB">
              <w:t>and</w:t>
            </w:r>
            <w:r w:rsidR="00E521BB" w:rsidRPr="00E521BB">
              <w:t xml:space="preserve"> Conti </w:t>
            </w:r>
            <w:r w:rsidR="00E521BB">
              <w:t>(</w:t>
            </w:r>
            <w:r w:rsidR="00E521BB" w:rsidRPr="00E521BB">
              <w:t>2026)</w:t>
            </w:r>
            <w:r>
              <w:fldChar w:fldCharType="end"/>
            </w:r>
          </w:p>
        </w:tc>
        <w:tc>
          <w:tcPr>
            <w:tcW w:w="1427" w:type="dxa"/>
          </w:tcPr>
          <w:p w14:paraId="6DD24B98" w14:textId="77777777" w:rsidR="00EF4C83" w:rsidRPr="00020BD3" w:rsidRDefault="00EF4C83" w:rsidP="002070FE">
            <w:pPr>
              <w:spacing w:after="0" w:line="240" w:lineRule="auto"/>
              <w:jc w:val="left"/>
            </w:pPr>
            <w:r w:rsidRPr="00020BD3">
              <w:t>Review</w:t>
            </w:r>
          </w:p>
        </w:tc>
        <w:tc>
          <w:tcPr>
            <w:tcW w:w="1440" w:type="dxa"/>
          </w:tcPr>
          <w:p w14:paraId="37AAEBF9" w14:textId="77777777" w:rsidR="00EF4C83" w:rsidRPr="00020BD3" w:rsidRDefault="00EF4C83" w:rsidP="002070FE">
            <w:pPr>
              <w:spacing w:after="0" w:line="240" w:lineRule="auto"/>
              <w:jc w:val="left"/>
            </w:pPr>
            <w:r w:rsidRPr="00020BD3">
              <w:t>Aviation/Auto</w:t>
            </w:r>
          </w:p>
        </w:tc>
        <w:tc>
          <w:tcPr>
            <w:tcW w:w="2250" w:type="dxa"/>
          </w:tcPr>
          <w:p w14:paraId="332B7CB6" w14:textId="77777777" w:rsidR="00EF4C83" w:rsidRPr="00020BD3" w:rsidRDefault="00EF4C83" w:rsidP="002070FE">
            <w:pPr>
              <w:spacing w:after="0" w:line="240" w:lineRule="auto"/>
              <w:jc w:val="left"/>
            </w:pPr>
            <w:r w:rsidRPr="00020BD3">
              <w:t>Complacency and automation bias</w:t>
            </w:r>
          </w:p>
        </w:tc>
        <w:tc>
          <w:tcPr>
            <w:tcW w:w="2520" w:type="dxa"/>
          </w:tcPr>
          <w:p w14:paraId="265C1003" w14:textId="0AB80747" w:rsidR="00EF4C83" w:rsidRPr="00020BD3" w:rsidRDefault="00EF4C83" w:rsidP="002070FE">
            <w:pPr>
              <w:spacing w:after="0" w:line="240" w:lineRule="auto"/>
              <w:jc w:val="left"/>
            </w:pPr>
            <w:r w:rsidRPr="00020BD3">
              <w:t>Complacency is workload- and stakes-dependent, not personality-driven</w:t>
            </w:r>
            <w:r w:rsidR="002B5022">
              <w:t>.</w:t>
            </w:r>
          </w:p>
        </w:tc>
      </w:tr>
      <w:tr w:rsidR="003E5719" w:rsidRPr="00020BD3" w14:paraId="4C713B66" w14:textId="77777777" w:rsidTr="00834850">
        <w:tc>
          <w:tcPr>
            <w:tcW w:w="1723" w:type="dxa"/>
          </w:tcPr>
          <w:p w14:paraId="68D9A805" w14:textId="79B06D94" w:rsidR="00EF4C83" w:rsidRPr="00020BD3" w:rsidRDefault="00612A03" w:rsidP="002070FE">
            <w:pPr>
              <w:spacing w:after="0" w:line="240" w:lineRule="auto"/>
              <w:jc w:val="left"/>
            </w:pPr>
            <w:r>
              <w:fldChar w:fldCharType="begin"/>
            </w:r>
            <w:r w:rsidR="00BF461A">
              <w:instrText xml:space="preserve"> ADDIN ZOTERO_ITEM CSL_CITATION {"citationID":"VO2ZQ9OK","properties":{"formattedCitation":"(Endsley, 2023)","plainCitation":"(Endsley, 2023)","dontUpdate":true,"noteIndex":0},"citationItems":[{"id":3015,"uris":["http://zotero.org/users/6567242/items/KT62PGZ3"],"itemData":{"id":3015,"type":"article-journal","container-title":"Human Factors","DOI":"10.1177/00187208211059252","issue":"1","language":"su","page":"99–111","title":"Situation awareness in future autonomous systems","volume":"65","author":[{"family":"Endsley","given":"M.R."}],"issued":{"date-parts":[["2023"]]}}}],"schema":"https://github.com/citation-style-language/schema/raw/master/csl-citation.json"} </w:instrText>
            </w:r>
            <w:r>
              <w:fldChar w:fldCharType="separate"/>
            </w:r>
            <w:r w:rsidRPr="00612A03">
              <w:t xml:space="preserve">Endsley </w:t>
            </w:r>
            <w:r>
              <w:t>(</w:t>
            </w:r>
            <w:r w:rsidRPr="00612A03">
              <w:t>2023)</w:t>
            </w:r>
            <w:r>
              <w:fldChar w:fldCharType="end"/>
            </w:r>
          </w:p>
        </w:tc>
        <w:tc>
          <w:tcPr>
            <w:tcW w:w="1427" w:type="dxa"/>
          </w:tcPr>
          <w:p w14:paraId="010FA3C2" w14:textId="77777777" w:rsidR="00EF4C83" w:rsidRPr="00020BD3" w:rsidRDefault="00EF4C83" w:rsidP="002070FE">
            <w:pPr>
              <w:spacing w:after="0" w:line="240" w:lineRule="auto"/>
              <w:jc w:val="left"/>
            </w:pPr>
            <w:r w:rsidRPr="00020BD3">
              <w:t>Theoretical</w:t>
            </w:r>
          </w:p>
        </w:tc>
        <w:tc>
          <w:tcPr>
            <w:tcW w:w="1440" w:type="dxa"/>
          </w:tcPr>
          <w:p w14:paraId="5009F815" w14:textId="77777777" w:rsidR="00EF4C83" w:rsidRPr="00020BD3" w:rsidRDefault="00EF4C83" w:rsidP="002070FE">
            <w:pPr>
              <w:spacing w:after="0" w:line="240" w:lineRule="auto"/>
              <w:jc w:val="left"/>
            </w:pPr>
            <w:r w:rsidRPr="00020BD3">
              <w:t>Multiple</w:t>
            </w:r>
          </w:p>
        </w:tc>
        <w:tc>
          <w:tcPr>
            <w:tcW w:w="2250" w:type="dxa"/>
          </w:tcPr>
          <w:p w14:paraId="297F16B9" w14:textId="77777777" w:rsidR="00EF4C83" w:rsidRPr="00020BD3" w:rsidRDefault="00EF4C83" w:rsidP="002070FE">
            <w:pPr>
              <w:spacing w:after="0" w:line="240" w:lineRule="auto"/>
              <w:jc w:val="left"/>
            </w:pPr>
            <w:r w:rsidRPr="00020BD3">
              <w:t>Situation awareness in autonomous systems</w:t>
            </w:r>
          </w:p>
        </w:tc>
        <w:tc>
          <w:tcPr>
            <w:tcW w:w="2520" w:type="dxa"/>
          </w:tcPr>
          <w:p w14:paraId="0B977507" w14:textId="10AFB354" w:rsidR="00EF4C83" w:rsidRPr="00020BD3" w:rsidRDefault="00EF4C83" w:rsidP="002070FE">
            <w:pPr>
              <w:spacing w:after="0" w:line="240" w:lineRule="auto"/>
              <w:jc w:val="left"/>
            </w:pPr>
            <w:r w:rsidRPr="00020BD3">
              <w:t xml:space="preserve">Level-3 SA (projection) is most vulnerable to </w:t>
            </w:r>
            <w:r w:rsidR="00CD010C">
              <w:t>erosion by automation</w:t>
            </w:r>
            <w:r w:rsidR="002B5022">
              <w:t>.</w:t>
            </w:r>
          </w:p>
        </w:tc>
      </w:tr>
      <w:tr w:rsidR="003E5719" w:rsidRPr="00020BD3" w14:paraId="5C3B2626" w14:textId="77777777" w:rsidTr="00834850">
        <w:tc>
          <w:tcPr>
            <w:tcW w:w="1723" w:type="dxa"/>
          </w:tcPr>
          <w:p w14:paraId="2F009830" w14:textId="6FAE03B4" w:rsidR="00EF4C83" w:rsidRPr="00020BD3" w:rsidRDefault="003E5719" w:rsidP="002070FE">
            <w:pPr>
              <w:spacing w:after="0" w:line="240" w:lineRule="auto"/>
              <w:jc w:val="left"/>
            </w:pPr>
            <w:r>
              <w:fldChar w:fldCharType="begin"/>
            </w:r>
            <w:r w:rsidR="00BF461A">
              <w:instrText xml:space="preserve"> ADDIN ZOTERO_ITEM CSL_CITATION {"citationID":"qzZraH3f","properties":{"formattedCitation":"(Shortliffe &amp; Sep\\uc0\\u250{}lveda, 2022)","plainCitation":"(Shortliffe &amp; Sepúlveda, 2022)","dontUpdate":true,"noteIndex":0},"citationItems":[{"id":2993,"uris":["http://zotero.org/users/6567242/items/58QLWM42"],"itemData":{"id":2993,"type":"article-journal","container-title":"JAMA","DOI":"10.1001/jama.2018.17163","ISSN":"0098-7484","issue":"21","journalAbbreviation":"JAMA","language":"en","page":"2199","source":"DOI.org (Crossref)","title":"Clinical Decision Support in the Era of Artificial Intelligence","volume":"320","author":[{"family":"Shortliffe","given":"Edward H."},{"family":"Sepúlveda","given":"Martin J."}],"issued":{"date-parts":[["2022",12,4]]}}}],"schema":"https://github.com/citation-style-language/schema/raw/master/csl-citation.json"} </w:instrText>
            </w:r>
            <w:r>
              <w:fldChar w:fldCharType="separate"/>
            </w:r>
            <w:r w:rsidRPr="003E5719">
              <w:t xml:space="preserve">Shortliffe </w:t>
            </w:r>
            <w:r w:rsidR="00F606B5">
              <w:t>and</w:t>
            </w:r>
            <w:r w:rsidRPr="003E5719">
              <w:t xml:space="preserve"> Sepúlveda </w:t>
            </w:r>
            <w:r>
              <w:t>(</w:t>
            </w:r>
            <w:r w:rsidRPr="003E5719">
              <w:t>2022)</w:t>
            </w:r>
            <w:r>
              <w:fldChar w:fldCharType="end"/>
            </w:r>
          </w:p>
        </w:tc>
        <w:tc>
          <w:tcPr>
            <w:tcW w:w="1427" w:type="dxa"/>
          </w:tcPr>
          <w:p w14:paraId="44DB4500" w14:textId="77777777" w:rsidR="00EF4C83" w:rsidRPr="00020BD3" w:rsidRDefault="00EF4C83" w:rsidP="002070FE">
            <w:pPr>
              <w:spacing w:after="0" w:line="240" w:lineRule="auto"/>
              <w:jc w:val="left"/>
            </w:pPr>
            <w:r w:rsidRPr="00020BD3">
              <w:t>Review</w:t>
            </w:r>
          </w:p>
        </w:tc>
        <w:tc>
          <w:tcPr>
            <w:tcW w:w="1440" w:type="dxa"/>
          </w:tcPr>
          <w:p w14:paraId="2AF2E97E" w14:textId="77777777" w:rsidR="00EF4C83" w:rsidRPr="00020BD3" w:rsidRDefault="00EF4C83" w:rsidP="002070FE">
            <w:pPr>
              <w:spacing w:after="0" w:line="240" w:lineRule="auto"/>
              <w:jc w:val="left"/>
            </w:pPr>
            <w:r w:rsidRPr="00020BD3">
              <w:t>Clinical AI</w:t>
            </w:r>
          </w:p>
        </w:tc>
        <w:tc>
          <w:tcPr>
            <w:tcW w:w="2250" w:type="dxa"/>
          </w:tcPr>
          <w:p w14:paraId="43F44E1B" w14:textId="77777777" w:rsidR="00EF4C83" w:rsidRPr="00020BD3" w:rsidRDefault="00EF4C83" w:rsidP="002070FE">
            <w:pPr>
              <w:spacing w:after="0" w:line="240" w:lineRule="auto"/>
              <w:jc w:val="left"/>
            </w:pPr>
            <w:r w:rsidRPr="00020BD3">
              <w:t>Clinical decision support evolution</w:t>
            </w:r>
          </w:p>
        </w:tc>
        <w:tc>
          <w:tcPr>
            <w:tcW w:w="2520" w:type="dxa"/>
          </w:tcPr>
          <w:p w14:paraId="0E6538A7" w14:textId="4A699EFA" w:rsidR="00EF4C83" w:rsidRPr="00020BD3" w:rsidRDefault="00EF4C83" w:rsidP="002070FE">
            <w:pPr>
              <w:spacing w:after="0" w:line="240" w:lineRule="auto"/>
              <w:jc w:val="left"/>
            </w:pPr>
            <w:r w:rsidRPr="00020BD3">
              <w:t xml:space="preserve">Physician trust in CDS peaks when integrated into </w:t>
            </w:r>
            <w:r w:rsidR="00CD010C">
              <w:t xml:space="preserve">the </w:t>
            </w:r>
            <w:r w:rsidRPr="00020BD3">
              <w:t>workflow naturally</w:t>
            </w:r>
            <w:r w:rsidR="002B5022">
              <w:t>.</w:t>
            </w:r>
          </w:p>
        </w:tc>
      </w:tr>
      <w:tr w:rsidR="003E5719" w:rsidRPr="00020BD3" w14:paraId="74334719" w14:textId="77777777" w:rsidTr="00834850">
        <w:tc>
          <w:tcPr>
            <w:tcW w:w="1723" w:type="dxa"/>
          </w:tcPr>
          <w:p w14:paraId="64336495" w14:textId="6B0BB4E7" w:rsidR="00EF4C83" w:rsidRPr="00020BD3" w:rsidRDefault="00E73CC4" w:rsidP="002070FE">
            <w:pPr>
              <w:spacing w:after="0" w:line="240" w:lineRule="auto"/>
              <w:jc w:val="left"/>
            </w:pPr>
            <w:r>
              <w:fldChar w:fldCharType="begin"/>
            </w:r>
            <w:r w:rsidR="00BF461A">
              <w:instrText xml:space="preserve"> ADDIN ZOTERO_ITEM CSL_CITATION {"citationID":"EEjqVXM2","properties":{"formattedCitation":"(Amodei &amp; Hernandez, 2022)","plainCitation":"(Amodei &amp; Hernandez, 2022)","dontUpdate":true,"noteIndex":0},"citationItems":[{"id":3012,"uris":["http://zotero.org/users/6567242/items/HJCGHMTS"],"itemData":{"id":3012,"type":"article-journal","container-title":"Anthropic Technical Report","language":"en","title":"AI and compute: Revisiting the exponential","author":[{"family":"Amodei","given":"D."},{"family":"Hernandez","given":"D."}],"issued":{"date-parts":[["2022"]]}}}],"schema":"https://github.com/citation-style-language/schema/raw/master/csl-citation.json"} </w:instrText>
            </w:r>
            <w:r>
              <w:fldChar w:fldCharType="separate"/>
            </w:r>
            <w:r w:rsidRPr="00E73CC4">
              <w:t xml:space="preserve">Amodei </w:t>
            </w:r>
            <w:r w:rsidR="00F606B5">
              <w:t>and</w:t>
            </w:r>
            <w:r w:rsidRPr="00E73CC4">
              <w:t xml:space="preserve"> Hernandez </w:t>
            </w:r>
            <w:r>
              <w:t>(</w:t>
            </w:r>
            <w:r w:rsidRPr="00E73CC4">
              <w:t>2022)</w:t>
            </w:r>
            <w:r>
              <w:fldChar w:fldCharType="end"/>
            </w:r>
          </w:p>
        </w:tc>
        <w:tc>
          <w:tcPr>
            <w:tcW w:w="1427" w:type="dxa"/>
          </w:tcPr>
          <w:p w14:paraId="22A68DBC" w14:textId="77777777" w:rsidR="00EF4C83" w:rsidRPr="00020BD3" w:rsidRDefault="00EF4C83" w:rsidP="002070FE">
            <w:pPr>
              <w:spacing w:after="0" w:line="240" w:lineRule="auto"/>
              <w:jc w:val="left"/>
            </w:pPr>
            <w:r w:rsidRPr="00020BD3">
              <w:t>Conceptual</w:t>
            </w:r>
          </w:p>
        </w:tc>
        <w:tc>
          <w:tcPr>
            <w:tcW w:w="1440" w:type="dxa"/>
          </w:tcPr>
          <w:p w14:paraId="6A982476" w14:textId="77777777" w:rsidR="00EF4C83" w:rsidRPr="00020BD3" w:rsidRDefault="00EF4C83" w:rsidP="002070FE">
            <w:pPr>
              <w:spacing w:after="0" w:line="240" w:lineRule="auto"/>
              <w:jc w:val="left"/>
            </w:pPr>
            <w:r w:rsidRPr="00020BD3">
              <w:t>AI Safety</w:t>
            </w:r>
          </w:p>
        </w:tc>
        <w:tc>
          <w:tcPr>
            <w:tcW w:w="2250" w:type="dxa"/>
          </w:tcPr>
          <w:p w14:paraId="69BBA16D" w14:textId="77777777" w:rsidR="00EF4C83" w:rsidRPr="00020BD3" w:rsidRDefault="00EF4C83" w:rsidP="002070FE">
            <w:pPr>
              <w:spacing w:after="0" w:line="240" w:lineRule="auto"/>
              <w:jc w:val="left"/>
            </w:pPr>
            <w:r w:rsidRPr="00020BD3">
              <w:t>Concrete problems in AI safety revisited</w:t>
            </w:r>
          </w:p>
        </w:tc>
        <w:tc>
          <w:tcPr>
            <w:tcW w:w="2520" w:type="dxa"/>
          </w:tcPr>
          <w:p w14:paraId="5E2CB547" w14:textId="724F8B41" w:rsidR="00EF4C83" w:rsidRPr="00020BD3" w:rsidRDefault="00EF4C83" w:rsidP="002070FE">
            <w:pPr>
              <w:spacing w:after="0" w:line="240" w:lineRule="auto"/>
              <w:jc w:val="left"/>
            </w:pPr>
            <w:r w:rsidRPr="00020BD3">
              <w:t>Reward hacking and interruptibility as persistent HITL design challenges</w:t>
            </w:r>
            <w:r w:rsidR="002B5022">
              <w:t>.</w:t>
            </w:r>
          </w:p>
        </w:tc>
      </w:tr>
      <w:tr w:rsidR="001051EA" w:rsidRPr="00020BD3" w14:paraId="78CFCB29" w14:textId="77777777" w:rsidTr="00834850">
        <w:tc>
          <w:tcPr>
            <w:tcW w:w="1723" w:type="dxa"/>
            <w:tcBorders>
              <w:bottom w:val="single" w:sz="8" w:space="0" w:color="auto"/>
            </w:tcBorders>
          </w:tcPr>
          <w:p w14:paraId="45CD2909" w14:textId="2B0BE150" w:rsidR="001051EA" w:rsidRDefault="001051EA" w:rsidP="002070FE">
            <w:pPr>
              <w:spacing w:after="0" w:line="240" w:lineRule="auto"/>
              <w:jc w:val="left"/>
            </w:pPr>
            <w:r>
              <w:fldChar w:fldCharType="begin"/>
            </w:r>
            <w:r w:rsidR="000F58E2">
              <w:instrText xml:space="preserve"> ADDIN ZOTERO_ITEM CSL_CITATION {"citationID":"ekDqkON3","properties":{"formattedCitation":"(Adedokun et al., 2026)","plainCitation":"(Adedokun et al., 2026)","dontUpdate":true,"noteIndex":0},"citationItems":[{"id":2782,"uris":["http://zotero.org/users/6567242/items/MLUNJR2F"],"itemData":{"id":2782,"type":"article-journal","abstract":"Artificial Intelligence (AI) constitutes an epochal shift, profoundly transforming human experience but simultaneously raising urgent ontological and ethical challenges, including cognitive atrophy, algorithmic bias, and truth decay. This research conducted an integrative literature review to synthesize the complex human-AI relationship through established theoretical lenses. Specifically, thematic findings on technological risks and human attributes are mapped against Socio-Technical Systems (STS) theory, which mandates the joint optimization of social and technical subsystems, and Value Sensitive Design (VSD), which requires the proactive embedding of human values into system architecture. The study further examined global AI ethics and governance instruments, including the EU AI Act and UNESCO’s Recommendation on the Ethics of AI, and identified a governance gap wherein macro-level regulations do not translate into granular, user-centric operational guidance. The study established a critical distinction, stating that AI operates on syntactic, probabilistic logic, while the human essence is defined by semantics, moral agency, and intrinsic purpose. Addressing the gap between technical utility and ontological preservation, the paper proposes two actionable frameworks, namely the 5-P Strategic Framework for fostering critical AI literacy and the V.A.L.U.E. Framework for guiding ethical AI utilization. These models offer stakeholders a strategic roadmap for adopting AI responsibly, ensuring that human agency and enduring values are protected in an increasingly automated environment.","container-title":"Journal of Science Innovation and Technology Research","DOI":"10.70382/ajsitr.v10i9.069","ISSN":"3026-958X, 3027-1169","issue":"9","journalAbbreviation":"AJSITR","license":"https://creativecommons.org/licenses/by/4.0","page":"196-213","source":"DOI.org (Crossref)","title":"Artificial Intelligence and the Essence of Humanity: Strategic Frameworks for Utilizing Technology and Preserving Values in an Automated Era","title-short":"Artificial Intelligence and the Essence of Humanity","volume":"10","author":[{"family":"Adedokun","given":"Simeon Ayoade"},{"family":"Adeyemo","given":"Isiak Akinwumi"},{"family":"Adedokun","given":"Dorcas Atinuke"},{"family":"Ogunkan","given":"Stella Kehinde"},{"family":"Ogunniyi","given":"Olufunke Kemi"}],"issued":{"date-parts":[["2026",1,3]]}}}],"schema":"https://github.com/citation-style-language/schema/raw/master/csl-citation.json"} </w:instrText>
            </w:r>
            <w:r>
              <w:fldChar w:fldCharType="separate"/>
            </w:r>
            <w:r w:rsidRPr="001051EA">
              <w:t xml:space="preserve">Adedokun et al. </w:t>
            </w:r>
            <w:r>
              <w:t>(</w:t>
            </w:r>
            <w:r w:rsidRPr="001051EA">
              <w:t>2026)</w:t>
            </w:r>
            <w:r>
              <w:fldChar w:fldCharType="end"/>
            </w:r>
          </w:p>
        </w:tc>
        <w:tc>
          <w:tcPr>
            <w:tcW w:w="1427" w:type="dxa"/>
            <w:tcBorders>
              <w:bottom w:val="single" w:sz="8" w:space="0" w:color="auto"/>
            </w:tcBorders>
          </w:tcPr>
          <w:p w14:paraId="6AAC0D77" w14:textId="4A4B3141" w:rsidR="001051EA" w:rsidRPr="00020BD3" w:rsidRDefault="009F2203" w:rsidP="002070FE">
            <w:pPr>
              <w:spacing w:after="0" w:line="240" w:lineRule="auto"/>
              <w:jc w:val="left"/>
            </w:pPr>
            <w:r w:rsidRPr="009F2203">
              <w:t>Integrative Review / Conceptual</w:t>
            </w:r>
          </w:p>
        </w:tc>
        <w:tc>
          <w:tcPr>
            <w:tcW w:w="1440" w:type="dxa"/>
            <w:tcBorders>
              <w:bottom w:val="single" w:sz="8" w:space="0" w:color="auto"/>
            </w:tcBorders>
          </w:tcPr>
          <w:p w14:paraId="658D8E35" w14:textId="51B8E0F0" w:rsidR="001051EA" w:rsidRPr="00020BD3" w:rsidRDefault="00040B42" w:rsidP="002070FE">
            <w:pPr>
              <w:spacing w:after="0" w:line="240" w:lineRule="auto"/>
              <w:jc w:val="left"/>
            </w:pPr>
            <w:r w:rsidRPr="00040B42">
              <w:t xml:space="preserve">Cross-sector </w:t>
            </w:r>
          </w:p>
        </w:tc>
        <w:tc>
          <w:tcPr>
            <w:tcW w:w="2250" w:type="dxa"/>
            <w:tcBorders>
              <w:bottom w:val="single" w:sz="8" w:space="0" w:color="auto"/>
            </w:tcBorders>
          </w:tcPr>
          <w:p w14:paraId="02956A63" w14:textId="6A0D3227" w:rsidR="001051EA" w:rsidRPr="00020BD3" w:rsidRDefault="001B3A8A" w:rsidP="002070FE">
            <w:pPr>
              <w:spacing w:after="0" w:line="240" w:lineRule="auto"/>
              <w:jc w:val="left"/>
            </w:pPr>
            <w:r w:rsidRPr="001B3A8A">
              <w:t>Ontological and ethical risks of AI to humanity</w:t>
            </w:r>
          </w:p>
        </w:tc>
        <w:tc>
          <w:tcPr>
            <w:tcW w:w="2520" w:type="dxa"/>
            <w:tcBorders>
              <w:bottom w:val="single" w:sz="8" w:space="0" w:color="auto"/>
            </w:tcBorders>
          </w:tcPr>
          <w:p w14:paraId="391F175B" w14:textId="00D3E629" w:rsidR="001051EA" w:rsidRPr="00020BD3" w:rsidRDefault="00556A69" w:rsidP="002070FE">
            <w:pPr>
              <w:spacing w:after="0" w:line="240" w:lineRule="auto"/>
              <w:jc w:val="left"/>
            </w:pPr>
            <w:r>
              <w:t>P</w:t>
            </w:r>
            <w:r w:rsidR="006E6315" w:rsidRPr="006E6315">
              <w:t>roposes two actionable frameworks</w:t>
            </w:r>
            <w:r w:rsidR="004B7053">
              <w:t xml:space="preserve">: </w:t>
            </w:r>
            <w:r w:rsidR="006E6315" w:rsidRPr="006E6315">
              <w:t>the 5-P Strategic Framework for critical AI literacy</w:t>
            </w:r>
            <w:r>
              <w:t>,</w:t>
            </w:r>
            <w:r w:rsidR="006E6315" w:rsidRPr="006E6315">
              <w:t xml:space="preserve"> and the V.A.L.U.E. Framework for ethical AI utili</w:t>
            </w:r>
            <w:r w:rsidR="0065406D">
              <w:t>z</w:t>
            </w:r>
            <w:r w:rsidR="006E6315" w:rsidRPr="006E6315">
              <w:t>ation</w:t>
            </w:r>
            <w:r w:rsidR="0065406D">
              <w:t>.</w:t>
            </w:r>
          </w:p>
        </w:tc>
      </w:tr>
    </w:tbl>
    <w:p w14:paraId="6E3B6FE8" w14:textId="77777777" w:rsidR="00EF4C83" w:rsidRDefault="00EF4C83" w:rsidP="00EF4C83">
      <w:pPr>
        <w:spacing w:before="100" w:after="100"/>
      </w:pPr>
    </w:p>
    <w:p w14:paraId="794111C9" w14:textId="46B139E9" w:rsidR="00EF4C83" w:rsidRDefault="00345297" w:rsidP="00345297">
      <w:pPr>
        <w:pStyle w:val="Cap"/>
      </w:pPr>
      <w:r>
        <w:t xml:space="preserve">Table </w:t>
      </w:r>
      <w:fldSimple w:instr=" SEQ Table \* ARABIC ">
        <w:r w:rsidR="00AF5F2C">
          <w:rPr>
            <w:noProof/>
          </w:rPr>
          <w:t>3</w:t>
        </w:r>
      </w:fldSimple>
    </w:p>
    <w:p w14:paraId="50544B9F" w14:textId="77777777" w:rsidR="00EF4C83" w:rsidRPr="0019418B" w:rsidRDefault="00EF4C83" w:rsidP="0019418B">
      <w:pPr>
        <w:rPr>
          <w:i/>
          <w:iCs/>
        </w:rPr>
      </w:pPr>
      <w:r w:rsidRPr="0019418B">
        <w:rPr>
          <w:i/>
          <w:iCs/>
        </w:rPr>
        <w:t>Comparative Analysis of Canonical Human-in-the-Loop Frameworks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72" w:type="dxa"/>
        </w:tblCellMar>
        <w:tblLook w:val="0000" w:firstRow="0" w:lastRow="0" w:firstColumn="0" w:lastColumn="0" w:noHBand="0" w:noVBand="0"/>
      </w:tblPr>
      <w:tblGrid>
        <w:gridCol w:w="1600"/>
        <w:gridCol w:w="1300"/>
        <w:gridCol w:w="1300"/>
        <w:gridCol w:w="1360"/>
        <w:gridCol w:w="1400"/>
        <w:gridCol w:w="2400"/>
      </w:tblGrid>
      <w:tr w:rsidR="00EF4C83" w:rsidRPr="00381D91" w14:paraId="54775DDA" w14:textId="77777777" w:rsidTr="00B854D8">
        <w:trPr>
          <w:tblHeader/>
        </w:trPr>
        <w:tc>
          <w:tcPr>
            <w:tcW w:w="1600" w:type="dxa"/>
            <w:tcBorders>
              <w:top w:val="single" w:sz="8" w:space="0" w:color="auto"/>
              <w:bottom w:val="single" w:sz="8" w:space="0" w:color="auto"/>
            </w:tcBorders>
          </w:tcPr>
          <w:p w14:paraId="4CE5F97D" w14:textId="77777777" w:rsidR="00EF4C83" w:rsidRPr="00477D49" w:rsidRDefault="00EF4C83" w:rsidP="00823C70">
            <w:pPr>
              <w:spacing w:after="0" w:line="240" w:lineRule="auto"/>
              <w:jc w:val="left"/>
              <w:rPr>
                <w:b/>
                <w:bCs/>
              </w:rPr>
            </w:pPr>
            <w:r w:rsidRPr="00477D49">
              <w:rPr>
                <w:rFonts w:eastAsia="Arial"/>
                <w:b/>
                <w:bCs/>
              </w:rPr>
              <w:t>Framework</w:t>
            </w:r>
          </w:p>
        </w:tc>
        <w:tc>
          <w:tcPr>
            <w:tcW w:w="1300" w:type="dxa"/>
            <w:tcBorders>
              <w:top w:val="single" w:sz="8" w:space="0" w:color="auto"/>
              <w:bottom w:val="single" w:sz="8" w:space="0" w:color="auto"/>
            </w:tcBorders>
          </w:tcPr>
          <w:p w14:paraId="2DA10B60" w14:textId="77777777" w:rsidR="00EF4C83" w:rsidRPr="00477D49" w:rsidRDefault="00EF4C83" w:rsidP="00823C70">
            <w:pPr>
              <w:spacing w:after="0" w:line="240" w:lineRule="auto"/>
              <w:jc w:val="left"/>
              <w:rPr>
                <w:b/>
                <w:bCs/>
              </w:rPr>
            </w:pPr>
            <w:r w:rsidRPr="00477D49">
              <w:rPr>
                <w:rFonts w:eastAsia="Arial"/>
                <w:b/>
                <w:bCs/>
              </w:rPr>
              <w:t>Interaction Mode</w:t>
            </w:r>
          </w:p>
        </w:tc>
        <w:tc>
          <w:tcPr>
            <w:tcW w:w="1300" w:type="dxa"/>
            <w:tcBorders>
              <w:top w:val="single" w:sz="8" w:space="0" w:color="auto"/>
              <w:bottom w:val="single" w:sz="8" w:space="0" w:color="auto"/>
            </w:tcBorders>
          </w:tcPr>
          <w:p w14:paraId="163E28FC" w14:textId="77777777" w:rsidR="00EF4C83" w:rsidRPr="00477D49" w:rsidRDefault="00EF4C83" w:rsidP="00823C70">
            <w:pPr>
              <w:spacing w:after="0" w:line="240" w:lineRule="auto"/>
              <w:jc w:val="left"/>
              <w:rPr>
                <w:b/>
                <w:bCs/>
              </w:rPr>
            </w:pPr>
            <w:r w:rsidRPr="00477D49">
              <w:rPr>
                <w:rFonts w:eastAsia="Arial"/>
                <w:b/>
                <w:bCs/>
              </w:rPr>
              <w:t>Human Effort</w:t>
            </w:r>
          </w:p>
        </w:tc>
        <w:tc>
          <w:tcPr>
            <w:tcW w:w="1360" w:type="dxa"/>
            <w:tcBorders>
              <w:top w:val="single" w:sz="8" w:space="0" w:color="auto"/>
              <w:bottom w:val="single" w:sz="8" w:space="0" w:color="auto"/>
            </w:tcBorders>
          </w:tcPr>
          <w:p w14:paraId="69B70D7B" w14:textId="77777777" w:rsidR="00EF4C83" w:rsidRPr="00477D49" w:rsidRDefault="00EF4C83" w:rsidP="00823C70">
            <w:pPr>
              <w:spacing w:after="0" w:line="240" w:lineRule="auto"/>
              <w:jc w:val="left"/>
              <w:rPr>
                <w:b/>
                <w:bCs/>
              </w:rPr>
            </w:pPr>
            <w:r w:rsidRPr="00477D49">
              <w:rPr>
                <w:rFonts w:eastAsia="Arial"/>
                <w:b/>
                <w:bCs/>
              </w:rPr>
              <w:t>Human Roles</w:t>
            </w:r>
          </w:p>
        </w:tc>
        <w:tc>
          <w:tcPr>
            <w:tcW w:w="1400" w:type="dxa"/>
            <w:tcBorders>
              <w:top w:val="single" w:sz="8" w:space="0" w:color="auto"/>
              <w:bottom w:val="single" w:sz="8" w:space="0" w:color="auto"/>
            </w:tcBorders>
          </w:tcPr>
          <w:p w14:paraId="2E8D21E5" w14:textId="77777777" w:rsidR="00EF4C83" w:rsidRPr="00477D49" w:rsidRDefault="00EF4C83" w:rsidP="00823C70">
            <w:pPr>
              <w:spacing w:after="0" w:line="240" w:lineRule="auto"/>
              <w:jc w:val="left"/>
              <w:rPr>
                <w:b/>
                <w:bCs/>
              </w:rPr>
            </w:pPr>
            <w:r w:rsidRPr="00477D49">
              <w:rPr>
                <w:rFonts w:eastAsia="Arial"/>
                <w:b/>
                <w:bCs/>
              </w:rPr>
              <w:t>Typical Context</w:t>
            </w:r>
          </w:p>
        </w:tc>
        <w:tc>
          <w:tcPr>
            <w:tcW w:w="2400" w:type="dxa"/>
            <w:tcBorders>
              <w:top w:val="single" w:sz="8" w:space="0" w:color="auto"/>
              <w:bottom w:val="single" w:sz="8" w:space="0" w:color="auto"/>
            </w:tcBorders>
          </w:tcPr>
          <w:p w14:paraId="775A0B7B" w14:textId="77777777" w:rsidR="00EF4C83" w:rsidRPr="00477D49" w:rsidRDefault="00EF4C83" w:rsidP="00823C70">
            <w:pPr>
              <w:spacing w:after="0" w:line="240" w:lineRule="auto"/>
              <w:jc w:val="left"/>
              <w:rPr>
                <w:b/>
                <w:bCs/>
              </w:rPr>
            </w:pPr>
            <w:r w:rsidRPr="00477D49">
              <w:rPr>
                <w:rFonts w:eastAsia="Arial"/>
                <w:b/>
                <w:bCs/>
              </w:rPr>
              <w:t>Strengths &amp; Limitations</w:t>
            </w:r>
          </w:p>
        </w:tc>
      </w:tr>
      <w:tr w:rsidR="00EF4C83" w:rsidRPr="00381D91" w14:paraId="1FA39EE4" w14:textId="77777777" w:rsidTr="00B854D8">
        <w:tc>
          <w:tcPr>
            <w:tcW w:w="1600" w:type="dxa"/>
            <w:tcBorders>
              <w:top w:val="single" w:sz="8" w:space="0" w:color="auto"/>
            </w:tcBorders>
          </w:tcPr>
          <w:p w14:paraId="02584AE4" w14:textId="77777777" w:rsidR="00EF4C83" w:rsidRPr="00381D91" w:rsidRDefault="00EF4C83" w:rsidP="00B854D8">
            <w:pPr>
              <w:spacing w:after="0" w:line="240" w:lineRule="auto"/>
              <w:jc w:val="left"/>
            </w:pPr>
            <w:r w:rsidRPr="00381D91">
              <w:rPr>
                <w:rFonts w:eastAsia="Arial"/>
              </w:rPr>
              <w:t>Interactive ML (IML)</w:t>
            </w:r>
          </w:p>
        </w:tc>
        <w:tc>
          <w:tcPr>
            <w:tcW w:w="1300" w:type="dxa"/>
            <w:tcBorders>
              <w:top w:val="single" w:sz="8" w:space="0" w:color="auto"/>
            </w:tcBorders>
          </w:tcPr>
          <w:p w14:paraId="103DC660" w14:textId="77777777" w:rsidR="00EF4C83" w:rsidRPr="00381D91" w:rsidRDefault="00EF4C83" w:rsidP="00B854D8">
            <w:pPr>
              <w:spacing w:after="0" w:line="240" w:lineRule="auto"/>
              <w:jc w:val="left"/>
            </w:pPr>
            <w:r w:rsidRPr="00381D91">
              <w:rPr>
                <w:rFonts w:eastAsia="Arial"/>
              </w:rPr>
              <w:t>Loop-based</w:t>
            </w:r>
          </w:p>
        </w:tc>
        <w:tc>
          <w:tcPr>
            <w:tcW w:w="1300" w:type="dxa"/>
            <w:tcBorders>
              <w:top w:val="single" w:sz="8" w:space="0" w:color="auto"/>
            </w:tcBorders>
          </w:tcPr>
          <w:p w14:paraId="2CF01789" w14:textId="77777777" w:rsidR="00EF4C83" w:rsidRPr="00381D91" w:rsidRDefault="00EF4C83" w:rsidP="00B854D8">
            <w:pPr>
              <w:spacing w:after="0" w:line="240" w:lineRule="auto"/>
              <w:jc w:val="left"/>
            </w:pPr>
            <w:r w:rsidRPr="00381D91">
              <w:rPr>
                <w:rFonts w:eastAsia="Arial"/>
              </w:rPr>
              <w:t>Mixed</w:t>
            </w:r>
          </w:p>
        </w:tc>
        <w:tc>
          <w:tcPr>
            <w:tcW w:w="1360" w:type="dxa"/>
            <w:tcBorders>
              <w:top w:val="single" w:sz="8" w:space="0" w:color="auto"/>
            </w:tcBorders>
          </w:tcPr>
          <w:p w14:paraId="11C3B844" w14:textId="77777777" w:rsidR="00EF4C83" w:rsidRPr="00381D91" w:rsidRDefault="00EF4C83" w:rsidP="00B854D8">
            <w:pPr>
              <w:spacing w:after="0" w:line="240" w:lineRule="auto"/>
              <w:jc w:val="left"/>
            </w:pPr>
            <w:r w:rsidRPr="00381D91">
              <w:rPr>
                <w:rFonts w:eastAsia="Arial"/>
              </w:rPr>
              <w:t>Annotator, oracle, trainer</w:t>
            </w:r>
          </w:p>
        </w:tc>
        <w:tc>
          <w:tcPr>
            <w:tcW w:w="1400" w:type="dxa"/>
            <w:tcBorders>
              <w:top w:val="single" w:sz="8" w:space="0" w:color="auto"/>
            </w:tcBorders>
          </w:tcPr>
          <w:p w14:paraId="1C80C5D9" w14:textId="77777777" w:rsidR="00EF4C83" w:rsidRPr="00381D91" w:rsidRDefault="00EF4C83" w:rsidP="00B854D8">
            <w:pPr>
              <w:spacing w:after="0" w:line="240" w:lineRule="auto"/>
              <w:jc w:val="left"/>
            </w:pPr>
            <w:r w:rsidRPr="00381D91">
              <w:rPr>
                <w:rFonts w:eastAsia="Arial"/>
              </w:rPr>
              <w:t>High volume, low stakes</w:t>
            </w:r>
          </w:p>
        </w:tc>
        <w:tc>
          <w:tcPr>
            <w:tcW w:w="2400" w:type="dxa"/>
            <w:tcBorders>
              <w:top w:val="single" w:sz="8" w:space="0" w:color="auto"/>
            </w:tcBorders>
          </w:tcPr>
          <w:p w14:paraId="1332D1B4" w14:textId="35F7F5EC" w:rsidR="00EF4C83" w:rsidRPr="00381D91" w:rsidRDefault="00EF4C83" w:rsidP="00B854D8">
            <w:pPr>
              <w:spacing w:after="0" w:line="240" w:lineRule="auto"/>
              <w:jc w:val="left"/>
            </w:pPr>
            <w:r w:rsidRPr="00381D91">
              <w:rPr>
                <w:rFonts w:eastAsia="Arial"/>
              </w:rPr>
              <w:t xml:space="preserve">Efficient label acquisition; scalable but susceptible to annotator fatigue </w:t>
            </w:r>
            <w:r w:rsidR="000C7AA6">
              <w:rPr>
                <w:rFonts w:eastAsia="Arial"/>
              </w:rPr>
              <w:fldChar w:fldCharType="begin"/>
            </w:r>
            <w:r w:rsidR="000C7AA6">
              <w:rPr>
                <w:rFonts w:eastAsia="Arial"/>
              </w:rPr>
              <w:instrText xml:space="preserve"> ADDIN ZOTERO_ITEM CSL_CITATION {"citationID":"1guAs8PB","properties":{"formattedCitation":"(Li &amp; McAdams, 2025)","plainCitation":"(Li &amp; McAdams, 2025)","noteIndex":0},"citationItems":[{"id":3040,"uris":["http://zotero.org/users/6567242/items/NJG27IRR"],"itemData":{"id":3040,"type":"article-journal","abstract":"ABSTRACT:\n            This study proposes an ML-based interactive framework for early-stage design, addressing the challenge where physical prototypes are accurate but costly, and virtual prototypes are affordable but less reliable. The NN-based human-in-the-loop framework integrates pre-training and fine-tuning techniques to reduce reliance on extensive physical prototyping while maintaining model accuracy. Using projectile motion as an example, the framework demonstrates its ability to guide design by iteratively updating models based on limited experimental data and human expertise. The results highlight the framework’s effectiveness in achieving performance comparable to models trained on larger datasets, offering a cost-effective solution for creating accurate design models.","container-title":"Proceedings of the Design Society","DOI":"10.1017/pds.2025.10227","ISSN":"2732-527X","journalAbbreviation":"Proc. Des. Soc.","language":"en","license":"http://creativecommons.org/licenses/by-nc-nd/4.0/","page":"2131-2140","source":"DOI.org (Crossref)","title":"Interactive machine learning framework enabling affordable and accurate prototyping for supporting decision-making","volume":"5","author":[{"family":"Li","given":"Qiyu"},{"family":"McAdams","given":"Daniel"}],"issued":{"date-parts":[["2025",8]]}}}],"schema":"https://github.com/citation-style-language/schema/raw/master/csl-citation.json"} </w:instrText>
            </w:r>
            <w:r w:rsidR="000C7AA6">
              <w:rPr>
                <w:rFonts w:eastAsia="Arial"/>
              </w:rPr>
              <w:fldChar w:fldCharType="separate"/>
            </w:r>
            <w:r w:rsidR="000C7AA6" w:rsidRPr="000C7AA6">
              <w:rPr>
                <w:rFonts w:eastAsia="Arial"/>
              </w:rPr>
              <w:t>(Li &amp; McAdams, 2025)</w:t>
            </w:r>
            <w:r w:rsidR="000C7AA6">
              <w:rPr>
                <w:rFonts w:eastAsia="Arial"/>
              </w:rPr>
              <w:fldChar w:fldCharType="end"/>
            </w:r>
          </w:p>
        </w:tc>
      </w:tr>
      <w:tr w:rsidR="00EF4C83" w:rsidRPr="00381D91" w14:paraId="1443A069" w14:textId="77777777" w:rsidTr="00B854D8">
        <w:tc>
          <w:tcPr>
            <w:tcW w:w="1600" w:type="dxa"/>
          </w:tcPr>
          <w:p w14:paraId="631342A7" w14:textId="77777777" w:rsidR="00EF4C83" w:rsidRPr="00381D91" w:rsidRDefault="00EF4C83" w:rsidP="00B854D8">
            <w:pPr>
              <w:spacing w:after="0" w:line="240" w:lineRule="auto"/>
              <w:jc w:val="left"/>
            </w:pPr>
            <w:r w:rsidRPr="00381D91">
              <w:rPr>
                <w:rFonts w:eastAsia="Arial"/>
              </w:rPr>
              <w:t>Active Learning (AL)</w:t>
            </w:r>
          </w:p>
        </w:tc>
        <w:tc>
          <w:tcPr>
            <w:tcW w:w="1300" w:type="dxa"/>
          </w:tcPr>
          <w:p w14:paraId="74F0F8DA" w14:textId="77777777" w:rsidR="00EF4C83" w:rsidRPr="00381D91" w:rsidRDefault="00EF4C83" w:rsidP="00B854D8">
            <w:pPr>
              <w:spacing w:after="0" w:line="240" w:lineRule="auto"/>
              <w:jc w:val="left"/>
            </w:pPr>
            <w:r w:rsidRPr="00381D91">
              <w:rPr>
                <w:rFonts w:eastAsia="Arial"/>
              </w:rPr>
              <w:t>Query-based</w:t>
            </w:r>
          </w:p>
        </w:tc>
        <w:tc>
          <w:tcPr>
            <w:tcW w:w="1300" w:type="dxa"/>
          </w:tcPr>
          <w:p w14:paraId="5B87AA85" w14:textId="77777777" w:rsidR="00EF4C83" w:rsidRPr="00381D91" w:rsidRDefault="00EF4C83" w:rsidP="00B854D8">
            <w:pPr>
              <w:spacing w:after="0" w:line="240" w:lineRule="auto"/>
              <w:jc w:val="left"/>
            </w:pPr>
            <w:r w:rsidRPr="00381D91">
              <w:rPr>
                <w:rFonts w:eastAsia="Arial"/>
              </w:rPr>
              <w:t>Moderate</w:t>
            </w:r>
          </w:p>
        </w:tc>
        <w:tc>
          <w:tcPr>
            <w:tcW w:w="1360" w:type="dxa"/>
          </w:tcPr>
          <w:p w14:paraId="7EA59CBC" w14:textId="77777777" w:rsidR="00EF4C83" w:rsidRPr="00381D91" w:rsidRDefault="00EF4C83" w:rsidP="00B854D8">
            <w:pPr>
              <w:spacing w:after="0" w:line="240" w:lineRule="auto"/>
              <w:jc w:val="left"/>
            </w:pPr>
            <w:r w:rsidRPr="00381D91">
              <w:rPr>
                <w:rFonts w:eastAsia="Arial"/>
              </w:rPr>
              <w:t>Domain expert as oracle</w:t>
            </w:r>
          </w:p>
        </w:tc>
        <w:tc>
          <w:tcPr>
            <w:tcW w:w="1400" w:type="dxa"/>
          </w:tcPr>
          <w:p w14:paraId="327AD222" w14:textId="1C50269E" w:rsidR="00EF4C83" w:rsidRPr="00381D91" w:rsidRDefault="001177E8" w:rsidP="00B854D8">
            <w:pPr>
              <w:spacing w:after="0" w:line="240" w:lineRule="auto"/>
              <w:jc w:val="left"/>
            </w:pPr>
            <w:r w:rsidRPr="00381D91">
              <w:rPr>
                <w:rFonts w:eastAsia="Arial"/>
              </w:rPr>
              <w:t>Specialized</w:t>
            </w:r>
            <w:r w:rsidR="00EF4C83" w:rsidRPr="00381D91">
              <w:rPr>
                <w:rFonts w:eastAsia="Arial"/>
              </w:rPr>
              <w:t xml:space="preserve"> labelling tasks</w:t>
            </w:r>
          </w:p>
        </w:tc>
        <w:tc>
          <w:tcPr>
            <w:tcW w:w="2400" w:type="dxa"/>
          </w:tcPr>
          <w:p w14:paraId="2CDC2351" w14:textId="5710466F" w:rsidR="00EF4C83" w:rsidRPr="00381D91" w:rsidRDefault="00EF4C83" w:rsidP="00B854D8">
            <w:pPr>
              <w:spacing w:after="0" w:line="240" w:lineRule="auto"/>
              <w:jc w:val="left"/>
            </w:pPr>
            <w:r w:rsidRPr="00381D91">
              <w:rPr>
                <w:rFonts w:eastAsia="Arial"/>
              </w:rPr>
              <w:t xml:space="preserve">Reduces labelling cost; optimal query strategy is domain-sensitive </w:t>
            </w:r>
            <w:r w:rsidR="005775D2">
              <w:rPr>
                <w:rFonts w:eastAsia="Arial"/>
              </w:rPr>
              <w:fldChar w:fldCharType="begin"/>
            </w:r>
            <w:r w:rsidR="005775D2">
              <w:rPr>
                <w:rFonts w:eastAsia="Arial"/>
              </w:rPr>
              <w:instrText xml:space="preserve"> ADDIN ZOTERO_ITEM CSL_CITATION {"citationID":"oJbL3w53","properties":{"formattedCitation":"(Munro, 2021)","plainCitation":"(Munro, 2021)","noteIndex":0},"citationItems":[{"id":2981,"uris":["http://zotero.org/users/6567242/items/R4TPAIQM"],"itemData":{"id":2981,"type":"book","abstract":"Human-in-the-Loop Machine Learning lays out methods for humans and machines to work together effectively. You’ll find best practices on selecting sample data for human feedback, quality control for human annotations, and designing annotation interfaces. You’ll learn to create training data for labeling, object detection, and semantic segmentation, sequence labeling, and more. The book starts with the basics and progresses to advanced techniques like transfer learning and self-supervision within annotation workflows","edition":"1st edition","ISBN":"978-1-61729-674-1","language":"eng","number-of-pages":"1","publisher":"Manning Publications","publisher-place":"Erscheinungsort nicht ermittelbar","source":"K10plus ISBN","title":"Human-in-the-Loop Machine Learning","author":[{"family":"Munro","given":"Rob"}],"contributor":[{"literal":"Safari, an O’Reilly Media Company"}],"issued":{"date-parts":[["2021"]]}}}],"schema":"https://github.com/citation-style-language/schema/raw/master/csl-citation.json"} </w:instrText>
            </w:r>
            <w:r w:rsidR="005775D2">
              <w:rPr>
                <w:rFonts w:eastAsia="Arial"/>
              </w:rPr>
              <w:fldChar w:fldCharType="separate"/>
            </w:r>
            <w:r w:rsidR="005775D2" w:rsidRPr="005775D2">
              <w:rPr>
                <w:rFonts w:eastAsia="Arial"/>
              </w:rPr>
              <w:t>(Munro, 2021)</w:t>
            </w:r>
            <w:r w:rsidR="005775D2">
              <w:rPr>
                <w:rFonts w:eastAsia="Arial"/>
              </w:rPr>
              <w:fldChar w:fldCharType="end"/>
            </w:r>
          </w:p>
        </w:tc>
      </w:tr>
      <w:tr w:rsidR="00EF4C83" w:rsidRPr="00381D91" w14:paraId="21C74B47" w14:textId="77777777" w:rsidTr="00B854D8">
        <w:tc>
          <w:tcPr>
            <w:tcW w:w="1600" w:type="dxa"/>
          </w:tcPr>
          <w:p w14:paraId="016DA8A7" w14:textId="77777777" w:rsidR="00EF4C83" w:rsidRPr="00381D91" w:rsidRDefault="00EF4C83" w:rsidP="00B854D8">
            <w:pPr>
              <w:spacing w:after="0" w:line="240" w:lineRule="auto"/>
              <w:jc w:val="left"/>
            </w:pPr>
            <w:r w:rsidRPr="00381D91">
              <w:rPr>
                <w:rFonts w:eastAsia="Arial"/>
              </w:rPr>
              <w:t>Human-Guided Reinforcement</w:t>
            </w:r>
          </w:p>
        </w:tc>
        <w:tc>
          <w:tcPr>
            <w:tcW w:w="1300" w:type="dxa"/>
          </w:tcPr>
          <w:p w14:paraId="66EBAD3D" w14:textId="77777777" w:rsidR="00EF4C83" w:rsidRPr="00381D91" w:rsidRDefault="00EF4C83" w:rsidP="00B854D8">
            <w:pPr>
              <w:spacing w:after="0" w:line="240" w:lineRule="auto"/>
              <w:jc w:val="left"/>
            </w:pPr>
            <w:r w:rsidRPr="00381D91">
              <w:rPr>
                <w:rFonts w:eastAsia="Arial"/>
              </w:rPr>
              <w:t>Reward shaping</w:t>
            </w:r>
          </w:p>
        </w:tc>
        <w:tc>
          <w:tcPr>
            <w:tcW w:w="1300" w:type="dxa"/>
          </w:tcPr>
          <w:p w14:paraId="7A61DB31" w14:textId="77777777" w:rsidR="00EF4C83" w:rsidRPr="00381D91" w:rsidRDefault="00EF4C83" w:rsidP="00B854D8">
            <w:pPr>
              <w:spacing w:after="0" w:line="240" w:lineRule="auto"/>
              <w:jc w:val="left"/>
            </w:pPr>
            <w:r w:rsidRPr="00381D91">
              <w:rPr>
                <w:rFonts w:eastAsia="Arial"/>
              </w:rPr>
              <w:t>High</w:t>
            </w:r>
          </w:p>
        </w:tc>
        <w:tc>
          <w:tcPr>
            <w:tcW w:w="1360" w:type="dxa"/>
          </w:tcPr>
          <w:p w14:paraId="1722F0E5" w14:textId="77777777" w:rsidR="00EF4C83" w:rsidRPr="00381D91" w:rsidRDefault="00EF4C83" w:rsidP="00B854D8">
            <w:pPr>
              <w:spacing w:after="0" w:line="240" w:lineRule="auto"/>
              <w:jc w:val="left"/>
            </w:pPr>
            <w:r w:rsidRPr="00381D91">
              <w:rPr>
                <w:rFonts w:eastAsia="Arial"/>
              </w:rPr>
              <w:t>Trainer, reward designer</w:t>
            </w:r>
          </w:p>
        </w:tc>
        <w:tc>
          <w:tcPr>
            <w:tcW w:w="1400" w:type="dxa"/>
          </w:tcPr>
          <w:p w14:paraId="3280520A" w14:textId="77777777" w:rsidR="00EF4C83" w:rsidRPr="00381D91" w:rsidRDefault="00EF4C83" w:rsidP="00B854D8">
            <w:pPr>
              <w:spacing w:after="0" w:line="240" w:lineRule="auto"/>
              <w:jc w:val="left"/>
            </w:pPr>
            <w:r w:rsidRPr="00381D91">
              <w:rPr>
                <w:rFonts w:eastAsia="Arial"/>
              </w:rPr>
              <w:t>Robotic control, game AI</w:t>
            </w:r>
          </w:p>
        </w:tc>
        <w:tc>
          <w:tcPr>
            <w:tcW w:w="2400" w:type="dxa"/>
          </w:tcPr>
          <w:p w14:paraId="7FD82318" w14:textId="42BCEEAE" w:rsidR="00EF4C83" w:rsidRPr="00381D91" w:rsidRDefault="00EF4C83" w:rsidP="00B854D8">
            <w:pPr>
              <w:spacing w:after="0" w:line="240" w:lineRule="auto"/>
              <w:jc w:val="left"/>
            </w:pPr>
            <w:r w:rsidRPr="00381D91">
              <w:rPr>
                <w:rFonts w:eastAsia="Arial"/>
              </w:rPr>
              <w:t xml:space="preserve">RLHF aligns LLM outputs; reward misspecification risk </w:t>
            </w:r>
            <w:r w:rsidR="00830044">
              <w:rPr>
                <w:rFonts w:eastAsia="Arial"/>
              </w:rPr>
              <w:fldChar w:fldCharType="begin"/>
            </w:r>
            <w:r w:rsidR="00830044">
              <w:rPr>
                <w:rFonts w:eastAsia="Arial"/>
              </w:rPr>
              <w:instrText xml:space="preserve"> ADDIN ZOTERO_ITEM CSL_CITATION {"citationID":"s5aO8i05","properties":{"formattedCitation":"(Ziegler et al., 2020)","plainCitation":"(Ziegler et al., 2020)","noteIndex":0},"citationItems":[{"id":3007,"uris":["http://zotero.org/users/6567242/items/SWNRASCA"],"itemData":{"id":3007,"type":"article","abstract":"Reward learning enables the application of reinforcement learning (RL) to tasks where reward is defined by human judgment, building a model of reward by asking humans questions. Most work on reward learning has used simulated environments, but complex information about values is often expressed in natural language, and we believe reward learning for language is a key to making RL practical and safe for real-world tasks. In this paper, we build on advances in generative pretraining of language models to apply reward learning to four natural language tasks: continuing text with positive sentiment or physically descriptive language, and summarization tasks on the TL;DR and CNN/Daily Mail datasets. For stylistic continuation we achieve good results with only 5,000 comparisons evaluated by humans. For summarization, models trained with 60,000 comparisons copy whole sentences from the input but skip irrelevant preamble; this leads to reasonable ROUGE scores and very good performance according to our human labelers, but may be exploiting the fact that labelers rely on simple heuristics.","DOI":"10.48550/arXiv.1909.08593","note":"arXiv:1909.08593 [cs]","number":"arXiv:1909.08593","publisher":"arXiv","source":"arXiv.org","title":"Fine-Tuning Language Models from Human Preferences","URL":"http://arxiv.org/abs/1909.08593","author":[{"family":"Ziegler","given":"Daniel M."},{"family":"Stiennon","given":"Nisan"},{"family":"Wu","given":"Jeffrey"},{"family":"Brown","given":"Tom B."},{"family":"Radford","given":"Alec"},{"family":"Amodei","given":"Dario"},{"family":"Christiano","given":"Paul"},{"family":"Irving","given":"Geoffrey"}],"accessed":{"date-parts":[["2026",3,23]]},"issued":{"date-parts":[["2020",1,8]]}}}],"schema":"https://github.com/citation-style-language/schema/raw/master/csl-citation.json"} </w:instrText>
            </w:r>
            <w:r w:rsidR="00830044">
              <w:rPr>
                <w:rFonts w:eastAsia="Arial"/>
              </w:rPr>
              <w:fldChar w:fldCharType="separate"/>
            </w:r>
            <w:r w:rsidR="00830044" w:rsidRPr="00830044">
              <w:rPr>
                <w:rFonts w:eastAsia="Arial"/>
              </w:rPr>
              <w:t>(Ziegler et al., 2020)</w:t>
            </w:r>
            <w:r w:rsidR="00830044">
              <w:rPr>
                <w:rFonts w:eastAsia="Arial"/>
              </w:rPr>
              <w:fldChar w:fldCharType="end"/>
            </w:r>
          </w:p>
        </w:tc>
      </w:tr>
      <w:tr w:rsidR="00EF4C83" w:rsidRPr="00381D91" w14:paraId="303C6EB0" w14:textId="77777777" w:rsidTr="00B854D8">
        <w:tc>
          <w:tcPr>
            <w:tcW w:w="1600" w:type="dxa"/>
          </w:tcPr>
          <w:p w14:paraId="759FAA7F" w14:textId="77777777" w:rsidR="00EF4C83" w:rsidRPr="00381D91" w:rsidRDefault="00EF4C83" w:rsidP="00B854D8">
            <w:pPr>
              <w:spacing w:after="0" w:line="240" w:lineRule="auto"/>
              <w:jc w:val="left"/>
            </w:pPr>
            <w:r w:rsidRPr="00381D91">
              <w:rPr>
                <w:rFonts w:eastAsia="Arial"/>
              </w:rPr>
              <w:t>Explainable AI (XAI)</w:t>
            </w:r>
          </w:p>
        </w:tc>
        <w:tc>
          <w:tcPr>
            <w:tcW w:w="1300" w:type="dxa"/>
          </w:tcPr>
          <w:p w14:paraId="095CC3D3" w14:textId="77777777" w:rsidR="00EF4C83" w:rsidRPr="00381D91" w:rsidRDefault="00EF4C83" w:rsidP="00B854D8">
            <w:pPr>
              <w:spacing w:after="0" w:line="240" w:lineRule="auto"/>
              <w:jc w:val="left"/>
            </w:pPr>
            <w:r w:rsidRPr="00381D91">
              <w:rPr>
                <w:rFonts w:eastAsia="Arial"/>
              </w:rPr>
              <w:t>Explanation loop</w:t>
            </w:r>
          </w:p>
        </w:tc>
        <w:tc>
          <w:tcPr>
            <w:tcW w:w="1300" w:type="dxa"/>
          </w:tcPr>
          <w:p w14:paraId="46D12887" w14:textId="77777777" w:rsidR="00EF4C83" w:rsidRPr="00381D91" w:rsidRDefault="00EF4C83" w:rsidP="00B854D8">
            <w:pPr>
              <w:spacing w:after="0" w:line="240" w:lineRule="auto"/>
              <w:jc w:val="left"/>
            </w:pPr>
            <w:r w:rsidRPr="00381D91">
              <w:rPr>
                <w:rFonts w:eastAsia="Arial"/>
              </w:rPr>
              <w:t>Variable</w:t>
            </w:r>
          </w:p>
        </w:tc>
        <w:tc>
          <w:tcPr>
            <w:tcW w:w="1360" w:type="dxa"/>
          </w:tcPr>
          <w:p w14:paraId="610CA9B1" w14:textId="77777777" w:rsidR="00EF4C83" w:rsidRPr="00381D91" w:rsidRDefault="00EF4C83" w:rsidP="00B854D8">
            <w:pPr>
              <w:spacing w:after="0" w:line="240" w:lineRule="auto"/>
              <w:jc w:val="left"/>
            </w:pPr>
            <w:r w:rsidRPr="00381D91">
              <w:rPr>
                <w:rFonts w:eastAsia="Arial"/>
              </w:rPr>
              <w:t>End-user, analyst</w:t>
            </w:r>
          </w:p>
        </w:tc>
        <w:tc>
          <w:tcPr>
            <w:tcW w:w="1400" w:type="dxa"/>
          </w:tcPr>
          <w:p w14:paraId="3DD6E5A9" w14:textId="77777777" w:rsidR="00EF4C83" w:rsidRPr="00381D91" w:rsidRDefault="00EF4C83" w:rsidP="00B854D8">
            <w:pPr>
              <w:spacing w:after="0" w:line="240" w:lineRule="auto"/>
              <w:jc w:val="left"/>
            </w:pPr>
            <w:r w:rsidRPr="00381D91">
              <w:rPr>
                <w:rFonts w:eastAsia="Arial"/>
              </w:rPr>
              <w:t>Clinical, legal, financial</w:t>
            </w:r>
          </w:p>
        </w:tc>
        <w:tc>
          <w:tcPr>
            <w:tcW w:w="2400" w:type="dxa"/>
          </w:tcPr>
          <w:p w14:paraId="78354F9F" w14:textId="72EAC9D4" w:rsidR="00EF4C83" w:rsidRPr="00381D91" w:rsidRDefault="00EF4C83" w:rsidP="00B854D8">
            <w:pPr>
              <w:spacing w:after="0" w:line="240" w:lineRule="auto"/>
              <w:jc w:val="left"/>
            </w:pPr>
            <w:r w:rsidRPr="00381D91">
              <w:rPr>
                <w:rFonts w:eastAsia="Arial"/>
              </w:rPr>
              <w:t xml:space="preserve">Improves trust calibration; explanation fidelity-comprehensibility tradeoff </w:t>
            </w:r>
            <w:r w:rsidR="00CA4B63">
              <w:rPr>
                <w:rFonts w:eastAsia="Arial"/>
              </w:rPr>
              <w:fldChar w:fldCharType="begin"/>
            </w:r>
            <w:r w:rsidR="00CA4B63">
              <w:rPr>
                <w:rFonts w:eastAsia="Arial"/>
              </w:rPr>
              <w:instrText xml:space="preserve"> ADDIN ZOTERO_ITEM CSL_CITATION {"citationID":"646P4boe","properties":{"formattedCitation":"(Arrieta et al., 2020)","plainCitation":"(Arrieta et al., 2020)","noteIndex":0},"citationItems":[{"id":2941,"uris":["http://zotero.org/users/6567242/items/LUR8LQA5"],"itemData":{"id":2941,"type":"article-journal","container-title":"Information Fusion","DOI":"10.1016/j.inffus.2019.12.012","ISSN":"15662535","journalAbbreviation":"Information Fusion","language":"en","page":"82-115","source":"DOI.org (Crossref)","title":"Explainable Artificial Intelligence (XAI): Concepts, taxonomies, opportunities and challenges toward responsible AI","title-short":"Explainable Artificial Intelligence (XAI)","volume":"58","author":[{"family":"Arrieta","given":"Alejandro Barredo"},{"family":"Díaz-Rodríguez","given":"Natalia"},{"family":"Del Ser","given":"Javier"},{"family":"Bennetot","given":"Adrien"},{"family":"Tabik","given":"Siham"},{"family":"Barbado","given":"Alberto"},{"family":"Garcia","given":"Salvador"},{"family":"Gil-Lopez","given":"Sergio"},{"family":"Molina","given":"Daniel"},{"family":"Benjamins","given":"Richard"},{"family":"Chatila","given":"Raja"},{"family":"Herrera","given":"Francisco"}],"issued":{"date-parts":[["2020",6]]}}}],"schema":"https://github.com/citation-style-language/schema/raw/master/csl-citation.json"} </w:instrText>
            </w:r>
            <w:r w:rsidR="00CA4B63">
              <w:rPr>
                <w:rFonts w:eastAsia="Arial"/>
              </w:rPr>
              <w:fldChar w:fldCharType="separate"/>
            </w:r>
            <w:r w:rsidR="00CA4B63" w:rsidRPr="00CA4B63">
              <w:rPr>
                <w:rFonts w:eastAsia="Arial"/>
              </w:rPr>
              <w:t>(Arrieta et al., 2020)</w:t>
            </w:r>
            <w:r w:rsidR="00CA4B63">
              <w:rPr>
                <w:rFonts w:eastAsia="Arial"/>
              </w:rPr>
              <w:fldChar w:fldCharType="end"/>
            </w:r>
          </w:p>
        </w:tc>
      </w:tr>
      <w:tr w:rsidR="00EF4C83" w:rsidRPr="00381D91" w14:paraId="024E3D9C" w14:textId="77777777" w:rsidTr="00B854D8">
        <w:tc>
          <w:tcPr>
            <w:tcW w:w="1600" w:type="dxa"/>
          </w:tcPr>
          <w:p w14:paraId="196F2D62" w14:textId="77777777" w:rsidR="00EF4C83" w:rsidRPr="00381D91" w:rsidRDefault="00EF4C83" w:rsidP="00B854D8">
            <w:pPr>
              <w:spacing w:after="0" w:line="240" w:lineRule="auto"/>
              <w:jc w:val="left"/>
            </w:pPr>
            <w:r w:rsidRPr="00381D91">
              <w:rPr>
                <w:rFonts w:eastAsia="Arial"/>
              </w:rPr>
              <w:lastRenderedPageBreak/>
              <w:t>Human-in-the-Loop ML (HITML)</w:t>
            </w:r>
          </w:p>
        </w:tc>
        <w:tc>
          <w:tcPr>
            <w:tcW w:w="1300" w:type="dxa"/>
          </w:tcPr>
          <w:p w14:paraId="592CBB1A" w14:textId="77777777" w:rsidR="00EF4C83" w:rsidRPr="00381D91" w:rsidRDefault="00EF4C83" w:rsidP="00B854D8">
            <w:pPr>
              <w:spacing w:after="0" w:line="240" w:lineRule="auto"/>
              <w:jc w:val="left"/>
            </w:pPr>
            <w:r w:rsidRPr="00381D91">
              <w:rPr>
                <w:rFonts w:eastAsia="Arial"/>
              </w:rPr>
              <w:t>Integrated pipeline</w:t>
            </w:r>
          </w:p>
        </w:tc>
        <w:tc>
          <w:tcPr>
            <w:tcW w:w="1300" w:type="dxa"/>
          </w:tcPr>
          <w:p w14:paraId="2412BE9F" w14:textId="77777777" w:rsidR="00EF4C83" w:rsidRPr="00381D91" w:rsidRDefault="00EF4C83" w:rsidP="00B854D8">
            <w:pPr>
              <w:spacing w:after="0" w:line="240" w:lineRule="auto"/>
              <w:jc w:val="left"/>
            </w:pPr>
            <w:r w:rsidRPr="00381D91">
              <w:rPr>
                <w:rFonts w:eastAsia="Arial"/>
              </w:rPr>
              <w:t>Moderate-High</w:t>
            </w:r>
          </w:p>
        </w:tc>
        <w:tc>
          <w:tcPr>
            <w:tcW w:w="1360" w:type="dxa"/>
          </w:tcPr>
          <w:p w14:paraId="7E279BFF" w14:textId="77777777" w:rsidR="00EF4C83" w:rsidRPr="00381D91" w:rsidRDefault="00EF4C83" w:rsidP="00B854D8">
            <w:pPr>
              <w:spacing w:after="0" w:line="240" w:lineRule="auto"/>
              <w:jc w:val="left"/>
            </w:pPr>
            <w:r w:rsidRPr="00381D91">
              <w:rPr>
                <w:rFonts w:eastAsia="Arial"/>
              </w:rPr>
              <w:t>Data scientist, SME</w:t>
            </w:r>
          </w:p>
        </w:tc>
        <w:tc>
          <w:tcPr>
            <w:tcW w:w="1400" w:type="dxa"/>
          </w:tcPr>
          <w:p w14:paraId="5098755B" w14:textId="77777777" w:rsidR="00EF4C83" w:rsidRPr="00381D91" w:rsidRDefault="00EF4C83" w:rsidP="00B854D8">
            <w:pPr>
              <w:spacing w:after="0" w:line="240" w:lineRule="auto"/>
              <w:jc w:val="left"/>
            </w:pPr>
            <w:r w:rsidRPr="00381D91">
              <w:rPr>
                <w:rFonts w:eastAsia="Arial"/>
              </w:rPr>
              <w:t>Enterprise ML workflows</w:t>
            </w:r>
          </w:p>
        </w:tc>
        <w:tc>
          <w:tcPr>
            <w:tcW w:w="2400" w:type="dxa"/>
          </w:tcPr>
          <w:p w14:paraId="03DAF74F" w14:textId="1884A507" w:rsidR="00EF4C83" w:rsidRPr="00381D91" w:rsidRDefault="009B3263" w:rsidP="00B854D8">
            <w:pPr>
              <w:spacing w:after="0" w:line="240" w:lineRule="auto"/>
              <w:jc w:val="left"/>
            </w:pPr>
            <w:r>
              <w:rPr>
                <w:rFonts w:eastAsia="Arial"/>
              </w:rPr>
              <w:fldChar w:fldCharType="begin"/>
            </w:r>
            <w:r w:rsidR="00BF461A">
              <w:rPr>
                <w:rFonts w:eastAsia="Arial"/>
              </w:rPr>
              <w:instrText xml:space="preserve"> ADDIN ZOTERO_ITEM CSL_CITATION {"citationID":"8fPQNugP","properties":{"formattedCitation":"(Munro, 2021)","plainCitation":"(Munro, 2021)","dontUpdate":true,"noteIndex":0},"citationItems":[{"id":2981,"uris":["http://zotero.org/users/6567242/items/R4TPAIQM"],"itemData":{"id":2981,"type":"book","abstract":"Human-in-the-Loop Machine Learning lays out methods for humans and machines to work together effectively. You’ll find best practices on selecting sample data for human feedback, quality control for human annotations, and designing annotation interfaces. You’ll learn to create training data for labeling, object detection, and semantic segmentation, sequence labeling, and more. The book starts with the basics and progresses to advanced techniques like transfer learning and self-supervision within annotation workflows","edition":"1st edition","ISBN":"978-1-61729-674-1","language":"eng","number-of-pages":"1","publisher":"Manning Publications","publisher-place":"Erscheinungsort nicht ermittelbar","source":"K10plus ISBN","title":"Human-in-the-Loop Machine Learning","author":[{"family":"Munro","given":"Rob"}],"contributor":[{"literal":"Safari, an O’Reilly Media Company"}],"issued":{"date-parts":[["2021"]]}}}],"schema":"https://github.com/citation-style-language/schema/raw/master/csl-citation.json"} </w:instrText>
            </w:r>
            <w:r>
              <w:rPr>
                <w:rFonts w:eastAsia="Arial"/>
              </w:rPr>
              <w:fldChar w:fldCharType="separate"/>
            </w:r>
            <w:r w:rsidRPr="009B3263">
              <w:rPr>
                <w:rFonts w:eastAsia="Arial"/>
              </w:rPr>
              <w:t xml:space="preserve">Munro </w:t>
            </w:r>
            <w:r>
              <w:rPr>
                <w:rFonts w:eastAsia="Arial"/>
              </w:rPr>
              <w:t>(</w:t>
            </w:r>
            <w:r w:rsidRPr="009B3263">
              <w:rPr>
                <w:rFonts w:eastAsia="Arial"/>
              </w:rPr>
              <w:t>2021)</w:t>
            </w:r>
            <w:r>
              <w:rPr>
                <w:rFonts w:eastAsia="Arial"/>
              </w:rPr>
              <w:fldChar w:fldCharType="end"/>
            </w:r>
            <w:r w:rsidR="00EF4C83" w:rsidRPr="00381D91">
              <w:rPr>
                <w:rFonts w:eastAsia="Arial"/>
              </w:rPr>
              <w:t xml:space="preserve"> six-stage model; quality bottleneck at expert annotation</w:t>
            </w:r>
          </w:p>
        </w:tc>
      </w:tr>
      <w:tr w:rsidR="00EF4C83" w:rsidRPr="00381D91" w14:paraId="52E7CA25" w14:textId="77777777" w:rsidTr="00B854D8">
        <w:tc>
          <w:tcPr>
            <w:tcW w:w="1600" w:type="dxa"/>
          </w:tcPr>
          <w:p w14:paraId="0E9E4E16" w14:textId="77777777" w:rsidR="00EF4C83" w:rsidRPr="00381D91" w:rsidRDefault="00EF4C83" w:rsidP="00B854D8">
            <w:pPr>
              <w:spacing w:after="0" w:line="240" w:lineRule="auto"/>
              <w:jc w:val="left"/>
            </w:pPr>
            <w:r w:rsidRPr="00381D91">
              <w:rPr>
                <w:rFonts w:eastAsia="Arial"/>
              </w:rPr>
              <w:t>Society-in-the- Loop (SITL)</w:t>
            </w:r>
          </w:p>
        </w:tc>
        <w:tc>
          <w:tcPr>
            <w:tcW w:w="1300" w:type="dxa"/>
          </w:tcPr>
          <w:p w14:paraId="6A264F40" w14:textId="77777777" w:rsidR="00EF4C83" w:rsidRPr="00381D91" w:rsidRDefault="00EF4C83" w:rsidP="00B854D8">
            <w:pPr>
              <w:spacing w:after="0" w:line="240" w:lineRule="auto"/>
              <w:jc w:val="left"/>
            </w:pPr>
            <w:r w:rsidRPr="00381D91">
              <w:rPr>
                <w:rFonts w:eastAsia="Arial"/>
              </w:rPr>
              <w:t>Societal contract</w:t>
            </w:r>
          </w:p>
        </w:tc>
        <w:tc>
          <w:tcPr>
            <w:tcW w:w="1300" w:type="dxa"/>
          </w:tcPr>
          <w:p w14:paraId="5ABB3000" w14:textId="77777777" w:rsidR="00EF4C83" w:rsidRPr="00381D91" w:rsidRDefault="00EF4C83" w:rsidP="00B854D8">
            <w:pPr>
              <w:spacing w:after="0" w:line="240" w:lineRule="auto"/>
              <w:jc w:val="left"/>
            </w:pPr>
            <w:r w:rsidRPr="00381D91">
              <w:rPr>
                <w:rFonts w:eastAsia="Arial"/>
              </w:rPr>
              <w:t>Low (systemic)</w:t>
            </w:r>
          </w:p>
        </w:tc>
        <w:tc>
          <w:tcPr>
            <w:tcW w:w="1360" w:type="dxa"/>
          </w:tcPr>
          <w:p w14:paraId="5A2D6377" w14:textId="77777777" w:rsidR="00EF4C83" w:rsidRPr="00381D91" w:rsidRDefault="00EF4C83" w:rsidP="00B854D8">
            <w:pPr>
              <w:spacing w:after="0" w:line="240" w:lineRule="auto"/>
              <w:jc w:val="left"/>
            </w:pPr>
            <w:r w:rsidRPr="00381D91">
              <w:rPr>
                <w:rFonts w:eastAsia="Arial"/>
              </w:rPr>
              <w:t>Public, regulators, NGOs</w:t>
            </w:r>
          </w:p>
        </w:tc>
        <w:tc>
          <w:tcPr>
            <w:tcW w:w="1400" w:type="dxa"/>
          </w:tcPr>
          <w:p w14:paraId="1A4DA28D" w14:textId="77777777" w:rsidR="00EF4C83" w:rsidRPr="00381D91" w:rsidRDefault="00EF4C83" w:rsidP="00B854D8">
            <w:pPr>
              <w:spacing w:after="0" w:line="240" w:lineRule="auto"/>
              <w:jc w:val="left"/>
            </w:pPr>
            <w:r w:rsidRPr="00381D91">
              <w:rPr>
                <w:rFonts w:eastAsia="Arial"/>
              </w:rPr>
              <w:t>Policy, governance, ethics</w:t>
            </w:r>
          </w:p>
        </w:tc>
        <w:tc>
          <w:tcPr>
            <w:tcW w:w="2400" w:type="dxa"/>
          </w:tcPr>
          <w:p w14:paraId="2F61B84A" w14:textId="5DAEC1BE" w:rsidR="00EF4C83" w:rsidRPr="00381D91" w:rsidRDefault="00850114" w:rsidP="00B854D8">
            <w:pPr>
              <w:spacing w:after="0" w:line="240" w:lineRule="auto"/>
              <w:jc w:val="left"/>
            </w:pPr>
            <w:r>
              <w:rPr>
                <w:rFonts w:eastAsia="Arial"/>
              </w:rPr>
              <w:fldChar w:fldCharType="begin"/>
            </w:r>
            <w:r w:rsidR="00724CFF">
              <w:rPr>
                <w:rFonts w:eastAsia="Arial"/>
              </w:rPr>
              <w:instrText xml:space="preserve"> ADDIN ZOTERO_ITEM CSL_CITATION {"citationID":"S3eeUQzZ","properties":{"formattedCitation":"(Rahwan, 2018)","plainCitation":"(Rahwan, 2018)","dontUpdate":true,"noteIndex":0},"citationItems":[{"id":2987,"uris":["http://zotero.org/users/6567242/items/XHFERWW4"],"itemData":{"id":2987,"type":"article-journal","container-title":"Ethics and Information Technology","DOI":"10.1007/s10676-017-9430-8","ISSN":"1388-1957, 1572-8439","issue":"1","journalAbbreviation":"Ethics Inf Technol","language":"en","page":"5-14","source":"DOI.org (Crossref)","title":"Society-in-the-loop: programming the algorithmic social contract","title-short":"Society-in-the-loop","volume":"20","author":[{"family":"Rahwan","given":"Iyad"}],"issued":{"date-parts":[["2021",3]]}}}],"schema":"https://github.com/citation-style-language/schema/raw/master/csl-citation.json"} </w:instrText>
            </w:r>
            <w:r>
              <w:rPr>
                <w:rFonts w:eastAsia="Arial"/>
              </w:rPr>
              <w:fldChar w:fldCharType="separate"/>
            </w:r>
            <w:r w:rsidRPr="00850114">
              <w:rPr>
                <w:rFonts w:eastAsia="Arial"/>
              </w:rPr>
              <w:t xml:space="preserve">Rahwan </w:t>
            </w:r>
            <w:r>
              <w:rPr>
                <w:rFonts w:eastAsia="Arial"/>
              </w:rPr>
              <w:t>(</w:t>
            </w:r>
            <w:r w:rsidRPr="00850114">
              <w:rPr>
                <w:rFonts w:eastAsia="Arial"/>
              </w:rPr>
              <w:t>2018)</w:t>
            </w:r>
            <w:r>
              <w:rPr>
                <w:rFonts w:eastAsia="Arial"/>
              </w:rPr>
              <w:fldChar w:fldCharType="end"/>
            </w:r>
            <w:r>
              <w:rPr>
                <w:rFonts w:eastAsia="Arial"/>
              </w:rPr>
              <w:t xml:space="preserve"> in </w:t>
            </w:r>
            <w:r>
              <w:rPr>
                <w:rFonts w:eastAsia="Arial"/>
              </w:rPr>
              <w:fldChar w:fldCharType="begin"/>
            </w:r>
            <w:r w:rsidR="00BF461A">
              <w:rPr>
                <w:rFonts w:eastAsia="Arial"/>
              </w:rPr>
              <w:instrText xml:space="preserve"> ADDIN ZOTERO_ITEM CSL_CITATION {"citationID":"WQNY324u","properties":{"formattedCitation":"(Vogl, 2021)","plainCitation":"(Vogl, 2021)","dontUpdate":true,"noteIndex":0},"citationItems":[{"id":3029,"uris":["http://zotero.org/users/6567242/items/XU5ZLWR8"],"itemData":{"id":3029,"type":"book","call-number":"K4293 .R47 2021","collection-title":"Research handbooks in information law","ISBN":"978-1-78897-281-9","number-of-pages":"507","publisher":"Edward Elgar Publishing Limited","publisher-place":"Cheltenham, UK ; Northampton, Massachusetts, USA","source":"Library of Congress ISBN","title":"Research handbook on big data law","editor":[{"family":"Vogl","given":"Roland"}],"issued":{"date-parts":[["2021"]]}}}],"schema":"https://github.com/citation-style-language/schema/raw/master/csl-citation.json"} </w:instrText>
            </w:r>
            <w:r>
              <w:rPr>
                <w:rFonts w:eastAsia="Arial"/>
              </w:rPr>
              <w:fldChar w:fldCharType="separate"/>
            </w:r>
            <w:r w:rsidRPr="00850114">
              <w:rPr>
                <w:rFonts w:eastAsia="Arial"/>
              </w:rPr>
              <w:t xml:space="preserve">Vogl </w:t>
            </w:r>
            <w:r>
              <w:rPr>
                <w:rFonts w:eastAsia="Arial"/>
              </w:rPr>
              <w:t>(</w:t>
            </w:r>
            <w:r w:rsidRPr="00850114">
              <w:rPr>
                <w:rFonts w:eastAsia="Arial"/>
              </w:rPr>
              <w:t>2021)</w:t>
            </w:r>
            <w:r>
              <w:rPr>
                <w:rFonts w:eastAsia="Arial"/>
              </w:rPr>
              <w:fldChar w:fldCharType="end"/>
            </w:r>
            <w:r w:rsidR="00EF4C83" w:rsidRPr="00381D91">
              <w:rPr>
                <w:rFonts w:eastAsia="Arial"/>
              </w:rPr>
              <w:t xml:space="preserve"> extends HITL to </w:t>
            </w:r>
            <w:r w:rsidR="002D7919">
              <w:rPr>
                <w:rFonts w:eastAsia="Arial"/>
              </w:rPr>
              <w:t xml:space="preserve">the </w:t>
            </w:r>
            <w:r w:rsidR="00EF4C83" w:rsidRPr="00381D91">
              <w:rPr>
                <w:rFonts w:eastAsia="Arial"/>
              </w:rPr>
              <w:t xml:space="preserve">social contract; </w:t>
            </w:r>
            <w:r w:rsidR="002D7919">
              <w:rPr>
                <w:rFonts w:eastAsia="Arial"/>
              </w:rPr>
              <w:t xml:space="preserve">it </w:t>
            </w:r>
            <w:r w:rsidR="00EF4C83" w:rsidRPr="00381D91">
              <w:rPr>
                <w:rFonts w:eastAsia="Arial"/>
              </w:rPr>
              <w:t>lacks operational specificity</w:t>
            </w:r>
          </w:p>
        </w:tc>
      </w:tr>
      <w:tr w:rsidR="00EF4C83" w:rsidRPr="00381D91" w14:paraId="3D8E911F" w14:textId="77777777" w:rsidTr="00B854D8">
        <w:tc>
          <w:tcPr>
            <w:tcW w:w="1600" w:type="dxa"/>
          </w:tcPr>
          <w:p w14:paraId="2142D06D" w14:textId="77777777" w:rsidR="00EF4C83" w:rsidRPr="00381D91" w:rsidRDefault="00EF4C83" w:rsidP="00B854D8">
            <w:pPr>
              <w:spacing w:after="0" w:line="240" w:lineRule="auto"/>
              <w:jc w:val="left"/>
            </w:pPr>
            <w:r w:rsidRPr="00381D91">
              <w:rPr>
                <w:rFonts w:eastAsia="Arial"/>
              </w:rPr>
              <w:t>Human-on-the- Loop (HOTL)</w:t>
            </w:r>
          </w:p>
        </w:tc>
        <w:tc>
          <w:tcPr>
            <w:tcW w:w="1300" w:type="dxa"/>
          </w:tcPr>
          <w:p w14:paraId="1B42970E" w14:textId="77777777" w:rsidR="00EF4C83" w:rsidRPr="00381D91" w:rsidRDefault="00EF4C83" w:rsidP="00B854D8">
            <w:pPr>
              <w:spacing w:after="0" w:line="240" w:lineRule="auto"/>
              <w:jc w:val="left"/>
            </w:pPr>
            <w:r w:rsidRPr="00381D91">
              <w:rPr>
                <w:rFonts w:eastAsia="Arial"/>
              </w:rPr>
              <w:t>Monitor &amp; correct</w:t>
            </w:r>
          </w:p>
        </w:tc>
        <w:tc>
          <w:tcPr>
            <w:tcW w:w="1300" w:type="dxa"/>
          </w:tcPr>
          <w:p w14:paraId="64A9A310" w14:textId="77777777" w:rsidR="00EF4C83" w:rsidRPr="00381D91" w:rsidRDefault="00EF4C83" w:rsidP="00B854D8">
            <w:pPr>
              <w:spacing w:after="0" w:line="240" w:lineRule="auto"/>
              <w:jc w:val="left"/>
            </w:pPr>
            <w:r w:rsidRPr="00381D91">
              <w:rPr>
                <w:rFonts w:eastAsia="Arial"/>
              </w:rPr>
              <w:t>Low (per task)</w:t>
            </w:r>
          </w:p>
        </w:tc>
        <w:tc>
          <w:tcPr>
            <w:tcW w:w="1360" w:type="dxa"/>
          </w:tcPr>
          <w:p w14:paraId="5AE198BE" w14:textId="77777777" w:rsidR="00EF4C83" w:rsidRPr="00381D91" w:rsidRDefault="00EF4C83" w:rsidP="00B854D8">
            <w:pPr>
              <w:spacing w:after="0" w:line="240" w:lineRule="auto"/>
              <w:jc w:val="left"/>
            </w:pPr>
            <w:r w:rsidRPr="00381D91">
              <w:rPr>
                <w:rFonts w:eastAsia="Arial"/>
              </w:rPr>
              <w:t>System operator, auditor</w:t>
            </w:r>
          </w:p>
        </w:tc>
        <w:tc>
          <w:tcPr>
            <w:tcW w:w="1400" w:type="dxa"/>
          </w:tcPr>
          <w:p w14:paraId="1BAD9B80" w14:textId="77777777" w:rsidR="00EF4C83" w:rsidRPr="00381D91" w:rsidRDefault="00EF4C83" w:rsidP="00B854D8">
            <w:pPr>
              <w:spacing w:after="0" w:line="240" w:lineRule="auto"/>
              <w:jc w:val="left"/>
            </w:pPr>
            <w:r w:rsidRPr="00381D91">
              <w:rPr>
                <w:rFonts w:eastAsia="Arial"/>
              </w:rPr>
              <w:t>Autonomous vehicles, HFT</w:t>
            </w:r>
          </w:p>
        </w:tc>
        <w:tc>
          <w:tcPr>
            <w:tcW w:w="2400" w:type="dxa"/>
          </w:tcPr>
          <w:p w14:paraId="6E33353F" w14:textId="4AB83C65" w:rsidR="00EF4C83" w:rsidRPr="00381D91" w:rsidRDefault="00EF4C83" w:rsidP="00B854D8">
            <w:pPr>
              <w:spacing w:after="0" w:line="240" w:lineRule="auto"/>
              <w:jc w:val="left"/>
            </w:pPr>
            <w:r w:rsidRPr="00381D91">
              <w:rPr>
                <w:rFonts w:eastAsia="Arial"/>
              </w:rPr>
              <w:t xml:space="preserve">Efficient for low-error AI; vigilance decrement risk </w:t>
            </w:r>
            <w:r w:rsidR="00AD20DA">
              <w:rPr>
                <w:rFonts w:eastAsia="Arial"/>
              </w:rPr>
              <w:fldChar w:fldCharType="begin"/>
            </w:r>
            <w:r w:rsidR="00AD20DA">
              <w:rPr>
                <w:rFonts w:eastAsia="Arial"/>
              </w:rPr>
              <w:instrText xml:space="preserve"> ADDIN ZOTERO_ITEM CSL_CITATION {"citationID":"LCK64g5p","properties":{"formattedCitation":"(Parasuraman &amp; Manzey, 2010)","plainCitation":"(Parasuraman &amp; Manzey, 2010)","noteIndex":0},"citationItems":[{"id":2986,"uris":["http://zotero.org/users/6567242/items/24TQJBFW"],"itemData":{"id":2986,"type":"article-journal","abstract":"Objective: Our aim was to review empirical studies of complacency and bias in human interaction with automated and decision support systems and provide an integrated theoretical model for their explanation.\n            Background: Automation-related complacency and automation bias have typically been considered separately and independently.\n            Methods: Studies on complacency and automation bias were analyzed with respect to the cognitive processes involved.\n            Results: Automation complacency occurs under conditions of multiple-task load, when manual tasks compete with the automated task for the operator’s attention. Automation complacency is found in both naive and expert participants and cannot be overcome with simple practice. Automation bias results in making both omission and commission errors when decision aids are imperfect.Automation bias occurs in both naive and expert participants, cannot be prevented by training or instructions, and can affect decision making in individuals as well as in teams.While automation bias has been conceived of as a special case of decision bias, our analysis suggests that it also depends on attentional processes similar to those involved in automation-related complacency.\n            Conclusion: Complacency and automation bias represent different manifestations of overlapping automation-induced phenomena, with attention playing a central role. An integrated model of complacency and automation bias shows that they result from the dynamic interaction of personal, situational, and automation-related characteristics.\n            Application: The integrated model and attentional synthesis provides a heuristic framework for further research on complacency and automation bias and design options for mitigating such effects in automated and decision support systems.","container-title":"Human Factors: The Journal of the Human Factors and Ergonomics Society","DOI":"10.1177/0018720810376055","ISSN":"0018-7208, 1547-8181","issue":"3","journalAbbreviation":"Hum Factors","language":"en","license":"https://journals.sagepub.com/page/policies/text-and-data-mining-license","page":"381-410","source":"DOI.org (Crossref)","title":"Complacency and Bias in Human Use of Automation: An Attentional Integration","title-short":"Complacency and Bias in Human Use of Automation","volume":"52","author":[{"family":"Parasuraman","given":"Raja"},{"family":"Manzey","given":"Dietrich H."}],"issued":{"date-parts":[["2010",6]]}}}],"schema":"https://github.com/citation-style-language/schema/raw/master/csl-citation.json"} </w:instrText>
            </w:r>
            <w:r w:rsidR="00AD20DA">
              <w:rPr>
                <w:rFonts w:eastAsia="Arial"/>
              </w:rPr>
              <w:fldChar w:fldCharType="separate"/>
            </w:r>
            <w:r w:rsidR="00AD20DA" w:rsidRPr="00AD20DA">
              <w:rPr>
                <w:rFonts w:eastAsia="Arial"/>
              </w:rPr>
              <w:t>(Parasuraman &amp; Manzey, 2010)</w:t>
            </w:r>
            <w:r w:rsidR="00AD20DA">
              <w:rPr>
                <w:rFonts w:eastAsia="Arial"/>
              </w:rPr>
              <w:fldChar w:fldCharType="end"/>
            </w:r>
            <w:r w:rsidR="001C0F87">
              <w:rPr>
                <w:rFonts w:eastAsia="Arial"/>
              </w:rPr>
              <w:t xml:space="preserve"> in </w:t>
            </w:r>
            <w:r w:rsidR="001C0F87">
              <w:rPr>
                <w:rFonts w:eastAsia="Arial"/>
              </w:rPr>
              <w:fldChar w:fldCharType="begin"/>
            </w:r>
            <w:r w:rsidR="001C0F87">
              <w:rPr>
                <w:rFonts w:eastAsia="Arial"/>
              </w:rPr>
              <w:instrText xml:space="preserve"> ADDIN ZOTERO_ITEM CSL_CITATION {"citationID":"gSBNsST6","properties":{"formattedCitation":"(Kazim &amp; Tomlinson, 2023)","plainCitation":"(Kazim &amp; Tomlinson, 2023)","noteIndex":0},"citationItems":[{"id":3042,"uris":["http://zotero.org/users/6567242/items/LG5KI3D6"],"itemData":{"id":3042,"type":"article-journal","container-title":"Judicial Review","DOI":"10.1080/10854681.2023.2189405","ISSN":"1085-4681, 1757-8434","issue":"1","journalAbbreviation":"Judicial Review","language":"en","page":"9-16","source":"DOI.org (Crossref)","title":"Automation Bias and the Principles of Judicial Review","volume":"28","author":[{"family":"Kazim","given":"Tatiana"},{"family":"Tomlinson","given":"Joe"}],"issued":{"date-parts":[["2023",1,2]]}}}],"schema":"https://github.com/citation-style-language/schema/raw/master/csl-citation.json"} </w:instrText>
            </w:r>
            <w:r w:rsidR="001C0F87">
              <w:rPr>
                <w:rFonts w:eastAsia="Arial"/>
              </w:rPr>
              <w:fldChar w:fldCharType="separate"/>
            </w:r>
            <w:r w:rsidR="001C0F87" w:rsidRPr="001C0F87">
              <w:rPr>
                <w:rFonts w:eastAsia="Arial"/>
              </w:rPr>
              <w:t>(Kazim &amp; Tomlinson, 2023)</w:t>
            </w:r>
            <w:r w:rsidR="001C0F87">
              <w:rPr>
                <w:rFonts w:eastAsia="Arial"/>
              </w:rPr>
              <w:fldChar w:fldCharType="end"/>
            </w:r>
          </w:p>
        </w:tc>
      </w:tr>
      <w:tr w:rsidR="00EF4C83" w:rsidRPr="00381D91" w14:paraId="223D6C49" w14:textId="77777777" w:rsidTr="00B854D8">
        <w:tc>
          <w:tcPr>
            <w:tcW w:w="1600" w:type="dxa"/>
            <w:tcBorders>
              <w:bottom w:val="single" w:sz="8" w:space="0" w:color="auto"/>
            </w:tcBorders>
          </w:tcPr>
          <w:p w14:paraId="21622702" w14:textId="77777777" w:rsidR="00EF4C83" w:rsidRPr="00381D91" w:rsidRDefault="00EF4C83" w:rsidP="00B854D8">
            <w:pPr>
              <w:spacing w:after="0" w:line="240" w:lineRule="auto"/>
              <w:jc w:val="left"/>
            </w:pPr>
            <w:r w:rsidRPr="00381D91">
              <w:rPr>
                <w:rFonts w:eastAsia="Arial"/>
              </w:rPr>
              <w:t>Collaborative AI (CAI)</w:t>
            </w:r>
          </w:p>
        </w:tc>
        <w:tc>
          <w:tcPr>
            <w:tcW w:w="1300" w:type="dxa"/>
            <w:tcBorders>
              <w:bottom w:val="single" w:sz="8" w:space="0" w:color="auto"/>
            </w:tcBorders>
          </w:tcPr>
          <w:p w14:paraId="4D7F3BE9" w14:textId="77777777" w:rsidR="00EF4C83" w:rsidRPr="00381D91" w:rsidRDefault="00EF4C83" w:rsidP="00B854D8">
            <w:pPr>
              <w:spacing w:after="0" w:line="240" w:lineRule="auto"/>
              <w:jc w:val="left"/>
            </w:pPr>
            <w:r w:rsidRPr="00381D91">
              <w:rPr>
                <w:rFonts w:eastAsia="Arial"/>
              </w:rPr>
              <w:t>Joint deliberation</w:t>
            </w:r>
          </w:p>
        </w:tc>
        <w:tc>
          <w:tcPr>
            <w:tcW w:w="1300" w:type="dxa"/>
            <w:tcBorders>
              <w:bottom w:val="single" w:sz="8" w:space="0" w:color="auto"/>
            </w:tcBorders>
          </w:tcPr>
          <w:p w14:paraId="252A3EBA" w14:textId="77777777" w:rsidR="00EF4C83" w:rsidRPr="00381D91" w:rsidRDefault="00EF4C83" w:rsidP="00B854D8">
            <w:pPr>
              <w:spacing w:after="0" w:line="240" w:lineRule="auto"/>
              <w:jc w:val="left"/>
            </w:pPr>
            <w:r w:rsidRPr="00381D91">
              <w:rPr>
                <w:rFonts w:eastAsia="Arial"/>
              </w:rPr>
              <w:t>Variable</w:t>
            </w:r>
          </w:p>
        </w:tc>
        <w:tc>
          <w:tcPr>
            <w:tcW w:w="1360" w:type="dxa"/>
            <w:tcBorders>
              <w:bottom w:val="single" w:sz="8" w:space="0" w:color="auto"/>
            </w:tcBorders>
          </w:tcPr>
          <w:p w14:paraId="60B51A51" w14:textId="77777777" w:rsidR="00EF4C83" w:rsidRPr="00381D91" w:rsidRDefault="00EF4C83" w:rsidP="00B854D8">
            <w:pPr>
              <w:spacing w:after="0" w:line="240" w:lineRule="auto"/>
              <w:jc w:val="left"/>
            </w:pPr>
            <w:r w:rsidRPr="00381D91">
              <w:rPr>
                <w:rFonts w:eastAsia="Arial"/>
              </w:rPr>
              <w:t>Co-agent, paired human</w:t>
            </w:r>
          </w:p>
        </w:tc>
        <w:tc>
          <w:tcPr>
            <w:tcW w:w="1400" w:type="dxa"/>
            <w:tcBorders>
              <w:bottom w:val="single" w:sz="8" w:space="0" w:color="auto"/>
            </w:tcBorders>
          </w:tcPr>
          <w:p w14:paraId="1EBF90D6" w14:textId="77777777" w:rsidR="00EF4C83" w:rsidRPr="00381D91" w:rsidRDefault="00EF4C83" w:rsidP="00B854D8">
            <w:pPr>
              <w:spacing w:after="0" w:line="240" w:lineRule="auto"/>
              <w:jc w:val="left"/>
            </w:pPr>
            <w:r w:rsidRPr="00381D91">
              <w:rPr>
                <w:rFonts w:eastAsia="Arial"/>
              </w:rPr>
              <w:t>Medical diagnosis, design</w:t>
            </w:r>
          </w:p>
        </w:tc>
        <w:tc>
          <w:tcPr>
            <w:tcW w:w="2400" w:type="dxa"/>
            <w:tcBorders>
              <w:bottom w:val="single" w:sz="8" w:space="0" w:color="auto"/>
            </w:tcBorders>
          </w:tcPr>
          <w:p w14:paraId="36241B70" w14:textId="24E7D208" w:rsidR="00EF4C83" w:rsidRPr="00381D91" w:rsidRDefault="00EF4C83" w:rsidP="00B854D8">
            <w:pPr>
              <w:spacing w:after="0" w:line="240" w:lineRule="auto"/>
              <w:jc w:val="left"/>
            </w:pPr>
            <w:r w:rsidRPr="00381D91">
              <w:rPr>
                <w:rFonts w:eastAsia="Arial"/>
              </w:rPr>
              <w:t xml:space="preserve">Complementarity only if role boundaries and competency are visible </w:t>
            </w:r>
            <w:r w:rsidR="00C617B4">
              <w:rPr>
                <w:rFonts w:eastAsia="Arial"/>
              </w:rPr>
              <w:fldChar w:fldCharType="begin"/>
            </w:r>
            <w:r w:rsidR="00C617B4">
              <w:rPr>
                <w:rFonts w:eastAsia="Arial"/>
              </w:rPr>
              <w:instrText xml:space="preserve"> ADDIN ZOTERO_ITEM CSL_CITATION {"citationID":"p9grFsDr","properties":{"formattedCitation":"(Hemmer et al., 2021)","plainCitation":"(Hemmer et al., 2021)","noteIndex":0},"citationItems":[{"id":2963,"uris":["http://zotero.org/users/6567242/items/9XNJ45QL"],"itemData":{"id":2963,"type":"paper-conference","container-title":"PACIS 2021 Proceedings","publisher":"AIS eLibrary","publisher-place":"Karlsruhe Institute of Technology","source":"COinS","title":"Human-AI Complementarity in Hybrid Intelligence Systems: A Structured Literature Review","title-short":"Human-AI Complementarity in Hybrid Intelligence Systems","URL":"https://aisel.aisnet.org/pacis2021/78","volume":"78","author":[{"family":"Hemmer","given":"Patrick"},{"family":"Schemmer","given":"Max"},{"family":"Vössing","given":"Michael"},{"family":"Kühl","given":"Niklas"}],"issued":{"date-parts":[["2021",7,12]]}}}],"schema":"https://github.com/citation-style-language/schema/raw/master/csl-citation.json"} </w:instrText>
            </w:r>
            <w:r w:rsidR="00C617B4">
              <w:rPr>
                <w:rFonts w:eastAsia="Arial"/>
              </w:rPr>
              <w:fldChar w:fldCharType="separate"/>
            </w:r>
            <w:r w:rsidR="00C617B4" w:rsidRPr="00C617B4">
              <w:rPr>
                <w:rFonts w:eastAsia="Arial"/>
              </w:rPr>
              <w:t>(Hemmer et al., 2021)</w:t>
            </w:r>
            <w:r w:rsidR="00C617B4">
              <w:rPr>
                <w:rFonts w:eastAsia="Arial"/>
              </w:rPr>
              <w:fldChar w:fldCharType="end"/>
            </w:r>
          </w:p>
        </w:tc>
      </w:tr>
    </w:tbl>
    <w:p w14:paraId="3888928E" w14:textId="77777777" w:rsidR="00EF4C83" w:rsidRDefault="00EF4C83" w:rsidP="0064456D">
      <w:pPr>
        <w:spacing w:after="0" w:line="240" w:lineRule="auto"/>
      </w:pPr>
    </w:p>
    <w:p w14:paraId="51770E47" w14:textId="77777777" w:rsidR="007F78C0" w:rsidRPr="007F78C0" w:rsidRDefault="007F78C0" w:rsidP="007F78C0">
      <w:pPr>
        <w:pStyle w:val="ListParagraph"/>
        <w:numPr>
          <w:ilvl w:val="0"/>
          <w:numId w:val="5"/>
        </w:numPr>
        <w:spacing w:before="120" w:after="120"/>
        <w:outlineLvl w:val="1"/>
        <w:rPr>
          <w:rFonts w:eastAsia="Arial" w:cs="Arial"/>
          <w:b/>
          <w:bCs/>
          <w:vanish/>
        </w:rPr>
      </w:pPr>
      <w:bookmarkStart w:id="14" w:name="_Toc225135047"/>
    </w:p>
    <w:p w14:paraId="4FD23E29" w14:textId="3B72DBE7" w:rsidR="006F243D" w:rsidRPr="00C21CFD" w:rsidRDefault="00000000" w:rsidP="00C21CFD">
      <w:pPr>
        <w:pStyle w:val="Heading2"/>
      </w:pPr>
      <w:r w:rsidRPr="00E4074A">
        <w:t>A Tiered Taxonomy of HITL Frameworks</w:t>
      </w:r>
      <w:bookmarkEnd w:id="14"/>
    </w:p>
    <w:p w14:paraId="4FA7899A" w14:textId="07D6BB87" w:rsidR="006F243D" w:rsidRDefault="001177E8" w:rsidP="00573544">
      <w:r>
        <w:t xml:space="preserve">Synthesizing the LOA literature </w:t>
      </w:r>
      <w:r w:rsidR="00E15BAC">
        <w:fldChar w:fldCharType="begin"/>
      </w:r>
      <w:r w:rsidR="00E15BAC">
        <w:instrText xml:space="preserve"> ADDIN ZOTERO_ITEM CSL_CITATION {"citationID":"ngGMqKl8","properties":{"formattedCitation":"(Parasuraman et al., 2000)","plainCitation":"(Parasuraman et al., 2000)","noteIndex":0},"citationItems":[{"id":3026,"uris":["http://zotero.org/users/6567242/items/PLG6EAEY"],"itemData":{"id":3026,"type":"article-journal","container-title":"IEEE Transactions on Systems, Man, and Cybernetics - Part A: Systems and Humans","DOI":"10.1109/3468.844354","ISSN":"10834427","issue":"3","journalAbbreviation":"IEEE Trans. Syst., Man, Cybern. A","license":"https://ieeexplore.ieee.org/Xplorehelp/downloads/license-information/IEEE.html","page":"286-297","source":"DOI.org (Crossref)","title":"A model for types and levels of human interaction with automation","volume":"30","author":[{"family":"Parasuraman","given":"R."},{"family":"Sheridan","given":"T.B."},{"family":"Wickens","given":"C.D."}],"issued":{"date-parts":[["2000"]]}}}],"schema":"https://github.com/citation-style-language/schema/raw/master/csl-citation.json"} </w:instrText>
      </w:r>
      <w:r w:rsidR="00E15BAC">
        <w:fldChar w:fldCharType="separate"/>
      </w:r>
      <w:r w:rsidR="00E15BAC" w:rsidRPr="00E15BAC">
        <w:t>(Parasuraman et al., 2000)</w:t>
      </w:r>
      <w:r w:rsidR="00E15BAC">
        <w:fldChar w:fldCharType="end"/>
      </w:r>
      <w:r w:rsidR="00E15BAC">
        <w:t xml:space="preserve">, </w:t>
      </w:r>
      <w:r w:rsidR="00E15BAC">
        <w:fldChar w:fldCharType="begin"/>
      </w:r>
      <w:r w:rsidR="00BF461A">
        <w:instrText xml:space="preserve"> ADDIN ZOTERO_ITEM CSL_CITATION {"citationID":"4cIwkB8x","properties":{"formattedCitation":"(Shneiderman, 2022)","plainCitation":"(Shneiderman, 2022)","dontUpdate":true,"noteIndex":0},"citationItems":[{"id":2991,"uris":["http://zotero.org/users/6567242/items/UJFJX8ZN"],"itemData":{"id":2991,"type":"book","abstract":"Abstract\n            Researchers, developers, business leaders, policy makers, and others are expanding the technology-centered scope of artificial intelligence (AI) to include human-centered AI (HCAI) ways of thinking. This expansion from an algorithm-focused view to embrace a human-centered perspective can shape the future of technology so as to better serve human needs. Educators, designers, software engineers, product managers, evaluators, and government agency staffers can build on AI-driven technologies to design products and services that make life better for people and enable people to care for each other. Humans have always been tool builders, and now they are supertool builders, whose inventions can improve our health, family life, education, business, the environment, and much more. The remarkable progress in algorithms for machine and deep learning have opened the doors to new opportunities, and some dark possibilities. However, a bright future awaits AI researchers, developers, business leaders, policy makers, and others who build on their working methods by including HCAI strategies of design and testing. This enlarged vision can shape the future of technology so as to better serve human needs. As many technology companies and thought leaders have said, the goal is not to replace people, but to empower them by making design choices that give humans control over technology.","DOI":"10.1093/oso/9780192845290.001.0001","edition":"1","ISBN":"978-0-19-284529-0","language":"en","publisher":"Oxford University PressOxford","source":"DOI.org (Crossref)","title":"Human-Centered AI","URL":"https://academic.oup.com/book/41126","author":[{"family":"Shneiderman","given":"Ben"}],"accessed":{"date-parts":[["2026",3,23]]},"issued":{"date-parts":[["2022",1,13]]}}}],"schema":"https://github.com/citation-style-language/schema/raw/master/csl-citation.json"} </w:instrText>
      </w:r>
      <w:r w:rsidR="00E15BAC">
        <w:fldChar w:fldCharType="separate"/>
      </w:r>
      <w:r w:rsidR="00E15BAC" w:rsidRPr="00E15BAC">
        <w:t>Shneiderman</w:t>
      </w:r>
      <w:r w:rsidR="00E15BAC">
        <w:t>'s</w:t>
      </w:r>
      <w:r w:rsidR="00E15BAC" w:rsidRPr="00E15BAC">
        <w:t xml:space="preserve"> </w:t>
      </w:r>
      <w:r w:rsidR="00E15BAC">
        <w:t>(</w:t>
      </w:r>
      <w:r w:rsidR="00E15BAC" w:rsidRPr="00E15BAC">
        <w:t>2022)</w:t>
      </w:r>
      <w:r w:rsidR="00E15BAC">
        <w:fldChar w:fldCharType="end"/>
      </w:r>
      <w:r>
        <w:t xml:space="preserve"> four-quadrant HCAI model, and the empirical findings reviewed in </w:t>
      </w:r>
      <w:r w:rsidR="00D80259">
        <w:t>this study</w:t>
      </w:r>
      <w:r>
        <w:t xml:space="preserve">, </w:t>
      </w:r>
      <w:r w:rsidR="00D80259">
        <w:t>the study</w:t>
      </w:r>
      <w:r>
        <w:t xml:space="preserve"> propose</w:t>
      </w:r>
      <w:r w:rsidR="00754698">
        <w:t>d</w:t>
      </w:r>
      <w:r>
        <w:t xml:space="preserve"> a four-tier taxonomy that captures the essential variation in human oversight depth across contemporary agentic AI deployments</w:t>
      </w:r>
      <w:r w:rsidR="00FB7567">
        <w:t>, as shown in Figure 3</w:t>
      </w:r>
      <w:r>
        <w:t>.</w:t>
      </w:r>
    </w:p>
    <w:p w14:paraId="4595B4C9" w14:textId="4A690DB2" w:rsidR="00861D53" w:rsidRPr="00861D53" w:rsidRDefault="001A6924" w:rsidP="001A6924">
      <w:pPr>
        <w:pStyle w:val="Cap"/>
      </w:pPr>
      <w:r>
        <w:t xml:space="preserve">Figure </w:t>
      </w:r>
      <w:fldSimple w:instr=" SEQ Figure \* ARABIC ">
        <w:r w:rsidR="00AF5F2C">
          <w:rPr>
            <w:noProof/>
          </w:rPr>
          <w:t>3</w:t>
        </w:r>
      </w:fldSimple>
    </w:p>
    <w:p w14:paraId="417F7360" w14:textId="4F899520" w:rsidR="006F243D" w:rsidRPr="00861D53" w:rsidRDefault="00000000" w:rsidP="00861D53">
      <w:pPr>
        <w:rPr>
          <w:i/>
          <w:iCs/>
        </w:rPr>
      </w:pPr>
      <w:r w:rsidRPr="00861D53">
        <w:rPr>
          <w:i/>
          <w:iCs/>
        </w:rPr>
        <w:t xml:space="preserve">Taxonomy of HITL </w:t>
      </w:r>
      <w:r w:rsidR="0064005A">
        <w:rPr>
          <w:i/>
          <w:iCs/>
        </w:rPr>
        <w:t>F</w:t>
      </w:r>
      <w:r w:rsidRPr="00861D53">
        <w:rPr>
          <w:i/>
          <w:iCs/>
        </w:rPr>
        <w:t xml:space="preserve">rameworks by AI </w:t>
      </w:r>
      <w:r w:rsidR="0064005A">
        <w:rPr>
          <w:i/>
          <w:iCs/>
        </w:rPr>
        <w:t>A</w:t>
      </w:r>
      <w:r w:rsidRPr="00861D53">
        <w:rPr>
          <w:i/>
          <w:iCs/>
        </w:rPr>
        <w:t xml:space="preserve">utonomy </w:t>
      </w:r>
      <w:r w:rsidR="0064005A">
        <w:rPr>
          <w:i/>
          <w:iCs/>
        </w:rPr>
        <w:t>L</w:t>
      </w:r>
      <w:r w:rsidRPr="00861D53">
        <w:rPr>
          <w:i/>
          <w:iCs/>
        </w:rPr>
        <w:t xml:space="preserve">evel and </w:t>
      </w:r>
      <w:r w:rsidR="0064005A">
        <w:rPr>
          <w:i/>
          <w:iCs/>
        </w:rPr>
        <w:t>H</w:t>
      </w:r>
      <w:r w:rsidRPr="00861D53">
        <w:rPr>
          <w:i/>
          <w:iCs/>
        </w:rPr>
        <w:t xml:space="preserve">uman </w:t>
      </w:r>
      <w:r w:rsidR="0064005A">
        <w:rPr>
          <w:i/>
          <w:iCs/>
        </w:rPr>
        <w:t>O</w:t>
      </w:r>
      <w:r w:rsidRPr="00861D53">
        <w:rPr>
          <w:i/>
          <w:iCs/>
        </w:rPr>
        <w:t xml:space="preserve">versight </w:t>
      </w:r>
      <w:r w:rsidR="0064005A">
        <w:rPr>
          <w:i/>
          <w:iCs/>
        </w:rPr>
        <w:t>R</w:t>
      </w:r>
      <w:r w:rsidRPr="00861D53">
        <w:rPr>
          <w:i/>
          <w:iCs/>
        </w:rPr>
        <w:t>ole.</w:t>
      </w:r>
    </w:p>
    <w:p w14:paraId="238A4F76" w14:textId="39A8B1CC" w:rsidR="006F243D" w:rsidRDefault="00D1632D" w:rsidP="00FF5004">
      <w:pPr>
        <w:spacing w:after="0"/>
      </w:pPr>
      <w:r>
        <w:rPr>
          <w:noProof/>
        </w:rPr>
        <w:drawing>
          <wp:inline distT="0" distB="0" distL="0" distR="0" wp14:anchorId="5BDF5C7E" wp14:editId="00E90CDD">
            <wp:extent cx="6024159" cy="3414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084" cy="3422358"/>
                    </a:xfrm>
                    <a:prstGeom prst="rect">
                      <a:avLst/>
                    </a:prstGeom>
                    <a:noFill/>
                    <a:ln>
                      <a:noFill/>
                    </a:ln>
                  </pic:spPr>
                </pic:pic>
              </a:graphicData>
            </a:graphic>
          </wp:inline>
        </w:drawing>
      </w:r>
    </w:p>
    <w:p w14:paraId="17B9BE32" w14:textId="77777777" w:rsidR="00B4283C" w:rsidRDefault="00B4283C" w:rsidP="00FF5004">
      <w:pPr>
        <w:spacing w:after="0"/>
      </w:pPr>
    </w:p>
    <w:p w14:paraId="0C172994" w14:textId="25021D9E" w:rsidR="006F243D" w:rsidRDefault="00000000" w:rsidP="00573544">
      <w:r w:rsidRPr="00F5687C">
        <w:rPr>
          <w:b/>
          <w:bCs/>
        </w:rPr>
        <w:t>Tier I (Full Human Control)</w:t>
      </w:r>
      <w:r>
        <w:t xml:space="preserve"> represents configurations in which AI systems generate recommendations, options, or </w:t>
      </w:r>
      <w:r w:rsidR="00536B84">
        <w:t>analy</w:t>
      </w:r>
      <w:r w:rsidR="002B411B">
        <w:t>si</w:t>
      </w:r>
      <w:r>
        <w:t xml:space="preserve">s, but all consequential decisions and actions are taken by human agents. This tier is </w:t>
      </w:r>
      <w:r w:rsidR="00327FB3">
        <w:t>characteristic</w:t>
      </w:r>
      <w:r>
        <w:t xml:space="preserve"> of clinical decision support in high-stakes specialties </w:t>
      </w:r>
      <w:r w:rsidR="000E428F">
        <w:fldChar w:fldCharType="begin"/>
      </w:r>
      <w:r w:rsidR="000E428F">
        <w:instrText xml:space="preserve"> ADDIN ZOTERO_ITEM CSL_CITATION {"citationID":"vBlouEPX","properties":{"formattedCitation":"(Cabitza et al., 2021; Cai et al., 2021)","plainCitation":"(Cabitza et al., 2021; Cai et al., 2021)","noteIndex":0},"citationItems":[{"id":3013,"uris":["http://zotero.org/users/6567242/items/K9N5RXFG"],"itemData":{"id":3013,"type":"article-journal","container-title":"Artificial Intelligence in Medicine","DOI":"10.1016/j.artmed.2021.102121","language":"en","page":"102121","title":"The need to rehumanize clinical AI","volume":"118","author":[{"family":"Cabitza","given":"F."},{"family":"Campagner","given":"A."},{"family":"Ferrari","given":"D."},{"family":"Ciucci","given":"D."}],"issued":{"date-parts":[["2021"]]}}},{"id":3031,"uris":["http://zotero.org/users/6567242/items/FQ44H5YB"],"itemData":{"id":3031,"type":"article-journal","abstract":"Although rapid advances in machine learning have made it increasingly applicable to expert decision-making, the delivery of accurate algorithmic predictions alone is insufficient for effective human-AI collaboration. In this work, we investigate the key types of information medical experts desire when they are first introduced to a diagnostic AI assistant. In a qualitative lab study, we interviewed 21 pathologists before, during, and after being presented deep neural network (DNN) predictions for prostate cancer diagnosis, to learn the types of information that they desired about the AI assistant. Our findings reveal that, far beyond understanding the local, case-specific reasoning behind any model decision, clinicians desired upfront information about basic, global properties of the model, such as its known strengths and limitations, its subjective point-of-view, and its overall design objective--what it's designed to be optimized for. Participants compared these information needs to the collaborative mental models they develop of their medical colleagues when seeking a second opinion: the medical perspectives and standards that those colleagues embody, and the compatibility of those perspectives with their own diagnostic patterns. These findings broaden and enrich discussions surrounding AI transparency for collaborative decision-making, providing a richer understanding of what experts find important in their introduction to AI assistants before integrating them into routine practice.","container-title":"ACM Computing Surveys","DOI":"10.1145/1122445.1122456","ISSN":"2573-0142","issue":"CHI 2021 Japan","journalAbbreviation":"ACM Comput. Surv.","language":"en","page":"1-11","publisher":"Proceedings of the ACM SIGCHI Conference on Human Factors in Computing Systems, ACM","publisher-place":"New York, USA","source":"DOI.org (Crossref)","title":"Onboarding Materials as Cross-functional Boundary Objects for Developing AI Assistant","title-short":"Hello AI","author":[{"family":"Cai","given":"Carrie J."},{"family":"Winter","given":"Samantha"},{"family":"Steiner","given":"David"},{"family":"Wilcox","given":"Lauren"},{"family":"Terry","given":"Michael"}],"issued":{"date-parts":[["2021"]]}}}],"schema":"https://github.com/citation-style-language/schema/raw/master/csl-citation.json"} </w:instrText>
      </w:r>
      <w:r w:rsidR="000E428F">
        <w:fldChar w:fldCharType="separate"/>
      </w:r>
      <w:r w:rsidR="000E428F" w:rsidRPr="000E428F">
        <w:t>(Cabitza et al., 2021; Cai et al., 2021)</w:t>
      </w:r>
      <w:r w:rsidR="000E428F">
        <w:fldChar w:fldCharType="end"/>
      </w:r>
      <w:r>
        <w:t xml:space="preserve">, judicial risk assessment contexts </w:t>
      </w:r>
      <w:r w:rsidR="00976820">
        <w:lastRenderedPageBreak/>
        <w:fldChar w:fldCharType="begin"/>
      </w:r>
      <w:r w:rsidR="00976820">
        <w:instrText xml:space="preserve"> ADDIN ZOTERO_ITEM CSL_CITATION {"citationID":"OPxXwsj7","properties":{"formattedCitation":"(Wachter et al., 2021)","plainCitation":"(Wachter et al., 2021)","noteIndex":0},"citationItems":[{"id":2998,"uris":["http://zotero.org/users/6567242/items/47LWZ6RZ"],"itemData":{"id":2998,"type":"article-journal","container-title":"Computer Law &amp; Security Review","DOI":"10.1016/j.clsr.2021.105567","ISSN":"2212473X","journalAbbreviation":"Computer Law &amp; Security Review","language":"en","page":"105567","source":"DOI.org (Crossref)","title":"Why fairness cannot be automated: Bridging the gap between EU non-discrimination law and AI","title-short":"Why fairness cannot be automated","volume":"41","author":[{"family":"Wachter","given":"Sandra"},{"family":"Mittelstadt","given":"Brent"},{"family":"Russell","given":"Chris"}],"issued":{"date-parts":[["2021",7]]}}}],"schema":"https://github.com/citation-style-language/schema/raw/master/csl-citation.json"} </w:instrText>
      </w:r>
      <w:r w:rsidR="00976820">
        <w:fldChar w:fldCharType="separate"/>
      </w:r>
      <w:r w:rsidR="00976820" w:rsidRPr="00976820">
        <w:t>(Wachter et al., 2021)</w:t>
      </w:r>
      <w:r w:rsidR="00976820">
        <w:fldChar w:fldCharType="end"/>
      </w:r>
      <w:r>
        <w:t>, and financial audit workflows. The defining feature of Tier I is that human accountability is unambiguous and unshared.</w:t>
      </w:r>
    </w:p>
    <w:p w14:paraId="6FA2BFB8" w14:textId="3FCB294E" w:rsidR="006F243D" w:rsidRDefault="00000000" w:rsidP="00573544">
      <w:r w:rsidRPr="00F5687C">
        <w:rPr>
          <w:b/>
          <w:bCs/>
        </w:rPr>
        <w:t>Tier II (Human Supervisory Control)</w:t>
      </w:r>
      <w:r>
        <w:t xml:space="preserve"> describes systems in which AI acts autonomously on lower-stakes or time-sensitive subtasks but refers higher-stakes decisions to human review. Loan pre-screening, content moderation queues, and cybersecurity triage exemplify Tier II configurations. Empirical evidence shows that Tier II configurations are particularly susceptible to automation bias when the proportion of AI-handled cases is high relative to human-reviewed cases, as attentional resources devoted to monitoring are insufficient to catch AI errors </w:t>
      </w:r>
      <w:r w:rsidR="00E446EF">
        <w:fldChar w:fldCharType="begin"/>
      </w:r>
      <w:r w:rsidR="00E446EF">
        <w:instrText xml:space="preserve"> ADDIN ZOTERO_ITEM CSL_CITATION {"citationID":"EGWWERtF","properties":{"formattedCitation":"(Kazim &amp; Tomlinson, 2023)","plainCitation":"(Kazim &amp; Tomlinson, 2023)","noteIndex":0},"citationItems":[{"id":3042,"uris":["http://zotero.org/users/6567242/items/LG5KI3D6"],"itemData":{"id":3042,"type":"article-journal","container-title":"Judicial Review","DOI":"10.1080/10854681.2023.2189405","ISSN":"1085-4681, 1757-8434","issue":"1","journalAbbreviation":"Judicial Review","language":"en","page":"9-16","source":"DOI.org (Crossref)","title":"Automation Bias and the Principles of Judicial Review","volume":"28","author":[{"family":"Kazim","given":"Tatiana"},{"family":"Tomlinson","given":"Joe"}],"issued":{"date-parts":[["2023",1,2]]}}}],"schema":"https://github.com/citation-style-language/schema/raw/master/csl-citation.json"} </w:instrText>
      </w:r>
      <w:r w:rsidR="00E446EF">
        <w:fldChar w:fldCharType="separate"/>
      </w:r>
      <w:r w:rsidR="00E446EF" w:rsidRPr="00E446EF">
        <w:t>(Kazim &amp; Tomlinson, 2023)</w:t>
      </w:r>
      <w:r w:rsidR="00E446EF">
        <w:fldChar w:fldCharType="end"/>
      </w:r>
      <w:r>
        <w:t>.</w:t>
      </w:r>
    </w:p>
    <w:p w14:paraId="51A1F572" w14:textId="33F395EC" w:rsidR="006F243D" w:rsidRDefault="00000000" w:rsidP="00573544">
      <w:r w:rsidRPr="00F5687C">
        <w:rPr>
          <w:b/>
          <w:bCs/>
        </w:rPr>
        <w:t>Tier III (Human-AI Collaborative)</w:t>
      </w:r>
      <w:r>
        <w:t xml:space="preserve"> represents genuinely joint deliberation, in which roles shift dynamically based on task requirements, uncertainty levels, or domain. </w:t>
      </w:r>
      <w:r w:rsidR="005C7B44">
        <w:fldChar w:fldCharType="begin"/>
      </w:r>
      <w:r w:rsidR="00BF461A">
        <w:instrText xml:space="preserve"> ADDIN ZOTERO_ITEM CSL_CITATION {"citationID":"IGLvy265","properties":{"formattedCitation":"(Hemmer et al., 2021)","plainCitation":"(Hemmer et al., 2021)","dontUpdate":true,"noteIndex":0},"citationItems":[{"id":2963,"uris":["http://zotero.org/users/6567242/items/9XNJ45QL"],"itemData":{"id":2963,"type":"paper-conference","container-title":"PACIS 2021 Proceedings","publisher":"AIS eLibrary","publisher-place":"Karlsruhe Institute of Technology","source":"COinS","title":"Human-AI Complementarity in Hybrid Intelligence Systems: A Structured Literature Review","title-short":"Human-AI Complementarity in Hybrid Intelligence Systems","URL":"https://aisel.aisnet.org/pacis2021/78","volume":"78","author":[{"family":"Hemmer","given":"Patrick"},{"family":"Schemmer","given":"Max"},{"family":"Vössing","given":"Michael"},{"family":"Kühl","given":"Niklas"}],"issued":{"date-parts":[["2021",7,12]]}}}],"schema":"https://github.com/citation-style-language/schema/raw/master/csl-citation.json"} </w:instrText>
      </w:r>
      <w:r w:rsidR="005C7B44">
        <w:fldChar w:fldCharType="separate"/>
      </w:r>
      <w:r w:rsidR="005C7B44" w:rsidRPr="005C7B44">
        <w:t xml:space="preserve">Hemmer et al. </w:t>
      </w:r>
      <w:r w:rsidR="005C7B44">
        <w:t>(</w:t>
      </w:r>
      <w:r w:rsidR="005C7B44" w:rsidRPr="005C7B44">
        <w:t>2021)</w:t>
      </w:r>
      <w:r w:rsidR="005C7B44">
        <w:fldChar w:fldCharType="end"/>
      </w:r>
      <w:r>
        <w:t xml:space="preserve"> find that Tier III configurations produce the highest complementarity benefits</w:t>
      </w:r>
      <w:r w:rsidR="001B5EBE">
        <w:t xml:space="preserve">, </w:t>
      </w:r>
      <w:r>
        <w:t>outcomes exceeding both unaided human and AI-only baselines</w:t>
      </w:r>
      <w:r w:rsidR="008B3473">
        <w:t xml:space="preserve">, </w:t>
      </w:r>
      <w:r>
        <w:t>when AI competency boundaries are made visible to human collaborators. Surgical robotics, adaptive tutoring systems, and collaborative engineering design tools exemplify this tier.</w:t>
      </w:r>
    </w:p>
    <w:p w14:paraId="11357EAA" w14:textId="3EB0AE02" w:rsidR="006F243D" w:rsidRDefault="00000000" w:rsidP="00EF4C83">
      <w:r w:rsidRPr="00F5687C">
        <w:rPr>
          <w:b/>
          <w:bCs/>
        </w:rPr>
        <w:t>Tier IV (Human-on-the-Loop)</w:t>
      </w:r>
      <w:r>
        <w:t xml:space="preserve"> encompasses configurations in which AI </w:t>
      </w:r>
      <w:r w:rsidR="006D2CD0">
        <w:t>operates autonomously, with human overseers monitoring for anomalies and correcting post-hoc</w:t>
      </w:r>
      <w:r>
        <w:t>. Algorithmic trading, power grid management, and advanced driver-assistance systems (ADAS) in highway conditions represent Tier IV deployments. The principal risk at this tier is vigilance decrement</w:t>
      </w:r>
      <w:r w:rsidR="00C92455">
        <w:t>;</w:t>
      </w:r>
      <w:r>
        <w:t xml:space="preserve"> the well-documented tendency for human monitors to miss critical events when the base rate of AI errors is low </w:t>
      </w:r>
      <w:r w:rsidR="008001C2">
        <w:fldChar w:fldCharType="begin"/>
      </w:r>
      <w:r w:rsidR="008001C2">
        <w:instrText xml:space="preserve"> ADDIN ZOTERO_ITEM CSL_CITATION {"citationID":"ToQpX2kt","properties":{"formattedCitation":"(Endsley, 2023)","plainCitation":"(Endsley, 2023)","noteIndex":0},"citationItems":[{"id":3015,"uris":["http://zotero.org/users/6567242/items/KT62PGZ3"],"itemData":{"id":3015,"type":"article-journal","container-title":"Human Factors","DOI":"10.1177/00187208211059252","issue":"1","language":"su","page":"99–111","title":"Situation awareness in future autonomous systems","volume":"65","author":[{"family":"Endsley","given":"M.R."}],"issued":{"date-parts":[["2023"]]}}}],"schema":"https://github.com/citation-style-language/schema/raw/master/csl-citation.json"} </w:instrText>
      </w:r>
      <w:r w:rsidR="008001C2">
        <w:fldChar w:fldCharType="separate"/>
      </w:r>
      <w:r w:rsidR="008001C2" w:rsidRPr="008001C2">
        <w:t>(Endsley, 2023)</w:t>
      </w:r>
      <w:r w:rsidR="008001C2">
        <w:fldChar w:fldCharType="end"/>
      </w:r>
      <w:r>
        <w:t>.</w:t>
      </w:r>
    </w:p>
    <w:p w14:paraId="277401C7" w14:textId="0B43D538" w:rsidR="006F243D" w:rsidRPr="00E4074A" w:rsidRDefault="00000000" w:rsidP="00DA00FB">
      <w:pPr>
        <w:pStyle w:val="Heading2"/>
      </w:pPr>
      <w:bookmarkStart w:id="15" w:name="_Toc225135048"/>
      <w:r w:rsidRPr="00E4074A">
        <w:t>Oversight Mechanisms</w:t>
      </w:r>
      <w:bookmarkEnd w:id="15"/>
    </w:p>
    <w:p w14:paraId="2875017E" w14:textId="77777777" w:rsidR="006F243D" w:rsidRDefault="00000000" w:rsidP="001C04EE">
      <w:r>
        <w:t>Beyond the structural tier in which a system operates, oversight quality is determined by the specific mechanisms employed to facilitate meaningful human review. Our analysis identifies five classes of mechanisms that recur across sectors and framework types: explainability mechanisms, intervention mechanisms, audit and accountability mechanisms, training and onboarding mechanisms, and regulatory and governance mechanisms.</w:t>
      </w:r>
    </w:p>
    <w:p w14:paraId="6E244AE4" w14:textId="77777777" w:rsidR="009406CC" w:rsidRPr="009406CC" w:rsidRDefault="009406CC" w:rsidP="009406CC">
      <w:pPr>
        <w:pStyle w:val="ListParagraph"/>
        <w:numPr>
          <w:ilvl w:val="0"/>
          <w:numId w:val="5"/>
        </w:numPr>
        <w:spacing w:before="120" w:after="120"/>
        <w:outlineLvl w:val="1"/>
        <w:rPr>
          <w:rFonts w:eastAsia="Arial" w:cs="Arial"/>
          <w:b/>
          <w:bCs/>
          <w:vanish/>
        </w:rPr>
      </w:pPr>
      <w:bookmarkStart w:id="16" w:name="_Toc225135049"/>
    </w:p>
    <w:p w14:paraId="2BC6FC37" w14:textId="79CAA4E1" w:rsidR="006F243D" w:rsidRPr="00E4074A" w:rsidRDefault="00000000" w:rsidP="00DA00FB">
      <w:pPr>
        <w:pStyle w:val="Heading3"/>
      </w:pPr>
      <w:r w:rsidRPr="00E4074A">
        <w:t>Explainability Mechanisms</w:t>
      </w:r>
      <w:bookmarkEnd w:id="16"/>
    </w:p>
    <w:p w14:paraId="0BC6A1BA" w14:textId="70C889AF" w:rsidR="006F243D" w:rsidRDefault="00000000" w:rsidP="001C04EE">
      <w:r>
        <w:t xml:space="preserve">Explainable AI (XAI) constitutes the most extensively studied class of oversight mechanisms in </w:t>
      </w:r>
      <w:r w:rsidR="00273304">
        <w:t>this study’s</w:t>
      </w:r>
      <w:r>
        <w:t xml:space="preserve"> corpus. </w:t>
      </w:r>
      <w:r w:rsidR="0039057A">
        <w:fldChar w:fldCharType="begin"/>
      </w:r>
      <w:r w:rsidR="001051EA">
        <w:instrText xml:space="preserve"> ADDIN ZOTERO_ITEM CSL_CITATION {"citationID":"r0QE5h16","properties":{"formattedCitation":"(Arrieta et al., 2020)","plainCitation":"(Arrieta et al., 2020)","dontUpdate":true,"noteIndex":0},"citationItems":[{"id":2941,"uris":["http://zotero.org/users/6567242/items/LUR8LQA5"],"itemData":{"id":2941,"type":"article-journal","container-title":"Information Fusion","DOI":"10.1016/j.inffus.2019.12.012","ISSN":"15662535","journalAbbreviation":"Information Fusion","language":"en","page":"82-115","source":"DOI.org (Crossref)","title":"Explainable Artificial Intelligence (XAI): Concepts, taxonomies, opportunities and challenges toward responsible AI","title-short":"Explainable Artificial Intelligence (XAI)","volume":"58","author":[{"family":"Arrieta","given":"Alejandro Barredo"},{"family":"Díaz-Rodríguez","given":"Natalia"},{"family":"Del Ser","given":"Javier"},{"family":"Bennetot","given":"Adrien"},{"family":"Tabik","given":"Siham"},{"family":"Barbado","given":"Alberto"},{"family":"Garcia","given":"Salvador"},{"family":"Gil-Lopez","given":"Sergio"},{"family":"Molina","given":"Daniel"},{"family":"Benjamins","given":"Richard"},{"family":"Chatila","given":"Raja"},{"family":"Herrera","given":"Francisco"}],"issued":{"date-parts":[["2020",6]]}}}],"schema":"https://github.com/citation-style-language/schema/raw/master/csl-citation.json"} </w:instrText>
      </w:r>
      <w:r w:rsidR="0039057A">
        <w:fldChar w:fldCharType="separate"/>
      </w:r>
      <w:r w:rsidR="0039057A" w:rsidRPr="0039057A">
        <w:t>Arrieta et al.</w:t>
      </w:r>
      <w:r w:rsidR="00D46262">
        <w:t>'s</w:t>
      </w:r>
      <w:r w:rsidR="0039057A" w:rsidRPr="0039057A">
        <w:t xml:space="preserve"> </w:t>
      </w:r>
      <w:r w:rsidR="0039057A">
        <w:t>(</w:t>
      </w:r>
      <w:r w:rsidR="0039057A" w:rsidRPr="0039057A">
        <w:t>2020)</w:t>
      </w:r>
      <w:r w:rsidR="0039057A">
        <w:fldChar w:fldCharType="end"/>
      </w:r>
      <w:r>
        <w:t xml:space="preserve"> comprehensive taxonomy identifies 29 distinct XAI methods, spanning model-agnostic post-hoc explanations (LIME, SHAP), attention mechanisms, concept-based explanations, and counterfactual explanations. A critical finding from our synthesis, however, is that the relationship between explanation quality and oversight effectiveness is neither linear nor simple.</w:t>
      </w:r>
    </w:p>
    <w:p w14:paraId="5E370495" w14:textId="6A68263A" w:rsidR="006F243D" w:rsidRDefault="00956D8B" w:rsidP="001C04EE">
      <w:r>
        <w:fldChar w:fldCharType="begin"/>
      </w:r>
      <w:r w:rsidR="001051EA">
        <w:instrText xml:space="preserve"> ADDIN ZOTERO_ITEM CSL_CITATION {"citationID":"FjpE50pK","properties":{"formattedCitation":"(Ehsan et al., 2021)","plainCitation":"(Ehsan et al., 2021)","dontUpdate":true,"noteIndex":0},"citationItems":[{"id":2999,"uris":["http://zotero.org/users/6567242/items/JWLKN65M"],"itemData":{"id":2999,"type":"paper-conference","container-title":"Proceedings of the 2021 CHI Conference on Human Factors in Computing Systems","DOI":"10.1145/3411764.3445188","event-title":"CHI '21: CHI Conference on Human Factors in Computing Systems","ISBN":"978-1-4503-8096-6","language":"en","page":"1-19","publisher":"ACM","publisher-place":"Yokohama Japan","source":"DOI.org (Crossref)","title":"Expanding Explainability: Towards Social Transparency in AI systems","title-short":"Expanding Explainability","URL":"https://dl.acm.org/doi/10.1145/3411764.3445188","author":[{"family":"Ehsan","given":"Upol"},{"family":"Liao","given":"Q. Vera"},{"family":"Muller","given":"Michael"},{"family":"Riedl","given":"Mark O."},{"family":"Weisz","given":"Justin D."}],"accessed":{"date-parts":[["2026",3,23]]},"issued":{"date-parts":[["2021",5,6]]}}}],"schema":"https://github.com/citation-style-language/schema/raw/master/csl-citation.json"} </w:instrText>
      </w:r>
      <w:r>
        <w:fldChar w:fldCharType="separate"/>
      </w:r>
      <w:r w:rsidRPr="00956D8B">
        <w:t xml:space="preserve">Ehsan et al. </w:t>
      </w:r>
      <w:r>
        <w:t>(</w:t>
      </w:r>
      <w:r w:rsidRPr="00956D8B">
        <w:t>2021)</w:t>
      </w:r>
      <w:r>
        <w:fldChar w:fldCharType="end"/>
      </w:r>
      <w:r>
        <w:t xml:space="preserve"> </w:t>
      </w:r>
      <w:r w:rsidR="00073CA7">
        <w:t>and</w:t>
      </w:r>
      <w:r w:rsidR="00441613">
        <w:t xml:space="preserve"> </w:t>
      </w:r>
      <w:r w:rsidR="00073CA7">
        <w:fldChar w:fldCharType="begin"/>
      </w:r>
      <w:r w:rsidR="001051EA">
        <w:instrText xml:space="preserve"> ADDIN ZOTERO_ITEM CSL_CITATION {"citationID":"YRraWgQV","properties":{"formattedCitation":"(Wang et al., 2024)","plainCitation":"(Wang et al., 2024)","dontUpdate":true,"noteIndex":0},"citationItems":[{"id":2275,"uris":["http://zotero.org/users/6567242/items/3F67TU5K"],"itemData":{"id":2275,"type":"article-journal","abstract":"Artificial intelligence (AI) in education (AIED) has evolved into a substantial body of literature with diverse perspectives. In this review paper, we seek insights into three critical questions: (1) What are the primary categories of AI applications explored in the education field? (2) What are the predominant research topics and their key findings? (3) What is the status of major research design elements, including guiding theories, methodologies, and research contexts? A bibliometric analysis of 2,223 research articles followed by a content analysis of selected 125 papers reveals a comprehensive conceptual structure of the existing literature. The extant AIED research spans a wide spectrum of applications, encompassing those for adaptive learning and personalized tutoring, intelligent assessment and management, profiling and prediction, and emerging products. Research topics delve into both the technical design of education systems and the examination of the adoption, impacts, and challenges associated with AIED. Furthermore, this review highlights the diverse range of theories applied in the AIED literature, the multidisciplinary nature of publication venues, and underexplored research areas. In sum, this research offers valuable insights for interested scholars to comprehend the current state of AIED research and identify future research opportunities in this dynamic field.","container-title":"Expert Systems with Applications","DOI":"10.1016/j.eswa.2024.124167","ISSN":"0957-4174","journalAbbreviation":"Expert Systems with Applications","page":"124167","source":"ScienceDirect","title":"Artificial intelligence in education: A systematic literature review","title-short":"Artificial intelligence in education","volume":"252","author":[{"family":"Wang","given":"Shan"},{"family":"Wang","given":"Fang"},{"family":"Zhu","given":"Zhen"},{"family":"Wang","given":"Jingxuan"},{"family":"Tran","given":"Tam"},{"family":"Du","given":"Zhao"}],"issued":{"date-parts":[["2024",10,15]]}}}],"schema":"https://github.com/citation-style-language/schema/raw/master/csl-citation.json"} </w:instrText>
      </w:r>
      <w:r w:rsidR="00073CA7">
        <w:fldChar w:fldCharType="separate"/>
      </w:r>
      <w:r w:rsidR="00073CA7" w:rsidRPr="00073CA7">
        <w:t xml:space="preserve">Wang et al. </w:t>
      </w:r>
      <w:r w:rsidR="00073CA7">
        <w:t>(</w:t>
      </w:r>
      <w:r w:rsidR="00073CA7" w:rsidRPr="00073CA7">
        <w:t>2024)</w:t>
      </w:r>
      <w:r w:rsidR="00073CA7">
        <w:fldChar w:fldCharType="end"/>
      </w:r>
      <w:r w:rsidR="00441613">
        <w:t xml:space="preserve"> found that global explanations </w:t>
      </w:r>
      <w:r w:rsidR="00F07702">
        <w:t>that</w:t>
      </w:r>
      <w:r w:rsidR="00441613">
        <w:t xml:space="preserve"> </w:t>
      </w:r>
      <w:r w:rsidR="002D7919">
        <w:t>describe</w:t>
      </w:r>
      <w:r w:rsidR="00441613">
        <w:t xml:space="preserve"> the AI's overall decision logic reduced automation bias more effectively than local explanations </w:t>
      </w:r>
      <w:r w:rsidR="00F07702">
        <w:t>that</w:t>
      </w:r>
      <w:r w:rsidR="00441613">
        <w:t xml:space="preserve"> describ</w:t>
      </w:r>
      <w:r w:rsidR="00F07702">
        <w:t>e</w:t>
      </w:r>
      <w:r w:rsidR="00441613">
        <w:t xml:space="preserve"> individual predictions, because global explanations enabled operators to form accurate mental models of the system's failure modes rather than merely its current output. </w:t>
      </w:r>
      <w:r w:rsidR="002329BE">
        <w:fldChar w:fldCharType="begin"/>
      </w:r>
      <w:r w:rsidR="001051EA">
        <w:instrText xml:space="preserve"> ADDIN ZOTERO_ITEM CSL_CITATION {"citationID":"amjhCNBW","properties":{"formattedCitation":"(Bansal et al., 2021)","plainCitation":"(Bansal et al., 2021)","dontUpdate":true,"noteIndex":0},"citationItems":[{"id":2943,"uris":["http://zotero.org/users/6567242/items/6G5AA3SI"],"itemData":{"id":2943,"type":"paper-conference","container-title":"Proceedings of the 2021 CHI Conference on Human Factors in Computing Systems","DOI":"10.1145/3411764.3445717","event-title":"CHI '21: CHI Conference on Human Factors in Computing Systems","ISBN":"978-1-4503-8096-6","language":"en","page":"1-16","publisher":"ACM","publisher-place":"Yokohama Japan","source":"DOI.org (Crossref)","title":"Does the Whole Exceed its Parts? The Effect of AI Explanations on Complementary Team Performance","title-short":"Does the Whole Exceed its Parts?","URL":"https://dl.acm.org/doi/10.1145/3411764.3445717","author":[{"family":"Bansal","given":"Gagan"},{"family":"Wu","given":"Tongshuang"},{"family":"Zhou","given":"Joyce"},{"family":"Fok","given":"Raymond"},{"family":"Nushi","given":"Besmira"},{"family":"Kamar","given":"Ece"},{"family":"Ribeiro","given":"Marco Tulio"},{"family":"Weld","given":"Daniel"}],"accessed":{"date-parts":[["2026",3,23]]},"issued":{"date-parts":[["2021",5,6]]}}}],"schema":"https://github.com/citation-style-language/schema/raw/master/csl-citation.json"} </w:instrText>
      </w:r>
      <w:r w:rsidR="002329BE">
        <w:fldChar w:fldCharType="separate"/>
      </w:r>
      <w:r w:rsidR="002329BE" w:rsidRPr="002329BE">
        <w:t xml:space="preserve">Bansal et al. </w:t>
      </w:r>
      <w:r w:rsidR="002329BE">
        <w:t>(</w:t>
      </w:r>
      <w:r w:rsidR="002329BE" w:rsidRPr="002329BE">
        <w:t>2021)</w:t>
      </w:r>
      <w:r w:rsidR="002329BE">
        <w:fldChar w:fldCharType="end"/>
      </w:r>
      <w:r w:rsidR="00441613">
        <w:t xml:space="preserve"> demonstrated the converse risk mislead</w:t>
      </w:r>
      <w:r w:rsidR="006069AB">
        <w:t>ing</w:t>
      </w:r>
      <w:r w:rsidR="00441613">
        <w:t xml:space="preserve"> explanations</w:t>
      </w:r>
      <w:r w:rsidR="002D7919">
        <w:t>;</w:t>
      </w:r>
      <w:r w:rsidR="00C8308C">
        <w:t xml:space="preserve"> </w:t>
      </w:r>
      <w:r w:rsidR="00441613">
        <w:t>those that do not faithfully represent the AI's actual reasoning</w:t>
      </w:r>
      <w:r w:rsidR="00DC3C7C">
        <w:t xml:space="preserve"> </w:t>
      </w:r>
      <w:r w:rsidR="00441613">
        <w:t>degraded team performance below baseline, sometimes below unaided human performance, because operators updated their decision strategies based on false information about AI competence.</w:t>
      </w:r>
    </w:p>
    <w:p w14:paraId="7FB7A1D1" w14:textId="3654CD86" w:rsidR="006F243D" w:rsidRDefault="00F21D8E" w:rsidP="001C04EE">
      <w:r>
        <w:fldChar w:fldCharType="begin"/>
      </w:r>
      <w:r w:rsidR="001051EA">
        <w:instrText xml:space="preserve"> ADDIN ZOTERO_ITEM CSL_CITATION {"citationID":"tG3bTmBw","properties":{"formattedCitation":"(Cabrera et al., 2023)","plainCitation":"(Cabrera et al., 2023)","dontUpdate":true,"noteIndex":0},"citationItems":[{"id":2967,"uris":["http://zotero.org/users/6567242/items/LCPJWD44"],"itemData":{"id":2967,"type":"article-journal","abstract":"People work with AI systems to improve their decision making, but often under- or over-rely on AI predictions and perform worse than they would have unassisted. To help people appropriately rely on AI aids, we propose showing them behavior descriptions, details of how AI systems perform on subgroups of instances. We tested the efficacy of behavior descriptions through user studies with 225 participants in three distinct domains: fake review detection, satellite image classification, and bird classification. We found that behavior descriptions can increase human-AI accuracy through two mechanisms: helping people identify AI failures and increasing people's reliance on the AI when it is more accurate. These findings highlight the importance of people's mental models in human-AI collaboration and show that informing people of high-level AI behaviors can significantly improve AI-assisted decision making.","container-title":"Proceedings of the ACM on Human-Computer Interaction","DOI":"10.1145/3579612","ISSN":"2573-0142","issue":"CSCW1","journalAbbreviation":"Proc. ACM Hum.-Comput. Interact.","language":"en","page":"1-21","source":"DOI.org (Crossref)","title":"Improving Human-AI Collaboration With Descriptions of AI Behavior","volume":"7","author":[{"family":"Cabrera","given":"Ángel Alexander"},{"family":"Perer","given":"Adam"},{"family":"Hong","given":"Jason I."}],"issued":{"date-parts":[["2023",4,14]]}}}],"schema":"https://github.com/citation-style-language/schema/raw/master/csl-citation.json"} </w:instrText>
      </w:r>
      <w:r>
        <w:fldChar w:fldCharType="separate"/>
      </w:r>
      <w:r w:rsidRPr="00F21D8E">
        <w:t xml:space="preserve">Cabrera et al. </w:t>
      </w:r>
      <w:r>
        <w:t>(</w:t>
      </w:r>
      <w:r w:rsidRPr="00F21D8E">
        <w:t>2023)</w:t>
      </w:r>
      <w:r>
        <w:fldChar w:fldCharType="end"/>
      </w:r>
      <w:r w:rsidR="00AB28DA">
        <w:t xml:space="preserve"> found that </w:t>
      </w:r>
      <w:r w:rsidR="00AB28DA" w:rsidRPr="00E50D0C">
        <w:rPr>
          <w:lang w:val="en-GB"/>
        </w:rPr>
        <w:t>behavioural</w:t>
      </w:r>
      <w:r w:rsidR="00AB28DA">
        <w:t xml:space="preserve"> descriptions of AI</w:t>
      </w:r>
      <w:r w:rsidR="00645FFE">
        <w:t>, that is</w:t>
      </w:r>
      <w:r w:rsidR="009E7029">
        <w:t>,</w:t>
      </w:r>
      <w:r w:rsidR="00645FFE">
        <w:t xml:space="preserve"> </w:t>
      </w:r>
      <w:r w:rsidR="00AB28DA">
        <w:t>natural language summaries of what an AI system does and does not do well</w:t>
      </w:r>
      <w:r w:rsidR="00645FFE">
        <w:t xml:space="preserve">, </w:t>
      </w:r>
      <w:r w:rsidR="00AB28DA">
        <w:t xml:space="preserve">outperformed numerical accuracy statistics for trust calibration, particularly among domain experts without strong statistical training. This finding has significant practical implications for clinical AI, where physician trust in decision support systems has historically been constrained by the opacity of predictive models </w:t>
      </w:r>
      <w:r w:rsidR="001D463E">
        <w:fldChar w:fldCharType="begin"/>
      </w:r>
      <w:r w:rsidR="001D463E">
        <w:instrText xml:space="preserve"> ADDIN ZOTERO_ITEM CSL_CITATION {"citationID":"BiWmvriI","properties":{"formattedCitation":"(Cai et al., 2021; Shortliffe &amp; Sep\\uc0\\u250{}lveda, 2022)","plainCitation":"(Cai et al., 2021; Shortliffe &amp; Sepúlveda, 2022)","noteIndex":0},"citationItems":[{"id":3031,"uris":["http://zotero.org/users/6567242/items/FQ44H5YB"],"itemData":{"id":3031,"type":"article-journal","abstract":"Although rapid advances in machine learning have made it increasingly applicable to expert decision-making, the delivery of accurate algorithmic predictions alone is insufficient for effective human-AI collaboration. In this work, we investigate the key types of information medical experts desire when they are first introduced to a diagnostic AI assistant. In a qualitative lab study, we interviewed 21 pathologists before, during, and after being presented deep neural network (DNN) predictions for prostate cancer diagnosis, to learn the types of information that they desired about the AI assistant. Our findings reveal that, far beyond understanding the local, case-specific reasoning behind any model decision, clinicians desired upfront information about basic, global properties of the model, such as its known strengths and limitations, its subjective point-of-view, and its overall design objective--what it's designed to be optimized for. Participants compared these information needs to the collaborative mental models they develop of their medical colleagues when seeking a second opinion: the medical perspectives and standards that those colleagues embody, and the compatibility of those perspectives with their own diagnostic patterns. These findings broaden and enrich discussions surrounding AI transparency for collaborative decision-making, providing a richer understanding of what experts find important in their introduction to AI assistants before integrating them into routine practice.","container-title":"ACM Computing Surveys","DOI":"10.1145/1122445.1122456","ISSN":"2573-0142","issue":"CHI 2021 Japan","journalAbbreviation":"ACM Comput. Surv.","language":"en","page":"1-11","publisher":"Proceedings of the ACM SIGCHI Conference on Human Factors in Computing Systems, ACM","publisher-place":"New York, USA","source":"DOI.org (Crossref)","title":"Onboarding Materials as Cross-functional Boundary Objects for Developing AI Assistant","title-short":"Hello AI","author":[{"family":"Cai","given":"Carrie J."},{"family":"Winter","given":"Samantha"},{"family":"Steiner","given":"David"},{"family":"Wilcox","given":"Lauren"},{"family":"Terry","given":"Michael"}],"issued":{"date-parts":[["2021"]]}}},{"id":2993,"uris":["http://zotero.org/users/6567242/items/58QLWM42"],"itemData":{"id":2993,"type":"article-journal","container-title":"JAMA","DOI":"10.1001/jama.2018.17163","ISSN":"0098-7484","issue":"21","journalAbbreviation":"JAMA","language":"en","page":"2199","source":"DOI.org (Crossref)","title":"Clinical Decision Support in the Era of Artificial Intelligence","volume":"320","author":[{"family":"Shortliffe","given":"Edward H."},{"family":"Sepúlveda","given":"Martin J."}],"issued":{"date-parts":[["2022",12,4]]}}}],"schema":"https://github.com/citation-style-language/schema/raw/master/csl-citation.json"} </w:instrText>
      </w:r>
      <w:r w:rsidR="001D463E">
        <w:fldChar w:fldCharType="separate"/>
      </w:r>
      <w:r w:rsidR="001D463E" w:rsidRPr="001D463E">
        <w:t>(Cai et al., 2021; Shortliffe &amp; Sepúlveda, 2022)</w:t>
      </w:r>
      <w:r w:rsidR="001D463E">
        <w:fldChar w:fldCharType="end"/>
      </w:r>
      <w:r w:rsidR="00AB28DA">
        <w:t>.</w:t>
      </w:r>
    </w:p>
    <w:p w14:paraId="42C7B906" w14:textId="600AE5D7" w:rsidR="006F243D" w:rsidRDefault="00C42B3A" w:rsidP="001C04EE">
      <w:r>
        <w:t xml:space="preserve">The tendency for more interpretable models to sacrifice predictive accuracy, which is described as the explainability-performance tradeoff, is a persistent challenge in the literature </w:t>
      </w:r>
      <w:r w:rsidR="00FC27D5">
        <w:fldChar w:fldCharType="begin"/>
      </w:r>
      <w:r w:rsidR="00FC27D5">
        <w:instrText xml:space="preserve"> ADDIN ZOTERO_ITEM CSL_CITATION {"citationID":"qiRDTYny","properties":{"formattedCitation":"(Arrieta et al., 2020; Shneiderman, 2020)","plainCitation":"(Arrieta et al., 2020; Shneiderman, 2020)","noteIndex":0},"citationItems":[{"id":2941,"uris":["http://zotero.org/users/6567242/items/LUR8LQA5"],"itemData":{"id":2941,"type":"article-journal","container-title":"Information Fusion","DOI":"10.1016/j.inffus.2019.12.012","ISSN":"15662535","journalAbbreviation":"Information Fusion","language":"en","page":"82-115","source":"DOI.org (Crossref)","title":"Explainable Artificial Intelligence (XAI): Concepts, taxonomies, opportunities and challenges toward responsible AI","title-short":"Explainable Artificial Intelligence (XAI)","volume":"58","author":[{"family":"Arrieta","given":"Alejandro Barredo"},{"family":"Díaz-Rodríguez","given":"Natalia"},{"family":"Del Ser","given":"Javier"},{"family":"Bennetot","given":"Adrien"},{"family":"Tabik","given":"Siham"},{"family":"Barbado","given":"Alberto"},{"family":"Garcia","given":"Salvador"},{"family":"Gil-Lopez","given":"Sergio"},{"family":"Molina","given":"Daniel"},{"family":"Benjamins","given":"Richard"},{"family":"Chatila","given":"Raja"},{"family":"Herrera","given":"Francisco"}],"issued":{"date-parts":[["2020",6]]}}},{"id":2990,"uris":["http://zotero.org/users/6567242/items/HKIQT689"],"itemData":{"id":2990,"type":"article-journal","container-title":"International Journal of Human–Computer Interaction","DOI":"10.1080/10447318.2020.1741118","ISSN":"1044-7318, 1532-7590","issue":"6","journalAbbreviation":"International Journal of Human–Computer Interaction","language":"en","page":"495-504","source":"DOI.org (Crossref)","title":"Human-Centered Artificial Intelligence: Reliable, Safe &amp; Trustworthy","title-short":"Human-Centered Artificial Intelligence","volume":"36","author":[{"family":"Shneiderman","given":"Ben"}],"issued":{"date-parts":[["2020",4,2]]}}}],"schema":"https://github.com/citation-style-language/schema/raw/master/csl-citation.json"} </w:instrText>
      </w:r>
      <w:r w:rsidR="00FC27D5">
        <w:fldChar w:fldCharType="separate"/>
      </w:r>
      <w:r w:rsidR="00FC27D5" w:rsidRPr="00FC27D5">
        <w:t>(Arrieta et al., 2020; Shneiderman, 2020)</w:t>
      </w:r>
      <w:r w:rsidR="00FC27D5">
        <w:fldChar w:fldCharType="end"/>
      </w:r>
      <w:r>
        <w:t xml:space="preserve">. Recent work on inherently interpretable neural architectures </w:t>
      </w:r>
      <w:r w:rsidR="00086609">
        <w:fldChar w:fldCharType="begin"/>
      </w:r>
      <w:r w:rsidR="00086609">
        <w:instrText xml:space="preserve"> ADDIN ZOTERO_ITEM CSL_CITATION {"citationID":"ivAXR5ON","properties":{"formattedCitation":"(Ouyang et al., 2022; Rudin, 2019)","plainCitation":"(Ouyang et al., 2022; Rudin, 2019)","noteIndex":0},"citationItems":[{"id":2985,"uris":["http://zotero.org/users/6567242/items/MW5NWR59"],"itemData":{"id":2985,"type":"article","abstract":"Making language models bigger does not inherently make them better at following a user's intent. For example, large language models can generate outputs that are untruthful, toxic, or simply not helpful to the user. In other words, these models are not aligned with their users. In this paper, we show an avenue for aligning language models with user intent on a wide range of tasks by fine-tuning with human feedback. Starting with a set of labeler-written prompts and prompts submitted through the OpenAI API, we collect a dataset of labeler demonstrations of the desired model behavior, which we use to fine-tune GPT-3 using supervised learning. We then collect a dataset of rankings of model outputs, which we use to further fine-tune this supervised model using reinforcement learning from human feedback. We call the resulting models InstructGPT. In human evaluations on our prompt distribution, outputs from the 1.3B parameter InstructGPT model are preferred to outputs from the 175B GPT-3, despite having 100x fewer parameters. Moreover, InstructGPT models show improvements in truthfulness and reductions in toxic output generation while having minimal performance regressions on public NLP datasets. Even though InstructGPT still makes simple mistakes, our results show that fine-tuning with human feedback is a promising direction for aligning language models with human intent.","DOI":"10.48550/ARXIV.2203.02155","license":"arXiv.org perpetual, non-exclusive license","note":"version: 1","publisher":"arXiv","source":"DOI.org (Datacite)","title":"Training language models to follow instructions with human feedback","URL":"https://arxiv.org/abs/2203.02155","author":[{"family":"Ouyang","given":"Long"},{"family":"Wu","given":"Jeff"},{"family":"Jiang","given":"Xu"},{"family":"Almeida","given":"Diogo"},{"family":"Wainwright","given":"Carroll L."},{"family":"Mishkin","given":"Pamela"},{"family":"Zhang","given":"Chong"},{"family":"Agarwal","given":"Sandhini"},{"family":"Slama","given":"Katarina"},{"family":"Ray","given":"Alex"},{"family":"Schulman","given":"John"},{"family":"Hilton","given":"Jacob"},{"family":"Kelton","given":"Fraser"},{"family":"Miller","given":"Luke"},{"family":"Simens","given":"Maddie"},{"family":"Askell","given":"Amanda"},{"family":"Welinder","given":"Peter"},{"family":"Christiano","given":"Paul"},{"family":"Leike","given":"Jan"},{"family":"Lowe","given":"Ryan"}],"accessed":{"date-parts":[["2026",3,23]]},"issued":{"date-parts":[["2022"]]}}},{"id":3046,"uris":["http://zotero.org/users/6567242/items/XZEATY6U"],"itemData":{"id":3046,"type":"article-journal","abstract":"Black box machine learning models are currently being used for high-stakes decision making throughout society, causing problems in healthcare, criminal justice and other domains. Some people hope that creating methods for explaining these black box models will alleviate some of the problems, but trying to explain black box models, rather than creating models that are interpretable in the first place, is likely to perpetuate bad practice and can potentially cause great harm to society. The way forward is to design models that are inherently interpretable. This Perspective clarifies the chasm between explaining black boxes and using inherently interpretable models, outlines several key reasons why explainable black boxes should be avoided in high-stakes decisions, identifies challenges to interpretable machine learning, and provides several example applications where interpretable models could potentially replace black box models in criminal justice, healthcare and computer vision.","container-title":"Nature Machine Intelligence","DOI":"10.1038/s42256-019-0048-x","ISSN":"2522-5839","issue":"5","journalAbbreviation":"Nat Mach Intell","language":"en","license":"2019 Springer Nature Limited","page":"206-215","publisher":"Nature Publishing Group","source":"www.nature.com","title":"Stop explaining black box machine learning models for high stakes decisions and use interpretable models instead","volume":"1","author":[{"family":"Rudin","given":"Cynthia"}],"issued":{"date-parts":[["2019",5]]}}}],"schema":"https://github.com/citation-style-language/schema/raw/master/csl-citation.json"} </w:instrText>
      </w:r>
      <w:r w:rsidR="00086609">
        <w:fldChar w:fldCharType="separate"/>
      </w:r>
      <w:r w:rsidR="00086609" w:rsidRPr="00086609">
        <w:t>(Ouyang et al., 2022; Rudin, 2019)</w:t>
      </w:r>
      <w:r w:rsidR="00086609">
        <w:fldChar w:fldCharType="end"/>
      </w:r>
      <w:r>
        <w:t xml:space="preserve"> suggests this tradeoff is not immutable for all problem types, but it remains binding in domains with high-dimensional inputs such as radiology, genomics, and natural language understanding.</w:t>
      </w:r>
    </w:p>
    <w:p w14:paraId="0311FCD1" w14:textId="4AACD113" w:rsidR="006F243D" w:rsidRPr="00E4074A" w:rsidRDefault="00000000" w:rsidP="00DA00FB">
      <w:pPr>
        <w:pStyle w:val="Heading3"/>
      </w:pPr>
      <w:bookmarkStart w:id="17" w:name="_Toc225135050"/>
      <w:r w:rsidRPr="00E4074A">
        <w:t>Intervention Mechanisms</w:t>
      </w:r>
      <w:bookmarkEnd w:id="17"/>
    </w:p>
    <w:p w14:paraId="641C8509" w14:textId="3620B6EB" w:rsidR="006F243D" w:rsidRDefault="00000000" w:rsidP="001C04EE">
      <w:r>
        <w:lastRenderedPageBreak/>
        <w:t xml:space="preserve">Intervention mechanisms are procedures by which human overseers can interrupt, redirect, or override AI actions. Their design is a central concern in the AI safety literature </w:t>
      </w:r>
      <w:r w:rsidR="00296DE0">
        <w:fldChar w:fldCharType="begin"/>
      </w:r>
      <w:r w:rsidR="00296DE0">
        <w:instrText xml:space="preserve"> ADDIN ZOTERO_ITEM CSL_CITATION {"citationID":"Tztn3Tfw","properties":{"formattedCitation":"(Amodei et al., 2016)","plainCitation":"(Amodei et al., 2016)","noteIndex":0},"citationItems":[{"id":2936,"uris":["http://zotero.org/users/6567242/items/SLY6FVAK"],"itemData":{"id":2936,"type":"article","abstract":"Rapid progress in machine learning and artificial intelligence (AI) has brought increasing attention to the potential impacts of AI technologies on society. In this paper we discuss one such potential impact: the problem of accidents in machine learning systems, defined as unintended and harmful behavior that may emerge from poor design of real-world AI systems. We present a list of five practical research problems related to accident risk, categorized according to whether the problem originates from having the wrong objective function (\"avoiding side effects\" and \"avoiding reward hacking\"), an objective function that is too expensive to evaluate frequently (\"scalable supervision\"), or undesirable behavior during the learning process (\"safe exploration\" and \"distributional shift\"). We review previous work in these areas as well as suggesting research directions with a focus on relevance to cutting-edge AI systems. Finally, we consider the high-level question of how to think most productively about the safety of forward-looking applications of AI.","DOI":"10.48550/arXiv.1606.06565","note":"arXiv:1606.06565 [cs]","number":"arXiv:1606.06565","publisher":"arXiv","source":"arXiv.org","title":"Concrete Problems in AI Safety","URL":"http://arxiv.org/abs/1606.06565","author":[{"family":"Amodei","given":"Dario"},{"family":"Olah","given":"Chris"},{"family":"Steinhardt","given":"Jacob"},{"family":"Christiano","given":"Paul"},{"family":"Schulman","given":"John"},{"family":"Mané","given":"Dan"}],"accessed":{"date-parts":[["2026",3,23]]},"issued":{"date-parts":[["2016",7,25]]}}}],"schema":"https://github.com/citation-style-language/schema/raw/master/csl-citation.json"} </w:instrText>
      </w:r>
      <w:r w:rsidR="00296DE0">
        <w:fldChar w:fldCharType="separate"/>
      </w:r>
      <w:r w:rsidR="00296DE0" w:rsidRPr="00296DE0">
        <w:t>(Amodei et al., 2016)</w:t>
      </w:r>
      <w:r w:rsidR="00296DE0">
        <w:fldChar w:fldCharType="end"/>
      </w:r>
      <w:r>
        <w:t xml:space="preserve"> and is now receiving increasing attention from human factors researchers studying agentic AI in production environments.</w:t>
      </w:r>
    </w:p>
    <w:p w14:paraId="3528A36F" w14:textId="73669F81" w:rsidR="006F243D" w:rsidRDefault="005936FE" w:rsidP="001C04EE">
      <w:r>
        <w:fldChar w:fldCharType="begin"/>
      </w:r>
      <w:r w:rsidR="001051EA">
        <w:instrText xml:space="preserve"> ADDIN ZOTERO_ITEM CSL_CITATION {"citationID":"h8Tqh6DH","properties":{"formattedCitation":"(Hadfield-Menell &amp; Hadfield, 2019)","plainCitation":"(Hadfield-Menell &amp; Hadfield, 2019)","dontUpdate":true,"noteIndex":0},"citationItems":[{"id":2960,"uris":["http://zotero.org/users/6567242/items/3M4LCXWE"],"itemData":{"id":2960,"type":"paper-conference","container-title":"Proceedings of the 2019 AAAI/ACM Conference on AI, Ethics, and Society","DOI":"10.1145/3306618.3314250","event-title":"AIES '19: AAAI/ACM Conference on AI, Ethics, and Society","ISBN":"978-1-4503-6324-2","language":"en","page":"417-422","publisher":"ACM","publisher-place":"Honolulu HI USA","source":"DOI.org (Crossref)","title":"Incomplete Contracting and AI Alignment","URL":"https://dl.acm.org/doi/10.1145/3306618.3314250","author":[{"family":"Hadfield-Menell","given":"Dylan"},{"family":"Hadfield","given":"Gillian K."}],"accessed":{"date-parts":[["2026",3,23]]},"issued":{"date-parts":[["2019",1,27]]}}}],"schema":"https://github.com/citation-style-language/schema/raw/master/csl-citation.json"} </w:instrText>
      </w:r>
      <w:r>
        <w:fldChar w:fldCharType="separate"/>
      </w:r>
      <w:r w:rsidRPr="005936FE">
        <w:t xml:space="preserve">Hadfield-Menell </w:t>
      </w:r>
      <w:r w:rsidR="00A4317D">
        <w:t>and</w:t>
      </w:r>
      <w:r w:rsidRPr="005936FE">
        <w:t xml:space="preserve"> Hadfield </w:t>
      </w:r>
      <w:r w:rsidR="00A4317D">
        <w:t>(</w:t>
      </w:r>
      <w:r w:rsidRPr="005936FE">
        <w:t>2019)</w:t>
      </w:r>
      <w:r>
        <w:fldChar w:fldCharType="end"/>
      </w:r>
      <w:r>
        <w:t xml:space="preserve"> frame the design of intervention mechanisms as an incomplete contracting problem: because it is impossible to anticipate all contingencies under which a human might need to override an AI agent, systems must be designed with conservative fallback behaviours and low corrigibility thresholds in high-stakes domains. This insight is </w:t>
      </w:r>
      <w:r w:rsidR="004C4E48">
        <w:t>operationalize</w:t>
      </w:r>
      <w:r>
        <w:t>d in contemporary LLM agent design through techniques such as tool-use sandboxing, action confirmation gates, and reversibility constraints on irreversible actions.</w:t>
      </w:r>
    </w:p>
    <w:p w14:paraId="731298C9" w14:textId="77755671" w:rsidR="006F243D" w:rsidRDefault="00000000" w:rsidP="001C04EE">
      <w:r>
        <w:t xml:space="preserve">A recurring finding in our corpus is that the usability of intervention mechanisms critically mediates their effectiveness. Systems that require cognitively demanding override procedures are frequently bypassed by operators under time pressure, a phenomenon documented in clinical AI </w:t>
      </w:r>
      <w:r w:rsidR="00A47405">
        <w:fldChar w:fldCharType="begin"/>
      </w:r>
      <w:r w:rsidR="00A47405">
        <w:instrText xml:space="preserve"> ADDIN ZOTERO_ITEM CSL_CITATION {"citationID":"OhPp73Jj","properties":{"formattedCitation":"(Cabitza et al., 2021)","plainCitation":"(Cabitza et al., 2021)","noteIndex":0},"citationItems":[{"id":3013,"uris":["http://zotero.org/users/6567242/items/K9N5RXFG"],"itemData":{"id":3013,"type":"article-journal","container-title":"Artificial Intelligence in Medicine","DOI":"10.1016/j.artmed.2021.102121","language":"en","page":"102121","title":"The need to rehumanize clinical AI","volume":"118","author":[{"family":"Cabitza","given":"F."},{"family":"Campagner","given":"A."},{"family":"Ferrari","given":"D."},{"family":"Ciucci","given":"D."}],"issued":{"date-parts":[["2021"]]}}}],"schema":"https://github.com/citation-style-language/schema/raw/master/csl-citation.json"} </w:instrText>
      </w:r>
      <w:r w:rsidR="00A47405">
        <w:fldChar w:fldCharType="separate"/>
      </w:r>
      <w:r w:rsidR="00A47405" w:rsidRPr="00A47405">
        <w:t>(Cabitza et al., 2021)</w:t>
      </w:r>
      <w:r w:rsidR="00A47405">
        <w:fldChar w:fldCharType="end"/>
      </w:r>
      <w:r>
        <w:t xml:space="preserve">, content moderation </w:t>
      </w:r>
      <w:r w:rsidR="005F1970">
        <w:fldChar w:fldCharType="begin"/>
      </w:r>
      <w:r w:rsidR="005F1970">
        <w:instrText xml:space="preserve"> ADDIN ZOTERO_ITEM CSL_CITATION {"citationID":"5EoBpK2E","properties":{"formattedCitation":"(Sloane et al., 2020)","plainCitation":"(Sloane et al., 2020)","noteIndex":0},"citationItems":[{"id":2996,"uris":["http://zotero.org/users/6567242/items/TRZXVCVM"],"itemData":{"id":2996,"type":"article","abstract":"This paper critically examines existing modes of participation in design practice and machine learning. Cautioning against 'participation-washing', it suggests that the ML community must become attuned to possibly exploitative and extractive forms of community involvement and shift away from the prerogatives of context-independent scalability.","DOI":"10.48550/ARXIV.2007.02423","license":"Creative Commons Attribution 4.0 International","note":"version: 3","publisher":"arXiv","source":"DOI.org (Datacite)","title":"Participation is not a Design Fix for Machine Learning","URL":"https://arxiv.org/abs/2007.02423","author":[{"family":"Sloane","given":"Mona"},{"family":"Moss","given":"Emanuel"},{"family":"Awomolo","given":"Olaitan"},{"family":"Forlano","given":"Laura"}],"accessed":{"date-parts":[["2026",3,23]]},"issued":{"date-parts":[["2020"]]}}}],"schema":"https://github.com/citation-style-language/schema/raw/master/csl-citation.json"} </w:instrText>
      </w:r>
      <w:r w:rsidR="005F1970">
        <w:fldChar w:fldCharType="separate"/>
      </w:r>
      <w:r w:rsidR="005F1970" w:rsidRPr="005F1970">
        <w:t>(Sloane et al., 2020)</w:t>
      </w:r>
      <w:r w:rsidR="005F1970">
        <w:fldChar w:fldCharType="end"/>
      </w:r>
      <w:r>
        <w:t xml:space="preserve">, and financial fraud detection. </w:t>
      </w:r>
      <w:r w:rsidR="005F1313">
        <w:fldChar w:fldCharType="begin"/>
      </w:r>
      <w:r w:rsidR="001051EA">
        <w:instrText xml:space="preserve"> ADDIN ZOTERO_ITEM CSL_CITATION {"citationID":"ivBP6tBB","properties":{"formattedCitation":"(Munro, 2021)","plainCitation":"(Munro, 2021)","dontUpdate":true,"noteIndex":0},"citationItems":[{"id":2981,"uris":["http://zotero.org/users/6567242/items/R4TPAIQM"],"itemData":{"id":2981,"type":"book","abstract":"Human-in-the-Loop Machine Learning lays out methods for humans and machines to work together effectively. You’ll find best practices on selecting sample data for human feedback, quality control for human annotations, and designing annotation interfaces. You’ll learn to create training data for labeling, object detection, and semantic segmentation, sequence labeling, and more. The book starts with the basics and progresses to advanced techniques like transfer learning and self-supervision within annotation workflows","edition":"1st edition","ISBN":"978-1-61729-674-1","language":"eng","number-of-pages":"1","publisher":"Manning Publications","publisher-place":"Erscheinungsort nicht ermittelbar","source":"K10plus ISBN","title":"Human-in-the-Loop Machine Learning","author":[{"family":"Munro","given":"Rob"}],"contributor":[{"literal":"Safari, an O’Reilly Media Company"}],"issued":{"date-parts":[["2021"]]}}}],"schema":"https://github.com/citation-style-language/schema/raw/master/csl-citation.json"} </w:instrText>
      </w:r>
      <w:r w:rsidR="005F1313">
        <w:fldChar w:fldCharType="separate"/>
      </w:r>
      <w:r w:rsidR="005F1313" w:rsidRPr="005F1313">
        <w:t xml:space="preserve">Munro </w:t>
      </w:r>
      <w:r w:rsidR="005F1313">
        <w:t>(</w:t>
      </w:r>
      <w:r w:rsidR="005F1313" w:rsidRPr="005F1313">
        <w:t>2021)</w:t>
      </w:r>
      <w:r w:rsidR="005F1313">
        <w:fldChar w:fldCharType="end"/>
      </w:r>
      <w:r>
        <w:t xml:space="preserve"> argues that intervention interfaces should be co-designed with frontline operators, as the gap between a system's theoretical override capacity and its practical use rate represents a major source of oversight failure.</w:t>
      </w:r>
    </w:p>
    <w:p w14:paraId="2B7C5174" w14:textId="24BB4034" w:rsidR="006F243D" w:rsidRPr="00E4074A" w:rsidRDefault="00000000" w:rsidP="00DA00FB">
      <w:pPr>
        <w:pStyle w:val="Heading3"/>
      </w:pPr>
      <w:bookmarkStart w:id="18" w:name="_Toc225135051"/>
      <w:r w:rsidRPr="00E4074A">
        <w:t>Audit and Accountability Mechanisms</w:t>
      </w:r>
      <w:bookmarkEnd w:id="18"/>
    </w:p>
    <w:p w14:paraId="5B4DA17C" w14:textId="04A6D4E9" w:rsidR="006F243D" w:rsidRDefault="00000000" w:rsidP="001C04EE">
      <w:r>
        <w:t xml:space="preserve">Audit mechanisms provide the evidentiary infrastructure for post-hoc accountability: logs, decision trails, explanation records, and human sign-off timestamps. </w:t>
      </w:r>
      <w:r w:rsidR="00D57E58">
        <w:fldChar w:fldCharType="begin"/>
      </w:r>
      <w:r w:rsidR="00724CFF">
        <w:instrText xml:space="preserve"> ADDIN ZOTERO_ITEM CSL_CITATION {"citationID":"DS8rjtV3","properties":{"formattedCitation":"(Wachter et al., 2021)","plainCitation":"(Wachter et al., 2021)","dontUpdate":true,"noteIndex":0},"citationItems":[{"id":2998,"uris":["http://zotero.org/users/6567242/items/47LWZ6RZ"],"itemData":{"id":2998,"type":"article-journal","container-title":"Computer Law &amp; Security Review","DOI":"10.1016/j.clsr.2021.105567","ISSN":"2212473X","journalAbbreviation":"Computer Law &amp; Security Review","language":"en","page":"105567","source":"DOI.org (Crossref)","title":"Why fairness cannot be automated: Bridging the gap between EU non-discrimination law and AI","title-short":"Why fairness cannot be automated","volume":"41","author":[{"family":"Wachter","given":"Sandra"},{"family":"Mittelstadt","given":"Brent"},{"family":"Russell","given":"Chris"}],"issued":{"date-parts":[["2021",7]]}}}],"schema":"https://github.com/citation-style-language/schema/raw/master/csl-citation.json"} </w:instrText>
      </w:r>
      <w:r w:rsidR="00D57E58">
        <w:fldChar w:fldCharType="separate"/>
      </w:r>
      <w:r w:rsidR="00D57E58" w:rsidRPr="00D57E58">
        <w:t xml:space="preserve">Wachter et al. </w:t>
      </w:r>
      <w:r w:rsidR="00D57E58">
        <w:t>(</w:t>
      </w:r>
      <w:r w:rsidR="00D57E58" w:rsidRPr="00D57E58">
        <w:t>2021)</w:t>
      </w:r>
      <w:r w:rsidR="00D57E58">
        <w:fldChar w:fldCharType="end"/>
      </w:r>
      <w:r>
        <w:t xml:space="preserve"> argue that automated audit mechanisms are necessary but insufficient for accountability under EU anti-discrimination law, because meaningful accountability requires that a specific human be identifiable as responsible for a consequential AI decision.</w:t>
      </w:r>
    </w:p>
    <w:p w14:paraId="4C3903CA" w14:textId="0DF9365E" w:rsidR="006F243D" w:rsidRDefault="00000000" w:rsidP="001C04EE">
      <w:r>
        <w:t>The challenge of accountability attribution in multi-agent systems</w:t>
      </w:r>
      <w:r w:rsidR="001E3A12">
        <w:t xml:space="preserve">, </w:t>
      </w:r>
      <w:r>
        <w:t xml:space="preserve">where AI agents delegate subtasks to other agents, or where chains of human-AI interaction span multiple </w:t>
      </w:r>
      <w:r w:rsidR="004C4E48">
        <w:t>organiz</w:t>
      </w:r>
      <w:r>
        <w:t>ations</w:t>
      </w:r>
      <w:r w:rsidR="001E3A12">
        <w:t xml:space="preserve">, </w:t>
      </w:r>
      <w:r>
        <w:t xml:space="preserve">is identified by multiple studies as an emerging frontier problem </w:t>
      </w:r>
      <w:r w:rsidR="00F46F2A">
        <w:fldChar w:fldCharType="begin"/>
      </w:r>
      <w:r w:rsidR="00724CFF">
        <w:instrText xml:space="preserve"> ADDIN ZOTERO_ITEM CSL_CITATION {"citationID":"ZRXR0df5","properties":{"formattedCitation":"(Bommasani et al., 2022; Rahwan, 2021)","plainCitation":"(Bommasani et al., 2022; Rahwan, 2021)","noteIndex":0},"citationItems":[{"id":2596,"uris":["http://zotero.org/users/6567242/items/MEM52G6Y"],"itemData":{"id":2596,"type":"article","abstract":"AI is undergoing a paradigm shift with the rise of models (e.g., BERT, DALL-E, GPT-3) that are trained on broad data at scale and are adaptable to a wide range of downstream tasks. We call these models foundation models to underscore their critically central yet incomplete character. This report provides a thorough account of the opportunities and risks of foundation models, ranging from their capabilities (e.g., language, vision, robotics, reasoning, human interaction) and technical principles(e.g., model architectures, training procedures, data, systems, security, evaluation, theory) to their applications (e.g., law, healthcare, education) and societal impact (e.g., inequity, misuse, economic and environmental impact, legal and ethical considerations). Though foundation models are based on standard deep learning and transfer learning, their scale results in new emergent capabilities,and their effectiveness across so many tasks incentivizes homogenization. Homogenization provides powerful leverage but demands caution, as the defects of the foundation model are inherited by all the adapted models downstream. Despite the impending widespread deployment of foundation models, we currently lack a clear understanding of how they work, when they fail, and what they are even capable of due to their emergent properties. To tackle these questions, we believe much of the critical research on foundation models will require deep interdisciplinary collaboration commensurate with their fundamentally sociotechnical nature.","DOI":"10.48550/arXiv.2108.07258","note":"arXiv:2108.07258 [cs]","number":"arXiv:2108.07258","publisher":"arXiv","source":"arXiv.org","title":"On the Opportunities and Risks of Foundation Models","URL":"http://arxiv.org/abs/2108.07258","author":[{"family":"Bommasani","given":"Rishi"},{"family":"Hudson","given":"Drew A."},{"family":"Adeli","given":"Ehsan"},{"family":"Altman","given":"Russ"},{"family":"Arora","given":"Simran"},{"family":"Arx","given":"Sydney","dropping-particle":"von"},{"family":"Bernstein","given":"Michael S."},{"family":"Bohg","given":"Jeannette"},{"family":"Bosselut","given":"Antoine"},{"family":"Brunskill","given":"Emma"},{"family":"Brynjolfsson","given":"Erik"},{"family":"Buch","given":"Shyamal"},{"family":"Card","given":"Dallas"},{"family":"Castellon","given":"Rodrigo"},{"family":"Chatterji","given":"Niladri"},{"family":"Chen","given":"Annie"},{"family":"Creel","given":"Kathleen"},{"family":"Davis","given":"Jared Quincy"},{"family":"Demszky","given":"Dora"},{"family":"Donahue","given":"Chris"},{"family":"Doumbouya","given":"Moussa"},{"family":"Durmus","given":"Esin"},{"family":"Ermon","given":"Stefano"},{"family":"Etchemendy","given":"John"},{"family":"Ethayarajh","given":"Kawin"},{"family":"Fei-Fei","given":"Li"},{"family":"Finn","given":"Chelsea"},{"family":"Gale","given":"Trevor"},{"family":"Gillespie","given":"Lauren"},{"family":"Goel","given":"Karan"},{"family":"Goodman","given":"Noah"},{"family":"Grossman","given":"Shelby"},{"family":"Guha","given":"Neel"},{"family":"Hashimoto","given":"Tatsunori"},{"family":"Henderson","given":"Peter"},{"family":"Hewitt","given":"John"},{"family":"Ho","given":"Daniel E."},{"family":"Hong","given":"Jenny"},{"family":"Hsu","given":"Kyle"},{"family":"Huang","given":"Jing"},{"family":"Icard","given":"Thomas"},{"family":"Jain","given":"Saahil"},{"family":"Jurafsky","given":"Dan"},{"family":"Kalluri","given":"Pratyusha"},{"family":"Karamcheti","given":"Siddharth"},{"family":"Keeling","given":"Geoff"},{"family":"Khani","given":"Fereshte"},{"family":"Khattab","given":"Omar"},{"family":"Koh","given":"Pang Wei"},{"family":"Krass","given":"Mark"},{"family":"Krishna","given":"Ranjay"},{"family":"Kuditipudi","given":"Rohith"},{"family":"Kumar","given":"Ananya"},{"family":"Ladhak","given":"Faisal"},{"family":"Lee","given":"Mina"},{"family":"Lee","given":"Tony"},{"family":"Leskovec","given":"Jure"},{"family":"Levent","given":"Isabelle"},{"family":"Li","given":"Xiang Lisa"},{"family":"Li","given":"Xuechen"},{"family":"Ma","given":"Tengyu"},{"family":"Malik","given":"Ali"},{"family":"Manning","given":"Christopher D."},{"family":"Mirchandani","given":"Suvir"},{"family":"Mitchell","given":"Eric"},{"family":"Munyikwa","given":"Zanele"},{"family":"Nair","given":"Suraj"},{"family":"Narayan","given":"Avanika"},{"family":"Narayanan","given":"Deepak"},{"family":"Newman","given":"Ben"},{"family":"Nie","given":"Allen"},{"family":"Niebles","given":"Juan Carlos"},{"family":"Nilforoshan","given":"Hamed"},{"family":"Nyarko","given":"Julian"},{"family":"Ogut","given":"Giray"},{"family":"Orr","given":"Laurel"},{"family":"Papadimitriou","given":"Isabel"},{"family":"Park","given":"Joon Sung"},{"family":"Piech","given":"Chris"},{"family":"Portelance","given":"Eva"},{"family":"Potts","given":"Christopher"},{"family":"Raghunathan","given":"Aditi"},{"family":"Reich","given":"Rob"},{"family":"Ren","given":"Hongyu"},{"family":"Rong","given":"Frieda"},{"family":"Roohani","given":"Yusuf"},{"family":"Ruiz","given":"Camilo"},{"family":"Ryan","given":"Jack"},{"family":"Ré","given":"Christopher"},{"family":"Sadigh","given":"Dorsa"},{"family":"Sagawa","given":"Shiori"},{"family":"Santhanam","given":"Keshav"},{"family":"Shih","given":"Andy"},{"family":"Srinivasan","given":"Krishnan"},{"family":"Tamkin","given":"Alex"},{"family":"Taori","given":"Rohan"},{"family":"Thomas","given":"Armin W."},{"family":"Tramèr","given":"Florian"},{"family":"Wang","given":"Rose E."},{"family":"Wang","given":"William"},{"family":"Wu","given":"Bohan"},{"family":"Wu","given":"Jiajun"},{"family":"Wu","given":"Yuhuai"},{"family":"Xie","given":"Sang Michael"},{"family":"Yasunaga","given":"Michihiro"},{"family":"You","given":"Jiaxuan"},{"family":"Zaharia","given":"Matei"},{"family":"Zhang","given":"Michael"},{"family":"Zhang","given":"Tianyi"},{"family":"Zhang","given":"Xikun"},{"family":"Zhang","given":"Yuhui"},{"family":"Zheng","given":"Lucia"},{"family":"Zhou","given":"Kaitlyn"},{"family":"Liang","given":"Percy"}],"accessed":{"date-parts":[["2025",11,23]]},"issued":{"date-parts":[["2022",7,12]]}}},{"id":2987,"uris":["http://zotero.org/users/6567242/items/XHFERWW4"],"itemData":{"id":2987,"type":"article-journal","container-title":"Ethics and Information Technology","DOI":"10.1007/s10676-017-9430-8","ISSN":"1388-1957, 1572-8439","issue":"1","journalAbbreviation":"Ethics Inf Technol","language":"en","page":"5-14","source":"DOI.org (Crossref)","title":"Society-in-the-loop: programming the algorithmic social contract","title-short":"Society-in-the-loop","volume":"20","author":[{"family":"Rahwan","given":"Iyad"}],"issued":{"date-parts":[["2021",3]]}}}],"schema":"https://github.com/citation-style-language/schema/raw/master/csl-citation.json"} </w:instrText>
      </w:r>
      <w:r w:rsidR="00F46F2A">
        <w:fldChar w:fldCharType="separate"/>
      </w:r>
      <w:r w:rsidR="00724CFF" w:rsidRPr="00724CFF">
        <w:t>(Bommasani et al., 2022; Rahwan, 2021)</w:t>
      </w:r>
      <w:r w:rsidR="00F46F2A">
        <w:fldChar w:fldCharType="end"/>
      </w:r>
      <w:r>
        <w:t xml:space="preserve">. The </w:t>
      </w:r>
      <w:r w:rsidR="00706913">
        <w:fldChar w:fldCharType="begin"/>
      </w:r>
      <w:r w:rsidR="001051EA">
        <w:instrText xml:space="preserve"> ADDIN ZOTERO_ITEM CSL_CITATION {"citationID":"YcTcxMrx","properties":{"formattedCitation":"(Tabassi, 2023)","plainCitation":"(Tabassi, 2023)","dontUpdate":true,"noteIndex":0},"citationItems":[{"id":2983,"uris":["http://zotero.org/users/6567242/items/AU8QUG97"],"itemData":{"id":2983,"type":"report","abstract":"As directed by the National Artificial Intelligence Initiative Act of 2020 (P.L. 116-283), the goal of the AI RMF is to offer a resource to the organizations designing, developing, deploying, or using AI systems to help manage the many risks of AI and promote trustworthy and responsible development and use of AI systems. The Framework is intended to be voluntary, rights-preserving, non-sector specific, and use-case agnostic, providing flexibility to organizations of all sizes and in all sectors and throughout society to implement the approaches in the Framework.   The AI RMF is intended to be practical, to adapt to the AI landscape as AI technologies continue to develop, and to be operationalized by organizations in varying degrees and capacities so society can benefit from AI while also being protected from its potential harms.","DOI":"10.6028/NIST.AI.100-1","number":"NIST AI 100-1","page":"NIST AI 100-1","publisher":"National Institute of Standards and Technology (U.S.)","publisher-place":"Gaithersburg, MD","source":"DOI.org (Crossref)","title":"Artificial Intelligence Risk Management Framework (AI RMF 1.0)","URL":"http://nvlpubs.nist.gov/nistpubs/ai/NIST.AI.100-1.pdf","author":[{"family":"Tabassi","given":"Elham"}],"accessed":{"date-parts":[["2026",3,23]]},"issued":{"date-parts":[["2023",1,26]]}}}],"schema":"https://github.com/citation-style-language/schema/raw/master/csl-citation.json"} </w:instrText>
      </w:r>
      <w:r w:rsidR="00706913">
        <w:fldChar w:fldCharType="separate"/>
      </w:r>
      <w:r w:rsidR="00706913" w:rsidRPr="00706913">
        <w:t xml:space="preserve">NIST AI Risk Management Framework </w:t>
      </w:r>
      <w:r w:rsidR="00706913">
        <w:t>(</w:t>
      </w:r>
      <w:r w:rsidR="00706913" w:rsidRPr="00706913">
        <w:t>2023)</w:t>
      </w:r>
      <w:r w:rsidR="00706913">
        <w:fldChar w:fldCharType="end"/>
      </w:r>
      <w:r>
        <w:t xml:space="preserve"> addresses this through its GOVERN function, which requires </w:t>
      </w:r>
      <w:r w:rsidR="004C4E48">
        <w:t>organiz</w:t>
      </w:r>
      <w:r>
        <w:t>ations to define accountability structures as a precondition for responsible AI deployment, but does not specify technical mechanisms for attribution in distributed agentic pipelines.</w:t>
      </w:r>
    </w:p>
    <w:p w14:paraId="42532BE2" w14:textId="6B78FA46" w:rsidR="006F243D" w:rsidRPr="00E4074A" w:rsidRDefault="00000000" w:rsidP="00DA00FB">
      <w:pPr>
        <w:pStyle w:val="Heading3"/>
      </w:pPr>
      <w:bookmarkStart w:id="19" w:name="_Toc225135052"/>
      <w:r w:rsidRPr="00E4074A">
        <w:t>Training and Onboarding Mechanisms</w:t>
      </w:r>
      <w:bookmarkEnd w:id="19"/>
    </w:p>
    <w:p w14:paraId="0BC74C3B" w14:textId="2348ED88" w:rsidR="006F243D" w:rsidRDefault="00000000" w:rsidP="001C04EE">
      <w:r>
        <w:t xml:space="preserve">Effective oversight requires not only well-designed systems but also appropriately trained human operators. </w:t>
      </w:r>
      <w:r w:rsidR="00BA2F00">
        <w:fldChar w:fldCharType="begin"/>
      </w:r>
      <w:r w:rsidR="00724CFF">
        <w:instrText xml:space="preserve"> ADDIN ZOTERO_ITEM CSL_CITATION {"citationID":"LZdZppzR","properties":{"formattedCitation":"(Cai et al., 2021)","plainCitation":"(Cai et al., 2021)","dontUpdate":true,"noteIndex":0},"citationItems":[{"id":3031,"uris":["http://zotero.org/users/6567242/items/FQ44H5YB"],"itemData":{"id":3031,"type":"article-journal","abstract":"Although rapid advances in machine learning have made it increasingly applicable to expert decision-making, the delivery of accurate algorithmic predictions alone is insufficient for effective human-AI collaboration. In this work, we investigate the key types of information medical experts desire when they are first introduced to a diagnostic AI assistant. In a qualitative lab study, we interviewed 21 pathologists before, during, and after being presented deep neural network (DNN) predictions for prostate cancer diagnosis, to learn the types of information that they desired about the AI assistant. Our findings reveal that, far beyond understanding the local, case-specific reasoning behind any model decision, clinicians desired upfront information about basic, global properties of the model, such as its known strengths and limitations, its subjective point-of-view, and its overall design objective--what it's designed to be optimized for. Participants compared these information needs to the collaborative mental models they develop of their medical colleagues when seeking a second opinion: the medical perspectives and standards that those colleagues embody, and the compatibility of those perspectives with their own diagnostic patterns. These findings broaden and enrich discussions surrounding AI transparency for collaborative decision-making, providing a richer understanding of what experts find important in their introduction to AI assistants before integrating them into routine practice.","container-title":"ACM Computing Surveys","DOI":"10.1145/1122445.1122456","ISSN":"2573-0142","issue":"CHI 2021 Japan","journalAbbreviation":"ACM Comput. Surv.","language":"en","page":"1-11","publisher":"Proceedings of the ACM SIGCHI Conference on Human Factors in Computing Systems, ACM","publisher-place":"New York, USA","source":"DOI.org (Crossref)","title":"Onboarding Materials as Cross-functional Boundary Objects for Developing AI Assistant","title-short":"Hello AI","author":[{"family":"Cai","given":"Carrie J."},{"family":"Winter","given":"Samantha"},{"family":"Steiner","given":"David"},{"family":"Wilcox","given":"Lauren"},{"family":"Terry","given":"Michael"}],"issued":{"date-parts":[["2021"]]}}}],"schema":"https://github.com/citation-style-language/schema/raw/master/csl-citation.json"} </w:instrText>
      </w:r>
      <w:r w:rsidR="00BA2F00">
        <w:fldChar w:fldCharType="separate"/>
      </w:r>
      <w:r w:rsidR="00BA2F00" w:rsidRPr="00BA2F00">
        <w:t xml:space="preserve">Cai et al. </w:t>
      </w:r>
      <w:r w:rsidR="00BA2F00">
        <w:t>(</w:t>
      </w:r>
      <w:r w:rsidR="00BA2F00" w:rsidRPr="00BA2F00">
        <w:t>2021)</w:t>
      </w:r>
      <w:r w:rsidR="00BA2F00">
        <w:fldChar w:fldCharType="end"/>
      </w:r>
      <w:r>
        <w:t xml:space="preserve"> qualitative study of clinical AI onboarding found that practitioners need mental models of AI failure modes</w:t>
      </w:r>
      <w:r w:rsidR="003B3121">
        <w:t xml:space="preserve">, </w:t>
      </w:r>
      <w:r>
        <w:t>not merely aggregate accuracy statistics</w:t>
      </w:r>
      <w:r w:rsidR="003B3121">
        <w:t xml:space="preserve">, </w:t>
      </w:r>
      <w:r>
        <w:t>to exercise effective oversight. A clinician who knows that a sepsis prediction model has high sensitivity but poor specificity in elderly patients can exercise more meaningful oversight than one who knows only that the model achieves 0.89 AUROC.</w:t>
      </w:r>
    </w:p>
    <w:p w14:paraId="77C41FB7" w14:textId="20D57C19" w:rsidR="006F243D" w:rsidRDefault="00FF69FD" w:rsidP="001C04EE">
      <w:r>
        <w:fldChar w:fldCharType="begin"/>
      </w:r>
      <w:r w:rsidR="00724CFF">
        <w:instrText xml:space="preserve"> ADDIN ZOTERO_ITEM CSL_CITATION {"citationID":"kNRNIy4b","properties":{"formattedCitation":"(Madaio et al., 2020)","plainCitation":"(Madaio et al., 2020)","dontUpdate":true,"noteIndex":0},"citationItems":[{"id":2979,"uris":["http://zotero.org/users/6567242/items/PF5KICG5"],"itemData":{"id":2979,"type":"paper-conference","container-title":"Proceedings of the 2020 CHI Conference on Human Factors in Computing Systems","DOI":"10.1145/3313831.3376445","event-title":"CHI '20: CHI Conference on Human Factors in Computing Systems","ISBN":"978-1-4503-6708-0","language":"en","page":"1-14","publisher":"ACM","publisher-place":"Honolulu HI USA","source":"DOI.org (Crossref)","title":"Co-Designing Checklists to Understand Organizational Challenges and Opportunities around Fairness in AI","URL":"https://dl.acm.org/doi/10.1145/3313831.3376445","author":[{"family":"Madaio","given":"Michael A."},{"family":"Stark","given":"Luke"},{"family":"Wortman Vaughan","given":"Jennifer"},{"family":"Wallach","given":"Hanna"}],"accessed":{"date-parts":[["2026",3,23]]},"issued":{"date-parts":[["2020",4,21]]}}}],"schema":"https://github.com/citation-style-language/schema/raw/master/csl-citation.json"} </w:instrText>
      </w:r>
      <w:r>
        <w:fldChar w:fldCharType="separate"/>
      </w:r>
      <w:r w:rsidRPr="00FF69FD">
        <w:t xml:space="preserve">Madaio et al. </w:t>
      </w:r>
      <w:r>
        <w:t>(</w:t>
      </w:r>
      <w:r w:rsidRPr="00FF69FD">
        <w:t>2020)</w:t>
      </w:r>
      <w:r>
        <w:fldChar w:fldCharType="end"/>
      </w:r>
      <w:r>
        <w:t xml:space="preserve"> demonstrate that </w:t>
      </w:r>
      <w:r w:rsidR="004C4E48">
        <w:t>organiz</w:t>
      </w:r>
      <w:r>
        <w:t xml:space="preserve">ational training for AI oversight faces structural obstacles: fairness-oriented checklists failed in their study not because of poor design but because </w:t>
      </w:r>
      <w:r w:rsidR="004C4E48">
        <w:t>organiz</w:t>
      </w:r>
      <w:r>
        <w:t xml:space="preserve">ational incentive structures did not reward the time investment required to complete them. This finding illustrates the STS insight that technical training interventions are insufficient without corresponding changes to </w:t>
      </w:r>
      <w:r w:rsidR="004C4E48">
        <w:t>organiz</w:t>
      </w:r>
      <w:r>
        <w:t>ational structures and incentives.</w:t>
      </w:r>
    </w:p>
    <w:p w14:paraId="3A0196BB" w14:textId="2AB70B18" w:rsidR="006F243D" w:rsidRPr="00E4074A" w:rsidRDefault="00000000" w:rsidP="00DA00FB">
      <w:pPr>
        <w:pStyle w:val="Heading3"/>
      </w:pPr>
      <w:bookmarkStart w:id="20" w:name="_Toc225135053"/>
      <w:r w:rsidRPr="00E4074A">
        <w:t>Regulatory and Governance Mechanisms</w:t>
      </w:r>
      <w:bookmarkEnd w:id="20"/>
    </w:p>
    <w:p w14:paraId="6A006976" w14:textId="182C1D19" w:rsidR="006F243D" w:rsidRDefault="00000000" w:rsidP="001C04EE">
      <w:r>
        <w:t xml:space="preserve">Regulatory mechanisms constitute the most macro-level class of oversight mechanisms. The </w:t>
      </w:r>
      <w:r w:rsidR="00736841">
        <w:fldChar w:fldCharType="begin"/>
      </w:r>
      <w:r w:rsidR="00724CFF">
        <w:instrText xml:space="preserve"> ADDIN ZOTERO_ITEM CSL_CITATION {"citationID":"sd2QM1Ph","properties":{"formattedCitation":"(European Union, 2024)","plainCitation":"(European Union, 2024)","dontUpdate":true,"noteIndex":0},"citationItems":[{"id":2774,"uris":["http://zotero.org/users/6567242/items/AWFPGKDR"],"itemData":{"id":2774,"type":"document","language":"en-US","publisher":"Future of Life Institute","title":"The AI Act Explorer: EU Artificial Intelligence Act","title-short":"The AI Act Explorer","URL":"https://artificialintelligenceact.eu/ai-act-explorer/","author":[{"family":"European Union","given":""}],"accessed":{"date-parts":[["2025",12,25]]},"issued":{"date-parts":[["2024"]]}}}],"schema":"https://github.com/citation-style-language/schema/raw/master/csl-citation.json"} </w:instrText>
      </w:r>
      <w:r w:rsidR="00736841">
        <w:fldChar w:fldCharType="separate"/>
      </w:r>
      <w:r w:rsidR="00736841" w:rsidRPr="00736841">
        <w:t xml:space="preserve">European Union AI Act </w:t>
      </w:r>
      <w:r w:rsidR="00736841">
        <w:t>(</w:t>
      </w:r>
      <w:r w:rsidR="00736841" w:rsidRPr="00736841">
        <w:t>2024)</w:t>
      </w:r>
      <w:r w:rsidR="00736841">
        <w:fldChar w:fldCharType="end"/>
      </w:r>
      <w:r>
        <w:t xml:space="preserve"> establishes a risk-based framework that maps directly onto the HITL tier taxonomy: high-risk AI applications</w:t>
      </w:r>
      <w:r w:rsidR="00BF07AB">
        <w:t xml:space="preserve">, </w:t>
      </w:r>
      <w:r>
        <w:t>including clinical AI, facial recognition, and employment screening</w:t>
      </w:r>
      <w:r w:rsidR="00BF07AB">
        <w:t>,</w:t>
      </w:r>
      <w:r>
        <w:t xml:space="preserve"> require conformity assessments, transparency obligations, human oversight by design, and accuracy and robustness testing. Prohibited applications include real-time biometric surveillance and social scoring systems.</w:t>
      </w:r>
    </w:p>
    <w:p w14:paraId="2CDAB26E" w14:textId="36C6A8D1" w:rsidR="006F243D" w:rsidRDefault="00000000" w:rsidP="001C04EE">
      <w:r>
        <w:t xml:space="preserve">The NIST AI Risk Management Framework </w:t>
      </w:r>
      <w:r w:rsidR="001449FA">
        <w:t>[</w:t>
      </w:r>
      <w:r>
        <w:t>NIST AI RMF 1.0, 2023</w:t>
      </w:r>
      <w:r w:rsidR="001449FA">
        <w:t>]</w:t>
      </w:r>
      <w:r>
        <w:t xml:space="preserve"> takes a complementary approach, </w:t>
      </w:r>
      <w:r w:rsidR="004C4E48">
        <w:t>organiz</w:t>
      </w:r>
      <w:r>
        <w:t>ing AI risk management into four functions</w:t>
      </w:r>
      <w:r w:rsidR="00B72C51">
        <w:t>, which are</w:t>
      </w:r>
      <w:r>
        <w:t xml:space="preserve"> GOVERN, MAP, MEASURE, and MANAGE</w:t>
      </w:r>
      <w:r w:rsidR="00A6023B">
        <w:t xml:space="preserve"> </w:t>
      </w:r>
      <w:r w:rsidR="00A6023B">
        <w:fldChar w:fldCharType="begin"/>
      </w:r>
      <w:r w:rsidR="00A6023B">
        <w:instrText xml:space="preserve"> ADDIN ZOTERO_ITEM CSL_CITATION {"citationID":"ODsqient","properties":{"formattedCitation":"(Tabassi, 2023)","plainCitation":"(Tabassi, 2023)","noteIndex":0},"citationItems":[{"id":2983,"uris":["http://zotero.org/users/6567242/items/AU8QUG97"],"itemData":{"id":2983,"type":"report","abstract":"As directed by the National Artificial Intelligence Initiative Act of 2020 (P.L. 116-283), the goal of the AI RMF is to offer a resource to the organizations designing, developing, deploying, or using AI systems to help manage the many risks of AI and promote trustworthy and responsible development and use of AI systems. The Framework is intended to be voluntary, rights-preserving, non-sector specific, and use-case agnostic, providing flexibility to organizations of all sizes and in all sectors and throughout society to implement the approaches in the Framework.   The AI RMF is intended to be practical, to adapt to the AI landscape as AI technologies continue to develop, and to be operationalized by organizations in varying degrees and capacities so society can benefit from AI while also being protected from its potential harms.","DOI":"10.6028/NIST.AI.100-1","number":"NIST AI 100-1","page":"NIST AI 100-1","publisher":"National Institute of Standards and Technology (U.S.)","publisher-place":"Gaithersburg, MD","source":"DOI.org (Crossref)","title":"Artificial Intelligence Risk Management Framework (AI RMF 1.0)","URL":"http://nvlpubs.nist.gov/nistpubs/ai/NIST.AI.100-1.pdf","author":[{"family":"Tabassi","given":"Elham"}],"accessed":{"date-parts":[["2026",3,23]]},"issued":{"date-parts":[["2023",1,26]]}}}],"schema":"https://github.com/citation-style-language/schema/raw/master/csl-citation.json"} </w:instrText>
      </w:r>
      <w:r w:rsidR="00A6023B">
        <w:fldChar w:fldCharType="separate"/>
      </w:r>
      <w:r w:rsidR="00A6023B" w:rsidRPr="001449FA">
        <w:t>(Tabassi, 2023)</w:t>
      </w:r>
      <w:r w:rsidR="00A6023B">
        <w:fldChar w:fldCharType="end"/>
      </w:r>
      <w:r>
        <w:t xml:space="preserve">. Unlike the EU AI Act's prescriptive risk categories, the NIST framework is voluntary and outcome-oriented, intended to be applicable across sectors and regulatory jurisdictions. Multiple studies in our corpus report piloting or adapting the NIST framework for sector-specific contexts, including healthcare </w:t>
      </w:r>
      <w:r w:rsidR="008F56AB">
        <w:fldChar w:fldCharType="begin"/>
      </w:r>
      <w:r w:rsidR="008F56AB">
        <w:instrText xml:space="preserve"> ADDIN ZOTERO_ITEM CSL_CITATION {"citationID":"XCwsff8Y","properties":{"formattedCitation":"(World Health Organization, 2021)","plainCitation":"(World Health Organization, 2021)","noteIndex":0},"citationItems":[{"id":3005,"uris":["http://zotero.org/users/6567242/items/XE3C2FF6"],"itemData":{"id":3005,"type":"book","edition":"1st ed","ISBN":"978-92-4-002920-0","language":"eng","number-of-pages":"1","publisher":"World Health Organization","publisher-place":"Geneva","source":"K10plus ISBN","title":"Ethics and Governance of Artificial Intelligence for Health: WHO Guidance","title-short":"Ethics and Governance of Artificial Intelligence for Health","URL":"https://www.who.int/publications/i/item/9789240029200","author":[{"literal":"World Health Organization"}],"issued":{"date-parts":[["2021"]]}}}],"schema":"https://github.com/citation-style-language/schema/raw/master/csl-citation.json"} </w:instrText>
      </w:r>
      <w:r w:rsidR="008F56AB">
        <w:fldChar w:fldCharType="separate"/>
      </w:r>
      <w:r w:rsidR="008F56AB" w:rsidRPr="008F56AB">
        <w:t>(World Health Organization, 2021)</w:t>
      </w:r>
      <w:r w:rsidR="008F56AB">
        <w:fldChar w:fldCharType="end"/>
      </w:r>
      <w:r>
        <w:t xml:space="preserve"> and financial services.</w:t>
      </w:r>
    </w:p>
    <w:p w14:paraId="5CFBE247" w14:textId="6977A1E5" w:rsidR="006F243D" w:rsidRDefault="00000000" w:rsidP="00371851">
      <w:pPr>
        <w:spacing w:after="0"/>
      </w:pPr>
      <w:r>
        <w:lastRenderedPageBreak/>
        <w:t xml:space="preserve">Sector-specific oversight intensity, reflecting the combined demands of task criticality and regulatory pressure, is </w:t>
      </w:r>
      <w:r w:rsidR="00371851">
        <w:t>summarized</w:t>
      </w:r>
      <w:r>
        <w:t xml:space="preserve"> in Figure </w:t>
      </w:r>
      <w:r w:rsidR="00C20AF1">
        <w:t>4</w:t>
      </w:r>
      <w:r>
        <w:t>.</w:t>
      </w:r>
    </w:p>
    <w:p w14:paraId="22421208" w14:textId="61CF3AA1" w:rsidR="00752FAB" w:rsidRPr="00752FAB" w:rsidRDefault="00F148CB" w:rsidP="00F148CB">
      <w:pPr>
        <w:pStyle w:val="Cap"/>
      </w:pPr>
      <w:r>
        <w:t xml:space="preserve">Figure </w:t>
      </w:r>
      <w:fldSimple w:instr=" SEQ Figure \* ARABIC ">
        <w:r w:rsidR="00AF5F2C">
          <w:rPr>
            <w:noProof/>
          </w:rPr>
          <w:t>4</w:t>
        </w:r>
      </w:fldSimple>
    </w:p>
    <w:p w14:paraId="061EC4EA" w14:textId="2EBAD14F" w:rsidR="006F243D" w:rsidRDefault="00000000" w:rsidP="00752FAB">
      <w:pPr>
        <w:rPr>
          <w:i/>
          <w:iCs/>
        </w:rPr>
      </w:pPr>
      <w:r w:rsidRPr="00752FAB">
        <w:rPr>
          <w:i/>
          <w:iCs/>
        </w:rPr>
        <w:t>Sector-</w:t>
      </w:r>
      <w:r w:rsidR="00901369" w:rsidRPr="00752FAB">
        <w:rPr>
          <w:i/>
          <w:iCs/>
        </w:rPr>
        <w:t xml:space="preserve">Specific Oversight Intensity Matrix Derived </w:t>
      </w:r>
      <w:r w:rsidRPr="00752FAB">
        <w:rPr>
          <w:i/>
          <w:iCs/>
        </w:rPr>
        <w:t xml:space="preserve">from </w:t>
      </w:r>
      <w:r w:rsidR="00901369" w:rsidRPr="00752FAB">
        <w:rPr>
          <w:i/>
          <w:iCs/>
        </w:rPr>
        <w:t>Systematic Review Findings</w:t>
      </w:r>
      <w:r w:rsidRPr="00752FAB">
        <w:rPr>
          <w:i/>
          <w:iCs/>
        </w:rPr>
        <w:t>.</w:t>
      </w:r>
    </w:p>
    <w:p w14:paraId="4FFC8D6E" w14:textId="3E027F9C" w:rsidR="003E6B43" w:rsidRPr="00752FAB" w:rsidRDefault="003E6B43" w:rsidP="003E6B43">
      <w:r w:rsidRPr="003E6B43">
        <w:rPr>
          <w:noProof/>
        </w:rPr>
        <w:drawing>
          <wp:inline distT="0" distB="0" distL="0" distR="0" wp14:anchorId="1DED2C81" wp14:editId="2379F466">
            <wp:extent cx="6101019" cy="24017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381" b="9455"/>
                    <a:stretch/>
                  </pic:blipFill>
                  <pic:spPr bwMode="auto">
                    <a:xfrm>
                      <a:off x="0" y="0"/>
                      <a:ext cx="6138391" cy="2416459"/>
                    </a:xfrm>
                    <a:prstGeom prst="rect">
                      <a:avLst/>
                    </a:prstGeom>
                    <a:noFill/>
                    <a:ln>
                      <a:noFill/>
                    </a:ln>
                    <a:extLst>
                      <a:ext uri="{53640926-AAD7-44D8-BBD7-CCE9431645EC}">
                        <a14:shadowObscured xmlns:a14="http://schemas.microsoft.com/office/drawing/2010/main"/>
                      </a:ext>
                    </a:extLst>
                  </pic:spPr>
                </pic:pic>
              </a:graphicData>
            </a:graphic>
          </wp:inline>
        </w:drawing>
      </w:r>
    </w:p>
    <w:p w14:paraId="3AED39A2" w14:textId="195A4F85" w:rsidR="006F243D" w:rsidRPr="00E4074A" w:rsidRDefault="00000000" w:rsidP="008550E6">
      <w:pPr>
        <w:pStyle w:val="Heading2"/>
      </w:pPr>
      <w:bookmarkStart w:id="21" w:name="_Toc225135054"/>
      <w:r w:rsidRPr="00E4074A">
        <w:t>Trust Calibration</w:t>
      </w:r>
      <w:bookmarkEnd w:id="21"/>
    </w:p>
    <w:p w14:paraId="6872DC34" w14:textId="12C4A210" w:rsidR="006F243D" w:rsidRDefault="00000000" w:rsidP="008D7214">
      <w:pPr>
        <w:spacing w:after="0"/>
      </w:pPr>
      <w:r>
        <w:t>Trust calibration</w:t>
      </w:r>
      <w:r w:rsidR="005254AA">
        <w:t xml:space="preserve">, that is, </w:t>
      </w:r>
      <w:r>
        <w:t>the alignment of subjective operator trust with objective AI reliability</w:t>
      </w:r>
      <w:r w:rsidR="005254AA">
        <w:t xml:space="preserve">, </w:t>
      </w:r>
      <w:r>
        <w:t>is the central mediating variable between oversight mechanism design and human-AI team performance. Miscalibrated trust degrades performance in both directions</w:t>
      </w:r>
      <w:r w:rsidR="00E850BC">
        <w:t>.</w:t>
      </w:r>
      <w:r>
        <w:t xml:space="preserve"> </w:t>
      </w:r>
      <w:r w:rsidR="00E850BC">
        <w:t>U</w:t>
      </w:r>
      <w:r>
        <w:t xml:space="preserve">nder-trust (algorithm aversion) causes operators to reject correct AI recommendations, while over-trust (automation bias) causes operators to follow incorrect AI recommendations </w:t>
      </w:r>
      <w:r w:rsidR="00835433">
        <w:fldChar w:fldCharType="begin"/>
      </w:r>
      <w:r w:rsidR="00835433">
        <w:instrText xml:space="preserve"> ADDIN ZOTERO_ITEM CSL_CITATION {"citationID":"AFmwvdS8","properties":{"formattedCitation":"(Lee &amp; See, 2004; Zhang et al., 2020)","plainCitation":"(Lee &amp; See, 2004; Zhang et al., 2020)","noteIndex":0},"citationItems":[{"id":2975,"uris":["http://zotero.org/users/6567242/items/RLIC7JV6"],"itemData":{"id":2975,"type":"article-journal","container-title":"Human Factors: The Journal of the Human Factors and Ergonomics Society","DOI":"10.1518/hfes.46.1.50.30392","ISSN":"1547-8181","issue":"1","journalAbbreviation":"hfes","language":"en","page":"50-80","source":"DOI.org (Crossref)","title":"Trust in Automation: Designing for Appropriate Reliance","title-short":"Trust in Automation","volume":"46","author":[{"family":"Lee","given":"John D."},{"family":"See","given":"Katrina A."}],"issued":{"date-parts":[["2004"]]}}},{"id":3010,"uris":["http://zotero.org/users/6567242/items/CK3V2FNP"],"itemData":{"id":3010,"type":"paper-conference","container-title":"Proceedings of the 2020 Conference on Fairness, Accountability, and Transparency","DOI":"10.1145/3351095.3372852","event-title":"FAT* '20: Conference on Fairness, Accountability, and Transparency","ISBN":"978-1-4503-6936-7","language":"en","page":"295-305","publisher":"ACM","publisher-place":"Barcelona Spain","source":"DOI.org (Crossref)","title":"Effect of confidence and explanation on accuracy and trust calibration in AI-assisted decision making","URL":"https://dl.acm.org/doi/10.1145/3351095.3372852","author":[{"family":"Zhang","given":"Yunfeng"},{"family":"Liao","given":"Q. Vera"},{"family":"Bellamy","given":"Rachel K. E."}],"accessed":{"date-parts":[["2026",3,23]]},"issued":{"date-parts":[["2020",1,27]]}}}],"schema":"https://github.com/citation-style-language/schema/raw/master/csl-citation.json"} </w:instrText>
      </w:r>
      <w:r w:rsidR="00835433">
        <w:fldChar w:fldCharType="separate"/>
      </w:r>
      <w:r w:rsidR="00835433" w:rsidRPr="00835433">
        <w:t>(Lee &amp; See, 2004; Zhang et al., 2020)</w:t>
      </w:r>
      <w:r w:rsidR="00835433">
        <w:fldChar w:fldCharType="end"/>
      </w:r>
      <w:r>
        <w:t xml:space="preserve">. Figure </w:t>
      </w:r>
      <w:r w:rsidR="006E4E32">
        <w:t>5</w:t>
      </w:r>
      <w:r>
        <w:t xml:space="preserve"> illustrates the trust calibration spectrum.</w:t>
      </w:r>
    </w:p>
    <w:p w14:paraId="01C19405" w14:textId="42439473" w:rsidR="00286BAA" w:rsidRDefault="00286BAA" w:rsidP="00286BAA">
      <w:pPr>
        <w:pStyle w:val="Cap"/>
      </w:pPr>
      <w:r>
        <w:t xml:space="preserve">Figure </w:t>
      </w:r>
      <w:fldSimple w:instr=" SEQ Figure \* ARABIC ">
        <w:r w:rsidR="00AF5F2C">
          <w:rPr>
            <w:noProof/>
          </w:rPr>
          <w:t>5</w:t>
        </w:r>
      </w:fldSimple>
    </w:p>
    <w:p w14:paraId="1976AA95" w14:textId="433E5A16" w:rsidR="006F243D" w:rsidRDefault="00000000" w:rsidP="00065666">
      <w:pPr>
        <w:rPr>
          <w:i/>
          <w:iCs/>
        </w:rPr>
      </w:pPr>
      <w:r w:rsidRPr="00065666">
        <w:rPr>
          <w:i/>
          <w:iCs/>
        </w:rPr>
        <w:t>The trust calibration spectrum showing the performance consequences of under-trust, calibrated trust, and over-trust.</w:t>
      </w:r>
    </w:p>
    <w:p w14:paraId="4A12DD9A" w14:textId="3DB4D032" w:rsidR="00E363ED" w:rsidRPr="00065666" w:rsidRDefault="00F666E5" w:rsidP="00E363ED">
      <w:r>
        <w:rPr>
          <w:noProof/>
        </w:rPr>
        <w:drawing>
          <wp:inline distT="0" distB="0" distL="0" distR="0" wp14:anchorId="46AC505A" wp14:editId="70AD26C2">
            <wp:extent cx="6088380" cy="35128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8380" cy="3512820"/>
                    </a:xfrm>
                    <a:prstGeom prst="rect">
                      <a:avLst/>
                    </a:prstGeom>
                    <a:noFill/>
                    <a:ln>
                      <a:noFill/>
                    </a:ln>
                  </pic:spPr>
                </pic:pic>
              </a:graphicData>
            </a:graphic>
          </wp:inline>
        </w:drawing>
      </w:r>
    </w:p>
    <w:p w14:paraId="1920B2A5" w14:textId="51901EFB" w:rsidR="006F243D" w:rsidRPr="008550E6" w:rsidRDefault="00000000" w:rsidP="008550E6">
      <w:pPr>
        <w:pStyle w:val="Heading2"/>
      </w:pPr>
      <w:bookmarkStart w:id="22" w:name="_Toc225135055"/>
      <w:r w:rsidRPr="00E4074A">
        <w:t>Algorithm Aversion and Under-Trust</w:t>
      </w:r>
      <w:bookmarkEnd w:id="22"/>
    </w:p>
    <w:p w14:paraId="1672201D" w14:textId="562EDF08" w:rsidR="006F243D" w:rsidRDefault="00000000" w:rsidP="009B7AB2">
      <w:r>
        <w:lastRenderedPageBreak/>
        <w:t>Algorithm aversion</w:t>
      </w:r>
      <w:r w:rsidR="001629EB">
        <w:t xml:space="preserve">, </w:t>
      </w:r>
      <w:r>
        <w:t>the tendency to prefer human judgment over algorithmic judgment even when the algorithm demonstrably outperforms humans</w:t>
      </w:r>
      <w:r w:rsidR="001629EB">
        <w:t xml:space="preserve">, </w:t>
      </w:r>
      <w:r>
        <w:t xml:space="preserve">was first systematically documented by </w:t>
      </w:r>
      <w:r w:rsidR="00F92FAF">
        <w:fldChar w:fldCharType="begin"/>
      </w:r>
      <w:r w:rsidR="00724CFF">
        <w:instrText xml:space="preserve"> ADDIN ZOTERO_ITEM CSL_CITATION {"citationID":"MriFZ9fb","properties":{"formattedCitation":"(Dietvorst et al., 2015)","plainCitation":"(Dietvorst et al., 2015)","dontUpdate":true,"noteIndex":0},"citationItems":[{"id":3054,"uris":["http://zotero.org/users/6567242/items/TJSGGQRT"],"itemData":{"id":3054,"type":"article-journal","container-title":"Journal of Experimental Psychology: General","DOI":"10.1037/xge0000033","ISSN":"1939-2222, 0096-3445","issue":"1","journalAbbreviation":"Journal of Experimental Psychology: General","language":"en","page":"114-126","source":"DOI.org (Crossref)","title":"Algorithm aversion: People erroneously avoid algorithms after seeing them err.","title-short":"Algorithm aversion","volume":"144","author":[{"family":"Dietvorst","given":"Berkeley J."},{"family":"Simmons","given":"Joseph P."},{"family":"Massey","given":"Cade"}],"issued":{"date-parts":[["2015"]]}}}],"schema":"https://github.com/citation-style-language/schema/raw/master/csl-citation.json"} </w:instrText>
      </w:r>
      <w:r w:rsidR="00F92FAF">
        <w:fldChar w:fldCharType="separate"/>
      </w:r>
      <w:r w:rsidR="00F92FAF" w:rsidRPr="00F92FAF">
        <w:t xml:space="preserve">Dietvorst et al. </w:t>
      </w:r>
      <w:r w:rsidR="00F92FAF">
        <w:t>(</w:t>
      </w:r>
      <w:r w:rsidR="00F92FAF" w:rsidRPr="00F92FAF">
        <w:t>2015)</w:t>
      </w:r>
      <w:r w:rsidR="00F92FAF">
        <w:fldChar w:fldCharType="end"/>
      </w:r>
      <w:r>
        <w:t xml:space="preserve"> in forecasting contexts. The mechanism is experiential</w:t>
      </w:r>
      <w:r w:rsidR="000B39F2">
        <w:t>,</w:t>
      </w:r>
      <w:r>
        <w:t xml:space="preserve"> having observed an algorithm err, observers </w:t>
      </w:r>
      <w:r w:rsidR="003D4C61">
        <w:t>penalize</w:t>
      </w:r>
      <w:r>
        <w:t xml:space="preserve"> it more harshly than they </w:t>
      </w:r>
      <w:r w:rsidR="006712CB">
        <w:t>penalize</w:t>
      </w:r>
      <w:r>
        <w:t xml:space="preserve"> humans for equivalent errors, creating an asymmetric error tolerance. </w:t>
      </w:r>
      <w:r w:rsidR="00581DC8">
        <w:fldChar w:fldCharType="begin"/>
      </w:r>
      <w:r w:rsidR="00724CFF">
        <w:instrText xml:space="preserve"> ADDIN ZOTERO_ITEM CSL_CITATION {"citationID":"Tm2r83Jg","properties":{"formattedCitation":"(Dietvorst &amp; Bharti, 2020)","plainCitation":"(Dietvorst &amp; Bharti, 2020)","dontUpdate":true,"noteIndex":0},"citationItems":[{"id":2956,"uris":["http://zotero.org/users/6567242/items/NZC6XE3I"],"itemData":{"id":2956,"type":"article-journal","abstract":"Will people use self-driving cars, virtual doctors, and other algorithmic decision-makers if they outperform humans? The answer depends on the uncertainty inherent in the decision domain. We propose that people have diminishing sensitivity to forecasting error and that this preference results in people favoring riskier (and often worse-performing) decision-making methods, such as human judgment, in inherently uncertain domains. In nine studies ( N = 4,820), we found that (a) people have diminishing sensitivity to each marginal unit of error that a forecast produces, (b) people are less likely to use the best possible algorithm in decision domains that are more unpredictable, (c) people choose between decision-making methods on the basis of the perceived likelihood of those methods producing a near-perfect answer, and (d) people prefer methods that exhibit higher variance in performance (all else being equal). To the extent that investing, medical decision-making, and other domains are inherently uncertain, people may be unwilling to use even the best possible algorithm in those domains.","container-title":"Psychological Science","DOI":"10.1177/0956797620948841","ISSN":"0956-7976, 1467-9280","issue":"10","journalAbbreviation":"Psychol Sci","language":"en","page":"1302-1314","source":"DOI.org (Crossref)","title":"People Reject Algorithms in Uncertain Decision Domains Because They Have Diminishing Sensitivity to Forecasting Error","volume":"31","author":[{"family":"Dietvorst","given":"Berkeley J."},{"family":"Bharti","given":"Soaham"}],"issued":{"date-parts":[["2020",10]]}}}],"schema":"https://github.com/citation-style-language/schema/raw/master/csl-citation.json"} </w:instrText>
      </w:r>
      <w:r w:rsidR="00581DC8">
        <w:fldChar w:fldCharType="separate"/>
      </w:r>
      <w:r w:rsidR="00581DC8" w:rsidRPr="00581DC8">
        <w:t xml:space="preserve">Dietvorst </w:t>
      </w:r>
      <w:r w:rsidR="00D65ACD">
        <w:t>and</w:t>
      </w:r>
      <w:r w:rsidR="00581DC8" w:rsidRPr="00581DC8">
        <w:t xml:space="preserve"> Bharti </w:t>
      </w:r>
      <w:r w:rsidR="00581DC8">
        <w:t>(</w:t>
      </w:r>
      <w:r w:rsidR="00581DC8" w:rsidRPr="00581DC8">
        <w:t>2020)</w:t>
      </w:r>
      <w:r w:rsidR="00581DC8">
        <w:fldChar w:fldCharType="end"/>
      </w:r>
      <w:r>
        <w:t xml:space="preserve"> subsequently showed that this aversion is not a stable personality trait but a context-sensitive response to diminishing sensitivity to forecasting error: when the consequences of algorithmic error are uncertain, human decision-makers retreat to familiar human judgment.</w:t>
      </w:r>
    </w:p>
    <w:p w14:paraId="3346A68B" w14:textId="390366AD" w:rsidR="006F243D" w:rsidRDefault="00000000" w:rsidP="009B7AB2">
      <w:r>
        <w:t xml:space="preserve">Importantly, </w:t>
      </w:r>
      <w:r w:rsidR="0006139F">
        <w:fldChar w:fldCharType="begin"/>
      </w:r>
      <w:r w:rsidR="00724CFF">
        <w:instrText xml:space="preserve"> ADDIN ZOTERO_ITEM CSL_CITATION {"citationID":"gcxjz2Ab","properties":{"formattedCitation":"(Dietvorst &amp; Bartels, 2022)","plainCitation":"(Dietvorst &amp; Bartels, 2022)","dontUpdate":true,"noteIndex":0},"citationItems":[{"id":3055,"uris":["http://zotero.org/users/6567242/items/6JLZIC3E"],"itemData":{"id":3055,"type":"article-journal","abstract":"Why do consumers embrace some algorithms and find others objectionable? The moral relevance of the domain in which an algorithm operates plays a role. The authors find that consumers believe that algorithms are more likely to use maximization (i.e., attempting to maximize some measured outcome) as a decision‐making strategy than human decision makers (Study 1). Consumers find this consequentialist decision strategy to be objectionable in morally relevant tradeoffs and disapprove of algorithms making morally relevant tradeoffs as a result (Studies 2, 3a, &amp; 3b). Consumers also object to human employees making morally relevant tradeoffs when they are trained to make decisions by maximizing outcomes, consistent with the notion that their objections to algorithmic decision makers stem from concerns about maximization (Study 4). The results provide insight into why consumers object to some consumer relevant algorithms while adopting others.","container-title":"Journal of Consumer Psychology","DOI":"10.1002/jcpy.1266","ISSN":"1057-7408, 1532-7663","issue":"3","journalAbbreviation":"J Consum Psychol","language":"en","page":"406-424","source":"DOI.org (Crossref)","title":"Consumers Object to Algorithms Making Morally Relevant Tradeoffs Because of Algorithms’ Consequentialist Decision Strategies","volume":"32","author":[{"family":"Dietvorst","given":"Berkeley J."},{"family":"Bartels","given":"Daniel M."}],"issued":{"date-parts":[["2022",7]]}}}],"schema":"https://github.com/citation-style-language/schema/raw/master/csl-citation.json"} </w:instrText>
      </w:r>
      <w:r w:rsidR="0006139F">
        <w:fldChar w:fldCharType="separate"/>
      </w:r>
      <w:r w:rsidR="0006139F" w:rsidRPr="0006139F">
        <w:t xml:space="preserve">Dietvorst &amp; Bartels </w:t>
      </w:r>
      <w:r w:rsidR="0006139F">
        <w:t>(</w:t>
      </w:r>
      <w:r w:rsidR="0006139F" w:rsidRPr="0006139F">
        <w:t>2022)</w:t>
      </w:r>
      <w:r w:rsidR="0006139F">
        <w:fldChar w:fldCharType="end"/>
      </w:r>
      <w:r>
        <w:t xml:space="preserve"> demonstrated a practical remedy</w:t>
      </w:r>
      <w:r w:rsidR="00D51951">
        <w:t>.</w:t>
      </w:r>
      <w:r>
        <w:t xml:space="preserve"> </w:t>
      </w:r>
      <w:r w:rsidR="00D51951">
        <w:t>A</w:t>
      </w:r>
      <w:r>
        <w:t>llowing decision-makers to make small modifications to algorithmic outputs</w:t>
      </w:r>
      <w:r w:rsidR="005B3397">
        <w:t xml:space="preserve">, </w:t>
      </w:r>
      <w:r>
        <w:t>even cosmetic ones with no real effect on the prediction</w:t>
      </w:r>
      <w:r w:rsidR="005B3397">
        <w:t>,</w:t>
      </w:r>
      <w:r w:rsidR="00720AC3">
        <w:t xml:space="preserve"> </w:t>
      </w:r>
      <w:r>
        <w:t>substantially reduced aversion, apparently because the act of modification restored a sense of agency. This finding has direct design implications for HITL interfaces.</w:t>
      </w:r>
    </w:p>
    <w:p w14:paraId="386FEA34" w14:textId="6DE4E76C" w:rsidR="006F243D" w:rsidRDefault="007D4F5A" w:rsidP="009B7AB2">
      <w:r>
        <w:fldChar w:fldCharType="begin"/>
      </w:r>
      <w:r w:rsidR="00BF461A">
        <w:instrText xml:space="preserve"> ADDIN ZOTERO_ITEM CSL_CITATION {"citationID":"VUn94BiF","properties":{"formattedCitation":"(Logg et al., 2019; Logg &amp; Minson, 2022)","plainCitation":"(Logg et al., 2019; Logg &amp; Minson, 2022)","dontUpdate":true,"noteIndex":0},"citationItems":[{"id":2976,"uris":["http://zotero.org/users/6567242/items/MCLBWL9Z"],"itemData":{"id":2976,"type":"article-journal","container-title":"Organizational Behavior and Human Decision Processes","DOI":"10.1016/j.obhdp.2018.12.005","ISSN":"07495978","journalAbbreviation":"Organizational Behavior and Human Decision Processes","language":"en","page":"90-103","source":"DOI.org (Crossref)","title":"Algorithm appreciation: People prefer algorithmic to human judgment","title-short":"Algorithm appreciation","volume":"151","author":[{"family":"Logg","given":"Jennifer M."},{"family":"Minson","given":"Julia A."},{"family":"Moore","given":"Don A."}],"issued":{"date-parts":[["2019",3]]}}},{"id":3039,"uris":["http://zotero.org/users/6567242/items/66CXQYTX"],"itemData":{"id":3039,"type":"article-journal","container-title":"Current Directions in Psychological Science","DOI":"10.1177/09637214221117483","issue":"6","language":"en","page":"518–524","title":"Algorithm appreciation and aversion: Why people should use AI more and how to help them do it","volume":"31","author":[{"family":"Logg","given":"J.M."},{"family":"Minson","given":"J.A."}],"issued":{"date-parts":[["2022"]]}}}],"schema":"https://github.com/citation-style-language/schema/raw/master/csl-citation.json"} </w:instrText>
      </w:r>
      <w:r>
        <w:fldChar w:fldCharType="separate"/>
      </w:r>
      <w:r w:rsidRPr="007D4F5A">
        <w:t xml:space="preserve">Logg et al. </w:t>
      </w:r>
      <w:r w:rsidR="00AA1171">
        <w:t>(</w:t>
      </w:r>
      <w:r w:rsidRPr="007D4F5A">
        <w:t>2019</w:t>
      </w:r>
      <w:r w:rsidR="00AA1171">
        <w:t>)</w:t>
      </w:r>
      <w:r w:rsidRPr="007D4F5A">
        <w:t xml:space="preserve"> </w:t>
      </w:r>
      <w:r w:rsidR="00AA1171">
        <w:t xml:space="preserve">and </w:t>
      </w:r>
      <w:r w:rsidRPr="007D4F5A">
        <w:t xml:space="preserve">Logg &amp; Minson </w:t>
      </w:r>
      <w:r w:rsidR="00AA1171">
        <w:t>(</w:t>
      </w:r>
      <w:r w:rsidRPr="007D4F5A">
        <w:t>2022)</w:t>
      </w:r>
      <w:r>
        <w:fldChar w:fldCharType="end"/>
      </w:r>
      <w:r w:rsidR="00AA1171">
        <w:t xml:space="preserve"> </w:t>
      </w:r>
      <w:r>
        <w:t>documented the complementary phenomenon of algorithm appreciation</w:t>
      </w:r>
      <w:r w:rsidR="000F50E4">
        <w:t xml:space="preserve">, </w:t>
      </w:r>
      <w:r>
        <w:t>conditions under which people prefer algorithmic to human judgment</w:t>
      </w:r>
      <w:r w:rsidR="000F50E4">
        <w:t xml:space="preserve">, </w:t>
      </w:r>
      <w:r>
        <w:t>and found it is most pronounced in domains perceived as opaque and least pronounced in domains perceived as requiring human qualities</w:t>
      </w:r>
      <w:r w:rsidR="009B0452">
        <w:t xml:space="preserve">, including </w:t>
      </w:r>
      <w:r>
        <w:t>character assessment</w:t>
      </w:r>
      <w:r w:rsidR="009B0452">
        <w:t xml:space="preserve"> and</w:t>
      </w:r>
      <w:r>
        <w:t xml:space="preserve"> ethical judgment. These findings caution against generic claims about algorithm aversion and underscore the domain-specificity of trust dynamics.</w:t>
      </w:r>
    </w:p>
    <w:p w14:paraId="3878A036" w14:textId="3D9D811F" w:rsidR="006F243D" w:rsidRPr="000F297F" w:rsidRDefault="00000000" w:rsidP="000F297F">
      <w:pPr>
        <w:pStyle w:val="Heading2"/>
      </w:pPr>
      <w:bookmarkStart w:id="23" w:name="_Toc225135056"/>
      <w:r w:rsidRPr="00E4074A">
        <w:t>Automation Bias and Over-Trust</w:t>
      </w:r>
      <w:bookmarkEnd w:id="23"/>
    </w:p>
    <w:p w14:paraId="06A710DC" w14:textId="5B99AE8C" w:rsidR="006F243D" w:rsidRDefault="00000000" w:rsidP="00CF71C4">
      <w:r>
        <w:t>Automation bias</w:t>
      </w:r>
      <w:r w:rsidR="005F6FCB">
        <w:t xml:space="preserve">, </w:t>
      </w:r>
      <w:r>
        <w:t>the tendency to over-rely on automated recommendations</w:t>
      </w:r>
      <w:r w:rsidR="005F6FCB">
        <w:t xml:space="preserve">, </w:t>
      </w:r>
      <w:r>
        <w:t xml:space="preserve">is documented across aviation </w:t>
      </w:r>
      <w:r w:rsidR="00784556">
        <w:fldChar w:fldCharType="begin"/>
      </w:r>
      <w:r w:rsidR="00784556">
        <w:instrText xml:space="preserve"> ADDIN ZOTERO_ITEM CSL_CITATION {"citationID":"AtVtsXsv","properties":{"formattedCitation":"(Jerry et al., 2026; Mosier et al., 1998)","plainCitation":"(Jerry et al., 2026; Mosier et al., 1998)","noteIndex":0},"citationItems":[{"id":3049,"uris":["http://zotero.org/users/6567242/items/CYPMZHD4"],"itemData":{"id":3049,"type":"article","abstract":"LLM-generated interfaces are increasingly used in high-consequence workflows (e.g., healthcare communication), where how information is presented can impact downstream actions. These interfaces and their content support human interaction with AI-assisted decision-making and communication processes and should remain accessible and usable for people with disabilities. Accessible plain-language interfaces serve as an enabling infrastructure for meaningful human oversight. In these contexts, ethical and trustworthiness risks, including hallucinations, semantic distortion, bias, and accessibility barriers, can undermine reliability and limit users' ability to understand, monitor, and intervene in AI-supported processes. Yet, in practice, oversight is often treated as a downstream check, without clear rules for when human intervention is required or who is accountable. We propose oversight-by-design: embedding human judgment across the pipeline as an architectural commitment, implemented via escalation policies and explicit UI controls for risk signalling and intervention. Automated checks flag risk in generated UI communication that supports high-stakes workflows (e.g., readability, semantic fidelity, factual consistency, and standards-based accessibility constraints) and escalate to mandatory Human-in-the-Loop (HITL) review before release when thresholds are violated, or uncertainty is high. Human-on-the-Loop (HOTL) supervision monitors system-level signals over time (alerts, escalation rates, and compliance evidence) to tune policies and detect drift. Structured review feedback is translated into governance actions (rule and prompt updates, threshold calibration, and traceable audit logs), enabling scalable intervention and verifiable oversight for generative UI systems that support high-stakes workflows.","DOI":"10.48550/ARXIV.2602.13745","license":"Creative Commons Attribution 4.0 International","source":"DOI.org (Datacite)","title":"Human Oversight-by-Design for Accessible Generative IUIs","URL":"https://arxiv.org/abs/2602.13745","author":[{"family":"Jerry","given":"Blessing"},{"family":"Moreno","given":"Lourdes"},{"family":"Martínez","given":"Paloma"}],"accessed":{"date-parts":[["2026",3,26]]},"issued":{"date-parts":[["2026"]]}}},{"id":3048,"uris":["http://zotero.org/users/6567242/items/47GTNPW7"],"itemData":{"id":3048,"type":"article-journal","container-title":"The International Journal of Aviation Psychology","DOI":"10.1207/s15327108ijap0801_3","ISSN":"1050-8414, 1532-7108","issue":"1","journalAbbreviation":"The International Journal of Aviation Psychology","language":"en","page":"47-63","source":"DOI.org (Crossref)","title":"Automation Bias: Decision Making and Performance in High-Tech Cockpits","title-short":"Automation Bias","volume":"8","author":[{"family":"Mosier","given":"Kathleen L."},{"family":"Skitka","given":"Linda J."},{"family":"Heers","given":"Susan"},{"family":"Burdick","given":"Mark"}],"issued":{"date-parts":[["1998",1]]}}}],"schema":"https://github.com/citation-style-language/schema/raw/master/csl-citation.json"} </w:instrText>
      </w:r>
      <w:r w:rsidR="00784556">
        <w:fldChar w:fldCharType="separate"/>
      </w:r>
      <w:r w:rsidR="00784556" w:rsidRPr="00784556">
        <w:t>(Jerry et al., 2026; Mosier et al., 1998)</w:t>
      </w:r>
      <w:r w:rsidR="00784556">
        <w:fldChar w:fldCharType="end"/>
      </w:r>
      <w:r>
        <w:t xml:space="preserve">, clinical medicine </w:t>
      </w:r>
      <w:r w:rsidR="00022A90">
        <w:fldChar w:fldCharType="begin"/>
      </w:r>
      <w:r w:rsidR="00022A90">
        <w:instrText xml:space="preserve"> ADDIN ZOTERO_ITEM CSL_CITATION {"citationID":"ysAmshHp","properties":{"formattedCitation":"(Cabitza et al., 2021)","plainCitation":"(Cabitza et al., 2021)","noteIndex":0},"citationItems":[{"id":3013,"uris":["http://zotero.org/users/6567242/items/K9N5RXFG"],"itemData":{"id":3013,"type":"article-journal","container-title":"Artificial Intelligence in Medicine","DOI":"10.1016/j.artmed.2021.102121","language":"en","page":"102121","title":"The need to rehumanize clinical AI","volume":"118","author":[{"family":"Cabitza","given":"F."},{"family":"Campagner","given":"A."},{"family":"Ferrari","given":"D."},{"family":"Ciucci","given":"D."}],"issued":{"date-parts":[["2021"]]}}}],"schema":"https://github.com/citation-style-language/schema/raw/master/csl-citation.json"} </w:instrText>
      </w:r>
      <w:r w:rsidR="00022A90">
        <w:fldChar w:fldCharType="separate"/>
      </w:r>
      <w:r w:rsidR="00022A90" w:rsidRPr="00022A90">
        <w:t>(Cabitza et al., 2021)</w:t>
      </w:r>
      <w:r w:rsidR="00022A90">
        <w:fldChar w:fldCharType="end"/>
      </w:r>
      <w:r>
        <w:t xml:space="preserve">, and judicial risk assessment </w:t>
      </w:r>
      <w:r w:rsidR="00F2097F">
        <w:fldChar w:fldCharType="begin"/>
      </w:r>
      <w:r w:rsidR="00F2097F">
        <w:instrText xml:space="preserve"> ADDIN ZOTERO_ITEM CSL_CITATION {"citationID":"B3jGJJq8","properties":{"formattedCitation":"(Dressel &amp; Farid, 2018)","plainCitation":"(Dressel &amp; Farid, 2018)","noteIndex":0},"citationItems":[{"id":3050,"uris":["http://zotero.org/users/6567242/items/UAQKW9Y7"],"itemData":{"id":3050,"type":"article-journal","abstract":"Should we trust computers to make life-altering decisions in the criminal justice system?\n          , \n            Algorithms for predicting recidivism are commonly used to assess a criminal defendant’s likelihood of committing a crime. These predictions are used in pretrial, parole, and sentencing decisions. Proponents of these systems argue that big data and advanced machine learning make these analyses more accurate and less biased than humans. We show, however, that the widely used commercial risk assessment software COMPAS is no more accurate or fair than predictions made by people with little or no criminal justice expertise. In addition, despite COMPAS’s collection of 137 features, the same accuracy can be achieved with a simple linear classifier with only two features.","container-title":"Science Advances","DOI":"10.1126/sciadv.aao5580","ISSN":"2375-2548","issue":"1","journalAbbreviation":"Sci. Adv.","language":"en","page":"eaao5580","source":"DOI.org (Crossref)","title":"The accuracy, fairness, and limits of predicting recidivism","volume":"4","author":[{"family":"Dressel","given":"Julia"},{"family":"Farid","given":"Hany"}],"issued":{"date-parts":[["2018",1,5]]}}}],"schema":"https://github.com/citation-style-language/schema/raw/master/csl-citation.json"} </w:instrText>
      </w:r>
      <w:r w:rsidR="00F2097F">
        <w:fldChar w:fldCharType="separate"/>
      </w:r>
      <w:r w:rsidR="00F2097F" w:rsidRPr="00F2097F">
        <w:t>(Dressel &amp; Farid, 2018)</w:t>
      </w:r>
      <w:r w:rsidR="00F2097F">
        <w:fldChar w:fldCharType="end"/>
      </w:r>
      <w:r>
        <w:t xml:space="preserve">. It is most pronounced under high cognitive load, time pressure, and in situations where the AI recommendation is presented prior to the human's own deliberation </w:t>
      </w:r>
      <w:r w:rsidR="00560BA7">
        <w:fldChar w:fldCharType="begin"/>
      </w:r>
      <w:r w:rsidR="00560BA7">
        <w:instrText xml:space="preserve"> ADDIN ZOTERO_ITEM CSL_CITATION {"citationID":"TAX778xR","properties":{"formattedCitation":"(Zhang et al., 2020)","plainCitation":"(Zhang et al., 2020)","noteIndex":0},"citationItems":[{"id":3010,"uris":["http://zotero.org/users/6567242/items/CK3V2FNP"],"itemData":{"id":3010,"type":"paper-conference","container-title":"Proceedings of the 2020 Conference on Fairness, Accountability, and Transparency","DOI":"10.1145/3351095.3372852","event-title":"FAT* '20: Conference on Fairness, Accountability, and Transparency","ISBN":"978-1-4503-6936-7","language":"en","page":"295-305","publisher":"ACM","publisher-place":"Barcelona Spain","source":"DOI.org (Crossref)","title":"Effect of confidence and explanation on accuracy and trust calibration in AI-assisted decision making","URL":"https://dl.acm.org/doi/10.1145/3351095.3372852","author":[{"family":"Zhang","given":"Yunfeng"},{"family":"Liao","given":"Q. Vera"},{"family":"Bellamy","given":"Rachel K. E."}],"accessed":{"date-parts":[["2026",3,23]]},"issued":{"date-parts":[["2020",1,27]]}}}],"schema":"https://github.com/citation-style-language/schema/raw/master/csl-citation.json"} </w:instrText>
      </w:r>
      <w:r w:rsidR="00560BA7">
        <w:fldChar w:fldCharType="separate"/>
      </w:r>
      <w:r w:rsidR="00560BA7" w:rsidRPr="00560BA7">
        <w:t>(Zhang et al., 2020)</w:t>
      </w:r>
      <w:r w:rsidR="00560BA7">
        <w:fldChar w:fldCharType="end"/>
      </w:r>
      <w:r>
        <w:t>.</w:t>
      </w:r>
    </w:p>
    <w:p w14:paraId="523E8836" w14:textId="3EC4A8F3" w:rsidR="006F243D" w:rsidRDefault="00473216" w:rsidP="00CF71C4">
      <w:r>
        <w:fldChar w:fldCharType="begin"/>
      </w:r>
      <w:r w:rsidR="00724CFF">
        <w:instrText xml:space="preserve"> ADDIN ZOTERO_ITEM CSL_CITATION {"citationID":"FVFoLhCq","properties":{"formattedCitation":"(Romeo &amp; Conti, 2026)","plainCitation":"(Romeo &amp; Conti, 2026)","dontUpdate":true,"noteIndex":0},"citationItems":[{"id":3047,"uris":["http://zotero.org/users/6567242/items/XRRDJQLD"],"itemData":{"id":3047,"type":"article-journal","abstract":"Abstract\n            As Artificial Intelligence (AI) becomes increasingly embedded in high-stakes domains such as healthcare, law, and public administration, automation bias (AB)—the tendency to over-rely on automated recommendations—has emerged as a critical challenge in human–AI collaboration. While previous reviews have examined AB in traditional computer-assisted decision-making, research on its implications in modern AI-driven work environments remains limited. To address this gap, this research systematically investigates how AB manifests in these settings and the cognitive mechanisms that influence it. Following PRISMA 2020 guidelines, we reviewed 35 peer-reviewed studies from SCOPUS, ScienceDirect, PubMed, and Google Scholar. The included literature, published between January 2015 and April 2025, spans fields such as cognitive psychology, human factors engineering, human–computer interaction, and neuroscience, providing an interdisciplinary foundation for our analysis. Traditional perspectives attribute AB to over-trust in automation or attentional constraints, resulting in users perceiving AI-generated outputs as reliable. However, our review presents a more nuanced view. While confirming some prior findings, it also sheds light on additional interacting factors such as, AI literacy, level of professional expertise, cognitive profile, developmental trust dynamics, task verification demands, and explanation complexity. Notably, although Explainable AI (XAI) and transparency mechanisms are designed to mitigate AB, overly technical, cognitively demanding, or even simplistic explanations may inadvertently reinforce misplaced trust, especially among less experienced professionals with low AI literacy. Taken together, these findings suggest that although explanations may increase perceived system acceptability, they are often insufficient to improve decision accuracy or mitigate AB. Instead, user engagement emerges as the most feasible and impactful point of intervention. As increased verification effort has been shown to reduce complacency toward AI mis-recommendations, we propose explanation design strategies that actively promote critical engagement and independent verification. These conclusions offer both theoretical and practical contributions to bias-aware AI development, underscoring that explanation usability is best supported by features such as understandability and adaptiveness.","container-title":"AI &amp; SOCIETY","DOI":"10.1007/s00146-025-02422-7","ISSN":"0951-5666, 1435-5655","issue":"1","journalAbbreviation":"AI &amp; Soc","language":"en","page":"259-278","source":"DOI.org (Crossref)","title":"Exploring automation bias in human–AI collaboration: a review and implications for explainable AI","title-short":"Exploring automation bias in human–AI collaboration","volume":"41","author":[{"family":"Romeo","given":"Giuseppe"},{"family":"Conti","given":"Daniela"}],"issued":{"date-parts":[["2026",1]]}}}],"schema":"https://github.com/citation-style-language/schema/raw/master/csl-citation.json"} </w:instrText>
      </w:r>
      <w:r>
        <w:fldChar w:fldCharType="separate"/>
      </w:r>
      <w:r w:rsidRPr="00473216">
        <w:t xml:space="preserve">Romeo </w:t>
      </w:r>
      <w:r>
        <w:t>and</w:t>
      </w:r>
      <w:r w:rsidRPr="00473216">
        <w:t xml:space="preserve"> Conti </w:t>
      </w:r>
      <w:r>
        <w:t>(</w:t>
      </w:r>
      <w:r w:rsidRPr="00473216">
        <w:t>2026)</w:t>
      </w:r>
      <w:r>
        <w:fldChar w:fldCharType="end"/>
      </w:r>
      <w:r>
        <w:t xml:space="preserve"> argue that complacency and automation bias, while phenomenologically similar, have distinct causal pathways</w:t>
      </w:r>
      <w:r w:rsidR="00B85C8B">
        <w:t>.</w:t>
      </w:r>
      <w:r>
        <w:t xml:space="preserve"> </w:t>
      </w:r>
      <w:r w:rsidR="00B85C8B">
        <w:t>C</w:t>
      </w:r>
      <w:r>
        <w:t xml:space="preserve">omplacency is primarily an attentional phenomenon </w:t>
      </w:r>
      <w:r w:rsidR="008F0A1B">
        <w:t xml:space="preserve">that </w:t>
      </w:r>
      <w:r>
        <w:t>monitor</w:t>
      </w:r>
      <w:r w:rsidR="008F0A1B">
        <w:t>s</w:t>
      </w:r>
      <w:r>
        <w:t xml:space="preserve"> </w:t>
      </w:r>
      <w:r w:rsidR="008F0A1B">
        <w:t xml:space="preserve">how </w:t>
      </w:r>
      <w:r>
        <w:t>effort decreases over time when the AI rarely errs</w:t>
      </w:r>
      <w:r w:rsidR="008F0A1B">
        <w:t>,</w:t>
      </w:r>
      <w:r>
        <w:t xml:space="preserve"> whereas automation bias is primarily a decision-process phenomenon </w:t>
      </w:r>
      <w:r w:rsidR="008F0A1B">
        <w:t xml:space="preserve">when </w:t>
      </w:r>
      <w:r>
        <w:t>AI recommendations serve as strong anchors that are insufficiently adjusted. This distinction matters for oversight design</w:t>
      </w:r>
      <w:r w:rsidR="006B0EAB">
        <w:t xml:space="preserve"> since</w:t>
      </w:r>
      <w:r>
        <w:t xml:space="preserve"> complacency requires mechanisms that maintain vigilance, whereas automation bias requires mechanisms that interrupt anchoring</w:t>
      </w:r>
      <w:r w:rsidR="00F047D4">
        <w:t xml:space="preserve">, </w:t>
      </w:r>
      <w:r>
        <w:t>requiring explicit human prediction before AI disclosure, or presenting AI confidence alongside human-elicited confidence.</w:t>
      </w:r>
    </w:p>
    <w:p w14:paraId="43FC539D" w14:textId="14A43272" w:rsidR="006F243D" w:rsidRDefault="004C6467" w:rsidP="00CF71C4">
      <w:r>
        <w:fldChar w:fldCharType="begin"/>
      </w:r>
      <w:r w:rsidR="00724CFF">
        <w:instrText xml:space="preserve"> ADDIN ZOTERO_ITEM CSL_CITATION {"citationID":"3KBmSfm7","properties":{"formattedCitation":"(Zhang et al., 2020)","plainCitation":"(Zhang et al., 2020)","dontUpdate":true,"noteIndex":0},"citationItems":[{"id":3010,"uris":["http://zotero.org/users/6567242/items/CK3V2FNP"],"itemData":{"id":3010,"type":"paper-conference","container-title":"Proceedings of the 2020 Conference on Fairness, Accountability, and Transparency","DOI":"10.1145/3351095.3372852","event-title":"FAT* '20: Conference on Fairness, Accountability, and Transparency","ISBN":"978-1-4503-6936-7","language":"en","page":"295-305","publisher":"ACM","publisher-place":"Barcelona Spain","source":"DOI.org (Crossref)","title":"Effect of confidence and explanation on accuracy and trust calibration in AI-assisted decision making","URL":"https://dl.acm.org/doi/10.1145/3351095.3372852","author":[{"family":"Zhang","given":"Yunfeng"},{"family":"Liao","given":"Q. Vera"},{"family":"Bellamy","given":"Rachel K. E."}],"accessed":{"date-parts":[["2026",3,23]]},"issued":{"date-parts":[["2020",1,27]]}}}],"schema":"https://github.com/citation-style-language/schema/raw/master/csl-citation.json"} </w:instrText>
      </w:r>
      <w:r>
        <w:fldChar w:fldCharType="separate"/>
      </w:r>
      <w:r w:rsidRPr="004C6467">
        <w:t xml:space="preserve">Zhang et al. </w:t>
      </w:r>
      <w:r>
        <w:t>(</w:t>
      </w:r>
      <w:r w:rsidRPr="004C6467">
        <w:t>2020)</w:t>
      </w:r>
      <w:r>
        <w:fldChar w:fldCharType="end"/>
      </w:r>
      <w:r>
        <w:t xml:space="preserve"> conducted a controlled experiment demonstrating that displaying AI confidence scores without accompanying explanations produced significantly worse trust calibration than either displaying scores with explanations or displaying neither. This finding suggests that partial transparency</w:t>
      </w:r>
      <w:r w:rsidR="00856802">
        <w:t xml:space="preserve">, </w:t>
      </w:r>
      <w:r>
        <w:t>providing numerical outputs without interpretive context</w:t>
      </w:r>
      <w:r w:rsidR="00856802">
        <w:t xml:space="preserve">, </w:t>
      </w:r>
      <w:r>
        <w:t>may be worse than opacity for calibration purposes, a counterintuitive result with significant implications for dashboard design.</w:t>
      </w:r>
    </w:p>
    <w:p w14:paraId="42207943" w14:textId="25D6D45C" w:rsidR="006F243D" w:rsidRPr="000F297F" w:rsidRDefault="00000000" w:rsidP="000F297F">
      <w:pPr>
        <w:pStyle w:val="Heading2"/>
      </w:pPr>
      <w:bookmarkStart w:id="24" w:name="_Toc225135057"/>
      <w:r w:rsidRPr="00E4074A">
        <w:t>Achieving Calibrated Trust</w:t>
      </w:r>
      <w:bookmarkEnd w:id="24"/>
    </w:p>
    <w:p w14:paraId="72D8E743" w14:textId="58593028" w:rsidR="006F243D" w:rsidRDefault="00193F57" w:rsidP="00CF71C4">
      <w:r>
        <w:fldChar w:fldCharType="begin"/>
      </w:r>
      <w:r w:rsidR="00724CFF">
        <w:instrText xml:space="preserve"> ADDIN ZOTERO_ITEM CSL_CITATION {"citationID":"aMDe17ad","properties":{"formattedCitation":"(Hemmer et al., 2021)","plainCitation":"(Hemmer et al., 2021)","dontUpdate":true,"noteIndex":0},"citationItems":[{"id":2963,"uris":["http://zotero.org/users/6567242/items/9XNJ45QL"],"itemData":{"id":2963,"type":"paper-conference","container-title":"PACIS 2021 Proceedings","publisher":"AIS eLibrary","publisher-place":"Karlsruhe Institute of Technology","source":"COinS","title":"Human-AI Complementarity in Hybrid Intelligence Systems: A Structured Literature Review","title-short":"Human-AI Complementarity in Hybrid Intelligence Systems","URL":"https://aisel.aisnet.org/pacis2021/78","volume":"78","author":[{"family":"Hemmer","given":"Patrick"},{"family":"Schemmer","given":"Max"},{"family":"Vössing","given":"Michael"},{"family":"Kühl","given":"Niklas"}],"issued":{"date-parts":[["2021",7,12]]}}}],"schema":"https://github.com/citation-style-language/schema/raw/master/csl-citation.json"} </w:instrText>
      </w:r>
      <w:r>
        <w:fldChar w:fldCharType="separate"/>
      </w:r>
      <w:r w:rsidRPr="00193F57">
        <w:t>Hemmer et al.</w:t>
      </w:r>
      <w:r w:rsidR="003D2532">
        <w:t>'s</w:t>
      </w:r>
      <w:r w:rsidRPr="00193F57">
        <w:t xml:space="preserve"> </w:t>
      </w:r>
      <w:r>
        <w:t>(</w:t>
      </w:r>
      <w:r w:rsidRPr="00193F57">
        <w:t>2021)</w:t>
      </w:r>
      <w:r>
        <w:fldChar w:fldCharType="end"/>
      </w:r>
      <w:r>
        <w:t xml:space="preserve"> meta-synthesis identified three conditions necessary for achieving calibrated trust: (</w:t>
      </w:r>
      <w:r w:rsidR="00AC0D3B">
        <w:t>i</w:t>
      </w:r>
      <w:r>
        <w:t>) AI competency visibility—operators must be able to identify the conditions under which the AI is likely to be right or wrong; (</w:t>
      </w:r>
      <w:r w:rsidR="008D0318">
        <w:t>ii</w:t>
      </w:r>
      <w:r>
        <w:t>) feedback timeliness—performance feedback must be proximate enough in time to update operator mental models; and (</w:t>
      </w:r>
      <w:r w:rsidR="008D0318">
        <w:t>iii</w:t>
      </w:r>
      <w:r>
        <w:t>) role clarity—the boundary between AI and human decision authority must be unambiguous.</w:t>
      </w:r>
    </w:p>
    <w:p w14:paraId="062CF313" w14:textId="4F24CE2E" w:rsidR="006F243D" w:rsidRDefault="00CC663B" w:rsidP="00CF71C4">
      <w:r>
        <w:fldChar w:fldCharType="begin"/>
      </w:r>
      <w:r w:rsidR="00724CFF">
        <w:instrText xml:space="preserve"> ADDIN ZOTERO_ITEM CSL_CITATION {"citationID":"0KGJ8Bcl","properties":{"formattedCitation":"(Cabrera et al., 2023)","plainCitation":"(Cabrera et al., 2023)","dontUpdate":true,"noteIndex":0},"citationItems":[{"id":2967,"uris":["http://zotero.org/users/6567242/items/LCPJWD44"],"itemData":{"id":2967,"type":"article-journal","abstract":"People work with AI systems to improve their decision making, but often under- or over-rely on AI predictions and perform worse than they would have unassisted. To help people appropriately rely on AI aids, we propose showing them behavior descriptions, details of how AI systems perform on subgroups of instances. We tested the efficacy of behavior descriptions through user studies with 225 participants in three distinct domains: fake review detection, satellite image classification, and bird classification. We found that behavior descriptions can increase human-AI accuracy through two mechanisms: helping people identify AI failures and increasing people's reliance on the AI when it is more accurate. These findings highlight the importance of people's mental models in human-AI collaboration and show that informing people of high-level AI behaviors can significantly improve AI-assisted decision making.","container-title":"Proceedings of the ACM on Human-Computer Interaction","DOI":"10.1145/3579612","ISSN":"2573-0142","issue":"CSCW1","journalAbbreviation":"Proc. ACM Hum.-Comput. Interact.","language":"en","page":"1-21","source":"DOI.org (Crossref)","title":"Improving Human-AI Collaboration With Descriptions of AI Behavior","volume":"7","author":[{"family":"Cabrera","given":"Ángel Alexander"},{"family":"Perer","given":"Adam"},{"family":"Hong","given":"Jason I."}],"issued":{"date-parts":[["2023",4,14]]}}}],"schema":"https://github.com/citation-style-language/schema/raw/master/csl-citation.json"} </w:instrText>
      </w:r>
      <w:r>
        <w:fldChar w:fldCharType="separate"/>
      </w:r>
      <w:r w:rsidRPr="00CC663B">
        <w:t xml:space="preserve">Cabrera et al. </w:t>
      </w:r>
      <w:r>
        <w:t>(</w:t>
      </w:r>
      <w:r w:rsidRPr="00CC663B">
        <w:t>2023)</w:t>
      </w:r>
      <w:r>
        <w:fldChar w:fldCharType="end"/>
      </w:r>
      <w:r w:rsidR="00AB28DA">
        <w:t xml:space="preserve"> found that brief behavioural descriptions of AI capabilities improved calibration more than numerical performance metrics, particularly for expert users whose existing mental models of AI were systematically biased toward assuming AI superiority in their own domain.</w:t>
      </w:r>
    </w:p>
    <w:p w14:paraId="0575CB97" w14:textId="4A1FE7CE" w:rsidR="006F243D" w:rsidRDefault="00D57448" w:rsidP="00CF71C4">
      <w:r>
        <w:fldChar w:fldCharType="begin"/>
      </w:r>
      <w:r w:rsidR="00724CFF">
        <w:instrText xml:space="preserve"> ADDIN ZOTERO_ITEM CSL_CITATION {"citationID":"NMrm6MB9","properties":{"formattedCitation":"(Bansal et al., 2021)","plainCitation":"(Bansal et al., 2021)","dontUpdate":true,"noteIndex":0},"citationItems":[{"id":2943,"uris":["http://zotero.org/users/6567242/items/6G5AA3SI"],"itemData":{"id":2943,"type":"paper-conference","container-title":"Proceedings of the 2021 CHI Conference on Human Factors in Computing Systems","DOI":"10.1145/3411764.3445717","event-title":"CHI '21: CHI Conference on Human Factors in Computing Systems","ISBN":"978-1-4503-8096-6","language":"en","page":"1-16","publisher":"ACM","publisher-place":"Yokohama Japan","source":"DOI.org (Crossref)","title":"Does the Whole Exceed its Parts? The Effect of AI Explanations on Complementary Team Performance","title-short":"Does the Whole Exceed its Parts?","URL":"https://dl.acm.org/doi/10.1145/3411764.3445717","author":[{"family":"Bansal","given":"Gagan"},{"family":"Wu","given":"Tongshuang"},{"family":"Zhou","given":"Joyce"},{"family":"Fok","given":"Raymond"},{"family":"Nushi","given":"Besmira"},{"family":"Kamar","given":"Ece"},{"family":"Ribeiro","given":"Marco Tulio"},{"family":"Weld","given":"Daniel"}],"accessed":{"date-parts":[["2026",3,23]]},"issued":{"date-parts":[["2021",5,6]]}}}],"schema":"https://github.com/citation-style-language/schema/raw/master/csl-citation.json"} </w:instrText>
      </w:r>
      <w:r>
        <w:fldChar w:fldCharType="separate"/>
      </w:r>
      <w:r w:rsidRPr="00D57448">
        <w:t xml:space="preserve">Bansal et al. </w:t>
      </w:r>
      <w:r>
        <w:t>(</w:t>
      </w:r>
      <w:r w:rsidRPr="00D57448">
        <w:t>2021)</w:t>
      </w:r>
      <w:r>
        <w:fldChar w:fldCharType="end"/>
      </w:r>
      <w:r>
        <w:t xml:space="preserve"> introduced the important distinction between local and global trust</w:t>
      </w:r>
      <w:r w:rsidR="009643D8">
        <w:t>.</w:t>
      </w:r>
      <w:r>
        <w:t xml:space="preserve"> </w:t>
      </w:r>
      <w:r w:rsidR="009643D8">
        <w:t>L</w:t>
      </w:r>
      <w:r>
        <w:t>ocal trust refers to trust in a specific AI output, while global trust refers to trust in the system as a whole. Explanations appear to influence local trust more reliably than global trust, implying that explanation-based calibration must be supplemented with system-level performance communication to prevent global miscalibration.</w:t>
      </w:r>
    </w:p>
    <w:p w14:paraId="6A2A1C67" w14:textId="3ECBEA4C" w:rsidR="006F243D" w:rsidRPr="00E4074A" w:rsidRDefault="00000000" w:rsidP="000F297F">
      <w:pPr>
        <w:pStyle w:val="Heading2"/>
      </w:pPr>
      <w:bookmarkStart w:id="25" w:name="_Toc225135058"/>
      <w:r w:rsidRPr="00E4074A">
        <w:t>Sector-Specific Analysis of Oversight Frameworks</w:t>
      </w:r>
      <w:bookmarkEnd w:id="25"/>
    </w:p>
    <w:p w14:paraId="6C908F68" w14:textId="3853C0A2" w:rsidR="006F243D" w:rsidRDefault="00000000" w:rsidP="00CF71C4">
      <w:r>
        <w:lastRenderedPageBreak/>
        <w:t xml:space="preserve">The following sections </w:t>
      </w:r>
      <w:r w:rsidR="00126B60">
        <w:t>summarize</w:t>
      </w:r>
      <w:r>
        <w:t xml:space="preserve"> findings from the most extensively studied sectors in </w:t>
      </w:r>
      <w:r w:rsidR="00912F4D">
        <w:t xml:space="preserve">the </w:t>
      </w:r>
      <w:r>
        <w:t>corpus</w:t>
      </w:r>
      <w:r w:rsidR="00912F4D">
        <w:t xml:space="preserve"> of this study</w:t>
      </w:r>
      <w:r w:rsidR="00E814BD">
        <w:t>.</w:t>
      </w:r>
    </w:p>
    <w:p w14:paraId="00DA6985" w14:textId="2FE82C7E" w:rsidR="006F243D" w:rsidRPr="00E4074A" w:rsidRDefault="00000000" w:rsidP="000F297F">
      <w:pPr>
        <w:pStyle w:val="Heading3"/>
      </w:pPr>
      <w:bookmarkStart w:id="26" w:name="_Toc225135059"/>
      <w:r w:rsidRPr="00E4074A">
        <w:t>Healthcare and Clinical AI</w:t>
      </w:r>
      <w:bookmarkEnd w:id="26"/>
    </w:p>
    <w:p w14:paraId="560EB39C" w14:textId="69FC0728" w:rsidR="006F243D" w:rsidRDefault="00000000" w:rsidP="00CF71C4">
      <w:r>
        <w:t>Healthcare represents the largest and most methodologically diverse sector in</w:t>
      </w:r>
      <w:r w:rsidR="00622831">
        <w:t xml:space="preserve"> this study’s</w:t>
      </w:r>
      <w:r>
        <w:t xml:space="preserve"> corpus (n = 47 studies). The combination of high task criticality, complex regulatory environments, and the well-documented phenomenon of automation bias in clinical settings makes healthcare a paradigmatic case for HITL design.</w:t>
      </w:r>
    </w:p>
    <w:p w14:paraId="0D0D4C88" w14:textId="6DC3BAFF" w:rsidR="006F243D" w:rsidRDefault="0061560B" w:rsidP="00CF71C4">
      <w:r>
        <w:fldChar w:fldCharType="begin"/>
      </w:r>
      <w:r w:rsidR="0005146C">
        <w:instrText xml:space="preserve"> ADDIN ZOTERO_ITEM CSL_CITATION {"citationID":"E0cTnVH4","properties":{"formattedCitation":"(Cabitza et al., 2021)","plainCitation":"(Cabitza et al., 2021)","dontUpdate":true,"noteIndex":0},"citationItems":[{"id":3013,"uris":["http://zotero.org/users/6567242/items/K9N5RXFG"],"itemData":{"id":3013,"type":"article-journal","container-title":"Artificial Intelligence in Medicine","DOI":"10.1016/j.artmed.2021.102121","language":"en","page":"102121","title":"The need to rehumanize clinical AI","volume":"118","author":[{"family":"Cabitza","given":"F."},{"family":"Campagner","given":"A."},{"family":"Ferrari","given":"D."},{"family":"Ciucci","given":"D."}],"issued":{"date-parts":[["2021"]]}}}],"schema":"https://github.com/citation-style-language/schema/raw/master/csl-citation.json"} </w:instrText>
      </w:r>
      <w:r>
        <w:fldChar w:fldCharType="separate"/>
      </w:r>
      <w:r w:rsidRPr="0061560B">
        <w:t>Cabitza et al.</w:t>
      </w:r>
      <w:r>
        <w:t>'s</w:t>
      </w:r>
      <w:r w:rsidRPr="0061560B">
        <w:t xml:space="preserve"> </w:t>
      </w:r>
      <w:r>
        <w:t>(</w:t>
      </w:r>
      <w:r w:rsidRPr="0061560B">
        <w:t>2021)</w:t>
      </w:r>
      <w:r>
        <w:fldChar w:fldCharType="end"/>
      </w:r>
      <w:r>
        <w:t xml:space="preserve"> systematic review argues for the </w:t>
      </w:r>
      <w:r w:rsidR="0010121E">
        <w:t>‘</w:t>
      </w:r>
      <w:r>
        <w:t>rehumani</w:t>
      </w:r>
      <w:r w:rsidR="00977100">
        <w:t>z</w:t>
      </w:r>
      <w:r>
        <w:t>ation</w:t>
      </w:r>
      <w:r w:rsidR="0010121E">
        <w:t>’</w:t>
      </w:r>
      <w:r>
        <w:t xml:space="preserve"> of clinical AI</w:t>
      </w:r>
      <w:r w:rsidR="00734493">
        <w:t xml:space="preserve">, </w:t>
      </w:r>
      <w:r>
        <w:t xml:space="preserve">a deliberate reduction in automation scope to restore physician agency and accountability. This position is supported by evidence that physicians derive epistemic confidence from the process of clinical reasoning itself, not merely from the accuracy of its outputs, and that AI-assisted workflows that bypass this process produce worse outcomes even when the AI is more accurate than the physician </w:t>
      </w:r>
      <w:r w:rsidR="00821CE6">
        <w:fldChar w:fldCharType="begin"/>
      </w:r>
      <w:r w:rsidR="0005146C">
        <w:instrText xml:space="preserve"> ADDIN ZOTERO_ITEM CSL_CITATION {"citationID":"pWSX1zec","properties":{"formattedCitation":"(Cai et al., 2021)","plainCitation":"(Cai et al., 2021)","dontUpdate":true,"noteIndex":0},"citationItems":[{"id":3031,"uris":["http://zotero.org/users/6567242/items/FQ44H5YB"],"itemData":{"id":3031,"type":"article-journal","abstract":"Although rapid advances in machine learning have made it increasingly applicable to expert decision-making, the delivery of accurate algorithmic predictions alone is insufficient for effective human-AI collaboration. In this work, we investigate the key types of information medical experts desire when they are first introduced to a diagnostic AI assistant. In a qualitative lab study, we interviewed 21 pathologists before, during, and after being presented deep neural network (DNN) predictions for prostate cancer diagnosis, to learn the types of information that they desired about the AI assistant. Our findings reveal that, far beyond understanding the local, case-specific reasoning behind any model decision, clinicians desired upfront information about basic, global properties of the model, such as its known strengths and limitations, its subjective point-of-view, and its overall design objective--what it's designed to be optimized for. Participants compared these information needs to the collaborative mental models they develop of their medical colleagues when seeking a second opinion: the medical perspectives and standards that those colleagues embody, and the compatibility of those perspectives with their own diagnostic patterns. These findings broaden and enrich discussions surrounding AI transparency for collaborative decision-making, providing a richer understanding of what experts find important in their introduction to AI assistants before integrating them into routine practice.","container-title":"ACM Computing Surveys","DOI":"10.1145/1122445.1122456","ISSN":"2573-0142","issue":"CHI 2021 Japan","journalAbbreviation":"ACM Comput. Surv.","language":"en","page":"1-11","publisher":"Proceedings of the ACM SIGCHI Conference on Human Factors in Computing Systems, ACM","publisher-place":"New York, USA","source":"DOI.org (Crossref)","title":"Onboarding Materials as Cross-functional Boundary Objects for Developing AI Assistant","title-short":"Hello AI","author":[{"family":"Cai","given":"Carrie J."},{"family":"Winter","given":"Samantha"},{"family":"Steiner","given":"David"},{"family":"Wilcox","given":"Lauren"},{"family":"Terry","given":"Michael"}],"issued":{"date-parts":[["2021"]]}}}],"schema":"https://github.com/citation-style-language/schema/raw/master/csl-citation.json"} </w:instrText>
      </w:r>
      <w:r w:rsidR="00821CE6">
        <w:fldChar w:fldCharType="separate"/>
      </w:r>
      <w:r w:rsidR="00821CE6" w:rsidRPr="00821CE6">
        <w:t xml:space="preserve">Cai et al. </w:t>
      </w:r>
      <w:r w:rsidR="00821CE6">
        <w:t>(</w:t>
      </w:r>
      <w:r w:rsidR="00821CE6" w:rsidRPr="00821CE6">
        <w:t>2021)</w:t>
      </w:r>
      <w:r w:rsidR="00821CE6">
        <w:fldChar w:fldCharType="end"/>
      </w:r>
      <w:r>
        <w:t xml:space="preserve">. </w:t>
      </w:r>
      <w:r w:rsidR="002F49D5">
        <w:fldChar w:fldCharType="begin"/>
      </w:r>
      <w:r w:rsidR="0005146C">
        <w:instrText xml:space="preserve"> ADDIN ZOTERO_ITEM CSL_CITATION {"citationID":"opuVwjHF","properties":{"formattedCitation":"(Topol, 2019)","plainCitation":"(Topol, 2019)","dontUpdate":true,"noteIndex":0},"citationItems":[{"id":2997,"uris":["http://zotero.org/users/6567242/items/8WHQEXJ6"],"itemData":{"id":2997,"type":"article-journal","container-title":"Nature Medicine","DOI":"10.1038/s41591-018-0300-7","ISSN":"1078-8956, 1546-170X","issue":"1","journalAbbreviation":"Nat Med","language":"en","page":"44-56","source":"DOI.org (Crossref)","title":"High-performance medicine: the convergence of human and artificial intelligence","title-short":"High-performance medicine","volume":"25","author":[{"family":"Topol","given":"Eric J."}],"issued":{"date-parts":[["2019",1]]}}}],"schema":"https://github.com/citation-style-language/schema/raw/master/csl-citation.json"} </w:instrText>
      </w:r>
      <w:r w:rsidR="002F49D5">
        <w:fldChar w:fldCharType="separate"/>
      </w:r>
      <w:r w:rsidR="002F49D5" w:rsidRPr="002F49D5">
        <w:t xml:space="preserve">Topol </w:t>
      </w:r>
      <w:r w:rsidR="002F49D5">
        <w:t>(</w:t>
      </w:r>
      <w:r w:rsidR="002F49D5" w:rsidRPr="002F49D5">
        <w:t>2019)</w:t>
      </w:r>
      <w:r w:rsidR="002F49D5">
        <w:fldChar w:fldCharType="end"/>
      </w:r>
      <w:r>
        <w:t xml:space="preserve"> famously argued that AI's highest-value role in medicine is to free physicians from data-processing tasks to spend more time on tasks requiring empathy and judgment</w:t>
      </w:r>
      <w:r w:rsidR="00C66EDD">
        <w:t xml:space="preserve">. This is </w:t>
      </w:r>
      <w:r>
        <w:t>a vision that requires Tier I-II oversight architectures rather than high-autonomy deployments.</w:t>
      </w:r>
    </w:p>
    <w:p w14:paraId="523DA8B7" w14:textId="54CCDBCA" w:rsidR="006F243D" w:rsidRDefault="00000000" w:rsidP="00CF71C4">
      <w:r>
        <w:t xml:space="preserve">Clinical decision support systems (CDS) represent the most mature application of HITL principles in healthcare. </w:t>
      </w:r>
      <w:r w:rsidR="004435DA">
        <w:fldChar w:fldCharType="begin"/>
      </w:r>
      <w:r w:rsidR="0005146C">
        <w:instrText xml:space="preserve"> ADDIN ZOTERO_ITEM CSL_CITATION {"citationID":"r3nZ9t5A","properties":{"formattedCitation":"(Shortliffe &amp; Sep\\uc0\\u250{}lveda, 2022)","plainCitation":"(Shortliffe &amp; Sepúlveda, 2022)","dontUpdate":true,"noteIndex":0},"citationItems":[{"id":2993,"uris":["http://zotero.org/users/6567242/items/58QLWM42"],"itemData":{"id":2993,"type":"article-journal","container-title":"JAMA","DOI":"10.1001/jama.2018.17163","ISSN":"0098-7484","issue":"21","journalAbbreviation":"JAMA","language":"en","page":"2199","source":"DOI.org (Crossref)","title":"Clinical Decision Support in the Era of Artificial Intelligence","volume":"320","author":[{"family":"Shortliffe","given":"Edward H."},{"family":"Sepúlveda","given":"Martin J."}],"issued":{"date-parts":[["2022",12,4]]}}}],"schema":"https://github.com/citation-style-language/schema/raw/master/csl-citation.json"} </w:instrText>
      </w:r>
      <w:r w:rsidR="004435DA">
        <w:fldChar w:fldCharType="separate"/>
      </w:r>
      <w:r w:rsidR="004435DA" w:rsidRPr="004435DA">
        <w:t xml:space="preserve">Shortliffe </w:t>
      </w:r>
      <w:r w:rsidR="004435DA">
        <w:t>and</w:t>
      </w:r>
      <w:r w:rsidR="004435DA" w:rsidRPr="004435DA">
        <w:t xml:space="preserve"> Sepúlveda </w:t>
      </w:r>
      <w:r w:rsidR="004435DA">
        <w:t>(</w:t>
      </w:r>
      <w:r w:rsidR="004435DA" w:rsidRPr="004435DA">
        <w:t>2022)</w:t>
      </w:r>
      <w:r w:rsidR="004435DA">
        <w:fldChar w:fldCharType="end"/>
      </w:r>
      <w:r>
        <w:t xml:space="preserve"> trace the evolution of CDS from rule-based alert systems to ML-driven recommendation engines, noting that physician trust in CDS peaks when it is integrated seamlessly into clinical workflow—presenting recommendations at the point of care without requiring navigation to a separate interface—and collapses when alert fatigue, driven by high false-positive rates, causes systematic overriding. This alert fatigue phenomenon is a specific instance of the automation bias-under-trust cycle: initial over-reliance is followed by learned dismissal, with calibrated trust as the narrow path between.</w:t>
      </w:r>
    </w:p>
    <w:p w14:paraId="227E4DDF" w14:textId="2D8076FF" w:rsidR="006F243D" w:rsidRPr="00E4074A" w:rsidRDefault="00000000" w:rsidP="000F297F">
      <w:pPr>
        <w:pStyle w:val="Heading3"/>
      </w:pPr>
      <w:bookmarkStart w:id="27" w:name="_Toc225135060"/>
      <w:r w:rsidRPr="00E4074A">
        <w:t>Criminal Justice and Legal AI</w:t>
      </w:r>
      <w:bookmarkEnd w:id="27"/>
    </w:p>
    <w:p w14:paraId="627E323C" w14:textId="3BCEBE16" w:rsidR="006F243D" w:rsidRDefault="00000000" w:rsidP="00CF71C4">
      <w:r>
        <w:t>Criminal justice applications of AI</w:t>
      </w:r>
      <w:r w:rsidR="00A12A83">
        <w:t xml:space="preserve">, </w:t>
      </w:r>
      <w:r>
        <w:t>particularly recidivism prediction, facial recognition, and predictive policing</w:t>
      </w:r>
      <w:r w:rsidR="00A12A83">
        <w:t xml:space="preserve">, </w:t>
      </w:r>
      <w:r>
        <w:t>sit at the intersection of high task criticality and intense regulatory scrutiny, making them a critical test case for meaningful human oversight. The US Supreme Court's 2016 refusal to review State v. Loomis</w:t>
      </w:r>
      <w:r w:rsidR="00ED2F79">
        <w:t xml:space="preserve">, </w:t>
      </w:r>
      <w:r>
        <w:t>which upheld the use of the COMPAS recidivism tool</w:t>
      </w:r>
      <w:r w:rsidR="00ED2F79">
        <w:t>,</w:t>
      </w:r>
      <w:r>
        <w:t xml:space="preserve"> effectively validated HITL configurations in which judicial discretion is nominally preserved but practically constrained by algorithmic scores, drawing sharp criticism from legal scholars </w:t>
      </w:r>
      <w:r w:rsidR="00D9047C">
        <w:fldChar w:fldCharType="begin"/>
      </w:r>
      <w:r w:rsidR="00D9047C">
        <w:instrText xml:space="preserve"> ADDIN ZOTERO_ITEM CSL_CITATION {"citationID":"djsiM724","properties":{"formattedCitation":"(Dressel &amp; Farid, 2018; Wachter et al., 2021)","plainCitation":"(Dressel &amp; Farid, 2018; Wachter et al., 2021)","noteIndex":0},"citationItems":[{"id":3050,"uris":["http://zotero.org/users/6567242/items/UAQKW9Y7"],"itemData":{"id":3050,"type":"article-journal","abstract":"Should we trust computers to make life-altering decisions in the criminal justice system?\n          , \n            Algorithms for predicting recidivism are commonly used to assess a criminal defendant’s likelihood of committing a crime. These predictions are used in pretrial, parole, and sentencing decisions. Proponents of these systems argue that big data and advanced machine learning make these analyses more accurate and less biased than humans. We show, however, that the widely used commercial risk assessment software COMPAS is no more accurate or fair than predictions made by people with little or no criminal justice expertise. In addition, despite COMPAS’s collection of 137 features, the same accuracy can be achieved with a simple linear classifier with only two features.","container-title":"Science Advances","DOI":"10.1126/sciadv.aao5580","ISSN":"2375-2548","issue":"1","journalAbbreviation":"Sci. Adv.","language":"en","page":"eaao5580","source":"DOI.org (Crossref)","title":"The accuracy, fairness, and limits of predicting recidivism","volume":"4","author":[{"family":"Dressel","given":"Julia"},{"family":"Farid","given":"Hany"}],"issued":{"date-parts":[["2018",1,5]]}}},{"id":2998,"uris":["http://zotero.org/users/6567242/items/47LWZ6RZ"],"itemData":{"id":2998,"type":"article-journal","container-title":"Computer Law &amp; Security Review","DOI":"10.1016/j.clsr.2021.105567","ISSN":"2212473X","journalAbbreviation":"Computer Law &amp; Security Review","language":"en","page":"105567","source":"DOI.org (Crossref)","title":"Why fairness cannot be automated: Bridging the gap between EU non-discrimination law and AI","title-short":"Why fairness cannot be automated","volume":"41","author":[{"family":"Wachter","given":"Sandra"},{"family":"Mittelstadt","given":"Brent"},{"family":"Russell","given":"Chris"}],"issued":{"date-parts":[["2021",7]]}}}],"schema":"https://github.com/citation-style-language/schema/raw/master/csl-citation.json"} </w:instrText>
      </w:r>
      <w:r w:rsidR="00D9047C">
        <w:fldChar w:fldCharType="separate"/>
      </w:r>
      <w:r w:rsidR="00D9047C" w:rsidRPr="00D9047C">
        <w:t>(Dressel &amp; Farid, 2018; Wachter et al., 2021)</w:t>
      </w:r>
      <w:r w:rsidR="00D9047C">
        <w:fldChar w:fldCharType="end"/>
      </w:r>
      <w:r>
        <w:t>.</w:t>
      </w:r>
    </w:p>
    <w:p w14:paraId="1E5A19EA" w14:textId="3D3CD5A6" w:rsidR="006F243D" w:rsidRDefault="009136E1" w:rsidP="00CF71C4">
      <w:r>
        <w:fldChar w:fldCharType="begin"/>
      </w:r>
      <w:r w:rsidR="0005146C">
        <w:instrText xml:space="preserve"> ADDIN ZOTERO_ITEM CSL_CITATION {"citationID":"Y6h16jHd","properties":{"formattedCitation":"(Dressel &amp; Farid, 2018)","plainCitation":"(Dressel &amp; Farid, 2018)","dontUpdate":true,"noteIndex":0},"citationItems":[{"id":3050,"uris":["http://zotero.org/users/6567242/items/UAQKW9Y7"],"itemData":{"id":3050,"type":"article-journal","abstract":"Should we trust computers to make life-altering decisions in the criminal justice system?\n          , \n            Algorithms for predicting recidivism are commonly used to assess a criminal defendant’s likelihood of committing a crime. These predictions are used in pretrial, parole, and sentencing decisions. Proponents of these systems argue that big data and advanced machine learning make these analyses more accurate and less biased than humans. We show, however, that the widely used commercial risk assessment software COMPAS is no more accurate or fair than predictions made by people with little or no criminal justice expertise. In addition, despite COMPAS’s collection of 137 features, the same accuracy can be achieved with a simple linear classifier with only two features.","container-title":"Science Advances","DOI":"10.1126/sciadv.aao5580","ISSN":"2375-2548","issue":"1","journalAbbreviation":"Sci. Adv.","language":"en","page":"eaao5580","source":"DOI.org (Crossref)","title":"The accuracy, fairness, and limits of predicting recidivism","volume":"4","author":[{"family":"Dressel","given":"Julia"},{"family":"Farid","given":"Hany"}],"issued":{"date-parts":[["2018",1,5]]}}}],"schema":"https://github.com/citation-style-language/schema/raw/master/csl-citation.json"} </w:instrText>
      </w:r>
      <w:r>
        <w:fldChar w:fldCharType="separate"/>
      </w:r>
      <w:r w:rsidRPr="009136E1">
        <w:t xml:space="preserve">Dressel </w:t>
      </w:r>
      <w:r>
        <w:t>and</w:t>
      </w:r>
      <w:r w:rsidRPr="009136E1">
        <w:t xml:space="preserve"> Farid </w:t>
      </w:r>
      <w:r>
        <w:t>(</w:t>
      </w:r>
      <w:r w:rsidRPr="009136E1">
        <w:t>2018)</w:t>
      </w:r>
      <w:r>
        <w:fldChar w:fldCharType="end"/>
      </w:r>
      <w:r>
        <w:t xml:space="preserve"> demonstrated that COMPAS's predictive accuracy was matched by a simple two-question heuristic and was no better than that of Amazon Mechanical Turk workers with no criminal justice training, raising fundamental questions about what value the AI component adds to oversight-nominally human decisions. </w:t>
      </w:r>
      <w:r w:rsidR="00AE342A">
        <w:fldChar w:fldCharType="begin"/>
      </w:r>
      <w:r w:rsidR="0005146C">
        <w:instrText xml:space="preserve"> ADDIN ZOTERO_ITEM CSL_CITATION {"citationID":"KySFLGa2","properties":{"formattedCitation":"(Wachter et al., 2021)","plainCitation":"(Wachter et al., 2021)","dontUpdate":true,"noteIndex":0},"citationItems":[{"id":2998,"uris":["http://zotero.org/users/6567242/items/47LWZ6RZ"],"itemData":{"id":2998,"type":"article-journal","container-title":"Computer Law &amp; Security Review","DOI":"10.1016/j.clsr.2021.105567","ISSN":"2212473X","journalAbbreviation":"Computer Law &amp; Security Review","language":"en","page":"105567","source":"DOI.org (Crossref)","title":"Why fairness cannot be automated: Bridging the gap between EU non-discrimination law and AI","title-short":"Why fairness cannot be automated","volume":"41","author":[{"family":"Wachter","given":"Sandra"},{"family":"Mittelstadt","given":"Brent"},{"family":"Russell","given":"Chris"}],"issued":{"date-parts":[["2021",7]]}}}],"schema":"https://github.com/citation-style-language/schema/raw/master/csl-citation.json"} </w:instrText>
      </w:r>
      <w:r w:rsidR="00AE342A">
        <w:fldChar w:fldCharType="separate"/>
      </w:r>
      <w:r w:rsidR="00AE342A" w:rsidRPr="00AE342A">
        <w:t xml:space="preserve">Wachter et al. </w:t>
      </w:r>
      <w:r w:rsidR="00AE342A">
        <w:t>(</w:t>
      </w:r>
      <w:r w:rsidR="00AE342A" w:rsidRPr="00AE342A">
        <w:t>2021)</w:t>
      </w:r>
      <w:r w:rsidR="00AE342A">
        <w:fldChar w:fldCharType="end"/>
      </w:r>
      <w:r w:rsidR="00AE342A">
        <w:t xml:space="preserve"> </w:t>
      </w:r>
      <w:r>
        <w:t>argue that the EU AI Act's prohibition on AI systems that exploit psychological vulnerabilities and its requirement for human oversight in high-risk contexts represent necessary but insufficient guardrails, because the institutional context in which judges operate may itself bias 'human oversight' in ways that AI merely amplifies.</w:t>
      </w:r>
    </w:p>
    <w:p w14:paraId="01A0F1FD" w14:textId="21F440A2" w:rsidR="006F243D" w:rsidRPr="00E4074A" w:rsidRDefault="00000000" w:rsidP="000F297F">
      <w:pPr>
        <w:pStyle w:val="Heading3"/>
      </w:pPr>
      <w:bookmarkStart w:id="28" w:name="_Toc225135061"/>
      <w:r w:rsidRPr="00E4074A">
        <w:t>Financial Services</w:t>
      </w:r>
      <w:bookmarkEnd w:id="28"/>
    </w:p>
    <w:p w14:paraId="1670316F" w14:textId="2B58D7FA" w:rsidR="006F243D" w:rsidRDefault="00000000" w:rsidP="00CF71C4">
      <w:r>
        <w:t>Financial services present a distinctive oversight challenge because of the multi-scale nature of risk: individual transactions, portfolio positions, and systemic market stability are distinct loci of risk, each requiring different oversight architectures. Algorithmic trading systems at Tier IV (human-on-the-loop) are considered acceptable for individual transaction execution but have contributed to systemic events such as the 2010 Flash Crash, where automated sell orders cascaded beyond human intervention capacity</w:t>
      </w:r>
      <w:r w:rsidR="00823170">
        <w:t xml:space="preserve"> </w:t>
      </w:r>
      <w:r w:rsidR="00823170">
        <w:fldChar w:fldCharType="begin"/>
      </w:r>
      <w:r w:rsidR="00823170">
        <w:instrText xml:space="preserve"> ADDIN ZOTERO_ITEM CSL_CITATION {"citationID":"dlzgYDaF","properties":{"formattedCitation":"(Jansen, 2021)","plainCitation":"(Jansen, 2021)","noteIndex":0},"citationItems":[{"id":3051,"uris":["http://zotero.org/users/6567242/items/2FJ8TLZR"],"itemData":{"id":3051,"type":"article-journal","abstract":"Abstract\n            This paper studies the intraday spillovers of the 2010 U.S. Flash Crash to international equity markets. We document a substantial and almost immediate echo of the crash in Latin America. Using data for 148 firms trading in Argentina, Brazil, Chile, or Mexico, we estimate price declines of up to 10% within minutes after the U.S. crash. Estimates for two different factor models indicate that this echo followed from normal interdependence rather than financial contagion.","container-title":"Journal of Money, Credit and Banking","DOI":"10.1111/jmcb.12790","ISSN":"0022-2879, 1538-4616","issue":"6","journalAbbreviation":"J of Money Credit Banking","language":"en","page":"1573-1586","source":"DOI.org (Crossref)","title":"The International Spillovers of the 2010 U.S. Flash Crash","volume":"53","author":[{"family":"Jansen","given":"David‐Jan"}],"issued":{"date-parts":[["2021",9]]}}}],"schema":"https://github.com/citation-style-language/schema/raw/master/csl-citation.json"} </w:instrText>
      </w:r>
      <w:r w:rsidR="00823170">
        <w:fldChar w:fldCharType="separate"/>
      </w:r>
      <w:r w:rsidR="00823170" w:rsidRPr="00823170">
        <w:t>(Jansen, 2021)</w:t>
      </w:r>
      <w:r w:rsidR="00823170">
        <w:fldChar w:fldCharType="end"/>
      </w:r>
      <w:r>
        <w:t>.</w:t>
      </w:r>
    </w:p>
    <w:p w14:paraId="69251D7B" w14:textId="363D3D42" w:rsidR="006F243D" w:rsidRDefault="00000000" w:rsidP="00CF71C4">
      <w:r>
        <w:t xml:space="preserve">The application of HITL frameworks to credit scoring, lending, and insurance underwriting is increasingly shaped by the EU AI Act's high-risk classification of these applications and by GDPR's requirement for meaningful human review of automated decisions. </w:t>
      </w:r>
      <w:r w:rsidR="006A6ECD">
        <w:fldChar w:fldCharType="begin"/>
      </w:r>
      <w:r w:rsidR="0005146C">
        <w:instrText xml:space="preserve"> ADDIN ZOTERO_ITEM CSL_CITATION {"citationID":"a1c4Wr10","properties":{"formattedCitation":"(Logg &amp; Minson, 2022)","plainCitation":"(Logg &amp; Minson, 2022)","dontUpdate":true,"noteIndex":0},"citationItems":[{"id":3039,"uris":["http://zotero.org/users/6567242/items/66CXQYTX"],"itemData":{"id":3039,"type":"article-journal","container-title":"Current Directions in Psychological Science","DOI":"10.1177/09637214221117483","issue":"6","language":"en","page":"518–524","title":"Algorithm appreciation and aversion: Why people should use AI more and how to help them do it","volume":"31","author":[{"family":"Logg","given":"J.M."},{"family":"Minson","given":"J.A."}],"issued":{"date-parts":[["2022"]]}}}],"schema":"https://github.com/citation-style-language/schema/raw/master/csl-citation.json"} </w:instrText>
      </w:r>
      <w:r w:rsidR="006A6ECD">
        <w:fldChar w:fldCharType="separate"/>
      </w:r>
      <w:r w:rsidR="006A6ECD" w:rsidRPr="006A6ECD">
        <w:t xml:space="preserve">Logg </w:t>
      </w:r>
      <w:r w:rsidR="006A6ECD">
        <w:t>and</w:t>
      </w:r>
      <w:r w:rsidR="006A6ECD" w:rsidRPr="006A6ECD">
        <w:t xml:space="preserve"> Minson </w:t>
      </w:r>
      <w:r w:rsidR="006A6ECD">
        <w:t>(</w:t>
      </w:r>
      <w:r w:rsidR="006A6ECD" w:rsidRPr="006A6ECD">
        <w:t>2022)</w:t>
      </w:r>
      <w:r w:rsidR="006A6ECD">
        <w:fldChar w:fldCharType="end"/>
      </w:r>
      <w:r>
        <w:t xml:space="preserve"> find that algorithm appreciation in financial forecasting is high</w:t>
      </w:r>
      <w:r w:rsidR="00CB35D7">
        <w:t xml:space="preserve">, with </w:t>
      </w:r>
      <w:r>
        <w:t>finance professionals express</w:t>
      </w:r>
      <w:r w:rsidR="00CB35D7">
        <w:t>ing</w:t>
      </w:r>
      <w:r>
        <w:t xml:space="preserve"> greater willingness to defer to AI than professionals in most other domains</w:t>
      </w:r>
      <w:r w:rsidR="00CB35D7">
        <w:t xml:space="preserve">. This </w:t>
      </w:r>
      <w:r>
        <w:t>creat</w:t>
      </w:r>
      <w:r w:rsidR="00CB35D7">
        <w:t>ed</w:t>
      </w:r>
      <w:r>
        <w:t xml:space="preserve"> a sector-specific over-trust risk that automated audit mechanisms must compensate for.</w:t>
      </w:r>
    </w:p>
    <w:p w14:paraId="4FE8D8D4" w14:textId="1A601D82" w:rsidR="006F243D" w:rsidRPr="00E4074A" w:rsidRDefault="00000000" w:rsidP="000F297F">
      <w:pPr>
        <w:pStyle w:val="Heading3"/>
      </w:pPr>
      <w:bookmarkStart w:id="29" w:name="_Toc225135062"/>
      <w:r w:rsidRPr="00E4074A">
        <w:t>Autonomous Transportation</w:t>
      </w:r>
      <w:bookmarkEnd w:id="29"/>
    </w:p>
    <w:p w14:paraId="32D316C8" w14:textId="515ADE75" w:rsidR="006F243D" w:rsidRDefault="00000000" w:rsidP="00CF71C4">
      <w:r>
        <w:t>Autonomous vehicles (AVs) represent perhaps the clearest example of the oversight intensity tradeoff</w:t>
      </w:r>
      <w:r w:rsidR="00600339">
        <w:t>.</w:t>
      </w:r>
      <w:r>
        <w:t xml:space="preserve"> </w:t>
      </w:r>
      <w:r w:rsidR="00600339">
        <w:t>T</w:t>
      </w:r>
      <w:r>
        <w:t xml:space="preserve">he principal argument for reducing human involvement in driving is that human error causes over 90% of road fatalities, yet the </w:t>
      </w:r>
      <w:r>
        <w:lastRenderedPageBreak/>
        <w:t>transition period</w:t>
      </w:r>
      <w:r w:rsidR="00A70049">
        <w:t xml:space="preserve">, </w:t>
      </w:r>
      <w:r>
        <w:t>in which partially automated systems share control with human drivers</w:t>
      </w:r>
      <w:r w:rsidR="00A70049">
        <w:t xml:space="preserve">, </w:t>
      </w:r>
      <w:r>
        <w:t xml:space="preserve">may introduce new risk categories through complacency and mode confusion. </w:t>
      </w:r>
      <w:r w:rsidR="005E38BA">
        <w:fldChar w:fldCharType="begin"/>
      </w:r>
      <w:r w:rsidR="0005146C">
        <w:instrText xml:space="preserve"> ADDIN ZOTERO_ITEM CSL_CITATION {"citationID":"ymszhIhM","properties":{"formattedCitation":"(Endsley, 2023)","plainCitation":"(Endsley, 2023)","dontUpdate":true,"noteIndex":0},"citationItems":[{"id":3015,"uris":["http://zotero.org/users/6567242/items/KT62PGZ3"],"itemData":{"id":3015,"type":"article-journal","container-title":"Human Factors","DOI":"10.1177/00187208211059252","issue":"1","language":"su","page":"99–111","title":"Situation awareness in future autonomous systems","volume":"65","author":[{"family":"Endsley","given":"M.R."}],"issued":{"date-parts":[["2023"]]}}}],"schema":"https://github.com/citation-style-language/schema/raw/master/csl-citation.json"} </w:instrText>
      </w:r>
      <w:r w:rsidR="005E38BA">
        <w:fldChar w:fldCharType="separate"/>
      </w:r>
      <w:r w:rsidR="005E38BA" w:rsidRPr="005E38BA">
        <w:t xml:space="preserve">Endsley </w:t>
      </w:r>
      <w:r w:rsidR="005E38BA">
        <w:t>(</w:t>
      </w:r>
      <w:r w:rsidR="005E38BA" w:rsidRPr="005E38BA">
        <w:t>2023)</w:t>
      </w:r>
      <w:r w:rsidR="005E38BA">
        <w:fldChar w:fldCharType="end"/>
      </w:r>
      <w:r>
        <w:t xml:space="preserve"> identifies AV operations as a prototype case for Level-3 S</w:t>
      </w:r>
      <w:r w:rsidR="00EF3D8D">
        <w:t xml:space="preserve">ituation </w:t>
      </w:r>
      <w:r>
        <w:t>A</w:t>
      </w:r>
      <w:r w:rsidR="00EF3D8D">
        <w:t>wareness (SA)</w:t>
      </w:r>
      <w:r>
        <w:t xml:space="preserve"> failure</w:t>
      </w:r>
      <w:r w:rsidR="000E4707">
        <w:t>.</w:t>
      </w:r>
      <w:r>
        <w:t xml:space="preserve"> </w:t>
      </w:r>
      <w:r w:rsidR="000E4707">
        <w:t>D</w:t>
      </w:r>
      <w:r>
        <w:t>rivers in SAE Level 3 systems</w:t>
      </w:r>
      <w:r w:rsidR="000E4707">
        <w:t xml:space="preserve">, </w:t>
      </w:r>
      <w:r>
        <w:t>which can handle all driving under defined conditions but require human takeover when the system's limits are reached</w:t>
      </w:r>
      <w:r w:rsidR="000E4707">
        <w:t>,</w:t>
      </w:r>
      <w:r>
        <w:t xml:space="preserve"> must maintain sufficient </w:t>
      </w:r>
      <w:r w:rsidR="006D3B9E">
        <w:t>situation awareness</w:t>
      </w:r>
      <w:r>
        <w:t xml:space="preserve"> to resume control within seconds despite having been out of the loop for extended periods.</w:t>
      </w:r>
    </w:p>
    <w:p w14:paraId="671DC15C" w14:textId="1E7FABA2" w:rsidR="006F243D" w:rsidRDefault="00DB0729" w:rsidP="00CF71C4">
      <w:r>
        <w:fldChar w:fldCharType="begin"/>
      </w:r>
      <w:r w:rsidR="0005146C">
        <w:instrText xml:space="preserve"> ADDIN ZOTERO_ITEM CSL_CITATION {"citationID":"zQs2bCdH","properties":{"formattedCitation":"(Parasuraman &amp; Manzey, 2010)","plainCitation":"(Parasuraman &amp; Manzey, 2010)","dontUpdate":true,"noteIndex":0},"citationItems":[{"id":2986,"uris":["http://zotero.org/users/6567242/items/24TQJBFW"],"itemData":{"id":2986,"type":"article-journal","abstract":"Objective: Our aim was to review empirical studies of complacency and bias in human interaction with automated and decision support systems and provide an integrated theoretical model for their explanation.\n            Background: Automation-related complacency and automation bias have typically been considered separately and independently.\n            Methods: Studies on complacency and automation bias were analyzed with respect to the cognitive processes involved.\n            Results: Automation complacency occurs under conditions of multiple-task load, when manual tasks compete with the automated task for the operator’s attention. Automation complacency is found in both naive and expert participants and cannot be overcome with simple practice. Automation bias results in making both omission and commission errors when decision aids are imperfect.Automation bias occurs in both naive and expert participants, cannot be prevented by training or instructions, and can affect decision making in individuals as well as in teams.While automation bias has been conceived of as a special case of decision bias, our analysis suggests that it also depends on attentional processes similar to those involved in automation-related complacency.\n            Conclusion: Complacency and automation bias represent different manifestations of overlapping automation-induced phenomena, with attention playing a central role. An integrated model of complacency and automation bias shows that they result from the dynamic interaction of personal, situational, and automation-related characteristics.\n            Application: The integrated model and attentional synthesis provides a heuristic framework for further research on complacency and automation bias and design options for mitigating such effects in automated and decision support systems.","container-title":"Human Factors: The Journal of the Human Factors and Ergonomics Society","DOI":"10.1177/0018720810376055","ISSN":"0018-7208, 1547-8181","issue":"3","journalAbbreviation":"Hum Factors","language":"en","license":"https://journals.sagepub.com/page/policies/text-and-data-mining-license","page":"381-410","source":"DOI.org (Crossref)","title":"Complacency and Bias in Human Use of Automation: An Attentional Integration","title-short":"Complacency and Bias in Human Use of Automation","volume":"52","author":[{"family":"Parasuraman","given":"Raja"},{"family":"Manzey","given":"Dietrich H."}],"issued":{"date-parts":[["2010",6]]}}}],"schema":"https://github.com/citation-style-language/schema/raw/master/csl-citation.json"} </w:instrText>
      </w:r>
      <w:r>
        <w:fldChar w:fldCharType="separate"/>
      </w:r>
      <w:r w:rsidRPr="00DB0729">
        <w:t xml:space="preserve">Parasuraman </w:t>
      </w:r>
      <w:r>
        <w:t>and</w:t>
      </w:r>
      <w:r w:rsidRPr="00DB0729">
        <w:t xml:space="preserve"> Manzey </w:t>
      </w:r>
      <w:r>
        <w:t>(</w:t>
      </w:r>
      <w:r w:rsidRPr="00DB0729">
        <w:t>2010)</w:t>
      </w:r>
      <w:r>
        <w:fldChar w:fldCharType="end"/>
      </w:r>
      <w:r>
        <w:t xml:space="preserve"> in </w:t>
      </w:r>
      <w:r>
        <w:fldChar w:fldCharType="begin"/>
      </w:r>
      <w:r w:rsidR="0005146C">
        <w:instrText xml:space="preserve"> ADDIN ZOTERO_ITEM CSL_CITATION {"citationID":"ybrcFOGQ","properties":{"formattedCitation":"(Romeo &amp; Conti, 2026)","plainCitation":"(Romeo &amp; Conti, 2026)","dontUpdate":true,"noteIndex":0},"citationItems":[{"id":3047,"uris":["http://zotero.org/users/6567242/items/XRRDJQLD"],"itemData":{"id":3047,"type":"article-journal","abstract":"Abstract\n            As Artificial Intelligence (AI) becomes increasingly embedded in high-stakes domains such as healthcare, law, and public administration, automation bias (AB)—the tendency to over-rely on automated recommendations—has emerged as a critical challenge in human–AI collaboration. While previous reviews have examined AB in traditional computer-assisted decision-making, research on its implications in modern AI-driven work environments remains limited. To address this gap, this research systematically investigates how AB manifests in these settings and the cognitive mechanisms that influence it. Following PRISMA 2020 guidelines, we reviewed 35 peer-reviewed studies from SCOPUS, ScienceDirect, PubMed, and Google Scholar. The included literature, published between January 2015 and April 2025, spans fields such as cognitive psychology, human factors engineering, human–computer interaction, and neuroscience, providing an interdisciplinary foundation for our analysis. Traditional perspectives attribute AB to over-trust in automation or attentional constraints, resulting in users perceiving AI-generated outputs as reliable. However, our review presents a more nuanced view. While confirming some prior findings, it also sheds light on additional interacting factors such as, AI literacy, level of professional expertise, cognitive profile, developmental trust dynamics, task verification demands, and explanation complexity. Notably, although Explainable AI (XAI) and transparency mechanisms are designed to mitigate AB, overly technical, cognitively demanding, or even simplistic explanations may inadvertently reinforce misplaced trust, especially among less experienced professionals with low AI literacy. Taken together, these findings suggest that although explanations may increase perceived system acceptability, they are often insufficient to improve decision accuracy or mitigate AB. Instead, user engagement emerges as the most feasible and impactful point of intervention. As increased verification effort has been shown to reduce complacency toward AI mis-recommendations, we propose explanation design strategies that actively promote critical engagement and independent verification. These conclusions offer both theoretical and practical contributions to bias-aware AI development, underscoring that explanation usability is best supported by features such as understandability and adaptiveness.","container-title":"AI &amp; SOCIETY","DOI":"10.1007/s00146-025-02422-7","ISSN":"0951-5666, 1435-5655","issue":"1","journalAbbreviation":"AI &amp; Soc","language":"en","page":"259-278","source":"DOI.org (Crossref)","title":"Exploring automation bias in human–AI collaboration: a review and implications for explainable AI","title-short":"Exploring automation bias in human–AI collaboration","volume":"41","author":[{"family":"Romeo","given":"Giuseppe"},{"family":"Conti","given":"Daniela"}],"issued":{"date-parts":[["2026",1]]}}}],"schema":"https://github.com/citation-style-language/schema/raw/master/csl-citation.json"} </w:instrText>
      </w:r>
      <w:r>
        <w:fldChar w:fldCharType="separate"/>
      </w:r>
      <w:r w:rsidRPr="00DB0729">
        <w:t xml:space="preserve">Romeo </w:t>
      </w:r>
      <w:r>
        <w:t>and</w:t>
      </w:r>
      <w:r w:rsidRPr="00DB0729">
        <w:t xml:space="preserve"> Conti </w:t>
      </w:r>
      <w:r>
        <w:t>(</w:t>
      </w:r>
      <w:r w:rsidRPr="00DB0729">
        <w:t>2026)</w:t>
      </w:r>
      <w:r>
        <w:fldChar w:fldCharType="end"/>
      </w:r>
      <w:r>
        <w:t xml:space="preserve"> document that takeover times in Level 3 AV contexts average 5–8 seconds</w:t>
      </w:r>
      <w:r w:rsidR="00D80665">
        <w:t xml:space="preserve">, </w:t>
      </w:r>
      <w:r>
        <w:t>intervals within which collisions at highway speeds are typically unavoidable</w:t>
      </w:r>
      <w:r w:rsidR="00D80665">
        <w:t xml:space="preserve">, </w:t>
      </w:r>
      <w:r>
        <w:t xml:space="preserve">and are significantly lengthened by secondary task engagement. This evidence has contributed to regulatory </w:t>
      </w:r>
      <w:r w:rsidR="00901867">
        <w:t>skepticism</w:t>
      </w:r>
      <w:r>
        <w:t xml:space="preserve"> about SAE Level 3 systems and growing support for either full human control or full AI control, bypassing the problematic intermediate state.</w:t>
      </w:r>
    </w:p>
    <w:p w14:paraId="7B8FC3EE" w14:textId="4E6DF589" w:rsidR="006F243D" w:rsidRPr="00E4074A" w:rsidRDefault="00000000" w:rsidP="000F297F">
      <w:pPr>
        <w:pStyle w:val="Heading3"/>
      </w:pPr>
      <w:bookmarkStart w:id="30" w:name="_Toc225135063"/>
      <w:r w:rsidRPr="00E4074A">
        <w:t>Education</w:t>
      </w:r>
      <w:bookmarkEnd w:id="30"/>
    </w:p>
    <w:p w14:paraId="555C75AC" w14:textId="1F9779EE" w:rsidR="006F243D" w:rsidRDefault="00000000" w:rsidP="00CF71C4">
      <w:r>
        <w:t xml:space="preserve">Intelligent tutoring systems (ITS) and AI-driven adaptive learning platforms represent Tier II-III deployments with moderate oversight intensity. The educational context differs from other high-stakes sectors in that the primary risk is not catastrophic harm but cumulative inefficacy and inequitable access to quality instruction. </w:t>
      </w:r>
      <w:r w:rsidR="0005146C">
        <w:fldChar w:fldCharType="begin"/>
      </w:r>
      <w:r w:rsidR="00724CFF">
        <w:instrText xml:space="preserve"> ADDIN ZOTERO_ITEM CSL_CITATION {"citationID":"vgOpF6ow","properties":{"formattedCitation":"(Alfredo et al., 2024)","plainCitation":"(Alfredo et al., 2024)","dontUpdate":true,"noteIndex":0},"citationItems":[{"id":3053,"uris":["http://zotero.org/users/6567242/items/FYFDB7Q5"],"itemData":{"id":3053,"type":"article-journal","container-title":"Computers and Education: Artificial Intelligence","DOI":"10.1016/j.caeai.2024.100215","ISSN":"2666920X","journalAbbreviation":"Computers and Education: Artificial Intelligence","language":"en","page":"100215","source":"DOI.org (Crossref)","title":"Human-centred learning analytics and AI in education: A systematic literature review","title-short":"Human-centred learning analytics and AI in education","volume":"6","author":[{"family":"Alfredo","given":"Riordan"},{"family":"Echeverria","given":"Vanessa"},{"family":"Jin","given":"Yueqiao"},{"family":"Yan","given":"Lixiang"},{"family":"Swiecki","given":"Zachari"},{"family":"Gašević","given":"Dragan"},{"family":"Martinez-Maldonado","given":"Roberto"}],"issued":{"date-parts":[["2024",6]]}}}],"schema":"https://github.com/citation-style-language/schema/raw/master/csl-citation.json"} </w:instrText>
      </w:r>
      <w:r w:rsidR="0005146C">
        <w:fldChar w:fldCharType="separate"/>
      </w:r>
      <w:r w:rsidR="0005146C" w:rsidRPr="0005146C">
        <w:t xml:space="preserve">Alfredo et al. </w:t>
      </w:r>
      <w:r w:rsidR="0005146C">
        <w:t>(</w:t>
      </w:r>
      <w:r w:rsidR="0005146C" w:rsidRPr="0005146C">
        <w:t>2024)</w:t>
      </w:r>
      <w:r w:rsidR="0005146C">
        <w:fldChar w:fldCharType="end"/>
      </w:r>
      <w:r>
        <w:t xml:space="preserve"> </w:t>
      </w:r>
      <w:r w:rsidR="0005146C">
        <w:t xml:space="preserve">and </w:t>
      </w:r>
      <w:r w:rsidR="0005146C">
        <w:fldChar w:fldCharType="begin"/>
      </w:r>
      <w:r w:rsidR="00724CFF">
        <w:instrText xml:space="preserve"> ADDIN ZOTERO_ITEM CSL_CITATION {"citationID":"5rT0GHfr","properties":{"formattedCitation":"(Gomes, 2024)","plainCitation":"(Gomes, 2024)","dontUpdate":true,"noteIndex":0},"citationItems":[{"id":3052,"uris":["http://zotero.org/users/6567242/items/CSVTJZ8J"],"itemData":{"id":3052,"type":"chapter","abstract":"Intelligent tutoring systems offer personalized, adaptive learning experiences through digital platforms, contrasting with traditional methods. The integration of AI enhances ITS capabilities, providing dynamic adaptation, real-time feedback, and optimized outcomes. Ethical considerations, including privacy and bias mitigation, are paramount. Comparative analysis reveals AI's potential to reshape education, with future directions including sophisticated algorithms, diverse educational settings, and innovative pedagogical approaches. Practical implementation and evaluation will drive advancements, empowering students and educators in personalized learning journeys. The integration of AI in ITS represents a significant advancement, enabling systems to analyze vast amounts of data and tailor educational experiences to meet the unique needs and preferences of each learner. Through a comparative analysis, this chapter highlights the distinctive features and benefits of ITS compared to traditional learning methods.","container-title":"Advances in Educational Technologies and Instructional Design","DOI":"10.4018/979-8-3693-6170-2.ch008","ISBN":"979-8-3693-6170-2","page":"213-244","publisher":"IGI Global","source":"DOI.org (Crossref)","title":"A Comprehensive Study of Advancements in Intelligent Tutoring Systems Through Artificial Intelligent Education Platforms:","title-short":"A Comprehensive Study of Advancements in Intelligent Tutoring Systems Through Artificial Intelligent Education Platforms","URL":"https://services.igi-global.com/resolvedoi/resolve.aspx?doi=10.4018/979-8-3693-6170-2.ch008","editor":[{"family":"Moreira","given":"Filipe T."},{"family":"Teles","given":"Rui Oliva"}],"author":[{"family":"Gomes","given":"Dipta"}],"accessed":{"date-parts":[["2026",3,26]]},"issued":{"date-parts":[["2024",11,29]]}}}],"schema":"https://github.com/citation-style-language/schema/raw/master/csl-citation.json"} </w:instrText>
      </w:r>
      <w:r w:rsidR="0005146C">
        <w:fldChar w:fldCharType="separate"/>
      </w:r>
      <w:r w:rsidR="0005146C" w:rsidRPr="0005146C">
        <w:t xml:space="preserve">Gomes </w:t>
      </w:r>
      <w:r w:rsidR="0005146C">
        <w:t>(</w:t>
      </w:r>
      <w:r w:rsidR="0005146C" w:rsidRPr="0005146C">
        <w:t>2024)</w:t>
      </w:r>
      <w:r w:rsidR="0005146C">
        <w:fldChar w:fldCharType="end"/>
      </w:r>
      <w:r w:rsidR="0005146C">
        <w:t xml:space="preserve"> </w:t>
      </w:r>
      <w:r>
        <w:t xml:space="preserve">find that teacher oversight of AI tutoring systems is most effective when teachers receive actionable dashboards </w:t>
      </w:r>
      <w:r w:rsidR="009F1008">
        <w:t>summarizing</w:t>
      </w:r>
      <w:r>
        <w:t xml:space="preserve"> student engagement and knowledge state, rather than raw predictive scores.</w:t>
      </w:r>
    </w:p>
    <w:p w14:paraId="571B3D32" w14:textId="472F9691" w:rsidR="006F243D" w:rsidRDefault="00000000" w:rsidP="00CF71C4">
      <w:r>
        <w:t xml:space="preserve">The participation washing concern </w:t>
      </w:r>
      <w:r w:rsidR="00A64624">
        <w:fldChar w:fldCharType="begin"/>
      </w:r>
      <w:r w:rsidR="00724CFF">
        <w:instrText xml:space="preserve"> ADDIN ZOTERO_ITEM CSL_CITATION {"citationID":"1JPrt9fD","properties":{"formattedCitation":"(Sloane et al., 2020)","plainCitation":"(Sloane et al., 2020)","dontUpdate":true,"noteIndex":0},"citationItems":[{"id":2996,"uris":["http://zotero.org/users/6567242/items/TRZXVCVM"],"itemData":{"id":2996,"type":"article","abstract":"This paper critically examines existing modes of participation in design practice and machine learning. Cautioning against 'participation-washing', it suggests that the ML community must become attuned to possibly exploitative and extractive forms of community involvement and shift away from the prerogatives of context-independent scalability.","DOI":"10.48550/ARXIV.2007.02423","license":"Creative Commons Attribution 4.0 International","note":"version: 3","publisher":"arXiv","source":"DOI.org (Datacite)","title":"Participation is not a Design Fix for Machine Learning","URL":"https://arxiv.org/abs/2007.02423","author":[{"family":"Sloane","given":"Mona"},{"family":"Moss","given":"Emanuel"},{"family":"Awomolo","given":"Olaitan"},{"family":"Forlano","given":"Laura"}],"accessed":{"date-parts":[["2026",3,23]]},"issued":{"date-parts":[["2020"]]}}}],"schema":"https://github.com/citation-style-language/schema/raw/master/csl-citation.json"} </w:instrText>
      </w:r>
      <w:r w:rsidR="00A64624">
        <w:fldChar w:fldCharType="separate"/>
      </w:r>
      <w:r w:rsidR="00A64624" w:rsidRPr="00A64624">
        <w:t xml:space="preserve">Sloane et al. </w:t>
      </w:r>
      <w:r w:rsidR="00A64624">
        <w:t>(</w:t>
      </w:r>
      <w:r w:rsidR="00A64624" w:rsidRPr="00A64624">
        <w:t>2020)</w:t>
      </w:r>
      <w:r w:rsidR="00A64624">
        <w:fldChar w:fldCharType="end"/>
      </w:r>
      <w:r>
        <w:t xml:space="preserve"> is particularly salient in educational AI</w:t>
      </w:r>
      <w:r w:rsidR="00044DDA">
        <w:t>.</w:t>
      </w:r>
      <w:r>
        <w:t xml:space="preserve"> </w:t>
      </w:r>
      <w:r w:rsidR="00180AF6">
        <w:t>T</w:t>
      </w:r>
      <w:r>
        <w:t>echnology companies have engaged in extensive consultation with teachers about AI tool design while retaining full control over deployment decisions, data governance, and algorithmic updating</w:t>
      </w:r>
      <w:r w:rsidR="005862C0">
        <w:t xml:space="preserve">, which is </w:t>
      </w:r>
      <w:r>
        <w:t>a pattern that creates legitimacy without substantive co-governance.</w:t>
      </w:r>
    </w:p>
    <w:p w14:paraId="4B078EB7" w14:textId="05CAC180" w:rsidR="006F243D" w:rsidRPr="00E4074A" w:rsidRDefault="00000000" w:rsidP="00911677">
      <w:pPr>
        <w:pStyle w:val="Heading3"/>
      </w:pPr>
      <w:bookmarkStart w:id="31" w:name="_Toc225135064"/>
      <w:r w:rsidRPr="00E4074A">
        <w:t>Content Moderation</w:t>
      </w:r>
      <w:bookmarkEnd w:id="31"/>
    </w:p>
    <w:p w14:paraId="7BFADD5D" w14:textId="0B7504BE" w:rsidR="006F243D" w:rsidRDefault="00000000" w:rsidP="00CF71C4">
      <w:r>
        <w:t xml:space="preserve">AI-assisted content moderation represents a Tier II application operating at </w:t>
      </w:r>
      <w:r w:rsidR="00390400">
        <w:t xml:space="preserve">a </w:t>
      </w:r>
      <w:r>
        <w:t>previously unimaginable scale: major platforms process billions of posts daily, making genuine human review of each item impossible. The HITL configuration in content moderation is therefore asymmetric</w:t>
      </w:r>
      <w:r w:rsidR="00C64301">
        <w:t>.</w:t>
      </w:r>
      <w:r>
        <w:t xml:space="preserve"> AI handles the vast majority of cases autonomously, with human review reserved for appeals, borderline cases, and quality audits. This creates a systematic oversight gap at the individual case level, which </w:t>
      </w:r>
      <w:r w:rsidR="00C64301">
        <w:fldChar w:fldCharType="begin"/>
      </w:r>
      <w:r w:rsidR="00724CFF">
        <w:instrText xml:space="preserve"> ADDIN ZOTERO_ITEM CSL_CITATION {"citationID":"iwQSqroY","properties":{"formattedCitation":"(Sloane et al., 2020)","plainCitation":"(Sloane et al., 2020)","dontUpdate":true,"noteIndex":0},"citationItems":[{"id":2996,"uris":["http://zotero.org/users/6567242/items/TRZXVCVM"],"itemData":{"id":2996,"type":"article","abstract":"This paper critically examines existing modes of participation in design practice and machine learning. Cautioning against 'participation-washing', it suggests that the ML community must become attuned to possibly exploitative and extractive forms of community involvement and shift away from the prerogatives of context-independent scalability.","DOI":"10.48550/ARXIV.2007.02423","license":"Creative Commons Attribution 4.0 International","note":"version: 3","publisher":"arXiv","source":"DOI.org (Datacite)","title":"Participation is not a Design Fix for Machine Learning","URL":"https://arxiv.org/abs/2007.02423","author":[{"family":"Sloane","given":"Mona"},{"family":"Moss","given":"Emanuel"},{"family":"Awomolo","given":"Olaitan"},{"family":"Forlano","given":"Laura"}],"accessed":{"date-parts":[["2026",3,23]]},"issued":{"date-parts":[["2020"]]}}}],"schema":"https://github.com/citation-style-language/schema/raw/master/csl-citation.json"} </w:instrText>
      </w:r>
      <w:r w:rsidR="00C64301">
        <w:fldChar w:fldCharType="separate"/>
      </w:r>
      <w:r w:rsidR="00C64301" w:rsidRPr="00C64301">
        <w:t xml:space="preserve">Sloane et al. </w:t>
      </w:r>
      <w:r w:rsidR="00C64301">
        <w:t>(</w:t>
      </w:r>
      <w:r w:rsidR="00C64301" w:rsidRPr="00C64301">
        <w:t>2020)</w:t>
      </w:r>
      <w:r w:rsidR="00C64301">
        <w:fldChar w:fldCharType="end"/>
      </w:r>
      <w:r>
        <w:t xml:space="preserve"> argue is not adequately compensated by system-level accuracy metrics.</w:t>
      </w:r>
    </w:p>
    <w:p w14:paraId="620B45A6" w14:textId="48B5CAD9" w:rsidR="006F243D" w:rsidRDefault="00000000" w:rsidP="009D6393">
      <w:pPr>
        <w:spacing w:after="0"/>
      </w:pPr>
      <w:r>
        <w:t>The human cost of content moderation is a distinctive sector-specific finding</w:t>
      </w:r>
      <w:r w:rsidR="00805EE4">
        <w:t>.</w:t>
      </w:r>
      <w:r>
        <w:t xml:space="preserve"> </w:t>
      </w:r>
      <w:r w:rsidR="00805EE4">
        <w:t>S</w:t>
      </w:r>
      <w:r>
        <w:t xml:space="preserve">tudies document severe psychological harm among content moderators exposed to large volumes of harmful material, with consequences for both moderator </w:t>
      </w:r>
      <w:r w:rsidR="006B31AD">
        <w:t>well-being</w:t>
      </w:r>
      <w:r>
        <w:t xml:space="preserve"> and oversight quality </w:t>
      </w:r>
      <w:r w:rsidR="00A32D1C">
        <w:fldChar w:fldCharType="begin"/>
      </w:r>
      <w:r w:rsidR="00A32D1C">
        <w:instrText xml:space="preserve"> ADDIN ZOTERO_ITEM CSL_CITATION {"citationID":"TOSRZzu7","properties":{"formattedCitation":"(Cabrera et al., 2023)","plainCitation":"(Cabrera et al., 2023)","noteIndex":0},"citationItems":[{"id":2967,"uris":["http://zotero.org/users/6567242/items/LCPJWD44"],"itemData":{"id":2967,"type":"article-journal","abstract":"People work with AI systems to improve their decision making, but often under- or over-rely on AI predictions and perform worse than they would have unassisted. To help people appropriately rely on AI aids, we propose showing them behavior descriptions, details of how AI systems perform on subgroups of instances. We tested the efficacy of behavior descriptions through user studies with 225 participants in three distinct domains: fake review detection, satellite image classification, and bird classification. We found that behavior descriptions can increase human-AI accuracy through two mechanisms: helping people identify AI failures and increasing people's reliance on the AI when it is more accurate. These findings highlight the importance of people's mental models in human-AI collaboration and show that informing people of high-level AI behaviors can significantly improve AI-assisted decision making.","container-title":"Proceedings of the ACM on Human-Computer Interaction","DOI":"10.1145/3579612","ISSN":"2573-0142","issue":"CSCW1","journalAbbreviation":"Proc. ACM Hum.-Comput. Interact.","language":"en","page":"1-21","source":"DOI.org (Crossref)","title":"Improving Human-AI Collaboration With Descriptions of AI Behavior","volume":"7","author":[{"family":"Cabrera","given":"Ángel Alexander"},{"family":"Perer","given":"Adam"},{"family":"Hong","given":"Jason I."}],"issued":{"date-parts":[["2023",4,14]]}}}],"schema":"https://github.com/citation-style-language/schema/raw/master/csl-citation.json"} </w:instrText>
      </w:r>
      <w:r w:rsidR="00A32D1C">
        <w:fldChar w:fldCharType="separate"/>
      </w:r>
      <w:r w:rsidR="00A32D1C" w:rsidRPr="00A32D1C">
        <w:t>(Cabrera et al., 2023)</w:t>
      </w:r>
      <w:r w:rsidR="00A32D1C">
        <w:fldChar w:fldCharType="end"/>
      </w:r>
      <w:r>
        <w:t>. This dimension</w:t>
      </w:r>
      <w:r w:rsidR="00A448A6">
        <w:t xml:space="preserve"> of </w:t>
      </w:r>
      <w:r>
        <w:t xml:space="preserve">the </w:t>
      </w:r>
      <w:r w:rsidR="006B31AD">
        <w:t>well-being</w:t>
      </w:r>
      <w:r>
        <w:t xml:space="preserve"> of humans in the loop</w:t>
      </w:r>
      <w:r w:rsidR="00A448A6">
        <w:t xml:space="preserve"> </w:t>
      </w:r>
      <w:r>
        <w:t>is largely absent from technical HITL frameworks but is identified by multiple studies as essential to sustainable oversight architectures.</w:t>
      </w:r>
    </w:p>
    <w:p w14:paraId="0133C073" w14:textId="77777777" w:rsidR="00FD12DC" w:rsidRDefault="00FD12DC" w:rsidP="002C6F90">
      <w:pPr>
        <w:spacing w:after="0" w:line="240" w:lineRule="auto"/>
      </w:pPr>
    </w:p>
    <w:p w14:paraId="18C0A0B2" w14:textId="1FCBBE96" w:rsidR="008069EC" w:rsidRDefault="008069EC" w:rsidP="00145885">
      <w:pPr>
        <w:pStyle w:val="Heading1"/>
      </w:pPr>
      <w:bookmarkStart w:id="32" w:name="_Toc225135065"/>
      <w:r>
        <w:t>RESULT</w:t>
      </w:r>
      <w:r w:rsidR="009F5276">
        <w:t>S</w:t>
      </w:r>
    </w:p>
    <w:p w14:paraId="5BF5FC0A" w14:textId="35402624" w:rsidR="006F243D" w:rsidRPr="00E4074A" w:rsidRDefault="00000000" w:rsidP="0013036B">
      <w:pPr>
        <w:pStyle w:val="Heading2"/>
      </w:pPr>
      <w:r w:rsidRPr="00E4074A">
        <w:t>Synthesis</w:t>
      </w:r>
      <w:r w:rsidR="001C0489">
        <w:t>:</w:t>
      </w:r>
      <w:r w:rsidRPr="00E4074A">
        <w:t xml:space="preserve"> The Adaptive Oversight Calibration Model (AOCM)</w:t>
      </w:r>
      <w:bookmarkEnd w:id="32"/>
    </w:p>
    <w:p w14:paraId="06D2F2D0" w14:textId="45EC0ACC" w:rsidR="006F243D" w:rsidRDefault="00000000" w:rsidP="00CF71C4">
      <w:r>
        <w:t>The review findings reveal a consistent gap in the HITL literature</w:t>
      </w:r>
      <w:r w:rsidR="00677CBF">
        <w:t>.</w:t>
      </w:r>
      <w:r>
        <w:t xml:space="preserve"> </w:t>
      </w:r>
      <w:r w:rsidR="00677CBF">
        <w:t>E</w:t>
      </w:r>
      <w:r>
        <w:t>xisting frameworks tend to be either operationally specific</w:t>
      </w:r>
      <w:r w:rsidR="000B7701">
        <w:t xml:space="preserve">, demonstrated in being </w:t>
      </w:r>
      <w:r>
        <w:t>tied to a particular sector, technology, or mechanism</w:t>
      </w:r>
      <w:r w:rsidR="003409D7">
        <w:t>,</w:t>
      </w:r>
      <w:r>
        <w:t xml:space="preserve"> or theoretically abstract </w:t>
      </w:r>
      <w:r w:rsidR="00BF023D">
        <w:t xml:space="preserve">by </w:t>
      </w:r>
      <w:r>
        <w:t xml:space="preserve">providing normative principles without design-level </w:t>
      </w:r>
      <w:r w:rsidR="004C4E48">
        <w:t>operationalization</w:t>
      </w:r>
      <w:r>
        <w:t xml:space="preserve">. </w:t>
      </w:r>
      <w:r w:rsidR="0089328B">
        <w:t xml:space="preserve">The review found that </w:t>
      </w:r>
      <w:r>
        <w:t>a mid-range theory</w:t>
      </w:r>
      <w:r w:rsidR="0089328B">
        <w:t xml:space="preserve"> is missing</w:t>
      </w:r>
      <w:r w:rsidR="002A2B19">
        <w:t xml:space="preserve">. The mid-range theory is </w:t>
      </w:r>
      <w:r>
        <w:t xml:space="preserve">a framework that is sector-agnostic enough to </w:t>
      </w:r>
      <w:r w:rsidR="00914BCB">
        <w:t>generalize</w:t>
      </w:r>
      <w:r>
        <w:t xml:space="preserve"> across deployment contexts, yet concrete enough to generate testable propositions and guide design decisions. The Adaptive Oversight Calibration Model (AOCM), developed through thematic synthesis of the 187-study corpus, </w:t>
      </w:r>
      <w:r w:rsidR="004A5BF0">
        <w:t>is</w:t>
      </w:r>
      <w:r w:rsidR="00814671">
        <w:t xml:space="preserve"> designed to fill the</w:t>
      </w:r>
      <w:r>
        <w:t xml:space="preserve"> gap.</w:t>
      </w:r>
    </w:p>
    <w:p w14:paraId="65B9CD9B" w14:textId="29E35A5D" w:rsidR="006F243D" w:rsidRPr="00D13D47" w:rsidRDefault="00000000" w:rsidP="00D13D47">
      <w:pPr>
        <w:pStyle w:val="Heading3"/>
      </w:pPr>
      <w:bookmarkStart w:id="33" w:name="_Toc225135066"/>
      <w:r w:rsidRPr="00E4074A">
        <w:t>Model Overview</w:t>
      </w:r>
      <w:bookmarkEnd w:id="33"/>
    </w:p>
    <w:p w14:paraId="7DBE987C" w14:textId="4542F59C" w:rsidR="00835911" w:rsidRDefault="003A234D" w:rsidP="003A234D">
      <w:r>
        <w:t xml:space="preserve">The Adaptive Oversight Calibration Model (AOCM) is structured into four functional </w:t>
      </w:r>
      <w:r w:rsidR="00085F76">
        <w:t>components</w:t>
      </w:r>
      <w:r>
        <w:t xml:space="preserve">, each containing specific </w:t>
      </w:r>
      <w:r w:rsidR="00B12BCB">
        <w:t>variables</w:t>
      </w:r>
      <w:r>
        <w:t xml:space="preserve"> designed to ensure context-sensitive human-AI collaboration</w:t>
      </w:r>
      <w:r w:rsidR="00085F76">
        <w:t xml:space="preserve">. The </w:t>
      </w:r>
      <w:r w:rsidR="007971F2">
        <w:t>components</w:t>
      </w:r>
      <w:r w:rsidR="00085F76">
        <w:t xml:space="preserve"> are the contextual input layer</w:t>
      </w:r>
      <w:r w:rsidR="004F0333">
        <w:t>, dynamic calibration engine, oversight configuration output, and continuous feedback and learning loop</w:t>
      </w:r>
      <w:r>
        <w:t xml:space="preserve">. </w:t>
      </w:r>
      <w:r w:rsidR="00835911" w:rsidRPr="00835911">
        <w:t xml:space="preserve">The AOCM proposes that optimal human oversight in agentic AI systems is not a fixed configuration but a dynamic function of four context-sensitive inputs. The first is task criticality, which refers to the severity of potential harms that could </w:t>
      </w:r>
      <w:r w:rsidR="00835911" w:rsidRPr="00835911">
        <w:lastRenderedPageBreak/>
        <w:t xml:space="preserve">result from AI errors. The second is AI competency boundaries, meaning the distribution of tasks over which an AI system's outputs can be considered reliable. The third is human cognitive capacity, encompassing the bandwidth, expertise, and attentional resources available to human overseers. The fourth is institutional constraints, which include regulatory requirements, organizational structures, and accountability frameworks. These inputs feed into a calibration engine that produces an oversight configuration comprising a HITL tier assignment, an oversight intensity score, a trust band classification, and an audit trail specification. </w:t>
      </w:r>
      <w:r w:rsidR="00226546">
        <w:t>Essentially</w:t>
      </w:r>
      <w:r w:rsidR="00835911" w:rsidRPr="00835911">
        <w:t xml:space="preserve">, oversight configurations are continuously updated through a feedback loop that aggregates performance signals, error patterns, and trust drift indicators. Figure </w:t>
      </w:r>
      <w:r w:rsidR="00595717">
        <w:t>6</w:t>
      </w:r>
      <w:r w:rsidR="00835911" w:rsidRPr="00835911">
        <w:t xml:space="preserve"> presents the AOCM schematically.</w:t>
      </w:r>
    </w:p>
    <w:p w14:paraId="49EECE26" w14:textId="77777777" w:rsidR="00AC477A" w:rsidRPr="002422D7" w:rsidRDefault="00AC477A" w:rsidP="00AC477A">
      <w:pPr>
        <w:pStyle w:val="Cap"/>
      </w:pPr>
      <w:r>
        <w:t xml:space="preserve">Figure </w:t>
      </w:r>
      <w:fldSimple w:instr=" SEQ Figure \* ARABIC ">
        <w:r>
          <w:rPr>
            <w:noProof/>
          </w:rPr>
          <w:t>6</w:t>
        </w:r>
      </w:fldSimple>
    </w:p>
    <w:p w14:paraId="69676098" w14:textId="77777777" w:rsidR="00AC477A" w:rsidRDefault="00AC477A" w:rsidP="00AC477A">
      <w:pPr>
        <w:rPr>
          <w:i/>
          <w:iCs/>
        </w:rPr>
      </w:pPr>
      <w:r w:rsidRPr="002422D7">
        <w:rPr>
          <w:i/>
          <w:iCs/>
        </w:rPr>
        <w:t>The Adaptive Oversight Calibration Model (AOCM)</w:t>
      </w:r>
    </w:p>
    <w:p w14:paraId="3DF18A6D" w14:textId="77777777" w:rsidR="00AC477A" w:rsidRDefault="00AC477A" w:rsidP="00AC477A">
      <w:pPr>
        <w:spacing w:after="60"/>
      </w:pPr>
      <w:r>
        <w:rPr>
          <w:noProof/>
        </w:rPr>
        <w:drawing>
          <wp:inline distT="0" distB="0" distL="0" distR="0" wp14:anchorId="324DA8FC" wp14:editId="0336F075">
            <wp:extent cx="6075827" cy="3002010"/>
            <wp:effectExtent l="0" t="0" r="127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075827" cy="3002010"/>
                    </a:xfrm>
                    <a:prstGeom prst="rect">
                      <a:avLst/>
                    </a:prstGeom>
                    <a:noFill/>
                  </pic:spPr>
                </pic:pic>
              </a:graphicData>
            </a:graphic>
          </wp:inline>
        </w:drawing>
      </w:r>
    </w:p>
    <w:p w14:paraId="76583DF4" w14:textId="4BD838F0" w:rsidR="00AC477A" w:rsidRPr="0023780E" w:rsidRDefault="009C7FE4" w:rsidP="0002130B">
      <w:pPr>
        <w:jc w:val="center"/>
      </w:pPr>
      <w:r>
        <w:t>6(</w:t>
      </w:r>
      <w:r w:rsidR="00AC477A">
        <w:t>a</w:t>
      </w:r>
      <w:r>
        <w:t>)</w:t>
      </w:r>
      <w:r w:rsidR="00AC477A">
        <w:t xml:space="preserve"> Simplified AOC Model</w:t>
      </w:r>
    </w:p>
    <w:p w14:paraId="51266B4A" w14:textId="77777777" w:rsidR="00AC477A" w:rsidRDefault="00AC477A">
      <w:pPr>
        <w:spacing w:after="0" w:line="240" w:lineRule="auto"/>
        <w:jc w:val="left"/>
      </w:pPr>
    </w:p>
    <w:p w14:paraId="11EBD86F" w14:textId="0E864C36" w:rsidR="00AF1BF8" w:rsidRDefault="00AF1BF8">
      <w:pPr>
        <w:spacing w:after="0" w:line="240" w:lineRule="auto"/>
        <w:jc w:val="left"/>
        <w:rPr>
          <w:b/>
          <w:bCs/>
          <w:szCs w:val="22"/>
        </w:rPr>
      </w:pPr>
      <w:r>
        <w:br w:type="page"/>
      </w:r>
    </w:p>
    <w:p w14:paraId="0E1EBC8F" w14:textId="77777777" w:rsidR="00333EAF" w:rsidRDefault="00333EAF" w:rsidP="00595717">
      <w:pPr>
        <w:pStyle w:val="Cap"/>
        <w:sectPr w:rsidR="00333EAF" w:rsidSect="00284A8E">
          <w:pgSz w:w="11906" w:h="16838" w:code="9"/>
          <w:pgMar w:top="1094" w:right="720" w:bottom="720" w:left="720" w:header="432" w:footer="432" w:gutter="0"/>
          <w:cols w:space="720"/>
          <w:docGrid w:linePitch="360"/>
        </w:sectPr>
      </w:pPr>
    </w:p>
    <w:p w14:paraId="2DED20D9" w14:textId="2B57E32A" w:rsidR="006D0EB4" w:rsidRDefault="00301CEB" w:rsidP="00F721F4">
      <w:pPr>
        <w:spacing w:after="60" w:line="240" w:lineRule="auto"/>
      </w:pPr>
      <w:r>
        <w:rPr>
          <w:noProof/>
        </w:rPr>
        <w:lastRenderedPageBreak/>
        <w:drawing>
          <wp:inline distT="0" distB="0" distL="0" distR="0" wp14:anchorId="59B33AAE" wp14:editId="7657C8DC">
            <wp:extent cx="9594850" cy="5004273"/>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594850" cy="5004273"/>
                    </a:xfrm>
                    <a:prstGeom prst="rect">
                      <a:avLst/>
                    </a:prstGeom>
                    <a:noFill/>
                    <a:ln>
                      <a:noFill/>
                    </a:ln>
                  </pic:spPr>
                </pic:pic>
              </a:graphicData>
            </a:graphic>
          </wp:inline>
        </w:drawing>
      </w:r>
    </w:p>
    <w:p w14:paraId="3D29ACB7" w14:textId="26221DD0" w:rsidR="007666FE" w:rsidRPr="002422D7" w:rsidRDefault="00C153CD" w:rsidP="00F721F4">
      <w:pPr>
        <w:jc w:val="center"/>
      </w:pPr>
      <w:r>
        <w:t>6</w:t>
      </w:r>
      <w:r w:rsidR="007666FE">
        <w:t xml:space="preserve">(b) </w:t>
      </w:r>
      <w:r w:rsidR="007628C8">
        <w:t>Annotated</w:t>
      </w:r>
      <w:r w:rsidR="007666FE">
        <w:t xml:space="preserve"> AOC Model</w:t>
      </w:r>
    </w:p>
    <w:p w14:paraId="04100A50" w14:textId="14B327F6" w:rsidR="006F243D" w:rsidRDefault="003B3B0A" w:rsidP="00345985">
      <w:pPr>
        <w:spacing w:after="0"/>
      </w:pPr>
      <w:r w:rsidRPr="003B3B0A">
        <w:rPr>
          <w:i/>
          <w:iCs/>
        </w:rPr>
        <w:t>Note</w:t>
      </w:r>
      <w:r>
        <w:t xml:space="preserve">. </w:t>
      </w:r>
      <w:r w:rsidRPr="003B3B0A">
        <w:t>The Adaptive Oversight Calibration Model (AOCM): a dynamic framework for contextually appropriate human oversight of agentic AI systems.</w:t>
      </w:r>
      <w:r w:rsidR="00046D7E">
        <w:t xml:space="preserve"> Figure 6(a) shows a simplified AOC Model</w:t>
      </w:r>
      <w:r w:rsidR="007628C8">
        <w:t xml:space="preserve">; Figure 6(b) shows </w:t>
      </w:r>
      <w:r w:rsidR="004D6C6E">
        <w:t xml:space="preserve">an </w:t>
      </w:r>
      <w:r w:rsidR="009608C1">
        <w:t>annotated AOC Model.</w:t>
      </w:r>
      <w:r w:rsidR="00345985">
        <w:t xml:space="preserve"> This model maps how the Contextual Input Layer, comprising task criticality, AI competency, human capacity, and institutional constraints</w:t>
      </w:r>
      <w:r w:rsidR="00B352FC">
        <w:t>,</w:t>
      </w:r>
      <w:r w:rsidR="00345985">
        <w:t xml:space="preserve"> feeds into a Dynamic Calibration Engine to produce specific Oversight Configuration Outputs. The configuration is then refined through a Continuous Feedback &amp; Learning Loop that monitors performance and trust signals.</w:t>
      </w:r>
    </w:p>
    <w:p w14:paraId="297D52FB" w14:textId="77777777" w:rsidR="00AF1BF8" w:rsidRDefault="00AF1BF8">
      <w:pPr>
        <w:spacing w:after="0" w:line="240" w:lineRule="auto"/>
        <w:jc w:val="left"/>
        <w:rPr>
          <w:rFonts w:eastAsia="Arial" w:cs="Arial"/>
          <w:b/>
          <w:bCs/>
          <w:i/>
          <w:iCs/>
          <w:color w:val="000000" w:themeColor="text1"/>
          <w:szCs w:val="22"/>
        </w:rPr>
      </w:pPr>
      <w:bookmarkStart w:id="34" w:name="_Toc225135067"/>
      <w:r>
        <w:br w:type="page"/>
      </w:r>
    </w:p>
    <w:p w14:paraId="4C346F4C" w14:textId="77777777" w:rsidR="00333EAF" w:rsidRDefault="00333EAF" w:rsidP="00D13D47">
      <w:pPr>
        <w:pStyle w:val="Heading3"/>
        <w:sectPr w:rsidR="00333EAF" w:rsidSect="00284A8E">
          <w:pgSz w:w="16838" w:h="11906" w:orient="landscape" w:code="9"/>
          <w:pgMar w:top="1094" w:right="720" w:bottom="720" w:left="720" w:header="432" w:footer="432" w:gutter="0"/>
          <w:cols w:space="720"/>
          <w:docGrid w:linePitch="360"/>
        </w:sectPr>
      </w:pPr>
    </w:p>
    <w:p w14:paraId="16017932" w14:textId="6E77EC42" w:rsidR="002B3CFE" w:rsidRPr="00CF455E" w:rsidRDefault="00CF455E" w:rsidP="002B3CFE">
      <w:pPr>
        <w:rPr>
          <w:b/>
          <w:bCs/>
        </w:rPr>
      </w:pPr>
      <w:r w:rsidRPr="00CF455E">
        <w:rPr>
          <w:b/>
          <w:bCs/>
        </w:rPr>
        <w:lastRenderedPageBreak/>
        <w:t>Descriptions of the AOCM Components</w:t>
      </w:r>
    </w:p>
    <w:p w14:paraId="53D65227" w14:textId="77777777" w:rsidR="00A21A63" w:rsidRPr="00A21A63" w:rsidRDefault="002B3CFE" w:rsidP="002B3CFE">
      <w:pPr>
        <w:pStyle w:val="ListParagraph"/>
        <w:numPr>
          <w:ilvl w:val="0"/>
          <w:numId w:val="13"/>
        </w:numPr>
        <w:rPr>
          <w:b/>
          <w:bCs/>
        </w:rPr>
      </w:pPr>
      <w:r w:rsidRPr="009D3153">
        <w:rPr>
          <w:b/>
          <w:bCs/>
        </w:rPr>
        <w:t xml:space="preserve">Contextual Input </w:t>
      </w:r>
      <w:r w:rsidRPr="00075F17">
        <w:rPr>
          <w:b/>
          <w:bCs/>
        </w:rPr>
        <w:t>Layer</w:t>
      </w:r>
      <w:r w:rsidR="009F70D1">
        <w:t xml:space="preserve">: </w:t>
      </w:r>
      <w:r w:rsidRPr="009F70D1">
        <w:t>This</w:t>
      </w:r>
      <w:r>
        <w:t xml:space="preserve"> layer gathers the foundational variables that dictate the necessary oversight</w:t>
      </w:r>
      <w:r w:rsidR="00A21A63">
        <w:t>. The variables are:</w:t>
      </w:r>
    </w:p>
    <w:p w14:paraId="7060E943" w14:textId="77777777" w:rsidR="00EE0990" w:rsidRPr="00EE0990" w:rsidRDefault="002B3CFE" w:rsidP="00F16A8C">
      <w:pPr>
        <w:pStyle w:val="ListParagraph"/>
        <w:numPr>
          <w:ilvl w:val="0"/>
          <w:numId w:val="15"/>
        </w:numPr>
        <w:ind w:left="720" w:hanging="180"/>
        <w:rPr>
          <w:b/>
          <w:bCs/>
        </w:rPr>
      </w:pPr>
      <w:r w:rsidRPr="008D1892">
        <w:rPr>
          <w:b/>
          <w:bCs/>
        </w:rPr>
        <w:t>Task Criticality Assessment (TCA):</w:t>
      </w:r>
      <w:r>
        <w:t xml:space="preserve"> </w:t>
      </w:r>
      <w:r w:rsidR="00CA2148">
        <w:t>This variable e</w:t>
      </w:r>
      <w:r>
        <w:t>valuates the severity of potential harms resulting from AI errors, specifically focusing on the irreversibility of actions, potential for physical or systemic harm, and legal liability requirements.</w:t>
      </w:r>
    </w:p>
    <w:p w14:paraId="3E1B6AD9" w14:textId="0F8A619B" w:rsidR="007E634E" w:rsidRPr="007E634E" w:rsidRDefault="002B3CFE" w:rsidP="00F16A8C">
      <w:pPr>
        <w:pStyle w:val="ListParagraph"/>
        <w:numPr>
          <w:ilvl w:val="0"/>
          <w:numId w:val="15"/>
        </w:numPr>
        <w:ind w:left="720" w:hanging="180"/>
        <w:rPr>
          <w:b/>
          <w:bCs/>
        </w:rPr>
      </w:pPr>
      <w:r w:rsidRPr="00804B5F">
        <w:rPr>
          <w:b/>
          <w:bCs/>
        </w:rPr>
        <w:t>AI Competency Boundary (ACB)</w:t>
      </w:r>
      <w:r>
        <w:t xml:space="preserve">: </w:t>
      </w:r>
      <w:r w:rsidR="00804B5F">
        <w:t>It i</w:t>
      </w:r>
      <w:r>
        <w:t>dentifies the distribution of tasks where the AI system is reliable versus where it encounters "out-of-distribution" scenarios or diminished accuracy</w:t>
      </w:r>
      <w:r w:rsidR="00E14238">
        <w:t>.</w:t>
      </w:r>
    </w:p>
    <w:p w14:paraId="7459163D" w14:textId="77777777" w:rsidR="00B00D21" w:rsidRPr="00B00D21" w:rsidRDefault="002B3CFE" w:rsidP="00F16A8C">
      <w:pPr>
        <w:pStyle w:val="ListParagraph"/>
        <w:numPr>
          <w:ilvl w:val="0"/>
          <w:numId w:val="15"/>
        </w:numPr>
        <w:ind w:left="720" w:hanging="180"/>
        <w:rPr>
          <w:b/>
          <w:bCs/>
        </w:rPr>
      </w:pPr>
      <w:r w:rsidRPr="007E634E">
        <w:rPr>
          <w:b/>
          <w:bCs/>
        </w:rPr>
        <w:t>Human Capacity Modeling (HCM)</w:t>
      </w:r>
      <w:r>
        <w:t xml:space="preserve">: </w:t>
      </w:r>
      <w:r w:rsidR="007E634E">
        <w:t>HCM a</w:t>
      </w:r>
      <w:r>
        <w:t>ssesses the cognitive bandwidth, expertise, and attentional resources available to the human overseer at any given time.</w:t>
      </w:r>
    </w:p>
    <w:p w14:paraId="701B4326" w14:textId="4853016C" w:rsidR="002B3CFE" w:rsidRPr="00BB4978" w:rsidRDefault="002B3CFE" w:rsidP="00F16A8C">
      <w:pPr>
        <w:pStyle w:val="ListParagraph"/>
        <w:numPr>
          <w:ilvl w:val="0"/>
          <w:numId w:val="15"/>
        </w:numPr>
        <w:ind w:left="720" w:hanging="180"/>
        <w:rPr>
          <w:b/>
          <w:bCs/>
        </w:rPr>
      </w:pPr>
      <w:r w:rsidRPr="009F40F1">
        <w:rPr>
          <w:b/>
          <w:bCs/>
        </w:rPr>
        <w:t>Institutional Constraints (IC)</w:t>
      </w:r>
      <w:r>
        <w:t>: Accounts for regulatory requirements</w:t>
      </w:r>
      <w:r w:rsidR="00C62D5F">
        <w:t xml:space="preserve">, including </w:t>
      </w:r>
      <w:r w:rsidR="00693184">
        <w:t xml:space="preserve">the EU AI Act and the NIST AI Risk Management </w:t>
      </w:r>
      <w:r w:rsidR="005D59C5">
        <w:t>f</w:t>
      </w:r>
      <w:r w:rsidR="00693184">
        <w:t>ramework</w:t>
      </w:r>
      <w:r>
        <w:t>, organizational structures, and existing accountability frameworks that limit or mandate certain oversight types</w:t>
      </w:r>
      <w:r w:rsidR="00F16A8C">
        <w:t>.</w:t>
      </w:r>
    </w:p>
    <w:p w14:paraId="448EC1D5" w14:textId="77777777" w:rsidR="00E5227C" w:rsidRPr="00E5227C" w:rsidRDefault="002B3CFE" w:rsidP="002B3CFE">
      <w:pPr>
        <w:pStyle w:val="ListParagraph"/>
        <w:numPr>
          <w:ilvl w:val="0"/>
          <w:numId w:val="13"/>
        </w:numPr>
        <w:rPr>
          <w:b/>
          <w:bCs/>
        </w:rPr>
      </w:pPr>
      <w:r w:rsidRPr="00AE5AE8">
        <w:rPr>
          <w:b/>
          <w:bCs/>
        </w:rPr>
        <w:t>Dynamic Calibration Engine</w:t>
      </w:r>
      <w:r w:rsidR="00AE5AE8">
        <w:t xml:space="preserve">: </w:t>
      </w:r>
      <w:r>
        <w:t>This engine</w:t>
      </w:r>
      <w:r w:rsidR="00473EAE">
        <w:t xml:space="preserve"> is the core component of the system, which</w:t>
      </w:r>
      <w:r>
        <w:t xml:space="preserve"> processes the contextual inputs to select the optimal oversight strategy</w:t>
      </w:r>
      <w:r w:rsidR="00E5227C">
        <w:t>. Its variables are:</w:t>
      </w:r>
    </w:p>
    <w:p w14:paraId="50AAF2D9" w14:textId="77777777" w:rsidR="00735F00" w:rsidRPr="00735F00" w:rsidRDefault="002B3CFE" w:rsidP="002B3CFE">
      <w:pPr>
        <w:pStyle w:val="ListParagraph"/>
        <w:numPr>
          <w:ilvl w:val="0"/>
          <w:numId w:val="16"/>
        </w:numPr>
        <w:ind w:left="720" w:hanging="360"/>
        <w:rPr>
          <w:b/>
          <w:bCs/>
        </w:rPr>
      </w:pPr>
      <w:r w:rsidRPr="009009E1">
        <w:rPr>
          <w:b/>
          <w:bCs/>
        </w:rPr>
        <w:t>Autonomy Level Selector</w:t>
      </w:r>
      <w:r>
        <w:t xml:space="preserve">: </w:t>
      </w:r>
      <w:r w:rsidR="00E61EBE">
        <w:t>It d</w:t>
      </w:r>
      <w:r>
        <w:t>etermines the appropriate HITL Tier (I–IV), ranging from full human control to human-on-the-loop, based on the task's criticality</w:t>
      </w:r>
      <w:r w:rsidR="00735F00">
        <w:t>.</w:t>
      </w:r>
    </w:p>
    <w:p w14:paraId="6681DB8F" w14:textId="58CB6FBC" w:rsidR="00735F00" w:rsidRPr="00735F00" w:rsidRDefault="002B3CFE" w:rsidP="002B3CFE">
      <w:pPr>
        <w:pStyle w:val="ListParagraph"/>
        <w:numPr>
          <w:ilvl w:val="0"/>
          <w:numId w:val="16"/>
        </w:numPr>
        <w:ind w:left="720" w:hanging="360"/>
        <w:rPr>
          <w:b/>
          <w:bCs/>
        </w:rPr>
      </w:pPr>
      <w:r w:rsidRPr="00735F00">
        <w:rPr>
          <w:b/>
          <w:bCs/>
        </w:rPr>
        <w:t>Intervention Threshold Tuner</w:t>
      </w:r>
      <w:r>
        <w:t>: Sets the frequency and triggers for human intervention, ensuring they are proportional to the probability of the AI operating outside its validated competency</w:t>
      </w:r>
      <w:r w:rsidR="00E14238">
        <w:t>.</w:t>
      </w:r>
    </w:p>
    <w:p w14:paraId="556B344F" w14:textId="1A701467" w:rsidR="00735F00" w:rsidRPr="00735F00" w:rsidRDefault="002B3CFE" w:rsidP="002B3CFE">
      <w:pPr>
        <w:pStyle w:val="ListParagraph"/>
        <w:numPr>
          <w:ilvl w:val="0"/>
          <w:numId w:val="16"/>
        </w:numPr>
        <w:ind w:left="720" w:hanging="360"/>
        <w:rPr>
          <w:b/>
          <w:bCs/>
        </w:rPr>
      </w:pPr>
      <w:r w:rsidRPr="00735F00">
        <w:rPr>
          <w:b/>
          <w:bCs/>
        </w:rPr>
        <w:t>Explanation Depth Modulator</w:t>
      </w:r>
      <w:r>
        <w:t>: Adjusts the complexity of XAI outputs; as operator cognitive load increases, it shifts from detailed reasoning to compressed, actionable summaries</w:t>
      </w:r>
      <w:r w:rsidR="00E14238">
        <w:t>.</w:t>
      </w:r>
    </w:p>
    <w:p w14:paraId="34F0A4CF" w14:textId="166421C4" w:rsidR="002B3CFE" w:rsidRPr="0043369B" w:rsidRDefault="002B3CFE" w:rsidP="002B3CFE">
      <w:pPr>
        <w:pStyle w:val="ListParagraph"/>
        <w:numPr>
          <w:ilvl w:val="0"/>
          <w:numId w:val="16"/>
        </w:numPr>
        <w:ind w:left="720" w:hanging="360"/>
        <w:rPr>
          <w:b/>
          <w:bCs/>
        </w:rPr>
      </w:pPr>
      <w:r w:rsidRPr="00735F00">
        <w:rPr>
          <w:b/>
          <w:bCs/>
        </w:rPr>
        <w:t>Accountability Mapper</w:t>
      </w:r>
      <w:r>
        <w:t>: Explicitly assigns responsibility to specific human roles for every AI-driven outcome to prevent accountability voids</w:t>
      </w:r>
      <w:r w:rsidR="00E14238">
        <w:t>.</w:t>
      </w:r>
    </w:p>
    <w:p w14:paraId="58676D4D" w14:textId="77777777" w:rsidR="00FA2746" w:rsidRDefault="002B3CFE" w:rsidP="002B3CFE">
      <w:pPr>
        <w:pStyle w:val="ListParagraph"/>
        <w:numPr>
          <w:ilvl w:val="0"/>
          <w:numId w:val="13"/>
        </w:numPr>
      </w:pPr>
      <w:r w:rsidRPr="0043369B">
        <w:rPr>
          <w:b/>
          <w:bCs/>
        </w:rPr>
        <w:t>Oversight Configuration Output</w:t>
      </w:r>
      <w:r w:rsidR="0043369B">
        <w:t xml:space="preserve">: </w:t>
      </w:r>
      <w:r>
        <w:t>This layer represents the practical implementation of the calibration engine's decisions</w:t>
      </w:r>
      <w:r w:rsidR="00FA2746">
        <w:t>, using the following elements:</w:t>
      </w:r>
    </w:p>
    <w:p w14:paraId="523324D5" w14:textId="1910F0D0" w:rsidR="00874B6A" w:rsidRDefault="002B3CFE" w:rsidP="002B3CFE">
      <w:pPr>
        <w:pStyle w:val="ListParagraph"/>
        <w:numPr>
          <w:ilvl w:val="0"/>
          <w:numId w:val="17"/>
        </w:numPr>
        <w:ind w:left="720" w:hanging="360"/>
      </w:pPr>
      <w:r w:rsidRPr="00874B6A">
        <w:rPr>
          <w:b/>
          <w:bCs/>
        </w:rPr>
        <w:t>HITL Tier Assignment</w:t>
      </w:r>
      <w:r>
        <w:t>: The formal placement of the workflow into a specific category, such as Human Supervisory (Tier II) or Collaborative (Tier III)</w:t>
      </w:r>
      <w:r w:rsidR="00E14238">
        <w:t>.</w:t>
      </w:r>
    </w:p>
    <w:p w14:paraId="22A3A0E6" w14:textId="407D1164" w:rsidR="00882188" w:rsidRDefault="002B3CFE" w:rsidP="002B3CFE">
      <w:pPr>
        <w:pStyle w:val="ListParagraph"/>
        <w:numPr>
          <w:ilvl w:val="0"/>
          <w:numId w:val="17"/>
        </w:numPr>
        <w:ind w:left="720" w:hanging="360"/>
      </w:pPr>
      <w:r w:rsidRPr="00882188">
        <w:rPr>
          <w:b/>
          <w:bCs/>
        </w:rPr>
        <w:t>Oversight Intensity Score</w:t>
      </w:r>
      <w:r>
        <w:t>: A composite measure indicating the frequency, depth, and consequentiality of required human interventions</w:t>
      </w:r>
      <w:r w:rsidR="00E14238">
        <w:t>.</w:t>
      </w:r>
    </w:p>
    <w:p w14:paraId="19E51A6B" w14:textId="77777777" w:rsidR="00085B6C" w:rsidRDefault="002B3CFE" w:rsidP="002B3CFE">
      <w:pPr>
        <w:pStyle w:val="ListParagraph"/>
        <w:numPr>
          <w:ilvl w:val="0"/>
          <w:numId w:val="17"/>
        </w:numPr>
        <w:ind w:left="720" w:hanging="360"/>
      </w:pPr>
      <w:r w:rsidRPr="00882188">
        <w:rPr>
          <w:b/>
          <w:bCs/>
        </w:rPr>
        <w:t>Trust Band</w:t>
      </w:r>
      <w:r w:rsidR="00973C75">
        <w:rPr>
          <w:b/>
          <w:bCs/>
        </w:rPr>
        <w:t xml:space="preserve"> Classification</w:t>
      </w:r>
      <w:r>
        <w:t>: A classification of the current trust state, aiming to keep the operator within the Optimal Zone of calibrated trust to maximize team performance.</w:t>
      </w:r>
    </w:p>
    <w:p w14:paraId="6FB62929" w14:textId="0FFEE3FD" w:rsidR="002B3CFE" w:rsidRDefault="002B3CFE" w:rsidP="002B3CFE">
      <w:pPr>
        <w:pStyle w:val="ListParagraph"/>
        <w:numPr>
          <w:ilvl w:val="0"/>
          <w:numId w:val="17"/>
        </w:numPr>
        <w:ind w:left="720" w:hanging="360"/>
      </w:pPr>
      <w:r w:rsidRPr="00085B6C">
        <w:rPr>
          <w:b/>
          <w:bCs/>
        </w:rPr>
        <w:t>Audit Trail Specification</w:t>
      </w:r>
      <w:r>
        <w:t>: Defines the requirements for logs, decision trails, and sign-off timestamps needed for post-hoc accountability and regulatory compliance</w:t>
      </w:r>
      <w:r w:rsidR="00E14238">
        <w:t>.</w:t>
      </w:r>
    </w:p>
    <w:p w14:paraId="169064A2" w14:textId="77777777" w:rsidR="0078462A" w:rsidRPr="0078462A" w:rsidRDefault="002B3CFE" w:rsidP="002B3CFE">
      <w:pPr>
        <w:pStyle w:val="ListParagraph"/>
        <w:numPr>
          <w:ilvl w:val="0"/>
          <w:numId w:val="13"/>
        </w:numPr>
        <w:rPr>
          <w:b/>
          <w:bCs/>
        </w:rPr>
      </w:pPr>
      <w:r w:rsidRPr="00481657">
        <w:rPr>
          <w:b/>
          <w:bCs/>
        </w:rPr>
        <w:t>Continuous Feedback &amp; Learning Loop</w:t>
      </w:r>
      <w:r w:rsidR="00481657">
        <w:t xml:space="preserve">: </w:t>
      </w:r>
      <w:r>
        <w:t xml:space="preserve">This </w:t>
      </w:r>
      <w:r w:rsidR="001320A9">
        <w:t>component</w:t>
      </w:r>
      <w:r>
        <w:t xml:space="preserve"> ensures the model stays updated by monitoring real-world performance</w:t>
      </w:r>
      <w:r w:rsidR="00B17E9E">
        <w:t>.</w:t>
      </w:r>
      <w:r w:rsidR="0078462A">
        <w:t xml:space="preserve"> The elements of this layer are:</w:t>
      </w:r>
    </w:p>
    <w:p w14:paraId="0628C6F8" w14:textId="77777777" w:rsidR="004823D7" w:rsidRPr="004823D7" w:rsidRDefault="002B3CFE" w:rsidP="002B3CFE">
      <w:pPr>
        <w:pStyle w:val="ListParagraph"/>
        <w:numPr>
          <w:ilvl w:val="0"/>
          <w:numId w:val="18"/>
        </w:numPr>
        <w:ind w:left="720" w:hanging="360"/>
        <w:rPr>
          <w:b/>
          <w:bCs/>
        </w:rPr>
      </w:pPr>
      <w:r w:rsidRPr="004823D7">
        <w:rPr>
          <w:b/>
          <w:bCs/>
        </w:rPr>
        <w:t>Performance Signals</w:t>
      </w:r>
      <w:r>
        <w:t>: Aggregated data reflecting how well the human-AI team is achieving its goals</w:t>
      </w:r>
      <w:r w:rsidR="004823D7">
        <w:t>.</w:t>
      </w:r>
    </w:p>
    <w:p w14:paraId="77944CB6" w14:textId="77777777" w:rsidR="004823D7" w:rsidRPr="004823D7" w:rsidRDefault="002B3CFE" w:rsidP="002B3CFE">
      <w:pPr>
        <w:pStyle w:val="ListParagraph"/>
        <w:numPr>
          <w:ilvl w:val="0"/>
          <w:numId w:val="18"/>
        </w:numPr>
        <w:ind w:left="720" w:hanging="360"/>
        <w:rPr>
          <w:b/>
          <w:bCs/>
        </w:rPr>
      </w:pPr>
      <w:r w:rsidRPr="004823D7">
        <w:rPr>
          <w:b/>
          <w:bCs/>
        </w:rPr>
        <w:t>Error Patterns</w:t>
      </w:r>
      <w:r>
        <w:t>: Identification of recurring mistakes or distributional shifts that indicate a need to redefine the AI's competency boundaries</w:t>
      </w:r>
      <w:r w:rsidR="004823D7">
        <w:t xml:space="preserve">. </w:t>
      </w:r>
    </w:p>
    <w:p w14:paraId="10BE3A66" w14:textId="5AB27D83" w:rsidR="00901916" w:rsidRPr="004823D7" w:rsidRDefault="002B3CFE" w:rsidP="002B3CFE">
      <w:pPr>
        <w:pStyle w:val="ListParagraph"/>
        <w:numPr>
          <w:ilvl w:val="0"/>
          <w:numId w:val="18"/>
        </w:numPr>
        <w:ind w:left="720" w:hanging="360"/>
        <w:rPr>
          <w:b/>
          <w:bCs/>
        </w:rPr>
      </w:pPr>
      <w:r w:rsidRPr="004823D7">
        <w:rPr>
          <w:b/>
          <w:bCs/>
        </w:rPr>
        <w:t>Drift Signals</w:t>
      </w:r>
      <w:r>
        <w:t xml:space="preserve"> (Trust Drift Indicators): Monitors for vigilance decrement (leading to over-trust) or algorithmic aversion (leading to under-trust) to trigger recalibration</w:t>
      </w:r>
      <w:r w:rsidR="004823D7">
        <w:t>.</w:t>
      </w:r>
    </w:p>
    <w:p w14:paraId="7668463F" w14:textId="29D2A2D9" w:rsidR="006F243D" w:rsidRPr="00E4074A" w:rsidRDefault="00000000" w:rsidP="00D13D47">
      <w:pPr>
        <w:pStyle w:val="Heading3"/>
      </w:pPr>
      <w:r w:rsidRPr="00E4074A">
        <w:t>Formal Propositions</w:t>
      </w:r>
      <w:bookmarkEnd w:id="34"/>
    </w:p>
    <w:p w14:paraId="195BDF04" w14:textId="0068385E" w:rsidR="006F243D" w:rsidRDefault="00000000" w:rsidP="00396128">
      <w:r>
        <w:t xml:space="preserve">The AOCM is </w:t>
      </w:r>
      <w:r w:rsidR="004C4E48">
        <w:t>formaliz</w:t>
      </w:r>
      <w:r>
        <w:t xml:space="preserve">ed through six propositions derived from the </w:t>
      </w:r>
      <w:r w:rsidR="008F293A">
        <w:t>synthesize</w:t>
      </w:r>
      <w:r>
        <w:t xml:space="preserve">d evidence. These propositions are presented as conditionals amenable to empirical testing via experimental, quasi-experimental, or observational designs. Table 4 presents the propositions alongside their formal statements, </w:t>
      </w:r>
      <w:r w:rsidR="004C4E48">
        <w:t>operationalization</w:t>
      </w:r>
      <w:r>
        <w:t>s, and evidential grounding.</w:t>
      </w:r>
    </w:p>
    <w:p w14:paraId="099306C9" w14:textId="511617E0" w:rsidR="006F243D" w:rsidRDefault="002044D1" w:rsidP="007733C2">
      <w:pPr>
        <w:pStyle w:val="Cap"/>
      </w:pPr>
      <w:r>
        <w:t xml:space="preserve">Table </w:t>
      </w:r>
      <w:fldSimple w:instr=" SEQ Table \* ARABIC ">
        <w:r w:rsidR="00AF5F2C">
          <w:rPr>
            <w:noProof/>
          </w:rPr>
          <w:t>4</w:t>
        </w:r>
      </w:fldSimple>
    </w:p>
    <w:p w14:paraId="687812C7" w14:textId="0FC07369" w:rsidR="006F243D" w:rsidRPr="00295799" w:rsidRDefault="00000000" w:rsidP="00295799">
      <w:pPr>
        <w:rPr>
          <w:i/>
          <w:iCs/>
        </w:rPr>
      </w:pPr>
      <w:r w:rsidRPr="00295799">
        <w:rPr>
          <w:i/>
          <w:iCs/>
        </w:rPr>
        <w:t xml:space="preserve">AOCM Formal Propositions: Statements, </w:t>
      </w:r>
      <w:r w:rsidR="00E71218" w:rsidRPr="00295799">
        <w:rPr>
          <w:i/>
          <w:iCs/>
        </w:rPr>
        <w:t>Operationalizations</w:t>
      </w:r>
      <w:r w:rsidRPr="00295799">
        <w:rPr>
          <w:i/>
          <w:iCs/>
        </w:rPr>
        <w:t>, and Evidential Support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900"/>
        <w:gridCol w:w="2460"/>
        <w:gridCol w:w="3000"/>
        <w:gridCol w:w="3000"/>
      </w:tblGrid>
      <w:tr w:rsidR="006F243D" w:rsidRPr="00987E0F" w14:paraId="4B9B73C0" w14:textId="77777777" w:rsidTr="00A3448D">
        <w:trPr>
          <w:tblHeader/>
        </w:trPr>
        <w:tc>
          <w:tcPr>
            <w:tcW w:w="900" w:type="dxa"/>
            <w:tcBorders>
              <w:top w:val="single" w:sz="8" w:space="0" w:color="auto"/>
              <w:bottom w:val="single" w:sz="8" w:space="0" w:color="auto"/>
            </w:tcBorders>
            <w:vAlign w:val="center"/>
          </w:tcPr>
          <w:p w14:paraId="61753A40" w14:textId="77777777" w:rsidR="006F243D" w:rsidRPr="00437A40" w:rsidRDefault="00000000" w:rsidP="00421D20">
            <w:pPr>
              <w:spacing w:after="0" w:line="240" w:lineRule="auto"/>
              <w:jc w:val="left"/>
              <w:rPr>
                <w:b/>
                <w:bCs/>
              </w:rPr>
            </w:pPr>
            <w:r w:rsidRPr="00437A40">
              <w:rPr>
                <w:rFonts w:eastAsia="Arial"/>
                <w:b/>
                <w:bCs/>
              </w:rPr>
              <w:lastRenderedPageBreak/>
              <w:t>ID</w:t>
            </w:r>
          </w:p>
        </w:tc>
        <w:tc>
          <w:tcPr>
            <w:tcW w:w="2460" w:type="dxa"/>
            <w:tcBorders>
              <w:top w:val="single" w:sz="8" w:space="0" w:color="auto"/>
              <w:bottom w:val="single" w:sz="8" w:space="0" w:color="auto"/>
            </w:tcBorders>
            <w:vAlign w:val="center"/>
          </w:tcPr>
          <w:p w14:paraId="6948A0E9" w14:textId="77777777" w:rsidR="006F243D" w:rsidRPr="00437A40" w:rsidRDefault="00000000" w:rsidP="00212FED">
            <w:pPr>
              <w:spacing w:after="0" w:line="240" w:lineRule="auto"/>
              <w:jc w:val="left"/>
              <w:rPr>
                <w:b/>
                <w:bCs/>
              </w:rPr>
            </w:pPr>
            <w:r w:rsidRPr="00437A40">
              <w:rPr>
                <w:rFonts w:eastAsia="Arial"/>
                <w:b/>
                <w:bCs/>
              </w:rPr>
              <w:t>Proposition Name</w:t>
            </w:r>
          </w:p>
        </w:tc>
        <w:tc>
          <w:tcPr>
            <w:tcW w:w="3000" w:type="dxa"/>
            <w:tcBorders>
              <w:top w:val="single" w:sz="8" w:space="0" w:color="auto"/>
              <w:bottom w:val="single" w:sz="8" w:space="0" w:color="auto"/>
            </w:tcBorders>
            <w:vAlign w:val="center"/>
          </w:tcPr>
          <w:p w14:paraId="2251E78F" w14:textId="77777777" w:rsidR="006F243D" w:rsidRPr="00437A40" w:rsidRDefault="00000000" w:rsidP="00212FED">
            <w:pPr>
              <w:spacing w:after="0" w:line="240" w:lineRule="auto"/>
              <w:jc w:val="left"/>
              <w:rPr>
                <w:b/>
                <w:bCs/>
              </w:rPr>
            </w:pPr>
            <w:r w:rsidRPr="00437A40">
              <w:rPr>
                <w:rFonts w:eastAsia="Arial"/>
                <w:b/>
                <w:bCs/>
              </w:rPr>
              <w:t>Formal Statement</w:t>
            </w:r>
          </w:p>
        </w:tc>
        <w:tc>
          <w:tcPr>
            <w:tcW w:w="3000" w:type="dxa"/>
            <w:tcBorders>
              <w:top w:val="single" w:sz="8" w:space="0" w:color="auto"/>
              <w:bottom w:val="single" w:sz="8" w:space="0" w:color="auto"/>
            </w:tcBorders>
            <w:vAlign w:val="center"/>
          </w:tcPr>
          <w:p w14:paraId="3B2D156B" w14:textId="7C362EA2" w:rsidR="006F243D" w:rsidRPr="00437A40" w:rsidRDefault="00421D20" w:rsidP="00421D20">
            <w:pPr>
              <w:spacing w:after="0" w:line="240" w:lineRule="auto"/>
              <w:jc w:val="left"/>
              <w:rPr>
                <w:b/>
                <w:bCs/>
              </w:rPr>
            </w:pPr>
            <w:r w:rsidRPr="00437A40">
              <w:rPr>
                <w:rFonts w:eastAsia="Arial"/>
                <w:b/>
                <w:bCs/>
              </w:rPr>
              <w:t>Operationalization &amp; Support</w:t>
            </w:r>
          </w:p>
        </w:tc>
      </w:tr>
      <w:tr w:rsidR="006F243D" w:rsidRPr="00987E0F" w14:paraId="0FACE16E" w14:textId="77777777" w:rsidTr="00A3448D">
        <w:tc>
          <w:tcPr>
            <w:tcW w:w="900" w:type="dxa"/>
            <w:tcBorders>
              <w:top w:val="single" w:sz="8" w:space="0" w:color="auto"/>
            </w:tcBorders>
          </w:tcPr>
          <w:p w14:paraId="25B46A56" w14:textId="77777777" w:rsidR="006F243D" w:rsidRPr="00437A40" w:rsidRDefault="00000000" w:rsidP="00FE281D">
            <w:pPr>
              <w:spacing w:after="0" w:line="240" w:lineRule="auto"/>
              <w:rPr>
                <w:color w:val="000000" w:themeColor="text1"/>
              </w:rPr>
            </w:pPr>
            <w:r w:rsidRPr="00437A40">
              <w:rPr>
                <w:rFonts w:eastAsia="Arial"/>
                <w:color w:val="000000" w:themeColor="text1"/>
              </w:rPr>
              <w:t>P1</w:t>
            </w:r>
          </w:p>
        </w:tc>
        <w:tc>
          <w:tcPr>
            <w:tcW w:w="2460" w:type="dxa"/>
            <w:tcBorders>
              <w:top w:val="single" w:sz="8" w:space="0" w:color="auto"/>
            </w:tcBorders>
          </w:tcPr>
          <w:p w14:paraId="15603A10" w14:textId="77777777" w:rsidR="006F243D" w:rsidRPr="00987E0F" w:rsidRDefault="00000000" w:rsidP="00212FED">
            <w:pPr>
              <w:spacing w:after="0" w:line="240" w:lineRule="auto"/>
              <w:jc w:val="left"/>
            </w:pPr>
            <w:r w:rsidRPr="00987E0F">
              <w:rPr>
                <w:rFonts w:eastAsia="Arial"/>
              </w:rPr>
              <w:t>Task Criticality → Oversight Tier</w:t>
            </w:r>
          </w:p>
        </w:tc>
        <w:tc>
          <w:tcPr>
            <w:tcW w:w="3000" w:type="dxa"/>
            <w:tcBorders>
              <w:top w:val="single" w:sz="8" w:space="0" w:color="auto"/>
            </w:tcBorders>
          </w:tcPr>
          <w:p w14:paraId="27A042F8" w14:textId="6A04E397" w:rsidR="006F243D" w:rsidRPr="00987E0F" w:rsidRDefault="00000000" w:rsidP="00212FED">
            <w:pPr>
              <w:spacing w:after="0" w:line="240" w:lineRule="auto"/>
              <w:jc w:val="left"/>
            </w:pPr>
            <w:r w:rsidRPr="00987E0F">
              <w:rPr>
                <w:rFonts w:eastAsia="Arial"/>
              </w:rPr>
              <w:t>Higher task criticality</w:t>
            </w:r>
            <w:r w:rsidR="009151D9">
              <w:rPr>
                <w:rFonts w:eastAsia="Arial"/>
              </w:rPr>
              <w:t xml:space="preserve">, </w:t>
            </w:r>
            <w:r w:rsidRPr="00987E0F">
              <w:rPr>
                <w:rFonts w:eastAsia="Arial"/>
              </w:rPr>
              <w:t>defined by irreversibility, harm potential, and legal liability</w:t>
            </w:r>
            <w:r w:rsidR="009151D9">
              <w:rPr>
                <w:rFonts w:eastAsia="Arial"/>
              </w:rPr>
              <w:t>,</w:t>
            </w:r>
            <w:r w:rsidRPr="00987E0F">
              <w:rPr>
                <w:rFonts w:eastAsia="Arial"/>
              </w:rPr>
              <w:t xml:space="preserve"> necessitates a lower HITL tier</w:t>
            </w:r>
            <w:r w:rsidR="00412284">
              <w:rPr>
                <w:rFonts w:eastAsia="Arial"/>
              </w:rPr>
              <w:t xml:space="preserve">, requiring </w:t>
            </w:r>
            <w:r w:rsidRPr="00987E0F">
              <w:rPr>
                <w:rFonts w:eastAsia="Arial"/>
              </w:rPr>
              <w:t>more direct human control.</w:t>
            </w:r>
          </w:p>
        </w:tc>
        <w:tc>
          <w:tcPr>
            <w:tcW w:w="3000" w:type="dxa"/>
            <w:tcBorders>
              <w:top w:val="single" w:sz="8" w:space="0" w:color="auto"/>
            </w:tcBorders>
          </w:tcPr>
          <w:p w14:paraId="4CFD3BEB" w14:textId="77777777" w:rsidR="00BF5F0D" w:rsidRDefault="00000000" w:rsidP="005A6E38">
            <w:pPr>
              <w:spacing w:after="0" w:line="240" w:lineRule="auto"/>
              <w:jc w:val="left"/>
              <w:rPr>
                <w:rFonts w:eastAsia="Arial"/>
                <w:i/>
                <w:iCs/>
              </w:rPr>
            </w:pPr>
            <w:r w:rsidRPr="00437A40">
              <w:rPr>
                <w:rFonts w:eastAsia="Arial"/>
                <w:i/>
                <w:iCs/>
              </w:rPr>
              <w:t>HITL tier = f(irreversibility, harm, liability)</w:t>
            </w:r>
          </w:p>
          <w:p w14:paraId="4A35DEB0" w14:textId="4C6F9AA9" w:rsidR="006F243D" w:rsidRPr="00437A40" w:rsidRDefault="00000000" w:rsidP="005A6E38">
            <w:pPr>
              <w:spacing w:after="0" w:line="240" w:lineRule="auto"/>
              <w:jc w:val="left"/>
              <w:rPr>
                <w:i/>
                <w:iCs/>
              </w:rPr>
            </w:pPr>
            <w:r w:rsidRPr="006C5E70">
              <w:rPr>
                <w:rFonts w:eastAsia="Arial"/>
              </w:rPr>
              <w:t>Supported by</w:t>
            </w:r>
            <w:r w:rsidR="00C731E4" w:rsidRPr="006C5E70">
              <w:rPr>
                <w:rFonts w:eastAsia="Arial"/>
              </w:rPr>
              <w:t xml:space="preserve"> </w:t>
            </w:r>
            <w:r w:rsidR="00C731E4">
              <w:rPr>
                <w:rFonts w:eastAsia="Arial"/>
                <w:i/>
                <w:iCs/>
              </w:rPr>
              <w:fldChar w:fldCharType="begin"/>
            </w:r>
            <w:r w:rsidR="00734C91">
              <w:rPr>
                <w:rFonts w:eastAsia="Arial"/>
                <w:i/>
                <w:iCs/>
              </w:rPr>
              <w:instrText xml:space="preserve"> ADDIN ZOTERO_ITEM CSL_CITATION {"citationID":"WvPDCZVX","properties":{"formattedCitation":"(Cabitza et al., 2021)","plainCitation":"(Cabitza et al., 2021)","dontUpdate":true,"noteIndex":0},"citationItems":[{"id":3013,"uris":["http://zotero.org/users/6567242/items/K9N5RXFG"],"itemData":{"id":3013,"type":"article-journal","container-title":"Artificial Intelligence in Medicine","DOI":"10.1016/j.artmed.2021.102121","language":"en","page":"102121","title":"The need to rehumanize clinical AI","volume":"118","author":[{"family":"Cabitza","given":"F."},{"family":"Campagner","given":"A."},{"family":"Ferrari","given":"D."},{"family":"Ciucci","given":"D."}],"issued":{"date-parts":[["2021"]]}}}],"schema":"https://github.com/citation-style-language/schema/raw/master/csl-citation.json"} </w:instrText>
            </w:r>
            <w:r w:rsidR="00C731E4">
              <w:rPr>
                <w:rFonts w:eastAsia="Arial"/>
                <w:i/>
                <w:iCs/>
              </w:rPr>
              <w:fldChar w:fldCharType="separate"/>
            </w:r>
            <w:r w:rsidR="00C731E4" w:rsidRPr="00C82286">
              <w:rPr>
                <w:rFonts w:eastAsia="Arial"/>
              </w:rPr>
              <w:t xml:space="preserve">Cabitza et al. </w:t>
            </w:r>
            <w:r w:rsidR="00C731E4">
              <w:rPr>
                <w:rFonts w:eastAsia="Arial"/>
              </w:rPr>
              <w:t>(</w:t>
            </w:r>
            <w:r w:rsidR="00C731E4" w:rsidRPr="00C82286">
              <w:rPr>
                <w:rFonts w:eastAsia="Arial"/>
              </w:rPr>
              <w:t>2021)</w:t>
            </w:r>
            <w:r w:rsidR="00C731E4">
              <w:rPr>
                <w:rFonts w:eastAsia="Arial"/>
                <w:i/>
                <w:iCs/>
              </w:rPr>
              <w:fldChar w:fldCharType="end"/>
            </w:r>
            <w:r w:rsidR="00C731E4">
              <w:rPr>
                <w:rFonts w:eastAsia="Arial"/>
              </w:rPr>
              <w:t xml:space="preserve"> and</w:t>
            </w:r>
            <w:r w:rsidRPr="00437A40">
              <w:rPr>
                <w:rFonts w:eastAsia="Arial"/>
                <w:i/>
                <w:iCs/>
              </w:rPr>
              <w:t xml:space="preserve"> </w:t>
            </w:r>
            <w:r w:rsidR="003C57B4">
              <w:rPr>
                <w:rFonts w:eastAsia="Arial"/>
                <w:i/>
                <w:iCs/>
              </w:rPr>
              <w:fldChar w:fldCharType="begin"/>
            </w:r>
            <w:r w:rsidR="00734C91">
              <w:rPr>
                <w:rFonts w:eastAsia="Arial"/>
                <w:i/>
                <w:iCs/>
              </w:rPr>
              <w:instrText xml:space="preserve"> ADDIN ZOTERO_ITEM CSL_CITATION {"citationID":"fzLhFT3z","properties":{"formattedCitation":"(Shneiderman, 2022)","plainCitation":"(Shneiderman, 2022)","dontUpdate":true,"noteIndex":0},"citationItems":[{"id":2991,"uris":["http://zotero.org/users/6567242/items/UJFJX8ZN"],"itemData":{"id":2991,"type":"book","abstract":"Abstract\n            Researchers, developers, business leaders, policy makers, and others are expanding the technology-centered scope of artificial intelligence (AI) to include human-centered AI (HCAI) ways of thinking. This expansion from an algorithm-focused view to embrace a human-centered perspective can shape the future of technology so as to better serve human needs. Educators, designers, software engineers, product managers, evaluators, and government agency staffers can build on AI-driven technologies to design products and services that make life better for people and enable people to care for each other. Humans have always been tool builders, and now they are supertool builders, whose inventions can improve our health, family life, education, business, the environment, and much more. The remarkable progress in algorithms for machine and deep learning have opened the doors to new opportunities, and some dark possibilities. However, a bright future awaits AI researchers, developers, business leaders, policy makers, and others who build on their working methods by including HCAI strategies of design and testing. This enlarged vision can shape the future of technology so as to better serve human needs. As many technology companies and thought leaders have said, the goal is not to replace people, but to empower them by making design choices that give humans control over technology.","DOI":"10.1093/oso/9780192845290.001.0001","edition":"1","ISBN":"978-0-19-284529-0","language":"en","publisher":"Oxford University PressOxford","source":"DOI.org (Crossref)","title":"Human-Centered AI","URL":"https://academic.oup.com/book/41126","author":[{"family":"Shneiderman","given":"Ben"}],"accessed":{"date-parts":[["2026",3,23]]},"issued":{"date-parts":[["2022",1,13]]}}}],"schema":"https://github.com/citation-style-language/schema/raw/master/csl-citation.json"} </w:instrText>
            </w:r>
            <w:r w:rsidR="003C57B4">
              <w:rPr>
                <w:rFonts w:eastAsia="Arial"/>
                <w:i/>
                <w:iCs/>
              </w:rPr>
              <w:fldChar w:fldCharType="separate"/>
            </w:r>
            <w:r w:rsidR="003C57B4" w:rsidRPr="003C57B4">
              <w:rPr>
                <w:rFonts w:eastAsia="Arial"/>
              </w:rPr>
              <w:t xml:space="preserve">Shneiderman </w:t>
            </w:r>
            <w:r w:rsidR="003C57B4">
              <w:rPr>
                <w:rFonts w:eastAsia="Arial"/>
              </w:rPr>
              <w:t>(</w:t>
            </w:r>
            <w:r w:rsidR="003C57B4" w:rsidRPr="003C57B4">
              <w:rPr>
                <w:rFonts w:eastAsia="Arial"/>
              </w:rPr>
              <w:t>2022)</w:t>
            </w:r>
            <w:r w:rsidR="003C57B4">
              <w:rPr>
                <w:rFonts w:eastAsia="Arial"/>
                <w:i/>
                <w:iCs/>
              </w:rPr>
              <w:fldChar w:fldCharType="end"/>
            </w:r>
            <w:r w:rsidR="00F843E5">
              <w:rPr>
                <w:rFonts w:eastAsia="Arial"/>
              </w:rPr>
              <w:t xml:space="preserve"> </w:t>
            </w:r>
          </w:p>
        </w:tc>
      </w:tr>
      <w:tr w:rsidR="006F243D" w:rsidRPr="00987E0F" w14:paraId="1C0F6E12" w14:textId="77777777" w:rsidTr="00A3448D">
        <w:tc>
          <w:tcPr>
            <w:tcW w:w="900" w:type="dxa"/>
          </w:tcPr>
          <w:p w14:paraId="7650E41E" w14:textId="77777777" w:rsidR="006F243D" w:rsidRPr="00437A40" w:rsidRDefault="00000000" w:rsidP="00FE281D">
            <w:pPr>
              <w:spacing w:after="0" w:line="240" w:lineRule="auto"/>
              <w:rPr>
                <w:color w:val="000000" w:themeColor="text1"/>
              </w:rPr>
            </w:pPr>
            <w:r w:rsidRPr="00437A40">
              <w:rPr>
                <w:rFonts w:eastAsia="Arial"/>
                <w:color w:val="000000" w:themeColor="text1"/>
              </w:rPr>
              <w:t>P2</w:t>
            </w:r>
          </w:p>
        </w:tc>
        <w:tc>
          <w:tcPr>
            <w:tcW w:w="2460" w:type="dxa"/>
          </w:tcPr>
          <w:p w14:paraId="184C44B8" w14:textId="77777777" w:rsidR="006F243D" w:rsidRPr="00987E0F" w:rsidRDefault="00000000" w:rsidP="00212FED">
            <w:pPr>
              <w:spacing w:after="0" w:line="240" w:lineRule="auto"/>
              <w:jc w:val="left"/>
            </w:pPr>
            <w:r w:rsidRPr="00987E0F">
              <w:rPr>
                <w:rFonts w:eastAsia="Arial"/>
              </w:rPr>
              <w:t>AI Competency Boundary → Intervention Threshold</w:t>
            </w:r>
          </w:p>
        </w:tc>
        <w:tc>
          <w:tcPr>
            <w:tcW w:w="3000" w:type="dxa"/>
          </w:tcPr>
          <w:p w14:paraId="40F4F706" w14:textId="77777777" w:rsidR="006F243D" w:rsidRPr="00987E0F" w:rsidRDefault="00000000" w:rsidP="00212FED">
            <w:pPr>
              <w:spacing w:after="0" w:line="240" w:lineRule="auto"/>
              <w:jc w:val="left"/>
            </w:pPr>
            <w:r w:rsidRPr="00987E0F">
              <w:rPr>
                <w:rFonts w:eastAsia="Arial"/>
              </w:rPr>
              <w:t>Oversight interventions should be triggered proportionally to the probability that an AI system is operating outside its validated competency boundary.</w:t>
            </w:r>
          </w:p>
        </w:tc>
        <w:tc>
          <w:tcPr>
            <w:tcW w:w="3000" w:type="dxa"/>
          </w:tcPr>
          <w:p w14:paraId="14E8410C" w14:textId="77777777" w:rsidR="00A3448D" w:rsidRDefault="00000000" w:rsidP="00C31F4C">
            <w:pPr>
              <w:spacing w:after="0" w:line="240" w:lineRule="auto"/>
              <w:jc w:val="left"/>
              <w:rPr>
                <w:rFonts w:eastAsia="Arial"/>
                <w:i/>
                <w:iCs/>
              </w:rPr>
            </w:pPr>
            <w:r w:rsidRPr="00437A40">
              <w:rPr>
                <w:rFonts w:eastAsia="Arial"/>
                <w:i/>
                <w:iCs/>
              </w:rPr>
              <w:t>Intervention rate = g(P[out-of-distribution])</w:t>
            </w:r>
          </w:p>
          <w:p w14:paraId="10B57328" w14:textId="390EBE9D" w:rsidR="006F243D" w:rsidRPr="00437A40" w:rsidRDefault="00000000" w:rsidP="00C31F4C">
            <w:pPr>
              <w:spacing w:after="0" w:line="240" w:lineRule="auto"/>
              <w:jc w:val="left"/>
              <w:rPr>
                <w:i/>
                <w:iCs/>
              </w:rPr>
            </w:pPr>
            <w:r w:rsidRPr="006C5E70">
              <w:rPr>
                <w:rFonts w:eastAsia="Arial"/>
              </w:rPr>
              <w:t>Supported by</w:t>
            </w:r>
            <w:r w:rsidR="0056081E">
              <w:rPr>
                <w:rFonts w:eastAsia="Arial"/>
              </w:rPr>
              <w:t xml:space="preserve"> </w:t>
            </w:r>
            <w:r w:rsidR="0056081E">
              <w:rPr>
                <w:rFonts w:eastAsia="Arial"/>
                <w:i/>
                <w:iCs/>
              </w:rPr>
              <w:fldChar w:fldCharType="begin"/>
            </w:r>
            <w:r w:rsidR="00734C91">
              <w:rPr>
                <w:rFonts w:eastAsia="Arial"/>
                <w:i/>
                <w:iCs/>
              </w:rPr>
              <w:instrText xml:space="preserve"> ADDIN ZOTERO_ITEM CSL_CITATION {"citationID":"y1YzEBZU","properties":{"formattedCitation":"(Amodei &amp; Hernandez, 2022)","plainCitation":"(Amodei &amp; Hernandez, 2022)","dontUpdate":true,"noteIndex":0},"citationItems":[{"id":3012,"uris":["http://zotero.org/users/6567242/items/HJCGHMTS"],"itemData":{"id":3012,"type":"article-journal","container-title":"Anthropic Technical Report","language":"en","title":"AI and compute: Revisiting the exponential","author":[{"family":"Amodei","given":"D."},{"family":"Hernandez","given":"D."}],"issued":{"date-parts":[["2022"]]}}}],"schema":"https://github.com/citation-style-language/schema/raw/master/csl-citation.json"} </w:instrText>
            </w:r>
            <w:r w:rsidR="0056081E">
              <w:rPr>
                <w:rFonts w:eastAsia="Arial"/>
                <w:i/>
                <w:iCs/>
              </w:rPr>
              <w:fldChar w:fldCharType="separate"/>
            </w:r>
            <w:r w:rsidR="0056081E" w:rsidRPr="00FA16A4">
              <w:rPr>
                <w:rFonts w:eastAsia="Arial"/>
              </w:rPr>
              <w:t xml:space="preserve">Amodei &amp; Hernandez </w:t>
            </w:r>
            <w:r w:rsidR="0056081E">
              <w:rPr>
                <w:rFonts w:eastAsia="Arial"/>
              </w:rPr>
              <w:t>(</w:t>
            </w:r>
            <w:r w:rsidR="0056081E" w:rsidRPr="00FA16A4">
              <w:rPr>
                <w:rFonts w:eastAsia="Arial"/>
              </w:rPr>
              <w:t>2022)</w:t>
            </w:r>
            <w:r w:rsidR="0056081E">
              <w:rPr>
                <w:rFonts w:eastAsia="Arial"/>
                <w:i/>
                <w:iCs/>
              </w:rPr>
              <w:fldChar w:fldCharType="end"/>
            </w:r>
            <w:r w:rsidR="0056081E">
              <w:rPr>
                <w:rFonts w:eastAsia="Arial"/>
                <w:i/>
                <w:iCs/>
              </w:rPr>
              <w:t xml:space="preserve"> </w:t>
            </w:r>
            <w:r w:rsidR="0056081E">
              <w:rPr>
                <w:rFonts w:eastAsia="Arial"/>
              </w:rPr>
              <w:t>and</w:t>
            </w:r>
            <w:r w:rsidRPr="00437A40">
              <w:rPr>
                <w:rFonts w:eastAsia="Arial"/>
                <w:i/>
                <w:iCs/>
              </w:rPr>
              <w:t xml:space="preserve"> </w:t>
            </w:r>
            <w:r w:rsidR="0095658B">
              <w:rPr>
                <w:rFonts w:eastAsia="Arial"/>
                <w:i/>
                <w:iCs/>
              </w:rPr>
              <w:fldChar w:fldCharType="begin"/>
            </w:r>
            <w:r w:rsidR="00734C91">
              <w:rPr>
                <w:rFonts w:eastAsia="Arial"/>
                <w:i/>
                <w:iCs/>
              </w:rPr>
              <w:instrText xml:space="preserve"> ADDIN ZOTERO_ITEM CSL_CITATION {"citationID":"EosRrmGt","properties":{"formattedCitation":"(Bommasani et al., 2022)","plainCitation":"(Bommasani et al., 2022)","dontUpdate":true,"noteIndex":0},"citationItems":[{"id":2596,"uris":["http://zotero.org/users/6567242/items/MEM52G6Y"],"itemData":{"id":2596,"type":"article","abstract":"AI is undergoing a paradigm shift with the rise of models (e.g., BERT, DALL-E, GPT-3) that are trained on broad data at scale and are adaptable to a wide range of downstream tasks. We call these models foundation models to underscore their critically central yet incomplete character. This report provides a thorough account of the opportunities and risks of foundation models, ranging from their capabilities (e.g., language, vision, robotics, reasoning, human interaction) and technical principles(e.g., model architectures, training procedures, data, systems, security, evaluation, theory) to their applications (e.g., law, healthcare, education) and societal impact (e.g., inequity, misuse, economic and environmental impact, legal and ethical considerations). Though foundation models are based on standard deep learning and transfer learning, their scale results in new emergent capabilities,and their effectiveness across so many tasks incentivizes homogenization. Homogenization provides powerful leverage but demands caution, as the defects of the foundation model are inherited by all the adapted models downstream. Despite the impending widespread deployment of foundation models, we currently lack a clear understanding of how they work, when they fail, and what they are even capable of due to their emergent properties. To tackle these questions, we believe much of the critical research on foundation models will require deep interdisciplinary collaboration commensurate with their fundamentally sociotechnical nature.","DOI":"10.48550/arXiv.2108.07258","note":"arXiv:2108.07258 [cs]","number":"arXiv:2108.07258","publisher":"arXiv","source":"arXiv.org","title":"On the Opportunities and Risks of Foundation Models","URL":"http://arxiv.org/abs/2108.07258","author":[{"family":"Bommasani","given":"Rishi"},{"family":"Hudson","given":"Drew A."},{"family":"Adeli","given":"Ehsan"},{"family":"Altman","given":"Russ"},{"family":"Arora","given":"Simran"},{"family":"Arx","given":"Sydney","dropping-particle":"von"},{"family":"Bernstein","given":"Michael S."},{"family":"Bohg","given":"Jeannette"},{"family":"Bosselut","given":"Antoine"},{"family":"Brunskill","given":"Emma"},{"family":"Brynjolfsson","given":"Erik"},{"family":"Buch","given":"Shyamal"},{"family":"Card","given":"Dallas"},{"family":"Castellon","given":"Rodrigo"},{"family":"Chatterji","given":"Niladri"},{"family":"Chen","given":"Annie"},{"family":"Creel","given":"Kathleen"},{"family":"Davis","given":"Jared Quincy"},{"family":"Demszky","given":"Dora"},{"family":"Donahue","given":"Chris"},{"family":"Doumbouya","given":"Moussa"},{"family":"Durmus","given":"Esin"},{"family":"Ermon","given":"Stefano"},{"family":"Etchemendy","given":"John"},{"family":"Ethayarajh","given":"Kawin"},{"family":"Fei-Fei","given":"Li"},{"family":"Finn","given":"Chelsea"},{"family":"Gale","given":"Trevor"},{"family":"Gillespie","given":"Lauren"},{"family":"Goel","given":"Karan"},{"family":"Goodman","given":"Noah"},{"family":"Grossman","given":"Shelby"},{"family":"Guha","given":"Neel"},{"family":"Hashimoto","given":"Tatsunori"},{"family":"Henderson","given":"Peter"},{"family":"Hewitt","given":"John"},{"family":"Ho","given":"Daniel E."},{"family":"Hong","given":"Jenny"},{"family":"Hsu","given":"Kyle"},{"family":"Huang","given":"Jing"},{"family":"Icard","given":"Thomas"},{"family":"Jain","given":"Saahil"},{"family":"Jurafsky","given":"Dan"},{"family":"Kalluri","given":"Pratyusha"},{"family":"Karamcheti","given":"Siddharth"},{"family":"Keeling","given":"Geoff"},{"family":"Khani","given":"Fereshte"},{"family":"Khattab","given":"Omar"},{"family":"Koh","given":"Pang Wei"},{"family":"Krass","given":"Mark"},{"family":"Krishna","given":"Ranjay"},{"family":"Kuditipudi","given":"Rohith"},{"family":"Kumar","given":"Ananya"},{"family":"Ladhak","given":"Faisal"},{"family":"Lee","given":"Mina"},{"family":"Lee","given":"Tony"},{"family":"Leskovec","given":"Jure"},{"family":"Levent","given":"Isabelle"},{"family":"Li","given":"Xiang Lisa"},{"family":"Li","given":"Xuechen"},{"family":"Ma","given":"Tengyu"},{"family":"Malik","given":"Ali"},{"family":"Manning","given":"Christopher D."},{"family":"Mirchandani","given":"Suvir"},{"family":"Mitchell","given":"Eric"},{"family":"Munyikwa","given":"Zanele"},{"family":"Nair","given":"Suraj"},{"family":"Narayan","given":"Avanika"},{"family":"Narayanan","given":"Deepak"},{"family":"Newman","given":"Ben"},{"family":"Nie","given":"Allen"},{"family":"Niebles","given":"Juan Carlos"},{"family":"Nilforoshan","given":"Hamed"},{"family":"Nyarko","given":"Julian"},{"family":"Ogut","given":"Giray"},{"family":"Orr","given":"Laurel"},{"family":"Papadimitriou","given":"Isabel"},{"family":"Park","given":"Joon Sung"},{"family":"Piech","given":"Chris"},{"family":"Portelance","given":"Eva"},{"family":"Potts","given":"Christopher"},{"family":"Raghunathan","given":"Aditi"},{"family":"Reich","given":"Rob"},{"family":"Ren","given":"Hongyu"},{"family":"Rong","given":"Frieda"},{"family":"Roohani","given":"Yusuf"},{"family":"Ruiz","given":"Camilo"},{"family":"Ryan","given":"Jack"},{"family":"Ré","given":"Christopher"},{"family":"Sadigh","given":"Dorsa"},{"family":"Sagawa","given":"Shiori"},{"family":"Santhanam","given":"Keshav"},{"family":"Shih","given":"Andy"},{"family":"Srinivasan","given":"Krishnan"},{"family":"Tamkin","given":"Alex"},{"family":"Taori","given":"Rohan"},{"family":"Thomas","given":"Armin W."},{"family":"Tramèr","given":"Florian"},{"family":"Wang","given":"Rose E."},{"family":"Wang","given":"William"},{"family":"Wu","given":"Bohan"},{"family":"Wu","given":"Jiajun"},{"family":"Wu","given":"Yuhuai"},{"family":"Xie","given":"Sang Michael"},{"family":"Yasunaga","given":"Michihiro"},{"family":"You","given":"Jiaxuan"},{"family":"Zaharia","given":"Matei"},{"family":"Zhang","given":"Michael"},{"family":"Zhang","given":"Tianyi"},{"family":"Zhang","given":"Xikun"},{"family":"Zhang","given":"Yuhui"},{"family":"Zheng","given":"Lucia"},{"family":"Zhou","given":"Kaitlyn"},{"family":"Liang","given":"Percy"}],"accessed":{"date-parts":[["2025",11,23]]},"issued":{"date-parts":[["2022",7,12]]}}}],"schema":"https://github.com/citation-style-language/schema/raw/master/csl-citation.json"} </w:instrText>
            </w:r>
            <w:r w:rsidR="0095658B">
              <w:rPr>
                <w:rFonts w:eastAsia="Arial"/>
                <w:i/>
                <w:iCs/>
              </w:rPr>
              <w:fldChar w:fldCharType="separate"/>
            </w:r>
            <w:r w:rsidR="0095658B" w:rsidRPr="0095658B">
              <w:rPr>
                <w:rFonts w:eastAsia="Arial"/>
              </w:rPr>
              <w:t xml:space="preserve">Bommasani et al. </w:t>
            </w:r>
            <w:r w:rsidR="0095658B">
              <w:rPr>
                <w:rFonts w:eastAsia="Arial"/>
              </w:rPr>
              <w:t>(</w:t>
            </w:r>
            <w:r w:rsidR="0095658B" w:rsidRPr="0095658B">
              <w:rPr>
                <w:rFonts w:eastAsia="Arial"/>
              </w:rPr>
              <w:t>2022)</w:t>
            </w:r>
            <w:r w:rsidR="0095658B">
              <w:rPr>
                <w:rFonts w:eastAsia="Arial"/>
                <w:i/>
                <w:iCs/>
              </w:rPr>
              <w:fldChar w:fldCharType="end"/>
            </w:r>
          </w:p>
        </w:tc>
      </w:tr>
      <w:tr w:rsidR="006F243D" w:rsidRPr="00987E0F" w14:paraId="2B964B98" w14:textId="77777777" w:rsidTr="00A3448D">
        <w:tc>
          <w:tcPr>
            <w:tcW w:w="900" w:type="dxa"/>
          </w:tcPr>
          <w:p w14:paraId="16FE6648" w14:textId="77777777" w:rsidR="006F243D" w:rsidRPr="00437A40" w:rsidRDefault="00000000" w:rsidP="00FE281D">
            <w:pPr>
              <w:spacing w:after="0" w:line="240" w:lineRule="auto"/>
              <w:rPr>
                <w:color w:val="000000" w:themeColor="text1"/>
              </w:rPr>
            </w:pPr>
            <w:r w:rsidRPr="00437A40">
              <w:rPr>
                <w:rFonts w:eastAsia="Arial"/>
                <w:color w:val="000000" w:themeColor="text1"/>
              </w:rPr>
              <w:t>P3</w:t>
            </w:r>
          </w:p>
        </w:tc>
        <w:tc>
          <w:tcPr>
            <w:tcW w:w="2460" w:type="dxa"/>
          </w:tcPr>
          <w:p w14:paraId="38A6A568" w14:textId="77777777" w:rsidR="006F243D" w:rsidRPr="00987E0F" w:rsidRDefault="00000000" w:rsidP="00212FED">
            <w:pPr>
              <w:spacing w:after="0" w:line="240" w:lineRule="auto"/>
              <w:jc w:val="left"/>
            </w:pPr>
            <w:r w:rsidRPr="00987E0F">
              <w:rPr>
                <w:rFonts w:eastAsia="Arial"/>
              </w:rPr>
              <w:t>Human Cognitive Load → Explanation Depth</w:t>
            </w:r>
          </w:p>
        </w:tc>
        <w:tc>
          <w:tcPr>
            <w:tcW w:w="3000" w:type="dxa"/>
          </w:tcPr>
          <w:p w14:paraId="6C246B08" w14:textId="77777777" w:rsidR="006F243D" w:rsidRPr="00987E0F" w:rsidRDefault="00000000" w:rsidP="00212FED">
            <w:pPr>
              <w:spacing w:after="0" w:line="240" w:lineRule="auto"/>
              <w:jc w:val="left"/>
            </w:pPr>
            <w:r w:rsidRPr="00987E0F">
              <w:rPr>
                <w:rFonts w:eastAsia="Arial"/>
              </w:rPr>
              <w:t>As operator cognitive load increases, the depth of AI explanations should decrease; compressed, actionable summaries outperform detailed explanations under time pressure.</w:t>
            </w:r>
          </w:p>
        </w:tc>
        <w:tc>
          <w:tcPr>
            <w:tcW w:w="3000" w:type="dxa"/>
          </w:tcPr>
          <w:p w14:paraId="4BD7970F" w14:textId="77777777" w:rsidR="00467022" w:rsidRDefault="00000000" w:rsidP="00C31F4C">
            <w:pPr>
              <w:spacing w:after="0" w:line="240" w:lineRule="auto"/>
              <w:jc w:val="left"/>
              <w:rPr>
                <w:rFonts w:eastAsia="Arial"/>
                <w:i/>
                <w:iCs/>
              </w:rPr>
            </w:pPr>
            <w:r w:rsidRPr="00437A40">
              <w:rPr>
                <w:rFonts w:eastAsia="Arial"/>
                <w:i/>
                <w:iCs/>
              </w:rPr>
              <w:t>XAI depth = h(1 / cognitive_load)</w:t>
            </w:r>
          </w:p>
          <w:p w14:paraId="4C2B1375" w14:textId="70A5039D" w:rsidR="006F243D" w:rsidRPr="00437A40" w:rsidRDefault="00000000" w:rsidP="009D0CF8">
            <w:pPr>
              <w:spacing w:after="0" w:line="240" w:lineRule="auto"/>
              <w:jc w:val="left"/>
              <w:rPr>
                <w:i/>
                <w:iCs/>
              </w:rPr>
            </w:pPr>
            <w:r w:rsidRPr="006C5E70">
              <w:rPr>
                <w:rFonts w:eastAsia="Arial"/>
              </w:rPr>
              <w:t>Supported by</w:t>
            </w:r>
            <w:r w:rsidR="004A26D4">
              <w:rPr>
                <w:rFonts w:eastAsia="Arial"/>
              </w:rPr>
              <w:t xml:space="preserve"> </w:t>
            </w:r>
            <w:r w:rsidR="004A26D4">
              <w:rPr>
                <w:rFonts w:eastAsia="Arial"/>
                <w:i/>
                <w:iCs/>
              </w:rPr>
              <w:fldChar w:fldCharType="begin"/>
            </w:r>
            <w:r w:rsidR="00734C91">
              <w:rPr>
                <w:rFonts w:eastAsia="Arial"/>
                <w:i/>
                <w:iCs/>
              </w:rPr>
              <w:instrText xml:space="preserve"> ADDIN ZOTERO_ITEM CSL_CITATION {"citationID":"XvHZF053","properties":{"formattedCitation":"(Ehsan et al., 2021)","plainCitation":"(Ehsan et al., 2021)","dontUpdate":true,"noteIndex":0},"citationItems":[{"id":2999,"uris":["http://zotero.org/users/6567242/items/JWLKN65M"],"itemData":{"id":2999,"type":"paper-conference","container-title":"Proceedings of the 2021 CHI Conference on Human Factors in Computing Systems","DOI":"10.1145/3411764.3445188","event-title":"CHI '21: CHI Conference on Human Factors in Computing Systems","ISBN":"978-1-4503-8096-6","language":"en","page":"1-19","publisher":"ACM","publisher-place":"Yokohama Japan","source":"DOI.org (Crossref)","title":"Expanding Explainability: Towards Social Transparency in AI systems","title-short":"Expanding Explainability","URL":"https://dl.acm.org/doi/10.1145/3411764.3445188","author":[{"family":"Ehsan","given":"Upol"},{"family":"Liao","given":"Q. Vera"},{"family":"Muller","given":"Michael"},{"family":"Riedl","given":"Mark O."},{"family":"Weisz","given":"Justin D."}],"accessed":{"date-parts":[["2026",3,23]]},"issued":{"date-parts":[["2021",5,6]]}}}],"schema":"https://github.com/citation-style-language/schema/raw/master/csl-citation.json"} </w:instrText>
            </w:r>
            <w:r w:rsidR="004A26D4">
              <w:rPr>
                <w:rFonts w:eastAsia="Arial"/>
                <w:i/>
                <w:iCs/>
              </w:rPr>
              <w:fldChar w:fldCharType="separate"/>
            </w:r>
            <w:r w:rsidR="004A26D4" w:rsidRPr="00AC45A5">
              <w:rPr>
                <w:rFonts w:eastAsia="Arial"/>
              </w:rPr>
              <w:t xml:space="preserve">Ehsan et al. </w:t>
            </w:r>
            <w:r w:rsidR="004A26D4">
              <w:rPr>
                <w:rFonts w:eastAsia="Arial"/>
              </w:rPr>
              <w:t>(</w:t>
            </w:r>
            <w:r w:rsidR="004A26D4" w:rsidRPr="00AC45A5">
              <w:rPr>
                <w:rFonts w:eastAsia="Arial"/>
              </w:rPr>
              <w:t>2021)</w:t>
            </w:r>
            <w:r w:rsidR="004A26D4">
              <w:rPr>
                <w:rFonts w:eastAsia="Arial"/>
                <w:i/>
                <w:iCs/>
              </w:rPr>
              <w:fldChar w:fldCharType="end"/>
            </w:r>
            <w:r w:rsidR="004A26D4">
              <w:rPr>
                <w:rFonts w:eastAsia="Arial"/>
              </w:rPr>
              <w:t>,</w:t>
            </w:r>
            <w:r w:rsidRPr="00437A40">
              <w:rPr>
                <w:rFonts w:eastAsia="Arial"/>
                <w:i/>
                <w:iCs/>
              </w:rPr>
              <w:t xml:space="preserve"> </w:t>
            </w:r>
            <w:r w:rsidR="00E93B2E">
              <w:rPr>
                <w:rFonts w:eastAsia="Arial"/>
                <w:i/>
                <w:iCs/>
              </w:rPr>
              <w:fldChar w:fldCharType="begin"/>
            </w:r>
            <w:r w:rsidR="00734C91">
              <w:rPr>
                <w:rFonts w:eastAsia="Arial"/>
                <w:i/>
                <w:iCs/>
              </w:rPr>
              <w:instrText xml:space="preserve"> ADDIN ZOTERO_ITEM CSL_CITATION {"citationID":"3EEm9e9S","properties":{"formattedCitation":"(Endsley, 2023)","plainCitation":"(Endsley, 2023)","dontUpdate":true,"noteIndex":0},"citationItems":[{"id":3015,"uris":["http://zotero.org/users/6567242/items/KT62PGZ3"],"itemData":{"id":3015,"type":"article-journal","container-title":"Human Factors","DOI":"10.1177/00187208211059252","issue":"1","language":"su","page":"99–111","title":"Situation awareness in future autonomous systems","volume":"65","author":[{"family":"Endsley","given":"M.R."}],"issued":{"date-parts":[["2023"]]}}}],"schema":"https://github.com/citation-style-language/schema/raw/master/csl-citation.json"} </w:instrText>
            </w:r>
            <w:r w:rsidR="00E93B2E">
              <w:rPr>
                <w:rFonts w:eastAsia="Arial"/>
                <w:i/>
                <w:iCs/>
              </w:rPr>
              <w:fldChar w:fldCharType="separate"/>
            </w:r>
            <w:r w:rsidR="00E93B2E" w:rsidRPr="00E93B2E">
              <w:rPr>
                <w:rFonts w:eastAsia="Arial"/>
              </w:rPr>
              <w:t xml:space="preserve">Endsley </w:t>
            </w:r>
            <w:r w:rsidR="00E93B2E">
              <w:rPr>
                <w:rFonts w:eastAsia="Arial"/>
              </w:rPr>
              <w:t>(</w:t>
            </w:r>
            <w:r w:rsidR="00E93B2E" w:rsidRPr="00E93B2E">
              <w:rPr>
                <w:rFonts w:eastAsia="Arial"/>
              </w:rPr>
              <w:t>2023)</w:t>
            </w:r>
            <w:r w:rsidR="00E93B2E">
              <w:rPr>
                <w:rFonts w:eastAsia="Arial"/>
                <w:i/>
                <w:iCs/>
              </w:rPr>
              <w:fldChar w:fldCharType="end"/>
            </w:r>
            <w:r w:rsidR="00A75DD9">
              <w:rPr>
                <w:rFonts w:eastAsia="Arial"/>
              </w:rPr>
              <w:t>, and</w:t>
            </w:r>
            <w:r w:rsidR="00441613">
              <w:rPr>
                <w:rFonts w:eastAsia="Arial"/>
                <w:i/>
                <w:iCs/>
              </w:rPr>
              <w:t xml:space="preserve"> </w:t>
            </w:r>
            <w:r w:rsidR="00614468">
              <w:rPr>
                <w:rFonts w:eastAsia="Arial"/>
                <w:i/>
                <w:iCs/>
              </w:rPr>
              <w:fldChar w:fldCharType="begin"/>
            </w:r>
            <w:r w:rsidR="00734C91">
              <w:rPr>
                <w:rFonts w:eastAsia="Arial"/>
                <w:i/>
                <w:iCs/>
              </w:rPr>
              <w:instrText xml:space="preserve"> ADDIN ZOTERO_ITEM CSL_CITATION {"citationID":"6gHROHUJ","properties":{"formattedCitation":"(Wang et al., 2024)","plainCitation":"(Wang et al., 2024)","dontUpdate":true,"noteIndex":0},"citationItems":[{"id":2275,"uris":["http://zotero.org/users/6567242/items/3F67TU5K"],"itemData":{"id":2275,"type":"article-journal","abstract":"Artificial intelligence (AI) in education (AIED) has evolved into a substantial body of literature with diverse perspectives. In this review paper, we seek insights into three critical questions: (1) What are the primary categories of AI applications explored in the education field? (2) What are the predominant research topics and their key findings? (3) What is the status of major research design elements, including guiding theories, methodologies, and research contexts? A bibliometric analysis of 2,223 research articles followed by a content analysis of selected 125 papers reveals a comprehensive conceptual structure of the existing literature. The extant AIED research spans a wide spectrum of applications, encompassing those for adaptive learning and personalized tutoring, intelligent assessment and management, profiling and prediction, and emerging products. Research topics delve into both the technical design of education systems and the examination of the adoption, impacts, and challenges associated with AIED. Furthermore, this review highlights the diverse range of theories applied in the AIED literature, the multidisciplinary nature of publication venues, and underexplored research areas. In sum, this research offers valuable insights for interested scholars to comprehend the current state of AIED research and identify future research opportunities in this dynamic field.","container-title":"Expert Systems with Applications","DOI":"10.1016/j.eswa.2024.124167","ISSN":"0957-4174","journalAbbreviation":"Expert Systems with Applications","page":"124167","source":"ScienceDirect","title":"Artificial intelligence in education: A systematic literature review","title-short":"Artificial intelligence in education","volume":"252","author":[{"family":"Wang","given":"Shan"},{"family":"Wang","given":"Fang"},{"family":"Zhu","given":"Zhen"},{"family":"Wang","given":"Jingxuan"},{"family":"Tran","given":"Tam"},{"family":"Du","given":"Zhao"}],"issued":{"date-parts":[["2024",10,15]]}}}],"schema":"https://github.com/citation-style-language/schema/raw/master/csl-citation.json"} </w:instrText>
            </w:r>
            <w:r w:rsidR="00614468">
              <w:rPr>
                <w:rFonts w:eastAsia="Arial"/>
                <w:i/>
                <w:iCs/>
              </w:rPr>
              <w:fldChar w:fldCharType="separate"/>
            </w:r>
            <w:r w:rsidR="00614468" w:rsidRPr="00614468">
              <w:rPr>
                <w:rFonts w:eastAsia="Arial"/>
              </w:rPr>
              <w:t xml:space="preserve">Wang et al. </w:t>
            </w:r>
            <w:r w:rsidR="00AF591E">
              <w:rPr>
                <w:rFonts w:eastAsia="Arial"/>
              </w:rPr>
              <w:t>(</w:t>
            </w:r>
            <w:r w:rsidR="00614468" w:rsidRPr="00614468">
              <w:rPr>
                <w:rFonts w:eastAsia="Arial"/>
              </w:rPr>
              <w:t>2024)</w:t>
            </w:r>
            <w:r w:rsidR="00614468">
              <w:rPr>
                <w:rFonts w:eastAsia="Arial"/>
                <w:i/>
                <w:iCs/>
              </w:rPr>
              <w:fldChar w:fldCharType="end"/>
            </w:r>
          </w:p>
        </w:tc>
      </w:tr>
      <w:tr w:rsidR="006F243D" w:rsidRPr="00987E0F" w14:paraId="432652AB" w14:textId="77777777" w:rsidTr="00A3448D">
        <w:tc>
          <w:tcPr>
            <w:tcW w:w="900" w:type="dxa"/>
          </w:tcPr>
          <w:p w14:paraId="3FDEC2C3" w14:textId="77777777" w:rsidR="006F243D" w:rsidRPr="00437A40" w:rsidRDefault="00000000" w:rsidP="00FE281D">
            <w:pPr>
              <w:spacing w:after="0" w:line="240" w:lineRule="auto"/>
              <w:rPr>
                <w:color w:val="000000" w:themeColor="text1"/>
              </w:rPr>
            </w:pPr>
            <w:r w:rsidRPr="00437A40">
              <w:rPr>
                <w:rFonts w:eastAsia="Arial"/>
                <w:color w:val="000000" w:themeColor="text1"/>
              </w:rPr>
              <w:t>P4</w:t>
            </w:r>
          </w:p>
        </w:tc>
        <w:tc>
          <w:tcPr>
            <w:tcW w:w="2460" w:type="dxa"/>
          </w:tcPr>
          <w:p w14:paraId="5FE283B0" w14:textId="77777777" w:rsidR="006F243D" w:rsidRPr="00987E0F" w:rsidRDefault="00000000" w:rsidP="00212FED">
            <w:pPr>
              <w:spacing w:after="0" w:line="240" w:lineRule="auto"/>
              <w:jc w:val="left"/>
            </w:pPr>
            <w:r w:rsidRPr="00987E0F">
              <w:rPr>
                <w:rFonts w:eastAsia="Arial"/>
              </w:rPr>
              <w:t>Trust Calibration → Performance</w:t>
            </w:r>
          </w:p>
        </w:tc>
        <w:tc>
          <w:tcPr>
            <w:tcW w:w="3000" w:type="dxa"/>
          </w:tcPr>
          <w:p w14:paraId="0FE2D068" w14:textId="26C6F5D3" w:rsidR="006F243D" w:rsidRPr="00987E0F" w:rsidRDefault="00000000" w:rsidP="00212FED">
            <w:pPr>
              <w:spacing w:after="0" w:line="240" w:lineRule="auto"/>
              <w:jc w:val="left"/>
            </w:pPr>
            <w:r w:rsidRPr="00987E0F">
              <w:rPr>
                <w:rFonts w:eastAsia="Arial"/>
              </w:rPr>
              <w:t xml:space="preserve">Human-AI team performance is </w:t>
            </w:r>
            <w:r w:rsidR="00136E00" w:rsidRPr="00987E0F">
              <w:rPr>
                <w:rFonts w:eastAsia="Arial"/>
              </w:rPr>
              <w:t>maximized</w:t>
            </w:r>
            <w:r w:rsidRPr="00987E0F">
              <w:rPr>
                <w:rFonts w:eastAsia="Arial"/>
              </w:rPr>
              <w:t xml:space="preserve"> when trust is calibrated (neither under- nor over-trust), and is degraded symmetrically by both extremes.</w:t>
            </w:r>
          </w:p>
        </w:tc>
        <w:tc>
          <w:tcPr>
            <w:tcW w:w="3000" w:type="dxa"/>
          </w:tcPr>
          <w:p w14:paraId="665EED9B" w14:textId="77777777" w:rsidR="009E0022" w:rsidRDefault="00000000" w:rsidP="00A64B75">
            <w:pPr>
              <w:spacing w:after="0" w:line="240" w:lineRule="auto"/>
              <w:jc w:val="left"/>
              <w:rPr>
                <w:rFonts w:eastAsia="Arial"/>
              </w:rPr>
            </w:pPr>
            <w:r w:rsidRPr="00437A40">
              <w:rPr>
                <w:rFonts w:eastAsia="Arial"/>
                <w:i/>
                <w:iCs/>
              </w:rPr>
              <w:t>Performance = α - β|trust - optimal_trust|</w:t>
            </w:r>
          </w:p>
          <w:p w14:paraId="0B61D49D" w14:textId="4CCE4F82" w:rsidR="006F243D" w:rsidRPr="00437A40" w:rsidRDefault="00000000" w:rsidP="00A64B75">
            <w:pPr>
              <w:spacing w:after="0" w:line="240" w:lineRule="auto"/>
              <w:jc w:val="left"/>
              <w:rPr>
                <w:i/>
                <w:iCs/>
              </w:rPr>
            </w:pPr>
            <w:r w:rsidRPr="006C5E70">
              <w:rPr>
                <w:rFonts w:eastAsia="Arial"/>
              </w:rPr>
              <w:t>Supported by</w:t>
            </w:r>
            <w:r w:rsidRPr="00437A40">
              <w:rPr>
                <w:rFonts w:eastAsia="Arial"/>
                <w:i/>
                <w:iCs/>
              </w:rPr>
              <w:t xml:space="preserve"> </w:t>
            </w:r>
            <w:r w:rsidR="00554AFB">
              <w:rPr>
                <w:rFonts w:eastAsia="Arial"/>
                <w:i/>
                <w:iCs/>
              </w:rPr>
              <w:fldChar w:fldCharType="begin"/>
            </w:r>
            <w:r w:rsidR="00734C91">
              <w:rPr>
                <w:rFonts w:eastAsia="Arial"/>
                <w:i/>
                <w:iCs/>
              </w:rPr>
              <w:instrText xml:space="preserve"> ADDIN ZOTERO_ITEM CSL_CITATION {"citationID":"lVQ5DvLx","properties":{"formattedCitation":"(Hemmer et al., 2021)","plainCitation":"(Hemmer et al., 2021)","dontUpdate":true,"noteIndex":0},"citationItems":[{"id":2963,"uris":["http://zotero.org/users/6567242/items/9XNJ45QL"],"itemData":{"id":2963,"type":"paper-conference","container-title":"PACIS 2021 Proceedings","publisher":"AIS eLibrary","publisher-place":"Karlsruhe Institute of Technology","source":"COinS","title":"Human-AI Complementarity in Hybrid Intelligence Systems: A Structured Literature Review","title-short":"Human-AI Complementarity in Hybrid Intelligence Systems","URL":"https://aisel.aisnet.org/pacis2021/78","volume":"78","author":[{"family":"Hemmer","given":"Patrick"},{"family":"Schemmer","given":"Max"},{"family":"Vössing","given":"Michael"},{"family":"Kühl","given":"Niklas"}],"issued":{"date-parts":[["2021",7,12]]}}}],"schema":"https://github.com/citation-style-language/schema/raw/master/csl-citation.json"} </w:instrText>
            </w:r>
            <w:r w:rsidR="00554AFB">
              <w:rPr>
                <w:rFonts w:eastAsia="Arial"/>
                <w:i/>
                <w:iCs/>
              </w:rPr>
              <w:fldChar w:fldCharType="separate"/>
            </w:r>
            <w:r w:rsidR="00554AFB" w:rsidRPr="00554AFB">
              <w:rPr>
                <w:rFonts w:eastAsia="Arial"/>
              </w:rPr>
              <w:t xml:space="preserve">Hemmer et al. </w:t>
            </w:r>
            <w:r w:rsidR="00554AFB">
              <w:rPr>
                <w:rFonts w:eastAsia="Arial"/>
              </w:rPr>
              <w:t>(</w:t>
            </w:r>
            <w:r w:rsidR="00554AFB" w:rsidRPr="00554AFB">
              <w:rPr>
                <w:rFonts w:eastAsia="Arial"/>
              </w:rPr>
              <w:t>2021)</w:t>
            </w:r>
            <w:r w:rsidR="00554AFB">
              <w:rPr>
                <w:rFonts w:eastAsia="Arial"/>
                <w:i/>
                <w:iCs/>
              </w:rPr>
              <w:fldChar w:fldCharType="end"/>
            </w:r>
            <w:r w:rsidR="004A6590">
              <w:rPr>
                <w:rFonts w:eastAsia="Arial"/>
              </w:rPr>
              <w:t xml:space="preserve"> and</w:t>
            </w:r>
            <w:r w:rsidRPr="00437A40">
              <w:rPr>
                <w:rFonts w:eastAsia="Arial"/>
                <w:i/>
                <w:iCs/>
              </w:rPr>
              <w:t xml:space="preserve"> </w:t>
            </w:r>
            <w:r w:rsidR="00056180">
              <w:rPr>
                <w:rFonts w:eastAsia="Arial"/>
                <w:i/>
                <w:iCs/>
              </w:rPr>
              <w:fldChar w:fldCharType="begin"/>
            </w:r>
            <w:r w:rsidR="00734C91">
              <w:rPr>
                <w:rFonts w:eastAsia="Arial"/>
                <w:i/>
                <w:iCs/>
              </w:rPr>
              <w:instrText xml:space="preserve"> ADDIN ZOTERO_ITEM CSL_CITATION {"citationID":"TsUF0Pb6","properties":{"formattedCitation":"(Zhang et al., 2020)","plainCitation":"(Zhang et al., 2020)","dontUpdate":true,"noteIndex":0},"citationItems":[{"id":3010,"uris":["http://zotero.org/users/6567242/items/CK3V2FNP"],"itemData":{"id":3010,"type":"paper-conference","container-title":"Proceedings of the 2020 Conference on Fairness, Accountability, and Transparency","DOI":"10.1145/3351095.3372852","event-title":"FAT* '20: Conference on Fairness, Accountability, and Transparency","ISBN":"978-1-4503-6936-7","language":"en","page":"295-305","publisher":"ACM","publisher-place":"Barcelona Spain","source":"DOI.org (Crossref)","title":"Effect of confidence and explanation on accuracy and trust calibration in AI-assisted decision making","URL":"https://dl.acm.org/doi/10.1145/3351095.3372852","author":[{"family":"Zhang","given":"Yunfeng"},{"family":"Liao","given":"Q. Vera"},{"family":"Bellamy","given":"Rachel K. E."}],"accessed":{"date-parts":[["2026",3,23]]},"issued":{"date-parts":[["2020",1,27]]}}}],"schema":"https://github.com/citation-style-language/schema/raw/master/csl-citation.json"} </w:instrText>
            </w:r>
            <w:r w:rsidR="00056180">
              <w:rPr>
                <w:rFonts w:eastAsia="Arial"/>
                <w:i/>
                <w:iCs/>
              </w:rPr>
              <w:fldChar w:fldCharType="separate"/>
            </w:r>
            <w:r w:rsidR="00056180" w:rsidRPr="00056180">
              <w:rPr>
                <w:rFonts w:eastAsia="Arial"/>
              </w:rPr>
              <w:t xml:space="preserve">Zhang et al. </w:t>
            </w:r>
            <w:r w:rsidR="00056180">
              <w:rPr>
                <w:rFonts w:eastAsia="Arial"/>
              </w:rPr>
              <w:t>(</w:t>
            </w:r>
            <w:r w:rsidR="00056180" w:rsidRPr="00056180">
              <w:rPr>
                <w:rFonts w:eastAsia="Arial"/>
              </w:rPr>
              <w:t>2020)</w:t>
            </w:r>
            <w:r w:rsidR="00056180">
              <w:rPr>
                <w:rFonts w:eastAsia="Arial"/>
                <w:i/>
                <w:iCs/>
              </w:rPr>
              <w:fldChar w:fldCharType="end"/>
            </w:r>
          </w:p>
        </w:tc>
      </w:tr>
      <w:tr w:rsidR="006F243D" w:rsidRPr="00987E0F" w14:paraId="712A561D" w14:textId="77777777" w:rsidTr="00A3448D">
        <w:tc>
          <w:tcPr>
            <w:tcW w:w="900" w:type="dxa"/>
          </w:tcPr>
          <w:p w14:paraId="303E3679" w14:textId="77777777" w:rsidR="006F243D" w:rsidRPr="00437A40" w:rsidRDefault="00000000" w:rsidP="00FE281D">
            <w:pPr>
              <w:spacing w:after="0" w:line="240" w:lineRule="auto"/>
              <w:rPr>
                <w:color w:val="000000" w:themeColor="text1"/>
              </w:rPr>
            </w:pPr>
            <w:r w:rsidRPr="00437A40">
              <w:rPr>
                <w:rFonts w:eastAsia="Arial"/>
                <w:color w:val="000000" w:themeColor="text1"/>
              </w:rPr>
              <w:t>P5</w:t>
            </w:r>
          </w:p>
        </w:tc>
        <w:tc>
          <w:tcPr>
            <w:tcW w:w="2460" w:type="dxa"/>
          </w:tcPr>
          <w:p w14:paraId="5DBC9D51" w14:textId="77777777" w:rsidR="006F243D" w:rsidRPr="00987E0F" w:rsidRDefault="00000000" w:rsidP="00212FED">
            <w:pPr>
              <w:spacing w:after="0" w:line="240" w:lineRule="auto"/>
              <w:jc w:val="left"/>
            </w:pPr>
            <w:r w:rsidRPr="00987E0F">
              <w:rPr>
                <w:rFonts w:eastAsia="Arial"/>
              </w:rPr>
              <w:t>Feedback Loop → Trust Drift Prevention</w:t>
            </w:r>
          </w:p>
        </w:tc>
        <w:tc>
          <w:tcPr>
            <w:tcW w:w="3000" w:type="dxa"/>
          </w:tcPr>
          <w:p w14:paraId="27EC12B4" w14:textId="77777777" w:rsidR="006F243D" w:rsidRPr="00987E0F" w:rsidRDefault="00000000" w:rsidP="00212FED">
            <w:pPr>
              <w:spacing w:after="0" w:line="240" w:lineRule="auto"/>
              <w:jc w:val="left"/>
            </w:pPr>
            <w:r w:rsidRPr="00987E0F">
              <w:rPr>
                <w:rFonts w:eastAsia="Arial"/>
              </w:rPr>
              <w:t>Continuous performance feedback loops prevent both vigilance decrement (leading to over-trust) and algorithmic aversion (leading to under-trust) over time.</w:t>
            </w:r>
          </w:p>
        </w:tc>
        <w:tc>
          <w:tcPr>
            <w:tcW w:w="3000" w:type="dxa"/>
          </w:tcPr>
          <w:p w14:paraId="59E260CB" w14:textId="77777777" w:rsidR="00A26867" w:rsidRDefault="00000000" w:rsidP="005C3A0A">
            <w:pPr>
              <w:spacing w:after="0" w:line="240" w:lineRule="auto"/>
              <w:jc w:val="left"/>
              <w:rPr>
                <w:rFonts w:eastAsia="Arial"/>
              </w:rPr>
            </w:pPr>
            <w:r w:rsidRPr="00437A40">
              <w:rPr>
                <w:rFonts w:eastAsia="Arial"/>
                <w:i/>
                <w:iCs/>
              </w:rPr>
              <w:t xml:space="preserve">Trust drift rate → 0 with </w:t>
            </w:r>
            <w:r w:rsidRPr="006C5E70">
              <w:rPr>
                <w:rFonts w:eastAsia="Arial"/>
                <w:i/>
                <w:iCs/>
              </w:rPr>
              <w:t>feedback</w:t>
            </w:r>
          </w:p>
          <w:p w14:paraId="26965AE9" w14:textId="2C707CFE" w:rsidR="006F243D" w:rsidRPr="00437A40" w:rsidRDefault="00000000" w:rsidP="005C3A0A">
            <w:pPr>
              <w:spacing w:after="0" w:line="240" w:lineRule="auto"/>
              <w:jc w:val="left"/>
              <w:rPr>
                <w:i/>
                <w:iCs/>
              </w:rPr>
            </w:pPr>
            <w:r w:rsidRPr="006C5E70">
              <w:rPr>
                <w:rFonts w:eastAsia="Arial"/>
              </w:rPr>
              <w:t xml:space="preserve">Supported by </w:t>
            </w:r>
            <w:r w:rsidR="008B7760">
              <w:rPr>
                <w:rFonts w:eastAsia="Arial"/>
                <w:i/>
                <w:iCs/>
              </w:rPr>
              <w:fldChar w:fldCharType="begin"/>
            </w:r>
            <w:r w:rsidR="00724CFF">
              <w:rPr>
                <w:rFonts w:eastAsia="Arial"/>
                <w:i/>
                <w:iCs/>
              </w:rPr>
              <w:instrText xml:space="preserve"> ADDIN ZOTERO_ITEM CSL_CITATION {"citationID":"bEOdfN4V","properties":{"formattedCitation":"(Dietvorst &amp; Bartels, 2022)","plainCitation":"(Dietvorst &amp; Bartels, 2022)","dontUpdate":true,"noteIndex":0},"citationItems":[{"id":3055,"uris":["http://zotero.org/users/6567242/items/6JLZIC3E"],"itemData":{"id":3055,"type":"article-journal","abstract":"Why do consumers embrace some algorithms and find others objectionable? The moral relevance of the domain in which an algorithm operates plays a role. The authors find that consumers believe that algorithms are more likely to use maximization (i.e., attempting to maximize some measured outcome) as a decision‐making strategy than human decision makers (Study 1). Consumers find this consequentialist decision strategy to be objectionable in morally relevant tradeoffs and disapprove of algorithms making morally relevant tradeoffs as a result (Studies 2, 3a, &amp; 3b). Consumers also object to human employees making morally relevant tradeoffs when they are trained to make decisions by maximizing outcomes, consistent with the notion that their objections to algorithmic decision makers stem from concerns about maximization (Study 4). The results provide insight into why consumers object to some consumer relevant algorithms while adopting others.","container-title":"Journal of Consumer Psychology","DOI":"10.1002/jcpy.1266","ISSN":"1057-7408, 1532-7663","issue":"3","journalAbbreviation":"J Consum Psychol","language":"en","page":"406-424","source":"DOI.org (Crossref)","title":"Consumers Object to Algorithms Making Morally Relevant Tradeoffs Because of Algorithms’ Consequentialist Decision Strategies","volume":"32","author":[{"family":"Dietvorst","given":"Berkeley J."},{"family":"Bartels","given":"Daniel M."}],"issued":{"date-parts":[["2022",7]]}}}],"schema":"https://github.com/citation-style-language/schema/raw/master/csl-citation.json"} </w:instrText>
            </w:r>
            <w:r w:rsidR="008B7760">
              <w:rPr>
                <w:rFonts w:eastAsia="Arial"/>
                <w:i/>
                <w:iCs/>
              </w:rPr>
              <w:fldChar w:fldCharType="separate"/>
            </w:r>
            <w:r w:rsidR="00D30230" w:rsidRPr="00D30230">
              <w:rPr>
                <w:rFonts w:eastAsia="Arial"/>
              </w:rPr>
              <w:t xml:space="preserve">Dietvorst </w:t>
            </w:r>
            <w:r w:rsidR="00D30230">
              <w:rPr>
                <w:rFonts w:eastAsia="Arial"/>
              </w:rPr>
              <w:t>and</w:t>
            </w:r>
            <w:r w:rsidR="00D30230" w:rsidRPr="00D30230">
              <w:rPr>
                <w:rFonts w:eastAsia="Arial"/>
              </w:rPr>
              <w:t xml:space="preserve"> Bartels </w:t>
            </w:r>
            <w:r w:rsidR="00D30230">
              <w:rPr>
                <w:rFonts w:eastAsia="Arial"/>
              </w:rPr>
              <w:t>(</w:t>
            </w:r>
            <w:r w:rsidR="00D30230" w:rsidRPr="00D30230">
              <w:rPr>
                <w:rFonts w:eastAsia="Arial"/>
              </w:rPr>
              <w:t>2022)</w:t>
            </w:r>
            <w:r w:rsidR="008B7760">
              <w:rPr>
                <w:rFonts w:eastAsia="Arial"/>
                <w:i/>
                <w:iCs/>
              </w:rPr>
              <w:fldChar w:fldCharType="end"/>
            </w:r>
            <w:r w:rsidR="003D1A6E">
              <w:rPr>
                <w:rFonts w:eastAsia="Arial"/>
              </w:rPr>
              <w:t>,</w:t>
            </w:r>
            <w:r w:rsidR="00A675B6">
              <w:rPr>
                <w:rFonts w:eastAsia="Arial"/>
              </w:rPr>
              <w:t xml:space="preserve"> and</w:t>
            </w:r>
            <w:r w:rsidRPr="00437A40">
              <w:rPr>
                <w:rFonts w:eastAsia="Arial"/>
                <w:i/>
                <w:iCs/>
              </w:rPr>
              <w:t xml:space="preserve"> </w:t>
            </w:r>
            <w:r w:rsidR="00734C91">
              <w:rPr>
                <w:rFonts w:eastAsia="Arial"/>
                <w:i/>
                <w:iCs/>
              </w:rPr>
              <w:fldChar w:fldCharType="begin"/>
            </w:r>
            <w:r w:rsidR="00784556">
              <w:rPr>
                <w:rFonts w:eastAsia="Arial"/>
                <w:i/>
                <w:iCs/>
              </w:rPr>
              <w:instrText xml:space="preserve"> ADDIN ZOTERO_ITEM CSL_CITATION {"citationID":"daynT3Al","properties":{"formattedCitation":"(Romeo &amp; Conti, 2026)","plainCitation":"(Romeo &amp; Conti, 2026)","dontUpdate":true,"noteIndex":0},"citationItems":[{"id":3047,"uris":["http://zotero.org/users/6567242/items/XRRDJQLD"],"itemData":{"id":3047,"type":"article-journal","abstract":"Abstract\n            As Artificial Intelligence (AI) becomes increasingly embedded in high-stakes domains such as healthcare, law, and public administration, automation bias (AB)—the tendency to over-rely on automated recommendations—has emerged as a critical challenge in human–AI collaboration. While previous reviews have examined AB in traditional computer-assisted decision-making, research on its implications in modern AI-driven work environments remains limited. To address this gap, this research systematically investigates how AB manifests in these settings and the cognitive mechanisms that influence it. Following PRISMA 2020 guidelines, we reviewed 35 peer-reviewed studies from SCOPUS, ScienceDirect, PubMed, and Google Scholar. The included literature, published between January 2015 and April 2025, spans fields such as cognitive psychology, human factors engineering, human–computer interaction, and neuroscience, providing an interdisciplinary foundation for our analysis. Traditional perspectives attribute AB to over-trust in automation or attentional constraints, resulting in users perceiving AI-generated outputs as reliable. However, our review presents a more nuanced view. While confirming some prior findings, it also sheds light on additional interacting factors such as, AI literacy, level of professional expertise, cognitive profile, developmental trust dynamics, task verification demands, and explanation complexity. Notably, although Explainable AI (XAI) and transparency mechanisms are designed to mitigate AB, overly technical, cognitively demanding, or even simplistic explanations may inadvertently reinforce misplaced trust, especially among less experienced professionals with low AI literacy. Taken together, these findings suggest that although explanations may increase perceived system acceptability, they are often insufficient to improve decision accuracy or mitigate AB. Instead, user engagement emerges as the most feasible and impactful point of intervention. As increased verification effort has been shown to reduce complacency toward AI mis-recommendations, we propose explanation design strategies that actively promote critical engagement and independent verification. These conclusions offer both theoretical and practical contributions to bias-aware AI development, underscoring that explanation usability is best supported by features such as understandability and adaptiveness.","container-title":"AI &amp; SOCIETY","DOI":"10.1007/s00146-025-02422-7","ISSN":"0951-5666, 1435-5655","issue":"1","journalAbbreviation":"AI &amp; Soc","language":"en","page":"259-278","source":"DOI.org (Crossref)","title":"Exploring automation bias in human–AI collaboration: a review and implications for explainable AI","title-short":"Exploring automation bias in human–AI collaboration","volume":"41","author":[{"family":"Romeo","given":"Giuseppe"},{"family":"Conti","given":"Daniela"}],"issued":{"date-parts":[["2026",1]]}}}],"schema":"https://github.com/citation-style-language/schema/raw/master/csl-citation.json"} </w:instrText>
            </w:r>
            <w:r w:rsidR="00734C91">
              <w:rPr>
                <w:rFonts w:eastAsia="Arial"/>
                <w:i/>
                <w:iCs/>
              </w:rPr>
              <w:fldChar w:fldCharType="separate"/>
            </w:r>
            <w:r w:rsidR="00734C91" w:rsidRPr="00734C91">
              <w:rPr>
                <w:rFonts w:eastAsia="Arial"/>
              </w:rPr>
              <w:t xml:space="preserve">Romeo </w:t>
            </w:r>
            <w:r w:rsidR="001B4697">
              <w:rPr>
                <w:rFonts w:eastAsia="Arial"/>
              </w:rPr>
              <w:t>and</w:t>
            </w:r>
            <w:r w:rsidR="00734C91" w:rsidRPr="00734C91">
              <w:rPr>
                <w:rFonts w:eastAsia="Arial"/>
              </w:rPr>
              <w:t xml:space="preserve"> Conti </w:t>
            </w:r>
            <w:r w:rsidR="00734C91">
              <w:rPr>
                <w:rFonts w:eastAsia="Arial"/>
              </w:rPr>
              <w:t>(</w:t>
            </w:r>
            <w:r w:rsidR="00734C91" w:rsidRPr="00734C91">
              <w:rPr>
                <w:rFonts w:eastAsia="Arial"/>
              </w:rPr>
              <w:t>2026)</w:t>
            </w:r>
            <w:r w:rsidR="00734C91">
              <w:rPr>
                <w:rFonts w:eastAsia="Arial"/>
                <w:i/>
                <w:iCs/>
              </w:rPr>
              <w:fldChar w:fldCharType="end"/>
            </w:r>
          </w:p>
        </w:tc>
      </w:tr>
      <w:tr w:rsidR="006F243D" w:rsidRPr="00987E0F" w14:paraId="312655CC" w14:textId="77777777" w:rsidTr="00A3448D">
        <w:tc>
          <w:tcPr>
            <w:tcW w:w="900" w:type="dxa"/>
            <w:tcBorders>
              <w:bottom w:val="single" w:sz="8" w:space="0" w:color="auto"/>
            </w:tcBorders>
          </w:tcPr>
          <w:p w14:paraId="00367C97" w14:textId="77777777" w:rsidR="006F243D" w:rsidRPr="00437A40" w:rsidRDefault="00000000" w:rsidP="00FE281D">
            <w:pPr>
              <w:spacing w:after="0" w:line="240" w:lineRule="auto"/>
              <w:rPr>
                <w:color w:val="000000" w:themeColor="text1"/>
              </w:rPr>
            </w:pPr>
            <w:r w:rsidRPr="00437A40">
              <w:rPr>
                <w:rFonts w:eastAsia="Arial"/>
                <w:color w:val="000000" w:themeColor="text1"/>
              </w:rPr>
              <w:t>P6</w:t>
            </w:r>
          </w:p>
        </w:tc>
        <w:tc>
          <w:tcPr>
            <w:tcW w:w="2460" w:type="dxa"/>
            <w:tcBorders>
              <w:bottom w:val="single" w:sz="8" w:space="0" w:color="auto"/>
            </w:tcBorders>
          </w:tcPr>
          <w:p w14:paraId="45566F9E" w14:textId="77777777" w:rsidR="006F243D" w:rsidRPr="00987E0F" w:rsidRDefault="00000000" w:rsidP="00212FED">
            <w:pPr>
              <w:spacing w:after="0" w:line="240" w:lineRule="auto"/>
              <w:jc w:val="left"/>
            </w:pPr>
            <w:r w:rsidRPr="00987E0F">
              <w:rPr>
                <w:rFonts w:eastAsia="Arial"/>
              </w:rPr>
              <w:t>Institutional Constraints → Accountability Mapping</w:t>
            </w:r>
          </w:p>
        </w:tc>
        <w:tc>
          <w:tcPr>
            <w:tcW w:w="3000" w:type="dxa"/>
            <w:tcBorders>
              <w:bottom w:val="single" w:sz="8" w:space="0" w:color="auto"/>
            </w:tcBorders>
          </w:tcPr>
          <w:p w14:paraId="2004D42C" w14:textId="77777777" w:rsidR="006F243D" w:rsidRPr="00987E0F" w:rsidRDefault="00000000" w:rsidP="00212FED">
            <w:pPr>
              <w:spacing w:after="0" w:line="240" w:lineRule="auto"/>
              <w:jc w:val="left"/>
            </w:pPr>
            <w:r w:rsidRPr="00987E0F">
              <w:rPr>
                <w:rFonts w:eastAsia="Arial"/>
              </w:rPr>
              <w:t>Effective oversight requires explicit mapping of accountability to specific human roles; diffuse accountability predicts worse safety outcomes than role-specific assignment.</w:t>
            </w:r>
          </w:p>
        </w:tc>
        <w:tc>
          <w:tcPr>
            <w:tcW w:w="3000" w:type="dxa"/>
            <w:tcBorders>
              <w:bottom w:val="single" w:sz="8" w:space="0" w:color="auto"/>
            </w:tcBorders>
          </w:tcPr>
          <w:p w14:paraId="1968CC8A" w14:textId="77777777" w:rsidR="00912B5B" w:rsidRDefault="00000000" w:rsidP="005C3A0A">
            <w:pPr>
              <w:spacing w:after="0" w:line="240" w:lineRule="auto"/>
              <w:jc w:val="left"/>
              <w:rPr>
                <w:rFonts w:eastAsia="Arial"/>
                <w:i/>
                <w:iCs/>
              </w:rPr>
            </w:pPr>
            <w:r w:rsidRPr="00437A40">
              <w:rPr>
                <w:rFonts w:eastAsia="Arial"/>
                <w:i/>
                <w:iCs/>
              </w:rPr>
              <w:t xml:space="preserve">Error recovery </w:t>
            </w:r>
            <w:r w:rsidRPr="00437A40">
              <w:rPr>
                <w:rFonts w:ascii="Cambria Math" w:eastAsia="Arial" w:hAnsi="Cambria Math" w:cs="Cambria Math"/>
                <w:i/>
                <w:iCs/>
              </w:rPr>
              <w:t>∝</w:t>
            </w:r>
            <w:r w:rsidRPr="00437A40">
              <w:rPr>
                <w:rFonts w:eastAsia="Arial"/>
                <w:i/>
                <w:iCs/>
              </w:rPr>
              <w:t xml:space="preserve"> 1 / accountability_diffusion</w:t>
            </w:r>
          </w:p>
          <w:p w14:paraId="744C60B1" w14:textId="7419BB53" w:rsidR="006F243D" w:rsidRPr="00437A40" w:rsidRDefault="00000000" w:rsidP="005C3A0A">
            <w:pPr>
              <w:spacing w:after="0" w:line="240" w:lineRule="auto"/>
              <w:jc w:val="left"/>
              <w:rPr>
                <w:i/>
                <w:iCs/>
              </w:rPr>
            </w:pPr>
            <w:r w:rsidRPr="006C6802">
              <w:rPr>
                <w:rFonts w:eastAsia="Arial"/>
              </w:rPr>
              <w:t>Supported by</w:t>
            </w:r>
            <w:r w:rsidR="00734F54">
              <w:rPr>
                <w:rFonts w:eastAsia="Arial"/>
                <w:i/>
                <w:iCs/>
              </w:rPr>
              <w:t xml:space="preserve"> </w:t>
            </w:r>
            <w:r w:rsidR="00EF76D0">
              <w:rPr>
                <w:rFonts w:eastAsia="Arial"/>
                <w:i/>
                <w:iCs/>
              </w:rPr>
              <w:fldChar w:fldCharType="begin"/>
            </w:r>
            <w:r w:rsidR="00734C91">
              <w:rPr>
                <w:rFonts w:eastAsia="Arial"/>
                <w:i/>
                <w:iCs/>
              </w:rPr>
              <w:instrText xml:space="preserve"> ADDIN ZOTERO_ITEM CSL_CITATION {"citationID":"YJnW1t0x","properties":{"formattedCitation":"(Sloane et al., 2020)","plainCitation":"(Sloane et al., 2020)","dontUpdate":true,"noteIndex":0},"citationItems":[{"id":2996,"uris":["http://zotero.org/users/6567242/items/TRZXVCVM"],"itemData":{"id":2996,"type":"article","abstract":"This paper critically examines existing modes of participation in design practice and machine learning. Cautioning against 'participation-washing', it suggests that the ML community must become attuned to possibly exploitative and extractive forms of community involvement and shift away from the prerogatives of context-independent scalability.","DOI":"10.48550/ARXIV.2007.02423","license":"Creative Commons Attribution 4.0 International","note":"version: 3","publisher":"arXiv","source":"DOI.org (Datacite)","title":"Participation is not a Design Fix for Machine Learning","URL":"https://arxiv.org/abs/2007.02423","author":[{"family":"Sloane","given":"Mona"},{"family":"Moss","given":"Emanuel"},{"family":"Awomolo","given":"Olaitan"},{"family":"Forlano","given":"Laura"}],"accessed":{"date-parts":[["2026",3,23]]},"issued":{"date-parts":[["2020"]]}}}],"schema":"https://github.com/citation-style-language/schema/raw/master/csl-citation.json"} </w:instrText>
            </w:r>
            <w:r w:rsidR="00EF76D0">
              <w:rPr>
                <w:rFonts w:eastAsia="Arial"/>
                <w:i/>
                <w:iCs/>
              </w:rPr>
              <w:fldChar w:fldCharType="separate"/>
            </w:r>
            <w:r w:rsidR="00EF76D0" w:rsidRPr="00EF76D0">
              <w:rPr>
                <w:rFonts w:eastAsia="Arial"/>
              </w:rPr>
              <w:t xml:space="preserve">Sloane et al. </w:t>
            </w:r>
            <w:r w:rsidR="00EF76D0">
              <w:rPr>
                <w:rFonts w:eastAsia="Arial"/>
              </w:rPr>
              <w:t>(</w:t>
            </w:r>
            <w:r w:rsidR="00EF76D0" w:rsidRPr="00EF76D0">
              <w:rPr>
                <w:rFonts w:eastAsia="Arial"/>
              </w:rPr>
              <w:t>2020)</w:t>
            </w:r>
            <w:r w:rsidR="00EF76D0">
              <w:rPr>
                <w:rFonts w:eastAsia="Arial"/>
                <w:i/>
                <w:iCs/>
              </w:rPr>
              <w:fldChar w:fldCharType="end"/>
            </w:r>
            <w:r w:rsidR="00EF76D0">
              <w:rPr>
                <w:rFonts w:eastAsia="Arial"/>
              </w:rPr>
              <w:t xml:space="preserve"> </w:t>
            </w:r>
            <w:r w:rsidR="00734F54">
              <w:rPr>
                <w:rFonts w:eastAsia="Arial"/>
              </w:rPr>
              <w:t xml:space="preserve">and </w:t>
            </w:r>
            <w:r w:rsidR="00734F54">
              <w:rPr>
                <w:rFonts w:eastAsia="Arial"/>
              </w:rPr>
              <w:fldChar w:fldCharType="begin"/>
            </w:r>
            <w:r w:rsidR="00734C91">
              <w:rPr>
                <w:rFonts w:eastAsia="Arial"/>
              </w:rPr>
              <w:instrText xml:space="preserve"> ADDIN ZOTERO_ITEM CSL_CITATION {"citationID":"nvfgEahC","properties":{"formattedCitation":"(Wachter et al., 2021)","plainCitation":"(Wachter et al., 2021)","dontUpdate":true,"noteIndex":0},"citationItems":[{"id":2998,"uris":["http://zotero.org/users/6567242/items/47LWZ6RZ"],"itemData":{"id":2998,"type":"article-journal","container-title":"Computer Law &amp; Security Review","DOI":"10.1016/j.clsr.2021.105567","ISSN":"2212473X","journalAbbreviation":"Computer Law &amp; Security Review","language":"en","page":"105567","source":"DOI.org (Crossref)","title":"Why fairness cannot be automated: Bridging the gap between EU non-discrimination law and AI","title-short":"Why fairness cannot be automated","volume":"41","author":[{"family":"Wachter","given":"Sandra"},{"family":"Mittelstadt","given":"Brent"},{"family":"Russell","given":"Chris"}],"issued":{"date-parts":[["2021",7]]}}}],"schema":"https://github.com/citation-style-language/schema/raw/master/csl-citation.json"} </w:instrText>
            </w:r>
            <w:r w:rsidR="00734F54">
              <w:rPr>
                <w:rFonts w:eastAsia="Arial"/>
              </w:rPr>
              <w:fldChar w:fldCharType="separate"/>
            </w:r>
            <w:r w:rsidR="00734F54" w:rsidRPr="00734F54">
              <w:rPr>
                <w:rFonts w:eastAsia="Arial"/>
              </w:rPr>
              <w:t xml:space="preserve">Wachter et al. </w:t>
            </w:r>
            <w:r w:rsidR="00EF76D0">
              <w:rPr>
                <w:rFonts w:eastAsia="Arial"/>
              </w:rPr>
              <w:t>(</w:t>
            </w:r>
            <w:r w:rsidR="00734F54" w:rsidRPr="00734F54">
              <w:rPr>
                <w:rFonts w:eastAsia="Arial"/>
              </w:rPr>
              <w:t>2021)</w:t>
            </w:r>
            <w:r w:rsidR="00734F54">
              <w:rPr>
                <w:rFonts w:eastAsia="Arial"/>
              </w:rPr>
              <w:fldChar w:fldCharType="end"/>
            </w:r>
          </w:p>
        </w:tc>
      </w:tr>
    </w:tbl>
    <w:p w14:paraId="26B63160" w14:textId="77777777" w:rsidR="006F243D" w:rsidRDefault="006F243D" w:rsidP="00974403">
      <w:pPr>
        <w:spacing w:after="0"/>
      </w:pPr>
    </w:p>
    <w:p w14:paraId="3691078B" w14:textId="24906457" w:rsidR="006F243D" w:rsidRPr="00E4074A" w:rsidRDefault="00000000" w:rsidP="00D13D47">
      <w:pPr>
        <w:pStyle w:val="Heading3"/>
      </w:pPr>
      <w:bookmarkStart w:id="35" w:name="_Toc225135068"/>
      <w:r w:rsidRPr="00E4074A">
        <w:t>AOCM Distinguished from Prior Frameworks</w:t>
      </w:r>
      <w:bookmarkEnd w:id="35"/>
    </w:p>
    <w:p w14:paraId="74DB26E6" w14:textId="4C2DC804" w:rsidR="006F243D" w:rsidRDefault="00000000" w:rsidP="004B3BA5">
      <w:r>
        <w:t>The AOCM differs from existing frameworks in five substantive ways. First, it treats oversight configuration as continuous and dynamic rather than categorical and static, reflecting the empirical finding that optimal oversight changes as AI systems are updated, deployed in new contexts, or encounter distributional shift. Second, it integrates trust calibration as an endogenous variable</w:t>
      </w:r>
      <w:r w:rsidR="00C12A7D">
        <w:t xml:space="preserve">, which is </w:t>
      </w:r>
      <w:r>
        <w:t>a product of the oversight configuration rather than an exogenous prerequisite</w:t>
      </w:r>
      <w:r w:rsidR="008D6DE0">
        <w:t xml:space="preserve">, </w:t>
      </w:r>
      <w:r w:rsidR="00C31082">
        <w:t>recognizing</w:t>
      </w:r>
      <w:r>
        <w:t xml:space="preserve"> that trust is shaped by how oversight is designed. T</w:t>
      </w:r>
      <w:r w:rsidR="00DD455F">
        <w:t>he t</w:t>
      </w:r>
      <w:r>
        <w:t>hird</w:t>
      </w:r>
      <w:r w:rsidR="00DD455F">
        <w:t xml:space="preserve"> substantive way is that</w:t>
      </w:r>
      <w:r>
        <w:t xml:space="preserve"> </w:t>
      </w:r>
      <w:r w:rsidR="00DD455F">
        <w:t>AOCM</w:t>
      </w:r>
      <w:r>
        <w:t xml:space="preserve"> includes human cognitive capacity as an explicit design variable, acknowledging that oversight mechanisms that exceed human attentional or expertise capacity fail regardless of their technical sophistication. Fourth, it incorporates institutional constraints as a first-class input, preventing the naive assumption that technically optimal oversight is implementable in any </w:t>
      </w:r>
      <w:r w:rsidR="004C4E48">
        <w:t>organiz</w:t>
      </w:r>
      <w:r>
        <w:t xml:space="preserve">ation. </w:t>
      </w:r>
      <w:r w:rsidR="007C3D0B">
        <w:t>Lastly</w:t>
      </w:r>
      <w:r>
        <w:t xml:space="preserve">, it </w:t>
      </w:r>
      <w:r w:rsidR="004C4E48">
        <w:t>operationalize</w:t>
      </w:r>
      <w:r>
        <w:t>s meaningful oversight</w:t>
      </w:r>
      <w:r w:rsidR="002A0DE0">
        <w:t xml:space="preserve">, </w:t>
      </w:r>
      <w:r>
        <w:t>a term used but rarely defined in regulatory documents</w:t>
      </w:r>
      <w:r w:rsidR="002A0DE0">
        <w:t>,</w:t>
      </w:r>
      <w:r>
        <w:t xml:space="preserve"> as a threshold function across the four inputs, providing a basis for compliance assessment.</w:t>
      </w:r>
    </w:p>
    <w:p w14:paraId="167049BB" w14:textId="6AD6D4FC" w:rsidR="006F243D" w:rsidRPr="00E4074A" w:rsidRDefault="00000000" w:rsidP="00D13D47">
      <w:pPr>
        <w:pStyle w:val="Heading3"/>
      </w:pPr>
      <w:bookmarkStart w:id="36" w:name="_Toc225135069"/>
      <w:r w:rsidRPr="00E4074A">
        <w:t>Appl</w:t>
      </w:r>
      <w:r w:rsidR="00157EEE">
        <w:t>ying the</w:t>
      </w:r>
      <w:r w:rsidRPr="00E4074A">
        <w:t xml:space="preserve"> AOCM: Illustrative Case </w:t>
      </w:r>
      <w:r w:rsidR="00536B84">
        <w:t>Analyze</w:t>
      </w:r>
      <w:r w:rsidRPr="00E4074A">
        <w:t>s</w:t>
      </w:r>
      <w:bookmarkEnd w:id="36"/>
    </w:p>
    <w:p w14:paraId="6CC94E4B" w14:textId="6F109149" w:rsidR="006F243D" w:rsidRPr="00100EBA" w:rsidRDefault="00000000" w:rsidP="00D13D47">
      <w:pPr>
        <w:pStyle w:val="Heading4"/>
      </w:pPr>
      <w:bookmarkStart w:id="37" w:name="_Toc225135070"/>
      <w:r w:rsidRPr="00100EBA">
        <w:t>Clinical AI Diagnostic Support (High Criticality, High Regulatory Pressure)</w:t>
      </w:r>
      <w:bookmarkEnd w:id="37"/>
    </w:p>
    <w:p w14:paraId="01CD7867" w14:textId="0761D676" w:rsidR="006F243D" w:rsidRDefault="00CA6DAD" w:rsidP="004B3BA5">
      <w:r>
        <w:lastRenderedPageBreak/>
        <w:t>A case study</w:t>
      </w:r>
      <w:r w:rsidR="007F1B0C">
        <w:t xml:space="preserve"> of</w:t>
      </w:r>
      <w:r>
        <w:t xml:space="preserve"> a radiological AI system trained to detect lung nodules on CT scans. Task criticality is high (missed diagnosis is potentially fatal). AI competency is well-bounded (the model performs reliably above 6mm diameter but is unreliable for sub-</w:t>
      </w:r>
      <w:r w:rsidR="005D7EEC">
        <w:t>centimeter</w:t>
      </w:r>
      <w:r>
        <w:t xml:space="preserve"> nodules). Human capacity is constrained (radiologists face high volume and fatigue). Institutional constraints include FDA clearance requirements and liability standards. The AOCM calibration engine assigns Tier II oversight: the AI generates a preliminary report with explicit confidence levels per nodule; the radiologist reviews all cases but is specifically prompted to </w:t>
      </w:r>
      <w:r w:rsidR="005D7EEC">
        <w:t>scrutinize</w:t>
      </w:r>
      <w:r>
        <w:t xml:space="preserve"> sub-</w:t>
      </w:r>
      <w:r w:rsidR="005D7EEC">
        <w:t>centimeter</w:t>
      </w:r>
      <w:r>
        <w:t xml:space="preserve"> findings. Explanations are brief and actionable (not SHAP plots). Audit trails record both AI predictions and radiologist decisions for quality assurance. The feedback loop monitors radiologist override rates: a rate below 2% triggers an automation bias alert; a rate above 25% triggers system reliability investigation.</w:t>
      </w:r>
    </w:p>
    <w:p w14:paraId="4290C349" w14:textId="31BA870A" w:rsidR="006F243D" w:rsidRPr="00100EBA" w:rsidRDefault="00000000" w:rsidP="003D7102">
      <w:pPr>
        <w:pStyle w:val="Heading4"/>
      </w:pPr>
      <w:bookmarkStart w:id="38" w:name="_Toc225135071"/>
      <w:r w:rsidRPr="00100EBA">
        <w:t xml:space="preserve">Autonomous LLM Coding </w:t>
      </w:r>
      <w:r w:rsidRPr="004B3BA5">
        <w:t>Agent</w:t>
      </w:r>
      <w:r w:rsidRPr="00100EBA">
        <w:t xml:space="preserve"> (Moderate Criticality, Low Regulatory Pressure)</w:t>
      </w:r>
      <w:bookmarkEnd w:id="38"/>
    </w:p>
    <w:p w14:paraId="46A0A662" w14:textId="520DC3E6" w:rsidR="006F243D" w:rsidRDefault="00000000" w:rsidP="004B3BA5">
      <w:r>
        <w:t>Consider</w:t>
      </w:r>
      <w:r w:rsidR="00044E3C">
        <w:t>ing</w:t>
      </w:r>
      <w:r>
        <w:t xml:space="preserve"> an LLM-based coding agent tasked with generating and executing code to </w:t>
      </w:r>
      <w:r w:rsidR="00536B84">
        <w:t>analyze</w:t>
      </w:r>
      <w:r>
        <w:t xml:space="preserve"> a database. Task criticality is moderate (errors produce incorrect </w:t>
      </w:r>
      <w:r w:rsidR="00536B84">
        <w:t>analyze</w:t>
      </w:r>
      <w:r>
        <w:t>s but are rarely catastrophic). AI competency boundary is wide but not universal (the agent handles well-specified SQL queries reliably but struggles with ambiguous requirements or novel data structures). Human capacity is high (the operator is a data engineer with relevant expertise). Institutional constraints are minimal. The AOCM assigns Tier III oversight: the agent acts autonomously on execution of confirmed queries but requires human approval before schema modification or external API calls. Explanations take the form of step-by-step reasoning traces, surfaced at checkpoints rather than after every action. The trust band is monitored via the operator's override rate, and the system is flagged for over-trust if the operator approves all agent recommendations without reviewing execution logs.</w:t>
      </w:r>
    </w:p>
    <w:p w14:paraId="1C1BC66F" w14:textId="7D9AABB7" w:rsidR="006F243D" w:rsidRPr="00100EBA" w:rsidRDefault="00000000" w:rsidP="003D7102">
      <w:pPr>
        <w:pStyle w:val="Heading4"/>
      </w:pPr>
      <w:bookmarkStart w:id="39" w:name="_Toc225135072"/>
      <w:r w:rsidRPr="00100EBA">
        <w:t>Content Moderation at Scale (High Criticality, Growing Regulatory Pressure)</w:t>
      </w:r>
      <w:bookmarkEnd w:id="39"/>
    </w:p>
    <w:p w14:paraId="70985914" w14:textId="5942B2AD" w:rsidR="006F243D" w:rsidRDefault="00000000" w:rsidP="003D0BA5">
      <w:r>
        <w:t>Consider</w:t>
      </w:r>
      <w:r w:rsidR="002A5AFB">
        <w:t>ing</w:t>
      </w:r>
      <w:r>
        <w:t xml:space="preserve"> a major social media platform's content moderation pipeline. Task criticality is high for specific categories (child safety, terrorist incitement) and moderate for others (spam, hate speech). AI competency is strong for clear-cut violations but degrades sharply for context-dependent cases. Human capacity is constrained by volume and psychological harm. The AOCM assigns differentiated tier configurations: Tier IV for clear-cut, high-confidence AI removals (human monitoring via random audit); Tier I for child safety content (mandatory human review before action); Tier II for borderline cases (AI flags, human decides). Institutional constraints are </w:t>
      </w:r>
      <w:r w:rsidR="004C4E48">
        <w:t>operationalize</w:t>
      </w:r>
      <w:r>
        <w:t>d through documented accountability matrices specifying which human roles are responsible for each decision category. Moderator wellbeing is incorporated as a constraint on human capacity, triggering capacity recalculation when moderator distress indicators exceed thresholds.</w:t>
      </w:r>
    </w:p>
    <w:p w14:paraId="14809AEF" w14:textId="6759C40E" w:rsidR="006F243D" w:rsidRPr="00E4074A" w:rsidRDefault="00C15D1C" w:rsidP="003D7102">
      <w:pPr>
        <w:pStyle w:val="Heading1"/>
      </w:pPr>
      <w:bookmarkStart w:id="40" w:name="_Toc225135073"/>
      <w:r w:rsidRPr="00E4074A">
        <w:t>DISCUSSION</w:t>
      </w:r>
      <w:bookmarkEnd w:id="40"/>
    </w:p>
    <w:p w14:paraId="24C46FEF" w14:textId="616E80BB" w:rsidR="006F243D" w:rsidRPr="00DB5477" w:rsidRDefault="00000000" w:rsidP="00DB5477">
      <w:pPr>
        <w:pStyle w:val="Heading2"/>
      </w:pPr>
      <w:bookmarkStart w:id="41" w:name="_Toc225135074"/>
      <w:r w:rsidRPr="00E4074A">
        <w:t>Structural Tensions in the HITL Literature</w:t>
      </w:r>
      <w:bookmarkEnd w:id="41"/>
    </w:p>
    <w:p w14:paraId="1F06E4A4" w14:textId="186C93DA" w:rsidR="006F243D" w:rsidRDefault="008F1D42" w:rsidP="003D0BA5">
      <w:r>
        <w:t>The synthesis in this study reveals four structural tensions that recur across sectors and framework types, reflecting deep features of human-AI collaboration that cannot be engineered away but must be managed.</w:t>
      </w:r>
    </w:p>
    <w:p w14:paraId="667E1F9F" w14:textId="2A5350B9" w:rsidR="006F243D" w:rsidRDefault="00000000" w:rsidP="00470050">
      <w:r>
        <w:t xml:space="preserve">The explainability-performance tradeoff remains the most extensively discussed tension in the corpus. While inherently interpretable models </w:t>
      </w:r>
      <w:r w:rsidR="00327EFF">
        <w:fldChar w:fldCharType="begin"/>
      </w:r>
      <w:r w:rsidR="00CA1674">
        <w:instrText xml:space="preserve"> ADDIN ZOTERO_ITEM CSL_CITATION {"citationID":"tXTupVca","properties":{"formattedCitation":"(Arrieta et al., 2020; Rudin, 2019)","plainCitation":"(Arrieta et al., 2020; Rudin, 2019)","noteIndex":0},"citationItems":[{"id":2941,"uris":["http://zotero.org/users/6567242/items/LUR8LQA5"],"itemData":{"id":2941,"type":"article-journal","container-title":"Information Fusion","DOI":"10.1016/j.inffus.2019.12.012","ISSN":"15662535","journalAbbreviation":"Information Fusion","language":"en","page":"82-115","source":"DOI.org (Crossref)","title":"Explainable Artificial Intelligence (XAI): Concepts, taxonomies, opportunities and challenges toward responsible AI","title-short":"Explainable Artificial Intelligence (XAI)","volume":"58","author":[{"family":"Arrieta","given":"Alejandro Barredo"},{"family":"Díaz-Rodríguez","given":"Natalia"},{"family":"Del Ser","given":"Javier"},{"family":"Bennetot","given":"Adrien"},{"family":"Tabik","given":"Siham"},{"family":"Barbado","given":"Alberto"},{"family":"Garcia","given":"Salvador"},{"family":"Gil-Lopez","given":"Sergio"},{"family":"Molina","given":"Daniel"},{"family":"Benjamins","given":"Richard"},{"family":"Chatila","given":"Raja"},{"family":"Herrera","given":"Francisco"}],"issued":{"date-parts":[["2020",6]]}}},{"id":3046,"uris":["http://zotero.org/users/6567242/items/XZEATY6U"],"itemData":{"id":3046,"type":"article-journal","abstract":"Black box machine learning models are currently being used for high-stakes decision making throughout society, causing problems in healthcare, criminal justice and other domains. Some people hope that creating methods for explaining these black box models will alleviate some of the problems, but trying to explain black box models, rather than creating models that are interpretable in the first place, is likely to perpetuate bad practice and can potentially cause great harm to society. The way forward is to design models that are inherently interpretable. This Perspective clarifies the chasm between explaining black boxes and using inherently interpretable models, outlines several key reasons why explainable black boxes should be avoided in high-stakes decisions, identifies challenges to interpretable machine learning, and provides several example applications where interpretable models could potentially replace black box models in criminal justice, healthcare and computer vision.","container-title":"Nature Machine Intelligence","DOI":"10.1038/s42256-019-0048-x","ISSN":"2522-5839","issue":"5","journalAbbreviation":"Nat Mach Intell","language":"en","license":"2019 Springer Nature Limited","page":"206-215","publisher":"Nature Publishing Group","source":"www.nature.com","title":"Stop explaining black box machine learning models for high stakes decisions and use interpretable models instead","volume":"1","author":[{"family":"Rudin","given":"Cynthia"}],"issued":{"date-parts":[["2019",5]]}}}],"schema":"https://github.com/citation-style-language/schema/raw/master/csl-citation.json"} </w:instrText>
      </w:r>
      <w:r w:rsidR="00327EFF">
        <w:fldChar w:fldCharType="separate"/>
      </w:r>
      <w:r w:rsidR="00CA1674" w:rsidRPr="00CA1674">
        <w:t>(Arrieta et al., 2020; Rudin, 2019)</w:t>
      </w:r>
      <w:r w:rsidR="00327EFF">
        <w:fldChar w:fldCharType="end"/>
      </w:r>
      <w:r>
        <w:t xml:space="preserve"> offer a partial solution for specific problem types, the tradeoff persists in high-dimensional perceptual domains</w:t>
      </w:r>
      <w:r w:rsidR="004E5933">
        <w:t xml:space="preserve">, </w:t>
      </w:r>
      <w:r>
        <w:t>precisely those where AI offers the greatest marginal value over human judgment. The AOCM addresses this by treating explanation depth as a variable calibrated to human cognitive capacity, not a universal maximum: high-capacity operators in low-volume contexts benefit from rich explanations, while high-volume operators under time pressure benefit from compressed, actionable summaries.</w:t>
      </w:r>
    </w:p>
    <w:p w14:paraId="0F9011DF" w14:textId="3B951CCD" w:rsidR="006F243D" w:rsidRDefault="00000000" w:rsidP="00470050">
      <w:r>
        <w:t xml:space="preserve">The autonomy-accountability gap reflects the fundamental legal and </w:t>
      </w:r>
      <w:r w:rsidR="004C4E48">
        <w:t>organiz</w:t>
      </w:r>
      <w:r>
        <w:t>ational challenge of deploying systems that act without being actors in the legal sense. Current accountability frameworks</w:t>
      </w:r>
      <w:r w:rsidR="0029133D">
        <w:t>, including</w:t>
      </w:r>
      <w:r>
        <w:t xml:space="preserve"> the EU AI Act's provider-deployer liability structure</w:t>
      </w:r>
      <w:r w:rsidR="0029133D">
        <w:t xml:space="preserve">, </w:t>
      </w:r>
      <w:r>
        <w:t xml:space="preserve">struggle to attribute causality in multi-agent pipelines where AI actions span multiple </w:t>
      </w:r>
      <w:r w:rsidR="004C4E48">
        <w:t>organiz</w:t>
      </w:r>
      <w:r>
        <w:t>ations. The AOCM's accountability mapping proposition (P6) addresses this by requiring explicit role-based accountability assignment as a precondition for any oversight configuration, but acknowledges that this is a design target rather than an achievable condition in all deployments.</w:t>
      </w:r>
    </w:p>
    <w:p w14:paraId="250A5C33" w14:textId="1126419B" w:rsidR="006F243D" w:rsidRDefault="00000000" w:rsidP="00470050">
      <w:r>
        <w:t xml:space="preserve">The over-trust/under-trust duality is the tension with the most direct implications for system performance. The empirical literature consistently finds that trust is miscalibrated in the absence of deliberate calibration mechanisms </w:t>
      </w:r>
      <w:r w:rsidR="00B62382">
        <w:fldChar w:fldCharType="begin"/>
      </w:r>
      <w:r w:rsidR="00B62382">
        <w:instrText xml:space="preserve"> ADDIN ZOTERO_ITEM CSL_CITATION {"citationID":"1EyE5Vtz","properties":{"formattedCitation":"(Hemmer et al., 2021; Zhang et al., 2020)","plainCitation":"(Hemmer et al., 2021; Zhang et al., 2020)","noteIndex":0},"citationItems":[{"id":2963,"uris":["http://zotero.org/users/6567242/items/9XNJ45QL"],"itemData":{"id":2963,"type":"paper-conference","container-title":"PACIS 2021 Proceedings","publisher":"AIS eLibrary","publisher-place":"Karlsruhe Institute of Technology","source":"COinS","title":"Human-AI Complementarity in Hybrid Intelligence Systems: A Structured Literature Review","title-short":"Human-AI Complementarity in Hybrid Intelligence Systems","URL":"https://aisel.aisnet.org/pacis2021/78","volume":"78","author":[{"family":"Hemmer","given":"Patrick"},{"family":"Schemmer","given":"Max"},{"family":"Vössing","given":"Michael"},{"family":"Kühl","given":"Niklas"}],"issued":{"date-parts":[["2021",7,12]]}}},{"id":3010,"uris":["http://zotero.org/users/6567242/items/CK3V2FNP"],"itemData":{"id":3010,"type":"paper-conference","container-title":"Proceedings of the 2020 Conference on Fairness, Accountability, and Transparency","DOI":"10.1145/3351095.3372852","event-title":"FAT* '20: Conference on Fairness, Accountability, and Transparency","ISBN":"978-1-4503-6936-7","language":"en","page":"295-305","publisher":"ACM","publisher-place":"Barcelona Spain","source":"DOI.org (Crossref)","title":"Effect of confidence and explanation on accuracy and trust calibration in AI-assisted decision making","URL":"https://dl.acm.org/doi/10.1145/3351095.3372852","author":[{"family":"Zhang","given":"Yunfeng"},{"family":"Liao","given":"Q. Vera"},{"family":"Bellamy","given":"Rachel K. E."}],"accessed":{"date-parts":[["2026",3,23]]},"issued":{"date-parts":[["2020",1,27]]}}}],"schema":"https://github.com/citation-style-language/schema/raw/master/csl-citation.json"} </w:instrText>
      </w:r>
      <w:r w:rsidR="00B62382">
        <w:fldChar w:fldCharType="separate"/>
      </w:r>
      <w:r w:rsidR="00B62382" w:rsidRPr="00B62382">
        <w:t xml:space="preserve">(Hemmer et </w:t>
      </w:r>
      <w:r w:rsidR="00B62382" w:rsidRPr="00B62382">
        <w:lastRenderedPageBreak/>
        <w:t>al., 2021; Zhang et al., 2020)</w:t>
      </w:r>
      <w:r w:rsidR="00B62382">
        <w:fldChar w:fldCharType="end"/>
      </w:r>
      <w:r>
        <w:t xml:space="preserve">, and that miscalibration is costly in both directions. The AOCM's trust calibration proposition (P4) </w:t>
      </w:r>
      <w:r w:rsidR="004C4E48">
        <w:t>formaliz</w:t>
      </w:r>
      <w:r>
        <w:t>es this as a symmetric performance loss function, motivating the use of feedback loops (P5) that detect and correct drift in both directions.</w:t>
      </w:r>
    </w:p>
    <w:p w14:paraId="197FCF3F" w14:textId="0AEAFA60" w:rsidR="006F243D" w:rsidRDefault="00000000" w:rsidP="00470050">
      <w:r>
        <w:t xml:space="preserve">The participation-effectiveness paradox </w:t>
      </w:r>
      <w:r w:rsidR="00587587">
        <w:fldChar w:fldCharType="begin"/>
      </w:r>
      <w:r w:rsidR="00587587">
        <w:instrText xml:space="preserve"> ADDIN ZOTERO_ITEM CSL_CITATION {"citationID":"guWeBput","properties":{"formattedCitation":"(Madaio et al., 2020; Sloane et al., 2020)","plainCitation":"(Madaio et al., 2020; Sloane et al., 2020)","noteIndex":0},"citationItems":[{"id":2979,"uris":["http://zotero.org/users/6567242/items/PF5KICG5"],"itemData":{"id":2979,"type":"paper-conference","container-title":"Proceedings of the 2020 CHI Conference on Human Factors in Computing Systems","DOI":"10.1145/3313831.3376445","event-title":"CHI '20: CHI Conference on Human Factors in Computing Systems","ISBN":"978-1-4503-6708-0","language":"en","page":"1-14","publisher":"ACM","publisher-place":"Honolulu HI USA","source":"DOI.org (Crossref)","title":"Co-Designing Checklists to Understand Organizational Challenges and Opportunities around Fairness in AI","URL":"https://dl.acm.org/doi/10.1145/3313831.3376445","author":[{"family":"Madaio","given":"Michael A."},{"family":"Stark","given":"Luke"},{"family":"Wortman Vaughan","given":"Jennifer"},{"family":"Wallach","given":"Hanna"}],"accessed":{"date-parts":[["2026",3,23]]},"issued":{"date-parts":[["2020",4,21]]}}},{"id":2996,"uris":["http://zotero.org/users/6567242/items/TRZXVCVM"],"itemData":{"id":2996,"type":"article","abstract":"This paper critically examines existing modes of participation in design practice and machine learning. Cautioning against 'participation-washing', it suggests that the ML community must become attuned to possibly exploitative and extractive forms of community involvement and shift away from the prerogatives of context-independent scalability.","DOI":"10.48550/ARXIV.2007.02423","license":"Creative Commons Attribution 4.0 International","note":"version: 3","publisher":"arXiv","source":"DOI.org (Datacite)","title":"Participation is not a Design Fix for Machine Learning","URL":"https://arxiv.org/abs/2007.02423","author":[{"family":"Sloane","given":"Mona"},{"family":"Moss","given":"Emanuel"},{"family":"Awomolo","given":"Olaitan"},{"family":"Forlano","given":"Laura"}],"accessed":{"date-parts":[["2026",3,23]]},"issued":{"date-parts":[["2020"]]}}}],"schema":"https://github.com/citation-style-language/schema/raw/master/csl-citation.json"} </w:instrText>
      </w:r>
      <w:r w:rsidR="00587587">
        <w:fldChar w:fldCharType="separate"/>
      </w:r>
      <w:r w:rsidR="00587587" w:rsidRPr="00587587">
        <w:t>(Madaio et al., 2020; Sloane et al., 2020)</w:t>
      </w:r>
      <w:r w:rsidR="00587587">
        <w:fldChar w:fldCharType="end"/>
      </w:r>
      <w:r>
        <w:t xml:space="preserve"> highlights the limits of purely technical oversight frameworks: if the </w:t>
      </w:r>
      <w:r w:rsidR="004C4E48">
        <w:t>organiz</w:t>
      </w:r>
      <w:r>
        <w:t xml:space="preserve">ational and power structures in which AI systems are deployed are not also addressed, technically sound oversight mechanisms will be circumvented or rendered ineffective. The AOCM incorporates institutional constraints as a first-class input, but cannot resolve the underlying political and </w:t>
      </w:r>
      <w:r w:rsidR="004C4E48">
        <w:t>organiz</w:t>
      </w:r>
      <w:r>
        <w:t>ational challenges that this tension reflects.</w:t>
      </w:r>
    </w:p>
    <w:p w14:paraId="573E58A3" w14:textId="6A88822B" w:rsidR="006F243D" w:rsidRPr="00E4074A" w:rsidRDefault="00000000" w:rsidP="00AE5335">
      <w:pPr>
        <w:pStyle w:val="Heading2"/>
      </w:pPr>
      <w:bookmarkStart w:id="42" w:name="_Toc225135075"/>
      <w:r w:rsidRPr="00E4074A">
        <w:t>Implications for System Designers</w:t>
      </w:r>
      <w:bookmarkEnd w:id="42"/>
    </w:p>
    <w:p w14:paraId="0DDB3A43" w14:textId="450BB5C4" w:rsidR="006F243D" w:rsidRDefault="00000000" w:rsidP="001C05B0">
      <w:r>
        <w:t xml:space="preserve">System designers </w:t>
      </w:r>
      <w:r w:rsidR="001C05B0">
        <w:t>operationalizing</w:t>
      </w:r>
      <w:r>
        <w:t xml:space="preserve"> the AOCM should </w:t>
      </w:r>
      <w:r w:rsidR="001C05B0">
        <w:t>prioritize</w:t>
      </w:r>
      <w:r>
        <w:t xml:space="preserve"> three design principles derived from the synthesis. First, make AI competency boundaries legible</w:t>
      </w:r>
      <w:r w:rsidR="00A979E3">
        <w:t>.</w:t>
      </w:r>
      <w:r>
        <w:t xml:space="preserve"> </w:t>
      </w:r>
      <w:r w:rsidR="00A979E3">
        <w:t>T</w:t>
      </w:r>
      <w:r>
        <w:t xml:space="preserve">he single most consistent predictor of calibrated trust in </w:t>
      </w:r>
      <w:r w:rsidR="00D15F79">
        <w:t>the study’s</w:t>
      </w:r>
      <w:r>
        <w:t xml:space="preserve"> corpus is whether operators can identify when the AI is likely to err. This requires documentation of training distribution boundaries, explicit uncertainty quantification </w:t>
      </w:r>
      <w:r w:rsidR="001B4D64">
        <w:fldChar w:fldCharType="begin"/>
      </w:r>
      <w:r w:rsidR="00BF461A">
        <w:instrText xml:space="preserve"> ADDIN ZOTERO_ITEM CSL_CITATION {"citationID":"6tHxATzP","properties":{"formattedCitation":"(Gal &amp; Ghahramani, 2016)","plainCitation":"(Gal &amp; Ghahramani, 2016)","noteIndex":0},"citationItems":[{"id":3044,"uris":["http://zotero.org/users/6567242/items/6DECZYA9"],"itemData":{"id":3044,"type":"article","abstract":"Deep learning tools have gained tremendous attention in applied machine learning. However such tools for regression and classification do not capture model uncertainty. In comparison, Bayesian models offer a mathematically grounded framework to reason about model uncertainty, but usually come with a prohibitive computational cost. In this paper we develop a new theoretical framework casting dropout training in deep neural networks (NNs) as approximate Bayesian inference in deep Gaussian processes. A direct result of this theory gives us tools to model uncertainty with dropout NNs -- extracting information from existing models that has been thrown away so far. This mitigates the problem of representing uncertainty in deep learning without sacrificing either computational complexity or test accuracy. We perform an extensive study of the properties of dropout's uncertainty. Various network architectures and non-linearities are assessed on tasks of regression and classification, using MNIST as an example. We show a considerable improvement in predictive log-likelihood and RMSE compared to existing state-of-the-art methods, and finish by using dropout's uncertainty in deep reinforcement learning.","DOI":"10.48550/ARXIV.1506.02142","license":"arXiv.org perpetual, non-exclusive license","note":"version: 6","publisher":"arXiv","source":"DOI.org (Datacite)","title":"Dropout as a Bayesian Approximation: Representing Model Uncertainty in Deep Learning","title-short":"Dropout as a Bayesian Approximation","URL":"https://arxiv.org/abs/1506.02142","author":[{"family":"Gal","given":"Yarin"},{"family":"Ghahramani","given":"Zoubin"}],"accessed":{"date-parts":[["2026",3,25]]},"issued":{"date-parts":[["2016"]]}}}],"schema":"https://github.com/citation-style-language/schema/raw/master/csl-citation.json"} </w:instrText>
      </w:r>
      <w:r w:rsidR="001B4D64">
        <w:fldChar w:fldCharType="separate"/>
      </w:r>
      <w:r w:rsidR="00BF461A" w:rsidRPr="00BF461A">
        <w:t>(Gal &amp; Ghahramani, 2016)</w:t>
      </w:r>
      <w:r w:rsidR="001B4D64">
        <w:fldChar w:fldCharType="end"/>
      </w:r>
      <w:r>
        <w:t>, and communication of known failure modes in user-accessible language. Second, design for cognitive load: oversight mechanisms that impose attentional demands disproportionate to the oversight benefit will be abandoned in practice. Third, close feedback loops: the temporal gap between AI decisions and outcome feedback is a primary driver of trust miscalibration; shortening this gap</w:t>
      </w:r>
      <w:r w:rsidR="000C2324">
        <w:t xml:space="preserve">, </w:t>
      </w:r>
      <w:r>
        <w:t>through simulation, rapid outcome notification, or periodic performance debriefing</w:t>
      </w:r>
      <w:r w:rsidR="000C2324">
        <w:t xml:space="preserve">, </w:t>
      </w:r>
      <w:r>
        <w:t>is among the highest-leverage interventions available.</w:t>
      </w:r>
    </w:p>
    <w:p w14:paraId="2E56D609" w14:textId="72776C74" w:rsidR="006F243D" w:rsidRPr="00E4074A" w:rsidRDefault="00000000" w:rsidP="00AE5335">
      <w:pPr>
        <w:pStyle w:val="Heading2"/>
      </w:pPr>
      <w:bookmarkStart w:id="43" w:name="_Toc225135076"/>
      <w:r w:rsidRPr="00E4074A">
        <w:t>Implications for Policymakers and Regulators</w:t>
      </w:r>
      <w:bookmarkEnd w:id="43"/>
    </w:p>
    <w:p w14:paraId="545DEBDD" w14:textId="606DA441" w:rsidR="006F243D" w:rsidRDefault="00000000" w:rsidP="001C05B0">
      <w:r>
        <w:t xml:space="preserve">The AOCM's </w:t>
      </w:r>
      <w:r w:rsidR="001C05B0">
        <w:t>formalizations</w:t>
      </w:r>
      <w:r>
        <w:t xml:space="preserve"> have direct implications for regulatory </w:t>
      </w:r>
      <w:r w:rsidR="004C4E48">
        <w:t>operationalization</w:t>
      </w:r>
      <w:r>
        <w:t>. The EU AI Act's requirement for human oversight by design in high-risk AI systems is a necessary but under-specified mandate</w:t>
      </w:r>
      <w:r w:rsidR="00845F81">
        <w:t xml:space="preserve"> because</w:t>
      </w:r>
      <w:r>
        <w:t xml:space="preserve"> it does not define what depth of oversight is required, how oversight quality should be measured, or what feedback mechanisms are required to maintain oversight effectiveness over time. The AOCM's six propositions provide a basis for </w:t>
      </w:r>
      <w:r w:rsidR="004C4E48">
        <w:t>operationalizing</w:t>
      </w:r>
      <w:r>
        <w:t xml:space="preserve"> these requirements in conformity assessment frameworks.</w:t>
      </w:r>
    </w:p>
    <w:p w14:paraId="69434021" w14:textId="2872D364" w:rsidR="00FA7871" w:rsidRDefault="00106B84" w:rsidP="001C05B0">
      <w:r>
        <w:fldChar w:fldCharType="begin"/>
      </w:r>
      <w:r w:rsidR="000F58E2">
        <w:instrText xml:space="preserve"> ADDIN ZOTERO_ITEM CSL_CITATION {"citationID":"IOcCDFvM","properties":{"formattedCitation":"(Adedokun et al., 2026)","plainCitation":"(Adedokun et al., 2026)","dontUpdate":true,"noteIndex":0},"citationItems":[{"id":2782,"uris":["http://zotero.org/users/6567242/items/MLUNJR2F"],"itemData":{"id":2782,"type":"article-journal","abstract":"Artificial Intelligence (AI) constitutes an epochal shift, profoundly transforming human experience but simultaneously raising urgent ontological and ethical challenges, including cognitive atrophy, algorithmic bias, and truth decay. This research conducted an integrative literature review to synthesize the complex human-AI relationship through established theoretical lenses. Specifically, thematic findings on technological risks and human attributes are mapped against Socio-Technical Systems (STS) theory, which mandates the joint optimization of social and technical subsystems, and Value Sensitive Design (VSD), which requires the proactive embedding of human values into system architecture. The study further examined global AI ethics and governance instruments, including the EU AI Act and UNESCO’s Recommendation on the Ethics of AI, and identified a governance gap wherein macro-level regulations do not translate into granular, user-centric operational guidance. The study established a critical distinction, stating that AI operates on syntactic, probabilistic logic, while the human essence is defined by semantics, moral agency, and intrinsic purpose. Addressing the gap between technical utility and ontological preservation, the paper proposes two actionable frameworks, namely the 5-P Strategic Framework for fostering critical AI literacy and the V.A.L.U.E. Framework for guiding ethical AI utilization. These models offer stakeholders a strategic roadmap for adopting AI responsibly, ensuring that human agency and enduring values are protected in an increasingly automated environment.","container-title":"Journal of Science Innovation and Technology Research","DOI":"10.70382/ajsitr.v10i9.069","ISSN":"3026-958X, 3027-1169","issue":"9","journalAbbreviation":"AJSITR","license":"https://creativecommons.org/licenses/by/4.0","page":"196-213","source":"DOI.org (Crossref)","title":"Artificial Intelligence and the Essence of Humanity: Strategic Frameworks for Utilizing Technology and Preserving Values in an Automated Era","title-short":"Artificial Intelligence and the Essence of Humanity","volume":"10","author":[{"family":"Adedokun","given":"Simeon Ayoade"},{"family":"Adeyemo","given":"Isiak Akinwumi"},{"family":"Adedokun","given":"Dorcas Atinuke"},{"family":"Ogunkan","given":"Stella Kehinde"},{"family":"Ogunniyi","given":"Olufunke Kemi"}],"issued":{"date-parts":[["2026",1,3]]}}}],"schema":"https://github.com/citation-style-language/schema/raw/master/csl-citation.json"} </w:instrText>
      </w:r>
      <w:r>
        <w:fldChar w:fldCharType="separate"/>
      </w:r>
      <w:r w:rsidRPr="00106B84">
        <w:t>Adedokun et al.</w:t>
      </w:r>
      <w:r w:rsidR="00D04EA6">
        <w:t>'s</w:t>
      </w:r>
      <w:r w:rsidRPr="00106B84">
        <w:t xml:space="preserve"> </w:t>
      </w:r>
      <w:r w:rsidR="00D04EA6">
        <w:t>(</w:t>
      </w:r>
      <w:r w:rsidRPr="00106B84">
        <w:t>2026)</w:t>
      </w:r>
      <w:r>
        <w:fldChar w:fldCharType="end"/>
      </w:r>
      <w:r w:rsidR="00947DD6">
        <w:t xml:space="preserve"> </w:t>
      </w:r>
      <w:r w:rsidR="00C67904">
        <w:t xml:space="preserve">5-P Strategic and </w:t>
      </w:r>
      <w:r w:rsidR="00947DD6">
        <w:t>V.A.L.U.E. framework</w:t>
      </w:r>
      <w:r w:rsidR="00C67904">
        <w:t>s</w:t>
      </w:r>
      <w:r w:rsidR="00ED542D" w:rsidRPr="00ED542D">
        <w:t xml:space="preserve"> function in relation to th</w:t>
      </w:r>
      <w:r w:rsidR="00D61AD0">
        <w:t>is</w:t>
      </w:r>
      <w:r w:rsidR="00ED542D" w:rsidRPr="00ED542D">
        <w:t xml:space="preserve"> study as a </w:t>
      </w:r>
      <w:r w:rsidR="0007225C">
        <w:t>foundational approach</w:t>
      </w:r>
      <w:r w:rsidR="000566BA">
        <w:t>.</w:t>
      </w:r>
      <w:r w:rsidR="00ED542D" w:rsidRPr="00ED542D">
        <w:t xml:space="preserve"> </w:t>
      </w:r>
      <w:r w:rsidR="00D17566">
        <w:t>T</w:t>
      </w:r>
      <w:r w:rsidR="00ED542D" w:rsidRPr="00ED542D">
        <w:t xml:space="preserve">hey address the </w:t>
      </w:r>
      <w:r w:rsidR="001742A7">
        <w:t>‘</w:t>
      </w:r>
      <w:r w:rsidR="00ED542D" w:rsidRPr="00ED542D">
        <w:t>why</w:t>
      </w:r>
      <w:r w:rsidR="001742A7">
        <w:t>’</w:t>
      </w:r>
      <w:r w:rsidR="00ED542D" w:rsidRPr="00ED542D">
        <w:t xml:space="preserve"> of human oversight</w:t>
      </w:r>
      <w:r w:rsidR="00417D08">
        <w:t xml:space="preserve">, </w:t>
      </w:r>
      <w:r w:rsidR="003A0F09">
        <w:t xml:space="preserve">studying </w:t>
      </w:r>
      <w:r w:rsidR="00ED542D" w:rsidRPr="00ED542D">
        <w:t>the ontological stakes of ceding human agency to AI, while th</w:t>
      </w:r>
      <w:r w:rsidR="00070EAC">
        <w:t>is</w:t>
      </w:r>
      <w:r w:rsidR="00ED542D" w:rsidRPr="00ED542D">
        <w:t xml:space="preserve"> </w:t>
      </w:r>
      <w:r w:rsidR="00070EAC">
        <w:t>study</w:t>
      </w:r>
      <w:r w:rsidR="00ED542D" w:rsidRPr="00ED542D">
        <w:t xml:space="preserve"> addresses the </w:t>
      </w:r>
      <w:r w:rsidR="00070EAC">
        <w:t>‘</w:t>
      </w:r>
      <w:r w:rsidR="00ED542D" w:rsidRPr="00ED542D">
        <w:t>how</w:t>
      </w:r>
      <w:r w:rsidR="00070EAC">
        <w:t>’</w:t>
      </w:r>
      <w:r w:rsidR="00680F8B">
        <w:t xml:space="preserve">, that is, </w:t>
      </w:r>
      <w:r w:rsidR="00ED542D" w:rsidRPr="00ED542D">
        <w:t xml:space="preserve">the architectural conditions under which meaningful oversight is achievable. The V.A.L.U.E. </w:t>
      </w:r>
      <w:r w:rsidR="00285EA1">
        <w:t>f</w:t>
      </w:r>
      <w:r w:rsidR="00ED542D" w:rsidRPr="00ED542D">
        <w:t>ramework and the AOCM</w:t>
      </w:r>
      <w:r w:rsidR="00285EA1">
        <w:t xml:space="preserve"> framework</w:t>
      </w:r>
      <w:r w:rsidR="00ED542D" w:rsidRPr="00ED542D">
        <w:t xml:space="preserve"> are not competing but nested</w:t>
      </w:r>
      <w:r w:rsidR="00F86B51">
        <w:t>.</w:t>
      </w:r>
      <w:r w:rsidR="00ED542D" w:rsidRPr="00ED542D">
        <w:t xml:space="preserve"> </w:t>
      </w:r>
      <w:r w:rsidR="006D790B">
        <w:t>The V.A.L.U.E. framework’s</w:t>
      </w:r>
      <w:r w:rsidR="00ED542D" w:rsidRPr="00ED542D">
        <w:t xml:space="preserve"> value-preservation goals provide the normative rationale that the AOCM's design propositions seek to </w:t>
      </w:r>
      <w:r w:rsidR="00AB1FA3" w:rsidRPr="00ED542D">
        <w:t>operationalize</w:t>
      </w:r>
      <w:r w:rsidR="00ED542D" w:rsidRPr="00ED542D">
        <w:t xml:space="preserve">. </w:t>
      </w:r>
    </w:p>
    <w:p w14:paraId="322E59E6" w14:textId="1870DCB9" w:rsidR="006F243D" w:rsidRDefault="00000000" w:rsidP="00521BA9">
      <w:r>
        <w:t>The NIST AI RMF's GOVERN function</w:t>
      </w:r>
      <w:r w:rsidR="00F92964">
        <w:t xml:space="preserve">, </w:t>
      </w:r>
      <w:r>
        <w:t xml:space="preserve">which requires </w:t>
      </w:r>
      <w:r w:rsidR="004C4E48">
        <w:t>organizations</w:t>
      </w:r>
      <w:r>
        <w:t xml:space="preserve"> to define accountability structures</w:t>
      </w:r>
      <w:r w:rsidR="00F92964">
        <w:t xml:space="preserve">, </w:t>
      </w:r>
      <w:r>
        <w:t xml:space="preserve">maps directly onto AOCM Proposition P6. However, NIST's framework does not address the dynamic recalibration of oversight as AI systems evolve post-deployment, a gap that the AOCM's continuous feedback loop addresses. </w:t>
      </w:r>
      <w:r w:rsidR="00E034EF">
        <w:t>Therefore, it is</w:t>
      </w:r>
      <w:r>
        <w:t xml:space="preserve"> recommend</w:t>
      </w:r>
      <w:r w:rsidR="00E034EF">
        <w:t>ed</w:t>
      </w:r>
      <w:r>
        <w:t xml:space="preserve"> that future iterations of </w:t>
      </w:r>
      <w:r w:rsidR="00FB5239">
        <w:t>these</w:t>
      </w:r>
      <w:r>
        <w:t xml:space="preserve"> frameworks incorporate explicit requirements for ongoing oversight calibration, not merely initial oversight design.</w:t>
      </w:r>
    </w:p>
    <w:p w14:paraId="0396E2F5" w14:textId="668F243A" w:rsidR="006F243D" w:rsidRPr="00E4074A" w:rsidRDefault="00F16A2F" w:rsidP="00EF2A34">
      <w:pPr>
        <w:pStyle w:val="Heading1"/>
      </w:pPr>
      <w:bookmarkStart w:id="44" w:name="_Toc225135077"/>
      <w:r w:rsidRPr="00E4074A">
        <w:t>LIMITATIONS</w:t>
      </w:r>
      <w:bookmarkEnd w:id="44"/>
    </w:p>
    <w:p w14:paraId="4E8D86BA" w14:textId="553210B6" w:rsidR="006F243D" w:rsidRDefault="00000000" w:rsidP="00521BA9">
      <w:r>
        <w:t xml:space="preserve">This review is subject to limitations that constrain the scope of its conclusions. First, the literature search was restricted to English-language publications, potentially excluding significant contributions from non-English-speaking research communities, where both AI deployment and governance research are highly active. Second, publication bias may have inflated effect sizes in the empirical literature, as studies showing null effects of explainability or HITL interventions may be less likely to be published. Third, the AOCM's six propositions, while grounded in the </w:t>
      </w:r>
      <w:r w:rsidR="004C4E48">
        <w:t>synthesized</w:t>
      </w:r>
      <w:r>
        <w:t xml:space="preserve"> evidence, are theoretical propositions requiring empirical validation. </w:t>
      </w:r>
      <w:r w:rsidR="008A031F">
        <w:t>In addition</w:t>
      </w:r>
      <w:r>
        <w:t>, the synthesis relied on thematic rather than quantitative meta-analysis, limiting the precision of cross-study comparisons.</w:t>
      </w:r>
    </w:p>
    <w:p w14:paraId="2676707A" w14:textId="09D7D66C" w:rsidR="006F243D" w:rsidRDefault="008C5E8C" w:rsidP="00521BA9">
      <w:r>
        <w:t>Lastly, the AOCM itself embeds normative assumptions</w:t>
      </w:r>
      <w:r w:rsidR="004E0590">
        <w:t xml:space="preserve">, </w:t>
      </w:r>
      <w:r>
        <w:t>particularly that</w:t>
      </w:r>
      <w:r w:rsidR="004E0590">
        <w:t xml:space="preserve"> </w:t>
      </w:r>
      <w:r>
        <w:t xml:space="preserve">meaningful oversight is achievable within existing </w:t>
      </w:r>
      <w:r w:rsidR="004C4E48">
        <w:t>organizational</w:t>
      </w:r>
      <w:r>
        <w:t xml:space="preserve"> and regulatory structures</w:t>
      </w:r>
      <w:r w:rsidR="004E0590">
        <w:t xml:space="preserve">, </w:t>
      </w:r>
      <w:r>
        <w:t xml:space="preserve">that may not hold in highly adversarial environments or in settings where the humans nominally in the loop lack genuine authority to intervene. Addressing these structural conditions requires political and </w:t>
      </w:r>
      <w:r w:rsidR="004C4E48">
        <w:t>organizational</w:t>
      </w:r>
      <w:r>
        <w:t xml:space="preserve"> change that no technical framework can substitute for.</w:t>
      </w:r>
    </w:p>
    <w:p w14:paraId="28C5C92B" w14:textId="09E2B473" w:rsidR="006F243D" w:rsidRPr="00E4074A" w:rsidRDefault="00D52570" w:rsidP="00EF2A34">
      <w:pPr>
        <w:pStyle w:val="Heading1"/>
      </w:pPr>
      <w:bookmarkStart w:id="45" w:name="_Toc225135078"/>
      <w:r w:rsidRPr="00E4074A">
        <w:lastRenderedPageBreak/>
        <w:t>CONCLUSION</w:t>
      </w:r>
      <w:bookmarkEnd w:id="45"/>
    </w:p>
    <w:p w14:paraId="46C35016" w14:textId="012DDFA9" w:rsidR="006F243D" w:rsidRDefault="00000000" w:rsidP="008F01A7">
      <w:r>
        <w:t xml:space="preserve">This systematic review has </w:t>
      </w:r>
      <w:r w:rsidR="004C4E48">
        <w:t>synthesized</w:t>
      </w:r>
      <w:r>
        <w:t xml:space="preserve"> 187 peer-reviewed studies on human-in-the-loop frameworks, oversight mechanisms, and trust calibration in agentic AI systems published between 2020 and 2026. </w:t>
      </w:r>
      <w:r w:rsidR="0069667E">
        <w:t>The</w:t>
      </w:r>
      <w:r>
        <w:t xml:space="preserve"> analysis confirms that the delegation frontier</w:t>
      </w:r>
      <w:r w:rsidR="002F32CA">
        <w:t xml:space="preserve">, </w:t>
      </w:r>
      <w:r>
        <w:t>the gap between what AI can do and what humans can safely delegate</w:t>
      </w:r>
      <w:r w:rsidR="00E05007">
        <w:t xml:space="preserve">, </w:t>
      </w:r>
      <w:r>
        <w:t xml:space="preserve">is not merely a matter of AI capability but reflects deep structural features of human cognition, </w:t>
      </w:r>
      <w:r w:rsidR="004C4E48">
        <w:t>organizational</w:t>
      </w:r>
      <w:r>
        <w:t xml:space="preserve"> accountability, and sociotechnical system design.</w:t>
      </w:r>
    </w:p>
    <w:p w14:paraId="4DE4312F" w14:textId="56421F01" w:rsidR="006F243D" w:rsidRDefault="00000000" w:rsidP="008F01A7">
      <w:r>
        <w:t xml:space="preserve">The four-tier HITL taxonomy proposed </w:t>
      </w:r>
      <w:r w:rsidR="00EB64FB">
        <w:t>in the study</w:t>
      </w:r>
      <w:r>
        <w:t xml:space="preserve"> provides a common vocabulary for </w:t>
      </w:r>
      <w:r w:rsidR="004C4E48">
        <w:t>characterizing</w:t>
      </w:r>
      <w:r>
        <w:t xml:space="preserve"> oversight architectures across sectors, grounding comparisons that have previously been difficult due to terminological fragmentation in the field. The five classes of oversight mechanisms identified in </w:t>
      </w:r>
      <w:r w:rsidR="00A72401">
        <w:t xml:space="preserve">the study are </w:t>
      </w:r>
      <w:r>
        <w:t>explainability, intervention, audit and accountability, training, and regulatory mechanisms</w:t>
      </w:r>
      <w:r w:rsidR="00A72401">
        <w:t xml:space="preserve">, which </w:t>
      </w:r>
      <w:r>
        <w:t>represent the primary design levers available to practitioners, each with documented strengths and failure modes.</w:t>
      </w:r>
    </w:p>
    <w:p w14:paraId="468AF8FE" w14:textId="77777777" w:rsidR="00BA1FD8" w:rsidRDefault="00BA1FD8" w:rsidP="00BA1FD8">
      <w:r>
        <w:t>The Adaptive Oversight Calibration Model (AOCM) introduced in Section 8 represents this review's primary conceptual contribution. The AOCM operationalizes meaningful oversight in a way that is both theoretically grounded and empirically testable, formalizing it as a dynamic function of task criticality, AI competency boundaries, human cognitive capacity, and institutional constraints, updated continuously through performance feedback. The model's six formal propositions provide a research agenda for the next wave of empirical work on human-AI teaming and a practical framework for policymakers seeking to operationalize oversight requirements in regulation.</w:t>
      </w:r>
    </w:p>
    <w:p w14:paraId="179E6CE5" w14:textId="20A4FA40" w:rsidR="006F243D" w:rsidRDefault="00BA1FD8" w:rsidP="00BA1FD8">
      <w:r>
        <w:t>The stakes of getting this right are high. Agentic AI systems are being deployed at scale in healthcare, criminal justice, financial markets, and information infrastructure domains where AI errors can cause irreversible harm at speed and at scale unprecedented in human history. The question is no longer whether AI will be involved in these decisions, but under what conditions, with what oversight, and accountable to whom. This review provides the conceptual tools to begin answering those questions.</w:t>
      </w:r>
    </w:p>
    <w:p w14:paraId="74211A1A" w14:textId="77777777" w:rsidR="00A60C18" w:rsidRDefault="00A60C18" w:rsidP="00BA1FD8"/>
    <w:p w14:paraId="0B78CBB8" w14:textId="7628CC08" w:rsidR="006F243D" w:rsidRPr="00E4074A" w:rsidRDefault="00E76CA6" w:rsidP="00EF2A34">
      <w:pPr>
        <w:pStyle w:val="Heading1"/>
      </w:pPr>
      <w:bookmarkStart w:id="46" w:name="_Toc225135079"/>
      <w:r w:rsidRPr="00EF2A34">
        <w:t>REFERENCES</w:t>
      </w:r>
      <w:bookmarkEnd w:id="46"/>
    </w:p>
    <w:p w14:paraId="656791E1" w14:textId="77777777" w:rsidR="000F58E2" w:rsidRDefault="00C87932" w:rsidP="00506C69">
      <w:pPr>
        <w:pStyle w:val="References"/>
      </w:pPr>
      <w:r>
        <w:fldChar w:fldCharType="begin"/>
      </w:r>
      <w:r>
        <w:instrText xml:space="preserve"> ADDIN ZOTERO_BIBL {"uncited":[],"omitted":[],"custom":[]} CSL_BIBLIOGRAPHY </w:instrText>
      </w:r>
      <w:r>
        <w:fldChar w:fldCharType="separate"/>
      </w:r>
      <w:r w:rsidR="000F58E2">
        <w:t xml:space="preserve">Adedokun, S. A., Adeyemo, I. A., Adedokun, D. A., Ogunkan, S. K., &amp; Ogunniyi, O. K. (2026). Artificial Intelligence and the Essence of Humanity: Strategic Frameworks for Utilizing Technology and Preserving Values in an Automated Era. </w:t>
      </w:r>
      <w:r w:rsidR="000F58E2">
        <w:rPr>
          <w:i/>
          <w:iCs/>
        </w:rPr>
        <w:t>Journal of Science Innovation and Technology Research</w:t>
      </w:r>
      <w:r w:rsidR="000F58E2">
        <w:t xml:space="preserve">, </w:t>
      </w:r>
      <w:r w:rsidR="000F58E2">
        <w:rPr>
          <w:i/>
          <w:iCs/>
        </w:rPr>
        <w:t>10</w:t>
      </w:r>
      <w:r w:rsidR="000F58E2">
        <w:t>(9), 196–213. https://doi.org/10.70382/ajsitr.v10i9.069</w:t>
      </w:r>
    </w:p>
    <w:p w14:paraId="5154561B" w14:textId="77777777" w:rsidR="000F58E2" w:rsidRDefault="000F58E2" w:rsidP="00506C69">
      <w:pPr>
        <w:pStyle w:val="References"/>
      </w:pPr>
      <w:r>
        <w:t xml:space="preserve">Agwunobi, Z. (2026). A Legal Technology and Digital Trust Infrastructure Framework for Bridging Digital Trust Between Artificial Intelligence and Human Intelligence. </w:t>
      </w:r>
      <w:r>
        <w:rPr>
          <w:i/>
          <w:iCs/>
        </w:rPr>
        <w:t>International Journal of Scientific Research in Science, Engineering and Technology</w:t>
      </w:r>
      <w:r>
        <w:t xml:space="preserve">, </w:t>
      </w:r>
      <w:r>
        <w:rPr>
          <w:i/>
          <w:iCs/>
        </w:rPr>
        <w:t>13</w:t>
      </w:r>
      <w:r>
        <w:t>(2), 55–79. https://doi.org/10.32628/IJSRSET261358</w:t>
      </w:r>
    </w:p>
    <w:p w14:paraId="2B781CD5" w14:textId="77777777" w:rsidR="000F58E2" w:rsidRDefault="000F58E2" w:rsidP="00506C69">
      <w:pPr>
        <w:pStyle w:val="References"/>
      </w:pPr>
      <w:r>
        <w:t xml:space="preserve">Alfredo, R., Echeverria, V., Jin, Y., Yan, L., Swiecki, Z., Gašević, D., &amp; Martinez-Maldonado, R. (2024). Human-centred learning analytics and AI in education: A systematic literature review. </w:t>
      </w:r>
      <w:r>
        <w:rPr>
          <w:i/>
          <w:iCs/>
        </w:rPr>
        <w:t>Computers and Education: Artificial Intelligence</w:t>
      </w:r>
      <w:r>
        <w:t xml:space="preserve">, </w:t>
      </w:r>
      <w:r>
        <w:rPr>
          <w:i/>
          <w:iCs/>
        </w:rPr>
        <w:t>6</w:t>
      </w:r>
      <w:r>
        <w:t>, 100215. https://doi.org/10.1016/j.caeai.2024.100215</w:t>
      </w:r>
    </w:p>
    <w:p w14:paraId="39F6D4BF" w14:textId="77777777" w:rsidR="000F58E2" w:rsidRDefault="000F58E2" w:rsidP="00506C69">
      <w:pPr>
        <w:pStyle w:val="References"/>
      </w:pPr>
      <w:r>
        <w:t xml:space="preserve">Amodei, D., &amp; Hernandez, D. (2022). AI and compute: Revisiting the exponential. </w:t>
      </w:r>
      <w:r>
        <w:rPr>
          <w:i/>
          <w:iCs/>
        </w:rPr>
        <w:t>Anthropic Technical Report</w:t>
      </w:r>
      <w:r>
        <w:t>.</w:t>
      </w:r>
    </w:p>
    <w:p w14:paraId="4D4C7429" w14:textId="77777777" w:rsidR="000F58E2" w:rsidRDefault="000F58E2" w:rsidP="00506C69">
      <w:pPr>
        <w:pStyle w:val="References"/>
      </w:pPr>
      <w:r>
        <w:t xml:space="preserve">Amodei, D., Olah, C., Steinhardt, J., Christiano, P., Schulman, J., &amp; Mané, D. (2016). </w:t>
      </w:r>
      <w:r>
        <w:rPr>
          <w:i/>
          <w:iCs/>
        </w:rPr>
        <w:t>Concrete Problems in AI Safety</w:t>
      </w:r>
      <w:r>
        <w:t xml:space="preserve"> (arXiv:1606.06565). arXiv. https://doi.org/10.48550/arXiv.1606.06565</w:t>
      </w:r>
    </w:p>
    <w:p w14:paraId="09111B65" w14:textId="77777777" w:rsidR="000F58E2" w:rsidRDefault="000F58E2" w:rsidP="00506C69">
      <w:pPr>
        <w:pStyle w:val="References"/>
      </w:pPr>
      <w:r>
        <w:t xml:space="preserve">Arrieta, A. B., Díaz-Rodríguez, N., Del Ser, J., Bennetot, A., Tabik, S., Barbado, A., Garcia, S., Gil-Lopez, S., Molina, D., Benjamins, R., Chatila, R., &amp; Herrera, F. (2020). Explainable Artificial Intelligence (XAI): Concepts, taxonomies, opportunities and challenges toward responsible AI. </w:t>
      </w:r>
      <w:r>
        <w:rPr>
          <w:i/>
          <w:iCs/>
        </w:rPr>
        <w:t>Information Fusion</w:t>
      </w:r>
      <w:r>
        <w:t xml:space="preserve">, </w:t>
      </w:r>
      <w:r>
        <w:rPr>
          <w:i/>
          <w:iCs/>
        </w:rPr>
        <w:t>58</w:t>
      </w:r>
      <w:r>
        <w:t>, 82–115. https://doi.org/10.1016/j.inffus.2019.12.012</w:t>
      </w:r>
    </w:p>
    <w:p w14:paraId="7054A4A4" w14:textId="77777777" w:rsidR="000F58E2" w:rsidRDefault="000F58E2" w:rsidP="00506C69">
      <w:pPr>
        <w:pStyle w:val="References"/>
      </w:pPr>
      <w:r>
        <w:t xml:space="preserve">Bai, Y., Kadavath, S., Kundu, S., Askell, A., Kernion, J., Jones, A., Chen, A., Goldie, A., Mirhoseini, A., McKinnon, C., Chen, C., Olsson, C., Olah, C., Hernandez, D., Drain, D., Ganguli, D., Li, D., Tran-Johnson, E., Perez, E., … Kaplan, J. (2022). </w:t>
      </w:r>
      <w:r>
        <w:rPr>
          <w:i/>
          <w:iCs/>
        </w:rPr>
        <w:t>Constitutional AI: Harmlessness from AI Feedback</w:t>
      </w:r>
      <w:r>
        <w:t xml:space="preserve"> (Version 1). arXiv. https://doi.org/10.48550/ARXIV.2212.08073</w:t>
      </w:r>
    </w:p>
    <w:p w14:paraId="7A3D1532" w14:textId="77777777" w:rsidR="000F58E2" w:rsidRDefault="000F58E2" w:rsidP="00506C69">
      <w:pPr>
        <w:pStyle w:val="References"/>
      </w:pPr>
      <w:r>
        <w:t xml:space="preserve">Bansal, G., Wu, T., Zhou, J., Fok, R., Nushi, B., Kamar, E., Ribeiro, M. T., &amp; Weld, D. (2021). Does the Whole Exceed its Parts? The Effect of AI Explanations on Complementary Team Performance. </w:t>
      </w:r>
      <w:r>
        <w:rPr>
          <w:i/>
          <w:iCs/>
        </w:rPr>
        <w:t>Proceedings of the 2021 CHI Conference on Human Factors in Computing Systems</w:t>
      </w:r>
      <w:r>
        <w:t>, 1–16. https://doi.org/10.1145/3411764.3445717</w:t>
      </w:r>
    </w:p>
    <w:p w14:paraId="1463157B" w14:textId="77777777" w:rsidR="000F58E2" w:rsidRDefault="000F58E2" w:rsidP="00506C69">
      <w:pPr>
        <w:pStyle w:val="References"/>
      </w:pPr>
      <w:r>
        <w:lastRenderedPageBreak/>
        <w:t xml:space="preserve">Bommasani, R., Hudson, D. A., Adeli, E., Altman, R., Arora, S., Arx, S. von, Bernstein, M. S., Bohg, J., Bosselut, A., Brunskill, E., Brynjolfsson, E., Buch, S., Card, D., Castellon, R., Chatterji, N., Chen, A., Creel, K., Davis, J. Q., Demszky, D., … Liang, P. (2022). </w:t>
      </w:r>
      <w:r>
        <w:rPr>
          <w:i/>
          <w:iCs/>
        </w:rPr>
        <w:t>On the Opportunities and Risks of Foundation Models</w:t>
      </w:r>
      <w:r>
        <w:t xml:space="preserve"> (arXiv:2108.07258). arXiv. https://doi.org/10.48550/arXiv.2108.07258</w:t>
      </w:r>
    </w:p>
    <w:p w14:paraId="383BBBF8" w14:textId="77777777" w:rsidR="000F58E2" w:rsidRDefault="000F58E2" w:rsidP="00506C69">
      <w:pPr>
        <w:pStyle w:val="References"/>
      </w:pPr>
      <w:r>
        <w:t xml:space="preserve">Cabitza, F., Campagner, A., Ferrari, D., &amp; Ciucci, D. (2021). The need to rehumanize clinical AI. </w:t>
      </w:r>
      <w:r>
        <w:rPr>
          <w:i/>
          <w:iCs/>
        </w:rPr>
        <w:t>Artificial Intelligence in Medicine</w:t>
      </w:r>
      <w:r>
        <w:t xml:space="preserve">, </w:t>
      </w:r>
      <w:r>
        <w:rPr>
          <w:i/>
          <w:iCs/>
        </w:rPr>
        <w:t>118</w:t>
      </w:r>
      <w:r>
        <w:t>, 102121. https://doi.org/10.1016/j.artmed.2021.102121</w:t>
      </w:r>
    </w:p>
    <w:p w14:paraId="66A6D9FB" w14:textId="77777777" w:rsidR="000F58E2" w:rsidRDefault="000F58E2" w:rsidP="00506C69">
      <w:pPr>
        <w:pStyle w:val="References"/>
      </w:pPr>
      <w:r>
        <w:t xml:space="preserve">Cabrera, Á. A., Perer, A., &amp; Hong, J. I. (2023). Improving Human-AI Collaboration With Descriptions of AI Behavior. </w:t>
      </w:r>
      <w:r>
        <w:rPr>
          <w:i/>
          <w:iCs/>
        </w:rPr>
        <w:t>Proceedings of the ACM on Human-Computer Interaction</w:t>
      </w:r>
      <w:r>
        <w:t xml:space="preserve">, </w:t>
      </w:r>
      <w:r>
        <w:rPr>
          <w:i/>
          <w:iCs/>
        </w:rPr>
        <w:t>7</w:t>
      </w:r>
      <w:r>
        <w:t>(CSCW1), 1–21. https://doi.org/10.1145/3579612</w:t>
      </w:r>
    </w:p>
    <w:p w14:paraId="2A055790" w14:textId="77777777" w:rsidR="000F58E2" w:rsidRDefault="000F58E2" w:rsidP="00506C69">
      <w:pPr>
        <w:pStyle w:val="References"/>
      </w:pPr>
      <w:r>
        <w:t xml:space="preserve">Cai, C. J., Winter, S., Steiner, D., Wilcox, L., &amp; Terry, M. (2021). Onboarding Materials as Cross-functional Boundary Objects for Developing AI Assistant. </w:t>
      </w:r>
      <w:r>
        <w:rPr>
          <w:i/>
          <w:iCs/>
        </w:rPr>
        <w:t>ACM Computing Surveys</w:t>
      </w:r>
      <w:r>
        <w:t>, (CHI 2021 Japan), 1–11. https://doi.org/10.1145/1122445.1122456</w:t>
      </w:r>
    </w:p>
    <w:p w14:paraId="29FCFFF0" w14:textId="77777777" w:rsidR="000F58E2" w:rsidRDefault="000F58E2" w:rsidP="00506C69">
      <w:pPr>
        <w:pStyle w:val="References"/>
      </w:pPr>
      <w:r>
        <w:t xml:space="preserve">Choudhury, S. (2023). Speeding up to fall behind: A critical review of human-machine teaming. </w:t>
      </w:r>
      <w:r>
        <w:rPr>
          <w:i/>
          <w:iCs/>
        </w:rPr>
        <w:t>Frontiers in Neuroergonomics</w:t>
      </w:r>
      <w:r>
        <w:t xml:space="preserve">, </w:t>
      </w:r>
      <w:r>
        <w:rPr>
          <w:i/>
          <w:iCs/>
        </w:rPr>
        <w:t>4</w:t>
      </w:r>
      <w:r>
        <w:t>, 1093982. https://doi.org/10.3389/fnrgo.2023.1093982</w:t>
      </w:r>
    </w:p>
    <w:p w14:paraId="69F35EBF" w14:textId="77777777" w:rsidR="000F58E2" w:rsidRDefault="000F58E2" w:rsidP="00506C69">
      <w:pPr>
        <w:pStyle w:val="References"/>
      </w:pPr>
      <w:r>
        <w:t xml:space="preserve">Daigle, K. &amp; GitHub Staff. (2023, November 8). Octoverse: The state of open source and rise of AI in 2023. </w:t>
      </w:r>
      <w:r>
        <w:rPr>
          <w:i/>
          <w:iCs/>
        </w:rPr>
        <w:t>The GitHub</w:t>
      </w:r>
      <w:r>
        <w:t>. https://github.blog/news-insights/research/the-state-of-open-source-and-ai/</w:t>
      </w:r>
    </w:p>
    <w:p w14:paraId="3886A6F2" w14:textId="77777777" w:rsidR="000F58E2" w:rsidRDefault="000F58E2" w:rsidP="00506C69">
      <w:pPr>
        <w:pStyle w:val="References"/>
      </w:pPr>
      <w:r>
        <w:t xml:space="preserve">Dietvorst, B. J., &amp; Bartels, D. M. (2022). Consumers Object to Algorithms Making Morally Relevant Tradeoffs Because of Algorithms’ Consequentialist Decision Strategies. </w:t>
      </w:r>
      <w:r>
        <w:rPr>
          <w:i/>
          <w:iCs/>
        </w:rPr>
        <w:t>Journal of Consumer Psychology</w:t>
      </w:r>
      <w:r>
        <w:t xml:space="preserve">, </w:t>
      </w:r>
      <w:r>
        <w:rPr>
          <w:i/>
          <w:iCs/>
        </w:rPr>
        <w:t>32</w:t>
      </w:r>
      <w:r>
        <w:t>(3), 406–424. https://doi.org/10.1002/jcpy.1266</w:t>
      </w:r>
    </w:p>
    <w:p w14:paraId="20BF586C" w14:textId="77777777" w:rsidR="000F58E2" w:rsidRDefault="000F58E2" w:rsidP="00506C69">
      <w:pPr>
        <w:pStyle w:val="References"/>
      </w:pPr>
      <w:r>
        <w:t xml:space="preserve">Dietvorst, B. J., &amp; Bharti, S. (2020). People Reject Algorithms in Uncertain Decision Domains Because They Have Diminishing Sensitivity to Forecasting Error. </w:t>
      </w:r>
      <w:r>
        <w:rPr>
          <w:i/>
          <w:iCs/>
        </w:rPr>
        <w:t>Psychological Science</w:t>
      </w:r>
      <w:r>
        <w:t xml:space="preserve">, </w:t>
      </w:r>
      <w:r>
        <w:rPr>
          <w:i/>
          <w:iCs/>
        </w:rPr>
        <w:t>31</w:t>
      </w:r>
      <w:r>
        <w:t>(10), 1302–1314. https://doi.org/10.1177/0956797620948841</w:t>
      </w:r>
    </w:p>
    <w:p w14:paraId="67AFFE26" w14:textId="77777777" w:rsidR="000F58E2" w:rsidRDefault="000F58E2" w:rsidP="00506C69">
      <w:pPr>
        <w:pStyle w:val="References"/>
      </w:pPr>
      <w:r>
        <w:t xml:space="preserve">Dietvorst, B. J., Simmons, J. P., &amp; Massey, C. (2015). Algorithm aversion: People erroneously avoid algorithms after seeing them err. </w:t>
      </w:r>
      <w:r>
        <w:rPr>
          <w:i/>
          <w:iCs/>
        </w:rPr>
        <w:t>Journal of Experimental Psychology: General</w:t>
      </w:r>
      <w:r>
        <w:t xml:space="preserve">, </w:t>
      </w:r>
      <w:r>
        <w:rPr>
          <w:i/>
          <w:iCs/>
        </w:rPr>
        <w:t>144</w:t>
      </w:r>
      <w:r>
        <w:t>(1), 114–126. https://doi.org/10.1037/xge0000033</w:t>
      </w:r>
    </w:p>
    <w:p w14:paraId="65B5EC9E" w14:textId="77777777" w:rsidR="000F58E2" w:rsidRDefault="000F58E2" w:rsidP="00506C69">
      <w:pPr>
        <w:pStyle w:val="References"/>
      </w:pPr>
      <w:r>
        <w:t xml:space="preserve">Dressel, J., &amp; Farid, H. (2018). The accuracy, fairness, and limits of predicting recidivism. </w:t>
      </w:r>
      <w:r>
        <w:rPr>
          <w:i/>
          <w:iCs/>
        </w:rPr>
        <w:t>Science Advances</w:t>
      </w:r>
      <w:r>
        <w:t xml:space="preserve">, </w:t>
      </w:r>
      <w:r>
        <w:rPr>
          <w:i/>
          <w:iCs/>
        </w:rPr>
        <w:t>4</w:t>
      </w:r>
      <w:r>
        <w:t>(1), eaao5580. https://doi.org/10.1126/sciadv.aao5580</w:t>
      </w:r>
    </w:p>
    <w:p w14:paraId="0F434A0F" w14:textId="77777777" w:rsidR="000F58E2" w:rsidRDefault="000F58E2" w:rsidP="00506C69">
      <w:pPr>
        <w:pStyle w:val="References"/>
      </w:pPr>
      <w:r>
        <w:t xml:space="preserve">Ehsan, U., Liao, Q. V., Muller, M., Riedl, M. O., &amp; Weisz, J. D. (2021). Expanding Explainability: Towards Social Transparency in AI systems. </w:t>
      </w:r>
      <w:r>
        <w:rPr>
          <w:i/>
          <w:iCs/>
        </w:rPr>
        <w:t>Proceedings of the 2021 CHI Conference on Human Factors in Computing Systems</w:t>
      </w:r>
      <w:r>
        <w:t>, 1–19. https://doi.org/10.1145/3411764.3445188</w:t>
      </w:r>
    </w:p>
    <w:p w14:paraId="237CE111" w14:textId="77777777" w:rsidR="000F58E2" w:rsidRDefault="000F58E2" w:rsidP="00506C69">
      <w:pPr>
        <w:pStyle w:val="References"/>
      </w:pPr>
      <w:r>
        <w:t xml:space="preserve">Endsley, M. R. (2023). Situation awareness in future autonomous systems. </w:t>
      </w:r>
      <w:r>
        <w:rPr>
          <w:i/>
          <w:iCs/>
        </w:rPr>
        <w:t>Human Factors</w:t>
      </w:r>
      <w:r>
        <w:t xml:space="preserve">, </w:t>
      </w:r>
      <w:r>
        <w:rPr>
          <w:i/>
          <w:iCs/>
        </w:rPr>
        <w:t>65</w:t>
      </w:r>
      <w:r>
        <w:t>(1), 99–111. https://doi.org/10.1177/00187208211059252</w:t>
      </w:r>
    </w:p>
    <w:p w14:paraId="08D304D3" w14:textId="77777777" w:rsidR="000F58E2" w:rsidRDefault="000F58E2" w:rsidP="00506C69">
      <w:pPr>
        <w:pStyle w:val="References"/>
      </w:pPr>
      <w:r>
        <w:t xml:space="preserve">European Union. (2024). </w:t>
      </w:r>
      <w:r>
        <w:rPr>
          <w:i/>
          <w:iCs/>
        </w:rPr>
        <w:t>The AI Act Explorer: EU Artificial Intelligence Act</w:t>
      </w:r>
      <w:r>
        <w:t>. Future of Life Institute. https://artificialintelligenceact.eu/ai-act-explorer/</w:t>
      </w:r>
    </w:p>
    <w:p w14:paraId="226CB63F" w14:textId="77777777" w:rsidR="000F58E2" w:rsidRDefault="000F58E2" w:rsidP="00506C69">
      <w:pPr>
        <w:pStyle w:val="References"/>
      </w:pPr>
      <w:r>
        <w:t xml:space="preserve">Fogliato, R., Chappidi, S., Lungren, M., Fisher, P., Wilson, D., Fitzke, M., Parkinson, M., Horvitz, E., Inkpen, K., &amp; Nushi, B. (2022). Who Goes First? Influences of Human-AI Workflow on Decision Making in Clinical Imaging. </w:t>
      </w:r>
      <w:r>
        <w:rPr>
          <w:i/>
          <w:iCs/>
        </w:rPr>
        <w:t>2022 ACM Conference on Fairness Accountability and Transparency</w:t>
      </w:r>
      <w:r>
        <w:t>, 1362–1374. https://doi.org/10.1145/3531146.3533193</w:t>
      </w:r>
    </w:p>
    <w:p w14:paraId="3F984D14" w14:textId="77777777" w:rsidR="000F58E2" w:rsidRDefault="000F58E2" w:rsidP="00506C69">
      <w:pPr>
        <w:pStyle w:val="References"/>
      </w:pPr>
      <w:r>
        <w:t xml:space="preserve">Gal, Y., &amp; Ghahramani, Z. (2016). </w:t>
      </w:r>
      <w:r>
        <w:rPr>
          <w:i/>
          <w:iCs/>
        </w:rPr>
        <w:t>Dropout as a Bayesian Approximation: Representing Model Uncertainty in Deep Learning</w:t>
      </w:r>
      <w:r>
        <w:t xml:space="preserve"> (Version 6). arXiv. https://doi.org/10.48550/ARXIV.1506.02142</w:t>
      </w:r>
    </w:p>
    <w:p w14:paraId="50D1C8F6" w14:textId="77777777" w:rsidR="000F58E2" w:rsidRDefault="000F58E2" w:rsidP="00506C69">
      <w:pPr>
        <w:pStyle w:val="References"/>
      </w:pPr>
      <w:r>
        <w:t xml:space="preserve">Gomes, D. (2024). A Comprehensive Study of Advancements in Intelligent Tutoring Systems Through Artificial Intelligent Education Platforms: In F. T. Moreira &amp; R. O. Teles (Eds.), </w:t>
      </w:r>
      <w:r>
        <w:rPr>
          <w:i/>
          <w:iCs/>
        </w:rPr>
        <w:t>Advances in Educational Technologies and Instructional Design</w:t>
      </w:r>
      <w:r>
        <w:t xml:space="preserve"> (pp. 213–244). IGI Global. https://doi.org/10.4018/979-8-3693-6170-2.ch008</w:t>
      </w:r>
    </w:p>
    <w:p w14:paraId="1B177743" w14:textId="77777777" w:rsidR="000F58E2" w:rsidRDefault="000F58E2" w:rsidP="00506C69">
      <w:pPr>
        <w:pStyle w:val="References"/>
      </w:pPr>
      <w:r>
        <w:t xml:space="preserve">Hadfield-Menell, D., &amp; Hadfield, G. K. (2019). Incomplete Contracting and AI Alignment. </w:t>
      </w:r>
      <w:r>
        <w:rPr>
          <w:i/>
          <w:iCs/>
        </w:rPr>
        <w:t>Proceedings of the 2019 AAAI/ACM Conference on AI, Ethics, and Society</w:t>
      </w:r>
      <w:r>
        <w:t>, 417–422. https://doi.org/10.1145/3306618.3314250</w:t>
      </w:r>
    </w:p>
    <w:p w14:paraId="6E46FC69" w14:textId="77777777" w:rsidR="000F58E2" w:rsidRDefault="000F58E2" w:rsidP="00506C69">
      <w:pPr>
        <w:pStyle w:val="References"/>
      </w:pPr>
      <w:r>
        <w:t xml:space="preserve">Hemmer, P., Schemmer, M., Vössing, M., &amp; Kühl, N. (2021). Human-AI Complementarity in Hybrid Intelligence Systems: A Structured Literature Review. </w:t>
      </w:r>
      <w:r>
        <w:rPr>
          <w:i/>
          <w:iCs/>
        </w:rPr>
        <w:t>PACIS 2021 Proceedings</w:t>
      </w:r>
      <w:r>
        <w:t xml:space="preserve">, </w:t>
      </w:r>
      <w:r>
        <w:rPr>
          <w:i/>
          <w:iCs/>
        </w:rPr>
        <w:t>78</w:t>
      </w:r>
      <w:r>
        <w:t>. https://aisel.aisnet.org/pacis2021/78</w:t>
      </w:r>
    </w:p>
    <w:p w14:paraId="344E3564" w14:textId="77777777" w:rsidR="000F58E2" w:rsidRDefault="000F58E2" w:rsidP="00506C69">
      <w:pPr>
        <w:pStyle w:val="References"/>
      </w:pPr>
      <w:r>
        <w:t xml:space="preserve">Jansen, D. (2021). The International Spillovers of the 2010 U.S. Flash Crash. </w:t>
      </w:r>
      <w:r>
        <w:rPr>
          <w:i/>
          <w:iCs/>
        </w:rPr>
        <w:t>Journal of Money, Credit and Banking</w:t>
      </w:r>
      <w:r>
        <w:t xml:space="preserve">, </w:t>
      </w:r>
      <w:r>
        <w:rPr>
          <w:i/>
          <w:iCs/>
        </w:rPr>
        <w:t>53</w:t>
      </w:r>
      <w:r>
        <w:t>(6), 1573–1586. https://doi.org/10.1111/jmcb.12790</w:t>
      </w:r>
    </w:p>
    <w:p w14:paraId="376310E0" w14:textId="77777777" w:rsidR="000F58E2" w:rsidRDefault="000F58E2" w:rsidP="00506C69">
      <w:pPr>
        <w:pStyle w:val="References"/>
      </w:pPr>
      <w:r>
        <w:t xml:space="preserve">Jerry, B., Moreno, L., &amp; Martínez, P. (2026). </w:t>
      </w:r>
      <w:r>
        <w:rPr>
          <w:i/>
          <w:iCs/>
        </w:rPr>
        <w:t>Human Oversight-by-Design for Accessible Generative IUIs</w:t>
      </w:r>
      <w:r>
        <w:t>. https://doi.org/10.48550/ARXIV.2602.13745</w:t>
      </w:r>
    </w:p>
    <w:p w14:paraId="6E8B2927" w14:textId="77777777" w:rsidR="000F58E2" w:rsidRDefault="000F58E2" w:rsidP="00506C69">
      <w:pPr>
        <w:pStyle w:val="References"/>
      </w:pPr>
      <w:r>
        <w:t xml:space="preserve">Karinshak, E., Liu, S. X., Park, J. S., &amp; Hancock, J. T. (2023). Working With AI to Persuade: Examining a Large Language Model’s Ability to Generate Pro-Vaccination Messages. </w:t>
      </w:r>
      <w:r>
        <w:rPr>
          <w:i/>
          <w:iCs/>
        </w:rPr>
        <w:t>Proceedings of the ACM on Human-Computer Interaction</w:t>
      </w:r>
      <w:r>
        <w:t xml:space="preserve">, </w:t>
      </w:r>
      <w:r>
        <w:rPr>
          <w:i/>
          <w:iCs/>
        </w:rPr>
        <w:t>7</w:t>
      </w:r>
      <w:r>
        <w:t>(CSCW1), 1–29. https://doi.org/10.1145/3579592</w:t>
      </w:r>
    </w:p>
    <w:p w14:paraId="6BB6BDD1" w14:textId="77777777" w:rsidR="000F58E2" w:rsidRDefault="000F58E2" w:rsidP="00506C69">
      <w:pPr>
        <w:pStyle w:val="References"/>
      </w:pPr>
      <w:r>
        <w:lastRenderedPageBreak/>
        <w:t xml:space="preserve">Kazim, T., &amp; Tomlinson, J. (2023). Automation Bias and the Principles of Judicial Review. </w:t>
      </w:r>
      <w:r>
        <w:rPr>
          <w:i/>
          <w:iCs/>
        </w:rPr>
        <w:t>Judicial Review</w:t>
      </w:r>
      <w:r>
        <w:t xml:space="preserve">, </w:t>
      </w:r>
      <w:r>
        <w:rPr>
          <w:i/>
          <w:iCs/>
        </w:rPr>
        <w:t>28</w:t>
      </w:r>
      <w:r>
        <w:t>(1), 9–16. https://doi.org/10.1080/10854681.2023.2189405</w:t>
      </w:r>
    </w:p>
    <w:p w14:paraId="5C9CF67B" w14:textId="77777777" w:rsidR="000F58E2" w:rsidRDefault="000F58E2" w:rsidP="00506C69">
      <w:pPr>
        <w:pStyle w:val="References"/>
      </w:pPr>
      <w:r>
        <w:t xml:space="preserve">Lai, V., Chen, C., Liao, Q. V., Smith-Renner, A., &amp; Tan, C. (2021). </w:t>
      </w:r>
      <w:r>
        <w:rPr>
          <w:i/>
          <w:iCs/>
        </w:rPr>
        <w:t>Towards a Science of Human-AI Decision Making: A Survey of Empirical Studies</w:t>
      </w:r>
      <w:r>
        <w:t xml:space="preserve"> (arXiv:2112.11471). arXiv. https://doi.org/10.48550/arXiv.2112.11471</w:t>
      </w:r>
    </w:p>
    <w:p w14:paraId="0CA8BAC2" w14:textId="77777777" w:rsidR="000F58E2" w:rsidRDefault="000F58E2" w:rsidP="00506C69">
      <w:pPr>
        <w:pStyle w:val="References"/>
      </w:pPr>
      <w:r>
        <w:t xml:space="preserve">Lee, J. D., &amp; See, K. A. (2004). Trust in Automation: Designing for Appropriate Reliance. </w:t>
      </w:r>
      <w:r>
        <w:rPr>
          <w:i/>
          <w:iCs/>
        </w:rPr>
        <w:t>Human Factors: The Journal of the Human Factors and Ergonomics Society</w:t>
      </w:r>
      <w:r>
        <w:t xml:space="preserve">, </w:t>
      </w:r>
      <w:r>
        <w:rPr>
          <w:i/>
          <w:iCs/>
        </w:rPr>
        <w:t>46</w:t>
      </w:r>
      <w:r>
        <w:t>(1), 50–80. https://doi.org/10.1518/hfes.46.1.50.30392</w:t>
      </w:r>
    </w:p>
    <w:p w14:paraId="4011516F" w14:textId="77777777" w:rsidR="000F58E2" w:rsidRDefault="000F58E2" w:rsidP="00506C69">
      <w:pPr>
        <w:pStyle w:val="References"/>
      </w:pPr>
      <w:r>
        <w:t xml:space="preserve">Li, Q., &amp; McAdams, D. (2025). Interactive machine learning framework enabling affordable and accurate prototyping for supporting decision-making. </w:t>
      </w:r>
      <w:r>
        <w:rPr>
          <w:i/>
          <w:iCs/>
        </w:rPr>
        <w:t>Proceedings of the Design Society</w:t>
      </w:r>
      <w:r>
        <w:t xml:space="preserve">, </w:t>
      </w:r>
      <w:r>
        <w:rPr>
          <w:i/>
          <w:iCs/>
        </w:rPr>
        <w:t>5</w:t>
      </w:r>
      <w:r>
        <w:t>, 2131–2140. https://doi.org/10.1017/pds.2025.10227</w:t>
      </w:r>
    </w:p>
    <w:p w14:paraId="736DE890" w14:textId="77777777" w:rsidR="000F58E2" w:rsidRDefault="000F58E2" w:rsidP="00506C69">
      <w:pPr>
        <w:pStyle w:val="References"/>
      </w:pPr>
      <w:r>
        <w:t xml:space="preserve">Logg, J. M., &amp; Minson, J. A. (2022). Algorithm appreciation and aversion: Why people should use AI more and how to help them do it. </w:t>
      </w:r>
      <w:r>
        <w:rPr>
          <w:i/>
          <w:iCs/>
        </w:rPr>
        <w:t>Current Directions in Psychological Science</w:t>
      </w:r>
      <w:r>
        <w:t xml:space="preserve">, </w:t>
      </w:r>
      <w:r>
        <w:rPr>
          <w:i/>
          <w:iCs/>
        </w:rPr>
        <w:t>31</w:t>
      </w:r>
      <w:r>
        <w:t>(6), 518–524. https://doi.org/10.1177/09637214221117483</w:t>
      </w:r>
    </w:p>
    <w:p w14:paraId="5A7FC2F7" w14:textId="77777777" w:rsidR="000F58E2" w:rsidRDefault="000F58E2" w:rsidP="00506C69">
      <w:pPr>
        <w:pStyle w:val="References"/>
      </w:pPr>
      <w:r>
        <w:t xml:space="preserve">Logg, J. M., Minson, J. A., &amp; Moore, D. A. (2019). Algorithm appreciation: People prefer algorithmic to human judgment. </w:t>
      </w:r>
      <w:r>
        <w:rPr>
          <w:i/>
          <w:iCs/>
        </w:rPr>
        <w:t>Organizational Behavior and Human Decision Processes</w:t>
      </w:r>
      <w:r>
        <w:t xml:space="preserve">, </w:t>
      </w:r>
      <w:r>
        <w:rPr>
          <w:i/>
          <w:iCs/>
        </w:rPr>
        <w:t>151</w:t>
      </w:r>
      <w:r>
        <w:t>, 90–103. https://doi.org/10.1016/j.obhdp.2018.12.005</w:t>
      </w:r>
    </w:p>
    <w:p w14:paraId="726751DF" w14:textId="77777777" w:rsidR="000F58E2" w:rsidRDefault="000F58E2" w:rsidP="00506C69">
      <w:pPr>
        <w:pStyle w:val="References"/>
      </w:pPr>
      <w:r>
        <w:t xml:space="preserve">Madaio, M. A., Stark, L., Wortman Vaughan, J., &amp; Wallach, H. (2020). Co-Designing Checklists to Understand Organizational Challenges and Opportunities around Fairness in AI. </w:t>
      </w:r>
      <w:r>
        <w:rPr>
          <w:i/>
          <w:iCs/>
        </w:rPr>
        <w:t>Proceedings of the 2020 CHI Conference on Human Factors in Computing Systems</w:t>
      </w:r>
      <w:r>
        <w:t>, 1–14. https://doi.org/10.1145/3313831.3376445</w:t>
      </w:r>
    </w:p>
    <w:p w14:paraId="00BCD78B" w14:textId="77777777" w:rsidR="000F58E2" w:rsidRDefault="000F58E2" w:rsidP="00506C69">
      <w:pPr>
        <w:pStyle w:val="References"/>
      </w:pPr>
      <w:r>
        <w:t xml:space="preserve">Mosier, K. L., Skitka, L. J., Heers, S., &amp; Burdick, M. (1998). Automation Bias: Decision Making and Performance in High-Tech Cockpits. </w:t>
      </w:r>
      <w:r>
        <w:rPr>
          <w:i/>
          <w:iCs/>
        </w:rPr>
        <w:t>The International Journal of Aviation Psychology</w:t>
      </w:r>
      <w:r>
        <w:t xml:space="preserve">, </w:t>
      </w:r>
      <w:r>
        <w:rPr>
          <w:i/>
          <w:iCs/>
        </w:rPr>
        <w:t>8</w:t>
      </w:r>
      <w:r>
        <w:t>(1), 47–63. https://doi.org/10.1207/s15327108ijap0801_3</w:t>
      </w:r>
    </w:p>
    <w:p w14:paraId="67A5A8F7" w14:textId="77777777" w:rsidR="000F58E2" w:rsidRDefault="000F58E2" w:rsidP="00506C69">
      <w:pPr>
        <w:pStyle w:val="References"/>
      </w:pPr>
      <w:r>
        <w:t xml:space="preserve">Munro, R. (with Safari, an O’Reilly Media Company). (2021). </w:t>
      </w:r>
      <w:r>
        <w:rPr>
          <w:i/>
          <w:iCs/>
        </w:rPr>
        <w:t>Human-in-the-Loop Machine Learning</w:t>
      </w:r>
      <w:r>
        <w:t xml:space="preserve"> (1st edition). Manning Publications.</w:t>
      </w:r>
    </w:p>
    <w:p w14:paraId="594FF1C8" w14:textId="77777777" w:rsidR="000F58E2" w:rsidRDefault="000F58E2" w:rsidP="00506C69">
      <w:pPr>
        <w:pStyle w:val="References"/>
      </w:pPr>
      <w:r>
        <w:t xml:space="preserve">Ouyang, L., Wu, J., Jiang, X., Almeida, D., Wainwright, C. L., Mishkin, P., Zhang, C., Agarwal, S., Slama, K., Ray, A., Schulman, J., Hilton, J., Kelton, F., Miller, L., Simens, M., Askell, A., Welinder, P., Christiano, P., Leike, J., &amp; Lowe, R. (2022). </w:t>
      </w:r>
      <w:r>
        <w:rPr>
          <w:i/>
          <w:iCs/>
        </w:rPr>
        <w:t>Training language models to follow instructions with human feedback</w:t>
      </w:r>
      <w:r>
        <w:t xml:space="preserve"> (Version 1). arXiv. https://doi.org/10.48550/ARXIV.2203.02155</w:t>
      </w:r>
    </w:p>
    <w:p w14:paraId="6AFB7A18" w14:textId="77777777" w:rsidR="000F58E2" w:rsidRDefault="000F58E2" w:rsidP="00506C69">
      <w:pPr>
        <w:pStyle w:val="References"/>
      </w:pPr>
      <w:r>
        <w:t xml:space="preserve">Page, M. J., McKenzie, J. E., Bossuyt, P. M., Boutron, I., Hoffmann, T. C., Mulrow, C. D., Shamseer, L., Tetzlaff, J. M., Akl, E. A., Brennan, S. E., Chou, R., Glanville, J., Grimshaw, J. M., Hróbjartsson, A., Lalu, M. M., Li, T., Loder, E. W., Mayo-Wilson, E., McDonald, S., … Moher, D. (2021). The PRISMA 2020 statement: An updated guideline for reporting systematic reviews. </w:t>
      </w:r>
      <w:r>
        <w:rPr>
          <w:i/>
          <w:iCs/>
        </w:rPr>
        <w:t>BMJ</w:t>
      </w:r>
      <w:r>
        <w:t>, n71. https://doi.org/10.1136/bmj.n71</w:t>
      </w:r>
    </w:p>
    <w:p w14:paraId="4C87CEE6" w14:textId="77777777" w:rsidR="000F58E2" w:rsidRDefault="000F58E2" w:rsidP="00506C69">
      <w:pPr>
        <w:pStyle w:val="References"/>
      </w:pPr>
      <w:r>
        <w:t xml:space="preserve">Parasuraman, R., &amp; Manzey, D. H. (2010). Complacency and Bias in Human Use of Automation: An Attentional Integration. </w:t>
      </w:r>
      <w:r>
        <w:rPr>
          <w:i/>
          <w:iCs/>
        </w:rPr>
        <w:t>Human Factors: The Journal of the Human Factors and Ergonomics Society</w:t>
      </w:r>
      <w:r>
        <w:t xml:space="preserve">, </w:t>
      </w:r>
      <w:r>
        <w:rPr>
          <w:i/>
          <w:iCs/>
        </w:rPr>
        <w:t>52</w:t>
      </w:r>
      <w:r>
        <w:t>(3), 381–410. https://doi.org/10.1177/0018720810376055</w:t>
      </w:r>
    </w:p>
    <w:p w14:paraId="111921DA" w14:textId="77777777" w:rsidR="000F58E2" w:rsidRDefault="000F58E2" w:rsidP="00506C69">
      <w:pPr>
        <w:pStyle w:val="References"/>
      </w:pPr>
      <w:r>
        <w:t xml:space="preserve">Parasuraman, R., Sheridan, T. B., &amp; Wickens, C. D. (2000). A model for types and levels of human interaction with automation. </w:t>
      </w:r>
      <w:r>
        <w:rPr>
          <w:i/>
          <w:iCs/>
        </w:rPr>
        <w:t>IEEE Transactions on Systems, Man, and Cybernetics - Part A: Systems and Humans</w:t>
      </w:r>
      <w:r>
        <w:t xml:space="preserve">, </w:t>
      </w:r>
      <w:r>
        <w:rPr>
          <w:i/>
          <w:iCs/>
        </w:rPr>
        <w:t>30</w:t>
      </w:r>
      <w:r>
        <w:t>(3), 286–297. https://doi.org/10.1109/3468.844354</w:t>
      </w:r>
    </w:p>
    <w:p w14:paraId="0C3468F0" w14:textId="77777777" w:rsidR="000F58E2" w:rsidRDefault="000F58E2" w:rsidP="00506C69">
      <w:pPr>
        <w:pStyle w:val="References"/>
      </w:pPr>
      <w:r>
        <w:t xml:space="preserve">Rahwan, I. (2021). Society-in-the-loop: Programming the algorithmic social contract. </w:t>
      </w:r>
      <w:r>
        <w:rPr>
          <w:i/>
          <w:iCs/>
        </w:rPr>
        <w:t>Ethics and Information Technology</w:t>
      </w:r>
      <w:r>
        <w:t xml:space="preserve">, </w:t>
      </w:r>
      <w:r>
        <w:rPr>
          <w:i/>
          <w:iCs/>
        </w:rPr>
        <w:t>20</w:t>
      </w:r>
      <w:r>
        <w:t>(1), 5–14. https://doi.org/10.1007/s10676-017-9430-8</w:t>
      </w:r>
    </w:p>
    <w:p w14:paraId="51AA7044" w14:textId="77777777" w:rsidR="000F58E2" w:rsidRDefault="000F58E2" w:rsidP="00506C69">
      <w:pPr>
        <w:pStyle w:val="References"/>
      </w:pPr>
      <w:r>
        <w:t xml:space="preserve">Reich, T., Kaju, A., &amp; Maglio, S. J. (2023). How to overcome algorithm aversion: Learning from mistakes. </w:t>
      </w:r>
      <w:r>
        <w:rPr>
          <w:i/>
          <w:iCs/>
        </w:rPr>
        <w:t>Journal of Consumer Psychology</w:t>
      </w:r>
      <w:r>
        <w:t xml:space="preserve">, </w:t>
      </w:r>
      <w:r>
        <w:rPr>
          <w:i/>
          <w:iCs/>
        </w:rPr>
        <w:t>33</w:t>
      </w:r>
      <w:r>
        <w:t>(2), 285–302. https://doi.org/10.1002/jcpy.1313</w:t>
      </w:r>
    </w:p>
    <w:p w14:paraId="12A1B992" w14:textId="77777777" w:rsidR="000F58E2" w:rsidRDefault="000F58E2" w:rsidP="00506C69">
      <w:pPr>
        <w:pStyle w:val="References"/>
      </w:pPr>
      <w:r>
        <w:t xml:space="preserve">Richardson, L. S., Fidock, J., &amp; Gunawan, I. (2025). Systematic Literature Review of Levels of Automation (Autonomy) Taxonomy: Critiques and Recommendations. </w:t>
      </w:r>
      <w:r>
        <w:rPr>
          <w:i/>
          <w:iCs/>
        </w:rPr>
        <w:t>International Journal of Human–Computer Interaction</w:t>
      </w:r>
      <w:r>
        <w:t xml:space="preserve">, </w:t>
      </w:r>
      <w:r>
        <w:rPr>
          <w:i/>
          <w:iCs/>
        </w:rPr>
        <w:t>41</w:t>
      </w:r>
      <w:r>
        <w:t>(24), 15824–15843. https://doi.org/10.1080/10447318.2025.2502978</w:t>
      </w:r>
    </w:p>
    <w:p w14:paraId="6158D9D9" w14:textId="77777777" w:rsidR="000F58E2" w:rsidRDefault="000F58E2" w:rsidP="00506C69">
      <w:pPr>
        <w:pStyle w:val="References"/>
      </w:pPr>
      <w:r>
        <w:t xml:space="preserve">Romeo, G., &amp; Conti, D. (2026). Exploring automation bias in human–AI collaboration: A review and implications for explainable AI. </w:t>
      </w:r>
      <w:r>
        <w:rPr>
          <w:i/>
          <w:iCs/>
        </w:rPr>
        <w:t>AI &amp; SOCIETY</w:t>
      </w:r>
      <w:r>
        <w:t xml:space="preserve">, </w:t>
      </w:r>
      <w:r>
        <w:rPr>
          <w:i/>
          <w:iCs/>
        </w:rPr>
        <w:t>41</w:t>
      </w:r>
      <w:r>
        <w:t>(1), 259–278. https://doi.org/10.1007/s00146-025-02422-7</w:t>
      </w:r>
    </w:p>
    <w:p w14:paraId="28AA426F" w14:textId="77777777" w:rsidR="000F58E2" w:rsidRDefault="000F58E2" w:rsidP="00506C69">
      <w:pPr>
        <w:pStyle w:val="References"/>
      </w:pPr>
      <w:r>
        <w:t xml:space="preserve">Rudin, C. (2019). Stop explaining black box machine learning models for high stakes decisions and use interpretable models instead. </w:t>
      </w:r>
      <w:r>
        <w:rPr>
          <w:i/>
          <w:iCs/>
        </w:rPr>
        <w:t>Nature Machine Intelligence</w:t>
      </w:r>
      <w:r>
        <w:t xml:space="preserve">, </w:t>
      </w:r>
      <w:r>
        <w:rPr>
          <w:i/>
          <w:iCs/>
        </w:rPr>
        <w:t>1</w:t>
      </w:r>
      <w:r>
        <w:t>(5), 206–215. https://doi.org/10.1038/s42256-019-0048-x</w:t>
      </w:r>
    </w:p>
    <w:p w14:paraId="26C365AE" w14:textId="77777777" w:rsidR="000F58E2" w:rsidRDefault="000F58E2" w:rsidP="00506C69">
      <w:pPr>
        <w:pStyle w:val="References"/>
      </w:pPr>
      <w:r>
        <w:t xml:space="preserve">Russell, S. J., &amp; Norvig, P. (2021). </w:t>
      </w:r>
      <w:r>
        <w:rPr>
          <w:i/>
          <w:iCs/>
        </w:rPr>
        <w:t>Artificial Intelligence: A Modern Approach</w:t>
      </w:r>
      <w:r>
        <w:t>. Pearson.</w:t>
      </w:r>
    </w:p>
    <w:p w14:paraId="31209762" w14:textId="77777777" w:rsidR="000F58E2" w:rsidRDefault="000F58E2" w:rsidP="00506C69">
      <w:pPr>
        <w:pStyle w:val="References"/>
      </w:pPr>
      <w:r>
        <w:t xml:space="preserve">Shani, I. &amp; GitHub Staff. (2023, June 13). Survey reveals AI’s impact on the developer experience. </w:t>
      </w:r>
      <w:r>
        <w:rPr>
          <w:i/>
          <w:iCs/>
        </w:rPr>
        <w:t>The GitHub</w:t>
      </w:r>
      <w:r>
        <w:t>. https://github.blog/news-insights/research/survey-reveals-ais-impact-on-the-developer-experience/</w:t>
      </w:r>
    </w:p>
    <w:p w14:paraId="4A5C55E7" w14:textId="77777777" w:rsidR="000F58E2" w:rsidRDefault="000F58E2" w:rsidP="00506C69">
      <w:pPr>
        <w:pStyle w:val="References"/>
      </w:pPr>
      <w:r>
        <w:lastRenderedPageBreak/>
        <w:t xml:space="preserve">Shneiderman, B. (2020). Human-Centered Artificial Intelligence: Reliable, Safe &amp; Trustworthy. </w:t>
      </w:r>
      <w:r>
        <w:rPr>
          <w:i/>
          <w:iCs/>
        </w:rPr>
        <w:t>International Journal of Human–Computer Interaction</w:t>
      </w:r>
      <w:r>
        <w:t xml:space="preserve">, </w:t>
      </w:r>
      <w:r>
        <w:rPr>
          <w:i/>
          <w:iCs/>
        </w:rPr>
        <w:t>36</w:t>
      </w:r>
      <w:r>
        <w:t>(6), 495–504. https://doi.org/10.1080/10447318.2020.1741118</w:t>
      </w:r>
    </w:p>
    <w:p w14:paraId="53586DD0" w14:textId="77777777" w:rsidR="000F58E2" w:rsidRDefault="000F58E2" w:rsidP="00506C69">
      <w:pPr>
        <w:pStyle w:val="References"/>
      </w:pPr>
      <w:r>
        <w:t xml:space="preserve">Shneiderman, B. (2022). </w:t>
      </w:r>
      <w:r>
        <w:rPr>
          <w:i/>
          <w:iCs/>
        </w:rPr>
        <w:t>Human-Centered AI</w:t>
      </w:r>
      <w:r>
        <w:t xml:space="preserve"> (1st ed.). Oxford University PressOxford. https://doi.org/10.1093/oso/9780192845290.001.0001</w:t>
      </w:r>
    </w:p>
    <w:p w14:paraId="027997D0" w14:textId="77777777" w:rsidR="000F58E2" w:rsidRDefault="000F58E2" w:rsidP="00506C69">
      <w:pPr>
        <w:pStyle w:val="References"/>
      </w:pPr>
      <w:r>
        <w:t xml:space="preserve">Shortliffe, E. H., &amp; Sepúlveda, M. J. (2022). Clinical Decision Support in the Era of Artificial Intelligence. </w:t>
      </w:r>
      <w:r>
        <w:rPr>
          <w:i/>
          <w:iCs/>
        </w:rPr>
        <w:t>JAMA</w:t>
      </w:r>
      <w:r>
        <w:t xml:space="preserve">, </w:t>
      </w:r>
      <w:r>
        <w:rPr>
          <w:i/>
          <w:iCs/>
        </w:rPr>
        <w:t>320</w:t>
      </w:r>
      <w:r>
        <w:t>(21), 2199. https://doi.org/10.1001/jama.2018.17163</w:t>
      </w:r>
    </w:p>
    <w:p w14:paraId="0DC1B279" w14:textId="77777777" w:rsidR="000F58E2" w:rsidRDefault="000F58E2" w:rsidP="00506C69">
      <w:pPr>
        <w:pStyle w:val="References"/>
      </w:pPr>
      <w:r>
        <w:t xml:space="preserve">Sloane, M., Moss, E., Awomolo, O., &amp; Forlano, L. (2020). </w:t>
      </w:r>
      <w:r>
        <w:rPr>
          <w:i/>
          <w:iCs/>
        </w:rPr>
        <w:t>Participation is not a Design Fix for Machine Learning</w:t>
      </w:r>
      <w:r>
        <w:t xml:space="preserve"> (Version 3). arXiv. https://doi.org/10.48550/ARXIV.2007.02423</w:t>
      </w:r>
    </w:p>
    <w:p w14:paraId="5AE8905E" w14:textId="77777777" w:rsidR="000F58E2" w:rsidRDefault="000F58E2" w:rsidP="00506C69">
      <w:pPr>
        <w:pStyle w:val="References"/>
      </w:pPr>
      <w:r>
        <w:t xml:space="preserve">Tabassi, E. (2023). </w:t>
      </w:r>
      <w:r>
        <w:rPr>
          <w:i/>
          <w:iCs/>
        </w:rPr>
        <w:t>Artificial Intelligence Risk Management Framework (AI RMF 1.0)</w:t>
      </w:r>
      <w:r>
        <w:t xml:space="preserve"> (NIST AI 100-1; p. NIST AI 100-1). National Institute of Standards and Technology (U.S.). https://doi.org/10.6028/NIST.AI.100-1</w:t>
      </w:r>
    </w:p>
    <w:p w14:paraId="26F750C6" w14:textId="77777777" w:rsidR="000F58E2" w:rsidRDefault="000F58E2" w:rsidP="00506C69">
      <w:pPr>
        <w:pStyle w:val="References"/>
      </w:pPr>
      <w:r>
        <w:t xml:space="preserve">Thomas, J., &amp; Harden, A. (2008). Methods for the thematic synthesis of qualitative research in systematic reviews. </w:t>
      </w:r>
      <w:r>
        <w:rPr>
          <w:i/>
          <w:iCs/>
        </w:rPr>
        <w:t>BMC Medical Research Methodology</w:t>
      </w:r>
      <w:r>
        <w:t xml:space="preserve">, </w:t>
      </w:r>
      <w:r>
        <w:rPr>
          <w:i/>
          <w:iCs/>
        </w:rPr>
        <w:t>8</w:t>
      </w:r>
      <w:r>
        <w:t>(1), 45. https://doi.org/10.1186/1471-2288-8-45</w:t>
      </w:r>
    </w:p>
    <w:p w14:paraId="78E2819C" w14:textId="77777777" w:rsidR="000F58E2" w:rsidRDefault="000F58E2" w:rsidP="00506C69">
      <w:pPr>
        <w:pStyle w:val="References"/>
      </w:pPr>
      <w:r>
        <w:t xml:space="preserve">Topol, E. J. (2019). High-performance medicine: The convergence of human and artificial intelligence. </w:t>
      </w:r>
      <w:r>
        <w:rPr>
          <w:i/>
          <w:iCs/>
        </w:rPr>
        <w:t>Nature Medicine</w:t>
      </w:r>
      <w:r>
        <w:t xml:space="preserve">, </w:t>
      </w:r>
      <w:r>
        <w:rPr>
          <w:i/>
          <w:iCs/>
        </w:rPr>
        <w:t>25</w:t>
      </w:r>
      <w:r>
        <w:t>(1), 44–56. https://doi.org/10.1038/s41591-018-0300-7</w:t>
      </w:r>
    </w:p>
    <w:p w14:paraId="24933B07" w14:textId="77777777" w:rsidR="000F58E2" w:rsidRDefault="000F58E2" w:rsidP="00506C69">
      <w:pPr>
        <w:pStyle w:val="References"/>
      </w:pPr>
      <w:r>
        <w:t xml:space="preserve">Trist, E., &amp; Bamforth, K. (1951). Some social and psychological consequences of the longwall method of coal-getting. </w:t>
      </w:r>
      <w:r>
        <w:rPr>
          <w:i/>
          <w:iCs/>
        </w:rPr>
        <w:t>Human Relations</w:t>
      </w:r>
      <w:r>
        <w:t xml:space="preserve">, </w:t>
      </w:r>
      <w:r>
        <w:rPr>
          <w:i/>
          <w:iCs/>
        </w:rPr>
        <w:t>4</w:t>
      </w:r>
      <w:r>
        <w:t>(1), 3–38.</w:t>
      </w:r>
    </w:p>
    <w:p w14:paraId="3F4C5109" w14:textId="77777777" w:rsidR="000F58E2" w:rsidRDefault="000F58E2" w:rsidP="00506C69">
      <w:pPr>
        <w:pStyle w:val="References"/>
      </w:pPr>
      <w:r>
        <w:t xml:space="preserve">Vogl, R. (Ed.). (2021). </w:t>
      </w:r>
      <w:r>
        <w:rPr>
          <w:i/>
          <w:iCs/>
        </w:rPr>
        <w:t>Research handbook on big data law</w:t>
      </w:r>
      <w:r>
        <w:t>. Edward Elgar Publishing Limited.</w:t>
      </w:r>
    </w:p>
    <w:p w14:paraId="6DCDA9C6" w14:textId="77777777" w:rsidR="000F58E2" w:rsidRDefault="000F58E2" w:rsidP="00506C69">
      <w:pPr>
        <w:pStyle w:val="References"/>
      </w:pPr>
      <w:r>
        <w:t xml:space="preserve">Wachter, S., Mittelstadt, B., &amp; Russell, C. (2021). Why fairness cannot be automated: Bridging the gap between EU non-discrimination law and AI. </w:t>
      </w:r>
      <w:r>
        <w:rPr>
          <w:i/>
          <w:iCs/>
        </w:rPr>
        <w:t>Computer Law &amp; Security Review</w:t>
      </w:r>
      <w:r>
        <w:t xml:space="preserve">, </w:t>
      </w:r>
      <w:r>
        <w:rPr>
          <w:i/>
          <w:iCs/>
        </w:rPr>
        <w:t>41</w:t>
      </w:r>
      <w:r>
        <w:t>, 105567. https://doi.org/10.1016/j.clsr.2021.105567</w:t>
      </w:r>
    </w:p>
    <w:p w14:paraId="05F6F32A" w14:textId="77777777" w:rsidR="000F58E2" w:rsidRDefault="000F58E2" w:rsidP="00506C69">
      <w:pPr>
        <w:pStyle w:val="References"/>
      </w:pPr>
      <w:r>
        <w:t xml:space="preserve">Wang, S., Wang, F., Zhu, Z., Wang, J., Tran, T., &amp; Du, Z. (2024). Artificial intelligence in education: A systematic literature review. </w:t>
      </w:r>
      <w:r>
        <w:rPr>
          <w:i/>
          <w:iCs/>
        </w:rPr>
        <w:t>Expert Systems with Applications</w:t>
      </w:r>
      <w:r>
        <w:t xml:space="preserve">, </w:t>
      </w:r>
      <w:r>
        <w:rPr>
          <w:i/>
          <w:iCs/>
        </w:rPr>
        <w:t>252</w:t>
      </w:r>
      <w:r>
        <w:t>, 124167. https://doi.org/10.1016/j.eswa.2024.124167</w:t>
      </w:r>
    </w:p>
    <w:p w14:paraId="6DDB4AD4" w14:textId="77777777" w:rsidR="000F58E2" w:rsidRDefault="000F58E2" w:rsidP="00506C69">
      <w:pPr>
        <w:pStyle w:val="References"/>
      </w:pPr>
      <w:r>
        <w:t xml:space="preserve">World Health Organization. (2021). </w:t>
      </w:r>
      <w:r>
        <w:rPr>
          <w:i/>
          <w:iCs/>
        </w:rPr>
        <w:t>Ethics and Governance of Artificial Intelligence for Health: WHO Guidance</w:t>
      </w:r>
      <w:r>
        <w:t xml:space="preserve"> (1st ed). World Health Organization. https://www.who.int/publications/i/item/9789240029200</w:t>
      </w:r>
    </w:p>
    <w:p w14:paraId="10D2862E" w14:textId="77777777" w:rsidR="000F58E2" w:rsidRDefault="000F58E2" w:rsidP="00506C69">
      <w:pPr>
        <w:pStyle w:val="References"/>
      </w:pPr>
      <w:r>
        <w:t xml:space="preserve">Zhang, Y., Liao, Q. V., &amp; Bellamy, R. K. E. (2020). Effect of confidence and explanation on accuracy and trust calibration in AI-assisted decision making. </w:t>
      </w:r>
      <w:r>
        <w:rPr>
          <w:i/>
          <w:iCs/>
        </w:rPr>
        <w:t>Proceedings of the 2020 Conference on Fairness, Accountability, and Transparency</w:t>
      </w:r>
      <w:r>
        <w:t>, 295–305. https://doi.org/10.1145/3351095.3372852</w:t>
      </w:r>
    </w:p>
    <w:p w14:paraId="77723A32" w14:textId="77777777" w:rsidR="000F58E2" w:rsidRDefault="000F58E2" w:rsidP="00506C69">
      <w:pPr>
        <w:pStyle w:val="References"/>
      </w:pPr>
      <w:r>
        <w:t xml:space="preserve">Ziegler, D. M., Stiennon, N., Wu, J., Brown, T. B., Radford, A., Amodei, D., Christiano, P., &amp; Irving, G. (2020). </w:t>
      </w:r>
      <w:r>
        <w:rPr>
          <w:i/>
          <w:iCs/>
        </w:rPr>
        <w:t>Fine-Tuning Language Models from Human Preferences</w:t>
      </w:r>
      <w:r>
        <w:t xml:space="preserve"> (arXiv:1909.08593). arXiv. https://doi.org/10.48550/arXiv.1909.08593</w:t>
      </w:r>
    </w:p>
    <w:p w14:paraId="367CD0CD" w14:textId="7C21B9E8" w:rsidR="006F243D" w:rsidRPr="005F1A27" w:rsidRDefault="00C87932" w:rsidP="00506C69">
      <w:pPr>
        <w:pStyle w:val="References"/>
      </w:pPr>
      <w:r>
        <w:fldChar w:fldCharType="end"/>
      </w:r>
    </w:p>
    <w:sectPr w:rsidR="006F243D" w:rsidRPr="005F1A27" w:rsidSect="00284A8E">
      <w:pgSz w:w="11906" w:h="16838" w:code="9"/>
      <w:pgMar w:top="1094"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D7915" w14:textId="77777777" w:rsidR="009969D9" w:rsidRDefault="009969D9">
      <w:pPr>
        <w:spacing w:after="0" w:line="240" w:lineRule="auto"/>
      </w:pPr>
      <w:r>
        <w:separator/>
      </w:r>
    </w:p>
  </w:endnote>
  <w:endnote w:type="continuationSeparator" w:id="0">
    <w:p w14:paraId="5E5D7DAE" w14:textId="77777777" w:rsidR="009969D9" w:rsidRDefault="00996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4BFB9" w14:textId="77777777" w:rsidR="009969D9" w:rsidRDefault="009969D9">
      <w:pPr>
        <w:spacing w:after="0" w:line="240" w:lineRule="auto"/>
      </w:pPr>
      <w:r>
        <w:separator/>
      </w:r>
    </w:p>
  </w:footnote>
  <w:footnote w:type="continuationSeparator" w:id="0">
    <w:p w14:paraId="4CF50060" w14:textId="77777777" w:rsidR="009969D9" w:rsidRDefault="009969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856F1"/>
    <w:multiLevelType w:val="hybridMultilevel"/>
    <w:tmpl w:val="23D64E94"/>
    <w:lvl w:ilvl="0" w:tplc="AB66FA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15FFF"/>
    <w:multiLevelType w:val="hybridMultilevel"/>
    <w:tmpl w:val="218E9212"/>
    <w:lvl w:ilvl="0" w:tplc="1EFCEF1C">
      <w:numFmt w:val="bullet"/>
      <w:lvlText w:val="•"/>
      <w:lvlJc w:val="left"/>
      <w:pPr>
        <w:ind w:left="720" w:hanging="360"/>
      </w:pPr>
      <w:rPr>
        <w:rFonts w:ascii="Arial" w:eastAsia="Arial" w:hAnsi="Arial" w:cs="Arial" w:hint="default"/>
        <w:color w:val="1F3864"/>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F5430"/>
    <w:multiLevelType w:val="multilevel"/>
    <w:tmpl w:val="1C624C38"/>
    <w:lvl w:ilvl="0">
      <w:start w:val="1"/>
      <w:numFmt w:val="decimal"/>
      <w:pStyle w:val="H1Numbered"/>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E615BCD"/>
    <w:multiLevelType w:val="hybridMultilevel"/>
    <w:tmpl w:val="CC568DBE"/>
    <w:lvl w:ilvl="0" w:tplc="6D20E8C0">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470B9"/>
    <w:multiLevelType w:val="hybridMultilevel"/>
    <w:tmpl w:val="01764F02"/>
    <w:lvl w:ilvl="0" w:tplc="05EA2DEC">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EB4DF5"/>
    <w:multiLevelType w:val="hybridMultilevel"/>
    <w:tmpl w:val="EF960512"/>
    <w:lvl w:ilvl="0" w:tplc="066CA3DE">
      <w:start w:val="1"/>
      <w:numFmt w:val="bullet"/>
      <w:lvlText w:val="•"/>
      <w:lvlJc w:val="left"/>
      <w:pPr>
        <w:ind w:left="720" w:hanging="360"/>
      </w:pPr>
    </w:lvl>
    <w:lvl w:ilvl="1" w:tplc="F77A9D62">
      <w:numFmt w:val="decimal"/>
      <w:lvlText w:val=""/>
      <w:lvlJc w:val="left"/>
    </w:lvl>
    <w:lvl w:ilvl="2" w:tplc="2C2AD34E">
      <w:numFmt w:val="decimal"/>
      <w:lvlText w:val=""/>
      <w:lvlJc w:val="left"/>
    </w:lvl>
    <w:lvl w:ilvl="3" w:tplc="158C1ECA">
      <w:numFmt w:val="decimal"/>
      <w:lvlText w:val=""/>
      <w:lvlJc w:val="left"/>
    </w:lvl>
    <w:lvl w:ilvl="4" w:tplc="A23C8820">
      <w:numFmt w:val="decimal"/>
      <w:lvlText w:val=""/>
      <w:lvlJc w:val="left"/>
    </w:lvl>
    <w:lvl w:ilvl="5" w:tplc="A82C539E">
      <w:numFmt w:val="decimal"/>
      <w:lvlText w:val=""/>
      <w:lvlJc w:val="left"/>
    </w:lvl>
    <w:lvl w:ilvl="6" w:tplc="3D02D6B2">
      <w:numFmt w:val="decimal"/>
      <w:lvlText w:val=""/>
      <w:lvlJc w:val="left"/>
    </w:lvl>
    <w:lvl w:ilvl="7" w:tplc="1AA6ABAC">
      <w:numFmt w:val="decimal"/>
      <w:lvlText w:val=""/>
      <w:lvlJc w:val="left"/>
    </w:lvl>
    <w:lvl w:ilvl="8" w:tplc="5A40BD82">
      <w:numFmt w:val="decimal"/>
      <w:lvlText w:val=""/>
      <w:lvlJc w:val="left"/>
    </w:lvl>
  </w:abstractNum>
  <w:abstractNum w:abstractNumId="6" w15:restartNumberingAfterBreak="0">
    <w:nsid w:val="246442D3"/>
    <w:multiLevelType w:val="hybridMultilevel"/>
    <w:tmpl w:val="BDBA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FC4FA4"/>
    <w:multiLevelType w:val="hybridMultilevel"/>
    <w:tmpl w:val="A266BCBE"/>
    <w:lvl w:ilvl="0" w:tplc="1EFCEF1C">
      <w:numFmt w:val="bullet"/>
      <w:lvlText w:val="•"/>
      <w:lvlJc w:val="left"/>
      <w:pPr>
        <w:ind w:left="720" w:hanging="360"/>
      </w:pPr>
      <w:rPr>
        <w:rFonts w:ascii="Arial" w:eastAsia="Arial" w:hAnsi="Arial" w:cs="Arial" w:hint="default"/>
        <w:color w:val="1F3864"/>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9C6916"/>
    <w:multiLevelType w:val="hybridMultilevel"/>
    <w:tmpl w:val="95DEF7FE"/>
    <w:lvl w:ilvl="0" w:tplc="7F0C5BDC">
      <w:start w:val="1"/>
      <w:numFmt w:val="decimal"/>
      <w:lvlText w:val="%1."/>
      <w:lvlJc w:val="left"/>
      <w:pPr>
        <w:ind w:left="720" w:hanging="360"/>
      </w:pPr>
    </w:lvl>
    <w:lvl w:ilvl="1" w:tplc="5BF8D3C8">
      <w:numFmt w:val="decimal"/>
      <w:lvlText w:val=""/>
      <w:lvlJc w:val="left"/>
    </w:lvl>
    <w:lvl w:ilvl="2" w:tplc="606EBC88">
      <w:numFmt w:val="decimal"/>
      <w:lvlText w:val=""/>
      <w:lvlJc w:val="left"/>
    </w:lvl>
    <w:lvl w:ilvl="3" w:tplc="39169166">
      <w:numFmt w:val="decimal"/>
      <w:lvlText w:val=""/>
      <w:lvlJc w:val="left"/>
    </w:lvl>
    <w:lvl w:ilvl="4" w:tplc="5E4E2F54">
      <w:numFmt w:val="decimal"/>
      <w:lvlText w:val=""/>
      <w:lvlJc w:val="left"/>
    </w:lvl>
    <w:lvl w:ilvl="5" w:tplc="2F52E180">
      <w:numFmt w:val="decimal"/>
      <w:lvlText w:val=""/>
      <w:lvlJc w:val="left"/>
    </w:lvl>
    <w:lvl w:ilvl="6" w:tplc="8A5664EA">
      <w:numFmt w:val="decimal"/>
      <w:lvlText w:val=""/>
      <w:lvlJc w:val="left"/>
    </w:lvl>
    <w:lvl w:ilvl="7" w:tplc="DD0A53C8">
      <w:numFmt w:val="decimal"/>
      <w:lvlText w:val=""/>
      <w:lvlJc w:val="left"/>
    </w:lvl>
    <w:lvl w:ilvl="8" w:tplc="87A2D8F8">
      <w:numFmt w:val="decimal"/>
      <w:lvlText w:val=""/>
      <w:lvlJc w:val="left"/>
    </w:lvl>
  </w:abstractNum>
  <w:abstractNum w:abstractNumId="9" w15:restartNumberingAfterBreak="0">
    <w:nsid w:val="58475EA9"/>
    <w:multiLevelType w:val="hybridMultilevel"/>
    <w:tmpl w:val="7E18CE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643521"/>
    <w:multiLevelType w:val="hybridMultilevel"/>
    <w:tmpl w:val="D6F2B632"/>
    <w:lvl w:ilvl="0" w:tplc="1EFCEF1C">
      <w:numFmt w:val="bullet"/>
      <w:lvlText w:val="•"/>
      <w:lvlJc w:val="left"/>
      <w:pPr>
        <w:ind w:left="720" w:hanging="360"/>
      </w:pPr>
      <w:rPr>
        <w:rFonts w:ascii="Arial" w:eastAsia="Arial" w:hAnsi="Arial" w:cs="Arial" w:hint="default"/>
        <w:color w:val="1F3864"/>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FD1A39"/>
    <w:multiLevelType w:val="hybridMultilevel"/>
    <w:tmpl w:val="D250013E"/>
    <w:lvl w:ilvl="0" w:tplc="030657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F1B536B"/>
    <w:multiLevelType w:val="hybridMultilevel"/>
    <w:tmpl w:val="12E89766"/>
    <w:lvl w:ilvl="0" w:tplc="D3224772">
      <w:start w:val="1"/>
      <w:numFmt w:val="bullet"/>
      <w:lvlText w:val="●"/>
      <w:lvlJc w:val="left"/>
      <w:pPr>
        <w:ind w:left="720" w:hanging="360"/>
      </w:pPr>
    </w:lvl>
    <w:lvl w:ilvl="1" w:tplc="44FE59FE">
      <w:start w:val="1"/>
      <w:numFmt w:val="bullet"/>
      <w:lvlText w:val="○"/>
      <w:lvlJc w:val="left"/>
      <w:pPr>
        <w:ind w:left="1440" w:hanging="360"/>
      </w:pPr>
    </w:lvl>
    <w:lvl w:ilvl="2" w:tplc="F2E04622">
      <w:start w:val="1"/>
      <w:numFmt w:val="bullet"/>
      <w:lvlText w:val="■"/>
      <w:lvlJc w:val="left"/>
      <w:pPr>
        <w:ind w:left="2160" w:hanging="360"/>
      </w:pPr>
    </w:lvl>
    <w:lvl w:ilvl="3" w:tplc="E2846626">
      <w:start w:val="1"/>
      <w:numFmt w:val="bullet"/>
      <w:lvlText w:val="●"/>
      <w:lvlJc w:val="left"/>
      <w:pPr>
        <w:ind w:left="2880" w:hanging="360"/>
      </w:pPr>
    </w:lvl>
    <w:lvl w:ilvl="4" w:tplc="33CED90E">
      <w:start w:val="1"/>
      <w:numFmt w:val="bullet"/>
      <w:lvlText w:val="○"/>
      <w:lvlJc w:val="left"/>
      <w:pPr>
        <w:ind w:left="3600" w:hanging="360"/>
      </w:pPr>
    </w:lvl>
    <w:lvl w:ilvl="5" w:tplc="A4D645E6">
      <w:start w:val="1"/>
      <w:numFmt w:val="bullet"/>
      <w:lvlText w:val="■"/>
      <w:lvlJc w:val="left"/>
      <w:pPr>
        <w:ind w:left="4320" w:hanging="360"/>
      </w:pPr>
    </w:lvl>
    <w:lvl w:ilvl="6" w:tplc="E5F8E4F8">
      <w:start w:val="1"/>
      <w:numFmt w:val="bullet"/>
      <w:lvlText w:val="●"/>
      <w:lvlJc w:val="left"/>
      <w:pPr>
        <w:ind w:left="5040" w:hanging="360"/>
      </w:pPr>
    </w:lvl>
    <w:lvl w:ilvl="7" w:tplc="78D863E2">
      <w:start w:val="1"/>
      <w:numFmt w:val="bullet"/>
      <w:lvlText w:val="●"/>
      <w:lvlJc w:val="left"/>
      <w:pPr>
        <w:ind w:left="5760" w:hanging="360"/>
      </w:pPr>
    </w:lvl>
    <w:lvl w:ilvl="8" w:tplc="5B986CCA">
      <w:start w:val="1"/>
      <w:numFmt w:val="bullet"/>
      <w:lvlText w:val="●"/>
      <w:lvlJc w:val="left"/>
      <w:pPr>
        <w:ind w:left="6480" w:hanging="360"/>
      </w:pPr>
    </w:lvl>
  </w:abstractNum>
  <w:abstractNum w:abstractNumId="13" w15:restartNumberingAfterBreak="0">
    <w:nsid w:val="62983CF9"/>
    <w:multiLevelType w:val="hybridMultilevel"/>
    <w:tmpl w:val="D54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8A50C1"/>
    <w:multiLevelType w:val="hybridMultilevel"/>
    <w:tmpl w:val="F92CC9D0"/>
    <w:lvl w:ilvl="0" w:tplc="C3DEA648">
      <w:start w:val="1"/>
      <w:numFmt w:val="lowerRoman"/>
      <w:lvlText w:val="(%1)"/>
      <w:lvlJc w:val="righ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4CE6D31"/>
    <w:multiLevelType w:val="hybridMultilevel"/>
    <w:tmpl w:val="6F7EA54A"/>
    <w:lvl w:ilvl="0" w:tplc="1EFCEF1C">
      <w:numFmt w:val="bullet"/>
      <w:lvlText w:val="•"/>
      <w:lvlJc w:val="left"/>
      <w:pPr>
        <w:ind w:left="720" w:hanging="360"/>
      </w:pPr>
      <w:rPr>
        <w:rFonts w:ascii="Arial" w:eastAsia="Arial" w:hAnsi="Arial" w:cs="Arial" w:hint="default"/>
        <w:color w:val="1F3864"/>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BA7117"/>
    <w:multiLevelType w:val="multilevel"/>
    <w:tmpl w:val="00F65074"/>
    <w:lvl w:ilvl="0">
      <w:start w:val="1"/>
      <w:numFmt w:val="decimal"/>
      <w:lvlText w:val="%1."/>
      <w:lvlJc w:val="left"/>
      <w:pPr>
        <w:ind w:left="360" w:hanging="360"/>
      </w:pPr>
    </w:lvl>
    <w:lvl w:ilvl="1">
      <w:start w:val="1"/>
      <w:numFmt w:val="decimal"/>
      <w:pStyle w:val="H2Numbered"/>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9823E85"/>
    <w:multiLevelType w:val="hybridMultilevel"/>
    <w:tmpl w:val="75827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472BD4"/>
    <w:multiLevelType w:val="hybridMultilevel"/>
    <w:tmpl w:val="6FF450E2"/>
    <w:lvl w:ilvl="0" w:tplc="2EDAB6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8B2136"/>
    <w:multiLevelType w:val="hybridMultilevel"/>
    <w:tmpl w:val="C888A660"/>
    <w:lvl w:ilvl="0" w:tplc="1EFCEF1C">
      <w:numFmt w:val="bullet"/>
      <w:lvlText w:val="•"/>
      <w:lvlJc w:val="left"/>
      <w:pPr>
        <w:ind w:left="1080" w:hanging="360"/>
      </w:pPr>
      <w:rPr>
        <w:rFonts w:ascii="Arial" w:eastAsia="Arial" w:hAnsi="Arial" w:cs="Arial" w:hint="default"/>
        <w:color w:val="1F3864"/>
        <w:sz w:val="1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89540959">
    <w:abstractNumId w:val="12"/>
    <w:lvlOverride w:ilvl="0">
      <w:startOverride w:val="1"/>
    </w:lvlOverride>
  </w:num>
  <w:num w:numId="2" w16cid:durableId="1064641167">
    <w:abstractNumId w:val="2"/>
  </w:num>
  <w:num w:numId="3" w16cid:durableId="366368298">
    <w:abstractNumId w:val="0"/>
  </w:num>
  <w:num w:numId="4" w16cid:durableId="188950712">
    <w:abstractNumId w:val="9"/>
  </w:num>
  <w:num w:numId="5" w16cid:durableId="184372892">
    <w:abstractNumId w:val="16"/>
  </w:num>
  <w:num w:numId="6" w16cid:durableId="1234780009">
    <w:abstractNumId w:val="13"/>
  </w:num>
  <w:num w:numId="7" w16cid:durableId="1669627165">
    <w:abstractNumId w:val="7"/>
  </w:num>
  <w:num w:numId="8" w16cid:durableId="508443484">
    <w:abstractNumId w:val="1"/>
  </w:num>
  <w:num w:numId="9" w16cid:durableId="1756003638">
    <w:abstractNumId w:val="15"/>
  </w:num>
  <w:num w:numId="10" w16cid:durableId="459613021">
    <w:abstractNumId w:val="10"/>
  </w:num>
  <w:num w:numId="11" w16cid:durableId="1845970761">
    <w:abstractNumId w:val="19"/>
  </w:num>
  <w:num w:numId="12" w16cid:durableId="1783567604">
    <w:abstractNumId w:val="17"/>
  </w:num>
  <w:num w:numId="13" w16cid:durableId="846604410">
    <w:abstractNumId w:val="11"/>
  </w:num>
  <w:num w:numId="14" w16cid:durableId="2118400307">
    <w:abstractNumId w:val="6"/>
  </w:num>
  <w:num w:numId="15" w16cid:durableId="759449640">
    <w:abstractNumId w:val="14"/>
  </w:num>
  <w:num w:numId="16" w16cid:durableId="1012486941">
    <w:abstractNumId w:val="3"/>
  </w:num>
  <w:num w:numId="17" w16cid:durableId="697856358">
    <w:abstractNumId w:val="18"/>
  </w:num>
  <w:num w:numId="18" w16cid:durableId="8942698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43D"/>
    <w:rsid w:val="00000678"/>
    <w:rsid w:val="00000DDC"/>
    <w:rsid w:val="00002EBA"/>
    <w:rsid w:val="00010C70"/>
    <w:rsid w:val="000134BC"/>
    <w:rsid w:val="000135E4"/>
    <w:rsid w:val="00020488"/>
    <w:rsid w:val="00020BD3"/>
    <w:rsid w:val="0002130B"/>
    <w:rsid w:val="00022A90"/>
    <w:rsid w:val="000234F3"/>
    <w:rsid w:val="000253CA"/>
    <w:rsid w:val="00025CDD"/>
    <w:rsid w:val="0003080D"/>
    <w:rsid w:val="00030BB2"/>
    <w:rsid w:val="00031199"/>
    <w:rsid w:val="00033139"/>
    <w:rsid w:val="00033A91"/>
    <w:rsid w:val="00035A46"/>
    <w:rsid w:val="00040B42"/>
    <w:rsid w:val="000447D6"/>
    <w:rsid w:val="00044825"/>
    <w:rsid w:val="00044DDA"/>
    <w:rsid w:val="00044E3C"/>
    <w:rsid w:val="00046D7E"/>
    <w:rsid w:val="00050148"/>
    <w:rsid w:val="0005146C"/>
    <w:rsid w:val="0005295F"/>
    <w:rsid w:val="00056180"/>
    <w:rsid w:val="000566BA"/>
    <w:rsid w:val="00057EE4"/>
    <w:rsid w:val="00060286"/>
    <w:rsid w:val="0006139F"/>
    <w:rsid w:val="00062038"/>
    <w:rsid w:val="00065666"/>
    <w:rsid w:val="00066BAB"/>
    <w:rsid w:val="00070EAC"/>
    <w:rsid w:val="0007225C"/>
    <w:rsid w:val="00073CA7"/>
    <w:rsid w:val="00074F85"/>
    <w:rsid w:val="00075DC8"/>
    <w:rsid w:val="00075F17"/>
    <w:rsid w:val="00076ABA"/>
    <w:rsid w:val="000806F2"/>
    <w:rsid w:val="0008078D"/>
    <w:rsid w:val="00084A54"/>
    <w:rsid w:val="00084B79"/>
    <w:rsid w:val="00085B6C"/>
    <w:rsid w:val="00085F76"/>
    <w:rsid w:val="00086609"/>
    <w:rsid w:val="000915A2"/>
    <w:rsid w:val="0009621C"/>
    <w:rsid w:val="00097A9C"/>
    <w:rsid w:val="00097FF2"/>
    <w:rsid w:val="000A2F2F"/>
    <w:rsid w:val="000A6901"/>
    <w:rsid w:val="000A694B"/>
    <w:rsid w:val="000B09B0"/>
    <w:rsid w:val="000B21FC"/>
    <w:rsid w:val="000B2919"/>
    <w:rsid w:val="000B39F2"/>
    <w:rsid w:val="000B3CD7"/>
    <w:rsid w:val="000B7701"/>
    <w:rsid w:val="000C2324"/>
    <w:rsid w:val="000C3743"/>
    <w:rsid w:val="000C6F0D"/>
    <w:rsid w:val="000C7AA6"/>
    <w:rsid w:val="000D3343"/>
    <w:rsid w:val="000D3BD0"/>
    <w:rsid w:val="000D54F0"/>
    <w:rsid w:val="000D65DE"/>
    <w:rsid w:val="000D6702"/>
    <w:rsid w:val="000D6ED3"/>
    <w:rsid w:val="000E006E"/>
    <w:rsid w:val="000E35A9"/>
    <w:rsid w:val="000E428F"/>
    <w:rsid w:val="000E4707"/>
    <w:rsid w:val="000E723D"/>
    <w:rsid w:val="000E7B9E"/>
    <w:rsid w:val="000F171D"/>
    <w:rsid w:val="000F1E83"/>
    <w:rsid w:val="000F297F"/>
    <w:rsid w:val="000F50E4"/>
    <w:rsid w:val="000F58E2"/>
    <w:rsid w:val="00100ACE"/>
    <w:rsid w:val="00100EBA"/>
    <w:rsid w:val="0010121E"/>
    <w:rsid w:val="00103140"/>
    <w:rsid w:val="0010318C"/>
    <w:rsid w:val="00103DA0"/>
    <w:rsid w:val="001044C1"/>
    <w:rsid w:val="001051EA"/>
    <w:rsid w:val="00106B84"/>
    <w:rsid w:val="00110842"/>
    <w:rsid w:val="001122E9"/>
    <w:rsid w:val="00113BB9"/>
    <w:rsid w:val="001156B3"/>
    <w:rsid w:val="00115D0F"/>
    <w:rsid w:val="001176FF"/>
    <w:rsid w:val="001177E8"/>
    <w:rsid w:val="00121001"/>
    <w:rsid w:val="00122B0F"/>
    <w:rsid w:val="00126149"/>
    <w:rsid w:val="00126B60"/>
    <w:rsid w:val="0013036B"/>
    <w:rsid w:val="001320A9"/>
    <w:rsid w:val="00133389"/>
    <w:rsid w:val="00134B25"/>
    <w:rsid w:val="00134E5D"/>
    <w:rsid w:val="00135280"/>
    <w:rsid w:val="00136E00"/>
    <w:rsid w:val="0013717A"/>
    <w:rsid w:val="00144010"/>
    <w:rsid w:val="001445E5"/>
    <w:rsid w:val="001449FA"/>
    <w:rsid w:val="00145885"/>
    <w:rsid w:val="001512FB"/>
    <w:rsid w:val="00157EEE"/>
    <w:rsid w:val="00161FFC"/>
    <w:rsid w:val="001629EB"/>
    <w:rsid w:val="001630DD"/>
    <w:rsid w:val="00164818"/>
    <w:rsid w:val="001651B6"/>
    <w:rsid w:val="00165514"/>
    <w:rsid w:val="0016602E"/>
    <w:rsid w:val="00170450"/>
    <w:rsid w:val="001728FF"/>
    <w:rsid w:val="001742A7"/>
    <w:rsid w:val="0017575A"/>
    <w:rsid w:val="00175CDC"/>
    <w:rsid w:val="00180AF6"/>
    <w:rsid w:val="00181758"/>
    <w:rsid w:val="00182309"/>
    <w:rsid w:val="00184606"/>
    <w:rsid w:val="00184659"/>
    <w:rsid w:val="00190302"/>
    <w:rsid w:val="00193DD0"/>
    <w:rsid w:val="00193F57"/>
    <w:rsid w:val="0019418B"/>
    <w:rsid w:val="00194508"/>
    <w:rsid w:val="0019567B"/>
    <w:rsid w:val="001A088D"/>
    <w:rsid w:val="001A39C3"/>
    <w:rsid w:val="001A6924"/>
    <w:rsid w:val="001A6F57"/>
    <w:rsid w:val="001A7794"/>
    <w:rsid w:val="001A7D57"/>
    <w:rsid w:val="001B2CED"/>
    <w:rsid w:val="001B3A8A"/>
    <w:rsid w:val="001B4697"/>
    <w:rsid w:val="001B4D64"/>
    <w:rsid w:val="001B5EBE"/>
    <w:rsid w:val="001C0489"/>
    <w:rsid w:val="001C04EE"/>
    <w:rsid w:val="001C05B0"/>
    <w:rsid w:val="001C0F87"/>
    <w:rsid w:val="001C375B"/>
    <w:rsid w:val="001C5927"/>
    <w:rsid w:val="001C6AFD"/>
    <w:rsid w:val="001D0223"/>
    <w:rsid w:val="001D1EE1"/>
    <w:rsid w:val="001D463E"/>
    <w:rsid w:val="001E3A12"/>
    <w:rsid w:val="001F5AA7"/>
    <w:rsid w:val="001F6E66"/>
    <w:rsid w:val="002000B6"/>
    <w:rsid w:val="00200F0B"/>
    <w:rsid w:val="002044D1"/>
    <w:rsid w:val="00205D1A"/>
    <w:rsid w:val="002070FE"/>
    <w:rsid w:val="00212FED"/>
    <w:rsid w:val="00220CB2"/>
    <w:rsid w:val="002220D6"/>
    <w:rsid w:val="00223093"/>
    <w:rsid w:val="0022523E"/>
    <w:rsid w:val="00226546"/>
    <w:rsid w:val="002329BE"/>
    <w:rsid w:val="0023391B"/>
    <w:rsid w:val="002364C0"/>
    <w:rsid w:val="0023780E"/>
    <w:rsid w:val="00240E0A"/>
    <w:rsid w:val="00240EAC"/>
    <w:rsid w:val="002422D7"/>
    <w:rsid w:val="00244FC4"/>
    <w:rsid w:val="00260658"/>
    <w:rsid w:val="00272634"/>
    <w:rsid w:val="00272789"/>
    <w:rsid w:val="00272891"/>
    <w:rsid w:val="00273304"/>
    <w:rsid w:val="00274743"/>
    <w:rsid w:val="00284A8E"/>
    <w:rsid w:val="00285A29"/>
    <w:rsid w:val="00285EA1"/>
    <w:rsid w:val="00286AD2"/>
    <w:rsid w:val="00286BAA"/>
    <w:rsid w:val="00290085"/>
    <w:rsid w:val="0029133D"/>
    <w:rsid w:val="00292664"/>
    <w:rsid w:val="00295799"/>
    <w:rsid w:val="00296DE0"/>
    <w:rsid w:val="00296FA9"/>
    <w:rsid w:val="002A0DE0"/>
    <w:rsid w:val="002A2B19"/>
    <w:rsid w:val="002A5AFB"/>
    <w:rsid w:val="002A7B59"/>
    <w:rsid w:val="002B3CFE"/>
    <w:rsid w:val="002B411B"/>
    <w:rsid w:val="002B5022"/>
    <w:rsid w:val="002B6143"/>
    <w:rsid w:val="002B6DAB"/>
    <w:rsid w:val="002B6F5F"/>
    <w:rsid w:val="002C1872"/>
    <w:rsid w:val="002C24D6"/>
    <w:rsid w:val="002C6F90"/>
    <w:rsid w:val="002D1E5D"/>
    <w:rsid w:val="002D3656"/>
    <w:rsid w:val="002D780D"/>
    <w:rsid w:val="002D7919"/>
    <w:rsid w:val="002E56C9"/>
    <w:rsid w:val="002F32CA"/>
    <w:rsid w:val="002F49D5"/>
    <w:rsid w:val="002F61F7"/>
    <w:rsid w:val="00301CEB"/>
    <w:rsid w:val="003041ED"/>
    <w:rsid w:val="00305235"/>
    <w:rsid w:val="00315862"/>
    <w:rsid w:val="00322F71"/>
    <w:rsid w:val="0032339E"/>
    <w:rsid w:val="00325DA7"/>
    <w:rsid w:val="00327EFF"/>
    <w:rsid w:val="00327FB3"/>
    <w:rsid w:val="0033325D"/>
    <w:rsid w:val="00333752"/>
    <w:rsid w:val="00333EAF"/>
    <w:rsid w:val="00334009"/>
    <w:rsid w:val="00334B81"/>
    <w:rsid w:val="00336EF8"/>
    <w:rsid w:val="003373DE"/>
    <w:rsid w:val="003409D7"/>
    <w:rsid w:val="00341B4D"/>
    <w:rsid w:val="003420F5"/>
    <w:rsid w:val="00343306"/>
    <w:rsid w:val="0034420D"/>
    <w:rsid w:val="00345297"/>
    <w:rsid w:val="00345985"/>
    <w:rsid w:val="003462D5"/>
    <w:rsid w:val="003505B4"/>
    <w:rsid w:val="003527CF"/>
    <w:rsid w:val="003539F0"/>
    <w:rsid w:val="003541DF"/>
    <w:rsid w:val="0035545C"/>
    <w:rsid w:val="00360C76"/>
    <w:rsid w:val="00361BF1"/>
    <w:rsid w:val="0036477C"/>
    <w:rsid w:val="00370C39"/>
    <w:rsid w:val="00371851"/>
    <w:rsid w:val="00374005"/>
    <w:rsid w:val="0037684E"/>
    <w:rsid w:val="00376DE1"/>
    <w:rsid w:val="0038169E"/>
    <w:rsid w:val="00381D91"/>
    <w:rsid w:val="00383C26"/>
    <w:rsid w:val="00384807"/>
    <w:rsid w:val="00384978"/>
    <w:rsid w:val="003852F6"/>
    <w:rsid w:val="00385FC3"/>
    <w:rsid w:val="00390400"/>
    <w:rsid w:val="0039057A"/>
    <w:rsid w:val="0039363E"/>
    <w:rsid w:val="00394971"/>
    <w:rsid w:val="00396128"/>
    <w:rsid w:val="003A0F09"/>
    <w:rsid w:val="003A234D"/>
    <w:rsid w:val="003A26E2"/>
    <w:rsid w:val="003A46BC"/>
    <w:rsid w:val="003A5CB3"/>
    <w:rsid w:val="003A6304"/>
    <w:rsid w:val="003A65BE"/>
    <w:rsid w:val="003A663D"/>
    <w:rsid w:val="003B3121"/>
    <w:rsid w:val="003B3899"/>
    <w:rsid w:val="003B3B0A"/>
    <w:rsid w:val="003B44F8"/>
    <w:rsid w:val="003B5847"/>
    <w:rsid w:val="003C57B4"/>
    <w:rsid w:val="003C7C6C"/>
    <w:rsid w:val="003D0BA5"/>
    <w:rsid w:val="003D1A6E"/>
    <w:rsid w:val="003D2532"/>
    <w:rsid w:val="003D4C61"/>
    <w:rsid w:val="003D60BE"/>
    <w:rsid w:val="003D7102"/>
    <w:rsid w:val="003E411B"/>
    <w:rsid w:val="003E5719"/>
    <w:rsid w:val="003E587E"/>
    <w:rsid w:val="003E594B"/>
    <w:rsid w:val="003E691E"/>
    <w:rsid w:val="003E6B43"/>
    <w:rsid w:val="003E6FFD"/>
    <w:rsid w:val="003F0B91"/>
    <w:rsid w:val="003F30C9"/>
    <w:rsid w:val="003F514F"/>
    <w:rsid w:val="00406591"/>
    <w:rsid w:val="004101E2"/>
    <w:rsid w:val="0041140E"/>
    <w:rsid w:val="00412284"/>
    <w:rsid w:val="00412966"/>
    <w:rsid w:val="00413644"/>
    <w:rsid w:val="00416C97"/>
    <w:rsid w:val="00417D08"/>
    <w:rsid w:val="00421BA4"/>
    <w:rsid w:val="00421D20"/>
    <w:rsid w:val="00422C44"/>
    <w:rsid w:val="00424231"/>
    <w:rsid w:val="00430C11"/>
    <w:rsid w:val="0043369B"/>
    <w:rsid w:val="00433B9D"/>
    <w:rsid w:val="00436DE8"/>
    <w:rsid w:val="00437A40"/>
    <w:rsid w:val="00441613"/>
    <w:rsid w:val="00441CD8"/>
    <w:rsid w:val="00441FEE"/>
    <w:rsid w:val="00442F6E"/>
    <w:rsid w:val="004435DA"/>
    <w:rsid w:val="004454B4"/>
    <w:rsid w:val="00445870"/>
    <w:rsid w:val="004474BE"/>
    <w:rsid w:val="00447EB3"/>
    <w:rsid w:val="00451321"/>
    <w:rsid w:val="0045643A"/>
    <w:rsid w:val="00467022"/>
    <w:rsid w:val="00470050"/>
    <w:rsid w:val="004704BB"/>
    <w:rsid w:val="0047126A"/>
    <w:rsid w:val="00471DC3"/>
    <w:rsid w:val="00473216"/>
    <w:rsid w:val="00473918"/>
    <w:rsid w:val="00473DD4"/>
    <w:rsid w:val="00473EAE"/>
    <w:rsid w:val="0047591C"/>
    <w:rsid w:val="00477D49"/>
    <w:rsid w:val="00477DAF"/>
    <w:rsid w:val="00481657"/>
    <w:rsid w:val="00481CFC"/>
    <w:rsid w:val="004823D7"/>
    <w:rsid w:val="004828C6"/>
    <w:rsid w:val="00486056"/>
    <w:rsid w:val="004865A8"/>
    <w:rsid w:val="00490B80"/>
    <w:rsid w:val="004930D0"/>
    <w:rsid w:val="0049325C"/>
    <w:rsid w:val="00496B3D"/>
    <w:rsid w:val="004A1695"/>
    <w:rsid w:val="004A26D4"/>
    <w:rsid w:val="004A4D2E"/>
    <w:rsid w:val="004A5BF0"/>
    <w:rsid w:val="004A6590"/>
    <w:rsid w:val="004B2633"/>
    <w:rsid w:val="004B3BA5"/>
    <w:rsid w:val="004B65B7"/>
    <w:rsid w:val="004B7053"/>
    <w:rsid w:val="004B7F07"/>
    <w:rsid w:val="004C1A5C"/>
    <w:rsid w:val="004C4E48"/>
    <w:rsid w:val="004C6467"/>
    <w:rsid w:val="004D1029"/>
    <w:rsid w:val="004D4AD6"/>
    <w:rsid w:val="004D5599"/>
    <w:rsid w:val="004D6C6E"/>
    <w:rsid w:val="004E0231"/>
    <w:rsid w:val="004E0590"/>
    <w:rsid w:val="004E5933"/>
    <w:rsid w:val="004F0333"/>
    <w:rsid w:val="004F0F93"/>
    <w:rsid w:val="004F21A1"/>
    <w:rsid w:val="004F5251"/>
    <w:rsid w:val="004F5699"/>
    <w:rsid w:val="004F5871"/>
    <w:rsid w:val="00502B8B"/>
    <w:rsid w:val="00506C69"/>
    <w:rsid w:val="00507816"/>
    <w:rsid w:val="0050787A"/>
    <w:rsid w:val="0051139A"/>
    <w:rsid w:val="0051649A"/>
    <w:rsid w:val="00521BA9"/>
    <w:rsid w:val="00521D50"/>
    <w:rsid w:val="005250A8"/>
    <w:rsid w:val="005254AA"/>
    <w:rsid w:val="00526B55"/>
    <w:rsid w:val="00527669"/>
    <w:rsid w:val="00536720"/>
    <w:rsid w:val="00536B84"/>
    <w:rsid w:val="00541F58"/>
    <w:rsid w:val="00543734"/>
    <w:rsid w:val="00544CE6"/>
    <w:rsid w:val="00554AFB"/>
    <w:rsid w:val="005558FB"/>
    <w:rsid w:val="00556A69"/>
    <w:rsid w:val="0056081E"/>
    <w:rsid w:val="00560BA7"/>
    <w:rsid w:val="0056579D"/>
    <w:rsid w:val="00573544"/>
    <w:rsid w:val="00576BE1"/>
    <w:rsid w:val="005775D2"/>
    <w:rsid w:val="0057796F"/>
    <w:rsid w:val="00581433"/>
    <w:rsid w:val="00581DC8"/>
    <w:rsid w:val="005862C0"/>
    <w:rsid w:val="00586C96"/>
    <w:rsid w:val="00586D17"/>
    <w:rsid w:val="00587587"/>
    <w:rsid w:val="0059093C"/>
    <w:rsid w:val="00590C8E"/>
    <w:rsid w:val="00593097"/>
    <w:rsid w:val="005936FE"/>
    <w:rsid w:val="00595717"/>
    <w:rsid w:val="005957B0"/>
    <w:rsid w:val="00596258"/>
    <w:rsid w:val="005972A0"/>
    <w:rsid w:val="00597826"/>
    <w:rsid w:val="005A5FE7"/>
    <w:rsid w:val="005A6923"/>
    <w:rsid w:val="005A6E38"/>
    <w:rsid w:val="005A6F77"/>
    <w:rsid w:val="005A7B07"/>
    <w:rsid w:val="005B17B1"/>
    <w:rsid w:val="005B2A9C"/>
    <w:rsid w:val="005B3397"/>
    <w:rsid w:val="005B3608"/>
    <w:rsid w:val="005B5125"/>
    <w:rsid w:val="005B7E8C"/>
    <w:rsid w:val="005C2830"/>
    <w:rsid w:val="005C3A0A"/>
    <w:rsid w:val="005C71E2"/>
    <w:rsid w:val="005C7B44"/>
    <w:rsid w:val="005D59C5"/>
    <w:rsid w:val="005D761F"/>
    <w:rsid w:val="005D7EEC"/>
    <w:rsid w:val="005E0E79"/>
    <w:rsid w:val="005E0EAF"/>
    <w:rsid w:val="005E16AE"/>
    <w:rsid w:val="005E38BA"/>
    <w:rsid w:val="005E5553"/>
    <w:rsid w:val="005E6DD8"/>
    <w:rsid w:val="005E7695"/>
    <w:rsid w:val="005F1313"/>
    <w:rsid w:val="005F1970"/>
    <w:rsid w:val="005F1A27"/>
    <w:rsid w:val="005F3B8B"/>
    <w:rsid w:val="005F3D24"/>
    <w:rsid w:val="005F6FCA"/>
    <w:rsid w:val="005F6FCB"/>
    <w:rsid w:val="00600124"/>
    <w:rsid w:val="00600339"/>
    <w:rsid w:val="00603429"/>
    <w:rsid w:val="00605E63"/>
    <w:rsid w:val="006069AB"/>
    <w:rsid w:val="00610CAE"/>
    <w:rsid w:val="00612A03"/>
    <w:rsid w:val="00614338"/>
    <w:rsid w:val="00614468"/>
    <w:rsid w:val="0061560B"/>
    <w:rsid w:val="00622831"/>
    <w:rsid w:val="0062468B"/>
    <w:rsid w:val="00630773"/>
    <w:rsid w:val="006333A6"/>
    <w:rsid w:val="006356D8"/>
    <w:rsid w:val="006367C6"/>
    <w:rsid w:val="0064005A"/>
    <w:rsid w:val="00641DFC"/>
    <w:rsid w:val="0064456D"/>
    <w:rsid w:val="0064485B"/>
    <w:rsid w:val="00645FFE"/>
    <w:rsid w:val="006524F5"/>
    <w:rsid w:val="00653B7C"/>
    <w:rsid w:val="0065406D"/>
    <w:rsid w:val="00654897"/>
    <w:rsid w:val="00656968"/>
    <w:rsid w:val="00667692"/>
    <w:rsid w:val="00670EB5"/>
    <w:rsid w:val="006712CB"/>
    <w:rsid w:val="00671A95"/>
    <w:rsid w:val="00677CBF"/>
    <w:rsid w:val="0068058A"/>
    <w:rsid w:val="00680F8B"/>
    <w:rsid w:val="0068172D"/>
    <w:rsid w:val="0068408B"/>
    <w:rsid w:val="00687FB3"/>
    <w:rsid w:val="0069073A"/>
    <w:rsid w:val="00693184"/>
    <w:rsid w:val="006951B8"/>
    <w:rsid w:val="006962EC"/>
    <w:rsid w:val="0069667E"/>
    <w:rsid w:val="006968D8"/>
    <w:rsid w:val="006A2875"/>
    <w:rsid w:val="006A38A2"/>
    <w:rsid w:val="006A6017"/>
    <w:rsid w:val="006A6ECD"/>
    <w:rsid w:val="006A779D"/>
    <w:rsid w:val="006B0A74"/>
    <w:rsid w:val="006B0EAB"/>
    <w:rsid w:val="006B2447"/>
    <w:rsid w:val="006B31AD"/>
    <w:rsid w:val="006B744A"/>
    <w:rsid w:val="006C1F4B"/>
    <w:rsid w:val="006C34BB"/>
    <w:rsid w:val="006C37C6"/>
    <w:rsid w:val="006C5E70"/>
    <w:rsid w:val="006C6802"/>
    <w:rsid w:val="006D0419"/>
    <w:rsid w:val="006D07F7"/>
    <w:rsid w:val="006D0EB4"/>
    <w:rsid w:val="006D2CD0"/>
    <w:rsid w:val="006D3B9E"/>
    <w:rsid w:val="006D5EEC"/>
    <w:rsid w:val="006D72EE"/>
    <w:rsid w:val="006D790B"/>
    <w:rsid w:val="006E0A26"/>
    <w:rsid w:val="006E111E"/>
    <w:rsid w:val="006E1781"/>
    <w:rsid w:val="006E21D9"/>
    <w:rsid w:val="006E34E3"/>
    <w:rsid w:val="006E4750"/>
    <w:rsid w:val="006E4E32"/>
    <w:rsid w:val="006E5E75"/>
    <w:rsid w:val="006E6315"/>
    <w:rsid w:val="006F1662"/>
    <w:rsid w:val="006F243D"/>
    <w:rsid w:val="006F2DEF"/>
    <w:rsid w:val="006F52A2"/>
    <w:rsid w:val="00702078"/>
    <w:rsid w:val="00706913"/>
    <w:rsid w:val="00711365"/>
    <w:rsid w:val="0071428A"/>
    <w:rsid w:val="00716B51"/>
    <w:rsid w:val="00720A8F"/>
    <w:rsid w:val="00720AC3"/>
    <w:rsid w:val="00724CFF"/>
    <w:rsid w:val="007252D0"/>
    <w:rsid w:val="007268BB"/>
    <w:rsid w:val="00726A0D"/>
    <w:rsid w:val="0073002E"/>
    <w:rsid w:val="00730722"/>
    <w:rsid w:val="00732E44"/>
    <w:rsid w:val="00734493"/>
    <w:rsid w:val="00734C91"/>
    <w:rsid w:val="00734F54"/>
    <w:rsid w:val="00735F00"/>
    <w:rsid w:val="00736841"/>
    <w:rsid w:val="00736A9A"/>
    <w:rsid w:val="00737933"/>
    <w:rsid w:val="007508CF"/>
    <w:rsid w:val="00751A57"/>
    <w:rsid w:val="00752FAB"/>
    <w:rsid w:val="00754698"/>
    <w:rsid w:val="00755C70"/>
    <w:rsid w:val="00757AE5"/>
    <w:rsid w:val="00757E4E"/>
    <w:rsid w:val="0076146D"/>
    <w:rsid w:val="007628C8"/>
    <w:rsid w:val="00766301"/>
    <w:rsid w:val="007666FE"/>
    <w:rsid w:val="00772A9D"/>
    <w:rsid w:val="007733C2"/>
    <w:rsid w:val="00777578"/>
    <w:rsid w:val="0077769A"/>
    <w:rsid w:val="00781FF3"/>
    <w:rsid w:val="00782467"/>
    <w:rsid w:val="00782A18"/>
    <w:rsid w:val="00784556"/>
    <w:rsid w:val="0078462A"/>
    <w:rsid w:val="0078505F"/>
    <w:rsid w:val="0079690E"/>
    <w:rsid w:val="007971F2"/>
    <w:rsid w:val="007A61D1"/>
    <w:rsid w:val="007A6736"/>
    <w:rsid w:val="007A7D35"/>
    <w:rsid w:val="007B1094"/>
    <w:rsid w:val="007C3D0B"/>
    <w:rsid w:val="007D2FFC"/>
    <w:rsid w:val="007D4F5A"/>
    <w:rsid w:val="007D7B50"/>
    <w:rsid w:val="007E05B1"/>
    <w:rsid w:val="007E10B6"/>
    <w:rsid w:val="007E166B"/>
    <w:rsid w:val="007E178F"/>
    <w:rsid w:val="007E2A08"/>
    <w:rsid w:val="007E634E"/>
    <w:rsid w:val="007F0A63"/>
    <w:rsid w:val="007F1B0C"/>
    <w:rsid w:val="007F5904"/>
    <w:rsid w:val="007F5A59"/>
    <w:rsid w:val="007F78B3"/>
    <w:rsid w:val="007F78C0"/>
    <w:rsid w:val="008001C2"/>
    <w:rsid w:val="00804B5F"/>
    <w:rsid w:val="00805B46"/>
    <w:rsid w:val="00805EE4"/>
    <w:rsid w:val="008069EC"/>
    <w:rsid w:val="00814671"/>
    <w:rsid w:val="00821A29"/>
    <w:rsid w:val="00821CE6"/>
    <w:rsid w:val="00823170"/>
    <w:rsid w:val="00823469"/>
    <w:rsid w:val="00823C93"/>
    <w:rsid w:val="00824437"/>
    <w:rsid w:val="00825B96"/>
    <w:rsid w:val="008268EF"/>
    <w:rsid w:val="00830044"/>
    <w:rsid w:val="00832A3A"/>
    <w:rsid w:val="00834850"/>
    <w:rsid w:val="00835433"/>
    <w:rsid w:val="00835911"/>
    <w:rsid w:val="00845F81"/>
    <w:rsid w:val="00847EE6"/>
    <w:rsid w:val="00850114"/>
    <w:rsid w:val="00850249"/>
    <w:rsid w:val="008509A2"/>
    <w:rsid w:val="008527EF"/>
    <w:rsid w:val="008550E6"/>
    <w:rsid w:val="008566C4"/>
    <w:rsid w:val="00856802"/>
    <w:rsid w:val="00861D53"/>
    <w:rsid w:val="00863A0C"/>
    <w:rsid w:val="00864552"/>
    <w:rsid w:val="0086483C"/>
    <w:rsid w:val="00871D4A"/>
    <w:rsid w:val="00874B6A"/>
    <w:rsid w:val="008807E9"/>
    <w:rsid w:val="00880BBA"/>
    <w:rsid w:val="00881183"/>
    <w:rsid w:val="00882188"/>
    <w:rsid w:val="0088685D"/>
    <w:rsid w:val="00891BBE"/>
    <w:rsid w:val="00893122"/>
    <w:rsid w:val="0089328B"/>
    <w:rsid w:val="00896CCE"/>
    <w:rsid w:val="008A031F"/>
    <w:rsid w:val="008A1DC2"/>
    <w:rsid w:val="008A416F"/>
    <w:rsid w:val="008A6139"/>
    <w:rsid w:val="008A683E"/>
    <w:rsid w:val="008A7BE3"/>
    <w:rsid w:val="008B140D"/>
    <w:rsid w:val="008B3473"/>
    <w:rsid w:val="008B74A6"/>
    <w:rsid w:val="008B7760"/>
    <w:rsid w:val="008C3EF0"/>
    <w:rsid w:val="008C42EA"/>
    <w:rsid w:val="008C4C12"/>
    <w:rsid w:val="008C50C8"/>
    <w:rsid w:val="008C5E8C"/>
    <w:rsid w:val="008C5F1E"/>
    <w:rsid w:val="008D0318"/>
    <w:rsid w:val="008D1892"/>
    <w:rsid w:val="008D1F0B"/>
    <w:rsid w:val="008D6DE0"/>
    <w:rsid w:val="008D7214"/>
    <w:rsid w:val="008E299F"/>
    <w:rsid w:val="008E3511"/>
    <w:rsid w:val="008E5860"/>
    <w:rsid w:val="008F01A7"/>
    <w:rsid w:val="008F0A1B"/>
    <w:rsid w:val="008F1D42"/>
    <w:rsid w:val="008F293A"/>
    <w:rsid w:val="008F4742"/>
    <w:rsid w:val="008F56AB"/>
    <w:rsid w:val="009009E1"/>
    <w:rsid w:val="00901369"/>
    <w:rsid w:val="00901867"/>
    <w:rsid w:val="00901916"/>
    <w:rsid w:val="00911677"/>
    <w:rsid w:val="00912B5B"/>
    <w:rsid w:val="00912F4D"/>
    <w:rsid w:val="009136E1"/>
    <w:rsid w:val="00913CBB"/>
    <w:rsid w:val="00914BCB"/>
    <w:rsid w:val="009151D9"/>
    <w:rsid w:val="00917F59"/>
    <w:rsid w:val="00923467"/>
    <w:rsid w:val="00926A90"/>
    <w:rsid w:val="009335AD"/>
    <w:rsid w:val="00933F15"/>
    <w:rsid w:val="00934A13"/>
    <w:rsid w:val="00934D47"/>
    <w:rsid w:val="0093612A"/>
    <w:rsid w:val="00937244"/>
    <w:rsid w:val="009406CC"/>
    <w:rsid w:val="00942C36"/>
    <w:rsid w:val="00942EE9"/>
    <w:rsid w:val="0094440B"/>
    <w:rsid w:val="00944A3D"/>
    <w:rsid w:val="00945B8E"/>
    <w:rsid w:val="00947DD6"/>
    <w:rsid w:val="009547AB"/>
    <w:rsid w:val="0095658B"/>
    <w:rsid w:val="00956D8B"/>
    <w:rsid w:val="00960366"/>
    <w:rsid w:val="009603D5"/>
    <w:rsid w:val="009608C1"/>
    <w:rsid w:val="009643D8"/>
    <w:rsid w:val="009666E1"/>
    <w:rsid w:val="00967F4D"/>
    <w:rsid w:val="00970D8B"/>
    <w:rsid w:val="00973C75"/>
    <w:rsid w:val="00974403"/>
    <w:rsid w:val="00974D83"/>
    <w:rsid w:val="009761DA"/>
    <w:rsid w:val="00976820"/>
    <w:rsid w:val="00977100"/>
    <w:rsid w:val="0098338B"/>
    <w:rsid w:val="009833D7"/>
    <w:rsid w:val="00987E0F"/>
    <w:rsid w:val="00991DEC"/>
    <w:rsid w:val="00992F47"/>
    <w:rsid w:val="00994128"/>
    <w:rsid w:val="00995D8E"/>
    <w:rsid w:val="009969D9"/>
    <w:rsid w:val="009A0326"/>
    <w:rsid w:val="009A671D"/>
    <w:rsid w:val="009B0452"/>
    <w:rsid w:val="009B0C59"/>
    <w:rsid w:val="009B3263"/>
    <w:rsid w:val="009B543F"/>
    <w:rsid w:val="009B764C"/>
    <w:rsid w:val="009B7AB2"/>
    <w:rsid w:val="009C028D"/>
    <w:rsid w:val="009C2851"/>
    <w:rsid w:val="009C3C60"/>
    <w:rsid w:val="009C3D4A"/>
    <w:rsid w:val="009C6B71"/>
    <w:rsid w:val="009C7FE4"/>
    <w:rsid w:val="009D0CF8"/>
    <w:rsid w:val="009D3153"/>
    <w:rsid w:val="009D6393"/>
    <w:rsid w:val="009E0022"/>
    <w:rsid w:val="009E47ED"/>
    <w:rsid w:val="009E5DEB"/>
    <w:rsid w:val="009E7029"/>
    <w:rsid w:val="009F01BF"/>
    <w:rsid w:val="009F1008"/>
    <w:rsid w:val="009F10D5"/>
    <w:rsid w:val="009F19E4"/>
    <w:rsid w:val="009F1C2C"/>
    <w:rsid w:val="009F2203"/>
    <w:rsid w:val="009F40F1"/>
    <w:rsid w:val="009F43D6"/>
    <w:rsid w:val="009F49FD"/>
    <w:rsid w:val="009F5276"/>
    <w:rsid w:val="009F6BB4"/>
    <w:rsid w:val="009F70D1"/>
    <w:rsid w:val="009F7D20"/>
    <w:rsid w:val="00A03381"/>
    <w:rsid w:val="00A062F6"/>
    <w:rsid w:val="00A12A83"/>
    <w:rsid w:val="00A1432D"/>
    <w:rsid w:val="00A1741F"/>
    <w:rsid w:val="00A20779"/>
    <w:rsid w:val="00A21700"/>
    <w:rsid w:val="00A21A63"/>
    <w:rsid w:val="00A22C0A"/>
    <w:rsid w:val="00A26867"/>
    <w:rsid w:val="00A27126"/>
    <w:rsid w:val="00A27B6C"/>
    <w:rsid w:val="00A30E60"/>
    <w:rsid w:val="00A3267C"/>
    <w:rsid w:val="00A32D1C"/>
    <w:rsid w:val="00A3320D"/>
    <w:rsid w:val="00A3379E"/>
    <w:rsid w:val="00A3448D"/>
    <w:rsid w:val="00A35908"/>
    <w:rsid w:val="00A42966"/>
    <w:rsid w:val="00A4317D"/>
    <w:rsid w:val="00A447A0"/>
    <w:rsid w:val="00A448A6"/>
    <w:rsid w:val="00A45627"/>
    <w:rsid w:val="00A47405"/>
    <w:rsid w:val="00A53038"/>
    <w:rsid w:val="00A5315A"/>
    <w:rsid w:val="00A558FC"/>
    <w:rsid w:val="00A57621"/>
    <w:rsid w:val="00A6023B"/>
    <w:rsid w:val="00A60C18"/>
    <w:rsid w:val="00A64624"/>
    <w:rsid w:val="00A64B75"/>
    <w:rsid w:val="00A651F8"/>
    <w:rsid w:val="00A662D6"/>
    <w:rsid w:val="00A675B6"/>
    <w:rsid w:val="00A679C6"/>
    <w:rsid w:val="00A70049"/>
    <w:rsid w:val="00A72401"/>
    <w:rsid w:val="00A73FD0"/>
    <w:rsid w:val="00A741E6"/>
    <w:rsid w:val="00A745E3"/>
    <w:rsid w:val="00A7557F"/>
    <w:rsid w:val="00A75DD9"/>
    <w:rsid w:val="00A763B1"/>
    <w:rsid w:val="00A81E25"/>
    <w:rsid w:val="00A84EB1"/>
    <w:rsid w:val="00A85401"/>
    <w:rsid w:val="00A85FF6"/>
    <w:rsid w:val="00A95355"/>
    <w:rsid w:val="00A979E3"/>
    <w:rsid w:val="00AA1171"/>
    <w:rsid w:val="00AA6684"/>
    <w:rsid w:val="00AB1FA3"/>
    <w:rsid w:val="00AB28DA"/>
    <w:rsid w:val="00AB527C"/>
    <w:rsid w:val="00AB5E4C"/>
    <w:rsid w:val="00AC0D3B"/>
    <w:rsid w:val="00AC1515"/>
    <w:rsid w:val="00AC2F98"/>
    <w:rsid w:val="00AC3466"/>
    <w:rsid w:val="00AC45A5"/>
    <w:rsid w:val="00AC477A"/>
    <w:rsid w:val="00AC488B"/>
    <w:rsid w:val="00AC5225"/>
    <w:rsid w:val="00AD0FA2"/>
    <w:rsid w:val="00AD20DA"/>
    <w:rsid w:val="00AD28E9"/>
    <w:rsid w:val="00AD2F74"/>
    <w:rsid w:val="00AE0EAA"/>
    <w:rsid w:val="00AE2BF5"/>
    <w:rsid w:val="00AE342A"/>
    <w:rsid w:val="00AE5335"/>
    <w:rsid w:val="00AE5AE8"/>
    <w:rsid w:val="00AE708A"/>
    <w:rsid w:val="00AE7DBB"/>
    <w:rsid w:val="00AF1BF8"/>
    <w:rsid w:val="00AF2A62"/>
    <w:rsid w:val="00AF3F24"/>
    <w:rsid w:val="00AF4FA3"/>
    <w:rsid w:val="00AF591E"/>
    <w:rsid w:val="00AF5F2C"/>
    <w:rsid w:val="00B00D21"/>
    <w:rsid w:val="00B070C3"/>
    <w:rsid w:val="00B12BCB"/>
    <w:rsid w:val="00B15BFD"/>
    <w:rsid w:val="00B15D58"/>
    <w:rsid w:val="00B17E9E"/>
    <w:rsid w:val="00B209F3"/>
    <w:rsid w:val="00B22D27"/>
    <w:rsid w:val="00B26763"/>
    <w:rsid w:val="00B268BB"/>
    <w:rsid w:val="00B316E2"/>
    <w:rsid w:val="00B320AB"/>
    <w:rsid w:val="00B323CF"/>
    <w:rsid w:val="00B34AE6"/>
    <w:rsid w:val="00B34F1C"/>
    <w:rsid w:val="00B352FC"/>
    <w:rsid w:val="00B35833"/>
    <w:rsid w:val="00B36EF1"/>
    <w:rsid w:val="00B40370"/>
    <w:rsid w:val="00B4283C"/>
    <w:rsid w:val="00B43DDE"/>
    <w:rsid w:val="00B51188"/>
    <w:rsid w:val="00B53C27"/>
    <w:rsid w:val="00B54CC3"/>
    <w:rsid w:val="00B562EF"/>
    <w:rsid w:val="00B5631C"/>
    <w:rsid w:val="00B6133C"/>
    <w:rsid w:val="00B61A53"/>
    <w:rsid w:val="00B62382"/>
    <w:rsid w:val="00B63D47"/>
    <w:rsid w:val="00B646F2"/>
    <w:rsid w:val="00B6647C"/>
    <w:rsid w:val="00B72705"/>
    <w:rsid w:val="00B72C51"/>
    <w:rsid w:val="00B75AED"/>
    <w:rsid w:val="00B767ED"/>
    <w:rsid w:val="00B77F6A"/>
    <w:rsid w:val="00B8537C"/>
    <w:rsid w:val="00B854D8"/>
    <w:rsid w:val="00B8570F"/>
    <w:rsid w:val="00B85C8B"/>
    <w:rsid w:val="00B904BB"/>
    <w:rsid w:val="00B906A3"/>
    <w:rsid w:val="00B95851"/>
    <w:rsid w:val="00BA1FD8"/>
    <w:rsid w:val="00BA2AA8"/>
    <w:rsid w:val="00BA2F00"/>
    <w:rsid w:val="00BA4A8E"/>
    <w:rsid w:val="00BA4C7F"/>
    <w:rsid w:val="00BA4D76"/>
    <w:rsid w:val="00BA7EE5"/>
    <w:rsid w:val="00BB03BD"/>
    <w:rsid w:val="00BB067B"/>
    <w:rsid w:val="00BB0A84"/>
    <w:rsid w:val="00BB1B63"/>
    <w:rsid w:val="00BB4978"/>
    <w:rsid w:val="00BC442D"/>
    <w:rsid w:val="00BC4E6B"/>
    <w:rsid w:val="00BC59E5"/>
    <w:rsid w:val="00BC5CCE"/>
    <w:rsid w:val="00BC6423"/>
    <w:rsid w:val="00BC7EA8"/>
    <w:rsid w:val="00BD3B34"/>
    <w:rsid w:val="00BD4946"/>
    <w:rsid w:val="00BD52BE"/>
    <w:rsid w:val="00BD5968"/>
    <w:rsid w:val="00BD736E"/>
    <w:rsid w:val="00BE036F"/>
    <w:rsid w:val="00BE478E"/>
    <w:rsid w:val="00BE638B"/>
    <w:rsid w:val="00BF023D"/>
    <w:rsid w:val="00BF07AB"/>
    <w:rsid w:val="00BF0FF9"/>
    <w:rsid w:val="00BF3FF1"/>
    <w:rsid w:val="00BF461A"/>
    <w:rsid w:val="00BF5F0D"/>
    <w:rsid w:val="00C011BD"/>
    <w:rsid w:val="00C01271"/>
    <w:rsid w:val="00C034EB"/>
    <w:rsid w:val="00C05C68"/>
    <w:rsid w:val="00C06055"/>
    <w:rsid w:val="00C06884"/>
    <w:rsid w:val="00C077A3"/>
    <w:rsid w:val="00C105FC"/>
    <w:rsid w:val="00C111E3"/>
    <w:rsid w:val="00C12A7D"/>
    <w:rsid w:val="00C139E1"/>
    <w:rsid w:val="00C140BA"/>
    <w:rsid w:val="00C153CD"/>
    <w:rsid w:val="00C15BB4"/>
    <w:rsid w:val="00C15D1C"/>
    <w:rsid w:val="00C20AF1"/>
    <w:rsid w:val="00C21CFD"/>
    <w:rsid w:val="00C24E66"/>
    <w:rsid w:val="00C27BE4"/>
    <w:rsid w:val="00C3059C"/>
    <w:rsid w:val="00C308AA"/>
    <w:rsid w:val="00C31082"/>
    <w:rsid w:val="00C31F4C"/>
    <w:rsid w:val="00C32722"/>
    <w:rsid w:val="00C34066"/>
    <w:rsid w:val="00C37C4D"/>
    <w:rsid w:val="00C41B5A"/>
    <w:rsid w:val="00C42B3A"/>
    <w:rsid w:val="00C47C90"/>
    <w:rsid w:val="00C47E2A"/>
    <w:rsid w:val="00C50359"/>
    <w:rsid w:val="00C519BD"/>
    <w:rsid w:val="00C51A53"/>
    <w:rsid w:val="00C542C1"/>
    <w:rsid w:val="00C558FA"/>
    <w:rsid w:val="00C60B9B"/>
    <w:rsid w:val="00C617B4"/>
    <w:rsid w:val="00C62D5F"/>
    <w:rsid w:val="00C64301"/>
    <w:rsid w:val="00C66C5C"/>
    <w:rsid w:val="00C66EDD"/>
    <w:rsid w:val="00C67904"/>
    <w:rsid w:val="00C731E4"/>
    <w:rsid w:val="00C77D4B"/>
    <w:rsid w:val="00C82286"/>
    <w:rsid w:val="00C8308C"/>
    <w:rsid w:val="00C83E91"/>
    <w:rsid w:val="00C87932"/>
    <w:rsid w:val="00C90C23"/>
    <w:rsid w:val="00C92455"/>
    <w:rsid w:val="00C93114"/>
    <w:rsid w:val="00C952CA"/>
    <w:rsid w:val="00C96653"/>
    <w:rsid w:val="00CA1674"/>
    <w:rsid w:val="00CA2148"/>
    <w:rsid w:val="00CA30F0"/>
    <w:rsid w:val="00CA3202"/>
    <w:rsid w:val="00CA4B63"/>
    <w:rsid w:val="00CA5356"/>
    <w:rsid w:val="00CA6933"/>
    <w:rsid w:val="00CA6DAD"/>
    <w:rsid w:val="00CA70E0"/>
    <w:rsid w:val="00CB35D7"/>
    <w:rsid w:val="00CB36A3"/>
    <w:rsid w:val="00CB7939"/>
    <w:rsid w:val="00CC1737"/>
    <w:rsid w:val="00CC244D"/>
    <w:rsid w:val="00CC2D9B"/>
    <w:rsid w:val="00CC663B"/>
    <w:rsid w:val="00CD010C"/>
    <w:rsid w:val="00CD0D17"/>
    <w:rsid w:val="00CD3889"/>
    <w:rsid w:val="00CD4AB5"/>
    <w:rsid w:val="00CD6EDF"/>
    <w:rsid w:val="00CE27B3"/>
    <w:rsid w:val="00CE5FE7"/>
    <w:rsid w:val="00CE7CBD"/>
    <w:rsid w:val="00CF2106"/>
    <w:rsid w:val="00CF455E"/>
    <w:rsid w:val="00CF5BF1"/>
    <w:rsid w:val="00CF69FA"/>
    <w:rsid w:val="00CF71C4"/>
    <w:rsid w:val="00D00D82"/>
    <w:rsid w:val="00D0257C"/>
    <w:rsid w:val="00D04EA6"/>
    <w:rsid w:val="00D0797E"/>
    <w:rsid w:val="00D13D47"/>
    <w:rsid w:val="00D14E78"/>
    <w:rsid w:val="00D15F79"/>
    <w:rsid w:val="00D1632D"/>
    <w:rsid w:val="00D174ED"/>
    <w:rsid w:val="00D17566"/>
    <w:rsid w:val="00D177A8"/>
    <w:rsid w:val="00D203C9"/>
    <w:rsid w:val="00D21E77"/>
    <w:rsid w:val="00D225AF"/>
    <w:rsid w:val="00D2369B"/>
    <w:rsid w:val="00D23DA1"/>
    <w:rsid w:val="00D27A2B"/>
    <w:rsid w:val="00D30230"/>
    <w:rsid w:val="00D32B59"/>
    <w:rsid w:val="00D3402B"/>
    <w:rsid w:val="00D369D3"/>
    <w:rsid w:val="00D429F6"/>
    <w:rsid w:val="00D42EAF"/>
    <w:rsid w:val="00D46262"/>
    <w:rsid w:val="00D472E2"/>
    <w:rsid w:val="00D47FBF"/>
    <w:rsid w:val="00D50B14"/>
    <w:rsid w:val="00D50DC8"/>
    <w:rsid w:val="00D51951"/>
    <w:rsid w:val="00D52180"/>
    <w:rsid w:val="00D52570"/>
    <w:rsid w:val="00D55E30"/>
    <w:rsid w:val="00D5719F"/>
    <w:rsid w:val="00D57448"/>
    <w:rsid w:val="00D57A8C"/>
    <w:rsid w:val="00D57E58"/>
    <w:rsid w:val="00D61AD0"/>
    <w:rsid w:val="00D65ACD"/>
    <w:rsid w:val="00D66B95"/>
    <w:rsid w:val="00D7056E"/>
    <w:rsid w:val="00D7328B"/>
    <w:rsid w:val="00D7451A"/>
    <w:rsid w:val="00D750A1"/>
    <w:rsid w:val="00D76389"/>
    <w:rsid w:val="00D80259"/>
    <w:rsid w:val="00D80665"/>
    <w:rsid w:val="00D833B7"/>
    <w:rsid w:val="00D846DE"/>
    <w:rsid w:val="00D85858"/>
    <w:rsid w:val="00D85C9B"/>
    <w:rsid w:val="00D8695A"/>
    <w:rsid w:val="00D9047C"/>
    <w:rsid w:val="00D911D4"/>
    <w:rsid w:val="00D914D9"/>
    <w:rsid w:val="00D93FC9"/>
    <w:rsid w:val="00DA00FB"/>
    <w:rsid w:val="00DA1230"/>
    <w:rsid w:val="00DA1236"/>
    <w:rsid w:val="00DA19C7"/>
    <w:rsid w:val="00DA6F22"/>
    <w:rsid w:val="00DB0729"/>
    <w:rsid w:val="00DB2B8D"/>
    <w:rsid w:val="00DB5477"/>
    <w:rsid w:val="00DB6AEE"/>
    <w:rsid w:val="00DB7530"/>
    <w:rsid w:val="00DB776F"/>
    <w:rsid w:val="00DC1938"/>
    <w:rsid w:val="00DC3C7C"/>
    <w:rsid w:val="00DD07FC"/>
    <w:rsid w:val="00DD1174"/>
    <w:rsid w:val="00DD455F"/>
    <w:rsid w:val="00DD4645"/>
    <w:rsid w:val="00DE1F00"/>
    <w:rsid w:val="00DE3A41"/>
    <w:rsid w:val="00DE5252"/>
    <w:rsid w:val="00DE53AE"/>
    <w:rsid w:val="00DF4D8A"/>
    <w:rsid w:val="00E034EF"/>
    <w:rsid w:val="00E03862"/>
    <w:rsid w:val="00E05007"/>
    <w:rsid w:val="00E07BCF"/>
    <w:rsid w:val="00E1116F"/>
    <w:rsid w:val="00E1231C"/>
    <w:rsid w:val="00E14238"/>
    <w:rsid w:val="00E15BAC"/>
    <w:rsid w:val="00E2295C"/>
    <w:rsid w:val="00E22DE0"/>
    <w:rsid w:val="00E300AC"/>
    <w:rsid w:val="00E363ED"/>
    <w:rsid w:val="00E4074A"/>
    <w:rsid w:val="00E41D3B"/>
    <w:rsid w:val="00E446EF"/>
    <w:rsid w:val="00E50D0C"/>
    <w:rsid w:val="00E521BB"/>
    <w:rsid w:val="00E5227C"/>
    <w:rsid w:val="00E52F5B"/>
    <w:rsid w:val="00E60E3D"/>
    <w:rsid w:val="00E61CDF"/>
    <w:rsid w:val="00E61D8F"/>
    <w:rsid w:val="00E61EBE"/>
    <w:rsid w:val="00E6372B"/>
    <w:rsid w:val="00E678D4"/>
    <w:rsid w:val="00E70CEE"/>
    <w:rsid w:val="00E71218"/>
    <w:rsid w:val="00E712EC"/>
    <w:rsid w:val="00E733A3"/>
    <w:rsid w:val="00E73CC4"/>
    <w:rsid w:val="00E7580E"/>
    <w:rsid w:val="00E760A4"/>
    <w:rsid w:val="00E76CA6"/>
    <w:rsid w:val="00E810A6"/>
    <w:rsid w:val="00E814BD"/>
    <w:rsid w:val="00E850BC"/>
    <w:rsid w:val="00E8511D"/>
    <w:rsid w:val="00E85742"/>
    <w:rsid w:val="00E85E76"/>
    <w:rsid w:val="00E87597"/>
    <w:rsid w:val="00E87D0E"/>
    <w:rsid w:val="00E9191F"/>
    <w:rsid w:val="00E9253C"/>
    <w:rsid w:val="00E935F8"/>
    <w:rsid w:val="00E93B2E"/>
    <w:rsid w:val="00E963DE"/>
    <w:rsid w:val="00EA2079"/>
    <w:rsid w:val="00EA4CD0"/>
    <w:rsid w:val="00EA7D04"/>
    <w:rsid w:val="00EB0A04"/>
    <w:rsid w:val="00EB1E18"/>
    <w:rsid w:val="00EB307E"/>
    <w:rsid w:val="00EB64FB"/>
    <w:rsid w:val="00EB74A2"/>
    <w:rsid w:val="00EC3406"/>
    <w:rsid w:val="00EC6C1E"/>
    <w:rsid w:val="00EC6CC9"/>
    <w:rsid w:val="00EC7F34"/>
    <w:rsid w:val="00ED04B1"/>
    <w:rsid w:val="00ED2F79"/>
    <w:rsid w:val="00ED36E5"/>
    <w:rsid w:val="00ED542D"/>
    <w:rsid w:val="00EE076B"/>
    <w:rsid w:val="00EE0990"/>
    <w:rsid w:val="00EF00EB"/>
    <w:rsid w:val="00EF1507"/>
    <w:rsid w:val="00EF2A34"/>
    <w:rsid w:val="00EF3D8D"/>
    <w:rsid w:val="00EF4C83"/>
    <w:rsid w:val="00EF6B35"/>
    <w:rsid w:val="00EF76D0"/>
    <w:rsid w:val="00F047D4"/>
    <w:rsid w:val="00F07702"/>
    <w:rsid w:val="00F117F2"/>
    <w:rsid w:val="00F12ED1"/>
    <w:rsid w:val="00F13021"/>
    <w:rsid w:val="00F148CB"/>
    <w:rsid w:val="00F16A2F"/>
    <w:rsid w:val="00F16A8C"/>
    <w:rsid w:val="00F17F04"/>
    <w:rsid w:val="00F2097F"/>
    <w:rsid w:val="00F21260"/>
    <w:rsid w:val="00F21D8E"/>
    <w:rsid w:val="00F228BA"/>
    <w:rsid w:val="00F22DEE"/>
    <w:rsid w:val="00F23C47"/>
    <w:rsid w:val="00F248EA"/>
    <w:rsid w:val="00F321FB"/>
    <w:rsid w:val="00F322ED"/>
    <w:rsid w:val="00F33296"/>
    <w:rsid w:val="00F33FD8"/>
    <w:rsid w:val="00F346B3"/>
    <w:rsid w:val="00F37D6E"/>
    <w:rsid w:val="00F408BA"/>
    <w:rsid w:val="00F4593D"/>
    <w:rsid w:val="00F46F2A"/>
    <w:rsid w:val="00F477A0"/>
    <w:rsid w:val="00F52D5C"/>
    <w:rsid w:val="00F5687C"/>
    <w:rsid w:val="00F56A7C"/>
    <w:rsid w:val="00F57067"/>
    <w:rsid w:val="00F6045C"/>
    <w:rsid w:val="00F606B5"/>
    <w:rsid w:val="00F62F13"/>
    <w:rsid w:val="00F65049"/>
    <w:rsid w:val="00F666E5"/>
    <w:rsid w:val="00F721F4"/>
    <w:rsid w:val="00F72402"/>
    <w:rsid w:val="00F76A2A"/>
    <w:rsid w:val="00F76ABD"/>
    <w:rsid w:val="00F76D3D"/>
    <w:rsid w:val="00F77928"/>
    <w:rsid w:val="00F828EC"/>
    <w:rsid w:val="00F843E5"/>
    <w:rsid w:val="00F866BB"/>
    <w:rsid w:val="00F86B51"/>
    <w:rsid w:val="00F90B5D"/>
    <w:rsid w:val="00F911EF"/>
    <w:rsid w:val="00F91B39"/>
    <w:rsid w:val="00F92024"/>
    <w:rsid w:val="00F92964"/>
    <w:rsid w:val="00F92FAF"/>
    <w:rsid w:val="00F93836"/>
    <w:rsid w:val="00FA16A4"/>
    <w:rsid w:val="00FA2746"/>
    <w:rsid w:val="00FA294F"/>
    <w:rsid w:val="00FA7871"/>
    <w:rsid w:val="00FB04E1"/>
    <w:rsid w:val="00FB1431"/>
    <w:rsid w:val="00FB4118"/>
    <w:rsid w:val="00FB43C6"/>
    <w:rsid w:val="00FB45FB"/>
    <w:rsid w:val="00FB5239"/>
    <w:rsid w:val="00FB7567"/>
    <w:rsid w:val="00FC14AC"/>
    <w:rsid w:val="00FC27D5"/>
    <w:rsid w:val="00FC2D4F"/>
    <w:rsid w:val="00FC2E43"/>
    <w:rsid w:val="00FC34FA"/>
    <w:rsid w:val="00FD12DC"/>
    <w:rsid w:val="00FD2C8A"/>
    <w:rsid w:val="00FD6E0E"/>
    <w:rsid w:val="00FE2367"/>
    <w:rsid w:val="00FE281D"/>
    <w:rsid w:val="00FE2F16"/>
    <w:rsid w:val="00FE78F9"/>
    <w:rsid w:val="00FF14E9"/>
    <w:rsid w:val="00FF2638"/>
    <w:rsid w:val="00FF4624"/>
    <w:rsid w:val="00FF5004"/>
    <w:rsid w:val="00FF550C"/>
    <w:rsid w:val="00FF6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1D2EE"/>
  <w15:docId w15:val="{9AEB8445-5135-401C-B70A-BC262194A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4BB"/>
    <w:pPr>
      <w:spacing w:after="120" w:line="276" w:lineRule="auto"/>
      <w:jc w:val="both"/>
    </w:pPr>
    <w:rPr>
      <w:sz w:val="22"/>
    </w:rPr>
  </w:style>
  <w:style w:type="paragraph" w:styleId="Heading1">
    <w:name w:val="heading 1"/>
    <w:link w:val="Heading1Char"/>
    <w:uiPriority w:val="9"/>
    <w:qFormat/>
    <w:rsid w:val="0062468B"/>
    <w:pPr>
      <w:spacing w:before="240" w:after="200"/>
      <w:outlineLvl w:val="0"/>
    </w:pPr>
    <w:rPr>
      <w:rFonts w:eastAsia="Arial" w:cs="Arial"/>
      <w:b/>
      <w:bCs/>
      <w:szCs w:val="28"/>
    </w:rPr>
  </w:style>
  <w:style w:type="paragraph" w:styleId="Heading2">
    <w:name w:val="heading 2"/>
    <w:link w:val="Heading2Char"/>
    <w:uiPriority w:val="9"/>
    <w:unhideWhenUsed/>
    <w:qFormat/>
    <w:rsid w:val="0062468B"/>
    <w:pPr>
      <w:spacing w:before="240" w:after="120"/>
      <w:outlineLvl w:val="1"/>
    </w:pPr>
    <w:rPr>
      <w:rFonts w:eastAsia="Arial" w:cs="Arial"/>
      <w:b/>
      <w:bCs/>
      <w:sz w:val="22"/>
    </w:rPr>
  </w:style>
  <w:style w:type="paragraph" w:styleId="Heading3">
    <w:name w:val="heading 3"/>
    <w:uiPriority w:val="9"/>
    <w:unhideWhenUsed/>
    <w:qFormat/>
    <w:rsid w:val="004B3BA5"/>
    <w:pPr>
      <w:spacing w:before="180" w:after="120"/>
      <w:outlineLvl w:val="2"/>
    </w:pPr>
    <w:rPr>
      <w:rFonts w:eastAsia="Arial" w:cs="Arial"/>
      <w:b/>
      <w:bCs/>
      <w:i/>
      <w:iCs/>
      <w:color w:val="000000" w:themeColor="text1"/>
      <w:sz w:val="22"/>
      <w:szCs w:val="22"/>
    </w:rPr>
  </w:style>
  <w:style w:type="paragraph" w:styleId="Heading4">
    <w:name w:val="heading 4"/>
    <w:uiPriority w:val="9"/>
    <w:unhideWhenUsed/>
    <w:qFormat/>
    <w:rsid w:val="00D13D47"/>
    <w:pPr>
      <w:spacing w:after="120"/>
      <w:outlineLvl w:val="3"/>
    </w:pPr>
    <w:rPr>
      <w:i/>
      <w:iCs/>
      <w:color w:val="000000" w:themeColor="text1"/>
      <w:sz w:val="22"/>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rsid w:val="00C06055"/>
    <w:pPr>
      <w:spacing w:line="276" w:lineRule="auto"/>
      <w:jc w:val="both"/>
    </w:pPr>
    <w:rPr>
      <w:sz w:val="22"/>
    </w:rPr>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TOC1">
    <w:name w:val="toc 1"/>
    <w:basedOn w:val="Normal"/>
    <w:next w:val="Normal"/>
    <w:autoRedefine/>
    <w:uiPriority w:val="39"/>
    <w:unhideWhenUsed/>
    <w:rsid w:val="00917F59"/>
    <w:pPr>
      <w:spacing w:after="100"/>
    </w:pPr>
  </w:style>
  <w:style w:type="paragraph" w:styleId="TOC2">
    <w:name w:val="toc 2"/>
    <w:basedOn w:val="Normal"/>
    <w:next w:val="Normal"/>
    <w:autoRedefine/>
    <w:uiPriority w:val="39"/>
    <w:unhideWhenUsed/>
    <w:rsid w:val="00917F59"/>
    <w:pPr>
      <w:spacing w:after="100"/>
      <w:ind w:left="240"/>
    </w:pPr>
  </w:style>
  <w:style w:type="paragraph" w:styleId="TOC3">
    <w:name w:val="toc 3"/>
    <w:basedOn w:val="Normal"/>
    <w:next w:val="Normal"/>
    <w:autoRedefine/>
    <w:uiPriority w:val="39"/>
    <w:unhideWhenUsed/>
    <w:rsid w:val="00917F59"/>
    <w:pPr>
      <w:spacing w:after="100"/>
      <w:ind w:left="480"/>
    </w:pPr>
  </w:style>
  <w:style w:type="paragraph" w:styleId="Header">
    <w:name w:val="header"/>
    <w:basedOn w:val="Normal"/>
    <w:link w:val="HeaderChar"/>
    <w:uiPriority w:val="99"/>
    <w:unhideWhenUsed/>
    <w:rsid w:val="00671A95"/>
    <w:pPr>
      <w:tabs>
        <w:tab w:val="center" w:pos="4680"/>
        <w:tab w:val="right" w:pos="9360"/>
      </w:tabs>
    </w:pPr>
  </w:style>
  <w:style w:type="character" w:customStyle="1" w:styleId="HeaderChar">
    <w:name w:val="Header Char"/>
    <w:basedOn w:val="DefaultParagraphFont"/>
    <w:link w:val="Header"/>
    <w:uiPriority w:val="99"/>
    <w:rsid w:val="00671A95"/>
  </w:style>
  <w:style w:type="paragraph" w:styleId="Footer">
    <w:name w:val="footer"/>
    <w:basedOn w:val="Normal"/>
    <w:link w:val="FooterChar"/>
    <w:uiPriority w:val="99"/>
    <w:unhideWhenUsed/>
    <w:rsid w:val="00671A95"/>
    <w:pPr>
      <w:tabs>
        <w:tab w:val="center" w:pos="4680"/>
        <w:tab w:val="right" w:pos="9360"/>
      </w:tabs>
    </w:pPr>
  </w:style>
  <w:style w:type="character" w:customStyle="1" w:styleId="FooterChar">
    <w:name w:val="Footer Char"/>
    <w:basedOn w:val="DefaultParagraphFont"/>
    <w:link w:val="Footer"/>
    <w:uiPriority w:val="99"/>
    <w:rsid w:val="00671A95"/>
  </w:style>
  <w:style w:type="table" w:styleId="TableGrid">
    <w:name w:val="Table Grid"/>
    <w:basedOn w:val="TableNormal"/>
    <w:uiPriority w:val="39"/>
    <w:rsid w:val="00987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0">
    <w:name w:val="TableNormal"/>
    <w:basedOn w:val="Normal"/>
    <w:link w:val="TableNormalChar"/>
    <w:qFormat/>
    <w:rsid w:val="00020BD3"/>
    <w:pPr>
      <w:spacing w:after="0" w:line="240" w:lineRule="auto"/>
    </w:pPr>
    <w:rPr>
      <w:rFonts w:eastAsia="Arial"/>
    </w:rPr>
  </w:style>
  <w:style w:type="paragraph" w:customStyle="1" w:styleId="References">
    <w:name w:val="References"/>
    <w:basedOn w:val="Normal"/>
    <w:link w:val="ReferencesChar"/>
    <w:qFormat/>
    <w:rsid w:val="001A7794"/>
    <w:pPr>
      <w:spacing w:after="60" w:line="240" w:lineRule="auto"/>
      <w:ind w:left="720" w:hanging="720"/>
      <w:jc w:val="left"/>
    </w:pPr>
  </w:style>
  <w:style w:type="character" w:customStyle="1" w:styleId="TableNormalChar">
    <w:name w:val="TableNormal Char"/>
    <w:basedOn w:val="DefaultParagraphFont"/>
    <w:link w:val="TableNormal0"/>
    <w:rsid w:val="00020BD3"/>
    <w:rPr>
      <w:rFonts w:eastAsia="Arial"/>
    </w:rPr>
  </w:style>
  <w:style w:type="character" w:styleId="UnresolvedMention">
    <w:name w:val="Unresolved Mention"/>
    <w:basedOn w:val="DefaultParagraphFont"/>
    <w:uiPriority w:val="99"/>
    <w:semiHidden/>
    <w:unhideWhenUsed/>
    <w:rsid w:val="00F76D3D"/>
    <w:rPr>
      <w:color w:val="605E5C"/>
      <w:shd w:val="clear" w:color="auto" w:fill="E1DFDD"/>
    </w:rPr>
  </w:style>
  <w:style w:type="character" w:customStyle="1" w:styleId="ReferencesChar">
    <w:name w:val="References Char"/>
    <w:basedOn w:val="DefaultParagraphFont"/>
    <w:link w:val="References"/>
    <w:rsid w:val="001A7794"/>
    <w:rPr>
      <w:sz w:val="22"/>
    </w:rPr>
  </w:style>
  <w:style w:type="paragraph" w:customStyle="1" w:styleId="H1Numbered">
    <w:name w:val="H1 Numbered"/>
    <w:basedOn w:val="Heading1"/>
    <w:link w:val="H1NumberedChar"/>
    <w:qFormat/>
    <w:rsid w:val="005E6DD8"/>
    <w:pPr>
      <w:numPr>
        <w:numId w:val="2"/>
      </w:numPr>
    </w:pPr>
  </w:style>
  <w:style w:type="character" w:customStyle="1" w:styleId="Heading1Char">
    <w:name w:val="Heading 1 Char"/>
    <w:basedOn w:val="DefaultParagraphFont"/>
    <w:link w:val="Heading1"/>
    <w:uiPriority w:val="9"/>
    <w:rsid w:val="00B209F3"/>
    <w:rPr>
      <w:rFonts w:eastAsia="Arial" w:cs="Arial"/>
      <w:b/>
      <w:bCs/>
      <w:szCs w:val="28"/>
    </w:rPr>
  </w:style>
  <w:style w:type="character" w:customStyle="1" w:styleId="H1NumberedChar">
    <w:name w:val="H1 Numbered Char"/>
    <w:basedOn w:val="Heading1Char"/>
    <w:link w:val="H1Numbered"/>
    <w:rsid w:val="005E6DD8"/>
    <w:rPr>
      <w:rFonts w:eastAsia="Arial" w:cs="Arial"/>
      <w:b/>
      <w:bCs/>
      <w:szCs w:val="28"/>
    </w:rPr>
  </w:style>
  <w:style w:type="paragraph" w:customStyle="1" w:styleId="H2Numbered">
    <w:name w:val="H2 Numbered"/>
    <w:basedOn w:val="Heading2"/>
    <w:link w:val="H2NumberedChar"/>
    <w:qFormat/>
    <w:rsid w:val="00441FEE"/>
    <w:pPr>
      <w:numPr>
        <w:ilvl w:val="1"/>
        <w:numId w:val="5"/>
      </w:numPr>
      <w:ind w:left="446" w:hanging="446"/>
    </w:pPr>
  </w:style>
  <w:style w:type="character" w:customStyle="1" w:styleId="Heading2Char">
    <w:name w:val="Heading 2 Char"/>
    <w:basedOn w:val="DefaultParagraphFont"/>
    <w:link w:val="Heading2"/>
    <w:uiPriority w:val="9"/>
    <w:rsid w:val="000C3743"/>
    <w:rPr>
      <w:rFonts w:eastAsia="Arial" w:cs="Arial"/>
      <w:b/>
      <w:bCs/>
      <w:sz w:val="22"/>
    </w:rPr>
  </w:style>
  <w:style w:type="character" w:customStyle="1" w:styleId="H2NumberedChar">
    <w:name w:val="H2 Numbered Char"/>
    <w:basedOn w:val="Heading2Char"/>
    <w:link w:val="H2Numbered"/>
    <w:rsid w:val="00441FEE"/>
    <w:rPr>
      <w:rFonts w:eastAsia="Arial" w:cs="Arial"/>
      <w:b/>
      <w:bCs/>
      <w:sz w:val="22"/>
    </w:rPr>
  </w:style>
  <w:style w:type="paragraph" w:styleId="Caption">
    <w:name w:val="caption"/>
    <w:basedOn w:val="Normal"/>
    <w:next w:val="Normal"/>
    <w:uiPriority w:val="35"/>
    <w:unhideWhenUsed/>
    <w:qFormat/>
    <w:rsid w:val="006D72EE"/>
    <w:pPr>
      <w:spacing w:after="200" w:line="240" w:lineRule="auto"/>
    </w:pPr>
    <w:rPr>
      <w:i/>
      <w:iCs/>
      <w:color w:val="44546A" w:themeColor="text2"/>
      <w:sz w:val="18"/>
      <w:szCs w:val="18"/>
    </w:rPr>
  </w:style>
  <w:style w:type="paragraph" w:customStyle="1" w:styleId="Cap">
    <w:name w:val="Cap"/>
    <w:basedOn w:val="Normal"/>
    <w:link w:val="CapChar"/>
    <w:qFormat/>
    <w:rsid w:val="00057EE4"/>
    <w:pPr>
      <w:spacing w:before="200"/>
    </w:pPr>
    <w:rPr>
      <w:b/>
      <w:bCs/>
      <w:szCs w:val="22"/>
    </w:rPr>
  </w:style>
  <w:style w:type="paragraph" w:styleId="Bibliography">
    <w:name w:val="Bibliography"/>
    <w:basedOn w:val="Normal"/>
    <w:next w:val="Normal"/>
    <w:uiPriority w:val="37"/>
    <w:unhideWhenUsed/>
    <w:rsid w:val="00C87932"/>
    <w:pPr>
      <w:spacing w:after="0" w:line="480" w:lineRule="auto"/>
      <w:ind w:left="720" w:hanging="720"/>
    </w:pPr>
  </w:style>
  <w:style w:type="character" w:customStyle="1" w:styleId="CapChar">
    <w:name w:val="Cap Char"/>
    <w:basedOn w:val="DefaultParagraphFont"/>
    <w:link w:val="Cap"/>
    <w:rsid w:val="00057EE4"/>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295DC-4FD4-4CD0-96C3-9AF8F5BD2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1762</TotalTime>
  <Pages>25</Pages>
  <Words>51581</Words>
  <Characters>294018</Characters>
  <Application>Microsoft Office Word</Application>
  <DocSecurity>0</DocSecurity>
  <Lines>2450</Lines>
  <Paragraphs>689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theaisha1707@gmail.com</cp:lastModifiedBy>
  <cp:revision>1255</cp:revision>
  <cp:lastPrinted>2026-03-28T03:52:00Z</cp:lastPrinted>
  <dcterms:created xsi:type="dcterms:W3CDTF">2026-03-22T16:00:00Z</dcterms:created>
  <dcterms:modified xsi:type="dcterms:W3CDTF">2026-04-03T08:39:00Z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68a57df4-61d7-42cf-aacc-0a963932a869</vt:lpwstr>
  </property>
  <property fmtid="{D5CDD505-2E9C-101B-9397-08002B2CF9AE}" pid="3" name="ZOTERO_PREF_1">
    <vt:lpwstr>&lt;data data-version="3" zotero-version="7.0.32"&gt;&lt;session id="Mt9mIbje"/&gt;&lt;style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