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F531E" w14:textId="77777777" w:rsidR="001D0CEC" w:rsidRPr="002E1E3D" w:rsidRDefault="001D0CEC" w:rsidP="002E1E3D">
      <w:pPr>
        <w:pStyle w:val="MDPI12title"/>
        <w:jc w:val="center"/>
        <w:rPr>
          <w:rFonts w:ascii="Times New Roman" w:hAnsi="Times New Roman"/>
          <w:sz w:val="32"/>
          <w:szCs w:val="32"/>
        </w:rPr>
      </w:pPr>
      <w:r w:rsidRPr="002E1E3D">
        <w:rPr>
          <w:rFonts w:ascii="Times New Roman" w:hAnsi="Times New Roman"/>
          <w:sz w:val="32"/>
          <w:szCs w:val="32"/>
        </w:rPr>
        <w:t>Technology-Driven Empowerment: Unveiling the Digital Workplace Experience of Indonesian Remote Workers</w:t>
      </w:r>
    </w:p>
    <w:p w14:paraId="74CF9667" w14:textId="77777777" w:rsidR="001D0CEC" w:rsidRPr="002E1E3D" w:rsidRDefault="001D0CEC" w:rsidP="001D0CEC">
      <w:pPr>
        <w:pStyle w:val="MDPI17abstract"/>
        <w:ind w:left="0"/>
        <w:rPr>
          <w:rFonts w:ascii="Times New Roman" w:hAnsi="Times New Roman"/>
          <w:sz w:val="24"/>
          <w:szCs w:val="24"/>
        </w:rPr>
      </w:pPr>
      <w:bookmarkStart w:id="0" w:name="_GoBack"/>
      <w:bookmarkEnd w:id="0"/>
      <w:r w:rsidRPr="002E1E3D">
        <w:rPr>
          <w:rFonts w:ascii="Times New Roman" w:hAnsi="Times New Roman"/>
          <w:b/>
          <w:sz w:val="24"/>
          <w:szCs w:val="24"/>
        </w:rPr>
        <w:t xml:space="preserve">Abstract: </w:t>
      </w:r>
      <w:r w:rsidRPr="002E1E3D">
        <w:rPr>
          <w:rFonts w:ascii="Times New Roman" w:hAnsi="Times New Roman"/>
          <w:sz w:val="24"/>
          <w:szCs w:val="24"/>
        </w:rPr>
        <w:t>The rise of digital technology has transformed remote work for Indonesian employees, offering flexibility and productivity while introducing challenges. This study uses narrative analysis through E-Interviews with 18 remote workers in major cities to explore how technology shapes work dynamics. Key themes include productivity, flexibility, work-life balance, and digital inequalities. While digital tools enhance efficiency, they also blur work-life boundaries and highlight connectivity challenges. The study concludes with recommendations for addressing digital burnout and unequal access, providing insights for companies and policymakers to improve the remote work experience in Indonesia.</w:t>
      </w:r>
    </w:p>
    <w:p w14:paraId="6CFFBBF8" w14:textId="697B66AD" w:rsidR="001D0CEC" w:rsidRPr="002E1E3D" w:rsidRDefault="001D0CEC" w:rsidP="002E1E3D">
      <w:pPr>
        <w:pStyle w:val="MDPI18keywords"/>
        <w:ind w:left="0"/>
        <w:rPr>
          <w:rFonts w:ascii="Times New Roman" w:hAnsi="Times New Roman"/>
          <w:sz w:val="24"/>
          <w:szCs w:val="24"/>
        </w:rPr>
      </w:pPr>
      <w:r w:rsidRPr="002E1E3D">
        <w:rPr>
          <w:rFonts w:ascii="Times New Roman" w:hAnsi="Times New Roman"/>
          <w:b/>
          <w:sz w:val="24"/>
          <w:szCs w:val="24"/>
        </w:rPr>
        <w:t xml:space="preserve">Keywords: </w:t>
      </w:r>
      <w:r w:rsidRPr="002E1E3D">
        <w:rPr>
          <w:rFonts w:ascii="Times New Roman" w:hAnsi="Times New Roman"/>
          <w:sz w:val="24"/>
          <w:szCs w:val="24"/>
        </w:rPr>
        <w:t>remote work; digital technology; flexibility; work-life balance; digital inequality</w:t>
      </w:r>
    </w:p>
    <w:p w14:paraId="11AF4BE1" w14:textId="77777777" w:rsidR="001D0CEC" w:rsidRPr="002E1E3D" w:rsidRDefault="001D0CEC" w:rsidP="001D0CEC">
      <w:pPr>
        <w:pStyle w:val="MDPI21heading1"/>
        <w:ind w:left="0"/>
        <w:rPr>
          <w:rFonts w:ascii="Times New Roman" w:hAnsi="Times New Roman"/>
          <w:sz w:val="24"/>
          <w:szCs w:val="24"/>
        </w:rPr>
      </w:pPr>
      <w:r w:rsidRPr="002E1E3D">
        <w:rPr>
          <w:rFonts w:ascii="Times New Roman" w:hAnsi="Times New Roman"/>
          <w:sz w:val="24"/>
          <w:szCs w:val="24"/>
          <w:lang w:eastAsia="zh-CN"/>
        </w:rPr>
        <w:t xml:space="preserve">1. </w:t>
      </w:r>
      <w:r w:rsidRPr="002E1E3D">
        <w:rPr>
          <w:rFonts w:ascii="Times New Roman" w:hAnsi="Times New Roman"/>
          <w:sz w:val="24"/>
          <w:szCs w:val="24"/>
        </w:rPr>
        <w:t>Introduction</w:t>
      </w:r>
    </w:p>
    <w:p w14:paraId="503AC630" w14:textId="5CB160EE" w:rsidR="001D0CEC" w:rsidRPr="002E1E3D" w:rsidRDefault="001D0CEC" w:rsidP="001D0CEC">
      <w:pPr>
        <w:pStyle w:val="MDPI31text"/>
        <w:ind w:left="0"/>
        <w:rPr>
          <w:rFonts w:ascii="Times New Roman" w:hAnsi="Times New Roman"/>
          <w:sz w:val="24"/>
          <w:szCs w:val="24"/>
        </w:rPr>
      </w:pPr>
      <w:bookmarkStart w:id="1" w:name="OLE_LINK2"/>
      <w:bookmarkStart w:id="2" w:name="OLE_LINK1"/>
      <w:r w:rsidRPr="002E1E3D">
        <w:rPr>
          <w:rFonts w:ascii="Times New Roman" w:hAnsi="Times New Roman"/>
          <w:sz w:val="24"/>
          <w:szCs w:val="24"/>
        </w:rPr>
        <w:t xml:space="preserve">The rapid adoption of remote work globally has been enabled by advancements in digital technology, which have reshaped workplace dynamics by allowing employees to work from nearly any location. In Indonesia, particularly in urban centers like Jakarta, the adoption of remote work has accelerated, spurred by the COVID-19 pandemic and the increasing availability of digital tools and infrastructure. Remote work now offers employees greater flexibility and autonomy, but it also brings unique challenges, including blurred work-life boundaries, isolation, and an over-reliance on digital communication platforms (Dingel &amp; Neiman, 2020). </w:t>
      </w:r>
    </w:p>
    <w:p w14:paraId="1ADE790F" w14:textId="4483BF8D" w:rsidR="001D0CEC" w:rsidRPr="002E1E3D" w:rsidRDefault="001D0CEC" w:rsidP="002E1E3D">
      <w:pPr>
        <w:pStyle w:val="MDPI31text"/>
        <w:ind w:left="0"/>
        <w:rPr>
          <w:rFonts w:ascii="Times New Roman" w:hAnsi="Times New Roman"/>
          <w:sz w:val="24"/>
          <w:szCs w:val="24"/>
        </w:rPr>
      </w:pPr>
      <w:r w:rsidRPr="002E1E3D">
        <w:rPr>
          <w:rFonts w:ascii="Times New Roman" w:hAnsi="Times New Roman"/>
          <w:sz w:val="24"/>
          <w:szCs w:val="24"/>
        </w:rPr>
        <w:t>Studies have demonstrated that digital tools can enhance employees' autonomy and sense of empowerment, allowing them to manage their schedules and tasks more effectively. Remote work often intensifies the overlap between professional and personal spaces, leading to potential stress and burnout (Maruyama et al., 2009). In Indonesia, these challenges are compounded by varying internet infrastructure and cultural expectations around work-life balance, which may differ from Western remote work models.</w:t>
      </w:r>
      <w:r w:rsidR="002E1E3D">
        <w:rPr>
          <w:rFonts w:ascii="Times New Roman" w:hAnsi="Times New Roman"/>
          <w:sz w:val="24"/>
          <w:szCs w:val="24"/>
        </w:rPr>
        <w:t xml:space="preserve"> </w:t>
      </w:r>
      <w:r w:rsidRPr="002E1E3D">
        <w:rPr>
          <w:rFonts w:ascii="Times New Roman" w:hAnsi="Times New Roman"/>
          <w:sz w:val="24"/>
          <w:szCs w:val="24"/>
        </w:rPr>
        <w:t>Despite the growing shift towards remote work in Indonesia, research on how digital tools affect the experiences of Indonesian remote workers remains limited, particularly regarding empowerment, productivity, job satisfaction, and work-life balance (Jamalulel &amp; Chang, 2025). Many Indonesian remote workers face these issues without adequate guidance on managing the unique demands of remote work, especially given that cultural expectations around work-life balance differ in Indonesia from those in Western countries (Tavares, 2017)</w:t>
      </w:r>
    </w:p>
    <w:p w14:paraId="6A0ADE31" w14:textId="2E4EAA0D" w:rsidR="001D0CEC" w:rsidRPr="002E1E3D" w:rsidRDefault="001D0CEC" w:rsidP="001D0CEC">
      <w:pPr>
        <w:pStyle w:val="MDPI31text"/>
        <w:ind w:left="0"/>
        <w:rPr>
          <w:rFonts w:ascii="Times New Roman" w:hAnsi="Times New Roman"/>
          <w:sz w:val="24"/>
          <w:szCs w:val="24"/>
        </w:rPr>
      </w:pPr>
      <w:r w:rsidRPr="002E1E3D">
        <w:rPr>
          <w:rFonts w:ascii="Times New Roman" w:hAnsi="Times New Roman"/>
          <w:sz w:val="24"/>
          <w:szCs w:val="24"/>
        </w:rPr>
        <w:t>This study seeks to address several research questions. It asks how digital tools empower remote workers, exploring how technology supports productivity, flexibility, and control over work processes. Additionally, the research examines the effects of digital workplace technology on productivity, job satisfaction, and well-being. This study aims to investigate the digital workplace experience of remote workers in Indonesia, addressing critical gaps in knowledge and providing insights into how technology can be leveraged to enhance empowerment, productivity, and overall job satisfaction for remote employees.</w:t>
      </w:r>
      <w:bookmarkEnd w:id="1"/>
      <w:bookmarkEnd w:id="2"/>
    </w:p>
    <w:p w14:paraId="3DFAFD67" w14:textId="77777777" w:rsidR="001D0CEC" w:rsidRPr="002E1E3D" w:rsidRDefault="001D0CEC" w:rsidP="001D0CEC">
      <w:pPr>
        <w:pStyle w:val="MDPI21heading1"/>
        <w:ind w:left="0"/>
        <w:rPr>
          <w:rFonts w:ascii="Times New Roman" w:hAnsi="Times New Roman"/>
          <w:sz w:val="24"/>
          <w:szCs w:val="24"/>
        </w:rPr>
      </w:pPr>
      <w:r w:rsidRPr="002E1E3D">
        <w:rPr>
          <w:rFonts w:ascii="Times New Roman" w:hAnsi="Times New Roman"/>
          <w:sz w:val="24"/>
          <w:szCs w:val="24"/>
        </w:rPr>
        <w:t>2. Literature Review</w:t>
      </w:r>
    </w:p>
    <w:p w14:paraId="36C4E846" w14:textId="3B0F954E" w:rsidR="001D0CEC" w:rsidRPr="002E1E3D" w:rsidRDefault="001D0CEC" w:rsidP="001D0CEC">
      <w:pPr>
        <w:pStyle w:val="MDPI22heading2"/>
        <w:spacing w:before="240" w:line="360" w:lineRule="auto"/>
        <w:ind w:left="0"/>
        <w:rPr>
          <w:rFonts w:ascii="Times New Roman" w:hAnsi="Times New Roman"/>
          <w:sz w:val="24"/>
          <w:szCs w:val="24"/>
        </w:rPr>
      </w:pPr>
      <w:r w:rsidRPr="002E1E3D">
        <w:rPr>
          <w:rFonts w:ascii="Times New Roman" w:hAnsi="Times New Roman"/>
          <w:sz w:val="24"/>
          <w:szCs w:val="24"/>
        </w:rPr>
        <w:t>2.1. Digital Transformation and Remote Work</w:t>
      </w:r>
    </w:p>
    <w:p w14:paraId="62F86988" w14:textId="1A60E95C"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 xml:space="preserve">Digital transformation has been a key driver in the adoption of remote work. Tools such as collaborative software, cloud storage, and virtual meeting platforms have allowed employees to </w:t>
      </w:r>
      <w:r w:rsidRPr="002E1E3D">
        <w:rPr>
          <w:rFonts w:ascii="Times New Roman" w:hAnsi="Times New Roman"/>
          <w:sz w:val="24"/>
          <w:szCs w:val="24"/>
        </w:rPr>
        <w:lastRenderedPageBreak/>
        <w:t>remain productive outside of traditional office environments (</w:t>
      </w:r>
      <w:r w:rsidRPr="00DC137F">
        <w:rPr>
          <w:rFonts w:ascii="Times New Roman" w:hAnsi="Times New Roman"/>
          <w:sz w:val="24"/>
          <w:szCs w:val="24"/>
        </w:rPr>
        <w:t>Marion</w:t>
      </w:r>
      <w:r w:rsidRPr="002E1E3D">
        <w:rPr>
          <w:rFonts w:ascii="Times New Roman" w:hAnsi="Times New Roman"/>
          <w:sz w:val="24"/>
          <w:szCs w:val="24"/>
        </w:rPr>
        <w:t xml:space="preserve"> </w:t>
      </w:r>
      <w:r w:rsidRPr="00DC137F">
        <w:rPr>
          <w:rFonts w:ascii="Times New Roman" w:hAnsi="Times New Roman"/>
          <w:sz w:val="24"/>
          <w:szCs w:val="24"/>
        </w:rPr>
        <w:t xml:space="preserve">&amp; </w:t>
      </w:r>
      <w:proofErr w:type="spellStart"/>
      <w:r w:rsidRPr="00DC137F">
        <w:rPr>
          <w:rFonts w:ascii="Times New Roman" w:hAnsi="Times New Roman"/>
          <w:sz w:val="24"/>
          <w:szCs w:val="24"/>
        </w:rPr>
        <w:t>Fixson</w:t>
      </w:r>
      <w:proofErr w:type="spellEnd"/>
      <w:r w:rsidRPr="00DC137F">
        <w:rPr>
          <w:rFonts w:ascii="Times New Roman" w:hAnsi="Times New Roman"/>
          <w:sz w:val="24"/>
          <w:szCs w:val="24"/>
        </w:rPr>
        <w:t>, 2021)</w:t>
      </w:r>
      <w:r w:rsidRPr="002E1E3D">
        <w:rPr>
          <w:rFonts w:ascii="Times New Roman" w:hAnsi="Times New Roman"/>
          <w:sz w:val="24"/>
          <w:szCs w:val="24"/>
        </w:rPr>
        <w:t>. Research suggests that digital tools can empower workers by giving them greater control over their work processes and providing flexibility (</w:t>
      </w:r>
      <w:proofErr w:type="spellStart"/>
      <w:r w:rsidRPr="00DC137F">
        <w:rPr>
          <w:rFonts w:ascii="Times New Roman" w:hAnsi="Times New Roman"/>
          <w:sz w:val="24"/>
          <w:szCs w:val="24"/>
        </w:rPr>
        <w:t>Hannola</w:t>
      </w:r>
      <w:proofErr w:type="spellEnd"/>
      <w:r w:rsidRPr="002E1E3D">
        <w:rPr>
          <w:rFonts w:ascii="Times New Roman" w:hAnsi="Times New Roman"/>
          <w:sz w:val="24"/>
          <w:szCs w:val="24"/>
        </w:rPr>
        <w:t xml:space="preserve"> et al., 2018). Digital transformation refers to the integration of digital technologies into all areas of business, resulting in fundamental changes in how organizations operate and deliver value to clients (</w:t>
      </w:r>
      <w:r w:rsidRPr="00DC137F">
        <w:rPr>
          <w:rFonts w:ascii="Times New Roman" w:hAnsi="Times New Roman"/>
          <w:sz w:val="24"/>
          <w:szCs w:val="24"/>
        </w:rPr>
        <w:t>Westerman</w:t>
      </w:r>
      <w:r w:rsidRPr="002E1E3D">
        <w:rPr>
          <w:rFonts w:ascii="Times New Roman" w:hAnsi="Times New Roman"/>
          <w:sz w:val="24"/>
          <w:szCs w:val="24"/>
        </w:rPr>
        <w:t>, 2014). In the context of remote work, digital transformation has made it possible for companies to remain productive by utilizing a range of technologies, including virtual communication platforms, cloud storage, and collaborative software. These tools help teams to stay connected and maintain productivity, even without physical proximity (</w:t>
      </w:r>
      <w:r w:rsidRPr="00DC137F">
        <w:rPr>
          <w:rFonts w:ascii="Times New Roman" w:hAnsi="Times New Roman"/>
          <w:sz w:val="24"/>
          <w:szCs w:val="24"/>
        </w:rPr>
        <w:t xml:space="preserve">Messenger &amp; Gschwind, 2016). </w:t>
      </w:r>
    </w:p>
    <w:p w14:paraId="6EF577FF" w14:textId="77777777" w:rsidR="001D0CEC" w:rsidRPr="002E1E3D" w:rsidRDefault="001D0CEC" w:rsidP="001D0CEC">
      <w:pPr>
        <w:pStyle w:val="MDPI22heading2"/>
        <w:spacing w:before="240" w:line="360" w:lineRule="auto"/>
        <w:ind w:left="0"/>
        <w:rPr>
          <w:rFonts w:ascii="Times New Roman" w:hAnsi="Times New Roman"/>
          <w:sz w:val="24"/>
          <w:szCs w:val="24"/>
        </w:rPr>
      </w:pPr>
      <w:r w:rsidRPr="002E1E3D">
        <w:rPr>
          <w:rFonts w:ascii="Times New Roman" w:hAnsi="Times New Roman"/>
          <w:sz w:val="24"/>
          <w:szCs w:val="24"/>
        </w:rPr>
        <w:t>2.2. Empowerment and Productivity in Remote Work</w:t>
      </w:r>
    </w:p>
    <w:p w14:paraId="5A095990" w14:textId="5E957368"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Empowerment is defined as the degree of autonomy, discretion, and control workers experience over their tasks. The digital workplace has fundamentally altered how employees perceive their autonomy and productivity, especially within remote work environments. Digital tools, which are central to remote work, provide employees with increased flexibility, enabling them to control their schedules, workspaces, and tasks, contributing to a heightened sense of empowerment</w:t>
      </w:r>
      <w:r w:rsidR="000C43B3" w:rsidRPr="002E1E3D">
        <w:rPr>
          <w:rFonts w:ascii="Times New Roman" w:hAnsi="Times New Roman"/>
          <w:sz w:val="24"/>
          <w:szCs w:val="24"/>
        </w:rPr>
        <w:t xml:space="preserve"> (</w:t>
      </w:r>
      <w:r w:rsidR="000C43B3" w:rsidRPr="00DC137F">
        <w:rPr>
          <w:rFonts w:ascii="Times New Roman" w:hAnsi="Times New Roman"/>
          <w:sz w:val="24"/>
          <w:szCs w:val="24"/>
        </w:rPr>
        <w:t>Demerouti</w:t>
      </w:r>
      <w:r w:rsidR="000C43B3" w:rsidRPr="002E1E3D">
        <w:rPr>
          <w:rFonts w:ascii="Times New Roman" w:hAnsi="Times New Roman"/>
          <w:sz w:val="24"/>
          <w:szCs w:val="24"/>
        </w:rPr>
        <w:t xml:space="preserve"> et al., 2014)</w:t>
      </w:r>
      <w:r w:rsidRPr="002E1E3D">
        <w:rPr>
          <w:rFonts w:ascii="Times New Roman" w:hAnsi="Times New Roman"/>
          <w:sz w:val="24"/>
          <w:szCs w:val="24"/>
        </w:rPr>
        <w:t xml:space="preserve">. Studies indicate that empowered employees tend to exhibit higher productivity and job satisfaction </w:t>
      </w:r>
      <w:r w:rsidR="000C43B3" w:rsidRPr="002E1E3D">
        <w:rPr>
          <w:rFonts w:ascii="Times New Roman" w:hAnsi="Times New Roman"/>
          <w:sz w:val="24"/>
          <w:szCs w:val="24"/>
        </w:rPr>
        <w:t>(Jamalulel, 2025).</w:t>
      </w:r>
      <w:r w:rsidRPr="002E1E3D">
        <w:rPr>
          <w:rFonts w:ascii="Times New Roman" w:hAnsi="Times New Roman"/>
          <w:sz w:val="24"/>
          <w:szCs w:val="24"/>
        </w:rPr>
        <w:t xml:space="preserve"> Research indicates that empowered employees often exhibit higher engagement and productivity, as the ability to manage their own time and resources positively influences their job satisfaction and performance </w:t>
      </w:r>
      <w:r w:rsidR="000C43B3" w:rsidRPr="002E1E3D">
        <w:rPr>
          <w:rFonts w:ascii="Times New Roman" w:hAnsi="Times New Roman"/>
          <w:sz w:val="24"/>
          <w:szCs w:val="24"/>
        </w:rPr>
        <w:t>(</w:t>
      </w:r>
      <w:r w:rsidR="000C43B3" w:rsidRPr="00DC137F">
        <w:rPr>
          <w:rFonts w:ascii="Times New Roman" w:hAnsi="Times New Roman"/>
          <w:sz w:val="24"/>
          <w:szCs w:val="24"/>
        </w:rPr>
        <w:t>Grant</w:t>
      </w:r>
      <w:r w:rsidR="000C43B3" w:rsidRPr="002E1E3D">
        <w:rPr>
          <w:rFonts w:ascii="Times New Roman" w:hAnsi="Times New Roman"/>
          <w:sz w:val="24"/>
          <w:szCs w:val="24"/>
        </w:rPr>
        <w:t xml:space="preserve"> et al., 2013)</w:t>
      </w:r>
      <w:r w:rsidRPr="002E1E3D">
        <w:rPr>
          <w:rFonts w:ascii="Times New Roman" w:hAnsi="Times New Roman"/>
          <w:sz w:val="24"/>
          <w:szCs w:val="24"/>
        </w:rPr>
        <w:t>.</w:t>
      </w:r>
    </w:p>
    <w:p w14:paraId="33BDC0C1" w14:textId="77777777" w:rsidR="001D0CEC" w:rsidRPr="002E1E3D" w:rsidRDefault="001D0CEC" w:rsidP="001D0CEC">
      <w:pPr>
        <w:pStyle w:val="MDPI22heading2"/>
        <w:spacing w:before="240" w:line="360" w:lineRule="auto"/>
        <w:ind w:left="0"/>
        <w:rPr>
          <w:rFonts w:ascii="Times New Roman" w:hAnsi="Times New Roman"/>
          <w:sz w:val="24"/>
          <w:szCs w:val="24"/>
        </w:rPr>
      </w:pPr>
      <w:r w:rsidRPr="002E1E3D">
        <w:rPr>
          <w:rFonts w:ascii="Times New Roman" w:hAnsi="Times New Roman"/>
          <w:sz w:val="24"/>
          <w:szCs w:val="24"/>
        </w:rPr>
        <w:t>2.3. Benefits and Challenges of Remote Work in Indonesia</w:t>
      </w:r>
    </w:p>
    <w:p w14:paraId="17F622BD" w14:textId="6FD20A48" w:rsidR="001D0CEC" w:rsidRPr="002E1E3D" w:rsidRDefault="001D0CEC" w:rsidP="001D0CEC">
      <w:pPr>
        <w:pStyle w:val="MDPI31text"/>
        <w:spacing w:line="240" w:lineRule="auto"/>
        <w:ind w:left="0" w:firstLine="426"/>
        <w:rPr>
          <w:rFonts w:ascii="Times New Roman" w:hAnsi="Times New Roman"/>
          <w:sz w:val="24"/>
          <w:szCs w:val="24"/>
        </w:rPr>
      </w:pPr>
      <w:r w:rsidRPr="002E1E3D">
        <w:rPr>
          <w:rFonts w:ascii="Times New Roman" w:hAnsi="Times New Roman"/>
          <w:sz w:val="24"/>
          <w:szCs w:val="24"/>
        </w:rPr>
        <w:t>Remote working has introduced some benefits and challenges. On the benefits side, remote work offers increased flexibility, allowing employees to customize their work environment, manage their time effectively, and reduce or eliminate commuting. This flexibility can also boost productivity, as employees can structure their day to match their peak performance periods, which is often more difficult in traditional office settings</w:t>
      </w:r>
      <w:r w:rsidR="000C43B3" w:rsidRPr="002E1E3D">
        <w:rPr>
          <w:rFonts w:ascii="Times New Roman" w:hAnsi="Times New Roman"/>
          <w:sz w:val="24"/>
          <w:szCs w:val="24"/>
        </w:rPr>
        <w:t xml:space="preserve"> (</w:t>
      </w:r>
      <w:r w:rsidR="000C43B3" w:rsidRPr="00DC137F">
        <w:rPr>
          <w:rFonts w:ascii="Times New Roman" w:hAnsi="Times New Roman"/>
          <w:sz w:val="24"/>
          <w:szCs w:val="24"/>
        </w:rPr>
        <w:t>Spreitzer, 1995</w:t>
      </w:r>
      <w:r w:rsidR="000C43B3" w:rsidRPr="002E1E3D">
        <w:rPr>
          <w:rFonts w:ascii="Times New Roman" w:hAnsi="Times New Roman"/>
          <w:sz w:val="24"/>
          <w:szCs w:val="24"/>
        </w:rPr>
        <w:t>)</w:t>
      </w:r>
      <w:r w:rsidRPr="002E1E3D">
        <w:rPr>
          <w:rFonts w:ascii="Times New Roman" w:hAnsi="Times New Roman"/>
          <w:sz w:val="24"/>
          <w:szCs w:val="24"/>
        </w:rPr>
        <w:t>. Additionally, remote work enables organizations to expand their talent pool geographically, accessing skilled employees without the limitations of location</w:t>
      </w:r>
      <w:r w:rsidR="000C43B3" w:rsidRPr="002E1E3D">
        <w:rPr>
          <w:rFonts w:ascii="Times New Roman" w:hAnsi="Times New Roman"/>
          <w:sz w:val="24"/>
          <w:szCs w:val="24"/>
        </w:rPr>
        <w:t xml:space="preserve"> (Bloom, 2015)</w:t>
      </w:r>
      <w:r w:rsidRPr="002E1E3D">
        <w:rPr>
          <w:rFonts w:ascii="Times New Roman" w:hAnsi="Times New Roman"/>
          <w:sz w:val="24"/>
          <w:szCs w:val="24"/>
        </w:rPr>
        <w:t>.</w:t>
      </w:r>
    </w:p>
    <w:p w14:paraId="233254FF" w14:textId="49CC5C77" w:rsidR="001D0CEC" w:rsidRDefault="001D0CEC" w:rsidP="001D0CEC">
      <w:pPr>
        <w:pStyle w:val="MDPI31text"/>
        <w:spacing w:line="240" w:lineRule="auto"/>
        <w:ind w:left="0" w:firstLine="426"/>
        <w:rPr>
          <w:rFonts w:ascii="Times New Roman" w:hAnsi="Times New Roman"/>
          <w:sz w:val="24"/>
          <w:szCs w:val="24"/>
        </w:rPr>
      </w:pPr>
      <w:r w:rsidRPr="002E1E3D">
        <w:rPr>
          <w:rFonts w:ascii="Times New Roman" w:hAnsi="Times New Roman"/>
          <w:sz w:val="24"/>
          <w:szCs w:val="24"/>
        </w:rPr>
        <w:t xml:space="preserve">However, remote work also introduces several challenges that can affect employee productivity and well-being. A primary concern is the potential for social isolation, as remote employees may experience a lack of connection with colleagues, leading to feelings of loneliness and decreased morale </w:t>
      </w:r>
      <w:r w:rsidR="000C43B3" w:rsidRPr="002E1E3D">
        <w:rPr>
          <w:rFonts w:ascii="Times New Roman" w:hAnsi="Times New Roman"/>
          <w:sz w:val="24"/>
          <w:szCs w:val="24"/>
        </w:rPr>
        <w:t xml:space="preserve">(Bartik et al., 2020). </w:t>
      </w:r>
      <w:r w:rsidRPr="002E1E3D">
        <w:rPr>
          <w:rFonts w:ascii="Times New Roman" w:hAnsi="Times New Roman"/>
          <w:sz w:val="24"/>
          <w:szCs w:val="24"/>
        </w:rPr>
        <w:t>Another significant challenge of remote work is the blurring of work-life boundaries, which can lead to overwork and burnout</w:t>
      </w:r>
      <w:r w:rsidR="002E1E3D" w:rsidRPr="002E1E3D">
        <w:rPr>
          <w:rFonts w:ascii="Times New Roman" w:hAnsi="Times New Roman"/>
          <w:sz w:val="24"/>
          <w:szCs w:val="24"/>
        </w:rPr>
        <w:t xml:space="preserve"> (Golden et al., 2008)</w:t>
      </w:r>
      <w:r w:rsidRPr="002E1E3D">
        <w:rPr>
          <w:rFonts w:ascii="Times New Roman" w:hAnsi="Times New Roman"/>
          <w:sz w:val="24"/>
          <w:szCs w:val="24"/>
        </w:rPr>
        <w:t>. Many remote workers find it difficult to disengage after hours, leading to an “always-on” culture that erodes work-life balance and increases stress. Technological issues, such as digital inequality or inadequate home office setups, further complicate remote work, particularly in developing regions where digital infrastructure may be inconsistent.</w:t>
      </w:r>
    </w:p>
    <w:p w14:paraId="7FB26A9F" w14:textId="77777777" w:rsidR="002E1E3D" w:rsidRDefault="002E1E3D" w:rsidP="001D0CEC">
      <w:pPr>
        <w:pStyle w:val="MDPI31text"/>
        <w:spacing w:line="240" w:lineRule="auto"/>
        <w:ind w:left="0" w:firstLine="426"/>
        <w:rPr>
          <w:rFonts w:ascii="Times New Roman" w:hAnsi="Times New Roman"/>
          <w:sz w:val="24"/>
          <w:szCs w:val="24"/>
        </w:rPr>
      </w:pPr>
    </w:p>
    <w:p w14:paraId="00F68E00" w14:textId="77777777" w:rsidR="002E1E3D" w:rsidRPr="002E1E3D" w:rsidRDefault="002E1E3D" w:rsidP="001D0CEC">
      <w:pPr>
        <w:pStyle w:val="MDPI31text"/>
        <w:spacing w:line="240" w:lineRule="auto"/>
        <w:ind w:left="0" w:firstLine="426"/>
        <w:rPr>
          <w:rFonts w:ascii="Times New Roman" w:hAnsi="Times New Roman"/>
          <w:sz w:val="24"/>
          <w:szCs w:val="24"/>
        </w:rPr>
      </w:pPr>
    </w:p>
    <w:p w14:paraId="5CF37CDF" w14:textId="77777777" w:rsidR="001D0CEC" w:rsidRPr="002E1E3D" w:rsidRDefault="001D0CEC" w:rsidP="001D0CEC">
      <w:pPr>
        <w:pStyle w:val="MDPI21heading1"/>
        <w:spacing w:line="360" w:lineRule="auto"/>
        <w:ind w:left="0"/>
        <w:rPr>
          <w:rFonts w:ascii="Times New Roman" w:hAnsi="Times New Roman"/>
          <w:sz w:val="24"/>
          <w:szCs w:val="24"/>
        </w:rPr>
      </w:pPr>
      <w:r w:rsidRPr="002E1E3D">
        <w:rPr>
          <w:rFonts w:ascii="Times New Roman" w:hAnsi="Times New Roman"/>
          <w:sz w:val="24"/>
          <w:szCs w:val="24"/>
          <w:lang w:eastAsia="zh-CN"/>
        </w:rPr>
        <w:t xml:space="preserve">3. </w:t>
      </w:r>
      <w:r w:rsidRPr="002E1E3D">
        <w:rPr>
          <w:rFonts w:ascii="Times New Roman" w:hAnsi="Times New Roman"/>
          <w:sz w:val="24"/>
          <w:szCs w:val="24"/>
        </w:rPr>
        <w:t>Methods</w:t>
      </w:r>
    </w:p>
    <w:p w14:paraId="040A66BC" w14:textId="5C7230A2"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 xml:space="preserve">This study adopts a qualitative methodology to explore remote workers' experiences in Indonesia. It utilizes the Narrative Analysis Approach, which focuses on participants' stories and personal accounts to understand their experiences and perspectives. A category of qualitative </w:t>
      </w:r>
      <w:r w:rsidRPr="002E1E3D">
        <w:rPr>
          <w:rFonts w:ascii="Times New Roman" w:hAnsi="Times New Roman"/>
          <w:sz w:val="24"/>
          <w:szCs w:val="24"/>
        </w:rPr>
        <w:lastRenderedPageBreak/>
        <w:t xml:space="preserve">research design known as "Narrative Inquiry" uses stories to explain human behavior </w:t>
      </w:r>
      <w:r w:rsidR="000C43B3" w:rsidRPr="002E1E3D">
        <w:rPr>
          <w:rFonts w:ascii="Times New Roman" w:hAnsi="Times New Roman"/>
          <w:sz w:val="24"/>
          <w:szCs w:val="24"/>
        </w:rPr>
        <w:t>(</w:t>
      </w:r>
      <w:r w:rsidR="002E1E3D" w:rsidRPr="002E1E3D">
        <w:rPr>
          <w:rFonts w:ascii="Times New Roman" w:hAnsi="Times New Roman"/>
          <w:sz w:val="24"/>
          <w:szCs w:val="24"/>
        </w:rPr>
        <w:t xml:space="preserve">Palinkas </w:t>
      </w:r>
      <w:r w:rsidR="000C43B3" w:rsidRPr="002E1E3D">
        <w:rPr>
          <w:rFonts w:ascii="Times New Roman" w:hAnsi="Times New Roman"/>
          <w:sz w:val="24"/>
          <w:szCs w:val="24"/>
        </w:rPr>
        <w:t>et al., 20</w:t>
      </w:r>
      <w:r w:rsidR="002E1E3D" w:rsidRPr="002E1E3D">
        <w:rPr>
          <w:rFonts w:ascii="Times New Roman" w:hAnsi="Times New Roman"/>
          <w:sz w:val="24"/>
          <w:szCs w:val="24"/>
        </w:rPr>
        <w:t>15</w:t>
      </w:r>
      <w:r w:rsidR="000C43B3" w:rsidRPr="002E1E3D">
        <w:rPr>
          <w:rFonts w:ascii="Times New Roman" w:hAnsi="Times New Roman"/>
          <w:sz w:val="24"/>
          <w:szCs w:val="24"/>
        </w:rPr>
        <w:t>)</w:t>
      </w:r>
      <w:r w:rsidRPr="002E1E3D">
        <w:rPr>
          <w:rFonts w:ascii="Times New Roman" w:hAnsi="Times New Roman"/>
          <w:sz w:val="24"/>
          <w:szCs w:val="24"/>
        </w:rPr>
        <w:t xml:space="preserve">. The study employs purposive sampling to select participants who can provide rich insights into the digital workplace experience. The sample includes 18 remote workers with various job roles, in different major cities, and with varying levels of experience in Indonesia. These participants are selected based on their experience with remote work and frequent use of digital tools, ensuring they have relevant insights into the impact of digital technologies on their work. Data collection will be conducted through e-interviews, primarily focused on qualitative research. This methodology emphasizes using electronic communication forms to conduct interviews, which can provide flexibility, accessibility, and convenience for both researchers and participants </w:t>
      </w:r>
      <w:r w:rsidR="000C43B3" w:rsidRPr="002E1E3D">
        <w:rPr>
          <w:rFonts w:ascii="Times New Roman" w:hAnsi="Times New Roman"/>
          <w:sz w:val="24"/>
          <w:szCs w:val="24"/>
        </w:rPr>
        <w:t>(</w:t>
      </w:r>
      <w:r w:rsidR="000C43B3" w:rsidRPr="00DC137F">
        <w:rPr>
          <w:rFonts w:ascii="Times New Roman" w:hAnsi="Times New Roman"/>
          <w:sz w:val="24"/>
          <w:szCs w:val="24"/>
        </w:rPr>
        <w:t>Bampton</w:t>
      </w:r>
      <w:r w:rsidR="000C43B3" w:rsidRPr="002E1E3D">
        <w:rPr>
          <w:rFonts w:ascii="Times New Roman" w:hAnsi="Times New Roman"/>
          <w:sz w:val="24"/>
          <w:szCs w:val="24"/>
        </w:rPr>
        <w:t xml:space="preserve"> et al., 2014)</w:t>
      </w:r>
      <w:r w:rsidRPr="002E1E3D">
        <w:rPr>
          <w:rFonts w:ascii="Times New Roman" w:hAnsi="Times New Roman"/>
          <w:sz w:val="24"/>
          <w:szCs w:val="24"/>
        </w:rPr>
        <w:t>. This method allows participants to share their experiences and insights freely while ensuring that key themes are consistently addressed. The interview questions are designed to explore:</w:t>
      </w:r>
    </w:p>
    <w:p w14:paraId="14CD7CE6" w14:textId="77777777" w:rsidR="001D0CEC" w:rsidRPr="002E1E3D" w:rsidRDefault="001D0CEC" w:rsidP="001D0CEC">
      <w:pPr>
        <w:pStyle w:val="MDPI31text"/>
        <w:numPr>
          <w:ilvl w:val="0"/>
          <w:numId w:val="1"/>
        </w:numPr>
        <w:ind w:left="426"/>
        <w:rPr>
          <w:rFonts w:ascii="Times New Roman" w:hAnsi="Times New Roman"/>
          <w:sz w:val="24"/>
          <w:szCs w:val="24"/>
        </w:rPr>
      </w:pPr>
      <w:r w:rsidRPr="002E1E3D">
        <w:rPr>
          <w:rFonts w:ascii="Times New Roman" w:hAnsi="Times New Roman"/>
          <w:sz w:val="24"/>
          <w:szCs w:val="24"/>
        </w:rPr>
        <w:t>Participants' Perception and Experience</w:t>
      </w:r>
    </w:p>
    <w:p w14:paraId="4042C35A" w14:textId="77777777" w:rsidR="001D0CEC" w:rsidRPr="002E1E3D" w:rsidRDefault="001D0CEC" w:rsidP="001D0CEC">
      <w:pPr>
        <w:pStyle w:val="MDPI31text"/>
        <w:numPr>
          <w:ilvl w:val="0"/>
          <w:numId w:val="1"/>
        </w:numPr>
        <w:ind w:left="426"/>
        <w:rPr>
          <w:rFonts w:ascii="Times New Roman" w:hAnsi="Times New Roman"/>
          <w:sz w:val="24"/>
          <w:szCs w:val="24"/>
        </w:rPr>
      </w:pPr>
      <w:r w:rsidRPr="002E1E3D">
        <w:rPr>
          <w:rFonts w:ascii="Times New Roman" w:hAnsi="Times New Roman"/>
          <w:sz w:val="24"/>
          <w:szCs w:val="24"/>
        </w:rPr>
        <w:t xml:space="preserve">The perceived impact of digital tools </w:t>
      </w:r>
    </w:p>
    <w:p w14:paraId="18449B12" w14:textId="0FE353C6" w:rsidR="001D0CEC" w:rsidRPr="002E1E3D" w:rsidRDefault="001D0CEC" w:rsidP="001D0CEC">
      <w:pPr>
        <w:pStyle w:val="MDPI31text"/>
        <w:numPr>
          <w:ilvl w:val="0"/>
          <w:numId w:val="1"/>
        </w:numPr>
        <w:ind w:left="426"/>
        <w:rPr>
          <w:rFonts w:ascii="Times New Roman" w:hAnsi="Times New Roman"/>
          <w:sz w:val="24"/>
          <w:szCs w:val="24"/>
        </w:rPr>
      </w:pPr>
      <w:r w:rsidRPr="002E1E3D">
        <w:rPr>
          <w:rFonts w:ascii="Times New Roman" w:hAnsi="Times New Roman"/>
          <w:sz w:val="24"/>
          <w:szCs w:val="24"/>
        </w:rPr>
        <w:t xml:space="preserve">The challenges participants face in digital tools and </w:t>
      </w:r>
      <w:r w:rsidR="000C43B3" w:rsidRPr="002E1E3D">
        <w:rPr>
          <w:rFonts w:ascii="Times New Roman" w:hAnsi="Times New Roman"/>
          <w:sz w:val="24"/>
          <w:szCs w:val="24"/>
        </w:rPr>
        <w:t xml:space="preserve">the </w:t>
      </w:r>
      <w:r w:rsidRPr="002E1E3D">
        <w:rPr>
          <w:rFonts w:ascii="Times New Roman" w:hAnsi="Times New Roman"/>
          <w:sz w:val="24"/>
          <w:szCs w:val="24"/>
        </w:rPr>
        <w:t>workplace</w:t>
      </w:r>
    </w:p>
    <w:p w14:paraId="7ABDDE42" w14:textId="0DB249C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Each interview will last approximately 45-60 minutes and will be conducted via video conferencing to maintain consistency with the digital work environment. With the participants’ consent, interviews will be recorded and transcribed for analysis. The questions were developed from some studies such as </w:t>
      </w:r>
      <w:proofErr w:type="spellStart"/>
      <w:r w:rsidRPr="002E1E3D">
        <w:rPr>
          <w:rFonts w:ascii="Times New Roman" w:hAnsi="Times New Roman"/>
          <w:sz w:val="24"/>
          <w:szCs w:val="24"/>
        </w:rPr>
        <w:t>Purvanova</w:t>
      </w:r>
      <w:proofErr w:type="spellEnd"/>
      <w:r w:rsidRPr="002E1E3D">
        <w:rPr>
          <w:rFonts w:ascii="Times New Roman" w:hAnsi="Times New Roman"/>
          <w:sz w:val="24"/>
          <w:szCs w:val="24"/>
        </w:rPr>
        <w:t xml:space="preserve"> &amp; Bono (2009); E. E. </w:t>
      </w:r>
      <w:proofErr w:type="spellStart"/>
      <w:r w:rsidRPr="002E1E3D">
        <w:rPr>
          <w:rFonts w:ascii="Times New Roman" w:hAnsi="Times New Roman"/>
          <w:sz w:val="24"/>
          <w:szCs w:val="24"/>
        </w:rPr>
        <w:t>Kossek</w:t>
      </w:r>
      <w:proofErr w:type="spellEnd"/>
      <w:r w:rsidRPr="002E1E3D">
        <w:rPr>
          <w:rFonts w:ascii="Times New Roman" w:hAnsi="Times New Roman"/>
          <w:sz w:val="24"/>
          <w:szCs w:val="24"/>
        </w:rPr>
        <w:t xml:space="preserve"> et al. (2012); Matli &amp; Wamba (2023).</w:t>
      </w:r>
    </w:p>
    <w:p w14:paraId="11193782" w14:textId="77777777" w:rsidR="001D0CEC" w:rsidRPr="002E1E3D" w:rsidRDefault="001D0CEC" w:rsidP="001D0CEC">
      <w:pPr>
        <w:pStyle w:val="MDPI21heading1"/>
        <w:spacing w:line="360" w:lineRule="auto"/>
        <w:ind w:left="0"/>
        <w:rPr>
          <w:rFonts w:ascii="Times New Roman" w:hAnsi="Times New Roman"/>
          <w:sz w:val="24"/>
          <w:szCs w:val="24"/>
        </w:rPr>
      </w:pPr>
      <w:r w:rsidRPr="002E1E3D">
        <w:rPr>
          <w:rFonts w:ascii="Times New Roman" w:hAnsi="Times New Roman"/>
          <w:sz w:val="24"/>
          <w:szCs w:val="24"/>
          <w:lang w:eastAsia="zh-CN"/>
        </w:rPr>
        <w:t xml:space="preserve">4. </w:t>
      </w:r>
      <w:r w:rsidRPr="002E1E3D">
        <w:rPr>
          <w:rFonts w:ascii="Times New Roman" w:hAnsi="Times New Roman"/>
          <w:sz w:val="24"/>
          <w:szCs w:val="24"/>
        </w:rPr>
        <w:t>Discussion</w:t>
      </w:r>
    </w:p>
    <w:p w14:paraId="0F733AA4" w14:textId="77777777" w:rsidR="001D0CEC" w:rsidRPr="002E1E3D" w:rsidRDefault="001D0CEC" w:rsidP="001D0CEC">
      <w:pPr>
        <w:pStyle w:val="MDPI31text"/>
        <w:ind w:left="0"/>
        <w:rPr>
          <w:rFonts w:ascii="Times New Roman" w:hAnsi="Times New Roman"/>
          <w:sz w:val="24"/>
          <w:szCs w:val="24"/>
        </w:rPr>
      </w:pPr>
      <w:r w:rsidRPr="002E1E3D">
        <w:rPr>
          <w:rFonts w:ascii="Times New Roman" w:hAnsi="Times New Roman"/>
          <w:sz w:val="24"/>
          <w:szCs w:val="24"/>
        </w:rPr>
        <w:t>The findings of this qualitative study provide valuable insights into Indonesian remote workers' experiences and perceptions regarding the integration of digital technology in the digital workplace. Table 1 provides an overview of the participants’ demographics. This study represents 18 remote workers among Indonesian employees.</w:t>
      </w:r>
    </w:p>
    <w:p w14:paraId="529D52D6" w14:textId="77777777" w:rsidR="001D0CEC" w:rsidRPr="002E1E3D" w:rsidRDefault="001D0CEC" w:rsidP="001D0CEC">
      <w:pPr>
        <w:pStyle w:val="MDPI41tablecaption"/>
        <w:spacing w:before="120" w:after="240"/>
        <w:ind w:left="0"/>
        <w:jc w:val="both"/>
        <w:rPr>
          <w:rFonts w:ascii="Times New Roman" w:hAnsi="Times New Roman" w:cs="Times New Roman"/>
          <w:sz w:val="24"/>
          <w:szCs w:val="24"/>
        </w:rPr>
      </w:pPr>
      <w:r w:rsidRPr="002E1E3D">
        <w:rPr>
          <w:rFonts w:ascii="Times New Roman" w:hAnsi="Times New Roman" w:cs="Times New Roman"/>
          <w:b/>
          <w:sz w:val="24"/>
          <w:szCs w:val="24"/>
        </w:rPr>
        <w:t>Table 1.</w:t>
      </w:r>
      <w:r w:rsidRPr="002E1E3D">
        <w:rPr>
          <w:rFonts w:ascii="Times New Roman" w:hAnsi="Times New Roman" w:cs="Times New Roman"/>
          <w:sz w:val="24"/>
          <w:szCs w:val="24"/>
        </w:rPr>
        <w:t xml:space="preserve"> Overview Participants.</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120"/>
        <w:gridCol w:w="3121"/>
        <w:gridCol w:w="3119"/>
      </w:tblGrid>
      <w:tr w:rsidR="001D0CEC" w:rsidRPr="002E1E3D" w14:paraId="343E913E" w14:textId="77777777" w:rsidTr="0092237D">
        <w:trPr>
          <w:tblHeader/>
        </w:trPr>
        <w:tc>
          <w:tcPr>
            <w:tcW w:w="1667" w:type="pct"/>
            <w:tcBorders>
              <w:bottom w:val="single" w:sz="4" w:space="0" w:color="auto"/>
            </w:tcBorders>
            <w:vAlign w:val="center"/>
          </w:tcPr>
          <w:p w14:paraId="787FAA7D" w14:textId="77777777" w:rsidR="001D0CEC" w:rsidRPr="002E1E3D" w:rsidRDefault="001D0CEC" w:rsidP="0092237D">
            <w:pPr>
              <w:pStyle w:val="MDPI42tablebody"/>
              <w:spacing w:line="240" w:lineRule="auto"/>
              <w:rPr>
                <w:rFonts w:ascii="Times New Roman" w:hAnsi="Times New Roman"/>
                <w:b/>
                <w:snapToGrid/>
              </w:rPr>
            </w:pPr>
            <w:r w:rsidRPr="002E1E3D">
              <w:rPr>
                <w:rFonts w:ascii="Times New Roman" w:hAnsi="Times New Roman"/>
                <w:b/>
                <w:snapToGrid/>
              </w:rPr>
              <w:t>Profile</w:t>
            </w:r>
          </w:p>
        </w:tc>
        <w:tc>
          <w:tcPr>
            <w:tcW w:w="1667" w:type="pct"/>
            <w:tcBorders>
              <w:bottom w:val="single" w:sz="4" w:space="0" w:color="auto"/>
            </w:tcBorders>
            <w:vAlign w:val="center"/>
          </w:tcPr>
          <w:p w14:paraId="54BC79F1" w14:textId="77777777" w:rsidR="001D0CEC" w:rsidRPr="002E1E3D" w:rsidRDefault="001D0CEC" w:rsidP="0092237D">
            <w:pPr>
              <w:pStyle w:val="MDPI42tablebody"/>
              <w:spacing w:line="240" w:lineRule="auto"/>
              <w:rPr>
                <w:rFonts w:ascii="Times New Roman" w:hAnsi="Times New Roman"/>
                <w:b/>
                <w:snapToGrid/>
              </w:rPr>
            </w:pPr>
            <w:r w:rsidRPr="002E1E3D">
              <w:rPr>
                <w:rFonts w:ascii="Times New Roman" w:hAnsi="Times New Roman"/>
                <w:b/>
                <w:snapToGrid/>
              </w:rPr>
              <w:t>Categories</w:t>
            </w:r>
          </w:p>
        </w:tc>
        <w:tc>
          <w:tcPr>
            <w:tcW w:w="1666" w:type="pct"/>
            <w:tcBorders>
              <w:bottom w:val="single" w:sz="4" w:space="0" w:color="auto"/>
            </w:tcBorders>
            <w:vAlign w:val="center"/>
          </w:tcPr>
          <w:p w14:paraId="5D9EE831" w14:textId="77777777" w:rsidR="001D0CEC" w:rsidRPr="002E1E3D" w:rsidRDefault="001D0CEC" w:rsidP="0092237D">
            <w:pPr>
              <w:pStyle w:val="MDPI42tablebody"/>
              <w:spacing w:line="240" w:lineRule="auto"/>
              <w:rPr>
                <w:rFonts w:ascii="Times New Roman" w:hAnsi="Times New Roman"/>
                <w:b/>
                <w:snapToGrid/>
              </w:rPr>
            </w:pPr>
            <w:r w:rsidRPr="002E1E3D">
              <w:rPr>
                <w:rFonts w:ascii="Times New Roman" w:hAnsi="Times New Roman"/>
                <w:b/>
                <w:snapToGrid/>
              </w:rPr>
              <w:t>Frequency</w:t>
            </w:r>
          </w:p>
        </w:tc>
      </w:tr>
      <w:tr w:rsidR="001D0CEC" w:rsidRPr="002E1E3D" w14:paraId="78AF9AD2" w14:textId="77777777" w:rsidTr="0092237D">
        <w:trPr>
          <w:tblHeader/>
        </w:trPr>
        <w:tc>
          <w:tcPr>
            <w:tcW w:w="1667" w:type="pct"/>
            <w:vAlign w:val="center"/>
          </w:tcPr>
          <w:p w14:paraId="5F56D183"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Gender</w:t>
            </w:r>
          </w:p>
        </w:tc>
        <w:tc>
          <w:tcPr>
            <w:tcW w:w="1667" w:type="pct"/>
            <w:vAlign w:val="center"/>
          </w:tcPr>
          <w:p w14:paraId="20B06E33"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Female</w:t>
            </w:r>
          </w:p>
        </w:tc>
        <w:tc>
          <w:tcPr>
            <w:tcW w:w="1666" w:type="pct"/>
            <w:vAlign w:val="center"/>
          </w:tcPr>
          <w:p w14:paraId="2B806BAD"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6</w:t>
            </w:r>
          </w:p>
        </w:tc>
      </w:tr>
      <w:tr w:rsidR="001D0CEC" w:rsidRPr="002E1E3D" w14:paraId="0E90D0C6" w14:textId="77777777" w:rsidTr="0092237D">
        <w:trPr>
          <w:tblHeader/>
        </w:trPr>
        <w:tc>
          <w:tcPr>
            <w:tcW w:w="1667" w:type="pct"/>
            <w:vAlign w:val="center"/>
          </w:tcPr>
          <w:p w14:paraId="03D3555E"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5D7E99FD"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Male</w:t>
            </w:r>
          </w:p>
        </w:tc>
        <w:tc>
          <w:tcPr>
            <w:tcW w:w="1666" w:type="pct"/>
            <w:vAlign w:val="center"/>
          </w:tcPr>
          <w:p w14:paraId="5CE66A81"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12</w:t>
            </w:r>
          </w:p>
        </w:tc>
      </w:tr>
      <w:tr w:rsidR="001D0CEC" w:rsidRPr="002E1E3D" w14:paraId="20F50F95" w14:textId="77777777" w:rsidTr="0092237D">
        <w:trPr>
          <w:tblHeader/>
        </w:trPr>
        <w:tc>
          <w:tcPr>
            <w:tcW w:w="1667" w:type="pct"/>
            <w:vAlign w:val="center"/>
          </w:tcPr>
          <w:p w14:paraId="64A603B6"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Remote Work Experience</w:t>
            </w:r>
          </w:p>
        </w:tc>
        <w:tc>
          <w:tcPr>
            <w:tcW w:w="1667" w:type="pct"/>
            <w:vAlign w:val="center"/>
          </w:tcPr>
          <w:p w14:paraId="4FE93768"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Less than 2 Years</w:t>
            </w:r>
          </w:p>
        </w:tc>
        <w:tc>
          <w:tcPr>
            <w:tcW w:w="1666" w:type="pct"/>
            <w:vAlign w:val="center"/>
          </w:tcPr>
          <w:p w14:paraId="40FF65E6"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3</w:t>
            </w:r>
          </w:p>
        </w:tc>
      </w:tr>
      <w:tr w:rsidR="001D0CEC" w:rsidRPr="002E1E3D" w14:paraId="2208D6F9" w14:textId="77777777" w:rsidTr="0092237D">
        <w:trPr>
          <w:tblHeader/>
        </w:trPr>
        <w:tc>
          <w:tcPr>
            <w:tcW w:w="1667" w:type="pct"/>
            <w:vAlign w:val="center"/>
          </w:tcPr>
          <w:p w14:paraId="74639799"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2BBBCBE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 Years – 5 Years</w:t>
            </w:r>
          </w:p>
        </w:tc>
        <w:tc>
          <w:tcPr>
            <w:tcW w:w="1666" w:type="pct"/>
            <w:vAlign w:val="center"/>
          </w:tcPr>
          <w:p w14:paraId="5E8B5355"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7</w:t>
            </w:r>
          </w:p>
        </w:tc>
      </w:tr>
      <w:tr w:rsidR="001D0CEC" w:rsidRPr="002E1E3D" w14:paraId="7A87BD44" w14:textId="77777777" w:rsidTr="0092237D">
        <w:trPr>
          <w:tblHeader/>
        </w:trPr>
        <w:tc>
          <w:tcPr>
            <w:tcW w:w="1667" w:type="pct"/>
            <w:vAlign w:val="center"/>
          </w:tcPr>
          <w:p w14:paraId="482BC1EF"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51BBBF7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5 Years – 10 Years</w:t>
            </w:r>
          </w:p>
        </w:tc>
        <w:tc>
          <w:tcPr>
            <w:tcW w:w="1666" w:type="pct"/>
            <w:vAlign w:val="center"/>
          </w:tcPr>
          <w:p w14:paraId="2AAE448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6</w:t>
            </w:r>
          </w:p>
        </w:tc>
      </w:tr>
      <w:tr w:rsidR="001D0CEC" w:rsidRPr="002E1E3D" w14:paraId="732640E6" w14:textId="77777777" w:rsidTr="0092237D">
        <w:trPr>
          <w:tblHeader/>
        </w:trPr>
        <w:tc>
          <w:tcPr>
            <w:tcW w:w="1667" w:type="pct"/>
            <w:vAlign w:val="center"/>
          </w:tcPr>
          <w:p w14:paraId="4474CBD2"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4FBC035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More than 10 Years</w:t>
            </w:r>
          </w:p>
        </w:tc>
        <w:tc>
          <w:tcPr>
            <w:tcW w:w="1666" w:type="pct"/>
            <w:vAlign w:val="center"/>
          </w:tcPr>
          <w:p w14:paraId="7AD90874"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6FE92224" w14:textId="77777777" w:rsidTr="0092237D">
        <w:trPr>
          <w:tblHeader/>
        </w:trPr>
        <w:tc>
          <w:tcPr>
            <w:tcW w:w="1667" w:type="pct"/>
            <w:vAlign w:val="center"/>
          </w:tcPr>
          <w:p w14:paraId="1D94B403"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Age</w:t>
            </w:r>
          </w:p>
        </w:tc>
        <w:tc>
          <w:tcPr>
            <w:tcW w:w="1667" w:type="pct"/>
            <w:vAlign w:val="center"/>
          </w:tcPr>
          <w:p w14:paraId="6CCAA5B0"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Under 20 Years Old</w:t>
            </w:r>
          </w:p>
        </w:tc>
        <w:tc>
          <w:tcPr>
            <w:tcW w:w="1666" w:type="pct"/>
            <w:vAlign w:val="center"/>
          </w:tcPr>
          <w:p w14:paraId="35433F88"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4D69EC1A" w14:textId="77777777" w:rsidTr="0092237D">
        <w:trPr>
          <w:tblHeader/>
        </w:trPr>
        <w:tc>
          <w:tcPr>
            <w:tcW w:w="1667" w:type="pct"/>
            <w:vAlign w:val="center"/>
          </w:tcPr>
          <w:p w14:paraId="5DCFA1D5"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18051C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20-24 Years Old</w:t>
            </w:r>
          </w:p>
        </w:tc>
        <w:tc>
          <w:tcPr>
            <w:tcW w:w="1666" w:type="pct"/>
            <w:vAlign w:val="center"/>
          </w:tcPr>
          <w:p w14:paraId="32CF151E"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4</w:t>
            </w:r>
          </w:p>
        </w:tc>
      </w:tr>
      <w:tr w:rsidR="001D0CEC" w:rsidRPr="002E1E3D" w14:paraId="123FC1D7" w14:textId="77777777" w:rsidTr="0092237D">
        <w:trPr>
          <w:tblHeader/>
        </w:trPr>
        <w:tc>
          <w:tcPr>
            <w:tcW w:w="1667" w:type="pct"/>
            <w:vAlign w:val="center"/>
          </w:tcPr>
          <w:p w14:paraId="73937C5E"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7C171F46"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25-30 Years Old</w:t>
            </w:r>
          </w:p>
        </w:tc>
        <w:tc>
          <w:tcPr>
            <w:tcW w:w="1666" w:type="pct"/>
            <w:vAlign w:val="center"/>
          </w:tcPr>
          <w:p w14:paraId="1E17CDD2"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10</w:t>
            </w:r>
          </w:p>
        </w:tc>
      </w:tr>
      <w:tr w:rsidR="001D0CEC" w:rsidRPr="002E1E3D" w14:paraId="07DB19E3" w14:textId="77777777" w:rsidTr="0092237D">
        <w:trPr>
          <w:tblHeader/>
        </w:trPr>
        <w:tc>
          <w:tcPr>
            <w:tcW w:w="1667" w:type="pct"/>
            <w:vAlign w:val="center"/>
          </w:tcPr>
          <w:p w14:paraId="32FC12B3"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B661C58"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Above 30 Years Old</w:t>
            </w:r>
          </w:p>
        </w:tc>
        <w:tc>
          <w:tcPr>
            <w:tcW w:w="1666" w:type="pct"/>
            <w:vAlign w:val="center"/>
          </w:tcPr>
          <w:p w14:paraId="675A2219"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0C09ED32" w14:textId="77777777" w:rsidTr="0092237D">
        <w:trPr>
          <w:tblHeader/>
        </w:trPr>
        <w:tc>
          <w:tcPr>
            <w:tcW w:w="1667" w:type="pct"/>
            <w:vAlign w:val="center"/>
          </w:tcPr>
          <w:p w14:paraId="7B7CD62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City</w:t>
            </w:r>
          </w:p>
        </w:tc>
        <w:tc>
          <w:tcPr>
            <w:tcW w:w="1667" w:type="pct"/>
            <w:vAlign w:val="center"/>
          </w:tcPr>
          <w:p w14:paraId="7F309B50"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Jakarta</w:t>
            </w:r>
          </w:p>
        </w:tc>
        <w:tc>
          <w:tcPr>
            <w:tcW w:w="1666" w:type="pct"/>
            <w:vAlign w:val="center"/>
          </w:tcPr>
          <w:p w14:paraId="06C343BA"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4</w:t>
            </w:r>
          </w:p>
        </w:tc>
      </w:tr>
      <w:tr w:rsidR="001D0CEC" w:rsidRPr="002E1E3D" w14:paraId="6F7D6BDC" w14:textId="77777777" w:rsidTr="0092237D">
        <w:trPr>
          <w:tblHeader/>
        </w:trPr>
        <w:tc>
          <w:tcPr>
            <w:tcW w:w="1667" w:type="pct"/>
            <w:vAlign w:val="center"/>
          </w:tcPr>
          <w:p w14:paraId="73DD5A99"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DE98BB5"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Medan</w:t>
            </w:r>
          </w:p>
        </w:tc>
        <w:tc>
          <w:tcPr>
            <w:tcW w:w="1666" w:type="pct"/>
            <w:vAlign w:val="center"/>
          </w:tcPr>
          <w:p w14:paraId="53A1566D"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3</w:t>
            </w:r>
          </w:p>
        </w:tc>
      </w:tr>
      <w:tr w:rsidR="001D0CEC" w:rsidRPr="002E1E3D" w14:paraId="65D77646" w14:textId="77777777" w:rsidTr="0092237D">
        <w:trPr>
          <w:tblHeader/>
        </w:trPr>
        <w:tc>
          <w:tcPr>
            <w:tcW w:w="1667" w:type="pct"/>
            <w:vAlign w:val="center"/>
          </w:tcPr>
          <w:p w14:paraId="399FD613"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43E47A2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Bali</w:t>
            </w:r>
          </w:p>
        </w:tc>
        <w:tc>
          <w:tcPr>
            <w:tcW w:w="1666" w:type="pct"/>
            <w:vAlign w:val="center"/>
          </w:tcPr>
          <w:p w14:paraId="2F302A6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77A8FE43" w14:textId="77777777" w:rsidTr="0092237D">
        <w:trPr>
          <w:tblHeader/>
        </w:trPr>
        <w:tc>
          <w:tcPr>
            <w:tcW w:w="1667" w:type="pct"/>
            <w:vAlign w:val="center"/>
          </w:tcPr>
          <w:p w14:paraId="15E158DD"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11ACC50"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Surabaya</w:t>
            </w:r>
          </w:p>
        </w:tc>
        <w:tc>
          <w:tcPr>
            <w:tcW w:w="1666" w:type="pct"/>
            <w:vAlign w:val="center"/>
          </w:tcPr>
          <w:p w14:paraId="7C1CCB1C"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07EAAADD" w14:textId="77777777" w:rsidTr="0092237D">
        <w:trPr>
          <w:tblHeader/>
        </w:trPr>
        <w:tc>
          <w:tcPr>
            <w:tcW w:w="1667" w:type="pct"/>
            <w:vAlign w:val="center"/>
          </w:tcPr>
          <w:p w14:paraId="292F36EB"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135AA27A"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Other</w:t>
            </w:r>
          </w:p>
        </w:tc>
        <w:tc>
          <w:tcPr>
            <w:tcW w:w="1666" w:type="pct"/>
            <w:vAlign w:val="center"/>
          </w:tcPr>
          <w:p w14:paraId="1717D24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7</w:t>
            </w:r>
          </w:p>
        </w:tc>
      </w:tr>
    </w:tbl>
    <w:p w14:paraId="50A9952F" w14:textId="0777C9FA" w:rsidR="001D0CEC" w:rsidRPr="002E1E3D" w:rsidRDefault="001D0CEC" w:rsidP="001D0CEC">
      <w:pPr>
        <w:pStyle w:val="MDPI43tablefooter"/>
        <w:ind w:left="0"/>
        <w:rPr>
          <w:rFonts w:ascii="Times New Roman" w:hAnsi="Times New Roman" w:cs="Times New Roman"/>
          <w:sz w:val="20"/>
          <w:szCs w:val="20"/>
        </w:rPr>
      </w:pPr>
      <w:r w:rsidRPr="002E1E3D">
        <w:rPr>
          <w:rFonts w:ascii="Times New Roman" w:hAnsi="Times New Roman" w:cs="Times New Roman"/>
          <w:sz w:val="20"/>
          <w:szCs w:val="20"/>
        </w:rPr>
        <w:t>Source: Authors.</w:t>
      </w:r>
    </w:p>
    <w:p w14:paraId="14CD0F0F" w14:textId="77777777" w:rsidR="001D0CEC" w:rsidRPr="002E1E3D" w:rsidRDefault="001D0CEC" w:rsidP="001D0CEC">
      <w:pPr>
        <w:pStyle w:val="MDPI31text"/>
        <w:rPr>
          <w:rFonts w:ascii="Times New Roman" w:hAnsi="Times New Roman"/>
          <w:sz w:val="24"/>
          <w:szCs w:val="24"/>
        </w:rPr>
      </w:pPr>
    </w:p>
    <w:p w14:paraId="19C763E8"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Based on the findings, some of the essentials mentioned during the interview about the experience of random data respondents for example: </w:t>
      </w:r>
    </w:p>
    <w:p w14:paraId="11506A44"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lastRenderedPageBreak/>
        <w:t>Respondent 9 stated, "</w:t>
      </w:r>
      <w:r w:rsidRPr="002E1E3D">
        <w:rPr>
          <w:rFonts w:ascii="Times New Roman" w:hAnsi="Times New Roman"/>
          <w:i/>
          <w:iCs/>
          <w:sz w:val="24"/>
          <w:szCs w:val="24"/>
        </w:rPr>
        <w:t>I rely on tools like Zoom and Google Workspace every day. While these platforms are generally accessible, internet reliability in certain areas, especially outside major cities, can be challenging</w:t>
      </w:r>
      <w:r w:rsidRPr="002E1E3D">
        <w:rPr>
          <w:rFonts w:ascii="Times New Roman" w:hAnsi="Times New Roman"/>
          <w:sz w:val="24"/>
          <w:szCs w:val="24"/>
        </w:rPr>
        <w:t>." And the same thought by Respondent 7 stated that "</w:t>
      </w:r>
      <w:r w:rsidRPr="002E1E3D">
        <w:rPr>
          <w:rFonts w:ascii="Times New Roman" w:hAnsi="Times New Roman"/>
          <w:i/>
          <w:iCs/>
          <w:sz w:val="24"/>
          <w:szCs w:val="24"/>
        </w:rPr>
        <w:t>Internet infrastructure can be a major hurdle, especially in rural areas where the connection is slow and unreliable. For instance, during online meetings, I often face lags or get disconnected. The cost of maintaining a stable connection is also quite high</w:t>
      </w:r>
      <w:r w:rsidRPr="002E1E3D">
        <w:rPr>
          <w:rFonts w:ascii="Times New Roman" w:hAnsi="Times New Roman"/>
          <w:sz w:val="24"/>
          <w:szCs w:val="24"/>
        </w:rPr>
        <w:t>."</w:t>
      </w:r>
    </w:p>
    <w:p w14:paraId="550961E8" w14:textId="17310625"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An essential problem that emerged from the interviews was infrastructure limitations or digital inequalities, including unstable internet and electricity, which are significant barriers to remote work in developing countries. Indonesia’s internet connectivity varies widely across regions, with urban areas like Jakarta and Surabaya enjoying faster and more reliable access compared to rural areas and smaller islands. Some of the areas have consistent access to the internet, and even in urban centers, network speeds can be unstable</w:t>
      </w:r>
      <w:r w:rsidR="002E1E3D" w:rsidRPr="002E1E3D">
        <w:rPr>
          <w:rFonts w:ascii="Times New Roman" w:hAnsi="Times New Roman"/>
          <w:sz w:val="24"/>
          <w:szCs w:val="24"/>
        </w:rPr>
        <w:t xml:space="preserve"> (</w:t>
      </w:r>
      <w:r w:rsidR="002E1E3D" w:rsidRPr="00DC137F">
        <w:rPr>
          <w:rFonts w:ascii="Times New Roman" w:hAnsi="Times New Roman"/>
          <w:sz w:val="24"/>
          <w:szCs w:val="24"/>
        </w:rPr>
        <w:t>Salam</w:t>
      </w:r>
      <w:r w:rsidR="002E1E3D" w:rsidRPr="002E1E3D">
        <w:rPr>
          <w:rFonts w:ascii="Times New Roman" w:hAnsi="Times New Roman"/>
          <w:sz w:val="24"/>
          <w:szCs w:val="24"/>
        </w:rPr>
        <w:t xml:space="preserve"> et al., 2018)</w:t>
      </w:r>
      <w:r w:rsidRPr="002E1E3D">
        <w:rPr>
          <w:rFonts w:ascii="Times New Roman" w:hAnsi="Times New Roman"/>
          <w:sz w:val="24"/>
          <w:szCs w:val="24"/>
        </w:rPr>
        <w:t xml:space="preserve">. Uneven internet penetration and high data costs are barriers to equitable remote work in Indonesia </w:t>
      </w:r>
      <w:r w:rsidR="002E1E3D" w:rsidRPr="002E1E3D">
        <w:rPr>
          <w:rFonts w:ascii="Times New Roman" w:hAnsi="Times New Roman"/>
          <w:sz w:val="24"/>
          <w:szCs w:val="24"/>
        </w:rPr>
        <w:t>(</w:t>
      </w:r>
      <w:proofErr w:type="spellStart"/>
      <w:r w:rsidR="002E1E3D" w:rsidRPr="002E1E3D">
        <w:rPr>
          <w:rFonts w:ascii="Times New Roman" w:hAnsi="Times New Roman"/>
          <w:sz w:val="24"/>
          <w:szCs w:val="24"/>
        </w:rPr>
        <w:t>Kustanto</w:t>
      </w:r>
      <w:proofErr w:type="spellEnd"/>
      <w:r w:rsidR="002E1E3D" w:rsidRPr="002E1E3D">
        <w:rPr>
          <w:rFonts w:ascii="Times New Roman" w:hAnsi="Times New Roman"/>
          <w:sz w:val="24"/>
          <w:szCs w:val="24"/>
        </w:rPr>
        <w:t>, 2024)</w:t>
      </w:r>
      <w:r w:rsidRPr="002E1E3D">
        <w:rPr>
          <w:rFonts w:ascii="Times New Roman" w:hAnsi="Times New Roman"/>
          <w:sz w:val="24"/>
          <w:szCs w:val="24"/>
        </w:rPr>
        <w:t>, and inadequate technology access affects the efficiency and reliability of remote work.</w:t>
      </w:r>
    </w:p>
    <w:p w14:paraId="63FDEBC1" w14:textId="4916BEFF"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2 stated, "</w:t>
      </w:r>
      <w:r w:rsidRPr="002E1E3D">
        <w:rPr>
          <w:rFonts w:ascii="Times New Roman" w:hAnsi="Times New Roman"/>
          <w:i/>
          <w:iCs/>
          <w:sz w:val="24"/>
          <w:szCs w:val="24"/>
        </w:rPr>
        <w:t>Digital tools have significantly boosted my productivity by helping me organize tasks and collaborate seamlessly with my team</w:t>
      </w:r>
      <w:r w:rsidRPr="002E1E3D">
        <w:rPr>
          <w:rFonts w:ascii="Times New Roman" w:hAnsi="Times New Roman"/>
          <w:sz w:val="24"/>
          <w:szCs w:val="24"/>
        </w:rPr>
        <w:t>." Another factor impacting productivity is the reliability of technology infrastructure. The adoption of productivity tools often increases efficiency in remote work settings</w:t>
      </w:r>
      <w:r w:rsidR="002E1E3D" w:rsidRPr="002E1E3D">
        <w:rPr>
          <w:rFonts w:ascii="Times New Roman" w:hAnsi="Times New Roman"/>
          <w:sz w:val="24"/>
          <w:szCs w:val="24"/>
        </w:rPr>
        <w:t xml:space="preserve"> (</w:t>
      </w:r>
      <w:proofErr w:type="spellStart"/>
      <w:r w:rsidR="002E1E3D" w:rsidRPr="002E1E3D">
        <w:rPr>
          <w:rFonts w:ascii="Times New Roman" w:hAnsi="Times New Roman"/>
          <w:sz w:val="24"/>
          <w:szCs w:val="24"/>
        </w:rPr>
        <w:t>Asriandi</w:t>
      </w:r>
      <w:proofErr w:type="spellEnd"/>
      <w:r w:rsidR="002E1E3D" w:rsidRPr="002E1E3D">
        <w:rPr>
          <w:rFonts w:ascii="Times New Roman" w:hAnsi="Times New Roman"/>
          <w:sz w:val="24"/>
          <w:szCs w:val="24"/>
        </w:rPr>
        <w:t xml:space="preserve"> et al., 2024)</w:t>
      </w:r>
      <w:r w:rsidRPr="002E1E3D">
        <w:rPr>
          <w:rFonts w:ascii="Times New Roman" w:hAnsi="Times New Roman"/>
          <w:sz w:val="24"/>
          <w:szCs w:val="24"/>
        </w:rPr>
        <w:t xml:space="preserve">. However, technology has an impact on the productivity of Indonesian remote workers. While digital tools offer unparalleled opportunities to enhance efficiency and collaboration, their effectiveness depends on the reliability of infrastructure, worker training, and the ability to manage digital overload. </w:t>
      </w:r>
    </w:p>
    <w:p w14:paraId="1F4A293A"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15 stated, "</w:t>
      </w:r>
      <w:r w:rsidRPr="002E1E3D">
        <w:rPr>
          <w:rFonts w:ascii="Times New Roman" w:hAnsi="Times New Roman"/>
          <w:i/>
          <w:iCs/>
          <w:sz w:val="24"/>
          <w:szCs w:val="24"/>
        </w:rPr>
        <w:t>Working remotely blurs the lines between my personal and professional life. I find myself responding to emails late at night because I don’t have strict boundaries. Tools like WhatsApp to stay connected, but it can be hard to switch off. I now use a time-management app to limit work hours</w:t>
      </w:r>
      <w:r w:rsidRPr="002E1E3D">
        <w:rPr>
          <w:rFonts w:ascii="Times New Roman" w:hAnsi="Times New Roman"/>
          <w:sz w:val="24"/>
          <w:szCs w:val="24"/>
        </w:rPr>
        <w:t>."</w:t>
      </w:r>
    </w:p>
    <w:p w14:paraId="7B1C4EF0" w14:textId="1D4FB80D"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Indonesian remote workers often experience blurred boundaries between work and personal life due to the cultural expectation of being responsive, even outside working hours. This is exacerbated by digital tools like WhatsApp and email, which enable constant connectivity. A worker may receive messages from colleagues or supervisors late at night, creating pressure to respond promptly, which intrudes on family time or rest. This issue is exacerbated by the always-on culture fostered by digital tools </w:t>
      </w:r>
      <w:r w:rsidR="002E1E3D" w:rsidRPr="002E1E3D">
        <w:rPr>
          <w:rFonts w:ascii="Times New Roman" w:hAnsi="Times New Roman"/>
          <w:sz w:val="24"/>
          <w:szCs w:val="24"/>
        </w:rPr>
        <w:t>(</w:t>
      </w:r>
      <w:r w:rsidR="002E1E3D" w:rsidRPr="00DC137F">
        <w:rPr>
          <w:rFonts w:ascii="Times New Roman" w:hAnsi="Times New Roman"/>
          <w:sz w:val="24"/>
          <w:szCs w:val="24"/>
        </w:rPr>
        <w:t>Mazmanian</w:t>
      </w:r>
      <w:r w:rsidR="002E1E3D" w:rsidRPr="002E1E3D">
        <w:rPr>
          <w:rFonts w:ascii="Times New Roman" w:hAnsi="Times New Roman"/>
          <w:sz w:val="24"/>
          <w:szCs w:val="24"/>
        </w:rPr>
        <w:t xml:space="preserve"> et al., 2013). </w:t>
      </w:r>
      <w:r w:rsidRPr="002E1E3D">
        <w:rPr>
          <w:rFonts w:ascii="Times New Roman" w:hAnsi="Times New Roman"/>
          <w:sz w:val="24"/>
          <w:szCs w:val="24"/>
        </w:rPr>
        <w:t>Notifications from work apps may interrupt leisure activities or even sleep, making it harder to disconnect mentally from work tasks. Constant connectivity prevents psychological detachment from work, a critical factor for recovery and overall well-being</w:t>
      </w:r>
      <w:r w:rsidR="002E1E3D" w:rsidRPr="002E1E3D">
        <w:rPr>
          <w:rFonts w:ascii="Times New Roman" w:hAnsi="Times New Roman"/>
          <w:sz w:val="24"/>
          <w:szCs w:val="24"/>
        </w:rPr>
        <w:t xml:space="preserve"> (</w:t>
      </w:r>
      <w:r w:rsidR="002E1E3D" w:rsidRPr="00DC137F">
        <w:rPr>
          <w:rFonts w:ascii="Times New Roman" w:hAnsi="Times New Roman"/>
          <w:sz w:val="24"/>
          <w:szCs w:val="24"/>
        </w:rPr>
        <w:t>Sonnentag</w:t>
      </w:r>
      <w:r w:rsidR="002E1E3D" w:rsidRPr="002E1E3D">
        <w:rPr>
          <w:rFonts w:ascii="Times New Roman" w:hAnsi="Times New Roman"/>
          <w:sz w:val="24"/>
          <w:szCs w:val="24"/>
        </w:rPr>
        <w:t xml:space="preserve"> et al., 2010)</w:t>
      </w:r>
      <w:r w:rsidRPr="002E1E3D">
        <w:rPr>
          <w:rFonts w:ascii="Times New Roman" w:hAnsi="Times New Roman"/>
          <w:sz w:val="24"/>
          <w:szCs w:val="24"/>
        </w:rPr>
        <w:t>. Workers often feel guilty about taking personal time when their digital tools keep them tethered to work. This guilt is compounded in Indonesia’s hierarchical work culture, where saying "no" to a superior can feel disrespectful.</w:t>
      </w:r>
    </w:p>
    <w:p w14:paraId="080D4839"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13 stated, "</w:t>
      </w:r>
      <w:r w:rsidRPr="002E1E3D">
        <w:rPr>
          <w:rFonts w:ascii="Times New Roman" w:hAnsi="Times New Roman"/>
          <w:i/>
          <w:iCs/>
          <w:sz w:val="24"/>
          <w:szCs w:val="24"/>
        </w:rPr>
        <w:t>Using digital tools has taught me new skills, like data analysis with Excel and project management. I also take online courses through platforms to keep improving. Remote work has pushed me to be more tech-savvy</w:t>
      </w:r>
      <w:r w:rsidRPr="002E1E3D">
        <w:rPr>
          <w:rFonts w:ascii="Times New Roman" w:hAnsi="Times New Roman"/>
          <w:sz w:val="24"/>
          <w:szCs w:val="24"/>
        </w:rPr>
        <w:t>."</w:t>
      </w:r>
    </w:p>
    <w:p w14:paraId="00987014" w14:textId="19B1C4F6"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Skill development and technological empowerment are transformative for Indonesian remote workers, but success depends on addressing challenges such as the digital divide, language barriers, and gender inequities. Indonesia can equip its remote workforce with the skills needed to thrive in a global digital economy. Remote work fosters professional development through exposure to digital tools and online learning </w:t>
      </w:r>
      <w:r w:rsidR="002E1E3D" w:rsidRPr="002E1E3D">
        <w:rPr>
          <w:rFonts w:ascii="Times New Roman" w:hAnsi="Times New Roman"/>
          <w:sz w:val="24"/>
          <w:szCs w:val="24"/>
        </w:rPr>
        <w:t>(</w:t>
      </w:r>
      <w:r w:rsidR="002E1E3D" w:rsidRPr="00DC137F">
        <w:rPr>
          <w:rFonts w:ascii="Times New Roman" w:hAnsi="Times New Roman"/>
          <w:sz w:val="24"/>
          <w:szCs w:val="24"/>
        </w:rPr>
        <w:t>Fisher</w:t>
      </w:r>
      <w:r w:rsidR="002E1E3D" w:rsidRPr="002E1E3D">
        <w:rPr>
          <w:rFonts w:ascii="Times New Roman" w:hAnsi="Times New Roman"/>
          <w:sz w:val="24"/>
          <w:szCs w:val="24"/>
        </w:rPr>
        <w:t xml:space="preserve"> </w:t>
      </w:r>
      <w:r w:rsidR="002E1E3D" w:rsidRPr="00DC137F">
        <w:rPr>
          <w:rFonts w:ascii="Times New Roman" w:hAnsi="Times New Roman"/>
          <w:sz w:val="24"/>
          <w:szCs w:val="24"/>
        </w:rPr>
        <w:t>&amp; Baird, 2006</w:t>
      </w:r>
      <w:r w:rsidR="002E1E3D" w:rsidRPr="002E1E3D">
        <w:rPr>
          <w:rFonts w:ascii="Times New Roman" w:hAnsi="Times New Roman"/>
          <w:sz w:val="24"/>
          <w:szCs w:val="24"/>
        </w:rPr>
        <w:t>).</w:t>
      </w:r>
    </w:p>
    <w:p w14:paraId="731059AC" w14:textId="66FA45B2"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16 stated, "</w:t>
      </w:r>
      <w:r w:rsidRPr="002E1E3D">
        <w:rPr>
          <w:rFonts w:ascii="Times New Roman" w:hAnsi="Times New Roman"/>
          <w:i/>
          <w:iCs/>
          <w:sz w:val="24"/>
          <w:szCs w:val="24"/>
        </w:rPr>
        <w:t>I think AI tools like ChatGPT will make remote work even more efficient by automating repetitive tasks. The future of remote work and technology in Indonesia is bright, with significant opportunities for growth and empowerment. It's a good step for companies or enterprises.</w:t>
      </w:r>
      <w:r w:rsidRPr="002E1E3D">
        <w:rPr>
          <w:rFonts w:ascii="Times New Roman" w:hAnsi="Times New Roman"/>
          <w:sz w:val="24"/>
          <w:szCs w:val="24"/>
        </w:rPr>
        <w:t>"</w:t>
      </w:r>
    </w:p>
    <w:p w14:paraId="554D1458" w14:textId="50D34598"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lastRenderedPageBreak/>
        <w:t xml:space="preserve">AI and automation will play a key role in enhancing remote work productivity </w:t>
      </w:r>
      <w:r w:rsidR="002E1E3D" w:rsidRPr="002E1E3D">
        <w:rPr>
          <w:rFonts w:ascii="Times New Roman" w:hAnsi="Times New Roman"/>
          <w:sz w:val="24"/>
          <w:szCs w:val="24"/>
        </w:rPr>
        <w:t>(West, 2018)</w:t>
      </w:r>
      <w:r w:rsidRPr="002E1E3D">
        <w:rPr>
          <w:rFonts w:ascii="Times New Roman" w:hAnsi="Times New Roman"/>
          <w:sz w:val="24"/>
          <w:szCs w:val="24"/>
        </w:rPr>
        <w:t xml:space="preserve">. The future of remote work in Indonesia will be shaped by advancements in technology, evolving workplace cultures, and socioeconomic factors. In Indonesia, workers can benefit from AI tools to optimize their time, especially in industries like e-commerce, customer service, and digital marketing. Indonesian workers will need to develop cultural intelligence to collaborate effectively with global teams. Many Indonesian companies, particularly in urban hubs like Jakarta, Bandung, and Surabaya, are adopting hybrid models combining remote and in-office work. Hybrid work models maximize both flexibility and collaboration, which could be ideal for Indonesia’s diverse workforce </w:t>
      </w:r>
      <w:r w:rsidR="002E1E3D" w:rsidRPr="002E1E3D">
        <w:rPr>
          <w:rFonts w:ascii="Times New Roman" w:hAnsi="Times New Roman"/>
          <w:sz w:val="24"/>
          <w:szCs w:val="24"/>
        </w:rPr>
        <w:t>(Mustajab, 2024)</w:t>
      </w:r>
      <w:r w:rsidRPr="002E1E3D">
        <w:rPr>
          <w:rFonts w:ascii="Times New Roman" w:hAnsi="Times New Roman"/>
          <w:sz w:val="24"/>
          <w:szCs w:val="24"/>
        </w:rPr>
        <w:t>.</w:t>
      </w:r>
    </w:p>
    <w:p w14:paraId="091258E7" w14:textId="77777777" w:rsidR="001D0CEC" w:rsidRPr="002E1E3D" w:rsidRDefault="001D0CEC" w:rsidP="001D0CEC">
      <w:pPr>
        <w:pStyle w:val="MDPI21heading1"/>
        <w:spacing w:line="360" w:lineRule="auto"/>
        <w:ind w:left="0"/>
        <w:rPr>
          <w:rFonts w:ascii="Times New Roman" w:hAnsi="Times New Roman"/>
          <w:sz w:val="24"/>
          <w:szCs w:val="24"/>
        </w:rPr>
      </w:pPr>
      <w:r w:rsidRPr="002E1E3D">
        <w:rPr>
          <w:rFonts w:ascii="Times New Roman" w:hAnsi="Times New Roman"/>
          <w:sz w:val="24"/>
          <w:szCs w:val="24"/>
        </w:rPr>
        <w:t>5. Conclusion</w:t>
      </w:r>
    </w:p>
    <w:p w14:paraId="3DA60DF3" w14:textId="77777777"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This study provides a detailed understanding of the experiences of remote workers in Indonesia, focusing on how digital tools influence their productivity, empowerment, flexibility, and work-life balance. Key findings reveal that unstable internet and high costs hinder remote work, especially in rural areas. Digital tools boost productivity but require reliable infrastructure and training to avoid overload. Workers face challenges with work-life boundaries due to constant connectivity. Digital tools empower skill development, supporting adaptation to the global economy. Emerging technologies like AI offer opportunities to transform remote work with enhanced productivity and strategic task management.</w:t>
      </w:r>
    </w:p>
    <w:p w14:paraId="145E4DA4" w14:textId="6CD3EB89"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The findings of this study have significant implications that emphasize the need for employers in Indonesia to train workers in digital tools, adopt hybrid work models, and set clear work-life policies. Policymakers should improve rural internet access, promote digital literacy, and foster public-private partnerships to bridge the digital divide. Remote workers must use productivity tools, maintain boundaries, and engage in continuous learning. Collaborative efforts are crucial to maximizing remote work benefits while addressing its challenges.</w:t>
      </w:r>
    </w:p>
    <w:p w14:paraId="12725275" w14:textId="77777777"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This study has several limitations that should be addressed in future research. The small sample size of 18 participants limits the generalizability of the findings, and the geographic diversity of the sample may not fully represent the experiences of remote workers in underdeveloped or rural areas. Additionally, the reliance on self-reported data introduces the potential for bias, while the focus on digital tools may have overlooked other critical factors, such as organizational policies or individual traits, that influence remote work experiences.</w:t>
      </w:r>
    </w:p>
    <w:p w14:paraId="43F0A04E" w14:textId="70414148"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Future research should include larger, more diverse samples and explore longitudinal approaches to understand how remote work evolves. Comparative studies between Indonesia and other developing countries could highlight shared challenges and unique opportunities, while investigations into specific tools and industries would provide targeted insights. Furthermore, examining cultural factors and hybrid work models could offer a deeper understanding of the dynamics shaping remote work in Indonesia, paving the way for strategies that balance productivity, flexibility, and well-being.</w:t>
      </w:r>
    </w:p>
    <w:p w14:paraId="52AEA9A7" w14:textId="77777777" w:rsidR="001D0CEC" w:rsidRPr="002E1E3D" w:rsidRDefault="001D0CEC" w:rsidP="001D0CEC">
      <w:pPr>
        <w:rPr>
          <w:rFonts w:ascii="Times New Roman" w:hAnsi="Times New Roman"/>
          <w:sz w:val="24"/>
          <w:szCs w:val="24"/>
          <w:lang w:eastAsia="de-DE" w:bidi="en-US"/>
        </w:rPr>
      </w:pPr>
    </w:p>
    <w:p w14:paraId="1467FFDE" w14:textId="0A5E820B" w:rsidR="001D0CEC" w:rsidRPr="002E1E3D" w:rsidRDefault="001D0CEC">
      <w:pPr>
        <w:rPr>
          <w:rFonts w:ascii="Times New Roman" w:hAnsi="Times New Roman"/>
          <w:b/>
          <w:bCs/>
          <w:sz w:val="24"/>
          <w:szCs w:val="24"/>
        </w:rPr>
      </w:pPr>
      <w:r w:rsidRPr="002E1E3D">
        <w:rPr>
          <w:rFonts w:ascii="Times New Roman" w:hAnsi="Times New Roman"/>
          <w:b/>
          <w:bCs/>
          <w:sz w:val="24"/>
          <w:szCs w:val="24"/>
        </w:rPr>
        <w:t>References</w:t>
      </w:r>
    </w:p>
    <w:p w14:paraId="00B52E4F" w14:textId="77777777" w:rsidR="001D0CEC" w:rsidRPr="002E1E3D" w:rsidRDefault="001D0CEC">
      <w:pPr>
        <w:rPr>
          <w:rFonts w:ascii="Times New Roman" w:hAnsi="Times New Roman"/>
          <w:b/>
          <w:bCs/>
          <w:sz w:val="24"/>
          <w:szCs w:val="24"/>
        </w:rPr>
      </w:pPr>
    </w:p>
    <w:p w14:paraId="11A66BB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Asriandi, A., Sitompul, G. A., &amp; Sangaji, J. (2024). Transforming workforce dynamics: The role of remote work flexibility, technological adoption, and employee wellbeing on productivity of state-owned enterprise employee. </w:t>
      </w:r>
      <w:r w:rsidRPr="00DC137F">
        <w:rPr>
          <w:i/>
          <w:iCs/>
          <w:sz w:val="24"/>
          <w:szCs w:val="24"/>
        </w:rPr>
        <w:t>International Journal of Business, Law, and Education, 5</w:t>
      </w:r>
      <w:r w:rsidRPr="00DC137F">
        <w:rPr>
          <w:sz w:val="24"/>
          <w:szCs w:val="24"/>
        </w:rPr>
        <w:t>, 2445–2457.</w:t>
      </w:r>
    </w:p>
    <w:p w14:paraId="387E9921"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lastRenderedPageBreak/>
        <w:t xml:space="preserve">Bampton, R., Cowton, C. J., &amp; Downs, Y. (2014). The e-interview in qualitative research. In S. Hai-Jew (Ed.), </w:t>
      </w:r>
      <w:r w:rsidRPr="00DC137F">
        <w:rPr>
          <w:i/>
          <w:iCs/>
          <w:sz w:val="24"/>
          <w:szCs w:val="24"/>
        </w:rPr>
        <w:t>Advancing research methods with new technologies</w:t>
      </w:r>
      <w:r w:rsidRPr="00DC137F">
        <w:rPr>
          <w:sz w:val="24"/>
          <w:szCs w:val="24"/>
        </w:rPr>
        <w:t xml:space="preserve"> (pp. 329–343). IGI Global.</w:t>
      </w:r>
    </w:p>
    <w:p w14:paraId="6BC55E6D"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Bartik, A. W., Bertrand, M., Cullen, Z., Glaeser, E. L., Luca, M., &amp; Stanton, C. (2020). The impact of COVID-19 on small business outcomes and expectations. </w:t>
      </w:r>
      <w:r w:rsidRPr="00DC137F">
        <w:rPr>
          <w:i/>
          <w:iCs/>
          <w:sz w:val="24"/>
          <w:szCs w:val="24"/>
        </w:rPr>
        <w:t>Proceedings of the National Academy of Sciences, 117</w:t>
      </w:r>
      <w:r w:rsidRPr="00DC137F">
        <w:rPr>
          <w:sz w:val="24"/>
          <w:szCs w:val="24"/>
        </w:rPr>
        <w:t>(30).</w:t>
      </w:r>
    </w:p>
    <w:p w14:paraId="0DC47AD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Bloom, N., Liang, J., Roberts, J., &amp; Ying, Z. J. (2015). Does working from home work? Evidence from a Chinese experiment. </w:t>
      </w:r>
      <w:r w:rsidRPr="00DC137F">
        <w:rPr>
          <w:i/>
          <w:iCs/>
          <w:sz w:val="24"/>
          <w:szCs w:val="24"/>
        </w:rPr>
        <w:t>The Quarterly Journal of Economics, 130</w:t>
      </w:r>
      <w:r w:rsidRPr="00DC137F">
        <w:rPr>
          <w:sz w:val="24"/>
          <w:szCs w:val="24"/>
        </w:rPr>
        <w:t>(1), 165–218.</w:t>
      </w:r>
    </w:p>
    <w:p w14:paraId="45A8DAFA"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Demerouti, E., Derks, D., Ten Brummelhuis, L. L., &amp; Bakker, A. B. (2014). New ways of working: Impact on working conditions, work–family balance, and well-being. In N. Korunka &amp; P. Hoonakker (Eds.), </w:t>
      </w:r>
      <w:r w:rsidRPr="00DC137F">
        <w:rPr>
          <w:i/>
          <w:iCs/>
          <w:sz w:val="24"/>
          <w:szCs w:val="24"/>
        </w:rPr>
        <w:t>The impact of ICT on quality of working life</w:t>
      </w:r>
      <w:r w:rsidRPr="00DC137F">
        <w:rPr>
          <w:sz w:val="24"/>
          <w:szCs w:val="24"/>
        </w:rPr>
        <w:t xml:space="preserve"> (pp. 123–141). Springer.</w:t>
      </w:r>
    </w:p>
    <w:p w14:paraId="79E578FE" w14:textId="77777777" w:rsidR="002E1E3D" w:rsidRPr="002E1E3D" w:rsidRDefault="002E1E3D" w:rsidP="001D0CEC">
      <w:pPr>
        <w:pStyle w:val="references"/>
        <w:numPr>
          <w:ilvl w:val="0"/>
          <w:numId w:val="0"/>
        </w:numPr>
        <w:spacing w:line="240" w:lineRule="auto"/>
        <w:ind w:left="360" w:hanging="360"/>
        <w:rPr>
          <w:sz w:val="24"/>
          <w:szCs w:val="24"/>
        </w:rPr>
      </w:pPr>
      <w:r w:rsidRPr="002E1E3D">
        <w:rPr>
          <w:sz w:val="24"/>
          <w:szCs w:val="24"/>
        </w:rPr>
        <w:t>Dingel, J. I., &amp; Neiman, B. (2020). How many jobs can be done at home?. </w:t>
      </w:r>
      <w:r w:rsidRPr="002E1E3D">
        <w:rPr>
          <w:i/>
          <w:iCs/>
          <w:sz w:val="24"/>
          <w:szCs w:val="24"/>
        </w:rPr>
        <w:t>Journal of Public Economics</w:t>
      </w:r>
      <w:r w:rsidRPr="002E1E3D">
        <w:rPr>
          <w:sz w:val="24"/>
          <w:szCs w:val="24"/>
        </w:rPr>
        <w:t>, </w:t>
      </w:r>
      <w:r w:rsidRPr="002E1E3D">
        <w:rPr>
          <w:i/>
          <w:iCs/>
          <w:sz w:val="24"/>
          <w:szCs w:val="24"/>
        </w:rPr>
        <w:t>189</w:t>
      </w:r>
      <w:r w:rsidRPr="002E1E3D">
        <w:rPr>
          <w:sz w:val="24"/>
          <w:szCs w:val="24"/>
        </w:rPr>
        <w:t>, 104235.</w:t>
      </w:r>
    </w:p>
    <w:p w14:paraId="735F8FBF"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Fisher, M., &amp; Baird, D. E. (2006). Making m-learning work: Utilizing mobile technology for active exploration, collaboration, assessment, and reflection in higher education. </w:t>
      </w:r>
      <w:r w:rsidRPr="00DC137F">
        <w:rPr>
          <w:i/>
          <w:iCs/>
          <w:sz w:val="24"/>
          <w:szCs w:val="24"/>
        </w:rPr>
        <w:t>Journal of Educational Technology Systems, 35</w:t>
      </w:r>
      <w:r w:rsidRPr="00DC137F">
        <w:rPr>
          <w:sz w:val="24"/>
          <w:szCs w:val="24"/>
        </w:rPr>
        <w:t>(1), 3–30.</w:t>
      </w:r>
    </w:p>
    <w:p w14:paraId="341A8CBF"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Golden, T. D., Veiga, J. F., &amp; Dino, R. N. (2008). The impact of professional isolation on teleworker job performance and turnover intentions. </w:t>
      </w:r>
      <w:r w:rsidRPr="00DC137F">
        <w:rPr>
          <w:i/>
          <w:iCs/>
          <w:sz w:val="24"/>
          <w:szCs w:val="24"/>
        </w:rPr>
        <w:t>Journal of Applied Psychology, 93</w:t>
      </w:r>
      <w:r w:rsidRPr="00DC137F">
        <w:rPr>
          <w:sz w:val="24"/>
          <w:szCs w:val="24"/>
        </w:rPr>
        <w:t>(6), 1412–1421.</w:t>
      </w:r>
    </w:p>
    <w:p w14:paraId="799646B0"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Grant, C. A., Wallace, L. M., &amp; Spurgeon, P. C. (2013). An exploration of the psychological factors affecting remote e-workers’ job effectiveness, well-being, and work–life balance. </w:t>
      </w:r>
      <w:r w:rsidRPr="00DC137F">
        <w:rPr>
          <w:i/>
          <w:iCs/>
          <w:sz w:val="24"/>
          <w:szCs w:val="24"/>
        </w:rPr>
        <w:t>Employee Relations, 35</w:t>
      </w:r>
      <w:r w:rsidRPr="00DC137F">
        <w:rPr>
          <w:sz w:val="24"/>
          <w:szCs w:val="24"/>
        </w:rPr>
        <w:t>(5), 527–546</w:t>
      </w:r>
      <w:r w:rsidRPr="002E1E3D">
        <w:rPr>
          <w:sz w:val="24"/>
          <w:szCs w:val="24"/>
        </w:rPr>
        <w:t>.</w:t>
      </w:r>
    </w:p>
    <w:p w14:paraId="1522BCD6"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Hannola, L., Richter, A., Richter, S., &amp; Stocker, A. (2018). Empowering production workers with digitally facilitated knowledge processes: A conceptual framework. </w:t>
      </w:r>
      <w:r w:rsidRPr="00DC137F">
        <w:rPr>
          <w:i/>
          <w:iCs/>
          <w:sz w:val="24"/>
          <w:szCs w:val="24"/>
        </w:rPr>
        <w:t>International Journal of Production Research, 56</w:t>
      </w:r>
      <w:r w:rsidRPr="00DC137F">
        <w:rPr>
          <w:sz w:val="24"/>
          <w:szCs w:val="24"/>
        </w:rPr>
        <w:t>(14), 4729–4743.</w:t>
      </w:r>
    </w:p>
    <w:p w14:paraId="70B30A9F" w14:textId="77777777" w:rsidR="002E1E3D" w:rsidRPr="002E1E3D" w:rsidRDefault="002E1E3D" w:rsidP="002E1E3D">
      <w:pPr>
        <w:pStyle w:val="references"/>
        <w:numPr>
          <w:ilvl w:val="0"/>
          <w:numId w:val="0"/>
        </w:numPr>
        <w:spacing w:line="240" w:lineRule="auto"/>
        <w:ind w:left="360" w:hanging="360"/>
        <w:rPr>
          <w:sz w:val="24"/>
          <w:szCs w:val="24"/>
        </w:rPr>
      </w:pPr>
      <w:r w:rsidRPr="002E1E3D">
        <w:rPr>
          <w:sz w:val="24"/>
          <w:szCs w:val="24"/>
        </w:rPr>
        <w:t>Jamalulel, I. (2025). Enhancing Labor Productivity through SDG-Based Policies in Indonesia: The Role of the Manpower Office in Indramayu Regency Research Article. </w:t>
      </w:r>
      <w:r w:rsidRPr="002E1E3D">
        <w:rPr>
          <w:i/>
          <w:iCs/>
          <w:sz w:val="24"/>
          <w:szCs w:val="24"/>
        </w:rPr>
        <w:t>International Journal of Research and Innovation in Social Science</w:t>
      </w:r>
      <w:r w:rsidRPr="002E1E3D">
        <w:rPr>
          <w:sz w:val="24"/>
          <w:szCs w:val="24"/>
        </w:rPr>
        <w:t>.</w:t>
      </w:r>
    </w:p>
    <w:p w14:paraId="1FAB6E66" w14:textId="77777777" w:rsidR="002E1E3D" w:rsidRPr="002E1E3D" w:rsidRDefault="002E1E3D" w:rsidP="002E1E3D">
      <w:pPr>
        <w:pStyle w:val="references"/>
        <w:numPr>
          <w:ilvl w:val="0"/>
          <w:numId w:val="0"/>
        </w:numPr>
        <w:spacing w:line="240" w:lineRule="auto"/>
        <w:ind w:left="360" w:hanging="360"/>
        <w:rPr>
          <w:sz w:val="24"/>
          <w:szCs w:val="24"/>
          <w:shd w:val="clear" w:color="auto" w:fill="FFFFFF"/>
        </w:rPr>
      </w:pPr>
      <w:r w:rsidRPr="002E1E3D">
        <w:rPr>
          <w:sz w:val="24"/>
          <w:szCs w:val="24"/>
          <w:shd w:val="clear" w:color="auto" w:fill="FFFFFF"/>
        </w:rPr>
        <w:t>Jamalulel, I., &amp; Chang, C.-L. (2025). Work-Life Balance and Career Development: How Job Satisfaction Mediates Their Impact on Turnover Intention Among Indonesian Generation Z? . </w:t>
      </w:r>
      <w:r w:rsidRPr="002E1E3D">
        <w:rPr>
          <w:i/>
          <w:iCs/>
          <w:sz w:val="24"/>
          <w:szCs w:val="24"/>
          <w:shd w:val="clear" w:color="auto" w:fill="FFFFFF"/>
        </w:rPr>
        <w:t>International Journal of Business and Society</w:t>
      </w:r>
      <w:r w:rsidRPr="002E1E3D">
        <w:rPr>
          <w:sz w:val="24"/>
          <w:szCs w:val="24"/>
          <w:shd w:val="clear" w:color="auto" w:fill="FFFFFF"/>
        </w:rPr>
        <w:t>, </w:t>
      </w:r>
      <w:r w:rsidRPr="002E1E3D">
        <w:rPr>
          <w:i/>
          <w:iCs/>
          <w:sz w:val="24"/>
          <w:szCs w:val="24"/>
          <w:shd w:val="clear" w:color="auto" w:fill="FFFFFF"/>
        </w:rPr>
        <w:t>26</w:t>
      </w:r>
      <w:r w:rsidRPr="002E1E3D">
        <w:rPr>
          <w:sz w:val="24"/>
          <w:szCs w:val="24"/>
          <w:shd w:val="clear" w:color="auto" w:fill="FFFFFF"/>
        </w:rPr>
        <w:t xml:space="preserve">(3), 907–926. </w:t>
      </w:r>
      <w:hyperlink r:id="rId6" w:history="1">
        <w:r w:rsidRPr="002E1E3D">
          <w:rPr>
            <w:rStyle w:val="Hyperlink"/>
            <w:sz w:val="24"/>
            <w:szCs w:val="24"/>
            <w:shd w:val="clear" w:color="auto" w:fill="FFFFFF"/>
          </w:rPr>
          <w:t>https://doi.org/10.33736/ijbs.8302.2025</w:t>
        </w:r>
      </w:hyperlink>
    </w:p>
    <w:p w14:paraId="0EB7039E"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Kossek, E. E., Ruderman, M. N., Braddy, P. W., &amp; Hannum, K. M. (2012). Work–nonwork boundary management profiles: A person-centered approach. </w:t>
      </w:r>
      <w:r w:rsidRPr="00DC137F">
        <w:rPr>
          <w:i/>
          <w:iCs/>
          <w:sz w:val="24"/>
          <w:szCs w:val="24"/>
        </w:rPr>
        <w:t>Journal of Vocational Behavior, 81</w:t>
      </w:r>
      <w:r w:rsidRPr="00DC137F">
        <w:rPr>
          <w:sz w:val="24"/>
          <w:szCs w:val="24"/>
        </w:rPr>
        <w:t>(1), 112–128.</w:t>
      </w:r>
    </w:p>
    <w:p w14:paraId="1E127F98"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Kustanto, A. (2024). Bridging the digital gap: Analysing the impact of ICT diffusion on income inequality in Indonesia. </w:t>
      </w:r>
      <w:r w:rsidRPr="00DC137F">
        <w:rPr>
          <w:i/>
          <w:iCs/>
          <w:sz w:val="24"/>
          <w:szCs w:val="24"/>
        </w:rPr>
        <w:t>Ikonomicheska misal, 3</w:t>
      </w:r>
      <w:r w:rsidRPr="00DC137F">
        <w:rPr>
          <w:sz w:val="24"/>
          <w:szCs w:val="24"/>
        </w:rPr>
        <w:t>, 323–352.</w:t>
      </w:r>
    </w:p>
    <w:p w14:paraId="46B5B0BA"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Marion, T. J., &amp; Fixson, S. K. (2021). The transformation of the innovation process: How digital tools are changing work, collaboration, and organizations in new product development. </w:t>
      </w:r>
      <w:r w:rsidRPr="00DC137F">
        <w:rPr>
          <w:i/>
          <w:iCs/>
          <w:sz w:val="24"/>
          <w:szCs w:val="24"/>
        </w:rPr>
        <w:t>Journal of Product Innovation Management, 38</w:t>
      </w:r>
      <w:r w:rsidRPr="00DC137F">
        <w:rPr>
          <w:sz w:val="24"/>
          <w:szCs w:val="24"/>
        </w:rPr>
        <w:t>(2), 192–215.</w:t>
      </w:r>
    </w:p>
    <w:p w14:paraId="4349A67D" w14:textId="77777777" w:rsidR="002E1E3D" w:rsidRPr="002E1E3D" w:rsidRDefault="002E1E3D" w:rsidP="001D0CEC">
      <w:pPr>
        <w:pStyle w:val="references"/>
        <w:numPr>
          <w:ilvl w:val="0"/>
          <w:numId w:val="0"/>
        </w:numPr>
        <w:spacing w:line="240" w:lineRule="auto"/>
        <w:ind w:left="360" w:hanging="360"/>
        <w:rPr>
          <w:sz w:val="24"/>
          <w:szCs w:val="24"/>
        </w:rPr>
      </w:pPr>
      <w:r w:rsidRPr="002E1E3D">
        <w:rPr>
          <w:sz w:val="24"/>
          <w:szCs w:val="24"/>
        </w:rPr>
        <w:t>Maruyama, T., Hopkinson, P. G., &amp; James, P. W. (2009). A multivariate analysis of work–life balance outcomes from a large‐scale telework programme. </w:t>
      </w:r>
      <w:r w:rsidRPr="002E1E3D">
        <w:rPr>
          <w:i/>
          <w:iCs/>
          <w:sz w:val="24"/>
          <w:szCs w:val="24"/>
        </w:rPr>
        <w:t>New Technology, Work and Employment</w:t>
      </w:r>
      <w:r w:rsidRPr="002E1E3D">
        <w:rPr>
          <w:sz w:val="24"/>
          <w:szCs w:val="24"/>
        </w:rPr>
        <w:t>, </w:t>
      </w:r>
      <w:r w:rsidRPr="002E1E3D">
        <w:rPr>
          <w:i/>
          <w:iCs/>
          <w:sz w:val="24"/>
          <w:szCs w:val="24"/>
        </w:rPr>
        <w:t>24</w:t>
      </w:r>
      <w:r w:rsidRPr="002E1E3D">
        <w:rPr>
          <w:sz w:val="24"/>
          <w:szCs w:val="24"/>
        </w:rPr>
        <w:t>(1), 76-88.</w:t>
      </w:r>
    </w:p>
    <w:p w14:paraId="7B84D7DB"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lastRenderedPageBreak/>
        <w:t xml:space="preserve">Matli, W., &amp; Wamba, S. F. (2023). Work from anywhere: Inequalities in technology infrastructure distribution for digital workers. </w:t>
      </w:r>
      <w:r w:rsidRPr="00DC137F">
        <w:rPr>
          <w:i/>
          <w:iCs/>
          <w:sz w:val="24"/>
          <w:szCs w:val="24"/>
        </w:rPr>
        <w:t>Digital Transformation and Society, 2</w:t>
      </w:r>
      <w:r w:rsidRPr="00DC137F">
        <w:rPr>
          <w:sz w:val="24"/>
          <w:szCs w:val="24"/>
        </w:rPr>
        <w:t>(1), 149–162.</w:t>
      </w:r>
    </w:p>
    <w:p w14:paraId="3259F395"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Mazmanian, M., Orlikowski, W. J., &amp; Yates, J. (2013). The autonomy paradox: The implications of mobile email devices for knowledge professionals. </w:t>
      </w:r>
      <w:r w:rsidRPr="00DC137F">
        <w:rPr>
          <w:i/>
          <w:iCs/>
          <w:sz w:val="24"/>
          <w:szCs w:val="24"/>
        </w:rPr>
        <w:t>Organization Science, 24</w:t>
      </w:r>
      <w:r w:rsidRPr="00DC137F">
        <w:rPr>
          <w:sz w:val="24"/>
          <w:szCs w:val="24"/>
        </w:rPr>
        <w:t>(5), 1337–1357.</w:t>
      </w:r>
    </w:p>
    <w:p w14:paraId="3FE25AE5"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Messenger, J. C., &amp; Gschwind, L. (2016). Three generations of telework: New ICTs and the (r)evolution from home office to virtual office. </w:t>
      </w:r>
      <w:r w:rsidRPr="00DC137F">
        <w:rPr>
          <w:i/>
          <w:iCs/>
          <w:sz w:val="24"/>
          <w:szCs w:val="24"/>
        </w:rPr>
        <w:t>New Technology, Work and Employment, 31</w:t>
      </w:r>
      <w:r w:rsidRPr="00DC137F">
        <w:rPr>
          <w:sz w:val="24"/>
          <w:szCs w:val="24"/>
        </w:rPr>
        <w:t>(3), 195–208.</w:t>
      </w:r>
    </w:p>
    <w:p w14:paraId="69C5CCC5" w14:textId="77777777" w:rsidR="002E1E3D" w:rsidRPr="00DC137F" w:rsidRDefault="002E1E3D" w:rsidP="002E1E3D">
      <w:pPr>
        <w:spacing w:after="160" w:line="278" w:lineRule="auto"/>
        <w:rPr>
          <w:rFonts w:ascii="Times New Roman" w:hAnsi="Times New Roman"/>
          <w:sz w:val="24"/>
          <w:szCs w:val="24"/>
        </w:rPr>
      </w:pPr>
      <w:r w:rsidRPr="00DC137F">
        <w:rPr>
          <w:rFonts w:ascii="Times New Roman" w:hAnsi="Times New Roman"/>
          <w:sz w:val="24"/>
          <w:szCs w:val="24"/>
        </w:rPr>
        <w:t xml:space="preserve">Mustajab, D. (2024). Exploring the effectiveness of remote and hybrid work policies: A literature review on workforce management practices. </w:t>
      </w:r>
      <w:r w:rsidRPr="00DC137F">
        <w:rPr>
          <w:rFonts w:ascii="Times New Roman" w:hAnsi="Times New Roman"/>
          <w:i/>
          <w:iCs/>
          <w:sz w:val="24"/>
          <w:szCs w:val="24"/>
        </w:rPr>
        <w:t>Jurnal Manajemen Bisnis, 11</w:t>
      </w:r>
      <w:r w:rsidRPr="00DC137F">
        <w:rPr>
          <w:rFonts w:ascii="Times New Roman" w:hAnsi="Times New Roman"/>
          <w:sz w:val="24"/>
          <w:szCs w:val="24"/>
        </w:rPr>
        <w:t>(2).</w:t>
      </w:r>
    </w:p>
    <w:p w14:paraId="644D89A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Palinkas, L. A., Horwitz, S. M., Green, C. A., Wisdom, J. P., Duan, N., &amp; Hoagwood, K. (2015). Purposeful sampling for qualitative data collection and analysis in mixed method implementation research. </w:t>
      </w:r>
      <w:r w:rsidRPr="00DC137F">
        <w:rPr>
          <w:i/>
          <w:iCs/>
          <w:sz w:val="24"/>
          <w:szCs w:val="24"/>
        </w:rPr>
        <w:t>Administration and Policy in Mental Health and Mental Health Services Research, 42</w:t>
      </w:r>
      <w:r w:rsidRPr="00DC137F">
        <w:rPr>
          <w:sz w:val="24"/>
          <w:szCs w:val="24"/>
        </w:rPr>
        <w:t>(5), 533–544.</w:t>
      </w:r>
    </w:p>
    <w:p w14:paraId="0DA63DE2"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Purvanova, R. K., &amp; Bono, J. E. (2009). Transformational leadership in context: Face-to-face and virtual teams. </w:t>
      </w:r>
      <w:r w:rsidRPr="00DC137F">
        <w:rPr>
          <w:i/>
          <w:iCs/>
          <w:sz w:val="24"/>
          <w:szCs w:val="24"/>
        </w:rPr>
        <w:t>The Leadership Quarterly, 20</w:t>
      </w:r>
      <w:r w:rsidRPr="00DC137F">
        <w:rPr>
          <w:sz w:val="24"/>
          <w:szCs w:val="24"/>
        </w:rPr>
        <w:t>(3), 343–357.</w:t>
      </w:r>
    </w:p>
    <w:p w14:paraId="3DA0D0C2"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Salam, U., Lee, S., Fullerton, V., Yusuf, Y., &amp; Krantz, S. (2018). </w:t>
      </w:r>
      <w:r w:rsidRPr="00DC137F">
        <w:rPr>
          <w:i/>
          <w:iCs/>
          <w:sz w:val="24"/>
          <w:szCs w:val="24"/>
        </w:rPr>
        <w:t>Indonesia case study: Rapid technological change—Challenges and opportunities final report</w:t>
      </w:r>
      <w:r w:rsidRPr="00DC137F">
        <w:rPr>
          <w:sz w:val="24"/>
          <w:szCs w:val="24"/>
        </w:rPr>
        <w:t>.</w:t>
      </w:r>
    </w:p>
    <w:p w14:paraId="5D756B28"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Sonnentag, S., Binnewies, C., &amp; Mojza, E. J. (2010). Staying well and engaged when demands are high: The role of psychological detachment. </w:t>
      </w:r>
      <w:r w:rsidRPr="00DC137F">
        <w:rPr>
          <w:i/>
          <w:iCs/>
          <w:sz w:val="24"/>
          <w:szCs w:val="24"/>
        </w:rPr>
        <w:t>Journal of Applied Psychology, 95</w:t>
      </w:r>
      <w:r w:rsidRPr="00DC137F">
        <w:rPr>
          <w:sz w:val="24"/>
          <w:szCs w:val="24"/>
        </w:rPr>
        <w:t>(5), 965–976.</w:t>
      </w:r>
    </w:p>
    <w:p w14:paraId="7C9CBEB6"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Spreitzer, G. M. (1995). Psychological empowerment in the workplace: Dimensions, measurement, and validation. </w:t>
      </w:r>
      <w:r w:rsidRPr="00DC137F">
        <w:rPr>
          <w:i/>
          <w:iCs/>
          <w:sz w:val="24"/>
          <w:szCs w:val="24"/>
        </w:rPr>
        <w:t>Academy of Management Journal, 38</w:t>
      </w:r>
      <w:r w:rsidRPr="00DC137F">
        <w:rPr>
          <w:sz w:val="24"/>
          <w:szCs w:val="24"/>
        </w:rPr>
        <w:t>(5), 1442–1465.</w:t>
      </w:r>
    </w:p>
    <w:p w14:paraId="244D3C83" w14:textId="77777777" w:rsidR="002E1E3D" w:rsidRPr="002E1E3D" w:rsidRDefault="002E1E3D" w:rsidP="002E1E3D">
      <w:pPr>
        <w:pStyle w:val="references"/>
        <w:numPr>
          <w:ilvl w:val="0"/>
          <w:numId w:val="0"/>
        </w:numPr>
        <w:spacing w:line="240" w:lineRule="auto"/>
        <w:ind w:left="360" w:hanging="360"/>
        <w:rPr>
          <w:sz w:val="24"/>
          <w:szCs w:val="24"/>
        </w:rPr>
      </w:pPr>
      <w:r w:rsidRPr="002E1E3D">
        <w:rPr>
          <w:sz w:val="24"/>
          <w:szCs w:val="24"/>
        </w:rPr>
        <w:t>Tavares, A. I. (2017). Telework and health effects review. </w:t>
      </w:r>
      <w:r w:rsidRPr="002E1E3D">
        <w:rPr>
          <w:i/>
          <w:iCs/>
          <w:sz w:val="24"/>
          <w:szCs w:val="24"/>
        </w:rPr>
        <w:t>International Journal of Healthcare</w:t>
      </w:r>
      <w:r w:rsidRPr="002E1E3D">
        <w:rPr>
          <w:sz w:val="24"/>
          <w:szCs w:val="24"/>
        </w:rPr>
        <w:t>, </w:t>
      </w:r>
      <w:r w:rsidRPr="002E1E3D">
        <w:rPr>
          <w:i/>
          <w:iCs/>
          <w:sz w:val="24"/>
          <w:szCs w:val="24"/>
        </w:rPr>
        <w:t>3</w:t>
      </w:r>
      <w:r w:rsidRPr="002E1E3D">
        <w:rPr>
          <w:sz w:val="24"/>
          <w:szCs w:val="24"/>
        </w:rPr>
        <w:t>(2), 30-36.</w:t>
      </w:r>
    </w:p>
    <w:p w14:paraId="421732C0" w14:textId="77777777" w:rsidR="002E1E3D" w:rsidRPr="00DC137F" w:rsidRDefault="002E1E3D" w:rsidP="002E1E3D">
      <w:pPr>
        <w:pStyle w:val="references"/>
        <w:numPr>
          <w:ilvl w:val="0"/>
          <w:numId w:val="0"/>
        </w:numPr>
        <w:spacing w:line="240" w:lineRule="auto"/>
        <w:ind w:left="360" w:hanging="360"/>
        <w:rPr>
          <w:sz w:val="24"/>
          <w:szCs w:val="24"/>
          <w:shd w:val="clear" w:color="auto" w:fill="FFFFFF"/>
        </w:rPr>
      </w:pPr>
      <w:r w:rsidRPr="00DC137F">
        <w:rPr>
          <w:sz w:val="24"/>
          <w:szCs w:val="24"/>
        </w:rPr>
        <w:t xml:space="preserve">West, D. M. (2018). </w:t>
      </w:r>
      <w:r w:rsidRPr="00DC137F">
        <w:rPr>
          <w:i/>
          <w:iCs/>
          <w:sz w:val="24"/>
          <w:szCs w:val="24"/>
        </w:rPr>
        <w:t>The future of work: Robots, AI, and automation</w:t>
      </w:r>
      <w:r w:rsidRPr="00DC137F">
        <w:rPr>
          <w:sz w:val="24"/>
          <w:szCs w:val="24"/>
        </w:rPr>
        <w:t>. Brookings Institution Press.</w:t>
      </w:r>
    </w:p>
    <w:p w14:paraId="0F02BC5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Westerman, G., Bonnet, D., &amp; McAfee, A. (2014). </w:t>
      </w:r>
      <w:r w:rsidRPr="00DC137F">
        <w:rPr>
          <w:i/>
          <w:iCs/>
          <w:sz w:val="24"/>
          <w:szCs w:val="24"/>
        </w:rPr>
        <w:t>Leading digital: Turning technology into business transformation</w:t>
      </w:r>
      <w:r w:rsidRPr="00DC137F">
        <w:rPr>
          <w:sz w:val="24"/>
          <w:szCs w:val="24"/>
        </w:rPr>
        <w:t>. Harvard Business School Publishing.</w:t>
      </w:r>
    </w:p>
    <w:p w14:paraId="0B2F26CE" w14:textId="77777777" w:rsidR="002E1E3D" w:rsidRPr="002E1E3D" w:rsidRDefault="002E1E3D" w:rsidP="002E1E3D">
      <w:pPr>
        <w:rPr>
          <w:rFonts w:ascii="Times New Roman" w:hAnsi="Times New Roman"/>
          <w:sz w:val="24"/>
          <w:szCs w:val="24"/>
        </w:rPr>
      </w:pPr>
    </w:p>
    <w:p w14:paraId="1830F28E" w14:textId="77777777" w:rsidR="001D0CEC" w:rsidRPr="002E1E3D" w:rsidRDefault="001D0CEC">
      <w:pPr>
        <w:rPr>
          <w:rFonts w:ascii="Times New Roman" w:hAnsi="Times New Roman"/>
          <w:sz w:val="24"/>
          <w:szCs w:val="24"/>
        </w:rPr>
      </w:pPr>
    </w:p>
    <w:sectPr w:rsidR="001D0CEC" w:rsidRPr="002E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72BA1C33"/>
    <w:multiLevelType w:val="hybridMultilevel"/>
    <w:tmpl w:val="F62225AE"/>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EC"/>
    <w:rsid w:val="000C43B3"/>
    <w:rsid w:val="000E154B"/>
    <w:rsid w:val="00175F8A"/>
    <w:rsid w:val="001D0CEC"/>
    <w:rsid w:val="002E1E3D"/>
    <w:rsid w:val="00A01942"/>
    <w:rsid w:val="00A1230A"/>
    <w:rsid w:val="00DC49B6"/>
    <w:rsid w:val="00E17A75"/>
    <w:rsid w:val="00E4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EC"/>
    <w:pPr>
      <w:spacing w:after="0" w:line="260" w:lineRule="atLeast"/>
      <w:jc w:val="both"/>
    </w:pPr>
    <w:rPr>
      <w:rFonts w:ascii="Palatino Linotype" w:eastAsiaTheme="minorEastAsia" w:hAnsi="Palatino Linotype" w:cs="Times New Roman"/>
      <w:noProof/>
      <w:color w:val="000000"/>
      <w:kern w:val="0"/>
      <w:sz w:val="20"/>
      <w:szCs w:val="20"/>
      <w:lang w:eastAsia="zh-CN"/>
      <w14:ligatures w14:val="none"/>
    </w:rPr>
  </w:style>
  <w:style w:type="paragraph" w:styleId="Heading1">
    <w:name w:val="heading 1"/>
    <w:basedOn w:val="Normal"/>
    <w:next w:val="Normal"/>
    <w:link w:val="Heading1Char"/>
    <w:uiPriority w:val="9"/>
    <w:qFormat/>
    <w:rsid w:val="001D0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C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C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C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C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CEC"/>
    <w:rPr>
      <w:rFonts w:eastAsiaTheme="majorEastAsia" w:cstheme="majorBidi"/>
      <w:color w:val="272727" w:themeColor="text1" w:themeTint="D8"/>
    </w:rPr>
  </w:style>
  <w:style w:type="paragraph" w:styleId="Title">
    <w:name w:val="Title"/>
    <w:basedOn w:val="Normal"/>
    <w:next w:val="Normal"/>
    <w:link w:val="TitleChar"/>
    <w:uiPriority w:val="10"/>
    <w:qFormat/>
    <w:rsid w:val="001D0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CEC"/>
    <w:pPr>
      <w:spacing w:before="160"/>
      <w:jc w:val="center"/>
    </w:pPr>
    <w:rPr>
      <w:i/>
      <w:iCs/>
      <w:color w:val="404040" w:themeColor="text1" w:themeTint="BF"/>
    </w:rPr>
  </w:style>
  <w:style w:type="character" w:customStyle="1" w:styleId="QuoteChar">
    <w:name w:val="Quote Char"/>
    <w:basedOn w:val="DefaultParagraphFont"/>
    <w:link w:val="Quote"/>
    <w:uiPriority w:val="29"/>
    <w:rsid w:val="001D0CEC"/>
    <w:rPr>
      <w:i/>
      <w:iCs/>
      <w:color w:val="404040" w:themeColor="text1" w:themeTint="BF"/>
    </w:rPr>
  </w:style>
  <w:style w:type="paragraph" w:styleId="ListParagraph">
    <w:name w:val="List Paragraph"/>
    <w:basedOn w:val="Normal"/>
    <w:uiPriority w:val="34"/>
    <w:qFormat/>
    <w:rsid w:val="001D0CEC"/>
    <w:pPr>
      <w:ind w:left="720"/>
      <w:contextualSpacing/>
    </w:pPr>
  </w:style>
  <w:style w:type="character" w:styleId="IntenseEmphasis">
    <w:name w:val="Intense Emphasis"/>
    <w:basedOn w:val="DefaultParagraphFont"/>
    <w:uiPriority w:val="21"/>
    <w:qFormat/>
    <w:rsid w:val="001D0CEC"/>
    <w:rPr>
      <w:i/>
      <w:iCs/>
      <w:color w:val="2F5496" w:themeColor="accent1" w:themeShade="BF"/>
    </w:rPr>
  </w:style>
  <w:style w:type="paragraph" w:styleId="IntenseQuote">
    <w:name w:val="Intense Quote"/>
    <w:basedOn w:val="Normal"/>
    <w:next w:val="Normal"/>
    <w:link w:val="IntenseQuoteChar"/>
    <w:uiPriority w:val="30"/>
    <w:qFormat/>
    <w:rsid w:val="001D0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CEC"/>
    <w:rPr>
      <w:i/>
      <w:iCs/>
      <w:color w:val="2F5496" w:themeColor="accent1" w:themeShade="BF"/>
    </w:rPr>
  </w:style>
  <w:style w:type="character" w:styleId="IntenseReference">
    <w:name w:val="Intense Reference"/>
    <w:basedOn w:val="DefaultParagraphFont"/>
    <w:uiPriority w:val="32"/>
    <w:qFormat/>
    <w:rsid w:val="001D0CEC"/>
    <w:rPr>
      <w:b/>
      <w:bCs/>
      <w:smallCaps/>
      <w:color w:val="2F5496" w:themeColor="accent1" w:themeShade="BF"/>
      <w:spacing w:val="5"/>
    </w:rPr>
  </w:style>
  <w:style w:type="paragraph" w:customStyle="1" w:styleId="MDPI12title">
    <w:name w:val="MDPI_1.2_title"/>
    <w:next w:val="Normal"/>
    <w:qFormat/>
    <w:rsid w:val="001D0CEC"/>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1D0CEC"/>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4history">
    <w:name w:val="MDPI_1.4_history"/>
    <w:basedOn w:val="Normal"/>
    <w:next w:val="Normal"/>
    <w:qFormat/>
    <w:rsid w:val="001D0CEC"/>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1D0CEC"/>
    <w:pPr>
      <w:adjustRightInd w:val="0"/>
      <w:snapToGrid w:val="0"/>
      <w:spacing w:before="24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16affiliation">
    <w:name w:val="MDPI_1.6_affiliation"/>
    <w:qFormat/>
    <w:rsid w:val="001D0CEC"/>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61Citation">
    <w:name w:val="MDPI_6.1_Citation"/>
    <w:qFormat/>
    <w:rsid w:val="001D0CEC"/>
    <w:pPr>
      <w:adjustRightInd w:val="0"/>
      <w:snapToGrid w:val="0"/>
      <w:spacing w:after="0" w:line="240" w:lineRule="atLeast"/>
      <w:ind w:right="113"/>
    </w:pPr>
    <w:rPr>
      <w:rFonts w:ascii="Palatino Linotype" w:eastAsiaTheme="minorEastAsia" w:hAnsi="Palatino Linotype"/>
      <w:kern w:val="0"/>
      <w:sz w:val="14"/>
      <w:szCs w:val="22"/>
      <w:lang w:eastAsia="zh-CN"/>
      <w14:ligatures w14:val="none"/>
    </w:rPr>
  </w:style>
  <w:style w:type="paragraph" w:customStyle="1" w:styleId="MDPI72Copyright">
    <w:name w:val="MDPI_7.2_Copyright"/>
    <w:qFormat/>
    <w:rsid w:val="001D0CEC"/>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17abstract">
    <w:name w:val="MDPI_1.7_abstract"/>
    <w:next w:val="Normal"/>
    <w:qFormat/>
    <w:rsid w:val="001D0CEC"/>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1D0CEC"/>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31text">
    <w:name w:val="MDPI_3.1_text"/>
    <w:qFormat/>
    <w:rsid w:val="001D0CEC"/>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41tablecaption">
    <w:name w:val="MDPI_4.1_table_caption"/>
    <w:qFormat/>
    <w:rsid w:val="001D0CEC"/>
    <w:pPr>
      <w:adjustRightInd w:val="0"/>
      <w:snapToGrid w:val="0"/>
      <w:spacing w:before="240" w:after="120" w:line="228" w:lineRule="auto"/>
      <w:ind w:left="2608"/>
    </w:pPr>
    <w:rPr>
      <w:rFonts w:ascii="Palatino Linotype" w:eastAsia="Times New Roman" w:hAnsi="Palatino Linotype"/>
      <w:color w:val="000000"/>
      <w:kern w:val="0"/>
      <w:sz w:val="18"/>
      <w:szCs w:val="22"/>
      <w:lang w:eastAsia="de-DE" w:bidi="en-US"/>
      <w14:ligatures w14:val="none"/>
    </w:rPr>
  </w:style>
  <w:style w:type="paragraph" w:customStyle="1" w:styleId="MDPI42tablebody">
    <w:name w:val="MDPI_4.2_table_body"/>
    <w:qFormat/>
    <w:rsid w:val="001D0CEC"/>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1D0CEC"/>
    <w:pPr>
      <w:adjustRightInd w:val="0"/>
      <w:snapToGrid w:val="0"/>
      <w:spacing w:after="240" w:line="228" w:lineRule="auto"/>
      <w:ind w:left="2608"/>
    </w:pPr>
    <w:rPr>
      <w:rFonts w:ascii="Palatino Linotype" w:eastAsia="Times New Roman" w:hAnsi="Palatino Linotype" w:cs="Cordia New"/>
      <w:color w:val="000000"/>
      <w:kern w:val="0"/>
      <w:sz w:val="18"/>
      <w:szCs w:val="22"/>
      <w:lang w:eastAsia="de-DE" w:bidi="en-US"/>
      <w14:ligatures w14:val="none"/>
    </w:rPr>
  </w:style>
  <w:style w:type="paragraph" w:customStyle="1" w:styleId="MDPI21heading1">
    <w:name w:val="MDPI_2.1_heading1"/>
    <w:qFormat/>
    <w:rsid w:val="001D0CEC"/>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paragraph" w:customStyle="1" w:styleId="MDPI22heading2">
    <w:name w:val="MDPI_2.2_heading2"/>
    <w:qFormat/>
    <w:rsid w:val="001D0CEC"/>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1D0CEC"/>
    <w:rPr>
      <w:color w:val="0563C1" w:themeColor="hyperlink"/>
      <w:u w:val="single"/>
    </w:rPr>
  </w:style>
  <w:style w:type="paragraph" w:customStyle="1" w:styleId="references">
    <w:name w:val="references"/>
    <w:rsid w:val="001D0CEC"/>
    <w:pPr>
      <w:numPr>
        <w:numId w:val="2"/>
      </w:numPr>
      <w:spacing w:after="50" w:line="180" w:lineRule="exact"/>
      <w:jc w:val="both"/>
    </w:pPr>
    <w:rPr>
      <w:rFonts w:ascii="Times New Roman" w:eastAsia="MS Mincho" w:hAnsi="Times New Roman" w:cs="Times New Roman"/>
      <w:noProof/>
      <w:kern w:val="0"/>
      <w:sz w:val="16"/>
      <w:szCs w:val="16"/>
      <w14:ligatures w14:val="none"/>
    </w:rPr>
  </w:style>
  <w:style w:type="character" w:customStyle="1" w:styleId="UnresolvedMention">
    <w:name w:val="Unresolved Mention"/>
    <w:basedOn w:val="DefaultParagraphFont"/>
    <w:uiPriority w:val="99"/>
    <w:semiHidden/>
    <w:unhideWhenUsed/>
    <w:rsid w:val="002E1E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EC"/>
    <w:pPr>
      <w:spacing w:after="0" w:line="260" w:lineRule="atLeast"/>
      <w:jc w:val="both"/>
    </w:pPr>
    <w:rPr>
      <w:rFonts w:ascii="Palatino Linotype" w:eastAsiaTheme="minorEastAsia" w:hAnsi="Palatino Linotype" w:cs="Times New Roman"/>
      <w:noProof/>
      <w:color w:val="000000"/>
      <w:kern w:val="0"/>
      <w:sz w:val="20"/>
      <w:szCs w:val="20"/>
      <w:lang w:eastAsia="zh-CN"/>
      <w14:ligatures w14:val="none"/>
    </w:rPr>
  </w:style>
  <w:style w:type="paragraph" w:styleId="Heading1">
    <w:name w:val="heading 1"/>
    <w:basedOn w:val="Normal"/>
    <w:next w:val="Normal"/>
    <w:link w:val="Heading1Char"/>
    <w:uiPriority w:val="9"/>
    <w:qFormat/>
    <w:rsid w:val="001D0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C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C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C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C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CEC"/>
    <w:rPr>
      <w:rFonts w:eastAsiaTheme="majorEastAsia" w:cstheme="majorBidi"/>
      <w:color w:val="272727" w:themeColor="text1" w:themeTint="D8"/>
    </w:rPr>
  </w:style>
  <w:style w:type="paragraph" w:styleId="Title">
    <w:name w:val="Title"/>
    <w:basedOn w:val="Normal"/>
    <w:next w:val="Normal"/>
    <w:link w:val="TitleChar"/>
    <w:uiPriority w:val="10"/>
    <w:qFormat/>
    <w:rsid w:val="001D0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CEC"/>
    <w:pPr>
      <w:spacing w:before="160"/>
      <w:jc w:val="center"/>
    </w:pPr>
    <w:rPr>
      <w:i/>
      <w:iCs/>
      <w:color w:val="404040" w:themeColor="text1" w:themeTint="BF"/>
    </w:rPr>
  </w:style>
  <w:style w:type="character" w:customStyle="1" w:styleId="QuoteChar">
    <w:name w:val="Quote Char"/>
    <w:basedOn w:val="DefaultParagraphFont"/>
    <w:link w:val="Quote"/>
    <w:uiPriority w:val="29"/>
    <w:rsid w:val="001D0CEC"/>
    <w:rPr>
      <w:i/>
      <w:iCs/>
      <w:color w:val="404040" w:themeColor="text1" w:themeTint="BF"/>
    </w:rPr>
  </w:style>
  <w:style w:type="paragraph" w:styleId="ListParagraph">
    <w:name w:val="List Paragraph"/>
    <w:basedOn w:val="Normal"/>
    <w:uiPriority w:val="34"/>
    <w:qFormat/>
    <w:rsid w:val="001D0CEC"/>
    <w:pPr>
      <w:ind w:left="720"/>
      <w:contextualSpacing/>
    </w:pPr>
  </w:style>
  <w:style w:type="character" w:styleId="IntenseEmphasis">
    <w:name w:val="Intense Emphasis"/>
    <w:basedOn w:val="DefaultParagraphFont"/>
    <w:uiPriority w:val="21"/>
    <w:qFormat/>
    <w:rsid w:val="001D0CEC"/>
    <w:rPr>
      <w:i/>
      <w:iCs/>
      <w:color w:val="2F5496" w:themeColor="accent1" w:themeShade="BF"/>
    </w:rPr>
  </w:style>
  <w:style w:type="paragraph" w:styleId="IntenseQuote">
    <w:name w:val="Intense Quote"/>
    <w:basedOn w:val="Normal"/>
    <w:next w:val="Normal"/>
    <w:link w:val="IntenseQuoteChar"/>
    <w:uiPriority w:val="30"/>
    <w:qFormat/>
    <w:rsid w:val="001D0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CEC"/>
    <w:rPr>
      <w:i/>
      <w:iCs/>
      <w:color w:val="2F5496" w:themeColor="accent1" w:themeShade="BF"/>
    </w:rPr>
  </w:style>
  <w:style w:type="character" w:styleId="IntenseReference">
    <w:name w:val="Intense Reference"/>
    <w:basedOn w:val="DefaultParagraphFont"/>
    <w:uiPriority w:val="32"/>
    <w:qFormat/>
    <w:rsid w:val="001D0CEC"/>
    <w:rPr>
      <w:b/>
      <w:bCs/>
      <w:smallCaps/>
      <w:color w:val="2F5496" w:themeColor="accent1" w:themeShade="BF"/>
      <w:spacing w:val="5"/>
    </w:rPr>
  </w:style>
  <w:style w:type="paragraph" w:customStyle="1" w:styleId="MDPI12title">
    <w:name w:val="MDPI_1.2_title"/>
    <w:next w:val="Normal"/>
    <w:qFormat/>
    <w:rsid w:val="001D0CEC"/>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1D0CEC"/>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4history">
    <w:name w:val="MDPI_1.4_history"/>
    <w:basedOn w:val="Normal"/>
    <w:next w:val="Normal"/>
    <w:qFormat/>
    <w:rsid w:val="001D0CEC"/>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1D0CEC"/>
    <w:pPr>
      <w:adjustRightInd w:val="0"/>
      <w:snapToGrid w:val="0"/>
      <w:spacing w:before="24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16affiliation">
    <w:name w:val="MDPI_1.6_affiliation"/>
    <w:qFormat/>
    <w:rsid w:val="001D0CEC"/>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61Citation">
    <w:name w:val="MDPI_6.1_Citation"/>
    <w:qFormat/>
    <w:rsid w:val="001D0CEC"/>
    <w:pPr>
      <w:adjustRightInd w:val="0"/>
      <w:snapToGrid w:val="0"/>
      <w:spacing w:after="0" w:line="240" w:lineRule="atLeast"/>
      <w:ind w:right="113"/>
    </w:pPr>
    <w:rPr>
      <w:rFonts w:ascii="Palatino Linotype" w:eastAsiaTheme="minorEastAsia" w:hAnsi="Palatino Linotype"/>
      <w:kern w:val="0"/>
      <w:sz w:val="14"/>
      <w:szCs w:val="22"/>
      <w:lang w:eastAsia="zh-CN"/>
      <w14:ligatures w14:val="none"/>
    </w:rPr>
  </w:style>
  <w:style w:type="paragraph" w:customStyle="1" w:styleId="MDPI72Copyright">
    <w:name w:val="MDPI_7.2_Copyright"/>
    <w:qFormat/>
    <w:rsid w:val="001D0CEC"/>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17abstract">
    <w:name w:val="MDPI_1.7_abstract"/>
    <w:next w:val="Normal"/>
    <w:qFormat/>
    <w:rsid w:val="001D0CEC"/>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1D0CEC"/>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31text">
    <w:name w:val="MDPI_3.1_text"/>
    <w:qFormat/>
    <w:rsid w:val="001D0CEC"/>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41tablecaption">
    <w:name w:val="MDPI_4.1_table_caption"/>
    <w:qFormat/>
    <w:rsid w:val="001D0CEC"/>
    <w:pPr>
      <w:adjustRightInd w:val="0"/>
      <w:snapToGrid w:val="0"/>
      <w:spacing w:before="240" w:after="120" w:line="228" w:lineRule="auto"/>
      <w:ind w:left="2608"/>
    </w:pPr>
    <w:rPr>
      <w:rFonts w:ascii="Palatino Linotype" w:eastAsia="Times New Roman" w:hAnsi="Palatino Linotype"/>
      <w:color w:val="000000"/>
      <w:kern w:val="0"/>
      <w:sz w:val="18"/>
      <w:szCs w:val="22"/>
      <w:lang w:eastAsia="de-DE" w:bidi="en-US"/>
      <w14:ligatures w14:val="none"/>
    </w:rPr>
  </w:style>
  <w:style w:type="paragraph" w:customStyle="1" w:styleId="MDPI42tablebody">
    <w:name w:val="MDPI_4.2_table_body"/>
    <w:qFormat/>
    <w:rsid w:val="001D0CEC"/>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1D0CEC"/>
    <w:pPr>
      <w:adjustRightInd w:val="0"/>
      <w:snapToGrid w:val="0"/>
      <w:spacing w:after="240" w:line="228" w:lineRule="auto"/>
      <w:ind w:left="2608"/>
    </w:pPr>
    <w:rPr>
      <w:rFonts w:ascii="Palatino Linotype" w:eastAsia="Times New Roman" w:hAnsi="Palatino Linotype" w:cs="Cordia New"/>
      <w:color w:val="000000"/>
      <w:kern w:val="0"/>
      <w:sz w:val="18"/>
      <w:szCs w:val="22"/>
      <w:lang w:eastAsia="de-DE" w:bidi="en-US"/>
      <w14:ligatures w14:val="none"/>
    </w:rPr>
  </w:style>
  <w:style w:type="paragraph" w:customStyle="1" w:styleId="MDPI21heading1">
    <w:name w:val="MDPI_2.1_heading1"/>
    <w:qFormat/>
    <w:rsid w:val="001D0CEC"/>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paragraph" w:customStyle="1" w:styleId="MDPI22heading2">
    <w:name w:val="MDPI_2.2_heading2"/>
    <w:qFormat/>
    <w:rsid w:val="001D0CEC"/>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1D0CEC"/>
    <w:rPr>
      <w:color w:val="0563C1" w:themeColor="hyperlink"/>
      <w:u w:val="single"/>
    </w:rPr>
  </w:style>
  <w:style w:type="paragraph" w:customStyle="1" w:styleId="references">
    <w:name w:val="references"/>
    <w:rsid w:val="001D0CEC"/>
    <w:pPr>
      <w:numPr>
        <w:numId w:val="2"/>
      </w:numPr>
      <w:spacing w:after="50" w:line="180" w:lineRule="exact"/>
      <w:jc w:val="both"/>
    </w:pPr>
    <w:rPr>
      <w:rFonts w:ascii="Times New Roman" w:eastAsia="MS Mincho" w:hAnsi="Times New Roman" w:cs="Times New Roman"/>
      <w:noProof/>
      <w:kern w:val="0"/>
      <w:sz w:val="16"/>
      <w:szCs w:val="16"/>
      <w14:ligatures w14:val="none"/>
    </w:rPr>
  </w:style>
  <w:style w:type="character" w:customStyle="1" w:styleId="UnresolvedMention">
    <w:name w:val="Unresolved Mention"/>
    <w:basedOn w:val="DefaultParagraphFont"/>
    <w:uiPriority w:val="99"/>
    <w:semiHidden/>
    <w:unhideWhenUsed/>
    <w:rsid w:val="002E1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736/ijbs.8302.2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3346</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Idrus Jamalulel</dc:creator>
  <cp:keywords/>
  <dc:description/>
  <cp:lastModifiedBy>qwert</cp:lastModifiedBy>
  <cp:revision>2</cp:revision>
  <dcterms:created xsi:type="dcterms:W3CDTF">2026-03-31T17:54:00Z</dcterms:created>
  <dcterms:modified xsi:type="dcterms:W3CDTF">2026-04-03T11:49:00Z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21026347-1d05-4532-a668-602f329ecd04</vt:lpwstr>
  </property>
</Properties>
</file>