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30321" w14:textId="046563CE" w:rsidR="003347BC" w:rsidRPr="00BD0B05" w:rsidRDefault="003347BC" w:rsidP="006D7FF9">
      <w:pPr>
        <w:pStyle w:val="NormalWeb"/>
        <w:spacing w:line="276" w:lineRule="auto"/>
        <w:jc w:val="center"/>
        <w:rPr>
          <w:b/>
          <w:bCs/>
        </w:rPr>
      </w:pPr>
      <w:r w:rsidRPr="00BD0B05">
        <w:rPr>
          <w:b/>
          <w:bCs/>
        </w:rPr>
        <w:t>A Practical ICT-Based Automated Framework for Sustainable Agricultural Finance and Financial Inclusion in Nigeria</w:t>
      </w:r>
    </w:p>
    <w:p w14:paraId="2F287EC8" w14:textId="057B799E" w:rsidR="007616E9" w:rsidRPr="00BD0B05" w:rsidRDefault="007616E9" w:rsidP="006D7FF9">
      <w:pPr>
        <w:spacing w:line="276" w:lineRule="auto"/>
        <w:jc w:val="both"/>
        <w:rPr>
          <w:rFonts w:ascii="Times New Roman" w:hAnsi="Times New Roman" w:cs="Times New Roman"/>
          <w:b/>
          <w:bCs/>
          <w:sz w:val="24"/>
          <w:szCs w:val="24"/>
        </w:rPr>
      </w:pPr>
      <w:bookmarkStart w:id="0" w:name="_GoBack"/>
      <w:bookmarkEnd w:id="0"/>
      <w:r w:rsidRPr="00BD0B05">
        <w:rPr>
          <w:rFonts w:ascii="Times New Roman" w:hAnsi="Times New Roman" w:cs="Times New Roman"/>
          <w:b/>
          <w:bCs/>
          <w:sz w:val="24"/>
          <w:szCs w:val="24"/>
        </w:rPr>
        <w:t>Abstract</w:t>
      </w:r>
    </w:p>
    <w:p w14:paraId="20FCD775" w14:textId="7F771A6E" w:rsidR="009C5CC7" w:rsidRPr="00BD0B05" w:rsidRDefault="006E14E6" w:rsidP="006D7FF9">
      <w:pPr>
        <w:spacing w:line="276" w:lineRule="auto"/>
        <w:jc w:val="both"/>
        <w:rPr>
          <w:rFonts w:ascii="Times New Roman" w:hAnsi="Times New Roman" w:cs="Times New Roman"/>
          <w:sz w:val="24"/>
          <w:szCs w:val="24"/>
        </w:rPr>
      </w:pPr>
      <w:r w:rsidRPr="00BD0B05">
        <w:rPr>
          <w:rFonts w:ascii="Times New Roman" w:hAnsi="Times New Roman" w:cs="Times New Roman"/>
          <w:sz w:val="24"/>
          <w:szCs w:val="24"/>
        </w:rPr>
        <w:t>Agricultural financing institutions in Nigeria are still structurally fragmented despite growing efforts to promote digital inclusion initiatives.</w:t>
      </w:r>
      <w:r w:rsidR="009C5CC7" w:rsidRPr="00BD0B05">
        <w:rPr>
          <w:rFonts w:ascii="Times New Roman" w:hAnsi="Times New Roman" w:cs="Times New Roman"/>
          <w:sz w:val="24"/>
          <w:szCs w:val="24"/>
        </w:rPr>
        <w:t xml:space="preserve"> </w:t>
      </w:r>
      <w:r w:rsidR="007977DF" w:rsidRPr="00BD0B05">
        <w:rPr>
          <w:rFonts w:ascii="Times New Roman" w:hAnsi="Times New Roman" w:cs="Times New Roman"/>
          <w:sz w:val="24"/>
          <w:szCs w:val="24"/>
        </w:rPr>
        <w:t xml:space="preserve">Majority of the existing Agri-Fintech interventions concentrate on digital payments, mobile access, or isolated credit analytics; however, they rarely offer an integrated architecture that connects data capture, decision-making automation, secure execution, and continuous monitoring. </w:t>
      </w:r>
      <w:r w:rsidR="00817C8C" w:rsidRPr="00BD0B05">
        <w:rPr>
          <w:rFonts w:ascii="Times New Roman" w:hAnsi="Times New Roman" w:cs="Times New Roman"/>
          <w:sz w:val="24"/>
          <w:szCs w:val="24"/>
        </w:rPr>
        <w:t>In order to addresses that gap, t</w:t>
      </w:r>
      <w:r w:rsidR="009C5CC7" w:rsidRPr="00BD0B05">
        <w:rPr>
          <w:rFonts w:ascii="Times New Roman" w:hAnsi="Times New Roman" w:cs="Times New Roman"/>
          <w:sz w:val="24"/>
          <w:szCs w:val="24"/>
        </w:rPr>
        <w:t>his study develop</w:t>
      </w:r>
      <w:r w:rsidR="00817C8C" w:rsidRPr="00BD0B05">
        <w:rPr>
          <w:rFonts w:ascii="Times New Roman" w:hAnsi="Times New Roman" w:cs="Times New Roman"/>
          <w:sz w:val="24"/>
          <w:szCs w:val="24"/>
        </w:rPr>
        <w:t>ed</w:t>
      </w:r>
      <w:r w:rsidR="009C5CC7" w:rsidRPr="00BD0B05">
        <w:rPr>
          <w:rFonts w:ascii="Times New Roman" w:hAnsi="Times New Roman" w:cs="Times New Roman"/>
          <w:sz w:val="24"/>
          <w:szCs w:val="24"/>
        </w:rPr>
        <w:t xml:space="preserve"> a Design Science</w:t>
      </w:r>
      <w:r w:rsidR="00817C8C" w:rsidRPr="00BD0B05">
        <w:rPr>
          <w:rFonts w:ascii="Times New Roman" w:hAnsi="Times New Roman" w:cs="Times New Roman"/>
          <w:sz w:val="24"/>
          <w:szCs w:val="24"/>
        </w:rPr>
        <w:t>-</w:t>
      </w:r>
      <w:r w:rsidR="009C5CC7" w:rsidRPr="00BD0B05">
        <w:rPr>
          <w:rFonts w:ascii="Times New Roman" w:hAnsi="Times New Roman" w:cs="Times New Roman"/>
          <w:sz w:val="24"/>
          <w:szCs w:val="24"/>
        </w:rPr>
        <w:t>grounded ICT-based automation framework that restructures agricultural financial service delivery as an end-to-end system.</w:t>
      </w:r>
      <w:r w:rsidR="00D17A0A" w:rsidRPr="00BD0B05">
        <w:rPr>
          <w:rFonts w:ascii="Times New Roman" w:hAnsi="Times New Roman" w:cs="Times New Roman"/>
          <w:sz w:val="24"/>
          <w:szCs w:val="24"/>
        </w:rPr>
        <w:t xml:space="preserve"> </w:t>
      </w:r>
      <w:r w:rsidR="009C5CC7" w:rsidRPr="00BD0B05">
        <w:rPr>
          <w:rFonts w:ascii="Times New Roman" w:hAnsi="Times New Roman" w:cs="Times New Roman"/>
          <w:sz w:val="24"/>
          <w:szCs w:val="24"/>
        </w:rPr>
        <w:t xml:space="preserve">Drawing on recent literature, the framework translates documented problem clusters into a five-layer architecture </w:t>
      </w:r>
      <w:r w:rsidR="00D17A0A" w:rsidRPr="00BD0B05">
        <w:rPr>
          <w:rFonts w:ascii="Times New Roman" w:hAnsi="Times New Roman" w:cs="Times New Roman"/>
          <w:sz w:val="24"/>
          <w:szCs w:val="24"/>
        </w:rPr>
        <w:t xml:space="preserve">that includes </w:t>
      </w:r>
      <w:r w:rsidR="009C5CC7" w:rsidRPr="00BD0B05">
        <w:rPr>
          <w:rFonts w:ascii="Times New Roman" w:hAnsi="Times New Roman" w:cs="Times New Roman"/>
          <w:sz w:val="24"/>
          <w:szCs w:val="24"/>
        </w:rPr>
        <w:t xml:space="preserve">stakeholder data formalization, interoperable ICT integration, embedded decision intelligence, secure transaction execution, and adaptive feedback mechanisms. Each layer directly </w:t>
      </w:r>
      <w:r w:rsidR="00D17A0A" w:rsidRPr="00BD0B05">
        <w:rPr>
          <w:rFonts w:ascii="Times New Roman" w:hAnsi="Times New Roman" w:cs="Times New Roman"/>
          <w:sz w:val="24"/>
          <w:szCs w:val="24"/>
        </w:rPr>
        <w:t xml:space="preserve">addresses </w:t>
      </w:r>
      <w:r w:rsidR="009C5CC7" w:rsidRPr="00BD0B05">
        <w:rPr>
          <w:rFonts w:ascii="Times New Roman" w:hAnsi="Times New Roman" w:cs="Times New Roman"/>
          <w:sz w:val="24"/>
          <w:szCs w:val="24"/>
        </w:rPr>
        <w:t>a literature-identified systemic weakness, with explicit traceability between theoretical gaps and architectural components.</w:t>
      </w:r>
      <w:r w:rsidR="00E320C7" w:rsidRPr="00BD0B05">
        <w:rPr>
          <w:rFonts w:ascii="Times New Roman" w:hAnsi="Times New Roman" w:cs="Times New Roman"/>
          <w:sz w:val="24"/>
          <w:szCs w:val="24"/>
        </w:rPr>
        <w:t xml:space="preserve"> </w:t>
      </w:r>
      <w:r w:rsidR="009C5CC7" w:rsidRPr="00BD0B05">
        <w:rPr>
          <w:rFonts w:ascii="Times New Roman" w:hAnsi="Times New Roman" w:cs="Times New Roman"/>
          <w:sz w:val="24"/>
          <w:szCs w:val="24"/>
        </w:rPr>
        <w:t xml:space="preserve">The </w:t>
      </w:r>
      <w:r w:rsidR="0070182A" w:rsidRPr="00BD0B05">
        <w:rPr>
          <w:rFonts w:ascii="Times New Roman" w:hAnsi="Times New Roman" w:cs="Times New Roman"/>
          <w:sz w:val="24"/>
          <w:szCs w:val="24"/>
        </w:rPr>
        <w:t>model</w:t>
      </w:r>
      <w:r w:rsidR="009C5CC7" w:rsidRPr="00BD0B05">
        <w:rPr>
          <w:rFonts w:ascii="Times New Roman" w:hAnsi="Times New Roman" w:cs="Times New Roman"/>
          <w:sz w:val="24"/>
          <w:szCs w:val="24"/>
        </w:rPr>
        <w:t xml:space="preserve"> </w:t>
      </w:r>
      <w:r w:rsidR="0070182A" w:rsidRPr="00BD0B05">
        <w:rPr>
          <w:rFonts w:ascii="Times New Roman" w:hAnsi="Times New Roman" w:cs="Times New Roman"/>
          <w:sz w:val="24"/>
          <w:szCs w:val="24"/>
        </w:rPr>
        <w:t>proposes an advancement of</w:t>
      </w:r>
      <w:r w:rsidR="009C5CC7" w:rsidRPr="00BD0B05">
        <w:rPr>
          <w:rFonts w:ascii="Times New Roman" w:hAnsi="Times New Roman" w:cs="Times New Roman"/>
          <w:sz w:val="24"/>
          <w:szCs w:val="24"/>
        </w:rPr>
        <w:t xml:space="preserve"> digital agricultural finance from modular service interventions toward an integrated automation-centric design logic. The framework offers a context-aware blueprint suitable for low-connectivity and high-risk agricultural environments, emphasizing execution integrity, transparency, and institutional accountability. </w:t>
      </w:r>
      <w:r w:rsidR="00B20E80" w:rsidRPr="00BD0B05">
        <w:rPr>
          <w:rFonts w:ascii="Times New Roman" w:hAnsi="Times New Roman" w:cs="Times New Roman"/>
          <w:sz w:val="24"/>
          <w:szCs w:val="24"/>
        </w:rPr>
        <w:t xml:space="preserve">Despite being conceptual, the model establishes a systematic framework for prototyping, empirical validation, and </w:t>
      </w:r>
      <w:r w:rsidR="00B04BE8" w:rsidRPr="00B04BE8">
        <w:rPr>
          <w:rFonts w:ascii="Times New Roman" w:hAnsi="Times New Roman" w:cs="Times New Roman"/>
          <w:sz w:val="24"/>
          <w:szCs w:val="24"/>
        </w:rPr>
        <w:t>extendable</w:t>
      </w:r>
      <w:r w:rsidR="00B20E80" w:rsidRPr="00BD0B05">
        <w:rPr>
          <w:rFonts w:ascii="Times New Roman" w:hAnsi="Times New Roman" w:cs="Times New Roman"/>
          <w:sz w:val="24"/>
          <w:szCs w:val="24"/>
        </w:rPr>
        <w:t xml:space="preserve"> policy implementation in developing</w:t>
      </w:r>
      <w:r w:rsidR="00E41F16">
        <w:rPr>
          <w:rFonts w:ascii="Times New Roman" w:hAnsi="Times New Roman" w:cs="Times New Roman"/>
          <w:sz w:val="24"/>
          <w:szCs w:val="24"/>
        </w:rPr>
        <w:t xml:space="preserve"> </w:t>
      </w:r>
      <w:r w:rsidR="00B20E80" w:rsidRPr="00BD0B05">
        <w:rPr>
          <w:rFonts w:ascii="Times New Roman" w:hAnsi="Times New Roman" w:cs="Times New Roman"/>
          <w:sz w:val="24"/>
          <w:szCs w:val="24"/>
        </w:rPr>
        <w:t>countr</w:t>
      </w:r>
      <w:r w:rsidR="00E41F16">
        <w:rPr>
          <w:rFonts w:ascii="Times New Roman" w:hAnsi="Times New Roman" w:cs="Times New Roman"/>
          <w:sz w:val="24"/>
          <w:szCs w:val="24"/>
        </w:rPr>
        <w:t>ies</w:t>
      </w:r>
      <w:r w:rsidR="00B20E80" w:rsidRPr="00BD0B05">
        <w:rPr>
          <w:rFonts w:ascii="Times New Roman" w:hAnsi="Times New Roman" w:cs="Times New Roman"/>
          <w:sz w:val="24"/>
          <w:szCs w:val="24"/>
        </w:rPr>
        <w:t>.</w:t>
      </w:r>
    </w:p>
    <w:p w14:paraId="6CF56130" w14:textId="7D3FC722" w:rsidR="007616E9" w:rsidRPr="00BD0B05" w:rsidRDefault="002F16E4" w:rsidP="006D7FF9">
      <w:pPr>
        <w:spacing w:line="276" w:lineRule="auto"/>
        <w:jc w:val="both"/>
        <w:rPr>
          <w:rFonts w:ascii="Times New Roman" w:hAnsi="Times New Roman" w:cs="Times New Roman"/>
          <w:sz w:val="24"/>
          <w:szCs w:val="24"/>
        </w:rPr>
      </w:pPr>
      <w:r w:rsidRPr="00BD0B05">
        <w:rPr>
          <w:rFonts w:ascii="Times New Roman" w:hAnsi="Times New Roman" w:cs="Times New Roman"/>
          <w:b/>
          <w:bCs/>
          <w:sz w:val="24"/>
          <w:szCs w:val="24"/>
        </w:rPr>
        <w:t>Keywords</w:t>
      </w:r>
      <w:r w:rsidRPr="00BD0B05">
        <w:rPr>
          <w:rFonts w:ascii="Times New Roman" w:hAnsi="Times New Roman" w:cs="Times New Roman"/>
          <w:sz w:val="24"/>
          <w:szCs w:val="24"/>
        </w:rPr>
        <w:t xml:space="preserve">: </w:t>
      </w:r>
      <w:r w:rsidR="00AE2073" w:rsidRPr="00BD0B05">
        <w:rPr>
          <w:rFonts w:ascii="Times New Roman" w:hAnsi="Times New Roman" w:cs="Times New Roman"/>
          <w:sz w:val="24"/>
          <w:szCs w:val="24"/>
        </w:rPr>
        <w:t xml:space="preserve">agricultural </w:t>
      </w:r>
      <w:r w:rsidRPr="00BD0B05">
        <w:rPr>
          <w:rFonts w:ascii="Times New Roman" w:hAnsi="Times New Roman" w:cs="Times New Roman"/>
          <w:sz w:val="24"/>
          <w:szCs w:val="24"/>
        </w:rPr>
        <w:t xml:space="preserve">finance, </w:t>
      </w:r>
      <w:r w:rsidR="00AE2073" w:rsidRPr="00BD0B05">
        <w:rPr>
          <w:rFonts w:ascii="Times New Roman" w:hAnsi="Times New Roman" w:cs="Times New Roman"/>
          <w:sz w:val="24"/>
          <w:szCs w:val="24"/>
        </w:rPr>
        <w:t xml:space="preserve">financial </w:t>
      </w:r>
      <w:r w:rsidRPr="00BD0B05">
        <w:rPr>
          <w:rFonts w:ascii="Times New Roman" w:hAnsi="Times New Roman" w:cs="Times New Roman"/>
          <w:sz w:val="24"/>
          <w:szCs w:val="24"/>
        </w:rPr>
        <w:t xml:space="preserve">inclusion, ICT in agriculture, </w:t>
      </w:r>
      <w:r w:rsidR="00AE2073" w:rsidRPr="00BD0B05">
        <w:rPr>
          <w:rFonts w:ascii="Times New Roman" w:hAnsi="Times New Roman" w:cs="Times New Roman"/>
          <w:sz w:val="24"/>
          <w:szCs w:val="24"/>
        </w:rPr>
        <w:t xml:space="preserve">digital </w:t>
      </w:r>
      <w:r w:rsidRPr="00BD0B05">
        <w:rPr>
          <w:rFonts w:ascii="Times New Roman" w:hAnsi="Times New Roman" w:cs="Times New Roman"/>
          <w:sz w:val="24"/>
          <w:szCs w:val="24"/>
        </w:rPr>
        <w:t xml:space="preserve">finance, </w:t>
      </w:r>
      <w:r w:rsidR="00AE2073" w:rsidRPr="00BD0B05">
        <w:rPr>
          <w:rFonts w:ascii="Times New Roman" w:hAnsi="Times New Roman" w:cs="Times New Roman"/>
          <w:sz w:val="24"/>
          <w:szCs w:val="24"/>
        </w:rPr>
        <w:t xml:space="preserve">sustainable </w:t>
      </w:r>
      <w:r w:rsidRPr="00BD0B05">
        <w:rPr>
          <w:rFonts w:ascii="Times New Roman" w:hAnsi="Times New Roman" w:cs="Times New Roman"/>
          <w:sz w:val="24"/>
          <w:szCs w:val="24"/>
        </w:rPr>
        <w:t xml:space="preserve">finance, </w:t>
      </w:r>
      <w:r w:rsidR="00AE2073" w:rsidRPr="00BD0B05">
        <w:rPr>
          <w:rFonts w:ascii="Times New Roman" w:hAnsi="Times New Roman" w:cs="Times New Roman"/>
          <w:sz w:val="24"/>
          <w:szCs w:val="24"/>
        </w:rPr>
        <w:t xml:space="preserve">rural </w:t>
      </w:r>
      <w:r w:rsidRPr="00BD0B05">
        <w:rPr>
          <w:rFonts w:ascii="Times New Roman" w:hAnsi="Times New Roman" w:cs="Times New Roman"/>
          <w:sz w:val="24"/>
          <w:szCs w:val="24"/>
        </w:rPr>
        <w:t>finance, Nigeria</w:t>
      </w:r>
      <w:r w:rsidR="00F20D18" w:rsidRPr="00BD0B05">
        <w:rPr>
          <w:rFonts w:ascii="Times New Roman" w:hAnsi="Times New Roman" w:cs="Times New Roman"/>
          <w:sz w:val="24"/>
          <w:szCs w:val="24"/>
        </w:rPr>
        <w:t xml:space="preserve">  </w:t>
      </w:r>
    </w:p>
    <w:p w14:paraId="4AE37F96" w14:textId="77777777" w:rsidR="00BA4A64" w:rsidRPr="00BD0B05" w:rsidRDefault="00BA4A64" w:rsidP="006D7FF9">
      <w:pPr>
        <w:pStyle w:val="NormalWeb"/>
        <w:spacing w:line="276" w:lineRule="auto"/>
        <w:jc w:val="both"/>
        <w:rPr>
          <w:b/>
          <w:bCs/>
        </w:rPr>
      </w:pPr>
      <w:r w:rsidRPr="00BD0B05">
        <w:rPr>
          <w:b/>
          <w:bCs/>
        </w:rPr>
        <w:t>Introduction</w:t>
      </w:r>
    </w:p>
    <w:p w14:paraId="22DD6B82" w14:textId="5EED0BCB" w:rsidR="009629F7" w:rsidRPr="00BD0B05" w:rsidRDefault="00705388" w:rsidP="006D7FF9">
      <w:pPr>
        <w:pStyle w:val="NormalWeb"/>
        <w:spacing w:line="276" w:lineRule="auto"/>
        <w:jc w:val="both"/>
      </w:pPr>
      <w:r w:rsidRPr="00BD0B05">
        <w:t xml:space="preserve">In Nigeria, agriculture </w:t>
      </w:r>
      <w:r w:rsidR="009629F7" w:rsidRPr="00BD0B05">
        <w:t xml:space="preserve">employs a </w:t>
      </w:r>
      <w:r w:rsidR="007F1949" w:rsidRPr="00BD0B05">
        <w:t xml:space="preserve">substantial proportion of the </w:t>
      </w:r>
      <w:r w:rsidR="009629F7" w:rsidRPr="00BD0B05">
        <w:t xml:space="preserve">workforce and </w:t>
      </w:r>
      <w:r w:rsidR="007F1949" w:rsidRPr="00BD0B05">
        <w:t xml:space="preserve">significantly contributes to </w:t>
      </w:r>
      <w:r w:rsidR="009629F7" w:rsidRPr="00BD0B05">
        <w:t xml:space="preserve">rural livelihoods and food security. </w:t>
      </w:r>
      <w:r w:rsidRPr="00BD0B05">
        <w:t>Thereby positioning itself as a central pillar of Nigeria’s economy.</w:t>
      </w:r>
      <w:r w:rsidR="00F634D6" w:rsidRPr="00BD0B05">
        <w:t xml:space="preserve"> </w:t>
      </w:r>
      <w:r w:rsidR="009629F7" w:rsidRPr="00BD0B05">
        <w:t xml:space="preserve">However, the agricultural landscape is dominated by smallholder farmers, whose productivity, investment and resilience are still limited by </w:t>
      </w:r>
      <w:r w:rsidR="007F1949" w:rsidRPr="00BD0B05">
        <w:t>persistent financial constraints</w:t>
      </w:r>
      <w:r w:rsidR="009629F7" w:rsidRPr="00BD0B05">
        <w:t xml:space="preserve"> (</w:t>
      </w:r>
      <w:proofErr w:type="spellStart"/>
      <w:r w:rsidR="009629F7" w:rsidRPr="00BD0B05">
        <w:t>Balana</w:t>
      </w:r>
      <w:proofErr w:type="spellEnd"/>
      <w:r w:rsidR="009629F7" w:rsidRPr="00BD0B05">
        <w:t xml:space="preserve"> &amp; </w:t>
      </w:r>
      <w:proofErr w:type="spellStart"/>
      <w:r w:rsidR="009629F7" w:rsidRPr="00BD0B05">
        <w:t>Oyeyemi</w:t>
      </w:r>
      <w:proofErr w:type="spellEnd"/>
      <w:r w:rsidR="009629F7" w:rsidRPr="00BD0B05">
        <w:t xml:space="preserve">, 2022). </w:t>
      </w:r>
      <w:r w:rsidR="00F634D6" w:rsidRPr="00BD0B05">
        <w:t>Traditional agricultural finance mechanisms in Nigeria are characterized by high transaction costs, information asymmetry, weak collateral structures and limited outreach to rural and informal actors, resulting in chronic financial exclusion (</w:t>
      </w:r>
      <w:proofErr w:type="spellStart"/>
      <w:r w:rsidR="00F634D6" w:rsidRPr="00BD0B05">
        <w:t>Adegbite</w:t>
      </w:r>
      <w:proofErr w:type="spellEnd"/>
      <w:r w:rsidR="00F634D6" w:rsidRPr="00BD0B05">
        <w:t xml:space="preserve">, 2021; </w:t>
      </w:r>
      <w:proofErr w:type="spellStart"/>
      <w:r w:rsidR="00F634D6" w:rsidRPr="00BD0B05">
        <w:t>Adesugba</w:t>
      </w:r>
      <w:proofErr w:type="spellEnd"/>
      <w:r w:rsidR="00F634D6" w:rsidRPr="00BD0B05">
        <w:t xml:space="preserve"> &amp; </w:t>
      </w:r>
      <w:proofErr w:type="spellStart"/>
      <w:r w:rsidR="00F634D6" w:rsidRPr="00BD0B05">
        <w:t>Mavrotas</w:t>
      </w:r>
      <w:proofErr w:type="spellEnd"/>
      <w:r w:rsidR="00F634D6" w:rsidRPr="00BD0B05">
        <w:t>, 2020).</w:t>
      </w:r>
    </w:p>
    <w:p w14:paraId="325F94D1" w14:textId="50C2A221" w:rsidR="00CB5A1B" w:rsidRPr="00BD0B05" w:rsidRDefault="00F634D6" w:rsidP="006D7FF9">
      <w:pPr>
        <w:pStyle w:val="NormalWeb"/>
        <w:spacing w:line="276" w:lineRule="auto"/>
        <w:jc w:val="both"/>
      </w:pPr>
      <w:r w:rsidRPr="00BD0B05">
        <w:t xml:space="preserve">In recent years, the rapid expansion of </w:t>
      </w:r>
      <w:r w:rsidR="004B0C8B" w:rsidRPr="00BD0B05">
        <w:t xml:space="preserve">Information </w:t>
      </w:r>
      <w:r w:rsidRPr="00BD0B05">
        <w:t xml:space="preserve">and </w:t>
      </w:r>
      <w:r w:rsidR="004B0C8B" w:rsidRPr="00BD0B05">
        <w:t xml:space="preserve">Communication Technologies </w:t>
      </w:r>
      <w:r w:rsidRPr="00BD0B05">
        <w:t xml:space="preserve">(ICT) and digital financial services has generated renewed optimism regarding the transformation of agricultural finance systems in developing economies. </w:t>
      </w:r>
      <w:r w:rsidR="004B0C8B" w:rsidRPr="00BD0B05">
        <w:t xml:space="preserve">According to empirical studies from Nigeria and other Sub-Saharan African nations, </w:t>
      </w:r>
      <w:r w:rsidR="00060F04" w:rsidRPr="00BD0B05">
        <w:t xml:space="preserve">the </w:t>
      </w:r>
      <w:r w:rsidR="004B0C8B" w:rsidRPr="00BD0B05">
        <w:t xml:space="preserve">adoption </w:t>
      </w:r>
      <w:r w:rsidR="00855285" w:rsidRPr="00BD0B05">
        <w:t>of digital finance is positively correlated with smallholder productivity</w:t>
      </w:r>
      <w:r w:rsidR="00060F04" w:rsidRPr="00BD0B05">
        <w:t xml:space="preserve"> (</w:t>
      </w:r>
      <w:proofErr w:type="spellStart"/>
      <w:r w:rsidR="00060F04" w:rsidRPr="00BD0B05">
        <w:t>Adesiyan</w:t>
      </w:r>
      <w:proofErr w:type="spellEnd"/>
      <w:r w:rsidR="00060F04" w:rsidRPr="00BD0B05">
        <w:t>, 2025)</w:t>
      </w:r>
      <w:r w:rsidR="00855285" w:rsidRPr="00BD0B05">
        <w:t xml:space="preserve">, income development, and value chain </w:t>
      </w:r>
      <w:r w:rsidR="00855285" w:rsidRPr="00BD0B05">
        <w:lastRenderedPageBreak/>
        <w:t xml:space="preserve">participation. </w:t>
      </w:r>
      <w:r w:rsidR="009629F7" w:rsidRPr="00BD0B05">
        <w:t xml:space="preserve">In agricultural financing, it </w:t>
      </w:r>
      <w:r w:rsidR="008C21C0" w:rsidRPr="00BD0B05">
        <w:t xml:space="preserve">is observed </w:t>
      </w:r>
      <w:r w:rsidR="009629F7" w:rsidRPr="00BD0B05">
        <w:t xml:space="preserve">that digital platforms, mobile money services, and fintech-enabled microcredit schemes can </w:t>
      </w:r>
      <w:r w:rsidR="008C21C0" w:rsidRPr="00BD0B05">
        <w:t xml:space="preserve">reduce </w:t>
      </w:r>
      <w:r w:rsidR="009629F7" w:rsidRPr="00BD0B05">
        <w:t xml:space="preserve">transaction frictions and partially </w:t>
      </w:r>
      <w:r w:rsidR="008C21C0" w:rsidRPr="00BD0B05">
        <w:t xml:space="preserve">bridge institutional </w:t>
      </w:r>
      <w:r w:rsidR="009629F7" w:rsidRPr="00BD0B05">
        <w:t>gaps (</w:t>
      </w:r>
      <w:proofErr w:type="spellStart"/>
      <w:r w:rsidR="009629F7" w:rsidRPr="00BD0B05">
        <w:t>Ezeomah</w:t>
      </w:r>
      <w:proofErr w:type="spellEnd"/>
      <w:r w:rsidR="009629F7" w:rsidRPr="00BD0B05">
        <w:t>, 2021).</w:t>
      </w:r>
      <w:r w:rsidR="00B84C15" w:rsidRPr="00BD0B05">
        <w:t xml:space="preserve"> Recent</w:t>
      </w:r>
      <w:r w:rsidR="00CB5A1B" w:rsidRPr="00BD0B05">
        <w:t xml:space="preserve"> research has examined both the determinants of digital financial service adoption among smallholder farmers and the use of automation in financial decision making. </w:t>
      </w:r>
      <w:r w:rsidR="00B84C15" w:rsidRPr="00BD0B05">
        <w:t>These s</w:t>
      </w:r>
      <w:r w:rsidR="00CB5A1B" w:rsidRPr="00BD0B05">
        <w:t>tudies identif</w:t>
      </w:r>
      <w:r w:rsidR="00B84C15" w:rsidRPr="00BD0B05">
        <w:t xml:space="preserve">ied </w:t>
      </w:r>
      <w:r w:rsidR="00CB5A1B" w:rsidRPr="00BD0B05">
        <w:t>financial literacy</w:t>
      </w:r>
      <w:r w:rsidR="00B84C15" w:rsidRPr="00BD0B05">
        <w:t xml:space="preserve"> (Kolawole et al., 2025)</w:t>
      </w:r>
      <w:r w:rsidR="00CB5A1B" w:rsidRPr="00BD0B05">
        <w:t xml:space="preserve">, trust, infrastructure availability and socio demographic characteristics as </w:t>
      </w:r>
      <w:r w:rsidR="00B84C15" w:rsidRPr="00BD0B05">
        <w:t>major</w:t>
      </w:r>
      <w:r w:rsidR="00CB5A1B" w:rsidRPr="00BD0B05">
        <w:t xml:space="preserve"> drivers of digital finance usage</w:t>
      </w:r>
      <w:r w:rsidR="00B84C15" w:rsidRPr="00BD0B05">
        <w:t xml:space="preserve"> (</w:t>
      </w:r>
      <w:proofErr w:type="spellStart"/>
      <w:r w:rsidR="00B84C15" w:rsidRPr="00BD0B05">
        <w:t>Ogunfolaju</w:t>
      </w:r>
      <w:proofErr w:type="spellEnd"/>
      <w:r w:rsidR="00B84C15" w:rsidRPr="00BD0B05">
        <w:t xml:space="preserve"> et al., 2025)</w:t>
      </w:r>
      <w:r w:rsidR="00CB5A1B" w:rsidRPr="00BD0B05">
        <w:t xml:space="preserve"> and inclusion outcomes. </w:t>
      </w:r>
      <w:r w:rsidR="00C0433A" w:rsidRPr="00BD0B05">
        <w:t>Other financial technology research emphasized that t</w:t>
      </w:r>
      <w:r w:rsidR="00CB5A1B" w:rsidRPr="00BD0B05">
        <w:t>he potential of automation</w:t>
      </w:r>
      <w:r w:rsidR="00C0433A" w:rsidRPr="00BD0B05">
        <w:t xml:space="preserve"> (</w:t>
      </w:r>
      <w:proofErr w:type="spellStart"/>
      <w:r w:rsidR="00C0433A" w:rsidRPr="00BD0B05">
        <w:t>Ajuwon</w:t>
      </w:r>
      <w:proofErr w:type="spellEnd"/>
      <w:r w:rsidR="00C0433A" w:rsidRPr="00BD0B05">
        <w:t xml:space="preserve"> et al., 2024)</w:t>
      </w:r>
      <w:r w:rsidR="00CB5A1B" w:rsidRPr="00BD0B05">
        <w:t xml:space="preserve">, </w:t>
      </w:r>
      <w:r w:rsidR="00CD6F12" w:rsidRPr="00BD0B05">
        <w:t>Artificial Intelligence (AI)</w:t>
      </w:r>
      <w:r w:rsidR="00CB5A1B" w:rsidRPr="00BD0B05">
        <w:t xml:space="preserve">, and data-driven credit scoring </w:t>
      </w:r>
      <w:r w:rsidR="00C0433A" w:rsidRPr="00BD0B05">
        <w:t>(</w:t>
      </w:r>
      <w:proofErr w:type="spellStart"/>
      <w:r w:rsidR="00C0433A" w:rsidRPr="00BD0B05">
        <w:t>Kowsar</w:t>
      </w:r>
      <w:proofErr w:type="spellEnd"/>
      <w:r w:rsidR="00C0433A" w:rsidRPr="00BD0B05">
        <w:t xml:space="preserve">, 2022) can help </w:t>
      </w:r>
      <w:r w:rsidR="00CB5A1B" w:rsidRPr="00BD0B05">
        <w:t>to increase lending efficiency</w:t>
      </w:r>
      <w:r w:rsidR="00C0433A" w:rsidRPr="00BD0B05">
        <w:t xml:space="preserve"> </w:t>
      </w:r>
      <w:r w:rsidR="00CB5A1B" w:rsidRPr="00BD0B05">
        <w:t>and lessen information asymmetry</w:t>
      </w:r>
      <w:r w:rsidR="00C0433A" w:rsidRPr="00BD0B05">
        <w:t>.</w:t>
      </w:r>
      <w:r w:rsidR="00CB5A1B" w:rsidRPr="00BD0B05">
        <w:t xml:space="preserve"> </w:t>
      </w:r>
      <w:r w:rsidR="00050663" w:rsidRPr="00BD0B05">
        <w:t>Consequently, despite the proliferation of digital finance initiatives, agricultural finance solutions in Nigeria remain technically fragmented at the system level.</w:t>
      </w:r>
      <w:r w:rsidR="00CB5A1B" w:rsidRPr="00BD0B05">
        <w:t xml:space="preserve"> </w:t>
      </w:r>
      <w:r w:rsidR="004346CF" w:rsidRPr="00BD0B05">
        <w:t xml:space="preserve">Existing studies and platforms tend to address isolated functions such as mobile payments, microcredit access, or digital adoption drivers without articulating how these elements can be integrated into a unified, end-to-end automated architecture that supports the full agricultural finance lifecycle </w:t>
      </w:r>
      <w:r w:rsidR="000F2B3A" w:rsidRPr="00BD0B05">
        <w:t>(</w:t>
      </w:r>
      <w:r w:rsidR="004346CF" w:rsidRPr="00BD0B05">
        <w:t xml:space="preserve">Benni, 2024). </w:t>
      </w:r>
      <w:r w:rsidR="00CB5A1B" w:rsidRPr="00BD0B05">
        <w:t xml:space="preserve">Adoption studies are largely descriptive and focus on usage patterns and impact metrics, whereas automation models are typically developed for conventional banking or SME </w:t>
      </w:r>
      <w:r w:rsidR="000F2B3A" w:rsidRPr="00BD0B05">
        <w:t>environments</w:t>
      </w:r>
      <w:r w:rsidR="00CB5A1B" w:rsidRPr="00BD0B05">
        <w:t>. As a result, limited attention is given to how automated credit intelligence, digital access channels and agricultural risk data can be structurally integrated into a scalable system that accounts for climatic volatility, informal production structures and infrastructural constraints in smallholder agriculture in Nigeria.</w:t>
      </w:r>
    </w:p>
    <w:p w14:paraId="409A58AC" w14:textId="3C3A4284" w:rsidR="004346CF" w:rsidRPr="00BD0B05" w:rsidRDefault="00D964E3" w:rsidP="006D7FF9">
      <w:pPr>
        <w:pStyle w:val="NormalWeb"/>
        <w:spacing w:line="276" w:lineRule="auto"/>
        <w:jc w:val="both"/>
      </w:pPr>
      <w:r w:rsidRPr="00BD0B05">
        <w:t xml:space="preserve">The absence of a context-aware, ICT-based automated framework that methodically links farmer onboarding, ICT access, intelligent credit assessment, secure transaction execution and continuous monitoring within a single operational system </w:t>
      </w:r>
      <w:r w:rsidR="002E7140" w:rsidRPr="00BD0B05">
        <w:t xml:space="preserve">which is </w:t>
      </w:r>
      <w:r w:rsidRPr="00BD0B05">
        <w:t xml:space="preserve">designed for low-infrastructure environments is a critical automation-integration gap in the literature. </w:t>
      </w:r>
      <w:r w:rsidR="004346CF" w:rsidRPr="00BD0B05">
        <w:t xml:space="preserve">While last-mile connectivity </w:t>
      </w:r>
      <w:r w:rsidRPr="00BD0B05">
        <w:t>challenges</w:t>
      </w:r>
      <w:r w:rsidR="005B5235" w:rsidRPr="00BD0B05">
        <w:t xml:space="preserve"> (Umar et al., 2021)</w:t>
      </w:r>
      <w:r w:rsidRPr="00BD0B05">
        <w:t xml:space="preserve"> </w:t>
      </w:r>
      <w:r w:rsidR="004346CF" w:rsidRPr="00BD0B05">
        <w:t>and institutional limitations</w:t>
      </w:r>
      <w:r w:rsidR="005B5235" w:rsidRPr="00BD0B05">
        <w:t xml:space="preserve"> </w:t>
      </w:r>
      <w:r w:rsidR="004346CF" w:rsidRPr="00BD0B05">
        <w:t>are acknowledged in financial inclusion studies</w:t>
      </w:r>
      <w:r w:rsidR="005B5235" w:rsidRPr="00BD0B05">
        <w:t xml:space="preserve"> (</w:t>
      </w:r>
      <w:proofErr w:type="spellStart"/>
      <w:r w:rsidR="005B5235" w:rsidRPr="00BD0B05">
        <w:t>Croxson</w:t>
      </w:r>
      <w:proofErr w:type="spellEnd"/>
      <w:r w:rsidR="005B5235" w:rsidRPr="00BD0B05">
        <w:t xml:space="preserve"> et al., 2023)</w:t>
      </w:r>
      <w:r w:rsidR="004346CF" w:rsidRPr="00BD0B05">
        <w:t xml:space="preserve">, there is </w:t>
      </w:r>
      <w:r w:rsidRPr="00BD0B05">
        <w:t xml:space="preserve">limited </w:t>
      </w:r>
      <w:r w:rsidR="004346CF" w:rsidRPr="00BD0B05">
        <w:t>guidance on how modular technological architectures like multi-channel access interfaces, automated analytics, and traceable transaction mechanisms can be coordinated to provide sustainable agricultural finance at scale in rural Nigeria (Chaudhari et al., 2024).</w:t>
      </w:r>
    </w:p>
    <w:p w14:paraId="02EDF69B" w14:textId="23415350" w:rsidR="009629F7" w:rsidRPr="00BD0B05" w:rsidRDefault="00B276DE" w:rsidP="006D7FF9">
      <w:pPr>
        <w:pStyle w:val="NormalWeb"/>
        <w:spacing w:line="276" w:lineRule="auto"/>
        <w:jc w:val="both"/>
      </w:pPr>
      <w:r w:rsidRPr="00BD0B05">
        <w:t>In order to a</w:t>
      </w:r>
      <w:r w:rsidR="00F634D6" w:rsidRPr="00BD0B05">
        <w:t xml:space="preserve">ddress this gap, this study </w:t>
      </w:r>
      <w:r w:rsidR="009E2E90" w:rsidRPr="00BD0B05">
        <w:t>adopts</w:t>
      </w:r>
      <w:r w:rsidR="00F634D6" w:rsidRPr="00BD0B05">
        <w:t xml:space="preserve"> </w:t>
      </w:r>
      <w:proofErr w:type="spellStart"/>
      <w:r w:rsidR="009E2E90" w:rsidRPr="00BD0B05">
        <w:t>Peffers</w:t>
      </w:r>
      <w:proofErr w:type="spellEnd"/>
      <w:r w:rsidR="009E2E90" w:rsidRPr="00BD0B05">
        <w:t xml:space="preserve"> et al., (2007) </w:t>
      </w:r>
      <w:r w:rsidR="00F634D6" w:rsidRPr="00BD0B05">
        <w:t xml:space="preserve">Design Science Research (DSR) principles to develop a practical ICT-based automated framework conceptualized as a design </w:t>
      </w:r>
      <w:r w:rsidR="009E2E90" w:rsidRPr="00BD0B05">
        <w:t>tool</w:t>
      </w:r>
      <w:r w:rsidR="00F634D6" w:rsidRPr="00BD0B05">
        <w:t xml:space="preserve"> for sustainable agricultural finance and financial inclusion in Nigeria. </w:t>
      </w:r>
      <w:r w:rsidRPr="00BD0B05">
        <w:t xml:space="preserve">Instead of </w:t>
      </w:r>
      <w:r w:rsidR="00F634D6" w:rsidRPr="00BD0B05">
        <w:t xml:space="preserve">focusing solely on adoption outcomes, the study </w:t>
      </w:r>
      <w:r w:rsidRPr="00BD0B05">
        <w:t xml:space="preserve">prioritises </w:t>
      </w:r>
      <w:r w:rsidR="00F634D6" w:rsidRPr="00BD0B05">
        <w:t>structural design, process integration, and automation logic, with particular attention to trust, climate sensitivity and infrastructural constraints.</w:t>
      </w:r>
      <w:r w:rsidRPr="00BD0B05">
        <w:t xml:space="preserve"> </w:t>
      </w:r>
      <w:r w:rsidR="009629F7" w:rsidRPr="00BD0B05">
        <w:t xml:space="preserve">In addition to providing a scalable blueprint to guide future implementation, empirical evaluation, and policy-driven digital finance interventions in developing economies, this research adds a system-oriented perspective to the literature on digital agriculture and financial inclusion by </w:t>
      </w:r>
      <w:r w:rsidRPr="00BD0B05">
        <w:t xml:space="preserve">proposing </w:t>
      </w:r>
      <w:r w:rsidR="009629F7" w:rsidRPr="00BD0B05">
        <w:t>a unified, layered framework that connects smallholder agricultural data and formal financial systems.</w:t>
      </w:r>
    </w:p>
    <w:p w14:paraId="0BD720A8" w14:textId="77777777" w:rsidR="00BA4A64" w:rsidRPr="00BD0B05" w:rsidRDefault="00BA4A64" w:rsidP="006D7FF9">
      <w:pPr>
        <w:pStyle w:val="NormalWeb"/>
        <w:spacing w:line="276" w:lineRule="auto"/>
        <w:jc w:val="both"/>
        <w:rPr>
          <w:b/>
          <w:bCs/>
        </w:rPr>
      </w:pPr>
      <w:r w:rsidRPr="00BD0B05">
        <w:rPr>
          <w:b/>
          <w:bCs/>
        </w:rPr>
        <w:lastRenderedPageBreak/>
        <w:t>Literature Review</w:t>
      </w:r>
    </w:p>
    <w:p w14:paraId="0CE23AC1" w14:textId="14E1C5CB" w:rsidR="007E1668" w:rsidRPr="00BD0B05" w:rsidRDefault="007E1668" w:rsidP="006D7FF9">
      <w:pPr>
        <w:pStyle w:val="NormalWeb"/>
        <w:spacing w:line="276" w:lineRule="auto"/>
        <w:jc w:val="both"/>
      </w:pPr>
      <w:r w:rsidRPr="00BD0B05">
        <w:t xml:space="preserve">In </w:t>
      </w:r>
      <w:r w:rsidR="00CF46CB" w:rsidRPr="00BD0B05">
        <w:t xml:space="preserve">developing </w:t>
      </w:r>
      <w:r w:rsidRPr="00BD0B05">
        <w:t xml:space="preserve">economies, </w:t>
      </w:r>
      <w:r w:rsidR="00CF46CB" w:rsidRPr="00BD0B05">
        <w:t xml:space="preserve">particularly </w:t>
      </w:r>
      <w:r w:rsidRPr="00BD0B05">
        <w:t xml:space="preserve">in Sub-Saharan Africa, sustainable agricultural finance is widely acknowledged as being crucial for </w:t>
      </w:r>
      <w:r w:rsidR="008E2A62" w:rsidRPr="00BD0B05">
        <w:t xml:space="preserve">alleviating </w:t>
      </w:r>
      <w:r w:rsidRPr="00BD0B05">
        <w:t xml:space="preserve">poverty, promoting rural development and ensuring food security. Despite </w:t>
      </w:r>
      <w:r w:rsidR="008E2A62" w:rsidRPr="00BD0B05">
        <w:t xml:space="preserve">smallholder farmers being the backbone of agricultural production in Nigeria, </w:t>
      </w:r>
      <w:r w:rsidRPr="00BD0B05">
        <w:t xml:space="preserve">decades of government intervention and donor-funded </w:t>
      </w:r>
      <w:r w:rsidR="00CF46CB" w:rsidRPr="00BD0B05">
        <w:t>initiatives</w:t>
      </w:r>
      <w:r w:rsidRPr="00BD0B05">
        <w:t xml:space="preserve">, access to formal financial services </w:t>
      </w:r>
      <w:r w:rsidR="00CF46CB" w:rsidRPr="00BD0B05">
        <w:t xml:space="preserve">remains persistently low </w:t>
      </w:r>
      <w:r w:rsidRPr="00BD0B05">
        <w:t>(World Bank, 2021). Research indicates that</w:t>
      </w:r>
      <w:r w:rsidR="00CF46CB" w:rsidRPr="00BD0B05">
        <w:t xml:space="preserve"> the lack of financial programs is not the cause of this </w:t>
      </w:r>
      <w:r w:rsidR="00793575" w:rsidRPr="00BD0B05">
        <w:t>gap</w:t>
      </w:r>
      <w:r w:rsidR="00CF46CB" w:rsidRPr="00BD0B05">
        <w:t>,</w:t>
      </w:r>
      <w:r w:rsidRPr="00BD0B05">
        <w:t xml:space="preserve"> </w:t>
      </w:r>
      <w:r w:rsidR="00CF46CB" w:rsidRPr="00BD0B05">
        <w:t xml:space="preserve">but </w:t>
      </w:r>
      <w:r w:rsidRPr="00BD0B05">
        <w:t xml:space="preserve">the structural, informational and institutional </w:t>
      </w:r>
      <w:r w:rsidR="00793575" w:rsidRPr="00BD0B05">
        <w:t xml:space="preserve">weaknesses </w:t>
      </w:r>
      <w:r w:rsidRPr="00BD0B05">
        <w:t xml:space="preserve">that </w:t>
      </w:r>
      <w:r w:rsidR="00793575" w:rsidRPr="00BD0B05">
        <w:t>limits</w:t>
      </w:r>
      <w:r w:rsidRPr="00BD0B05">
        <w:t xml:space="preserve"> the </w:t>
      </w:r>
      <w:r w:rsidR="00793575" w:rsidRPr="00BD0B05">
        <w:t xml:space="preserve">effectiveness </w:t>
      </w:r>
      <w:r w:rsidRPr="00BD0B05">
        <w:t xml:space="preserve">and sustainability of the </w:t>
      </w:r>
      <w:r w:rsidR="00793575" w:rsidRPr="00BD0B05">
        <w:t>existing</w:t>
      </w:r>
      <w:r w:rsidRPr="00BD0B05">
        <w:t xml:space="preserve"> delivery systems.</w:t>
      </w:r>
    </w:p>
    <w:p w14:paraId="0CB5DBC2" w14:textId="65E70BA2" w:rsidR="00B7618D" w:rsidRPr="00BD0B05" w:rsidRDefault="007E1668" w:rsidP="006D7FF9">
      <w:pPr>
        <w:pStyle w:val="NormalWeb"/>
        <w:spacing w:line="276" w:lineRule="auto"/>
        <w:jc w:val="both"/>
      </w:pPr>
      <w:r w:rsidRPr="00BD0B05">
        <w:t xml:space="preserve">The difficulty of </w:t>
      </w:r>
      <w:r w:rsidR="00C5363C" w:rsidRPr="00BD0B05">
        <w:t xml:space="preserve">identifying </w:t>
      </w:r>
      <w:r w:rsidRPr="00BD0B05">
        <w:t xml:space="preserve">and </w:t>
      </w:r>
      <w:r w:rsidR="00C5363C" w:rsidRPr="00BD0B05">
        <w:t xml:space="preserve">profiling </w:t>
      </w:r>
      <w:r w:rsidRPr="00BD0B05">
        <w:t xml:space="preserve">smallholder farmers within official banking systems is one </w:t>
      </w:r>
      <w:r w:rsidR="00C5363C" w:rsidRPr="00BD0B05">
        <w:t xml:space="preserve">persistent </w:t>
      </w:r>
      <w:r w:rsidRPr="00BD0B05">
        <w:t>issue in the literature</w:t>
      </w:r>
      <w:r w:rsidR="008E2A62" w:rsidRPr="00BD0B05">
        <w:t xml:space="preserve"> (Aker &amp; Mbiti, 2019)</w:t>
      </w:r>
      <w:r w:rsidRPr="00BD0B05">
        <w:t xml:space="preserve">. Many maintain </w:t>
      </w:r>
      <w:r w:rsidR="00C5363C" w:rsidRPr="00BD0B05">
        <w:t xml:space="preserve">informal </w:t>
      </w:r>
      <w:r w:rsidRPr="00BD0B05">
        <w:t>production and transaction records, operate outside of official registers and lack verifiable identification</w:t>
      </w:r>
      <w:r w:rsidR="008E2A62" w:rsidRPr="00BD0B05">
        <w:t xml:space="preserve"> (</w:t>
      </w:r>
      <w:r w:rsidRPr="00BD0B05">
        <w:t xml:space="preserve">IFAD, 2020). </w:t>
      </w:r>
      <w:r w:rsidR="00C5363C" w:rsidRPr="00BD0B05">
        <w:t>Without structured and verifiable data, financial institutions struggle to assess risk, monitor performance or establish institutional trust. This identity gap or mismatch forms a foundational limitation that affects the entire agricultural finance lifecycle.</w:t>
      </w:r>
      <w:r w:rsidR="008E2A62" w:rsidRPr="00BD0B05">
        <w:t xml:space="preserve"> </w:t>
      </w:r>
      <w:r w:rsidR="000B6DD2" w:rsidRPr="00BD0B05">
        <w:t>So also, a</w:t>
      </w:r>
      <w:r w:rsidR="00C5363C" w:rsidRPr="00BD0B05">
        <w:t>ccess to digital infrastructure</w:t>
      </w:r>
      <w:r w:rsidR="00D96B50" w:rsidRPr="00BD0B05">
        <w:t xml:space="preserve"> also forms another significant barrier</w:t>
      </w:r>
      <w:r w:rsidR="00C5363C" w:rsidRPr="00BD0B05">
        <w:t xml:space="preserve">. Although mobile adoption and digital financial services have grown significantly in Nigeria, rural farmers often deal with poor interoperability across digital platforms, inconsistent connectivity and low smartphone ownership (GSMA, 2022). </w:t>
      </w:r>
      <w:r w:rsidR="007C5782" w:rsidRPr="00BD0B05">
        <w:t>Many digital finance initiatives assume smartphone usage and stable internet access</w:t>
      </w:r>
      <w:r w:rsidR="00D96B50" w:rsidRPr="00BD0B05">
        <w:t>. These</w:t>
      </w:r>
      <w:r w:rsidR="007C5782" w:rsidRPr="00BD0B05">
        <w:t xml:space="preserve"> assumptions do not reflect rural realities</w:t>
      </w:r>
      <w:r w:rsidR="00C5363C" w:rsidRPr="00BD0B05">
        <w:t xml:space="preserve"> (</w:t>
      </w:r>
      <w:r w:rsidR="00566257" w:rsidRPr="00BD0B05">
        <w:t>Jack &amp; Suri, 2014</w:t>
      </w:r>
      <w:r w:rsidR="00C5363C" w:rsidRPr="00BD0B05">
        <w:t xml:space="preserve">). </w:t>
      </w:r>
      <w:r w:rsidR="00F71100" w:rsidRPr="00BD0B05">
        <w:t xml:space="preserve">As a result, </w:t>
      </w:r>
      <w:r w:rsidR="00C5363C" w:rsidRPr="00BD0B05">
        <w:t xml:space="preserve">ICT-driven interventions </w:t>
      </w:r>
      <w:r w:rsidR="00F71100" w:rsidRPr="00BD0B05">
        <w:t xml:space="preserve">often fail </w:t>
      </w:r>
      <w:r w:rsidR="00C5363C" w:rsidRPr="00BD0B05">
        <w:t xml:space="preserve">in reaching </w:t>
      </w:r>
      <w:r w:rsidR="00F71100" w:rsidRPr="00BD0B05">
        <w:t xml:space="preserve">populations </w:t>
      </w:r>
      <w:r w:rsidR="00C5363C" w:rsidRPr="00BD0B05">
        <w:t>that are financially excluded on a large scale.</w:t>
      </w:r>
      <w:r w:rsidR="007C5782" w:rsidRPr="00BD0B05">
        <w:t xml:space="preserve"> </w:t>
      </w:r>
    </w:p>
    <w:p w14:paraId="419B1333" w14:textId="1E414BB3" w:rsidR="000343EE" w:rsidRPr="00BD0B05" w:rsidRDefault="00C5363C" w:rsidP="006D7FF9">
      <w:pPr>
        <w:pStyle w:val="NormalWeb"/>
        <w:spacing w:line="276" w:lineRule="auto"/>
        <w:jc w:val="both"/>
      </w:pPr>
      <w:r w:rsidRPr="00BD0B05">
        <w:t xml:space="preserve">These </w:t>
      </w:r>
      <w:r w:rsidR="00935149" w:rsidRPr="00BD0B05">
        <w:t xml:space="preserve">two </w:t>
      </w:r>
      <w:r w:rsidRPr="00BD0B05">
        <w:t xml:space="preserve">issues are </w:t>
      </w:r>
      <w:r w:rsidR="000343EE" w:rsidRPr="00BD0B05">
        <w:t xml:space="preserve">further compounded </w:t>
      </w:r>
      <w:r w:rsidRPr="00BD0B05">
        <w:t xml:space="preserve">by information asymmetry in agricultural </w:t>
      </w:r>
      <w:r w:rsidR="000343EE" w:rsidRPr="00BD0B05">
        <w:t xml:space="preserve">credit </w:t>
      </w:r>
      <w:r w:rsidRPr="00BD0B05">
        <w:t xml:space="preserve">markets. Due of revenue instability, exposure to climate change and a lack of formal documentation, financial institutions often categorise smallholder agriculture as high risk (Carter et al., 2017). </w:t>
      </w:r>
      <w:r w:rsidR="00935149" w:rsidRPr="00BD0B05">
        <w:t>Major components of traditional credit scoring models</w:t>
      </w:r>
      <w:r w:rsidR="00DF2B2C" w:rsidRPr="00BD0B05">
        <w:t xml:space="preserve"> include f</w:t>
      </w:r>
      <w:r w:rsidRPr="00BD0B05">
        <w:t xml:space="preserve">ormal income records, established banking histories and collateral. </w:t>
      </w:r>
      <w:r w:rsidR="000343EE" w:rsidRPr="00BD0B05">
        <w:t xml:space="preserve">Rarely </w:t>
      </w:r>
      <w:r w:rsidRPr="00BD0B05">
        <w:t xml:space="preserve">do these </w:t>
      </w:r>
      <w:r w:rsidR="000343EE" w:rsidRPr="00BD0B05">
        <w:t xml:space="preserve">criteria </w:t>
      </w:r>
      <w:r w:rsidRPr="00BD0B05">
        <w:t xml:space="preserve">fit smallholder </w:t>
      </w:r>
      <w:r w:rsidR="000343EE" w:rsidRPr="00BD0B05">
        <w:t>brackets.</w:t>
      </w:r>
      <w:r w:rsidRPr="00BD0B05">
        <w:t xml:space="preserve"> </w:t>
      </w:r>
      <w:r w:rsidR="000343EE" w:rsidRPr="00BD0B05">
        <w:t xml:space="preserve">Although recent research demonstrates that alternative data such as farm size, crop cycles and transaction histories can improve risk assessment </w:t>
      </w:r>
      <w:r w:rsidRPr="00BD0B05">
        <w:t>(</w:t>
      </w:r>
      <w:proofErr w:type="spellStart"/>
      <w:r w:rsidRPr="00BD0B05">
        <w:t>Karlan</w:t>
      </w:r>
      <w:proofErr w:type="spellEnd"/>
      <w:r w:rsidRPr="00BD0B05">
        <w:t xml:space="preserve"> et al., 2020). However, these data are rarely </w:t>
      </w:r>
      <w:r w:rsidR="000343EE" w:rsidRPr="00BD0B05">
        <w:t xml:space="preserve">integrated </w:t>
      </w:r>
      <w:r w:rsidRPr="00BD0B05">
        <w:t>into automated and scalable credit decision systems.</w:t>
      </w:r>
      <w:r w:rsidR="00DF2B2C" w:rsidRPr="00BD0B05">
        <w:t xml:space="preserve"> As a result, poor financial decisions can be made. </w:t>
      </w:r>
      <w:r w:rsidR="000B6DD2" w:rsidRPr="00BD0B05">
        <w:t>Furthermore, t</w:t>
      </w:r>
      <w:r w:rsidR="00DF2B2C" w:rsidRPr="00BD0B05">
        <w:t>his has a high likelihood of cumulating to p</w:t>
      </w:r>
      <w:r w:rsidR="00A5272A" w:rsidRPr="00BD0B05">
        <w:t xml:space="preserve">roblem situations </w:t>
      </w:r>
      <w:r w:rsidR="00DF2B2C" w:rsidRPr="00BD0B05">
        <w:t>that</w:t>
      </w:r>
      <w:r w:rsidR="00A5272A" w:rsidRPr="00BD0B05">
        <w:t xml:space="preserve"> arises after loan approval</w:t>
      </w:r>
      <w:r w:rsidR="000343EE" w:rsidRPr="00BD0B05">
        <w:t xml:space="preserve">. Research </w:t>
      </w:r>
      <w:r w:rsidR="001C57E3" w:rsidRPr="00BD0B05">
        <w:t xml:space="preserve">shows </w:t>
      </w:r>
      <w:r w:rsidR="000343EE" w:rsidRPr="00BD0B05">
        <w:t xml:space="preserve">that </w:t>
      </w:r>
      <w:r w:rsidR="001C57E3" w:rsidRPr="00BD0B05">
        <w:t xml:space="preserve">household </w:t>
      </w:r>
      <w:r w:rsidR="000343EE" w:rsidRPr="00BD0B05">
        <w:t xml:space="preserve">pressures, delayed input supply or insufficient monitoring can </w:t>
      </w:r>
      <w:r w:rsidR="001C57E3" w:rsidRPr="00BD0B05">
        <w:t xml:space="preserve">sometimes </w:t>
      </w:r>
      <w:r w:rsidR="000343EE" w:rsidRPr="00BD0B05">
        <w:t>cause agricultural loans to be redirected to unproductive uses (</w:t>
      </w:r>
      <w:proofErr w:type="spellStart"/>
      <w:r w:rsidR="00566257" w:rsidRPr="00BD0B05">
        <w:t>Khandker</w:t>
      </w:r>
      <w:proofErr w:type="spellEnd"/>
      <w:r w:rsidR="00566257" w:rsidRPr="00BD0B05">
        <w:t xml:space="preserve"> et al., 2016)</w:t>
      </w:r>
      <w:r w:rsidR="000343EE" w:rsidRPr="00BD0B05">
        <w:t xml:space="preserve">. Manual monitoring </w:t>
      </w:r>
      <w:r w:rsidR="001C57E3" w:rsidRPr="00BD0B05">
        <w:t xml:space="preserve">approaches </w:t>
      </w:r>
      <w:r w:rsidR="000343EE" w:rsidRPr="00BD0B05">
        <w:t xml:space="preserve">are expensive and challenging to maintain in scattered rural populations. These restrictions </w:t>
      </w:r>
      <w:r w:rsidR="001C57E3" w:rsidRPr="00BD0B05">
        <w:t xml:space="preserve">increase </w:t>
      </w:r>
      <w:r w:rsidR="000343EE" w:rsidRPr="00BD0B05">
        <w:t xml:space="preserve">the danger of default, undermine lender confidence and raise moral hazard </w:t>
      </w:r>
      <w:r w:rsidR="001C57E3" w:rsidRPr="00BD0B05">
        <w:t>concerns</w:t>
      </w:r>
      <w:r w:rsidR="000343EE" w:rsidRPr="00BD0B05">
        <w:t>.</w:t>
      </w:r>
    </w:p>
    <w:p w14:paraId="05AB201F" w14:textId="37C12C56" w:rsidR="000343EE" w:rsidRPr="00BD0B05" w:rsidRDefault="000343EE" w:rsidP="006D7FF9">
      <w:pPr>
        <w:pStyle w:val="NormalWeb"/>
        <w:spacing w:line="276" w:lineRule="auto"/>
        <w:jc w:val="both"/>
      </w:pPr>
      <w:r w:rsidRPr="00BD0B05">
        <w:lastRenderedPageBreak/>
        <w:t xml:space="preserve">Fintech platforms, donor-funded programs </w:t>
      </w:r>
      <w:r w:rsidR="00DF2B2C" w:rsidRPr="00BD0B05">
        <w:t xml:space="preserve">and </w:t>
      </w:r>
      <w:r w:rsidRPr="00BD0B05">
        <w:t xml:space="preserve">government efforts usually function </w:t>
      </w:r>
      <w:r w:rsidR="001552EF" w:rsidRPr="00BD0B05">
        <w:t>independently</w:t>
      </w:r>
      <w:r w:rsidRPr="00BD0B05">
        <w:t>, each with its own data systems and reporting needs (FAO, 2021).</w:t>
      </w:r>
      <w:r w:rsidR="000B6DD2" w:rsidRPr="00BD0B05">
        <w:t xml:space="preserve"> Hence, these different agricultural finance programs are fragmented. </w:t>
      </w:r>
      <w:r w:rsidR="001552EF" w:rsidRPr="00BD0B05">
        <w:t>Limited interoperability restricts coordinated learning, real time performance tracking and policy adjustment.</w:t>
      </w:r>
      <w:r w:rsidRPr="00BD0B05">
        <w:t xml:space="preserve"> As a result, lessons learned from earlier initiatives are rarely institutionalised, which leads to recurring inefficiencies.</w:t>
      </w:r>
    </w:p>
    <w:p w14:paraId="1E4B58DD" w14:textId="7759F7F0" w:rsidR="00A1439D" w:rsidRPr="00BD0B05" w:rsidRDefault="00A1439D" w:rsidP="006D7FF9">
      <w:pPr>
        <w:pStyle w:val="NormalWeb"/>
        <w:spacing w:line="276" w:lineRule="auto"/>
        <w:jc w:val="both"/>
      </w:pPr>
      <w:r w:rsidRPr="00BD0B05">
        <w:t xml:space="preserve">When </w:t>
      </w:r>
      <w:r w:rsidR="000B6DD2" w:rsidRPr="00BD0B05">
        <w:t xml:space="preserve">all of these gaps are </w:t>
      </w:r>
      <w:r w:rsidRPr="00BD0B05">
        <w:t xml:space="preserve">considered collectively, these </w:t>
      </w:r>
      <w:r w:rsidR="00001449" w:rsidRPr="00BD0B05">
        <w:t xml:space="preserve">studies point to a systemic </w:t>
      </w:r>
      <w:r w:rsidRPr="00BD0B05">
        <w:t xml:space="preserve">issue rather than </w:t>
      </w:r>
      <w:r w:rsidR="00001449" w:rsidRPr="00BD0B05">
        <w:t xml:space="preserve">isolated </w:t>
      </w:r>
      <w:r w:rsidRPr="00BD0B05">
        <w:t xml:space="preserve">operational </w:t>
      </w:r>
      <w:r w:rsidR="00001449" w:rsidRPr="00BD0B05">
        <w:t>problems</w:t>
      </w:r>
      <w:r w:rsidRPr="00BD0B05">
        <w:t xml:space="preserve">. </w:t>
      </w:r>
      <w:r w:rsidR="00001449" w:rsidRPr="00BD0B05">
        <w:t xml:space="preserve">The recurring issues of identity gaps, infrastructure exclusion, information asymmetry, moral hazard and fragmentation suggest the need for an integrated, automated and system level approach. To ensure that the proposed framework directly responds to documented deficiencies, this study adopts a traceability driven design logic. </w:t>
      </w:r>
      <w:r w:rsidRPr="00BD0B05">
        <w:t>The proposed ICT-based automated agricultural finance framework</w:t>
      </w:r>
      <w:r w:rsidR="000B6DD2" w:rsidRPr="00BD0B05">
        <w:t>’</w:t>
      </w:r>
      <w:r w:rsidRPr="00BD0B05">
        <w:t xml:space="preserve">s functional layers and </w:t>
      </w:r>
      <w:r w:rsidR="00001449" w:rsidRPr="00BD0B05">
        <w:t xml:space="preserve">technological interventions </w:t>
      </w:r>
      <w:r w:rsidRPr="00BD0B05">
        <w:t xml:space="preserve">are mapped to the main issues </w:t>
      </w:r>
      <w:r w:rsidR="00B96A88" w:rsidRPr="00BD0B05">
        <w:t xml:space="preserve">identified </w:t>
      </w:r>
      <w:r w:rsidRPr="00BD0B05">
        <w:t xml:space="preserve">in the literature </w:t>
      </w:r>
      <w:r w:rsidR="000B6DD2" w:rsidRPr="00BD0B05">
        <w:t xml:space="preserve">as shown </w:t>
      </w:r>
      <w:r w:rsidRPr="00BD0B05">
        <w:t>in Table 1.</w:t>
      </w:r>
    </w:p>
    <w:p w14:paraId="3D55BE18" w14:textId="77777777" w:rsidR="000F3EF1" w:rsidRPr="00BD0B05" w:rsidRDefault="00A922D5" w:rsidP="006D7FF9">
      <w:pPr>
        <w:pStyle w:val="NoSpacing"/>
        <w:spacing w:line="276" w:lineRule="auto"/>
        <w:jc w:val="center"/>
        <w:rPr>
          <w:rFonts w:ascii="Times New Roman" w:hAnsi="Times New Roman" w:cs="Times New Roman"/>
          <w:b/>
          <w:bCs/>
          <w:sz w:val="24"/>
          <w:szCs w:val="24"/>
        </w:rPr>
      </w:pPr>
      <w:r w:rsidRPr="00BD0B05">
        <w:rPr>
          <w:rFonts w:ascii="Times New Roman" w:hAnsi="Times New Roman" w:cs="Times New Roman"/>
          <w:b/>
          <w:bCs/>
          <w:sz w:val="24"/>
          <w:szCs w:val="24"/>
        </w:rPr>
        <w:t xml:space="preserve">Table </w:t>
      </w:r>
      <w:r w:rsidR="00B7618D" w:rsidRPr="00BD0B05">
        <w:rPr>
          <w:rFonts w:ascii="Times New Roman" w:hAnsi="Times New Roman" w:cs="Times New Roman"/>
          <w:b/>
          <w:bCs/>
          <w:sz w:val="24"/>
          <w:szCs w:val="24"/>
        </w:rPr>
        <w:t>1</w:t>
      </w:r>
      <w:r w:rsidRPr="00BD0B05">
        <w:rPr>
          <w:rFonts w:ascii="Times New Roman" w:hAnsi="Times New Roman" w:cs="Times New Roman"/>
          <w:b/>
          <w:bCs/>
          <w:sz w:val="24"/>
          <w:szCs w:val="24"/>
        </w:rPr>
        <w:t>: Literature</w:t>
      </w:r>
      <w:r w:rsidR="00B7618D" w:rsidRPr="00BD0B05">
        <w:rPr>
          <w:rFonts w:ascii="Times New Roman" w:hAnsi="Times New Roman" w:cs="Times New Roman"/>
          <w:b/>
          <w:bCs/>
          <w:sz w:val="24"/>
          <w:szCs w:val="24"/>
        </w:rPr>
        <w:t>-</w:t>
      </w:r>
      <w:r w:rsidRPr="00BD0B05">
        <w:rPr>
          <w:rFonts w:ascii="Times New Roman" w:hAnsi="Times New Roman" w:cs="Times New Roman"/>
          <w:b/>
          <w:bCs/>
          <w:sz w:val="24"/>
          <w:szCs w:val="24"/>
        </w:rPr>
        <w:t>Framework Traceability Table</w:t>
      </w:r>
    </w:p>
    <w:tbl>
      <w:tblPr>
        <w:tblStyle w:val="PlainTable2"/>
        <w:tblW w:w="0" w:type="auto"/>
        <w:tblLook w:val="04A0" w:firstRow="1" w:lastRow="0" w:firstColumn="1" w:lastColumn="0" w:noHBand="0" w:noVBand="1"/>
      </w:tblPr>
      <w:tblGrid>
        <w:gridCol w:w="1838"/>
        <w:gridCol w:w="2744"/>
        <w:gridCol w:w="1975"/>
        <w:gridCol w:w="3019"/>
      </w:tblGrid>
      <w:tr w:rsidR="004528F3" w:rsidRPr="00BD0B05" w14:paraId="2843D2D6" w14:textId="77777777" w:rsidTr="006F35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9E4CF10" w14:textId="77777777" w:rsidR="000F3EF1" w:rsidRPr="00BD0B05" w:rsidRDefault="000F3EF1" w:rsidP="006D7FF9">
            <w:pPr>
              <w:spacing w:line="276" w:lineRule="auto"/>
              <w:jc w:val="center"/>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Framework Layer</w:t>
            </w:r>
          </w:p>
        </w:tc>
        <w:tc>
          <w:tcPr>
            <w:tcW w:w="2744" w:type="dxa"/>
            <w:hideMark/>
          </w:tcPr>
          <w:p w14:paraId="29E861A5" w14:textId="77777777" w:rsidR="000F3EF1" w:rsidRPr="00BD0B05" w:rsidRDefault="000F3EF1" w:rsidP="006D7F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Systemic Problem Identified in Literature</w:t>
            </w:r>
          </w:p>
        </w:tc>
        <w:tc>
          <w:tcPr>
            <w:tcW w:w="0" w:type="auto"/>
            <w:hideMark/>
          </w:tcPr>
          <w:p w14:paraId="52F6BFB2" w14:textId="77777777" w:rsidR="000F3EF1" w:rsidRPr="00BD0B05" w:rsidRDefault="000F3EF1" w:rsidP="006D7F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Literature Support</w:t>
            </w:r>
          </w:p>
        </w:tc>
        <w:tc>
          <w:tcPr>
            <w:tcW w:w="0" w:type="auto"/>
            <w:hideMark/>
          </w:tcPr>
          <w:p w14:paraId="5F24F7D0" w14:textId="77777777" w:rsidR="000F3EF1" w:rsidRPr="00BD0B05" w:rsidRDefault="000F3EF1" w:rsidP="006D7FF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Framework Intervention</w:t>
            </w:r>
          </w:p>
        </w:tc>
      </w:tr>
      <w:tr w:rsidR="004528F3" w:rsidRPr="00BD0B05" w14:paraId="64ACC315" w14:textId="77777777" w:rsidTr="006F3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CFC2146" w14:textId="77777777" w:rsidR="000F3EF1" w:rsidRPr="00163AA5" w:rsidRDefault="000F3EF1" w:rsidP="006D7FF9">
            <w:pPr>
              <w:spacing w:line="276" w:lineRule="auto"/>
              <w:rPr>
                <w:rFonts w:ascii="Times New Roman" w:eastAsia="Times New Roman" w:hAnsi="Times New Roman" w:cs="Times New Roman"/>
                <w:b w:val="0"/>
                <w:bCs w:val="0"/>
                <w:sz w:val="24"/>
                <w:szCs w:val="24"/>
                <w:lang w:eastAsia="en-CA"/>
              </w:rPr>
            </w:pPr>
            <w:r w:rsidRPr="00163AA5">
              <w:rPr>
                <w:rFonts w:ascii="Times New Roman" w:eastAsia="Times New Roman" w:hAnsi="Times New Roman" w:cs="Times New Roman"/>
                <w:b w:val="0"/>
                <w:bCs w:val="0"/>
                <w:sz w:val="24"/>
                <w:szCs w:val="24"/>
                <w:lang w:eastAsia="en-CA"/>
              </w:rPr>
              <w:t>1. Stakeholder and Data Input</w:t>
            </w:r>
          </w:p>
        </w:tc>
        <w:tc>
          <w:tcPr>
            <w:tcW w:w="2744" w:type="dxa"/>
            <w:hideMark/>
          </w:tcPr>
          <w:p w14:paraId="7F9569D8" w14:textId="77777777" w:rsidR="000F3EF1" w:rsidRPr="00BD0B05" w:rsidRDefault="000F3EF1" w:rsidP="006D7F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Institutional voids and identity gap. Smallholder farmers lack verifiable digital identities and structured records, limiting trust and formal profiling.</w:t>
            </w:r>
          </w:p>
        </w:tc>
        <w:tc>
          <w:tcPr>
            <w:tcW w:w="0" w:type="auto"/>
            <w:hideMark/>
          </w:tcPr>
          <w:p w14:paraId="220A877F" w14:textId="77777777" w:rsidR="000F3EF1" w:rsidRPr="00BD0B05" w:rsidRDefault="000F3EF1" w:rsidP="006D7F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 xml:space="preserve">Aker &amp; Mbiti (2019); IFAD (2020); </w:t>
            </w:r>
            <w:proofErr w:type="spellStart"/>
            <w:r w:rsidRPr="00BD0B05">
              <w:rPr>
                <w:rFonts w:ascii="Times New Roman" w:eastAsia="Times New Roman" w:hAnsi="Times New Roman" w:cs="Times New Roman"/>
                <w:sz w:val="24"/>
                <w:szCs w:val="24"/>
                <w:lang w:eastAsia="en-CA"/>
              </w:rPr>
              <w:t>Ezeomah</w:t>
            </w:r>
            <w:proofErr w:type="spellEnd"/>
            <w:r w:rsidRPr="00BD0B05">
              <w:rPr>
                <w:rFonts w:ascii="Times New Roman" w:eastAsia="Times New Roman" w:hAnsi="Times New Roman" w:cs="Times New Roman"/>
                <w:sz w:val="24"/>
                <w:szCs w:val="24"/>
                <w:lang w:eastAsia="en-CA"/>
              </w:rPr>
              <w:t xml:space="preserve"> (2021)</w:t>
            </w:r>
          </w:p>
        </w:tc>
        <w:tc>
          <w:tcPr>
            <w:tcW w:w="0" w:type="auto"/>
            <w:hideMark/>
          </w:tcPr>
          <w:p w14:paraId="08FCC8B7" w14:textId="77777777" w:rsidR="000F3EF1" w:rsidRPr="00BD0B05" w:rsidRDefault="000F3EF1" w:rsidP="006D7F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Integration of NIN linked digital farmer profiles combined with cooperative level validation to establish a trusted digital identity foundation.</w:t>
            </w:r>
          </w:p>
        </w:tc>
      </w:tr>
      <w:tr w:rsidR="004528F3" w:rsidRPr="00BD0B05" w14:paraId="2FB801E7" w14:textId="77777777" w:rsidTr="006F3525">
        <w:tc>
          <w:tcPr>
            <w:cnfStyle w:val="001000000000" w:firstRow="0" w:lastRow="0" w:firstColumn="1" w:lastColumn="0" w:oddVBand="0" w:evenVBand="0" w:oddHBand="0" w:evenHBand="0" w:firstRowFirstColumn="0" w:firstRowLastColumn="0" w:lastRowFirstColumn="0" w:lastRowLastColumn="0"/>
            <w:tcW w:w="1838" w:type="dxa"/>
            <w:hideMark/>
          </w:tcPr>
          <w:p w14:paraId="52C4FC15" w14:textId="77777777" w:rsidR="000F3EF1" w:rsidRPr="00163AA5" w:rsidRDefault="000F3EF1" w:rsidP="006D7FF9">
            <w:pPr>
              <w:spacing w:line="276" w:lineRule="auto"/>
              <w:rPr>
                <w:rFonts w:ascii="Times New Roman" w:eastAsia="Times New Roman" w:hAnsi="Times New Roman" w:cs="Times New Roman"/>
                <w:b w:val="0"/>
                <w:bCs w:val="0"/>
                <w:sz w:val="24"/>
                <w:szCs w:val="24"/>
                <w:lang w:eastAsia="en-CA"/>
              </w:rPr>
            </w:pPr>
            <w:r w:rsidRPr="00163AA5">
              <w:rPr>
                <w:rFonts w:ascii="Times New Roman" w:eastAsia="Times New Roman" w:hAnsi="Times New Roman" w:cs="Times New Roman"/>
                <w:b w:val="0"/>
                <w:bCs w:val="0"/>
                <w:sz w:val="24"/>
                <w:szCs w:val="24"/>
                <w:lang w:eastAsia="en-CA"/>
              </w:rPr>
              <w:t>2. ICT Access and Integration</w:t>
            </w:r>
          </w:p>
        </w:tc>
        <w:tc>
          <w:tcPr>
            <w:tcW w:w="2744" w:type="dxa"/>
            <w:hideMark/>
          </w:tcPr>
          <w:p w14:paraId="6A078A57" w14:textId="77777777" w:rsidR="000F3EF1" w:rsidRPr="00BD0B05" w:rsidRDefault="000F3EF1" w:rsidP="006D7F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Last mile infrastructure exclusion. Limited smartphone ownership, weak connectivity, and poor interoperability restrict rural participation in digital finance systems.</w:t>
            </w:r>
          </w:p>
        </w:tc>
        <w:tc>
          <w:tcPr>
            <w:tcW w:w="0" w:type="auto"/>
            <w:hideMark/>
          </w:tcPr>
          <w:p w14:paraId="3E532E35" w14:textId="0B06998E" w:rsidR="000F3EF1" w:rsidRPr="00BD0B05" w:rsidRDefault="000F3EF1" w:rsidP="006D7F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GSMA (2022); Donovan (2018);</w:t>
            </w:r>
            <w:r w:rsidR="00566257" w:rsidRPr="00BD0B05">
              <w:rPr>
                <w:sz w:val="24"/>
                <w:szCs w:val="24"/>
              </w:rPr>
              <w:t xml:space="preserve"> </w:t>
            </w:r>
            <w:r w:rsidR="00566257" w:rsidRPr="00BD0B05">
              <w:rPr>
                <w:rFonts w:ascii="Times New Roman" w:eastAsia="Times New Roman" w:hAnsi="Times New Roman" w:cs="Times New Roman"/>
                <w:sz w:val="24"/>
                <w:szCs w:val="24"/>
                <w:lang w:eastAsia="en-CA"/>
              </w:rPr>
              <w:t>Jack &amp; Suri (2014)</w:t>
            </w:r>
            <w:r w:rsidRPr="00BD0B05">
              <w:rPr>
                <w:rFonts w:ascii="Times New Roman" w:eastAsia="Times New Roman" w:hAnsi="Times New Roman" w:cs="Times New Roman"/>
                <w:sz w:val="24"/>
                <w:szCs w:val="24"/>
                <w:lang w:eastAsia="en-CA"/>
              </w:rPr>
              <w:t>; Umar et al. (2021)</w:t>
            </w:r>
          </w:p>
        </w:tc>
        <w:tc>
          <w:tcPr>
            <w:tcW w:w="0" w:type="auto"/>
            <w:hideMark/>
          </w:tcPr>
          <w:p w14:paraId="182071BC" w14:textId="77777777" w:rsidR="000F3EF1" w:rsidRPr="00BD0B05" w:rsidRDefault="000F3EF1" w:rsidP="006D7F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Deployment of USSD and SMS interfaces supported by interoperable APIs to enable low bandwidth access across financial institutions and fintech platforms.</w:t>
            </w:r>
          </w:p>
        </w:tc>
      </w:tr>
      <w:tr w:rsidR="004528F3" w:rsidRPr="00BD0B05" w14:paraId="11BD43EE" w14:textId="77777777" w:rsidTr="006F3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12DD522" w14:textId="77777777" w:rsidR="000F3EF1" w:rsidRPr="00163AA5" w:rsidRDefault="000F3EF1" w:rsidP="006D7FF9">
            <w:pPr>
              <w:spacing w:line="276" w:lineRule="auto"/>
              <w:rPr>
                <w:rFonts w:ascii="Times New Roman" w:eastAsia="Times New Roman" w:hAnsi="Times New Roman" w:cs="Times New Roman"/>
                <w:b w:val="0"/>
                <w:bCs w:val="0"/>
                <w:sz w:val="24"/>
                <w:szCs w:val="24"/>
                <w:lang w:eastAsia="en-CA"/>
              </w:rPr>
            </w:pPr>
            <w:r w:rsidRPr="00163AA5">
              <w:rPr>
                <w:rFonts w:ascii="Times New Roman" w:eastAsia="Times New Roman" w:hAnsi="Times New Roman" w:cs="Times New Roman"/>
                <w:b w:val="0"/>
                <w:bCs w:val="0"/>
                <w:sz w:val="24"/>
                <w:szCs w:val="24"/>
                <w:lang w:eastAsia="en-CA"/>
              </w:rPr>
              <w:t>3. Automation and Intelligence</w:t>
            </w:r>
          </w:p>
        </w:tc>
        <w:tc>
          <w:tcPr>
            <w:tcW w:w="2744" w:type="dxa"/>
            <w:hideMark/>
          </w:tcPr>
          <w:p w14:paraId="16564781" w14:textId="77777777" w:rsidR="000F3EF1" w:rsidRPr="00BD0B05" w:rsidRDefault="000F3EF1" w:rsidP="006D7F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Information asymmetry and inappropriate credit scoring models for informal agricultural contexts.</w:t>
            </w:r>
          </w:p>
        </w:tc>
        <w:tc>
          <w:tcPr>
            <w:tcW w:w="0" w:type="auto"/>
            <w:hideMark/>
          </w:tcPr>
          <w:p w14:paraId="0701E4A7" w14:textId="77777777" w:rsidR="000F3EF1" w:rsidRPr="00BD0B05" w:rsidRDefault="000F3EF1" w:rsidP="006D7F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 xml:space="preserve">Stiglitz &amp; Weiss (1981); Carter et al. (2017); </w:t>
            </w:r>
            <w:proofErr w:type="spellStart"/>
            <w:r w:rsidRPr="00BD0B05">
              <w:rPr>
                <w:rFonts w:ascii="Times New Roman" w:eastAsia="Times New Roman" w:hAnsi="Times New Roman" w:cs="Times New Roman"/>
                <w:sz w:val="24"/>
                <w:szCs w:val="24"/>
                <w:lang w:eastAsia="en-CA"/>
              </w:rPr>
              <w:t>Karlan</w:t>
            </w:r>
            <w:proofErr w:type="spellEnd"/>
            <w:r w:rsidRPr="00BD0B05">
              <w:rPr>
                <w:rFonts w:ascii="Times New Roman" w:eastAsia="Times New Roman" w:hAnsi="Times New Roman" w:cs="Times New Roman"/>
                <w:sz w:val="24"/>
                <w:szCs w:val="24"/>
                <w:lang w:eastAsia="en-CA"/>
              </w:rPr>
              <w:t xml:space="preserve"> et al. (2020); </w:t>
            </w:r>
            <w:proofErr w:type="spellStart"/>
            <w:r w:rsidRPr="00BD0B05">
              <w:rPr>
                <w:rFonts w:ascii="Times New Roman" w:eastAsia="Times New Roman" w:hAnsi="Times New Roman" w:cs="Times New Roman"/>
                <w:sz w:val="24"/>
                <w:szCs w:val="24"/>
                <w:lang w:eastAsia="en-CA"/>
              </w:rPr>
              <w:t>Ajuwon</w:t>
            </w:r>
            <w:proofErr w:type="spellEnd"/>
            <w:r w:rsidRPr="00BD0B05">
              <w:rPr>
                <w:rFonts w:ascii="Times New Roman" w:eastAsia="Times New Roman" w:hAnsi="Times New Roman" w:cs="Times New Roman"/>
                <w:sz w:val="24"/>
                <w:szCs w:val="24"/>
                <w:lang w:eastAsia="en-CA"/>
              </w:rPr>
              <w:t xml:space="preserve"> et al. (2024)</w:t>
            </w:r>
          </w:p>
        </w:tc>
        <w:tc>
          <w:tcPr>
            <w:tcW w:w="0" w:type="auto"/>
            <w:hideMark/>
          </w:tcPr>
          <w:p w14:paraId="6EAD8467" w14:textId="77777777" w:rsidR="000F3EF1" w:rsidRPr="00BD0B05" w:rsidRDefault="000F3EF1" w:rsidP="006D7F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AI driven credit scoring that integrates alternative agricultural data such as farm size, crop cycles, satellite indicators, and transaction histories for automated risk assessment.</w:t>
            </w:r>
          </w:p>
        </w:tc>
      </w:tr>
      <w:tr w:rsidR="004528F3" w:rsidRPr="00BD0B05" w14:paraId="52F365C7" w14:textId="77777777" w:rsidTr="006F3525">
        <w:tc>
          <w:tcPr>
            <w:cnfStyle w:val="001000000000" w:firstRow="0" w:lastRow="0" w:firstColumn="1" w:lastColumn="0" w:oddVBand="0" w:evenVBand="0" w:oddHBand="0" w:evenHBand="0" w:firstRowFirstColumn="0" w:firstRowLastColumn="0" w:lastRowFirstColumn="0" w:lastRowLastColumn="0"/>
            <w:tcW w:w="1838" w:type="dxa"/>
            <w:hideMark/>
          </w:tcPr>
          <w:p w14:paraId="24E3B324" w14:textId="77777777" w:rsidR="000F3EF1" w:rsidRPr="00163AA5" w:rsidRDefault="000F3EF1" w:rsidP="006D7FF9">
            <w:pPr>
              <w:spacing w:line="276" w:lineRule="auto"/>
              <w:rPr>
                <w:rFonts w:ascii="Times New Roman" w:eastAsia="Times New Roman" w:hAnsi="Times New Roman" w:cs="Times New Roman"/>
                <w:b w:val="0"/>
                <w:bCs w:val="0"/>
                <w:sz w:val="24"/>
                <w:szCs w:val="24"/>
                <w:lang w:eastAsia="en-CA"/>
              </w:rPr>
            </w:pPr>
            <w:r w:rsidRPr="00163AA5">
              <w:rPr>
                <w:rFonts w:ascii="Times New Roman" w:eastAsia="Times New Roman" w:hAnsi="Times New Roman" w:cs="Times New Roman"/>
                <w:b w:val="0"/>
                <w:bCs w:val="0"/>
                <w:sz w:val="24"/>
                <w:szCs w:val="24"/>
                <w:lang w:eastAsia="en-CA"/>
              </w:rPr>
              <w:t xml:space="preserve">4. Secure </w:t>
            </w:r>
            <w:r w:rsidRPr="00163AA5">
              <w:rPr>
                <w:rFonts w:ascii="Times New Roman" w:eastAsia="Times New Roman" w:hAnsi="Times New Roman" w:cs="Times New Roman"/>
                <w:b w:val="0"/>
                <w:bCs w:val="0"/>
                <w:sz w:val="24"/>
                <w:szCs w:val="24"/>
                <w:lang w:eastAsia="en-CA"/>
              </w:rPr>
              <w:lastRenderedPageBreak/>
              <w:t>Transaction and Execution</w:t>
            </w:r>
          </w:p>
        </w:tc>
        <w:tc>
          <w:tcPr>
            <w:tcW w:w="2744" w:type="dxa"/>
            <w:hideMark/>
          </w:tcPr>
          <w:p w14:paraId="4E5C2FF6" w14:textId="77777777" w:rsidR="000F3EF1" w:rsidRPr="00BD0B05" w:rsidRDefault="000F3EF1" w:rsidP="006D7F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lastRenderedPageBreak/>
              <w:t xml:space="preserve">Moral hazard and loan </w:t>
            </w:r>
            <w:r w:rsidRPr="00BD0B05">
              <w:rPr>
                <w:rFonts w:ascii="Times New Roman" w:eastAsia="Times New Roman" w:hAnsi="Times New Roman" w:cs="Times New Roman"/>
                <w:sz w:val="24"/>
                <w:szCs w:val="24"/>
                <w:lang w:eastAsia="en-CA"/>
              </w:rPr>
              <w:lastRenderedPageBreak/>
              <w:t>diversion. Weak monitoring allows funds to be redirected away from productive agricultural use.</w:t>
            </w:r>
          </w:p>
        </w:tc>
        <w:tc>
          <w:tcPr>
            <w:tcW w:w="0" w:type="auto"/>
            <w:hideMark/>
          </w:tcPr>
          <w:p w14:paraId="41A8DFF0" w14:textId="75E8F62B" w:rsidR="000F3EF1" w:rsidRPr="00BD0B05" w:rsidRDefault="000F3EF1" w:rsidP="006D7F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lastRenderedPageBreak/>
              <w:t xml:space="preserve">Banerjee et al. </w:t>
            </w:r>
            <w:r w:rsidRPr="00BD0B05">
              <w:rPr>
                <w:rFonts w:ascii="Times New Roman" w:eastAsia="Times New Roman" w:hAnsi="Times New Roman" w:cs="Times New Roman"/>
                <w:sz w:val="24"/>
                <w:szCs w:val="24"/>
                <w:lang w:eastAsia="en-CA"/>
              </w:rPr>
              <w:lastRenderedPageBreak/>
              <w:t>(2015);</w:t>
            </w:r>
            <w:r w:rsidR="00566257" w:rsidRPr="00BD0B05">
              <w:rPr>
                <w:sz w:val="24"/>
                <w:szCs w:val="24"/>
              </w:rPr>
              <w:t xml:space="preserve"> </w:t>
            </w:r>
            <w:proofErr w:type="spellStart"/>
            <w:r w:rsidR="00566257" w:rsidRPr="00BD0B05">
              <w:rPr>
                <w:rFonts w:ascii="Times New Roman" w:eastAsia="Times New Roman" w:hAnsi="Times New Roman" w:cs="Times New Roman"/>
                <w:sz w:val="24"/>
                <w:szCs w:val="24"/>
                <w:lang w:eastAsia="en-CA"/>
              </w:rPr>
              <w:t>Khandker</w:t>
            </w:r>
            <w:proofErr w:type="spellEnd"/>
            <w:r w:rsidR="00566257" w:rsidRPr="00BD0B05">
              <w:rPr>
                <w:rFonts w:ascii="Times New Roman" w:eastAsia="Times New Roman" w:hAnsi="Times New Roman" w:cs="Times New Roman"/>
                <w:sz w:val="24"/>
                <w:szCs w:val="24"/>
                <w:lang w:eastAsia="en-CA"/>
              </w:rPr>
              <w:t xml:space="preserve"> et al. (2016)</w:t>
            </w:r>
            <w:r w:rsidRPr="00BD0B05">
              <w:rPr>
                <w:rFonts w:ascii="Times New Roman" w:eastAsia="Times New Roman" w:hAnsi="Times New Roman" w:cs="Times New Roman"/>
                <w:sz w:val="24"/>
                <w:szCs w:val="24"/>
                <w:lang w:eastAsia="en-CA"/>
              </w:rPr>
              <w:t xml:space="preserve">; </w:t>
            </w:r>
            <w:proofErr w:type="spellStart"/>
            <w:r w:rsidRPr="00BD0B05">
              <w:rPr>
                <w:rFonts w:ascii="Times New Roman" w:eastAsia="Times New Roman" w:hAnsi="Times New Roman" w:cs="Times New Roman"/>
                <w:sz w:val="24"/>
                <w:szCs w:val="24"/>
                <w:lang w:eastAsia="en-CA"/>
              </w:rPr>
              <w:t>Adesugba</w:t>
            </w:r>
            <w:proofErr w:type="spellEnd"/>
            <w:r w:rsidRPr="00BD0B05">
              <w:rPr>
                <w:rFonts w:ascii="Times New Roman" w:eastAsia="Times New Roman" w:hAnsi="Times New Roman" w:cs="Times New Roman"/>
                <w:sz w:val="24"/>
                <w:szCs w:val="24"/>
                <w:lang w:eastAsia="en-CA"/>
              </w:rPr>
              <w:t xml:space="preserve"> &amp; </w:t>
            </w:r>
            <w:proofErr w:type="spellStart"/>
            <w:r w:rsidRPr="00BD0B05">
              <w:rPr>
                <w:rFonts w:ascii="Times New Roman" w:eastAsia="Times New Roman" w:hAnsi="Times New Roman" w:cs="Times New Roman"/>
                <w:sz w:val="24"/>
                <w:szCs w:val="24"/>
                <w:lang w:eastAsia="en-CA"/>
              </w:rPr>
              <w:t>Mavrotas</w:t>
            </w:r>
            <w:proofErr w:type="spellEnd"/>
            <w:r w:rsidRPr="00BD0B05">
              <w:rPr>
                <w:rFonts w:ascii="Times New Roman" w:eastAsia="Times New Roman" w:hAnsi="Times New Roman" w:cs="Times New Roman"/>
                <w:sz w:val="24"/>
                <w:szCs w:val="24"/>
                <w:lang w:eastAsia="en-CA"/>
              </w:rPr>
              <w:t xml:space="preserve"> (2020)</w:t>
            </w:r>
          </w:p>
        </w:tc>
        <w:tc>
          <w:tcPr>
            <w:tcW w:w="0" w:type="auto"/>
            <w:hideMark/>
          </w:tcPr>
          <w:p w14:paraId="06A3BF6D" w14:textId="77777777" w:rsidR="000F3EF1" w:rsidRPr="00BD0B05" w:rsidRDefault="000F3EF1" w:rsidP="006D7FF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lastRenderedPageBreak/>
              <w:t xml:space="preserve">Conditional or tokenized </w:t>
            </w:r>
            <w:r w:rsidRPr="00BD0B05">
              <w:rPr>
                <w:rFonts w:ascii="Times New Roman" w:eastAsia="Times New Roman" w:hAnsi="Times New Roman" w:cs="Times New Roman"/>
                <w:sz w:val="24"/>
                <w:szCs w:val="24"/>
                <w:lang w:eastAsia="en-CA"/>
              </w:rPr>
              <w:lastRenderedPageBreak/>
              <w:t>digital disbursement mechanisms linked to verified input suppliers to ensure funds are used for approved agricultural purposes.</w:t>
            </w:r>
          </w:p>
        </w:tc>
      </w:tr>
      <w:tr w:rsidR="004528F3" w:rsidRPr="00BD0B05" w14:paraId="72710273" w14:textId="77777777" w:rsidTr="006F3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E947170" w14:textId="77777777" w:rsidR="000F3EF1" w:rsidRPr="00163AA5" w:rsidRDefault="000F3EF1" w:rsidP="006D7FF9">
            <w:pPr>
              <w:spacing w:line="276" w:lineRule="auto"/>
              <w:rPr>
                <w:rFonts w:ascii="Times New Roman" w:eastAsia="Times New Roman" w:hAnsi="Times New Roman" w:cs="Times New Roman"/>
                <w:b w:val="0"/>
                <w:bCs w:val="0"/>
                <w:sz w:val="24"/>
                <w:szCs w:val="24"/>
                <w:lang w:eastAsia="en-CA"/>
              </w:rPr>
            </w:pPr>
            <w:r w:rsidRPr="00163AA5">
              <w:rPr>
                <w:rFonts w:ascii="Times New Roman" w:eastAsia="Times New Roman" w:hAnsi="Times New Roman" w:cs="Times New Roman"/>
                <w:b w:val="0"/>
                <w:bCs w:val="0"/>
                <w:sz w:val="24"/>
                <w:szCs w:val="24"/>
                <w:lang w:eastAsia="en-CA"/>
              </w:rPr>
              <w:lastRenderedPageBreak/>
              <w:t>5. Monitoring and Feedback</w:t>
            </w:r>
          </w:p>
        </w:tc>
        <w:tc>
          <w:tcPr>
            <w:tcW w:w="2744" w:type="dxa"/>
            <w:hideMark/>
          </w:tcPr>
          <w:p w14:paraId="7FD0AFF9" w14:textId="77777777" w:rsidR="000F3EF1" w:rsidRPr="00BD0B05" w:rsidRDefault="000F3EF1" w:rsidP="006D7F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Fragmentation and weak policy learning. Disconnected programmes limit real time performance tracking and sustainability assessment.</w:t>
            </w:r>
          </w:p>
        </w:tc>
        <w:tc>
          <w:tcPr>
            <w:tcW w:w="0" w:type="auto"/>
            <w:hideMark/>
          </w:tcPr>
          <w:p w14:paraId="03FBDEF1" w14:textId="77777777" w:rsidR="000F3EF1" w:rsidRPr="00BD0B05" w:rsidRDefault="000F3EF1" w:rsidP="006D7F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FAO (2021); Benni (2024); Elias et al. (2024)</w:t>
            </w:r>
          </w:p>
        </w:tc>
        <w:tc>
          <w:tcPr>
            <w:tcW w:w="0" w:type="auto"/>
            <w:hideMark/>
          </w:tcPr>
          <w:p w14:paraId="70A48436" w14:textId="77777777" w:rsidR="000F3EF1" w:rsidRPr="00BD0B05" w:rsidRDefault="000F3EF1" w:rsidP="006D7FF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CA"/>
              </w:rPr>
            </w:pPr>
            <w:r w:rsidRPr="00BD0B05">
              <w:rPr>
                <w:rFonts w:ascii="Times New Roman" w:eastAsia="Times New Roman" w:hAnsi="Times New Roman" w:cs="Times New Roman"/>
                <w:sz w:val="24"/>
                <w:szCs w:val="24"/>
                <w:lang w:eastAsia="en-CA"/>
              </w:rPr>
              <w:t>Real time dashboards and automated feedback triggers that update risk models and generate performance insights for lenders and policymakers.</w:t>
            </w:r>
          </w:p>
        </w:tc>
      </w:tr>
    </w:tbl>
    <w:p w14:paraId="11838242" w14:textId="4E9F043B" w:rsidR="00A922D5" w:rsidRPr="00BD0B05" w:rsidRDefault="006852CD" w:rsidP="006D7FF9">
      <w:pPr>
        <w:spacing w:line="276" w:lineRule="auto"/>
        <w:jc w:val="both"/>
        <w:rPr>
          <w:rFonts w:ascii="Times New Roman" w:hAnsi="Times New Roman" w:cs="Times New Roman"/>
          <w:sz w:val="24"/>
          <w:szCs w:val="24"/>
        </w:rPr>
      </w:pPr>
      <w:r w:rsidRPr="00BD0B05">
        <w:rPr>
          <w:rFonts w:ascii="Times New Roman" w:hAnsi="Times New Roman" w:cs="Times New Roman"/>
          <w:sz w:val="24"/>
          <w:szCs w:val="24"/>
        </w:rPr>
        <w:br/>
      </w:r>
      <w:r w:rsidR="00B7618D" w:rsidRPr="00BD0B05">
        <w:rPr>
          <w:rFonts w:ascii="Times New Roman" w:hAnsi="Times New Roman" w:cs="Times New Roman"/>
          <w:sz w:val="24"/>
          <w:szCs w:val="24"/>
        </w:rPr>
        <w:t>Table 1 functions as a synthesis mechanism that links theory to design. Each framework layer is grounded in documented empirical challenges and translated into a corresponding ICT enabled intervention. This structured alignment ensures that the proposed framework is not technology driven in abstraction, but problem driven and context responsive to Nigeria’s agricultural finance realities.</w:t>
      </w:r>
    </w:p>
    <w:p w14:paraId="3BDB0DD5" w14:textId="3E8873D9" w:rsidR="00E134ED" w:rsidRPr="00BD0B05" w:rsidRDefault="00E134ED" w:rsidP="006D7FF9">
      <w:pPr>
        <w:pStyle w:val="NormalWeb"/>
        <w:spacing w:line="276" w:lineRule="auto"/>
        <w:jc w:val="both"/>
        <w:rPr>
          <w:b/>
          <w:bCs/>
        </w:rPr>
      </w:pPr>
      <w:r w:rsidRPr="00BD0B05">
        <w:rPr>
          <w:b/>
          <w:bCs/>
        </w:rPr>
        <w:t xml:space="preserve">3. </w:t>
      </w:r>
      <w:r w:rsidR="006A3F93" w:rsidRPr="00BD0B05">
        <w:rPr>
          <w:b/>
          <w:bCs/>
        </w:rPr>
        <w:t>Research Design and Framework Development</w:t>
      </w:r>
    </w:p>
    <w:p w14:paraId="3444EEAA" w14:textId="346DA28E" w:rsidR="006A3F93" w:rsidRPr="00BD0B05" w:rsidRDefault="00B81C39" w:rsidP="006D7FF9">
      <w:pPr>
        <w:pStyle w:val="NormalWeb"/>
        <w:spacing w:line="276" w:lineRule="auto"/>
        <w:jc w:val="both"/>
      </w:pPr>
      <w:r w:rsidRPr="00BD0B05">
        <w:t xml:space="preserve">This study adopts a </w:t>
      </w:r>
      <w:r w:rsidR="003009B5" w:rsidRPr="00BD0B05">
        <w:t xml:space="preserve">DSR </w:t>
      </w:r>
      <w:r w:rsidRPr="00BD0B05">
        <w:t>approach to develop an ICT based automated framework for agricultural finance in Nigeria.</w:t>
      </w:r>
      <w:r w:rsidR="003009B5" w:rsidRPr="00BD0B05">
        <w:t xml:space="preserve"> </w:t>
      </w:r>
      <w:r w:rsidR="00136434" w:rsidRPr="00BD0B05">
        <w:t>DSR</w:t>
      </w:r>
      <w:r w:rsidRPr="00BD0B05">
        <w:t xml:space="preserve"> is </w:t>
      </w:r>
      <w:r w:rsidR="00CD68DB" w:rsidRPr="00BD0B05">
        <w:t xml:space="preserve">well-suited </w:t>
      </w:r>
      <w:r w:rsidRPr="00BD0B05">
        <w:t xml:space="preserve">for complex socio technical challenges because it produces and evaluates purposeful </w:t>
      </w:r>
      <w:r w:rsidR="00C701EA" w:rsidRPr="00BD0B05">
        <w:t>results</w:t>
      </w:r>
      <w:r w:rsidRPr="00BD0B05">
        <w:t xml:space="preserve"> grounded in theory and practice. </w:t>
      </w:r>
      <w:r w:rsidR="00C701EA" w:rsidRPr="00BD0B05">
        <w:t xml:space="preserve">This study integrates research design with framework development rather than separating methodology from system architecture. This allows the </w:t>
      </w:r>
      <w:r w:rsidR="00136434" w:rsidRPr="00BD0B05">
        <w:t xml:space="preserve">proposed </w:t>
      </w:r>
      <w:r w:rsidR="00C701EA" w:rsidRPr="00BD0B05">
        <w:t>solution to emerge directly from systemic flaws in agricultural finance delivery that have been identified in the literature.</w:t>
      </w:r>
      <w:r w:rsidRPr="00BD0B05">
        <w:t xml:space="preserve"> The resulting </w:t>
      </w:r>
      <w:r w:rsidR="00C701EA" w:rsidRPr="00BD0B05">
        <w:t>framework</w:t>
      </w:r>
      <w:r w:rsidRPr="00BD0B05">
        <w:t xml:space="preserve">, presented in Figure 1, is a unified and layered automated ecosystem that translates documented structural </w:t>
      </w:r>
      <w:r w:rsidR="00C701EA" w:rsidRPr="00BD0B05">
        <w:t>gaps</w:t>
      </w:r>
      <w:r w:rsidRPr="00BD0B05">
        <w:t xml:space="preserve"> into an operational architecture tailored to Nigeria’s low connectivity and </w:t>
      </w:r>
      <w:r w:rsidR="003B5067" w:rsidRPr="00BD0B05">
        <w:t>high-risk</w:t>
      </w:r>
      <w:r w:rsidRPr="00BD0B05">
        <w:t xml:space="preserve"> agricultural environment.</w:t>
      </w:r>
    </w:p>
    <w:p w14:paraId="265F5977" w14:textId="0A80E19B" w:rsidR="006A3F93" w:rsidRPr="00BD0B05" w:rsidRDefault="006A3F93" w:rsidP="006D7FF9">
      <w:pPr>
        <w:pStyle w:val="NormalWeb"/>
        <w:spacing w:line="276" w:lineRule="auto"/>
        <w:jc w:val="both"/>
        <w:rPr>
          <w:b/>
          <w:bCs/>
        </w:rPr>
      </w:pPr>
      <w:r w:rsidRPr="00BD0B05">
        <w:rPr>
          <w:b/>
          <w:bCs/>
        </w:rPr>
        <w:t>3.1 Methodology</w:t>
      </w:r>
    </w:p>
    <w:p w14:paraId="425F6CB3" w14:textId="5FC0DCCE" w:rsidR="00C701EA" w:rsidRPr="00BD0B05" w:rsidRDefault="00B81C39" w:rsidP="006D7FF9">
      <w:pPr>
        <w:pStyle w:val="NormalWeb"/>
        <w:spacing w:line="276" w:lineRule="auto"/>
        <w:jc w:val="both"/>
      </w:pPr>
      <w:r w:rsidRPr="00BD0B05">
        <w:t xml:space="preserve">Following established </w:t>
      </w:r>
      <w:r w:rsidR="00BF2ADC" w:rsidRPr="00BD0B05">
        <w:t xml:space="preserve">DSR </w:t>
      </w:r>
      <w:r w:rsidRPr="00BD0B05">
        <w:t>guidelines</w:t>
      </w:r>
      <w:r w:rsidR="00F72920" w:rsidRPr="00BD0B05">
        <w:t xml:space="preserve"> (</w:t>
      </w:r>
      <w:proofErr w:type="spellStart"/>
      <w:r w:rsidR="00F72920" w:rsidRPr="00BD0B05">
        <w:t>Peffers</w:t>
      </w:r>
      <w:proofErr w:type="spellEnd"/>
      <w:r w:rsidR="00F72920" w:rsidRPr="00BD0B05">
        <w:t xml:space="preserve"> et al., 2007)</w:t>
      </w:r>
      <w:r w:rsidRPr="00BD0B05">
        <w:t xml:space="preserve">, the study progresses through problem identification, requirement synthesis, </w:t>
      </w:r>
      <w:r w:rsidR="00F72920" w:rsidRPr="00BD0B05">
        <w:t>mode</w:t>
      </w:r>
      <w:r w:rsidRPr="00BD0B05">
        <w:t xml:space="preserve"> design and analytical evaluation. </w:t>
      </w:r>
      <w:r w:rsidR="00A1489D" w:rsidRPr="00BD0B05">
        <w:t xml:space="preserve">A systematic review of recent literature on digital agriculture finance, financial inclusion and ICT-enabled automation serves as the foundation for </w:t>
      </w:r>
      <w:r w:rsidR="00F72920" w:rsidRPr="00BD0B05">
        <w:t xml:space="preserve">the </w:t>
      </w:r>
      <w:r w:rsidR="00A1489D" w:rsidRPr="00BD0B05">
        <w:t xml:space="preserve">problem identification. </w:t>
      </w:r>
      <w:r w:rsidRPr="00BD0B05">
        <w:t>The review consistently identifies five interrelated systemic problems: institutional voids and identity gaps; last mile ICT exclusion; information asymmetry and inappropriate credit scoring models; moral hazard and loan diversion; and fragmentation with weak policy learning.</w:t>
      </w:r>
      <w:r w:rsidR="00C701EA" w:rsidRPr="00BD0B05">
        <w:t xml:space="preserve"> </w:t>
      </w:r>
    </w:p>
    <w:p w14:paraId="7B9593F1" w14:textId="25B21F22" w:rsidR="00C701EA" w:rsidRPr="00BD0B05" w:rsidRDefault="00B81C39" w:rsidP="006D7FF9">
      <w:pPr>
        <w:pStyle w:val="NormalWeb"/>
        <w:spacing w:line="276" w:lineRule="auto"/>
        <w:jc w:val="both"/>
      </w:pPr>
      <w:r w:rsidRPr="00BD0B05">
        <w:lastRenderedPageBreak/>
        <w:t xml:space="preserve">These documented challenges are translated into explicit design requirements and organized into five corresponding framework layers: stakeholder and data input; ICT access and integration; automation and intelligence; secure transaction and execution; and monitoring and feedback. </w:t>
      </w:r>
      <w:r w:rsidR="00C701EA" w:rsidRPr="00BD0B05">
        <w:t xml:space="preserve">Table 1 </w:t>
      </w:r>
      <w:r w:rsidR="00F914D6" w:rsidRPr="00BD0B05">
        <w:t xml:space="preserve">formally </w:t>
      </w:r>
      <w:r w:rsidR="00C701EA" w:rsidRPr="00BD0B05">
        <w:t xml:space="preserve">documents the traceability between these functional </w:t>
      </w:r>
      <w:r w:rsidR="00F914D6" w:rsidRPr="00BD0B05">
        <w:t xml:space="preserve">layers </w:t>
      </w:r>
      <w:r w:rsidR="00C701EA" w:rsidRPr="00BD0B05">
        <w:t xml:space="preserve">and issues </w:t>
      </w:r>
      <w:r w:rsidR="00F914D6" w:rsidRPr="00BD0B05">
        <w:t xml:space="preserve">identified </w:t>
      </w:r>
      <w:r w:rsidR="00C701EA" w:rsidRPr="00BD0B05">
        <w:t>in the literature.</w:t>
      </w:r>
    </w:p>
    <w:p w14:paraId="30050371" w14:textId="43748098" w:rsidR="00995639" w:rsidRPr="00BD0B05" w:rsidRDefault="00995639" w:rsidP="006D7FF9">
      <w:pPr>
        <w:spacing w:line="276" w:lineRule="auto"/>
        <w:jc w:val="both"/>
        <w:rPr>
          <w:rFonts w:ascii="Times New Roman" w:hAnsi="Times New Roman" w:cs="Times New Roman"/>
          <w:sz w:val="24"/>
          <w:szCs w:val="24"/>
        </w:rPr>
      </w:pPr>
      <w:r w:rsidRPr="00BD0B05">
        <w:rPr>
          <w:rFonts w:ascii="Times New Roman" w:hAnsi="Times New Roman" w:cs="Times New Roman"/>
          <w:sz w:val="24"/>
          <w:szCs w:val="24"/>
        </w:rPr>
        <w:t xml:space="preserve">The </w:t>
      </w:r>
      <w:r w:rsidR="003831DA" w:rsidRPr="00BD0B05">
        <w:rPr>
          <w:rFonts w:ascii="Times New Roman" w:hAnsi="Times New Roman" w:cs="Times New Roman"/>
          <w:sz w:val="24"/>
          <w:szCs w:val="24"/>
        </w:rPr>
        <w:t>proposed</w:t>
      </w:r>
      <w:r w:rsidRPr="00BD0B05">
        <w:rPr>
          <w:rFonts w:ascii="Times New Roman" w:hAnsi="Times New Roman" w:cs="Times New Roman"/>
          <w:sz w:val="24"/>
          <w:szCs w:val="24"/>
        </w:rPr>
        <w:t xml:space="preserve"> methodology mov</w:t>
      </w:r>
      <w:r w:rsidR="003831DA" w:rsidRPr="00BD0B05">
        <w:rPr>
          <w:rFonts w:ascii="Times New Roman" w:hAnsi="Times New Roman" w:cs="Times New Roman"/>
          <w:sz w:val="24"/>
          <w:szCs w:val="24"/>
        </w:rPr>
        <w:t>es</w:t>
      </w:r>
      <w:r w:rsidRPr="00BD0B05">
        <w:rPr>
          <w:rFonts w:ascii="Times New Roman" w:hAnsi="Times New Roman" w:cs="Times New Roman"/>
          <w:sz w:val="24"/>
          <w:szCs w:val="24"/>
        </w:rPr>
        <w:t xml:space="preserve"> from empirical data capture to automated financial execution.</w:t>
      </w:r>
    </w:p>
    <w:p w14:paraId="4B61D121" w14:textId="77777777" w:rsidR="00995639" w:rsidRPr="00BD0B05" w:rsidRDefault="00995639" w:rsidP="006D7FF9">
      <w:pPr>
        <w:spacing w:line="276" w:lineRule="auto"/>
        <w:jc w:val="both"/>
        <w:rPr>
          <w:rFonts w:ascii="Times New Roman" w:hAnsi="Times New Roman" w:cs="Times New Roman"/>
          <w:b/>
          <w:bCs/>
          <w:sz w:val="24"/>
          <w:szCs w:val="24"/>
        </w:rPr>
      </w:pPr>
      <w:r w:rsidRPr="00BD0B05">
        <w:rPr>
          <w:rFonts w:ascii="Times New Roman" w:hAnsi="Times New Roman" w:cs="Times New Roman"/>
          <w:b/>
          <w:bCs/>
          <w:sz w:val="24"/>
          <w:szCs w:val="24"/>
        </w:rPr>
        <w:t>Phase I: Data Normalization and Gating</w:t>
      </w:r>
    </w:p>
    <w:p w14:paraId="02A0B8FB" w14:textId="49EFB54A" w:rsidR="00995639" w:rsidRPr="00BD0B05" w:rsidRDefault="00995639" w:rsidP="006D7FF9">
      <w:pPr>
        <w:spacing w:line="276" w:lineRule="auto"/>
        <w:jc w:val="both"/>
        <w:rPr>
          <w:rFonts w:ascii="Times New Roman" w:hAnsi="Times New Roman" w:cs="Times New Roman"/>
          <w:sz w:val="24"/>
          <w:szCs w:val="24"/>
        </w:rPr>
      </w:pPr>
      <w:r w:rsidRPr="00BD0B05">
        <w:rPr>
          <w:rFonts w:ascii="Times New Roman" w:hAnsi="Times New Roman" w:cs="Times New Roman"/>
          <w:sz w:val="24"/>
          <w:szCs w:val="24"/>
        </w:rPr>
        <w:t>The process begins with the conversion of unstructured agricultural activities into structured digital assets. The methodology employs Digital Identity Capture and Multi-Factor Authentication</w:t>
      </w:r>
      <w:r w:rsidR="008405A2" w:rsidRPr="00BD0B05">
        <w:rPr>
          <w:rFonts w:ascii="Times New Roman" w:hAnsi="Times New Roman" w:cs="Times New Roman"/>
          <w:sz w:val="24"/>
          <w:szCs w:val="24"/>
        </w:rPr>
        <w:t xml:space="preserve"> (MFA)</w:t>
      </w:r>
      <w:r w:rsidRPr="00BD0B05">
        <w:rPr>
          <w:rFonts w:ascii="Times New Roman" w:hAnsi="Times New Roman" w:cs="Times New Roman"/>
          <w:sz w:val="24"/>
          <w:szCs w:val="24"/>
        </w:rPr>
        <w:t xml:space="preserve"> tailored to the stakeholder</w:t>
      </w:r>
      <w:r w:rsidR="008405A2" w:rsidRPr="00BD0B05">
        <w:rPr>
          <w:rFonts w:ascii="Times New Roman" w:hAnsi="Times New Roman" w:cs="Times New Roman"/>
          <w:sz w:val="24"/>
          <w:szCs w:val="24"/>
        </w:rPr>
        <w:t>’</w:t>
      </w:r>
      <w:r w:rsidRPr="00BD0B05">
        <w:rPr>
          <w:rFonts w:ascii="Times New Roman" w:hAnsi="Times New Roman" w:cs="Times New Roman"/>
          <w:sz w:val="24"/>
          <w:szCs w:val="24"/>
        </w:rPr>
        <w:t xml:space="preserve">s hardware capability. This phase ensures the </w:t>
      </w:r>
      <w:r w:rsidR="008405A2" w:rsidRPr="00BD0B05">
        <w:rPr>
          <w:rFonts w:ascii="Times New Roman" w:hAnsi="Times New Roman" w:cs="Times New Roman"/>
          <w:sz w:val="24"/>
          <w:szCs w:val="24"/>
        </w:rPr>
        <w:t>“</w:t>
      </w:r>
      <w:r w:rsidRPr="00BD0B05">
        <w:rPr>
          <w:rFonts w:ascii="Times New Roman" w:hAnsi="Times New Roman" w:cs="Times New Roman"/>
          <w:sz w:val="24"/>
          <w:szCs w:val="24"/>
        </w:rPr>
        <w:t>Single Source of Truth</w:t>
      </w:r>
      <w:r w:rsidR="008405A2" w:rsidRPr="00BD0B05">
        <w:rPr>
          <w:rFonts w:ascii="Times New Roman" w:hAnsi="Times New Roman" w:cs="Times New Roman"/>
          <w:sz w:val="24"/>
          <w:szCs w:val="24"/>
        </w:rPr>
        <w:t>”</w:t>
      </w:r>
      <w:r w:rsidRPr="00BD0B05">
        <w:rPr>
          <w:rFonts w:ascii="Times New Roman" w:hAnsi="Times New Roman" w:cs="Times New Roman"/>
          <w:sz w:val="24"/>
          <w:szCs w:val="24"/>
        </w:rPr>
        <w:t xml:space="preserve"> necessary for financial auditing.</w:t>
      </w:r>
    </w:p>
    <w:p w14:paraId="6AE52E6D" w14:textId="77777777" w:rsidR="00995639" w:rsidRPr="00BD0B05" w:rsidRDefault="00995639" w:rsidP="006D7FF9">
      <w:pPr>
        <w:spacing w:line="276" w:lineRule="auto"/>
        <w:jc w:val="both"/>
        <w:rPr>
          <w:rFonts w:ascii="Times New Roman" w:hAnsi="Times New Roman" w:cs="Times New Roman"/>
          <w:b/>
          <w:bCs/>
          <w:sz w:val="24"/>
          <w:szCs w:val="24"/>
        </w:rPr>
      </w:pPr>
      <w:r w:rsidRPr="00BD0B05">
        <w:rPr>
          <w:rFonts w:ascii="Times New Roman" w:hAnsi="Times New Roman" w:cs="Times New Roman"/>
          <w:b/>
          <w:bCs/>
          <w:sz w:val="24"/>
          <w:szCs w:val="24"/>
        </w:rPr>
        <w:t>Phase II: Hybrid Credit Modeling</w:t>
      </w:r>
    </w:p>
    <w:p w14:paraId="30E93D4E" w14:textId="77777777" w:rsidR="008405A2" w:rsidRPr="00BD0B05" w:rsidRDefault="00995639" w:rsidP="006D7FF9">
      <w:pPr>
        <w:spacing w:line="276" w:lineRule="auto"/>
        <w:jc w:val="both"/>
        <w:rPr>
          <w:rFonts w:ascii="Times New Roman" w:hAnsi="Times New Roman" w:cs="Times New Roman"/>
          <w:sz w:val="24"/>
          <w:szCs w:val="24"/>
        </w:rPr>
      </w:pPr>
      <w:r w:rsidRPr="00BD0B05">
        <w:rPr>
          <w:rFonts w:ascii="Times New Roman" w:hAnsi="Times New Roman" w:cs="Times New Roman"/>
          <w:sz w:val="24"/>
          <w:szCs w:val="24"/>
        </w:rPr>
        <w:t xml:space="preserve">Unlike traditional models relying solely on collateral, the </w:t>
      </w:r>
      <w:r w:rsidR="008405A2" w:rsidRPr="00BD0B05">
        <w:rPr>
          <w:rFonts w:ascii="Times New Roman" w:hAnsi="Times New Roman" w:cs="Times New Roman"/>
          <w:sz w:val="24"/>
          <w:szCs w:val="24"/>
        </w:rPr>
        <w:t>proposed</w:t>
      </w:r>
      <w:r w:rsidRPr="00BD0B05">
        <w:rPr>
          <w:rFonts w:ascii="Times New Roman" w:hAnsi="Times New Roman" w:cs="Times New Roman"/>
          <w:sz w:val="24"/>
          <w:szCs w:val="24"/>
        </w:rPr>
        <w:t xml:space="preserve"> methodology utilizes a Hybrid Scoring Approach:</w:t>
      </w:r>
      <w:r w:rsidR="008405A2" w:rsidRPr="00BD0B05">
        <w:rPr>
          <w:rFonts w:ascii="Times New Roman" w:hAnsi="Times New Roman" w:cs="Times New Roman"/>
          <w:sz w:val="24"/>
          <w:szCs w:val="24"/>
        </w:rPr>
        <w:t xml:space="preserve"> </w:t>
      </w:r>
    </w:p>
    <w:p w14:paraId="7533031C" w14:textId="5FEA0C5D" w:rsidR="00995639" w:rsidRPr="00BD0B05" w:rsidRDefault="008405A2" w:rsidP="006D7FF9">
      <w:pPr>
        <w:spacing w:line="276" w:lineRule="auto"/>
        <w:ind w:firstLine="720"/>
        <w:jc w:val="both"/>
        <w:rPr>
          <w:rFonts w:ascii="Times New Roman" w:hAnsi="Times New Roman" w:cs="Times New Roman"/>
          <w:i/>
          <w:iCs/>
          <w:sz w:val="24"/>
          <w:szCs w:val="24"/>
        </w:rPr>
      </w:pPr>
      <w:r w:rsidRPr="00BD0B05">
        <w:rPr>
          <w:rFonts w:ascii="Times New Roman" w:hAnsi="Times New Roman" w:cs="Times New Roman"/>
          <w:i/>
          <w:iCs/>
          <w:sz w:val="24"/>
          <w:szCs w:val="24"/>
        </w:rPr>
        <w:t>Score = α(R</w:t>
      </w:r>
      <w:r w:rsidRPr="00BD0B05">
        <w:rPr>
          <w:rFonts w:ascii="Times New Roman" w:hAnsi="Times New Roman" w:cs="Times New Roman"/>
          <w:i/>
          <w:iCs/>
          <w:sz w:val="24"/>
          <w:szCs w:val="24"/>
          <w:vertAlign w:val="subscript"/>
        </w:rPr>
        <w:t>i</w:t>
      </w:r>
      <w:r w:rsidRPr="00BD0B05">
        <w:rPr>
          <w:rFonts w:ascii="Times New Roman" w:hAnsi="Times New Roman" w:cs="Times New Roman"/>
          <w:i/>
          <w:iCs/>
          <w:sz w:val="24"/>
          <w:szCs w:val="24"/>
        </w:rPr>
        <w:t>) + β(C</w:t>
      </w:r>
      <w:r w:rsidRPr="00BD0B05">
        <w:rPr>
          <w:rFonts w:ascii="Times New Roman" w:hAnsi="Times New Roman" w:cs="Times New Roman"/>
          <w:i/>
          <w:iCs/>
          <w:sz w:val="24"/>
          <w:szCs w:val="24"/>
          <w:vertAlign w:val="subscript"/>
        </w:rPr>
        <w:t>g</w:t>
      </w:r>
      <w:r w:rsidRPr="00BD0B05">
        <w:rPr>
          <w:rFonts w:ascii="Times New Roman" w:hAnsi="Times New Roman" w:cs="Times New Roman"/>
          <w:i/>
          <w:iCs/>
          <w:sz w:val="24"/>
          <w:szCs w:val="24"/>
        </w:rPr>
        <w:t>) + ¥(</w:t>
      </w:r>
      <w:bookmarkStart w:id="1" w:name="_Hlk223249672"/>
      <w:r w:rsidRPr="00BD0B05">
        <w:rPr>
          <w:rFonts w:ascii="Times New Roman" w:hAnsi="Times New Roman" w:cs="Times New Roman"/>
          <w:i/>
          <w:iCs/>
          <w:sz w:val="24"/>
          <w:szCs w:val="24"/>
        </w:rPr>
        <w:t>P</w:t>
      </w:r>
      <w:r w:rsidRPr="00BD0B05">
        <w:rPr>
          <w:rFonts w:ascii="Times New Roman" w:hAnsi="Times New Roman" w:cs="Times New Roman"/>
          <w:i/>
          <w:iCs/>
          <w:sz w:val="24"/>
          <w:szCs w:val="24"/>
          <w:vertAlign w:val="subscript"/>
        </w:rPr>
        <w:t>s</w:t>
      </w:r>
      <w:bookmarkEnd w:id="1"/>
      <w:r w:rsidRPr="00BD0B05">
        <w:rPr>
          <w:rFonts w:ascii="Times New Roman" w:hAnsi="Times New Roman" w:cs="Times New Roman"/>
          <w:i/>
          <w:iCs/>
          <w:sz w:val="24"/>
          <w:szCs w:val="24"/>
        </w:rPr>
        <w:t>)</w:t>
      </w:r>
    </w:p>
    <w:p w14:paraId="410B2F26" w14:textId="2EB9B867" w:rsidR="00995639" w:rsidRPr="00BD0B05" w:rsidRDefault="00995639" w:rsidP="006D7FF9">
      <w:pPr>
        <w:spacing w:line="276" w:lineRule="auto"/>
        <w:jc w:val="both"/>
        <w:rPr>
          <w:rFonts w:ascii="Times New Roman" w:hAnsi="Times New Roman" w:cs="Times New Roman"/>
          <w:sz w:val="24"/>
          <w:szCs w:val="24"/>
        </w:rPr>
      </w:pPr>
      <w:r w:rsidRPr="00BD0B05">
        <w:rPr>
          <w:rFonts w:ascii="Times New Roman" w:hAnsi="Times New Roman" w:cs="Times New Roman"/>
          <w:sz w:val="24"/>
          <w:szCs w:val="24"/>
        </w:rPr>
        <w:t>Where</w:t>
      </w:r>
      <w:r w:rsidR="008405A2" w:rsidRPr="00BD0B05">
        <w:rPr>
          <w:rFonts w:ascii="Times New Roman" w:hAnsi="Times New Roman" w:cs="Times New Roman"/>
          <w:sz w:val="24"/>
          <w:szCs w:val="24"/>
        </w:rPr>
        <w:t xml:space="preserve"> </w:t>
      </w:r>
      <w:r w:rsidR="008405A2" w:rsidRPr="00BD0B05">
        <w:rPr>
          <w:rFonts w:ascii="Times New Roman" w:hAnsi="Times New Roman" w:cs="Times New Roman"/>
          <w:i/>
          <w:iCs/>
          <w:sz w:val="24"/>
          <w:szCs w:val="24"/>
        </w:rPr>
        <w:t>R</w:t>
      </w:r>
      <w:r w:rsidR="008405A2" w:rsidRPr="00BD0B05">
        <w:rPr>
          <w:rFonts w:ascii="Times New Roman" w:hAnsi="Times New Roman" w:cs="Times New Roman"/>
          <w:i/>
          <w:iCs/>
          <w:sz w:val="24"/>
          <w:szCs w:val="24"/>
          <w:vertAlign w:val="subscript"/>
        </w:rPr>
        <w:t>i</w:t>
      </w:r>
      <w:r w:rsidRPr="00BD0B05">
        <w:rPr>
          <w:rFonts w:ascii="Times New Roman" w:hAnsi="Times New Roman" w:cs="Times New Roman"/>
          <w:sz w:val="24"/>
          <w:szCs w:val="24"/>
        </w:rPr>
        <w:t xml:space="preserve"> is individual repayment history, </w:t>
      </w:r>
      <w:r w:rsidR="008405A2" w:rsidRPr="00BD0B05">
        <w:rPr>
          <w:rFonts w:ascii="Times New Roman" w:hAnsi="Times New Roman" w:cs="Times New Roman"/>
          <w:i/>
          <w:iCs/>
          <w:sz w:val="24"/>
          <w:szCs w:val="24"/>
        </w:rPr>
        <w:t>C</w:t>
      </w:r>
      <w:r w:rsidR="008405A2" w:rsidRPr="00BD0B05">
        <w:rPr>
          <w:rFonts w:ascii="Times New Roman" w:hAnsi="Times New Roman" w:cs="Times New Roman"/>
          <w:i/>
          <w:iCs/>
          <w:sz w:val="24"/>
          <w:szCs w:val="24"/>
          <w:vertAlign w:val="subscript"/>
        </w:rPr>
        <w:t>g</w:t>
      </w:r>
      <w:r w:rsidRPr="00BD0B05">
        <w:rPr>
          <w:rFonts w:ascii="Times New Roman" w:hAnsi="Times New Roman" w:cs="Times New Roman"/>
          <w:sz w:val="24"/>
          <w:szCs w:val="24"/>
        </w:rPr>
        <w:t xml:space="preserve"> is</w:t>
      </w:r>
      <w:r w:rsidR="00E54663" w:rsidRPr="00BD0B05">
        <w:rPr>
          <w:rFonts w:ascii="Times New Roman" w:hAnsi="Times New Roman" w:cs="Times New Roman"/>
          <w:sz w:val="24"/>
          <w:szCs w:val="24"/>
        </w:rPr>
        <w:t xml:space="preserve"> </w:t>
      </w:r>
      <w:r w:rsidRPr="00BD0B05">
        <w:rPr>
          <w:rFonts w:ascii="Times New Roman" w:hAnsi="Times New Roman" w:cs="Times New Roman"/>
          <w:sz w:val="24"/>
          <w:szCs w:val="24"/>
        </w:rPr>
        <w:t xml:space="preserve">social collateral and </w:t>
      </w:r>
      <w:r w:rsidR="008405A2" w:rsidRPr="00BD0B05">
        <w:rPr>
          <w:rFonts w:ascii="Times New Roman" w:hAnsi="Times New Roman" w:cs="Times New Roman"/>
          <w:i/>
          <w:iCs/>
          <w:sz w:val="24"/>
          <w:szCs w:val="24"/>
        </w:rPr>
        <w:t>P</w:t>
      </w:r>
      <w:r w:rsidR="008405A2" w:rsidRPr="00BD0B05">
        <w:rPr>
          <w:rFonts w:ascii="Times New Roman" w:hAnsi="Times New Roman" w:cs="Times New Roman"/>
          <w:i/>
          <w:iCs/>
          <w:sz w:val="24"/>
          <w:szCs w:val="24"/>
          <w:vertAlign w:val="subscript"/>
        </w:rPr>
        <w:t>s</w:t>
      </w:r>
      <w:r w:rsidR="008405A2" w:rsidRPr="00BD0B05">
        <w:rPr>
          <w:rFonts w:ascii="Times New Roman" w:hAnsi="Times New Roman" w:cs="Times New Roman"/>
          <w:sz w:val="24"/>
          <w:szCs w:val="24"/>
        </w:rPr>
        <w:t xml:space="preserve"> </w:t>
      </w:r>
      <w:r w:rsidRPr="00BD0B05">
        <w:rPr>
          <w:rFonts w:ascii="Times New Roman" w:hAnsi="Times New Roman" w:cs="Times New Roman"/>
          <w:sz w:val="24"/>
          <w:szCs w:val="24"/>
        </w:rPr>
        <w:t>is production stability.</w:t>
      </w:r>
    </w:p>
    <w:p w14:paraId="651CA6E2" w14:textId="03645797" w:rsidR="00995639" w:rsidRPr="00BD0B05" w:rsidRDefault="00995639" w:rsidP="006D7FF9">
      <w:pPr>
        <w:spacing w:line="276" w:lineRule="auto"/>
        <w:jc w:val="both"/>
        <w:rPr>
          <w:rFonts w:ascii="Times New Roman" w:hAnsi="Times New Roman" w:cs="Times New Roman"/>
          <w:sz w:val="24"/>
          <w:szCs w:val="24"/>
        </w:rPr>
      </w:pPr>
      <w:r w:rsidRPr="00BD0B05">
        <w:rPr>
          <w:rFonts w:ascii="Times New Roman" w:hAnsi="Times New Roman" w:cs="Times New Roman"/>
          <w:sz w:val="24"/>
          <w:szCs w:val="24"/>
        </w:rPr>
        <w:t xml:space="preserve">Weights </w:t>
      </w:r>
      <w:r w:rsidRPr="00BD0B05">
        <w:rPr>
          <w:rFonts w:ascii="Times New Roman" w:hAnsi="Times New Roman" w:cs="Times New Roman"/>
          <w:i/>
          <w:iCs/>
          <w:sz w:val="24"/>
          <w:szCs w:val="24"/>
        </w:rPr>
        <w:t>(</w:t>
      </w:r>
      <w:r w:rsidR="008405A2" w:rsidRPr="00BD0B05">
        <w:rPr>
          <w:rFonts w:ascii="Times New Roman" w:hAnsi="Times New Roman" w:cs="Times New Roman"/>
          <w:i/>
          <w:iCs/>
          <w:sz w:val="24"/>
          <w:szCs w:val="24"/>
        </w:rPr>
        <w:t>α, β, ¥)</w:t>
      </w:r>
      <w:r w:rsidRPr="00BD0B05">
        <w:rPr>
          <w:rFonts w:ascii="Times New Roman" w:hAnsi="Times New Roman" w:cs="Times New Roman"/>
          <w:sz w:val="24"/>
          <w:szCs w:val="24"/>
        </w:rPr>
        <w:t xml:space="preserve"> are dynamically adjusted based on the feedback loop from Layer 5.</w:t>
      </w:r>
    </w:p>
    <w:p w14:paraId="173B2364" w14:textId="77777777" w:rsidR="00995639" w:rsidRPr="00BD0B05" w:rsidRDefault="00995639" w:rsidP="006D7FF9">
      <w:pPr>
        <w:spacing w:line="276" w:lineRule="auto"/>
        <w:jc w:val="both"/>
        <w:rPr>
          <w:rFonts w:ascii="Times New Roman" w:hAnsi="Times New Roman" w:cs="Times New Roman"/>
          <w:b/>
          <w:bCs/>
          <w:sz w:val="24"/>
          <w:szCs w:val="24"/>
        </w:rPr>
      </w:pPr>
      <w:r w:rsidRPr="00BD0B05">
        <w:rPr>
          <w:rFonts w:ascii="Times New Roman" w:hAnsi="Times New Roman" w:cs="Times New Roman"/>
          <w:b/>
          <w:bCs/>
          <w:sz w:val="24"/>
          <w:szCs w:val="24"/>
        </w:rPr>
        <w:t>Phase III: Automated Enforcement and Execution</w:t>
      </w:r>
    </w:p>
    <w:p w14:paraId="52C96D66" w14:textId="30683188" w:rsidR="00995639" w:rsidRPr="00BD0B05" w:rsidRDefault="00995639" w:rsidP="006D7FF9">
      <w:pPr>
        <w:spacing w:line="276" w:lineRule="auto"/>
        <w:jc w:val="both"/>
        <w:rPr>
          <w:rFonts w:ascii="Times New Roman" w:hAnsi="Times New Roman" w:cs="Times New Roman"/>
          <w:sz w:val="24"/>
          <w:szCs w:val="24"/>
        </w:rPr>
      </w:pPr>
      <w:r w:rsidRPr="00BD0B05">
        <w:rPr>
          <w:rFonts w:ascii="Times New Roman" w:hAnsi="Times New Roman" w:cs="Times New Roman"/>
          <w:sz w:val="24"/>
          <w:szCs w:val="24"/>
        </w:rPr>
        <w:t xml:space="preserve">Operational execution is governed by programmatic disbursement. The methodology enforces a </w:t>
      </w:r>
      <w:r w:rsidR="008405A2" w:rsidRPr="00BD0B05">
        <w:rPr>
          <w:rFonts w:ascii="Times New Roman" w:hAnsi="Times New Roman" w:cs="Times New Roman"/>
          <w:sz w:val="24"/>
          <w:szCs w:val="24"/>
        </w:rPr>
        <w:t>“</w:t>
      </w:r>
      <w:r w:rsidRPr="00BD0B05">
        <w:rPr>
          <w:rFonts w:ascii="Times New Roman" w:hAnsi="Times New Roman" w:cs="Times New Roman"/>
          <w:sz w:val="24"/>
          <w:szCs w:val="24"/>
        </w:rPr>
        <w:t>Purpose-Bound Money</w:t>
      </w:r>
      <w:r w:rsidR="008405A2" w:rsidRPr="00BD0B05">
        <w:rPr>
          <w:rFonts w:ascii="Times New Roman" w:hAnsi="Times New Roman" w:cs="Times New Roman"/>
          <w:sz w:val="24"/>
          <w:szCs w:val="24"/>
        </w:rPr>
        <w:t>”</w:t>
      </w:r>
      <w:r w:rsidRPr="00BD0B05">
        <w:rPr>
          <w:rFonts w:ascii="Times New Roman" w:hAnsi="Times New Roman" w:cs="Times New Roman"/>
          <w:sz w:val="24"/>
          <w:szCs w:val="24"/>
        </w:rPr>
        <w:t xml:space="preserve"> approach, where capital is digitally ring-fenced for specific agricultural inputs, validated against the crop cycle identified in Phase I.</w:t>
      </w:r>
    </w:p>
    <w:p w14:paraId="1476B321" w14:textId="77777777" w:rsidR="00995639" w:rsidRPr="00BD0B05" w:rsidRDefault="00995639" w:rsidP="006D7FF9">
      <w:pPr>
        <w:spacing w:line="276" w:lineRule="auto"/>
        <w:jc w:val="both"/>
        <w:rPr>
          <w:rFonts w:ascii="Times New Roman" w:hAnsi="Times New Roman" w:cs="Times New Roman"/>
          <w:b/>
          <w:bCs/>
          <w:sz w:val="24"/>
          <w:szCs w:val="24"/>
        </w:rPr>
      </w:pPr>
      <w:r w:rsidRPr="00BD0B05">
        <w:rPr>
          <w:rFonts w:ascii="Times New Roman" w:hAnsi="Times New Roman" w:cs="Times New Roman"/>
          <w:b/>
          <w:bCs/>
          <w:sz w:val="24"/>
          <w:szCs w:val="24"/>
        </w:rPr>
        <w:t>Phase IV: Closed-Loop Optimization</w:t>
      </w:r>
    </w:p>
    <w:p w14:paraId="28C2C0FF" w14:textId="683D566F" w:rsidR="00995639" w:rsidRPr="00BD0B05" w:rsidRDefault="00995639" w:rsidP="006D7FF9">
      <w:pPr>
        <w:spacing w:line="276" w:lineRule="auto"/>
        <w:jc w:val="both"/>
        <w:rPr>
          <w:rFonts w:ascii="Times New Roman" w:hAnsi="Times New Roman" w:cs="Times New Roman"/>
          <w:sz w:val="24"/>
          <w:szCs w:val="24"/>
        </w:rPr>
      </w:pPr>
      <w:r w:rsidRPr="00BD0B05">
        <w:rPr>
          <w:rFonts w:ascii="Times New Roman" w:hAnsi="Times New Roman" w:cs="Times New Roman"/>
          <w:sz w:val="24"/>
          <w:szCs w:val="24"/>
        </w:rPr>
        <w:t>The final phase involves Continuous Performance Calibration. The system monitors the Portfolio at Risk (PAR) and Default Clustering. These outputs are not merely reported but are programmatically fed back into the Intelligence Layer to refine future eligibility thresholds.</w:t>
      </w:r>
    </w:p>
    <w:p w14:paraId="49136176" w14:textId="51175656" w:rsidR="003831DA" w:rsidRPr="00BD0B05" w:rsidRDefault="00995639" w:rsidP="006D7FF9">
      <w:pPr>
        <w:pStyle w:val="NormalWeb"/>
        <w:spacing w:line="276" w:lineRule="auto"/>
        <w:jc w:val="both"/>
      </w:pPr>
      <w:r w:rsidRPr="00BD0B05">
        <w:t>The methodology ensures that every transaction reinforces the system. A farmer’s successful repayment doesn</w:t>
      </w:r>
      <w:r w:rsidR="003831DA" w:rsidRPr="00BD0B05">
        <w:t>’</w:t>
      </w:r>
      <w:r w:rsidRPr="00BD0B05">
        <w:t xml:space="preserve">t </w:t>
      </w:r>
      <w:r w:rsidR="003831DA" w:rsidRPr="00BD0B05">
        <w:t xml:space="preserve">only </w:t>
      </w:r>
      <w:r w:rsidRPr="00BD0B05">
        <w:t>just clear their debt</w:t>
      </w:r>
      <w:r w:rsidR="003831DA" w:rsidRPr="00BD0B05">
        <w:t xml:space="preserve">, </w:t>
      </w:r>
      <w:r w:rsidRPr="00BD0B05">
        <w:t xml:space="preserve">it automatically improves the Reliability Index of their entire </w:t>
      </w:r>
      <w:r w:rsidR="009D5936" w:rsidRPr="00BD0B05">
        <w:t>process</w:t>
      </w:r>
      <w:r w:rsidRPr="00BD0B05">
        <w:t>, lowering the barrier for the next applicant.</w:t>
      </w:r>
      <w:r w:rsidR="003831DA" w:rsidRPr="00BD0B05">
        <w:t xml:space="preserve"> These requirements are operationalised into a conceptual yet structured ICT-based automated architecture during the </w:t>
      </w:r>
      <w:r w:rsidR="00F72920" w:rsidRPr="00BD0B05">
        <w:t>model</w:t>
      </w:r>
      <w:r w:rsidR="003831DA" w:rsidRPr="00BD0B05">
        <w:t xml:space="preserve"> design phase. To ensure adaptation across diverse institutional and technological environments, the framework emphasizes modularity, interoperability and rule-based automation.</w:t>
      </w:r>
    </w:p>
    <w:p w14:paraId="37EDB37E" w14:textId="50EF9B0E" w:rsidR="00C701EA" w:rsidRPr="00BD0B05" w:rsidRDefault="00C701EA" w:rsidP="006D7FF9">
      <w:pPr>
        <w:pStyle w:val="NormalWeb"/>
        <w:spacing w:line="276" w:lineRule="auto"/>
        <w:jc w:val="both"/>
      </w:pPr>
      <w:r w:rsidRPr="00BD0B05">
        <w:lastRenderedPageBreak/>
        <w:t xml:space="preserve">This methodical process produced the five-layer automated </w:t>
      </w:r>
      <w:r w:rsidR="00D0104A" w:rsidRPr="00BD0B05">
        <w:t xml:space="preserve">framework illustrated </w:t>
      </w:r>
      <w:r w:rsidRPr="00BD0B05">
        <w:t xml:space="preserve">in Figure 1 and </w:t>
      </w:r>
      <w:r w:rsidR="00D0104A" w:rsidRPr="00BD0B05">
        <w:t xml:space="preserve">described </w:t>
      </w:r>
      <w:r w:rsidRPr="00BD0B05">
        <w:t>below.</w:t>
      </w:r>
    </w:p>
    <w:p w14:paraId="4E11936F" w14:textId="574BC42E" w:rsidR="00621EBC" w:rsidRPr="00BD0B05" w:rsidRDefault="006A3F93" w:rsidP="006D7FF9">
      <w:pPr>
        <w:pStyle w:val="NormalWeb"/>
        <w:spacing w:line="276" w:lineRule="auto"/>
        <w:jc w:val="both"/>
        <w:rPr>
          <w:b/>
          <w:bCs/>
        </w:rPr>
      </w:pPr>
      <w:bookmarkStart w:id="2" w:name="_Hlk225169820"/>
      <w:r w:rsidRPr="00BD0B05">
        <w:rPr>
          <w:b/>
          <w:bCs/>
        </w:rPr>
        <w:t>3</w:t>
      </w:r>
      <w:r w:rsidR="00621EBC" w:rsidRPr="00BD0B05">
        <w:rPr>
          <w:b/>
          <w:bCs/>
        </w:rPr>
        <w:t>.</w:t>
      </w:r>
      <w:r w:rsidRPr="00BD0B05">
        <w:rPr>
          <w:b/>
          <w:bCs/>
        </w:rPr>
        <w:t>2</w:t>
      </w:r>
      <w:r w:rsidR="00621EBC" w:rsidRPr="00BD0B05">
        <w:rPr>
          <w:b/>
          <w:bCs/>
        </w:rPr>
        <w:t xml:space="preserve"> Proposed ICT-Based Automated Framework</w:t>
      </w:r>
    </w:p>
    <w:p w14:paraId="1E038DBD" w14:textId="502714FD" w:rsidR="00391397" w:rsidRPr="00BD0B05" w:rsidRDefault="00B81C39" w:rsidP="006D7FF9">
      <w:pPr>
        <w:pStyle w:val="NormalWeb"/>
        <w:spacing w:line="276" w:lineRule="auto"/>
        <w:jc w:val="both"/>
      </w:pPr>
      <w:r w:rsidRPr="00BD0B05">
        <w:t xml:space="preserve">The proposed framework is structured as a five-layer automated </w:t>
      </w:r>
      <w:r w:rsidR="00AF65D6" w:rsidRPr="00BD0B05">
        <w:t xml:space="preserve">modular </w:t>
      </w:r>
      <w:r w:rsidRPr="00BD0B05">
        <w:t xml:space="preserve">ecosystem that directly </w:t>
      </w:r>
      <w:r w:rsidR="00724D8D" w:rsidRPr="00BD0B05">
        <w:t xml:space="preserve">addresses </w:t>
      </w:r>
      <w:r w:rsidRPr="00BD0B05">
        <w:t>to the systemic agricultural finance constraints synthesized in Table 1. Each layer corresponds to a documented problem in the literature and operationalizes a targeted intervention</w:t>
      </w:r>
      <w:r w:rsidR="00724D8D" w:rsidRPr="00BD0B05">
        <w:t>, ensuring a clear traceability between identified gaps and system functionality</w:t>
      </w:r>
      <w:r w:rsidRPr="00BD0B05">
        <w:t xml:space="preserve">. </w:t>
      </w:r>
      <w:r w:rsidR="00391397" w:rsidRPr="00BD0B05">
        <w:t xml:space="preserve">The </w:t>
      </w:r>
      <w:r w:rsidR="00724D8D" w:rsidRPr="00BD0B05">
        <w:t xml:space="preserve">layered </w:t>
      </w:r>
      <w:r w:rsidR="00391397" w:rsidRPr="00BD0B05">
        <w:t>architecture separates access mechanisms from core processing logic, thereby enhancing flexibility, interoperability and resilience in low-infrastructure environments. This layered design supports inclusivity while maintaining consistency in data processing, decision-making and execution.</w:t>
      </w:r>
    </w:p>
    <w:p w14:paraId="68D41363" w14:textId="186108B0" w:rsidR="00A902DC" w:rsidRPr="00BD0B05" w:rsidRDefault="00612416" w:rsidP="006D7FF9">
      <w:pPr>
        <w:pStyle w:val="NormalWeb"/>
        <w:spacing w:line="276" w:lineRule="auto"/>
        <w:jc w:val="both"/>
      </w:pPr>
      <w:r w:rsidRPr="00BD0B05">
        <w:rPr>
          <w:noProof/>
          <w:lang w:val="en-IN" w:eastAsia="en-IN"/>
        </w:rPr>
        <w:drawing>
          <wp:inline distT="0" distB="0" distL="0" distR="0" wp14:anchorId="4068E471" wp14:editId="1BCA9B6D">
            <wp:extent cx="5943600" cy="8394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39470"/>
                    </a:xfrm>
                    <a:prstGeom prst="rect">
                      <a:avLst/>
                    </a:prstGeom>
                    <a:noFill/>
                    <a:ln>
                      <a:noFill/>
                    </a:ln>
                  </pic:spPr>
                </pic:pic>
              </a:graphicData>
            </a:graphic>
          </wp:inline>
        </w:drawing>
      </w:r>
    </w:p>
    <w:p w14:paraId="7D5C0EB1" w14:textId="18FA3E6A" w:rsidR="00621EBC" w:rsidRPr="00BD0B05" w:rsidRDefault="00621EBC" w:rsidP="006D7FF9">
      <w:pPr>
        <w:pStyle w:val="NormalWeb"/>
        <w:spacing w:line="276" w:lineRule="auto"/>
        <w:jc w:val="center"/>
        <w:rPr>
          <w:b/>
          <w:bCs/>
        </w:rPr>
      </w:pPr>
      <w:r w:rsidRPr="00BD0B05">
        <w:rPr>
          <w:b/>
          <w:bCs/>
        </w:rPr>
        <w:t xml:space="preserve">Figure 1: </w:t>
      </w:r>
      <w:r w:rsidR="00612416" w:rsidRPr="00BD0B05">
        <w:rPr>
          <w:b/>
          <w:bCs/>
        </w:rPr>
        <w:t xml:space="preserve">Simplified Flow of the </w:t>
      </w:r>
      <w:r w:rsidRPr="00BD0B05">
        <w:rPr>
          <w:b/>
          <w:bCs/>
        </w:rPr>
        <w:t>Proposed Multi-Layered Architectural Framework for Automated Agri-Fintech Integration (AAFI) in Nigeria</w:t>
      </w:r>
    </w:p>
    <w:p w14:paraId="52334E18" w14:textId="48F7F671" w:rsidR="00AE2073" w:rsidRPr="00BD0B05" w:rsidRDefault="009F41DA" w:rsidP="006D7FF9">
      <w:pPr>
        <w:pStyle w:val="NormalWeb"/>
        <w:spacing w:line="276" w:lineRule="auto"/>
        <w:jc w:val="both"/>
      </w:pPr>
      <w:r w:rsidRPr="00BD0B05">
        <w:t xml:space="preserve">Figure 1 illustrates a </w:t>
      </w:r>
      <w:r w:rsidR="00724D8D" w:rsidRPr="00BD0B05">
        <w:t>closed-loop automated decision system structured across five interdependent layers</w:t>
      </w:r>
      <w:r w:rsidRPr="00BD0B05">
        <w:t xml:space="preserve">. The framework follows a sequential flow from stakeholder data capture to system-wide monitoring, with each layer performing a distinct functional role. Layer 1 structures and validates multi-source farmer and cooperative data into standardized machine-readable formats. Layer 2 enables interoperable access through multi-channel interfaces and API-driven integration with external systems. Layer 3 embeds rule-based and analytical intelligence to generate a standardized decision object through automated risk assessment and anomaly detection. </w:t>
      </w:r>
      <w:r w:rsidR="00724D8D" w:rsidRPr="00BD0B05">
        <w:t xml:space="preserve">Layer 4 translates these decisions into secure and conditional financial execution, incorporating validation, disbursement control and audit mechanisms. </w:t>
      </w:r>
      <w:r w:rsidRPr="00BD0B05">
        <w:t>Layer 5 evaluates system performance, generates early warning signals, and updates model parameters through a continuous feedback loop</w:t>
      </w:r>
      <w:r w:rsidR="00AE2073" w:rsidRPr="00BD0B05">
        <w:t xml:space="preserve"> that feeds back into the intelligence layer</w:t>
      </w:r>
      <w:r w:rsidRPr="00BD0B05">
        <w:t>.</w:t>
      </w:r>
    </w:p>
    <w:p w14:paraId="7BF1D429" w14:textId="21CC9277" w:rsidR="00C21773" w:rsidRPr="00BD0B05" w:rsidRDefault="00C21773" w:rsidP="006D7FF9">
      <w:pPr>
        <w:pStyle w:val="NormalWeb"/>
        <w:spacing w:line="276" w:lineRule="auto"/>
        <w:jc w:val="both"/>
      </w:pPr>
      <w:r w:rsidRPr="00BD0B05">
        <w:t xml:space="preserve">This closed-loop configuration ensures traceability, adaptability and scalability, particularly within low-connectivity agricultural finance environments. Figures 2 to </w:t>
      </w:r>
      <w:r w:rsidR="00CB6F26" w:rsidRPr="00BD0B05">
        <w:t>5</w:t>
      </w:r>
      <w:r w:rsidRPr="00BD0B05">
        <w:t xml:space="preserve"> provide detailed representations of each layer and their internal functional components.</w:t>
      </w:r>
    </w:p>
    <w:bookmarkEnd w:id="2"/>
    <w:p w14:paraId="60ADD472" w14:textId="77777777" w:rsidR="00FD159F" w:rsidRPr="00BD0B05" w:rsidRDefault="00FD159F" w:rsidP="006D7FF9">
      <w:pPr>
        <w:pStyle w:val="NormalWeb"/>
        <w:spacing w:line="276" w:lineRule="auto"/>
        <w:jc w:val="both"/>
        <w:rPr>
          <w:b/>
          <w:bCs/>
        </w:rPr>
      </w:pPr>
      <w:r w:rsidRPr="00BD0B05">
        <w:rPr>
          <w:b/>
          <w:bCs/>
        </w:rPr>
        <w:t>1. Stakeholder &amp; Data Input Layer</w:t>
      </w:r>
    </w:p>
    <w:p w14:paraId="0950B2BE" w14:textId="3D6D23B3" w:rsidR="00B81C39" w:rsidRDefault="00B81C39" w:rsidP="006D7FF9">
      <w:pPr>
        <w:pStyle w:val="NormalWeb"/>
        <w:spacing w:line="276" w:lineRule="auto"/>
        <w:jc w:val="both"/>
      </w:pPr>
      <w:r w:rsidRPr="00BD0B05">
        <w:lastRenderedPageBreak/>
        <w:t>This layer addresses institutional voids and the identity gap that limit smallholder participation in formal finance systems.</w:t>
      </w:r>
      <w:r w:rsidR="00CC4EC3" w:rsidRPr="00BD0B05">
        <w:t xml:space="preserve"> Many farmers lack structured production records and verifiable digital identities, as </w:t>
      </w:r>
      <w:r w:rsidR="00033340" w:rsidRPr="00BD0B05">
        <w:t xml:space="preserve">documented in </w:t>
      </w:r>
      <w:r w:rsidR="00CC4EC3" w:rsidRPr="00BD0B05">
        <w:t xml:space="preserve">the literature, which makes trust-building and profiling </w:t>
      </w:r>
      <w:r w:rsidR="00033340" w:rsidRPr="00BD0B05">
        <w:t>difficult.</w:t>
      </w:r>
    </w:p>
    <w:p w14:paraId="5D8A51B4" w14:textId="03ED8729" w:rsidR="00AF65D6" w:rsidRPr="00BD0B05" w:rsidRDefault="00B81C39" w:rsidP="006D7FF9">
      <w:pPr>
        <w:pStyle w:val="NormalWeb"/>
        <w:spacing w:line="276" w:lineRule="auto"/>
        <w:jc w:val="both"/>
      </w:pPr>
      <w:r w:rsidRPr="00BD0B05">
        <w:t xml:space="preserve">To resolve this constraint, the framework integrates structured digital farmer profiles linked to </w:t>
      </w:r>
      <w:r w:rsidR="00033340" w:rsidRPr="00BD0B05">
        <w:t xml:space="preserve">National Identification Systems (NIS) </w:t>
      </w:r>
      <w:r w:rsidRPr="00BD0B05">
        <w:t>and validated through cooperative level authentication.</w:t>
      </w:r>
      <w:r w:rsidR="000F1AA2" w:rsidRPr="00BD0B05">
        <w:t xml:space="preserve"> </w:t>
      </w:r>
      <w:r w:rsidRPr="00BD0B05">
        <w:t xml:space="preserve">Core data inputs include farmer identity records, cooperative membership details, farm characteristics, production histories and transaction information. </w:t>
      </w:r>
      <w:r w:rsidR="00CC4EC3" w:rsidRPr="00BD0B05">
        <w:t xml:space="preserve">This layer </w:t>
      </w:r>
      <w:r w:rsidR="00F53CE7" w:rsidRPr="00BD0B05">
        <w:t xml:space="preserve">serves </w:t>
      </w:r>
      <w:r w:rsidR="0038736A" w:rsidRPr="00BD0B05">
        <w:t xml:space="preserve">as the primary ingestion engine. It </w:t>
      </w:r>
      <w:r w:rsidR="00033340" w:rsidRPr="00BD0B05">
        <w:t xml:space="preserve">establishes </w:t>
      </w:r>
      <w:r w:rsidR="00CC4EC3" w:rsidRPr="00BD0B05">
        <w:t xml:space="preserve">a </w:t>
      </w:r>
      <w:r w:rsidR="00033340" w:rsidRPr="00BD0B05">
        <w:t>trusted and verifiable</w:t>
      </w:r>
      <w:r w:rsidR="00CC4EC3" w:rsidRPr="00BD0B05">
        <w:t xml:space="preserve"> data foundation for subsequent credit assessment and monitoring procedures by standardising and digitising these inputs at the entry point</w:t>
      </w:r>
      <w:r w:rsidR="0038736A" w:rsidRPr="00BD0B05">
        <w:t xml:space="preserve"> </w:t>
      </w:r>
      <w:r w:rsidR="00AF65D6" w:rsidRPr="00BD0B05">
        <w:t>through plausibility checks (</w:t>
      </w:r>
      <w:proofErr w:type="spellStart"/>
      <w:r w:rsidR="0038736A" w:rsidRPr="00BD0B05">
        <w:rPr>
          <w:i/>
          <w:iCs/>
        </w:rPr>
        <w:t>FarmSize</w:t>
      </w:r>
      <w:proofErr w:type="spellEnd"/>
      <w:r w:rsidR="0038736A" w:rsidRPr="00BD0B05">
        <w:t xml:space="preserve"> X </w:t>
      </w:r>
      <w:proofErr w:type="spellStart"/>
      <w:r w:rsidR="0038736A" w:rsidRPr="00BD0B05">
        <w:rPr>
          <w:i/>
          <w:iCs/>
        </w:rPr>
        <w:t>ExpectedYield</w:t>
      </w:r>
      <w:proofErr w:type="spellEnd"/>
      <w:r w:rsidR="00AF65D6" w:rsidRPr="00BD0B05">
        <w:t>), ensuring that only verified, machine-readable profiles enter the system.</w:t>
      </w:r>
      <w:r w:rsidR="000F1AA2" w:rsidRPr="00BD0B05">
        <w:t xml:space="preserve"> This is illustrated in figure 2. Figure 2 captures the operations of both layer 1 and 2.</w:t>
      </w:r>
    </w:p>
    <w:p w14:paraId="1A237E2B" w14:textId="77777777" w:rsidR="00FD159F" w:rsidRPr="00BD0B05" w:rsidRDefault="00FD159F" w:rsidP="006D7FF9">
      <w:pPr>
        <w:pStyle w:val="NormalWeb"/>
        <w:spacing w:line="276" w:lineRule="auto"/>
        <w:jc w:val="both"/>
        <w:rPr>
          <w:b/>
          <w:bCs/>
        </w:rPr>
      </w:pPr>
      <w:r w:rsidRPr="00BD0B05">
        <w:rPr>
          <w:b/>
          <w:bCs/>
        </w:rPr>
        <w:t>2. ICT Access &amp; Integration Layer</w:t>
      </w:r>
    </w:p>
    <w:p w14:paraId="55915F2B" w14:textId="3BD65FDE" w:rsidR="003B5067" w:rsidRPr="00BD0B05" w:rsidRDefault="003B5067" w:rsidP="006D7FF9">
      <w:pPr>
        <w:pStyle w:val="NormalWeb"/>
        <w:spacing w:line="276" w:lineRule="auto"/>
        <w:jc w:val="both"/>
      </w:pPr>
      <w:r w:rsidRPr="00BD0B05">
        <w:t>This layer responds to the last mile infrastructure gap that excludes rural farmers due to limited smartphone ownership, weak connectivity and poor platform interoperability.</w:t>
      </w:r>
      <w:r w:rsidR="0038736A" w:rsidRPr="00BD0B05">
        <w:t xml:space="preserve"> Is serves as an abstraction layer that provides channel-agnosticism.</w:t>
      </w:r>
    </w:p>
    <w:p w14:paraId="7696883B" w14:textId="77777777" w:rsidR="00BD0B05" w:rsidRPr="00BD0B05" w:rsidRDefault="00BD0B05" w:rsidP="006D7FF9">
      <w:pPr>
        <w:pStyle w:val="NormalWeb"/>
        <w:spacing w:line="276" w:lineRule="auto"/>
        <w:jc w:val="both"/>
      </w:pPr>
      <w:r w:rsidRPr="00BD0B05">
        <w:rPr>
          <w:noProof/>
          <w:lang w:val="en-IN" w:eastAsia="en-IN"/>
        </w:rPr>
        <w:lastRenderedPageBreak/>
        <w:drawing>
          <wp:inline distT="0" distB="0" distL="0" distR="0" wp14:anchorId="6460DB83" wp14:editId="72D21E22">
            <wp:extent cx="6021341" cy="457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aturation sat="200000"/>
                              </a14:imgEffect>
                            </a14:imgLayer>
                          </a14:imgProps>
                        </a:ext>
                        <a:ext uri="{28A0092B-C50C-407E-A947-70E740481C1C}">
                          <a14:useLocalDpi xmlns:a14="http://schemas.microsoft.com/office/drawing/2010/main" val="0"/>
                        </a:ext>
                      </a:extLst>
                    </a:blip>
                    <a:srcRect r="2322"/>
                    <a:stretch/>
                  </pic:blipFill>
                  <pic:spPr bwMode="auto">
                    <a:xfrm>
                      <a:off x="0" y="0"/>
                      <a:ext cx="6021341" cy="4572000"/>
                    </a:xfrm>
                    <a:prstGeom prst="rect">
                      <a:avLst/>
                    </a:prstGeom>
                    <a:noFill/>
                    <a:ln>
                      <a:noFill/>
                    </a:ln>
                    <a:extLst>
                      <a:ext uri="{53640926-AAD7-44D8-BBD7-CCE9431645EC}">
                        <a14:shadowObscured xmlns:a14="http://schemas.microsoft.com/office/drawing/2010/main"/>
                      </a:ext>
                    </a:extLst>
                  </pic:spPr>
                </pic:pic>
              </a:graphicData>
            </a:graphic>
          </wp:inline>
        </w:drawing>
      </w:r>
    </w:p>
    <w:p w14:paraId="07F530E1" w14:textId="77777777" w:rsidR="00BD0B05" w:rsidRPr="00BD0B05" w:rsidRDefault="00BD0B05" w:rsidP="006D7FF9">
      <w:pPr>
        <w:pStyle w:val="NormalWeb"/>
        <w:spacing w:line="276" w:lineRule="auto"/>
        <w:jc w:val="center"/>
        <w:rPr>
          <w:b/>
          <w:bCs/>
        </w:rPr>
      </w:pPr>
      <w:r w:rsidRPr="00BD0B05">
        <w:rPr>
          <w:b/>
          <w:bCs/>
        </w:rPr>
        <w:t>Figure 2: Stakeholder &amp; Data Input Layer and ICT Access &amp; Integration Layer</w:t>
      </w:r>
    </w:p>
    <w:p w14:paraId="480EF760" w14:textId="5A6B6916" w:rsidR="00CC4EC3" w:rsidRPr="00BD0B05" w:rsidRDefault="00CC4EC3" w:rsidP="006D7FF9">
      <w:pPr>
        <w:pStyle w:val="NormalWeb"/>
        <w:spacing w:line="276" w:lineRule="auto"/>
        <w:jc w:val="both"/>
      </w:pPr>
      <w:r w:rsidRPr="00BD0B05">
        <w:t xml:space="preserve">In addition to mobile and web platforms for users with </w:t>
      </w:r>
      <w:r w:rsidR="002C7525" w:rsidRPr="00BD0B05">
        <w:t xml:space="preserve">higher </w:t>
      </w:r>
      <w:r w:rsidRPr="00BD0B05">
        <w:t xml:space="preserve">capabilities, the framework allows multi-channel system participation through USSD and SMS interfaces that operate in low bandwidth environments. </w:t>
      </w:r>
      <w:r w:rsidR="009D7B03" w:rsidRPr="00BD0B05">
        <w:t xml:space="preserve">It translates the heterogeneous inputs (USSD, SMS, Web) into a unified internal API schema, removing device-dependency as a barrier to credit. </w:t>
      </w:r>
      <w:r w:rsidRPr="00BD0B05">
        <w:t xml:space="preserve">To </w:t>
      </w:r>
      <w:r w:rsidR="00DA7CEC" w:rsidRPr="00BD0B05">
        <w:t>ensure</w:t>
      </w:r>
      <w:r w:rsidRPr="00BD0B05">
        <w:t xml:space="preserve"> </w:t>
      </w:r>
      <w:r w:rsidR="00DA7CEC" w:rsidRPr="00BD0B05">
        <w:t xml:space="preserve">seamless </w:t>
      </w:r>
      <w:r w:rsidRPr="00BD0B05">
        <w:t>data exchange, cooperative databases, financial institutions and payment platforms are connected via interoperable application programming interfaces.</w:t>
      </w:r>
      <w:r w:rsidR="00DA7CEC" w:rsidRPr="00BD0B05">
        <w:t xml:space="preserve"> By separating system participation from smartphone dependency and continuous internet access, this layer guarantee inclusive access across diverse infrastructure conditions.</w:t>
      </w:r>
    </w:p>
    <w:p w14:paraId="0F9D317D" w14:textId="77777777" w:rsidR="00FD159F" w:rsidRPr="00BD0B05" w:rsidRDefault="00FD159F" w:rsidP="006D7FF9">
      <w:pPr>
        <w:pStyle w:val="NormalWeb"/>
        <w:spacing w:line="276" w:lineRule="auto"/>
        <w:jc w:val="both"/>
        <w:rPr>
          <w:b/>
          <w:bCs/>
        </w:rPr>
      </w:pPr>
      <w:r w:rsidRPr="00BD0B05">
        <w:rPr>
          <w:b/>
          <w:bCs/>
        </w:rPr>
        <w:t>3. Automation &amp; Intelligence Layer</w:t>
      </w:r>
    </w:p>
    <w:p w14:paraId="78152DAE" w14:textId="02149E39" w:rsidR="00342DAC" w:rsidRPr="00BD0B05" w:rsidRDefault="003B5067" w:rsidP="006D7FF9">
      <w:pPr>
        <w:pStyle w:val="NormalWeb"/>
        <w:spacing w:line="276" w:lineRule="auto"/>
        <w:jc w:val="both"/>
      </w:pPr>
      <w:r w:rsidRPr="00BD0B05">
        <w:t xml:space="preserve">This </w:t>
      </w:r>
      <w:r w:rsidR="009D7B03" w:rsidRPr="00BD0B05">
        <w:t xml:space="preserve">is the computational core </w:t>
      </w:r>
      <w:r w:rsidRPr="00BD0B05">
        <w:t>layer</w:t>
      </w:r>
      <w:r w:rsidR="009D7B03" w:rsidRPr="00BD0B05">
        <w:t xml:space="preserve">. </w:t>
      </w:r>
      <w:r w:rsidR="000F1AA2" w:rsidRPr="00BD0B05">
        <w:t xml:space="preserve">Figure 3 shows how this layer </w:t>
      </w:r>
      <w:r w:rsidRPr="00BD0B05">
        <w:t xml:space="preserve">targets information asymmetry and the limitations of traditional collateral-based credit scoring models that are unsuitable for informal agricultural </w:t>
      </w:r>
      <w:r w:rsidR="009D7B03" w:rsidRPr="00BD0B05">
        <w:t>processes</w:t>
      </w:r>
      <w:r w:rsidRPr="00BD0B05">
        <w:t>.</w:t>
      </w:r>
    </w:p>
    <w:p w14:paraId="7AF51421" w14:textId="0539BF59" w:rsidR="005B3FDF" w:rsidRPr="00BD0B05" w:rsidRDefault="004C07E7" w:rsidP="006D7FF9">
      <w:pPr>
        <w:pStyle w:val="NormalWeb"/>
        <w:spacing w:line="276" w:lineRule="auto"/>
        <w:jc w:val="center"/>
      </w:pPr>
      <w:r w:rsidRPr="00BD0B05">
        <w:rPr>
          <w:noProof/>
          <w:lang w:val="en-IN" w:eastAsia="en-IN"/>
        </w:rPr>
        <w:lastRenderedPageBreak/>
        <w:drawing>
          <wp:inline distT="0" distB="0" distL="0" distR="0" wp14:anchorId="6404E0F8" wp14:editId="26A8C4BF">
            <wp:extent cx="5842052" cy="61560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842052" cy="6156000"/>
                    </a:xfrm>
                    <a:prstGeom prst="rect">
                      <a:avLst/>
                    </a:prstGeom>
                    <a:noFill/>
                    <a:ln>
                      <a:noFill/>
                    </a:ln>
                  </pic:spPr>
                </pic:pic>
              </a:graphicData>
            </a:graphic>
          </wp:inline>
        </w:drawing>
      </w:r>
    </w:p>
    <w:p w14:paraId="60C14BEF" w14:textId="77ED1CCD" w:rsidR="00A431CA" w:rsidRPr="00BD0B05" w:rsidRDefault="00A431CA" w:rsidP="006D7FF9">
      <w:pPr>
        <w:pStyle w:val="NormalWeb"/>
        <w:spacing w:line="276" w:lineRule="auto"/>
        <w:jc w:val="center"/>
        <w:rPr>
          <w:b/>
          <w:bCs/>
        </w:rPr>
      </w:pPr>
      <w:r w:rsidRPr="00BD0B05">
        <w:rPr>
          <w:b/>
          <w:bCs/>
        </w:rPr>
        <w:t>Figure</w:t>
      </w:r>
      <w:r w:rsidR="00CB6F26" w:rsidRPr="00BD0B05">
        <w:rPr>
          <w:b/>
          <w:bCs/>
        </w:rPr>
        <w:t xml:space="preserve"> 3</w:t>
      </w:r>
      <w:r w:rsidRPr="00BD0B05">
        <w:rPr>
          <w:b/>
          <w:bCs/>
        </w:rPr>
        <w:t>: Automation &amp; Intelligence Layer</w:t>
      </w:r>
    </w:p>
    <w:p w14:paraId="0447D219" w14:textId="5ED1D4C9" w:rsidR="00342DAC" w:rsidRPr="00BD0B05" w:rsidRDefault="009D7B03" w:rsidP="006D7FF9">
      <w:pPr>
        <w:pStyle w:val="NormalWeb"/>
        <w:spacing w:line="276" w:lineRule="auto"/>
        <w:jc w:val="both"/>
      </w:pPr>
      <w:r w:rsidRPr="00BD0B05">
        <w:t xml:space="preserve">It utilizes a bifurcated decision logic by first applying deterministic eligibility filters, then executing probabilistic risk-scoring algorithms to generate context-aware financing recommendations. </w:t>
      </w:r>
      <w:r w:rsidR="00E60B51" w:rsidRPr="00BD0B05">
        <w:t xml:space="preserve">The framework embeds AI driven and rule-based credit assessment mechanisms that integrate alternative agricultural data, including farm size, crop cycles, transaction histories, cooperative performance records and relevant environmental indicators. </w:t>
      </w:r>
      <w:r w:rsidR="003B5067" w:rsidRPr="00BD0B05">
        <w:t xml:space="preserve">Automated eligibility screening and risk scoring replace discretionary and static decision </w:t>
      </w:r>
      <w:r w:rsidR="003B5067" w:rsidRPr="00BD0B05">
        <w:lastRenderedPageBreak/>
        <w:t xml:space="preserve">processes. </w:t>
      </w:r>
      <w:r w:rsidR="00342DAC" w:rsidRPr="00BD0B05">
        <w:t xml:space="preserve">This layer </w:t>
      </w:r>
      <w:r w:rsidR="00E60B51" w:rsidRPr="00BD0B05">
        <w:t xml:space="preserve">converts </w:t>
      </w:r>
      <w:r w:rsidR="00342DAC" w:rsidRPr="00BD0B05">
        <w:t xml:space="preserve">agricultural data into scalable, consistent, and context-aware financial decisions by </w:t>
      </w:r>
      <w:r w:rsidR="00E60B51" w:rsidRPr="00BD0B05">
        <w:t xml:space="preserve">embedding </w:t>
      </w:r>
      <w:r w:rsidR="00342DAC" w:rsidRPr="00BD0B05">
        <w:t xml:space="preserve">intelligence </w:t>
      </w:r>
      <w:r w:rsidR="00E60B51" w:rsidRPr="00BD0B05">
        <w:t xml:space="preserve">within </w:t>
      </w:r>
      <w:r w:rsidR="00342DAC" w:rsidRPr="00BD0B05">
        <w:t>the system architecture.</w:t>
      </w:r>
    </w:p>
    <w:p w14:paraId="3EF37A31" w14:textId="77777777" w:rsidR="00FD159F" w:rsidRPr="00BD0B05" w:rsidRDefault="00FD159F" w:rsidP="006D7FF9">
      <w:pPr>
        <w:pStyle w:val="NormalWeb"/>
        <w:spacing w:line="276" w:lineRule="auto"/>
        <w:jc w:val="both"/>
        <w:rPr>
          <w:b/>
          <w:bCs/>
        </w:rPr>
      </w:pPr>
      <w:r w:rsidRPr="00BD0B05">
        <w:rPr>
          <w:b/>
          <w:bCs/>
        </w:rPr>
        <w:t>4. Secure Transaction &amp; Execution Layer</w:t>
      </w:r>
    </w:p>
    <w:p w14:paraId="3E804B09" w14:textId="092AFCF7" w:rsidR="00E60B51" w:rsidRPr="00BD0B05" w:rsidRDefault="003870A3" w:rsidP="006D7FF9">
      <w:pPr>
        <w:pStyle w:val="NormalWeb"/>
        <w:spacing w:line="276" w:lineRule="auto"/>
        <w:jc w:val="both"/>
      </w:pPr>
      <w:r w:rsidRPr="00BD0B05">
        <w:t>This layer p</w:t>
      </w:r>
      <w:r w:rsidR="009D7B03" w:rsidRPr="00BD0B05">
        <w:t xml:space="preserve">lays the role of the enforcement gate. </w:t>
      </w:r>
      <w:r w:rsidRPr="00BD0B05">
        <w:t xml:space="preserve">It </w:t>
      </w:r>
      <w:r w:rsidR="00800153" w:rsidRPr="00BD0B05">
        <w:t>tackles two persistent weaknesses in agricultural finance delivery systems: moral hazard and loan diversion.</w:t>
      </w:r>
      <w:r w:rsidR="009D7B03" w:rsidRPr="00BD0B05">
        <w:t xml:space="preserve"> </w:t>
      </w:r>
    </w:p>
    <w:p w14:paraId="51374D8C" w14:textId="0B970182" w:rsidR="005B3FDF" w:rsidRPr="00BD0B05" w:rsidRDefault="002C5FDF" w:rsidP="006D7FF9">
      <w:pPr>
        <w:pStyle w:val="NormalWeb"/>
        <w:spacing w:line="276" w:lineRule="auto"/>
        <w:jc w:val="center"/>
      </w:pPr>
      <w:r w:rsidRPr="00BD0B05">
        <w:rPr>
          <w:noProof/>
          <w:lang w:val="en-IN" w:eastAsia="en-IN"/>
        </w:rPr>
        <w:drawing>
          <wp:inline distT="0" distB="0" distL="0" distR="0" wp14:anchorId="40337DCA" wp14:editId="34181D08">
            <wp:extent cx="6014085" cy="5238348"/>
            <wp:effectExtent l="0" t="0" r="571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rcRect r="4500"/>
                    <a:stretch/>
                  </pic:blipFill>
                  <pic:spPr bwMode="auto">
                    <a:xfrm>
                      <a:off x="0" y="0"/>
                      <a:ext cx="6019486" cy="5243052"/>
                    </a:xfrm>
                    <a:prstGeom prst="rect">
                      <a:avLst/>
                    </a:prstGeom>
                    <a:noFill/>
                    <a:ln>
                      <a:noFill/>
                    </a:ln>
                    <a:extLst>
                      <a:ext uri="{53640926-AAD7-44D8-BBD7-CCE9431645EC}">
                        <a14:shadowObscured xmlns:a14="http://schemas.microsoft.com/office/drawing/2010/main"/>
                      </a:ext>
                    </a:extLst>
                  </pic:spPr>
                </pic:pic>
              </a:graphicData>
            </a:graphic>
          </wp:inline>
        </w:drawing>
      </w:r>
    </w:p>
    <w:p w14:paraId="63AC4A44" w14:textId="6ADB6249" w:rsidR="00A431CA" w:rsidRPr="00BD0B05" w:rsidRDefault="00A431CA" w:rsidP="006D7FF9">
      <w:pPr>
        <w:pStyle w:val="NormalWeb"/>
        <w:spacing w:line="276" w:lineRule="auto"/>
        <w:jc w:val="center"/>
        <w:rPr>
          <w:b/>
          <w:bCs/>
        </w:rPr>
      </w:pPr>
      <w:r w:rsidRPr="00BD0B05">
        <w:rPr>
          <w:b/>
          <w:bCs/>
        </w:rPr>
        <w:t>Figure</w:t>
      </w:r>
      <w:r w:rsidR="00CB6F26" w:rsidRPr="00BD0B05">
        <w:rPr>
          <w:b/>
          <w:bCs/>
        </w:rPr>
        <w:t xml:space="preserve"> 4</w:t>
      </w:r>
      <w:r w:rsidRPr="00BD0B05">
        <w:rPr>
          <w:b/>
          <w:bCs/>
        </w:rPr>
        <w:t>: Secure Transaction &amp; Execution Layer</w:t>
      </w:r>
    </w:p>
    <w:p w14:paraId="2E814916" w14:textId="68C46A73" w:rsidR="00342DAC" w:rsidRPr="00BD0B05" w:rsidRDefault="000F1AA2" w:rsidP="006D7FF9">
      <w:pPr>
        <w:pStyle w:val="NormalWeb"/>
        <w:spacing w:line="276" w:lineRule="auto"/>
        <w:jc w:val="both"/>
      </w:pPr>
      <w:r w:rsidRPr="00BD0B05">
        <w:t>As illustrated in figure 4, a</w:t>
      </w:r>
      <w:r w:rsidR="003B5067" w:rsidRPr="00BD0B05">
        <w:t xml:space="preserve">pproved financing is operationalized through controlled and traceable digital disbursement mechanisms. </w:t>
      </w:r>
      <w:r w:rsidR="00C04668" w:rsidRPr="00BD0B05">
        <w:t xml:space="preserve">It transitions the system from “data” to “capital” by utilizing conditional disbursement protocols (e.g., direct-to-supplier transfers), thereby eliminating loan diversion. </w:t>
      </w:r>
      <w:r w:rsidR="00745ECC" w:rsidRPr="00BD0B05">
        <w:t xml:space="preserve">Tokenised or conditional fund release structures guarantee that loans are allocated to </w:t>
      </w:r>
      <w:r w:rsidR="00745ECC" w:rsidRPr="00BD0B05">
        <w:lastRenderedPageBreak/>
        <w:t xml:space="preserve">verified agricultural input suppliers or predefined production purposes.  </w:t>
      </w:r>
      <w:r w:rsidR="003B5067" w:rsidRPr="00BD0B05">
        <w:t xml:space="preserve">Automated repayment scheduling and transaction logging enhance accountability and transparency. By embedding execution controls within the framework, this layer </w:t>
      </w:r>
      <w:r w:rsidR="00745ECC" w:rsidRPr="00BD0B05">
        <w:t xml:space="preserve">boosts </w:t>
      </w:r>
      <w:r w:rsidR="003B5067" w:rsidRPr="00BD0B05">
        <w:t>lender confidence and reduces misuse of funds</w:t>
      </w:r>
      <w:r w:rsidR="00FD159F" w:rsidRPr="00BD0B05">
        <w:t>.</w:t>
      </w:r>
      <w:r w:rsidR="00800153" w:rsidRPr="00BD0B05">
        <w:t xml:space="preserve"> </w:t>
      </w:r>
    </w:p>
    <w:p w14:paraId="613B21DD" w14:textId="77777777" w:rsidR="00FD159F" w:rsidRPr="00BD0B05" w:rsidRDefault="00FD159F" w:rsidP="006D7FF9">
      <w:pPr>
        <w:pStyle w:val="NormalWeb"/>
        <w:spacing w:line="276" w:lineRule="auto"/>
        <w:jc w:val="both"/>
        <w:rPr>
          <w:b/>
          <w:bCs/>
        </w:rPr>
      </w:pPr>
      <w:r w:rsidRPr="00BD0B05">
        <w:rPr>
          <w:b/>
          <w:bCs/>
        </w:rPr>
        <w:t>5. Monitoring &amp; Feedback Layer</w:t>
      </w:r>
    </w:p>
    <w:p w14:paraId="0F039B73" w14:textId="46F5A6B9" w:rsidR="00745ECC" w:rsidRPr="00BD0B05" w:rsidRDefault="0079279D" w:rsidP="006D7FF9">
      <w:pPr>
        <w:pStyle w:val="NormalWeb"/>
        <w:spacing w:line="276" w:lineRule="auto"/>
        <w:jc w:val="both"/>
      </w:pPr>
      <w:r w:rsidRPr="00BD0B05">
        <w:t xml:space="preserve">Figure 5 represents a detailed operation of the monitoring and feedback layer. </w:t>
      </w:r>
      <w:r w:rsidR="00745ECC" w:rsidRPr="00BD0B05">
        <w:t>Th</w:t>
      </w:r>
      <w:r w:rsidR="000F1AA2" w:rsidRPr="00BD0B05">
        <w:t>is</w:t>
      </w:r>
      <w:r w:rsidR="00745ECC" w:rsidRPr="00BD0B05">
        <w:t xml:space="preserve"> layer addresses policy learning gaps and fragmentation across agricultural finance programs.</w:t>
      </w:r>
      <w:r w:rsidR="00C04668" w:rsidRPr="00BD0B05">
        <w:t xml:space="preserve"> </w:t>
      </w:r>
      <w:r w:rsidR="00E11EA6" w:rsidRPr="00BD0B05">
        <w:t xml:space="preserve">It serves as the </w:t>
      </w:r>
      <w:r w:rsidR="00C04668" w:rsidRPr="00BD0B05">
        <w:t>self-optimizing “brain”</w:t>
      </w:r>
      <w:r w:rsidR="00E11EA6" w:rsidRPr="00BD0B05">
        <w:t xml:space="preserve"> of the system.</w:t>
      </w:r>
    </w:p>
    <w:p w14:paraId="259FFE22" w14:textId="67019433" w:rsidR="00491CBA" w:rsidRPr="00BD0B05" w:rsidRDefault="002502DB" w:rsidP="006D7FF9">
      <w:pPr>
        <w:pStyle w:val="NormalWeb"/>
        <w:spacing w:line="276" w:lineRule="auto"/>
        <w:jc w:val="center"/>
      </w:pPr>
      <w:r w:rsidRPr="00BD0B05">
        <w:rPr>
          <w:noProof/>
          <w:lang w:val="en-IN" w:eastAsia="en-IN"/>
        </w:rPr>
        <w:drawing>
          <wp:inline distT="0" distB="0" distL="0" distR="0" wp14:anchorId="59916F0B" wp14:editId="1BEC07F0">
            <wp:extent cx="4968064" cy="514800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BEBA8EAE-BF5A-486C-A8C5-ECC9F3942E4B}">
                          <a14:imgProps xmlns:a14="http://schemas.microsoft.com/office/drawing/2010/main">
                            <a14:imgLayer r:embed="rId16">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68064" cy="5148000"/>
                    </a:xfrm>
                    <a:prstGeom prst="rect">
                      <a:avLst/>
                    </a:prstGeom>
                    <a:noFill/>
                    <a:ln>
                      <a:noFill/>
                    </a:ln>
                  </pic:spPr>
                </pic:pic>
              </a:graphicData>
            </a:graphic>
          </wp:inline>
        </w:drawing>
      </w:r>
    </w:p>
    <w:p w14:paraId="07516412" w14:textId="0B7F1C5B" w:rsidR="00FC79F9" w:rsidRPr="00BD0B05" w:rsidRDefault="00FC79F9" w:rsidP="006D7FF9">
      <w:pPr>
        <w:pStyle w:val="NormalWeb"/>
        <w:spacing w:line="276" w:lineRule="auto"/>
        <w:jc w:val="center"/>
        <w:rPr>
          <w:b/>
          <w:bCs/>
        </w:rPr>
      </w:pPr>
      <w:r w:rsidRPr="00BD0B05">
        <w:rPr>
          <w:b/>
          <w:bCs/>
        </w:rPr>
        <w:t>Figure</w:t>
      </w:r>
      <w:r w:rsidR="00CB6F26" w:rsidRPr="00BD0B05">
        <w:rPr>
          <w:b/>
          <w:bCs/>
        </w:rPr>
        <w:t xml:space="preserve"> 5</w:t>
      </w:r>
      <w:r w:rsidRPr="00BD0B05">
        <w:rPr>
          <w:b/>
          <w:bCs/>
        </w:rPr>
        <w:t xml:space="preserve">: </w:t>
      </w:r>
      <w:r w:rsidR="005B591B" w:rsidRPr="00BD0B05">
        <w:rPr>
          <w:b/>
          <w:bCs/>
        </w:rPr>
        <w:t>Monitoring &amp; Feedback Layer</w:t>
      </w:r>
    </w:p>
    <w:p w14:paraId="33380F38" w14:textId="3DD010B8" w:rsidR="00435286" w:rsidRPr="00BD0B05" w:rsidRDefault="00800153" w:rsidP="006D7FF9">
      <w:pPr>
        <w:pStyle w:val="NormalWeb"/>
        <w:spacing w:line="276" w:lineRule="auto"/>
        <w:jc w:val="both"/>
      </w:pPr>
      <w:r w:rsidRPr="00BD0B05">
        <w:lastRenderedPageBreak/>
        <w:t xml:space="preserve">Data on loan utilisation, payback patterns and farm-level performance are compiled in real-time dashboards. </w:t>
      </w:r>
      <w:r w:rsidR="00C04668" w:rsidRPr="00BD0B05">
        <w:t xml:space="preserve">It monitors real-world repayment outcomes to perform recursive parameter recalibration, updating the risk weights used by Layer 3. </w:t>
      </w:r>
      <w:r w:rsidR="00D42C24" w:rsidRPr="00BD0B05">
        <w:t xml:space="preserve">Automated feedback triggers update risk models and generate early warning signals based on changing agricultural and environmental conditions. </w:t>
      </w:r>
      <w:r w:rsidRPr="00BD0B05">
        <w:t xml:space="preserve">Future credit </w:t>
      </w:r>
      <w:r w:rsidR="00AD0100" w:rsidRPr="00BD0B05">
        <w:t xml:space="preserve">decisions </w:t>
      </w:r>
      <w:r w:rsidRPr="00BD0B05">
        <w:t xml:space="preserve">are improved by feeding performance results back into the automation layer. </w:t>
      </w:r>
      <w:r w:rsidR="00AD0100" w:rsidRPr="00BD0B05">
        <w:t>This closed loop structure transforms the framework into a continuous learning system capable of adaptive and evidence-based decision making.</w:t>
      </w:r>
    </w:p>
    <w:p w14:paraId="381EBCDA" w14:textId="0B505070" w:rsidR="0087023D" w:rsidRPr="00BD0B05" w:rsidRDefault="006A3F93" w:rsidP="006D7FF9">
      <w:pPr>
        <w:pStyle w:val="NormalWeb"/>
        <w:spacing w:line="276" w:lineRule="auto"/>
        <w:jc w:val="both"/>
        <w:rPr>
          <w:b/>
          <w:bCs/>
        </w:rPr>
      </w:pPr>
      <w:r w:rsidRPr="00BD0B05">
        <w:rPr>
          <w:b/>
          <w:bCs/>
        </w:rPr>
        <w:t>4</w:t>
      </w:r>
      <w:r w:rsidR="0087023D" w:rsidRPr="00BD0B05">
        <w:rPr>
          <w:b/>
          <w:bCs/>
        </w:rPr>
        <w:t>. Framework Evaluation</w:t>
      </w:r>
    </w:p>
    <w:p w14:paraId="55A38F88" w14:textId="04555BCA" w:rsidR="0045797C" w:rsidRPr="00BD0B05" w:rsidRDefault="00C036AF" w:rsidP="006D7FF9">
      <w:pPr>
        <w:pStyle w:val="NormalWeb"/>
        <w:spacing w:line="276" w:lineRule="auto"/>
        <w:jc w:val="both"/>
      </w:pPr>
      <w:r w:rsidRPr="00BD0B05">
        <w:t xml:space="preserve">The framework is evaluated analytically in </w:t>
      </w:r>
      <w:r w:rsidR="0045797C" w:rsidRPr="00BD0B05">
        <w:t xml:space="preserve">accordance </w:t>
      </w:r>
      <w:r w:rsidRPr="00BD0B05">
        <w:t xml:space="preserve">with early-stage </w:t>
      </w:r>
      <w:r w:rsidR="0022040D" w:rsidRPr="00BD0B05">
        <w:t>DSR</w:t>
      </w:r>
      <w:r w:rsidRPr="00BD0B05">
        <w:t xml:space="preserve"> principles. Evaluation is based on logical coherence, traceability to </w:t>
      </w:r>
      <w:r w:rsidR="0045797C" w:rsidRPr="00BD0B05">
        <w:t xml:space="preserve">earlier </w:t>
      </w:r>
      <w:r w:rsidRPr="00BD0B05">
        <w:t xml:space="preserve">studies, contextual feasibility and structural completeness. </w:t>
      </w:r>
      <w:r w:rsidR="0045797C" w:rsidRPr="00BD0B05">
        <w:t>There was no empirical testing of the prototype.</w:t>
      </w:r>
      <w:r w:rsidRPr="00BD0B05">
        <w:t xml:space="preserve"> Assessment relies on structured conceptual walkthroughs and systematic mapping to the Literature</w:t>
      </w:r>
      <w:r w:rsidR="0022040D" w:rsidRPr="00BD0B05">
        <w:t>-</w:t>
      </w:r>
      <w:r w:rsidRPr="00BD0B05">
        <w:t xml:space="preserve">Framework Traceability Table (Table </w:t>
      </w:r>
      <w:r w:rsidR="00846436" w:rsidRPr="00BD0B05">
        <w:t>1</w:t>
      </w:r>
      <w:r w:rsidRPr="00BD0B05">
        <w:t>).</w:t>
      </w:r>
    </w:p>
    <w:p w14:paraId="3A32BB60" w14:textId="538D3A9D" w:rsidR="0045797C" w:rsidRPr="00BD0B05" w:rsidRDefault="00C036AF" w:rsidP="006D7FF9">
      <w:pPr>
        <w:pStyle w:val="NormalWeb"/>
        <w:spacing w:line="276" w:lineRule="auto"/>
        <w:jc w:val="both"/>
      </w:pPr>
      <w:r w:rsidRPr="00BD0B05">
        <w:t xml:space="preserve">Table </w:t>
      </w:r>
      <w:r w:rsidR="00846436" w:rsidRPr="00BD0B05">
        <w:t>1</w:t>
      </w:r>
      <w:r w:rsidRPr="00BD0B05">
        <w:t xml:space="preserve"> serves as the primary validation anchor. It demonstrates how each architectural layer directly addresses specific problem clusters identified in </w:t>
      </w:r>
      <w:r w:rsidR="0045797C" w:rsidRPr="00BD0B05">
        <w:t xml:space="preserve">earlier </w:t>
      </w:r>
      <w:r w:rsidRPr="00BD0B05">
        <w:t>empirical and conceptual studies. The evaluation below mirrors that mapping explicitly</w:t>
      </w:r>
      <w:r w:rsidR="0045797C" w:rsidRPr="00BD0B05">
        <w:t>.</w:t>
      </w:r>
    </w:p>
    <w:p w14:paraId="7BB998A1" w14:textId="64679AE2" w:rsidR="00C036AF" w:rsidRPr="00BD0B05" w:rsidRDefault="00C036AF" w:rsidP="006D7FF9">
      <w:pPr>
        <w:pStyle w:val="NormalWeb"/>
        <w:spacing w:line="276" w:lineRule="auto"/>
        <w:jc w:val="both"/>
        <w:rPr>
          <w:b/>
          <w:bCs/>
        </w:rPr>
      </w:pPr>
      <w:r w:rsidRPr="00BD0B05">
        <w:rPr>
          <w:b/>
          <w:bCs/>
        </w:rPr>
        <w:t>Layer 1: Stakeholder and Data Input Layer</w:t>
      </w:r>
    </w:p>
    <w:p w14:paraId="4BC599B7" w14:textId="1FEB0E0D" w:rsidR="00B92D98" w:rsidRPr="00BD0B05" w:rsidRDefault="00C036AF" w:rsidP="006D7FF9">
      <w:pPr>
        <w:pStyle w:val="NormalWeb"/>
        <w:spacing w:line="276" w:lineRule="auto"/>
        <w:jc w:val="both"/>
      </w:pPr>
      <w:r w:rsidRPr="00BD0B05">
        <w:t xml:space="preserve">Table </w:t>
      </w:r>
      <w:r w:rsidR="00846436" w:rsidRPr="00BD0B05">
        <w:t>1</w:t>
      </w:r>
      <w:r w:rsidRPr="00BD0B05">
        <w:t xml:space="preserve"> identifies fragmented borrower profiling, incomplete agricultural datasets and weak stakeholder integration as </w:t>
      </w:r>
      <w:r w:rsidR="00B92D98" w:rsidRPr="00BD0B05">
        <w:t xml:space="preserve">recurring </w:t>
      </w:r>
      <w:r w:rsidRPr="00BD0B05">
        <w:t xml:space="preserve">gaps. </w:t>
      </w:r>
      <w:r w:rsidR="00B92D98" w:rsidRPr="00BD0B05">
        <w:t>In response, t</w:t>
      </w:r>
      <w:r w:rsidRPr="00BD0B05">
        <w:t>his layer standardiz</w:t>
      </w:r>
      <w:r w:rsidR="00B92D98" w:rsidRPr="00BD0B05">
        <w:t>es</w:t>
      </w:r>
      <w:r w:rsidRPr="00BD0B05">
        <w:t xml:space="preserve"> </w:t>
      </w:r>
      <w:r w:rsidR="00B92D98" w:rsidRPr="00BD0B05">
        <w:t>the collection of multi-actor data from financial institutions and farmers.</w:t>
      </w:r>
    </w:p>
    <w:p w14:paraId="34EF785C" w14:textId="76A6DF4A" w:rsidR="00C036AF" w:rsidRPr="00BD0B05" w:rsidRDefault="00C036AF" w:rsidP="006D7FF9">
      <w:pPr>
        <w:pStyle w:val="NormalWeb"/>
        <w:spacing w:line="276" w:lineRule="auto"/>
        <w:jc w:val="both"/>
      </w:pPr>
      <w:r w:rsidRPr="00BD0B05">
        <w:t>Evaluation confirms:</w:t>
      </w:r>
    </w:p>
    <w:p w14:paraId="32376587" w14:textId="123EB33B" w:rsidR="00846436" w:rsidRPr="00BD0B05" w:rsidRDefault="00C036AF" w:rsidP="006D7FF9">
      <w:pPr>
        <w:pStyle w:val="NormalWeb"/>
        <w:numPr>
          <w:ilvl w:val="0"/>
          <w:numId w:val="4"/>
        </w:numPr>
        <w:spacing w:line="276" w:lineRule="auto"/>
        <w:jc w:val="both"/>
      </w:pPr>
      <w:r w:rsidRPr="00BD0B05">
        <w:t>Structured stakeholder registration</w:t>
      </w:r>
    </w:p>
    <w:p w14:paraId="42ECB221" w14:textId="77777777" w:rsidR="00846436" w:rsidRPr="00BD0B05" w:rsidRDefault="00C036AF" w:rsidP="006D7FF9">
      <w:pPr>
        <w:pStyle w:val="NormalWeb"/>
        <w:numPr>
          <w:ilvl w:val="0"/>
          <w:numId w:val="4"/>
        </w:numPr>
        <w:spacing w:line="276" w:lineRule="auto"/>
        <w:jc w:val="both"/>
      </w:pPr>
      <w:r w:rsidRPr="00BD0B05">
        <w:t>Harmonized data schemas</w:t>
      </w:r>
    </w:p>
    <w:p w14:paraId="3E47293C" w14:textId="1D14D2EE" w:rsidR="00C036AF" w:rsidRPr="00BD0B05" w:rsidRDefault="00C036AF" w:rsidP="006D7FF9">
      <w:pPr>
        <w:pStyle w:val="NormalWeb"/>
        <w:numPr>
          <w:ilvl w:val="0"/>
          <w:numId w:val="4"/>
        </w:numPr>
        <w:spacing w:line="276" w:lineRule="auto"/>
        <w:jc w:val="both"/>
      </w:pPr>
      <w:r w:rsidRPr="00BD0B05">
        <w:t>Reduced information asymmetry at the pre-credit stage</w:t>
      </w:r>
    </w:p>
    <w:p w14:paraId="38085508" w14:textId="0A9FD89E" w:rsidR="00C036AF" w:rsidRPr="00BD0B05" w:rsidRDefault="00C036AF" w:rsidP="006D7FF9">
      <w:pPr>
        <w:pStyle w:val="NormalWeb"/>
        <w:spacing w:line="276" w:lineRule="auto"/>
        <w:jc w:val="both"/>
      </w:pPr>
      <w:r w:rsidRPr="00BD0B05">
        <w:t>Conceptual walkthroughs show that complete, standardized input data improves risk visibility and reduces profiling inconsistencies.</w:t>
      </w:r>
    </w:p>
    <w:p w14:paraId="6D7F7718" w14:textId="763862CD" w:rsidR="00C036AF" w:rsidRPr="00BD0B05" w:rsidRDefault="00C036AF" w:rsidP="006D7FF9">
      <w:pPr>
        <w:pStyle w:val="NormalWeb"/>
        <w:spacing w:line="276" w:lineRule="auto"/>
        <w:jc w:val="both"/>
        <w:rPr>
          <w:b/>
          <w:bCs/>
        </w:rPr>
      </w:pPr>
      <w:r w:rsidRPr="00BD0B05">
        <w:rPr>
          <w:b/>
          <w:bCs/>
        </w:rPr>
        <w:t>Layer 2: ICT Access and Integration Layer</w:t>
      </w:r>
    </w:p>
    <w:p w14:paraId="40781BEE" w14:textId="1786C51E" w:rsidR="00C036AF" w:rsidRPr="00BD0B05" w:rsidRDefault="00C036AF" w:rsidP="006D7FF9">
      <w:pPr>
        <w:pStyle w:val="NormalWeb"/>
        <w:spacing w:line="276" w:lineRule="auto"/>
        <w:jc w:val="both"/>
      </w:pPr>
      <w:r w:rsidRPr="00BD0B05">
        <w:t xml:space="preserve">Table </w:t>
      </w:r>
      <w:r w:rsidR="00846436" w:rsidRPr="00BD0B05">
        <w:t>1</w:t>
      </w:r>
      <w:r w:rsidRPr="00BD0B05">
        <w:t xml:space="preserve"> highlights system silos, poor interoperability and limited rural connectivity as systemic constraints. </w:t>
      </w:r>
      <w:r w:rsidR="006B210A" w:rsidRPr="00BD0B05">
        <w:t>Multi-channel access and modular integration mechanisms are introduced in this layer</w:t>
      </w:r>
      <w:r w:rsidRPr="00BD0B05">
        <w:t>.</w:t>
      </w:r>
    </w:p>
    <w:p w14:paraId="20D40865" w14:textId="77777777" w:rsidR="00C036AF" w:rsidRPr="00BD0B05" w:rsidRDefault="00C036AF" w:rsidP="006D7FF9">
      <w:pPr>
        <w:pStyle w:val="NormalWeb"/>
        <w:spacing w:line="276" w:lineRule="auto"/>
        <w:jc w:val="both"/>
      </w:pPr>
      <w:r w:rsidRPr="00BD0B05">
        <w:t>Evaluation confirms:</w:t>
      </w:r>
    </w:p>
    <w:p w14:paraId="5BEB5F62" w14:textId="6FB71F3F" w:rsidR="00846436" w:rsidRPr="00BD0B05" w:rsidRDefault="00C036AF" w:rsidP="006D7FF9">
      <w:pPr>
        <w:pStyle w:val="NormalWeb"/>
        <w:numPr>
          <w:ilvl w:val="0"/>
          <w:numId w:val="5"/>
        </w:numPr>
        <w:spacing w:line="276" w:lineRule="auto"/>
        <w:jc w:val="both"/>
      </w:pPr>
      <w:r w:rsidRPr="00BD0B05">
        <w:lastRenderedPageBreak/>
        <w:t>API-enabled cross-institutional synchronization</w:t>
      </w:r>
    </w:p>
    <w:p w14:paraId="7D7CB666" w14:textId="77777777" w:rsidR="00846436" w:rsidRPr="00BD0B05" w:rsidRDefault="00C036AF" w:rsidP="006D7FF9">
      <w:pPr>
        <w:pStyle w:val="NormalWeb"/>
        <w:numPr>
          <w:ilvl w:val="0"/>
          <w:numId w:val="5"/>
        </w:numPr>
        <w:spacing w:line="276" w:lineRule="auto"/>
        <w:jc w:val="both"/>
      </w:pPr>
      <w:r w:rsidRPr="00BD0B05">
        <w:t>Reduced data duplication</w:t>
      </w:r>
    </w:p>
    <w:p w14:paraId="7586B8C2" w14:textId="5AE0CF47" w:rsidR="00C036AF" w:rsidRPr="00BD0B05" w:rsidRDefault="00C036AF" w:rsidP="006D7FF9">
      <w:pPr>
        <w:pStyle w:val="NormalWeb"/>
        <w:numPr>
          <w:ilvl w:val="0"/>
          <w:numId w:val="5"/>
        </w:numPr>
        <w:spacing w:line="276" w:lineRule="auto"/>
        <w:jc w:val="both"/>
      </w:pPr>
      <w:r w:rsidRPr="00BD0B05">
        <w:t>Compatibility with low-bandwidth environments</w:t>
      </w:r>
    </w:p>
    <w:p w14:paraId="323BBA50" w14:textId="46B76A3A" w:rsidR="006B210A" w:rsidRPr="00BD0B05" w:rsidRDefault="00C036AF" w:rsidP="006D7FF9">
      <w:pPr>
        <w:pStyle w:val="NormalWeb"/>
        <w:spacing w:line="276" w:lineRule="auto"/>
        <w:jc w:val="both"/>
      </w:pPr>
      <w:r w:rsidRPr="00BD0B05">
        <w:t>Logical assessment demonstrates improved operational continuity across heterogeneous ICT infrastructures.</w:t>
      </w:r>
      <w:r w:rsidR="006B210A" w:rsidRPr="00BD0B05">
        <w:t xml:space="preserve"> </w:t>
      </w:r>
    </w:p>
    <w:p w14:paraId="7068AEE2" w14:textId="5EFDCA74" w:rsidR="00C036AF" w:rsidRPr="00BD0B05" w:rsidRDefault="00C036AF" w:rsidP="006D7FF9">
      <w:pPr>
        <w:pStyle w:val="NormalWeb"/>
        <w:spacing w:line="276" w:lineRule="auto"/>
        <w:jc w:val="both"/>
        <w:rPr>
          <w:b/>
          <w:bCs/>
        </w:rPr>
      </w:pPr>
      <w:r w:rsidRPr="00BD0B05">
        <w:rPr>
          <w:b/>
          <w:bCs/>
        </w:rPr>
        <w:t>Layer 3: Automation and Intelligence Layer</w:t>
      </w:r>
    </w:p>
    <w:p w14:paraId="4BA8B24B" w14:textId="32D75681" w:rsidR="00C036AF" w:rsidRPr="00BD0B05" w:rsidRDefault="00C036AF" w:rsidP="006D7FF9">
      <w:pPr>
        <w:pStyle w:val="NormalWeb"/>
        <w:spacing w:line="276" w:lineRule="auto"/>
        <w:jc w:val="both"/>
      </w:pPr>
      <w:r w:rsidRPr="00BD0B05">
        <w:t xml:space="preserve">According to Table </w:t>
      </w:r>
      <w:r w:rsidR="00846436" w:rsidRPr="00BD0B05">
        <w:t>1</w:t>
      </w:r>
      <w:r w:rsidRPr="00BD0B05">
        <w:t xml:space="preserve">, static credit models and manual appraisal bias remain unresolved challenges. This layer </w:t>
      </w:r>
      <w:r w:rsidR="006F3525" w:rsidRPr="00BD0B05">
        <w:t xml:space="preserve">integrates </w:t>
      </w:r>
      <w:r w:rsidRPr="00BD0B05">
        <w:t>rule-based and knowledge-based automation to standardize eligibility checks and risk scoring.</w:t>
      </w:r>
    </w:p>
    <w:p w14:paraId="4837ADBB" w14:textId="77777777" w:rsidR="00C036AF" w:rsidRPr="00BD0B05" w:rsidRDefault="00C036AF" w:rsidP="006D7FF9">
      <w:pPr>
        <w:pStyle w:val="NormalWeb"/>
        <w:spacing w:line="276" w:lineRule="auto"/>
        <w:jc w:val="both"/>
      </w:pPr>
      <w:r w:rsidRPr="00BD0B05">
        <w:t>Evaluation confirms:</w:t>
      </w:r>
    </w:p>
    <w:p w14:paraId="41702E8E" w14:textId="07B6C2AC" w:rsidR="00846436" w:rsidRPr="00BD0B05" w:rsidRDefault="00C036AF" w:rsidP="006D7FF9">
      <w:pPr>
        <w:pStyle w:val="NormalWeb"/>
        <w:numPr>
          <w:ilvl w:val="0"/>
          <w:numId w:val="6"/>
        </w:numPr>
        <w:spacing w:line="276" w:lineRule="auto"/>
        <w:jc w:val="both"/>
      </w:pPr>
      <w:r w:rsidRPr="00BD0B05">
        <w:t>Consistent decision logic</w:t>
      </w:r>
    </w:p>
    <w:p w14:paraId="6C8B7512" w14:textId="77777777" w:rsidR="00846436" w:rsidRPr="00BD0B05" w:rsidRDefault="00C036AF" w:rsidP="006D7FF9">
      <w:pPr>
        <w:pStyle w:val="NormalWeb"/>
        <w:numPr>
          <w:ilvl w:val="0"/>
          <w:numId w:val="6"/>
        </w:numPr>
        <w:spacing w:line="276" w:lineRule="auto"/>
        <w:jc w:val="both"/>
      </w:pPr>
      <w:r w:rsidRPr="00BD0B05">
        <w:t>Reduced subjective variability</w:t>
      </w:r>
    </w:p>
    <w:p w14:paraId="209D0118" w14:textId="584F12A7" w:rsidR="00C036AF" w:rsidRPr="00BD0B05" w:rsidRDefault="00C036AF" w:rsidP="006D7FF9">
      <w:pPr>
        <w:pStyle w:val="NormalWeb"/>
        <w:numPr>
          <w:ilvl w:val="0"/>
          <w:numId w:val="6"/>
        </w:numPr>
        <w:spacing w:line="276" w:lineRule="auto"/>
        <w:jc w:val="both"/>
      </w:pPr>
      <w:r w:rsidRPr="00BD0B05">
        <w:t>Transparent risk classification pathways</w:t>
      </w:r>
    </w:p>
    <w:p w14:paraId="2849BEC1" w14:textId="3C53431B" w:rsidR="006B210A" w:rsidRPr="00BD0B05" w:rsidRDefault="00C036AF" w:rsidP="006D7FF9">
      <w:pPr>
        <w:pStyle w:val="NormalWeb"/>
        <w:spacing w:line="276" w:lineRule="auto"/>
        <w:jc w:val="both"/>
      </w:pPr>
      <w:r w:rsidRPr="00BD0B05">
        <w:t>Analytical reasoning shows that similar borrower profiles would produce consistent credit outcomes under automated rules.</w:t>
      </w:r>
      <w:r w:rsidR="006B210A" w:rsidRPr="00BD0B05">
        <w:t xml:space="preserve"> </w:t>
      </w:r>
    </w:p>
    <w:p w14:paraId="57A9C451" w14:textId="00CF959D" w:rsidR="00C036AF" w:rsidRPr="00BD0B05" w:rsidRDefault="00C036AF" w:rsidP="006D7FF9">
      <w:pPr>
        <w:pStyle w:val="NormalWeb"/>
        <w:spacing w:line="276" w:lineRule="auto"/>
        <w:jc w:val="both"/>
        <w:rPr>
          <w:b/>
          <w:bCs/>
        </w:rPr>
      </w:pPr>
      <w:r w:rsidRPr="00BD0B05">
        <w:rPr>
          <w:b/>
          <w:bCs/>
        </w:rPr>
        <w:t>Layer 4: Secure Transaction and Execution Layer</w:t>
      </w:r>
    </w:p>
    <w:p w14:paraId="1135F2AB" w14:textId="735830E7" w:rsidR="00C036AF" w:rsidRPr="00BD0B05" w:rsidRDefault="00C036AF" w:rsidP="006D7FF9">
      <w:pPr>
        <w:pStyle w:val="NormalWeb"/>
        <w:spacing w:line="276" w:lineRule="auto"/>
        <w:jc w:val="both"/>
      </w:pPr>
      <w:r w:rsidRPr="00BD0B05">
        <w:t xml:space="preserve">Table </w:t>
      </w:r>
      <w:r w:rsidR="00846436" w:rsidRPr="00BD0B05">
        <w:t>1</w:t>
      </w:r>
      <w:r w:rsidRPr="00BD0B05">
        <w:t xml:space="preserve"> identifies trust deficits, weak audit trails and execution opacity in digital agricultural finance systems. This layer incorporates authentication controls, role-based permissions and transaction logging.</w:t>
      </w:r>
    </w:p>
    <w:p w14:paraId="0E35DEF2" w14:textId="77777777" w:rsidR="00C036AF" w:rsidRPr="00BD0B05" w:rsidRDefault="00C036AF" w:rsidP="006D7FF9">
      <w:pPr>
        <w:pStyle w:val="NormalWeb"/>
        <w:spacing w:line="276" w:lineRule="auto"/>
        <w:jc w:val="both"/>
      </w:pPr>
      <w:r w:rsidRPr="00BD0B05">
        <w:t>Evaluation confirms:</w:t>
      </w:r>
    </w:p>
    <w:p w14:paraId="3126DDAB" w14:textId="3B12B9F8" w:rsidR="00846436" w:rsidRPr="00BD0B05" w:rsidRDefault="00C036AF" w:rsidP="006D7FF9">
      <w:pPr>
        <w:pStyle w:val="NormalWeb"/>
        <w:numPr>
          <w:ilvl w:val="0"/>
          <w:numId w:val="7"/>
        </w:numPr>
        <w:spacing w:line="276" w:lineRule="auto"/>
        <w:jc w:val="both"/>
      </w:pPr>
      <w:r w:rsidRPr="00BD0B05">
        <w:t>Traceable disbursement workflows</w:t>
      </w:r>
    </w:p>
    <w:p w14:paraId="1EEFF594" w14:textId="77777777" w:rsidR="00846436" w:rsidRPr="00BD0B05" w:rsidRDefault="00C036AF" w:rsidP="006D7FF9">
      <w:pPr>
        <w:pStyle w:val="NormalWeb"/>
        <w:numPr>
          <w:ilvl w:val="0"/>
          <w:numId w:val="7"/>
        </w:numPr>
        <w:spacing w:line="276" w:lineRule="auto"/>
        <w:jc w:val="both"/>
      </w:pPr>
      <w:r w:rsidRPr="00BD0B05">
        <w:t>Verifiable audit logs</w:t>
      </w:r>
    </w:p>
    <w:p w14:paraId="69E128E9" w14:textId="45A67C00" w:rsidR="00C036AF" w:rsidRPr="00BD0B05" w:rsidRDefault="00C036AF" w:rsidP="006D7FF9">
      <w:pPr>
        <w:pStyle w:val="NormalWeb"/>
        <w:numPr>
          <w:ilvl w:val="0"/>
          <w:numId w:val="7"/>
        </w:numPr>
        <w:spacing w:line="276" w:lineRule="auto"/>
        <w:jc w:val="both"/>
      </w:pPr>
      <w:r w:rsidRPr="00BD0B05">
        <w:t>Strengthened accountability mechanisms</w:t>
      </w:r>
    </w:p>
    <w:p w14:paraId="5E57D210" w14:textId="75DDBBC3" w:rsidR="006F3525" w:rsidRPr="00BD0B05" w:rsidRDefault="00C036AF" w:rsidP="006D7FF9">
      <w:pPr>
        <w:pStyle w:val="NormalWeb"/>
        <w:spacing w:line="276" w:lineRule="auto"/>
        <w:jc w:val="both"/>
      </w:pPr>
      <w:r w:rsidRPr="00BD0B05">
        <w:t>Conceptual analysis indicates improved institutional trust and reduced operational ambiguity.</w:t>
      </w:r>
      <w:r w:rsidR="006F3525" w:rsidRPr="00BD0B05">
        <w:t xml:space="preserve"> </w:t>
      </w:r>
    </w:p>
    <w:p w14:paraId="73A6644E" w14:textId="36AB616E" w:rsidR="00C036AF" w:rsidRPr="00BD0B05" w:rsidRDefault="00C036AF" w:rsidP="006D7FF9">
      <w:pPr>
        <w:pStyle w:val="NormalWeb"/>
        <w:spacing w:line="276" w:lineRule="auto"/>
        <w:jc w:val="both"/>
        <w:rPr>
          <w:b/>
          <w:bCs/>
        </w:rPr>
      </w:pPr>
      <w:r w:rsidRPr="00BD0B05">
        <w:rPr>
          <w:b/>
          <w:bCs/>
        </w:rPr>
        <w:t>Layer 5: Monitoring and Feedback Layer</w:t>
      </w:r>
    </w:p>
    <w:p w14:paraId="5CC38A1F" w14:textId="195908BA" w:rsidR="00C036AF" w:rsidRPr="00BD0B05" w:rsidRDefault="00C036AF" w:rsidP="006D7FF9">
      <w:pPr>
        <w:pStyle w:val="NormalWeb"/>
        <w:spacing w:line="276" w:lineRule="auto"/>
        <w:jc w:val="both"/>
      </w:pPr>
      <w:r w:rsidRPr="00BD0B05">
        <w:t xml:space="preserve">The literature summarized in Table </w:t>
      </w:r>
      <w:r w:rsidR="00846436" w:rsidRPr="00BD0B05">
        <w:t>1</w:t>
      </w:r>
      <w:r w:rsidRPr="00BD0B05">
        <w:t xml:space="preserve"> shows weak post-disbursement monitoring and limited adaptive learning. This layer integrates repayment tracking, performance analytics and rule recalibration mechanisms.</w:t>
      </w:r>
    </w:p>
    <w:p w14:paraId="3566A950" w14:textId="77777777" w:rsidR="00C036AF" w:rsidRPr="00BD0B05" w:rsidRDefault="00C036AF" w:rsidP="006D7FF9">
      <w:pPr>
        <w:pStyle w:val="NormalWeb"/>
        <w:spacing w:line="276" w:lineRule="auto"/>
        <w:jc w:val="both"/>
      </w:pPr>
      <w:r w:rsidRPr="00BD0B05">
        <w:lastRenderedPageBreak/>
        <w:t>Evaluation confirms:</w:t>
      </w:r>
    </w:p>
    <w:p w14:paraId="600A553C" w14:textId="0774C1DB" w:rsidR="00846436" w:rsidRPr="00BD0B05" w:rsidRDefault="00C036AF" w:rsidP="006D7FF9">
      <w:pPr>
        <w:pStyle w:val="NormalWeb"/>
        <w:numPr>
          <w:ilvl w:val="0"/>
          <w:numId w:val="8"/>
        </w:numPr>
        <w:spacing w:line="276" w:lineRule="auto"/>
        <w:jc w:val="both"/>
      </w:pPr>
      <w:r w:rsidRPr="00BD0B05">
        <w:t>Structured monitoring cycles</w:t>
      </w:r>
    </w:p>
    <w:p w14:paraId="7FC727F5" w14:textId="77777777" w:rsidR="00846436" w:rsidRPr="00BD0B05" w:rsidRDefault="00C036AF" w:rsidP="006D7FF9">
      <w:pPr>
        <w:pStyle w:val="NormalWeb"/>
        <w:numPr>
          <w:ilvl w:val="0"/>
          <w:numId w:val="8"/>
        </w:numPr>
        <w:spacing w:line="276" w:lineRule="auto"/>
        <w:jc w:val="both"/>
      </w:pPr>
      <w:r w:rsidRPr="00BD0B05">
        <w:t>Early risk alert generation</w:t>
      </w:r>
    </w:p>
    <w:p w14:paraId="0102B443" w14:textId="7FFF4A02" w:rsidR="00C036AF" w:rsidRPr="00BD0B05" w:rsidRDefault="00C036AF" w:rsidP="006D7FF9">
      <w:pPr>
        <w:pStyle w:val="NormalWeb"/>
        <w:numPr>
          <w:ilvl w:val="0"/>
          <w:numId w:val="8"/>
        </w:numPr>
        <w:spacing w:line="276" w:lineRule="auto"/>
        <w:jc w:val="both"/>
      </w:pPr>
      <w:r w:rsidRPr="00BD0B05">
        <w:t>Feedback-driven system updates</w:t>
      </w:r>
    </w:p>
    <w:p w14:paraId="5D77D0DD" w14:textId="5E9D9486" w:rsidR="006F3525" w:rsidRPr="00BD0B05" w:rsidRDefault="00C036AF" w:rsidP="006D7FF9">
      <w:pPr>
        <w:pStyle w:val="NormalWeb"/>
        <w:spacing w:line="276" w:lineRule="auto"/>
        <w:jc w:val="both"/>
      </w:pPr>
      <w:r w:rsidRPr="00BD0B05">
        <w:t>Logical assessment indicates enhanced sustainability and long-term system intelligence.</w:t>
      </w:r>
      <w:r w:rsidR="006F3525" w:rsidRPr="00BD0B05">
        <w:t xml:space="preserve"> </w:t>
      </w:r>
    </w:p>
    <w:p w14:paraId="01DEDCC1" w14:textId="32D712DA" w:rsidR="00965092" w:rsidRPr="00BD0B05" w:rsidRDefault="006A3F93" w:rsidP="006D7FF9">
      <w:pPr>
        <w:pStyle w:val="NormalWeb"/>
        <w:spacing w:line="276" w:lineRule="auto"/>
        <w:jc w:val="both"/>
        <w:rPr>
          <w:b/>
          <w:bCs/>
        </w:rPr>
      </w:pPr>
      <w:r w:rsidRPr="00BD0B05">
        <w:rPr>
          <w:b/>
          <w:bCs/>
        </w:rPr>
        <w:t>5</w:t>
      </w:r>
      <w:r w:rsidR="00965092" w:rsidRPr="00BD0B05">
        <w:rPr>
          <w:b/>
          <w:bCs/>
        </w:rPr>
        <w:t>. Discussion and Implications</w:t>
      </w:r>
    </w:p>
    <w:p w14:paraId="637D455E" w14:textId="7C790036" w:rsidR="007A144E" w:rsidRPr="00BD0B05" w:rsidRDefault="00644DA9" w:rsidP="006D7FF9">
      <w:pPr>
        <w:pStyle w:val="NormalWeb"/>
        <w:spacing w:line="276" w:lineRule="auto"/>
        <w:jc w:val="both"/>
      </w:pPr>
      <w:r w:rsidRPr="00BD0B05">
        <w:t>This study tackles a structural flaw in Nigeria's agricultural finance ecosystem: while digital inclusion initiatives have increased access, they have not resulted in an integrated system capable of converting data into financial processes that are automated, transparent</w:t>
      </w:r>
      <w:r w:rsidR="009967CC" w:rsidRPr="00BD0B05">
        <w:t xml:space="preserve"> </w:t>
      </w:r>
      <w:r w:rsidRPr="00BD0B05">
        <w:t xml:space="preserve">and executable. </w:t>
      </w:r>
      <w:r w:rsidR="007A144E" w:rsidRPr="00BD0B05">
        <w:t xml:space="preserve">Existing Agri-Fintech models typically concentrate on mobile payments, digital onboarding, or standalone credit scoring tools. </w:t>
      </w:r>
      <w:r w:rsidRPr="00BD0B05">
        <w:t xml:space="preserve">Although these interventions increase access, they often operate as stand-alone modules. </w:t>
      </w:r>
      <w:r w:rsidR="007A144E" w:rsidRPr="00BD0B05">
        <w:t>They do not structurally connect stakeholder data capture, interoperability, automated decision logic, secure execution and continuous monitoring within a unified architecture.</w:t>
      </w:r>
    </w:p>
    <w:p w14:paraId="1F996DF8" w14:textId="490A0C5B" w:rsidR="000F5102" w:rsidRPr="00BD0B05" w:rsidRDefault="007A144E" w:rsidP="006D7FF9">
      <w:pPr>
        <w:pStyle w:val="NormalWeb"/>
        <w:spacing w:line="276" w:lineRule="auto"/>
        <w:jc w:val="both"/>
      </w:pPr>
      <w:r w:rsidRPr="00BD0B05">
        <w:t xml:space="preserve">The proposed framework advances the discourse by repositioning digital agricultural finance as a system design problem rather than an adoption problem. It begins by formalizing multi-actor data standardization across farmers, cooperatives and financial institutions. </w:t>
      </w:r>
      <w:r w:rsidR="003236AF" w:rsidRPr="00BD0B05">
        <w:t xml:space="preserve">The methodology uses structured stakeholder data as the basis for </w:t>
      </w:r>
      <w:r w:rsidR="00C91FE2" w:rsidRPr="00BD0B05">
        <w:t xml:space="preserve">reducing </w:t>
      </w:r>
      <w:r w:rsidR="003236AF" w:rsidRPr="00BD0B05">
        <w:t xml:space="preserve">information asymmetry and </w:t>
      </w:r>
      <w:r w:rsidR="00C91FE2" w:rsidRPr="00BD0B05">
        <w:t xml:space="preserve">improving </w:t>
      </w:r>
      <w:r w:rsidR="003236AF" w:rsidRPr="00BD0B05">
        <w:t xml:space="preserve">pre-credit risk visibility, rather than </w:t>
      </w:r>
      <w:r w:rsidR="00C91FE2" w:rsidRPr="00BD0B05">
        <w:t xml:space="preserve">treating </w:t>
      </w:r>
      <w:r w:rsidR="003236AF" w:rsidRPr="00BD0B05">
        <w:t xml:space="preserve">borrower profiling as </w:t>
      </w:r>
      <w:r w:rsidR="00C91FE2" w:rsidRPr="00BD0B05">
        <w:t>a</w:t>
      </w:r>
      <w:r w:rsidR="003236AF" w:rsidRPr="00BD0B05">
        <w:t xml:space="preserve"> </w:t>
      </w:r>
      <w:r w:rsidR="00C91FE2" w:rsidRPr="00BD0B05">
        <w:t xml:space="preserve">peripheral </w:t>
      </w:r>
      <w:r w:rsidR="003236AF" w:rsidRPr="00BD0B05">
        <w:t xml:space="preserve">administrative activity. </w:t>
      </w:r>
      <w:r w:rsidRPr="00BD0B05">
        <w:t xml:space="preserve">This directly addresses the fragmented data environments repeatedly identified in </w:t>
      </w:r>
      <w:r w:rsidR="00C91FE2" w:rsidRPr="00BD0B05">
        <w:t xml:space="preserve">earlier </w:t>
      </w:r>
      <w:r w:rsidRPr="00BD0B05">
        <w:t>studies.</w:t>
      </w:r>
    </w:p>
    <w:p w14:paraId="43BAB7B2" w14:textId="09BBA45A" w:rsidR="00EF39B1" w:rsidRPr="00BD0B05" w:rsidRDefault="007A144E" w:rsidP="006D7FF9">
      <w:pPr>
        <w:pStyle w:val="NormalWeb"/>
        <w:spacing w:line="276" w:lineRule="auto"/>
        <w:jc w:val="both"/>
      </w:pPr>
      <w:r w:rsidRPr="00BD0B05">
        <w:t xml:space="preserve">Building on this foundation, the architecture </w:t>
      </w:r>
      <w:r w:rsidR="00C66F99" w:rsidRPr="00BD0B05">
        <w:t xml:space="preserve">incorporates </w:t>
      </w:r>
      <w:r w:rsidRPr="00BD0B05">
        <w:t xml:space="preserve">interoperability and accessibility as </w:t>
      </w:r>
      <w:r w:rsidR="00C66F99" w:rsidRPr="00BD0B05">
        <w:t xml:space="preserve">fundamental </w:t>
      </w:r>
      <w:r w:rsidRPr="00BD0B05">
        <w:t xml:space="preserve">structural principles. Many existing platforms assume </w:t>
      </w:r>
      <w:r w:rsidR="00C66F99" w:rsidRPr="00BD0B05">
        <w:t xml:space="preserve">reliable </w:t>
      </w:r>
      <w:r w:rsidRPr="00BD0B05">
        <w:t xml:space="preserve">connectivity and centralized infrastructure. In contrast, the framework integrates modular APIs, multi-channel access pathways and low-bandwidth compatibility into its design logic. </w:t>
      </w:r>
      <w:r w:rsidR="00034F5A" w:rsidRPr="00BD0B05">
        <w:t xml:space="preserve">Therefore, ICT integration is </w:t>
      </w:r>
      <w:r w:rsidR="00C66F99" w:rsidRPr="00BD0B05">
        <w:t xml:space="preserve">treated </w:t>
      </w:r>
      <w:r w:rsidR="00034F5A" w:rsidRPr="00BD0B05">
        <w:t xml:space="preserve">as a functional </w:t>
      </w:r>
      <w:r w:rsidR="00C66F99" w:rsidRPr="00BD0B05">
        <w:t xml:space="preserve">condition </w:t>
      </w:r>
      <w:r w:rsidR="00034F5A" w:rsidRPr="00BD0B05">
        <w:t xml:space="preserve">for inclusive and </w:t>
      </w:r>
      <w:r w:rsidR="00C66F99" w:rsidRPr="00BD0B05">
        <w:t xml:space="preserve">synchronized </w:t>
      </w:r>
      <w:r w:rsidR="00034F5A" w:rsidRPr="00BD0B05">
        <w:t>service delivery across heterogeneous environments rather than as a technical add-on.</w:t>
      </w:r>
      <w:r w:rsidR="00C66F99" w:rsidRPr="00BD0B05">
        <w:t xml:space="preserve"> The framework then moves </w:t>
      </w:r>
      <w:r w:rsidR="00917DEC" w:rsidRPr="00BD0B05">
        <w:t>to intelligent automation from digitisation</w:t>
      </w:r>
      <w:r w:rsidR="00C66F99" w:rsidRPr="00BD0B05">
        <w:t xml:space="preserve">. </w:t>
      </w:r>
      <w:r w:rsidR="00917DEC" w:rsidRPr="00BD0B05">
        <w:t>While a number of Agri-Fintech solutions digitally replicate manual appraisal processes, t</w:t>
      </w:r>
      <w:r w:rsidR="00644DA9" w:rsidRPr="00BD0B05">
        <w:t xml:space="preserve">his </w:t>
      </w:r>
      <w:r w:rsidR="00917DEC" w:rsidRPr="00BD0B05">
        <w:t xml:space="preserve">model </w:t>
      </w:r>
      <w:r w:rsidR="00644DA9" w:rsidRPr="00BD0B05">
        <w:t xml:space="preserve">incorporates rule-based and knowledge-based decision mechanisms directly into eligibility assessment and risk </w:t>
      </w:r>
      <w:r w:rsidR="00917DEC" w:rsidRPr="00BD0B05">
        <w:t xml:space="preserve">classification </w:t>
      </w:r>
      <w:r w:rsidR="00644DA9" w:rsidRPr="00BD0B05">
        <w:t>workflows</w:t>
      </w:r>
      <w:r w:rsidR="00917DEC" w:rsidRPr="00BD0B05">
        <w:t>.</w:t>
      </w:r>
      <w:r w:rsidR="00644DA9" w:rsidRPr="00BD0B05">
        <w:t xml:space="preserve"> The </w:t>
      </w:r>
      <w:r w:rsidR="00917DEC" w:rsidRPr="00BD0B05">
        <w:t xml:space="preserve">shift </w:t>
      </w:r>
      <w:r w:rsidR="00644DA9" w:rsidRPr="00BD0B05">
        <w:t xml:space="preserve">is significant. Subjective bias is </w:t>
      </w:r>
      <w:r w:rsidR="00917DEC" w:rsidRPr="00BD0B05">
        <w:t>reduced</w:t>
      </w:r>
      <w:r w:rsidR="00644DA9" w:rsidRPr="00BD0B05">
        <w:t xml:space="preserve">, decision consistency is </w:t>
      </w:r>
      <w:r w:rsidR="00917DEC" w:rsidRPr="00BD0B05">
        <w:t>enhanced</w:t>
      </w:r>
      <w:r w:rsidR="00644DA9" w:rsidRPr="00BD0B05">
        <w:t xml:space="preserve"> and risk </w:t>
      </w:r>
      <w:r w:rsidR="00917DEC" w:rsidRPr="00BD0B05">
        <w:t xml:space="preserve">evaluation </w:t>
      </w:r>
      <w:r w:rsidR="00644DA9" w:rsidRPr="00BD0B05">
        <w:t xml:space="preserve">is traceable. </w:t>
      </w:r>
      <w:r w:rsidR="00917DEC" w:rsidRPr="00BD0B05">
        <w:t xml:space="preserve">Automation restructures </w:t>
      </w:r>
      <w:r w:rsidR="00644DA9" w:rsidRPr="00BD0B05">
        <w:t xml:space="preserve">the way financial judgement is carried out </w:t>
      </w:r>
      <w:r w:rsidR="00917DEC" w:rsidRPr="00BD0B05">
        <w:t xml:space="preserve">here </w:t>
      </w:r>
      <w:r w:rsidR="00644DA9" w:rsidRPr="00BD0B05">
        <w:t xml:space="preserve">and goes beyond simply </w:t>
      </w:r>
      <w:r w:rsidR="00917DEC" w:rsidRPr="00BD0B05">
        <w:t xml:space="preserve">accelerating </w:t>
      </w:r>
      <w:r w:rsidR="00644DA9" w:rsidRPr="00BD0B05">
        <w:t>processes.</w:t>
      </w:r>
      <w:r w:rsidR="00917DEC" w:rsidRPr="00BD0B05">
        <w:t xml:space="preserve"> Security and execution integrity are positioned as structural layers rather than backend safeguards. </w:t>
      </w:r>
      <w:r w:rsidR="00ED0F59" w:rsidRPr="00BD0B05">
        <w:t xml:space="preserve">The operational flow of fund management and credit disbursement integrated auditable transaction logs, role-based permissions and </w:t>
      </w:r>
      <w:r w:rsidR="00ED0F59" w:rsidRPr="00BD0B05">
        <w:lastRenderedPageBreak/>
        <w:t>authentication controls.</w:t>
      </w:r>
      <w:r w:rsidR="00917DEC" w:rsidRPr="00BD0B05">
        <w:t xml:space="preserve"> </w:t>
      </w:r>
      <w:r w:rsidR="00644DA9" w:rsidRPr="00BD0B05">
        <w:t xml:space="preserve">In doing so, the </w:t>
      </w:r>
      <w:r w:rsidR="00ED0F59" w:rsidRPr="00BD0B05">
        <w:t xml:space="preserve">framework </w:t>
      </w:r>
      <w:r w:rsidR="00644DA9" w:rsidRPr="00BD0B05">
        <w:t xml:space="preserve">directly addresses </w:t>
      </w:r>
      <w:r w:rsidR="00ED0F59" w:rsidRPr="00BD0B05">
        <w:t xml:space="preserve">documented concerns </w:t>
      </w:r>
      <w:r w:rsidR="00EF39B1" w:rsidRPr="00BD0B05">
        <w:t>regarding trust deficits</w:t>
      </w:r>
      <w:r w:rsidR="00644DA9" w:rsidRPr="00BD0B05">
        <w:t xml:space="preserve">, cooperative resource </w:t>
      </w:r>
      <w:r w:rsidR="00EF39B1" w:rsidRPr="00BD0B05">
        <w:t>misuse</w:t>
      </w:r>
      <w:r w:rsidR="00644DA9" w:rsidRPr="00BD0B05">
        <w:t xml:space="preserve"> and </w:t>
      </w:r>
      <w:r w:rsidR="00EF39B1" w:rsidRPr="00BD0B05">
        <w:t xml:space="preserve">limited transparency </w:t>
      </w:r>
      <w:r w:rsidR="00644DA9" w:rsidRPr="00BD0B05">
        <w:t>in digitally mediated agricultural finance systems.</w:t>
      </w:r>
      <w:r w:rsidR="00EF39B1" w:rsidRPr="00BD0B05">
        <w:t xml:space="preserve"> Therefore, security becomes a functional enabler of institutional legitimacy.</w:t>
      </w:r>
      <w:r w:rsidR="00FB4EC4" w:rsidRPr="00BD0B05">
        <w:t xml:space="preserve"> </w:t>
      </w:r>
      <w:r w:rsidRPr="00BD0B05">
        <w:t xml:space="preserve">Unlike many existing systems that terminate at disbursement, the architecture embeds structured monitoring and feedback loops. </w:t>
      </w:r>
      <w:r w:rsidR="00CB1E24" w:rsidRPr="00BD0B05">
        <w:t>The framework is transformed into a continuous learning mechanism by providing functionalities for r</w:t>
      </w:r>
      <w:r w:rsidRPr="00BD0B05">
        <w:t>epayment tracking, performance analytics and adaptive rule recalibration</w:t>
      </w:r>
      <w:r w:rsidR="00CB1E24" w:rsidRPr="00BD0B05">
        <w:t xml:space="preserve">. </w:t>
      </w:r>
      <w:r w:rsidRPr="00BD0B05">
        <w:t xml:space="preserve">Financial service delivery is conceptualized as cyclical and data-responsive rather than transactional and static. This dynamic capability strengthens sustainability, </w:t>
      </w:r>
      <w:r w:rsidR="00CB1E24" w:rsidRPr="00BD0B05">
        <w:t xml:space="preserve">especially </w:t>
      </w:r>
      <w:r w:rsidRPr="00BD0B05">
        <w:t xml:space="preserve">in environments characterized by </w:t>
      </w:r>
      <w:r w:rsidR="00CB1E24" w:rsidRPr="00BD0B05">
        <w:t xml:space="preserve">erratic </w:t>
      </w:r>
      <w:r w:rsidRPr="00BD0B05">
        <w:t xml:space="preserve">climatic </w:t>
      </w:r>
      <w:r w:rsidR="00CB1E24" w:rsidRPr="00BD0B05">
        <w:t xml:space="preserve">patterns </w:t>
      </w:r>
      <w:r w:rsidRPr="00BD0B05">
        <w:t>and fluctuating market conditions.</w:t>
      </w:r>
    </w:p>
    <w:p w14:paraId="32C603A3" w14:textId="318617B5" w:rsidR="00EF39B1" w:rsidRPr="00BD0B05" w:rsidRDefault="007A144E" w:rsidP="006D7FF9">
      <w:pPr>
        <w:pStyle w:val="NormalWeb"/>
        <w:spacing w:line="276" w:lineRule="auto"/>
        <w:jc w:val="both"/>
      </w:pPr>
      <w:r w:rsidRPr="00BD0B05">
        <w:t>Th</w:t>
      </w:r>
      <w:r w:rsidR="004C7B06" w:rsidRPr="00BD0B05">
        <w:t xml:space="preserve">is </w:t>
      </w:r>
      <w:r w:rsidRPr="00BD0B05">
        <w:t>study advanc</w:t>
      </w:r>
      <w:r w:rsidR="00C34ACD" w:rsidRPr="00BD0B05">
        <w:t>es</w:t>
      </w:r>
      <w:r w:rsidRPr="00BD0B05">
        <w:t xml:space="preserve"> digital agricultural finance from fragmented technological interventions toward an integrated automation architecture. Rather than proposing another access channel, mobile interface, or isolated credit scoring </w:t>
      </w:r>
      <w:r w:rsidR="00FB4EC4" w:rsidRPr="00BD0B05">
        <w:t>improvement</w:t>
      </w:r>
      <w:r w:rsidRPr="00BD0B05">
        <w:t xml:space="preserve">, the framework restructures how financial processes are organized, executed and governed. It establishes a traceable linkage between stakeholder data formalization, interoperable ICT infrastructure, embedded decision intelligence, secure transactional execution and adaptive performance monitoring. </w:t>
      </w:r>
      <w:r w:rsidR="00FB4EC4" w:rsidRPr="00BD0B05">
        <w:t>This systematic configuration distinguishes the model from other Agri-Fintech approaches that are still functionally fragmented.</w:t>
      </w:r>
      <w:r w:rsidR="00EF39B1" w:rsidRPr="00BD0B05">
        <w:t xml:space="preserve"> </w:t>
      </w:r>
      <w:r w:rsidRPr="00BD0B05">
        <w:t xml:space="preserve">The alignment between the literature-derived problem clusters summarized in Table </w:t>
      </w:r>
      <w:r w:rsidR="00E741B1" w:rsidRPr="00BD0B05">
        <w:t>1</w:t>
      </w:r>
      <w:r w:rsidRPr="00BD0B05">
        <w:t xml:space="preserve"> and the architectural configuration presented in Figure 1 strengthens the framework’s theoretical and structural grounding. Each design layer corresponds to a documented systemic </w:t>
      </w:r>
      <w:r w:rsidR="00E741B1" w:rsidRPr="00BD0B05">
        <w:t>vulnerability</w:t>
      </w:r>
      <w:r w:rsidR="00C34ACD" w:rsidRPr="00BD0B05">
        <w:t xml:space="preserve">. The </w:t>
      </w:r>
      <w:r w:rsidRPr="00BD0B05">
        <w:t xml:space="preserve">interdependence among </w:t>
      </w:r>
      <w:r w:rsidR="00E741B1" w:rsidRPr="00BD0B05">
        <w:t xml:space="preserve">the </w:t>
      </w:r>
      <w:r w:rsidRPr="00BD0B05">
        <w:t xml:space="preserve">layers ensures that improvements in access, automation, security, or monitoring do not occur in isolation. </w:t>
      </w:r>
      <w:r w:rsidR="00E741B1" w:rsidRPr="00BD0B05">
        <w:t>Hence, t</w:t>
      </w:r>
      <w:r w:rsidRPr="00BD0B05">
        <w:t>he framework contributes a cohesive socio-technical design logic that connects inclusion, execution integrity and institutional accountability within a single operational continuum.</w:t>
      </w:r>
    </w:p>
    <w:p w14:paraId="6F1D5C49" w14:textId="77764794" w:rsidR="009C5CC7" w:rsidRPr="00BD0B05" w:rsidRDefault="0066215C" w:rsidP="006D7FF9">
      <w:pPr>
        <w:pStyle w:val="NormalWeb"/>
        <w:spacing w:line="276" w:lineRule="auto"/>
        <w:jc w:val="both"/>
      </w:pPr>
      <w:r w:rsidRPr="00BD0B05">
        <w:t>More importantly, it establishes a structured foundation upon which empirical prototyping, field validation and policy experimentation can be systematically built. This study advances both theory and practice by repositioning agricultural digital finance as an executable system architecture problem instead of a platform deployment. It offers a replicable design blueprint suitable for phased institutional implementation while preserving conceptual coherence.</w:t>
      </w:r>
    </w:p>
    <w:p w14:paraId="002B58E8" w14:textId="0A118A0A" w:rsidR="00027DC3" w:rsidRPr="00BD0B05" w:rsidRDefault="00027DC3" w:rsidP="006D7FF9">
      <w:pPr>
        <w:pStyle w:val="NormalWeb"/>
        <w:spacing w:line="276" w:lineRule="auto"/>
        <w:jc w:val="both"/>
        <w:rPr>
          <w:b/>
          <w:bCs/>
        </w:rPr>
      </w:pPr>
      <w:r w:rsidRPr="00BD0B05">
        <w:rPr>
          <w:b/>
          <w:bCs/>
        </w:rPr>
        <w:t>Conclusion</w:t>
      </w:r>
    </w:p>
    <w:p w14:paraId="5ECF8D36" w14:textId="5D1CD1CF" w:rsidR="00AF77FF" w:rsidRPr="00BD0B05" w:rsidRDefault="00A6071B" w:rsidP="006D7FF9">
      <w:pPr>
        <w:pStyle w:val="NormalWeb"/>
        <w:spacing w:line="276" w:lineRule="auto"/>
        <w:jc w:val="both"/>
      </w:pPr>
      <w:r w:rsidRPr="00BD0B05">
        <w:t>This study addressed the structural fragmentation of agricultural finance in Nigeria by developing a Design Science</w:t>
      </w:r>
      <w:r w:rsidR="00AF77FF" w:rsidRPr="00BD0B05">
        <w:t>-</w:t>
      </w:r>
      <w:r w:rsidRPr="00BD0B05">
        <w:t>grounded ICT-based automation architecture that integrates stakeholder data formalization, interoperable access, intelligent decision logic, secure execution and adaptive monitoring within a single coherent system.</w:t>
      </w:r>
      <w:r w:rsidR="00AF77FF" w:rsidRPr="00BD0B05">
        <w:t xml:space="preserve"> The study reframed agricultural inclusion as an executable system design issue rather than examining digital finance adoption in isolation.</w:t>
      </w:r>
    </w:p>
    <w:p w14:paraId="52EEA670" w14:textId="35A9DF70" w:rsidR="00AF77FF" w:rsidRPr="00BD0B05" w:rsidRDefault="00A6071B" w:rsidP="006D7FF9">
      <w:pPr>
        <w:pStyle w:val="NormalWeb"/>
        <w:spacing w:line="276" w:lineRule="auto"/>
        <w:jc w:val="both"/>
      </w:pPr>
      <w:r w:rsidRPr="00BD0B05">
        <w:lastRenderedPageBreak/>
        <w:t>The contribution</w:t>
      </w:r>
      <w:r w:rsidR="00BC6E01" w:rsidRPr="00BD0B05">
        <w:t xml:space="preserve"> of this study</w:t>
      </w:r>
      <w:r w:rsidRPr="00BD0B05">
        <w:t xml:space="preserve"> is threefold. </w:t>
      </w:r>
      <w:r w:rsidR="00BC6E01" w:rsidRPr="00BD0B05">
        <w:t xml:space="preserve">First, it advances scholarship in digital agricultural finance by moving away from modular service interventions and toward an integrated automation-centric architecture. Secondly, it demonstrates how interoperability, embedded intelligence and execution transparency may be structurally aligned with a context-aware blueprint designed for high-risk and low-connectivity environments. </w:t>
      </w:r>
      <w:r w:rsidRPr="00BD0B05">
        <w:t xml:space="preserve">Third, </w:t>
      </w:r>
      <w:r w:rsidR="00BC6E01" w:rsidRPr="00BD0B05">
        <w:t>by explicitly tracing gaps found in the literature to architectural components</w:t>
      </w:r>
      <w:r w:rsidRPr="00BD0B05">
        <w:t xml:space="preserve">, the study strengthens design rigor and </w:t>
      </w:r>
      <w:r w:rsidR="00BC6E01" w:rsidRPr="00BD0B05">
        <w:t xml:space="preserve">provides </w:t>
      </w:r>
      <w:r w:rsidRPr="00BD0B05">
        <w:t xml:space="preserve">a replicable model for artefact-based research </w:t>
      </w:r>
      <w:r w:rsidR="00E85F3F" w:rsidRPr="00BD0B05">
        <w:t>with respect to</w:t>
      </w:r>
      <w:r w:rsidRPr="00BD0B05">
        <w:t xml:space="preserve"> developing-countr</w:t>
      </w:r>
      <w:r w:rsidR="00E85F3F" w:rsidRPr="00BD0B05">
        <w:t>ies</w:t>
      </w:r>
      <w:r w:rsidRPr="00BD0B05">
        <w:t>.</w:t>
      </w:r>
      <w:r w:rsidR="00BC6E01" w:rsidRPr="00BD0B05">
        <w:t xml:space="preserve"> </w:t>
      </w:r>
    </w:p>
    <w:p w14:paraId="1A1F5307" w14:textId="0A953A95" w:rsidR="00E85F3F" w:rsidRPr="00BD0B05" w:rsidRDefault="00E85F3F" w:rsidP="006D7FF9">
      <w:pPr>
        <w:pStyle w:val="NormalWeb"/>
        <w:spacing w:line="276" w:lineRule="auto"/>
        <w:jc w:val="both"/>
      </w:pPr>
      <w:r w:rsidRPr="00BD0B05">
        <w:t>In practical terms,</w:t>
      </w:r>
      <w:r w:rsidR="00A6071B" w:rsidRPr="00BD0B05">
        <w:t xml:space="preserve"> the framework provides policymakers and financial institutions with a modular yet unified reference for structuring scalable digital agricultural finance systems. It </w:t>
      </w:r>
      <w:r w:rsidRPr="00BD0B05">
        <w:t xml:space="preserve">prioritises </w:t>
      </w:r>
      <w:r w:rsidR="00A6071B" w:rsidRPr="00BD0B05">
        <w:t xml:space="preserve">systemic integration over standalone platform development, thereby supporting coordinated and sustainable inclusion </w:t>
      </w:r>
      <w:r w:rsidRPr="00BD0B05">
        <w:t>policies</w:t>
      </w:r>
      <w:r w:rsidR="00A6071B" w:rsidRPr="00BD0B05">
        <w:t>.</w:t>
      </w:r>
      <w:r w:rsidR="009C5CC7" w:rsidRPr="00BD0B05">
        <w:t xml:space="preserve"> </w:t>
      </w:r>
      <w:r w:rsidR="00A6071B" w:rsidRPr="00BD0B05">
        <w:t>The framework remains conceptual and has not undergone empirical deployment. Future research should prioritize prototyping, pilot implementation and quantitative validation of performance, usability and institutional impact. Extensions may incorporate climate risk analytics, real-time agricultural data streams and cross-regional comparative testing to refine adaptability and scalability.</w:t>
      </w:r>
      <w:r w:rsidRPr="00BD0B05">
        <w:t xml:space="preserve"> </w:t>
      </w:r>
    </w:p>
    <w:p w14:paraId="73BEF04F" w14:textId="62CDE0F7" w:rsidR="00A6071B" w:rsidRPr="00BD0B05" w:rsidRDefault="00E85F3F" w:rsidP="006D7FF9">
      <w:pPr>
        <w:pStyle w:val="NormalWeb"/>
        <w:spacing w:line="276" w:lineRule="auto"/>
        <w:jc w:val="both"/>
      </w:pPr>
      <w:r w:rsidRPr="00BD0B05">
        <w:t>T</w:t>
      </w:r>
      <w:r w:rsidR="00A6071B" w:rsidRPr="00BD0B05">
        <w:t xml:space="preserve">he study demonstrates that sustainable agricultural finance requires integrated automation architectures rather than incremental digitization. </w:t>
      </w:r>
      <w:r w:rsidRPr="00BD0B05">
        <w:t xml:space="preserve">It </w:t>
      </w:r>
      <w:r w:rsidR="00A6071B" w:rsidRPr="00BD0B05">
        <w:t>establishes a structured foundation for empirical advancement and policy-oriented system development in ICT-enabled agricultural finance.</w:t>
      </w:r>
    </w:p>
    <w:p w14:paraId="6BAF5C96" w14:textId="3F5E4082" w:rsidR="00E43F29" w:rsidRPr="00BD0B05" w:rsidRDefault="00E43F29" w:rsidP="006D7FF9">
      <w:pPr>
        <w:pStyle w:val="NormalWeb"/>
        <w:spacing w:line="276" w:lineRule="auto"/>
        <w:jc w:val="both"/>
        <w:rPr>
          <w:b/>
          <w:bCs/>
        </w:rPr>
      </w:pPr>
      <w:r w:rsidRPr="00BD0B05">
        <w:rPr>
          <w:b/>
          <w:bCs/>
        </w:rPr>
        <w:t xml:space="preserve">References </w:t>
      </w:r>
    </w:p>
    <w:p w14:paraId="02D24ECD" w14:textId="3C27ABB0"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Adegbite, O. O. (2021). </w:t>
      </w:r>
      <w:r w:rsidRPr="00566257">
        <w:rPr>
          <w:rFonts w:ascii="Times New Roman" w:eastAsia="Times New Roman" w:hAnsi="Times New Roman" w:cs="Times New Roman"/>
          <w:i/>
          <w:iCs/>
          <w:sz w:val="24"/>
          <w:szCs w:val="24"/>
          <w:lang w:eastAsia="en-CA"/>
        </w:rPr>
        <w:t>Financial inclusion of rural smallholder farmers in Nigeria: Measurement issues, impact on livelihood and implications for policy interventions</w:t>
      </w:r>
      <w:r w:rsidRPr="00566257">
        <w:rPr>
          <w:rFonts w:ascii="Times New Roman" w:eastAsia="Times New Roman" w:hAnsi="Times New Roman" w:cs="Times New Roman"/>
          <w:sz w:val="24"/>
          <w:szCs w:val="24"/>
          <w:lang w:eastAsia="en-CA"/>
        </w:rPr>
        <w:t xml:space="preserve"> </w:t>
      </w:r>
      <w:r w:rsidR="004F49A9" w:rsidRPr="00BD0B05">
        <w:rPr>
          <w:rFonts w:ascii="Times New Roman" w:hAnsi="Times New Roman" w:cs="Times New Roman"/>
          <w:sz w:val="24"/>
          <w:szCs w:val="24"/>
        </w:rPr>
        <w:t xml:space="preserve">(Publication No. 23846) [Doctoral dissertation, University of Pretoria]. </w:t>
      </w:r>
      <w:proofErr w:type="spellStart"/>
      <w:r w:rsidR="004F49A9" w:rsidRPr="00BD0B05">
        <w:rPr>
          <w:rFonts w:ascii="Times New Roman" w:hAnsi="Times New Roman" w:cs="Times New Roman"/>
          <w:sz w:val="24"/>
          <w:szCs w:val="24"/>
        </w:rPr>
        <w:t>UPSpace</w:t>
      </w:r>
      <w:proofErr w:type="spellEnd"/>
      <w:r w:rsidR="004F49A9" w:rsidRPr="00BD0B05">
        <w:rPr>
          <w:rFonts w:ascii="Times New Roman" w:hAnsi="Times New Roman" w:cs="Times New Roman"/>
          <w:sz w:val="24"/>
          <w:szCs w:val="24"/>
        </w:rPr>
        <w:t xml:space="preserve"> Institutional Repository</w:t>
      </w:r>
      <w:r w:rsidRPr="00566257">
        <w:rPr>
          <w:rFonts w:ascii="Times New Roman" w:eastAsia="Times New Roman" w:hAnsi="Times New Roman" w:cs="Times New Roman"/>
          <w:sz w:val="24"/>
          <w:szCs w:val="24"/>
          <w:lang w:eastAsia="en-CA"/>
        </w:rPr>
        <w:t>.</w:t>
      </w:r>
    </w:p>
    <w:p w14:paraId="5925AD44"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proofErr w:type="spellStart"/>
      <w:r w:rsidRPr="00566257">
        <w:rPr>
          <w:rFonts w:ascii="Times New Roman" w:eastAsia="Times New Roman" w:hAnsi="Times New Roman" w:cs="Times New Roman"/>
          <w:sz w:val="24"/>
          <w:szCs w:val="24"/>
          <w:lang w:eastAsia="en-CA"/>
        </w:rPr>
        <w:t>Adesiyan</w:t>
      </w:r>
      <w:proofErr w:type="spellEnd"/>
      <w:r w:rsidRPr="00566257">
        <w:rPr>
          <w:rFonts w:ascii="Times New Roman" w:eastAsia="Times New Roman" w:hAnsi="Times New Roman" w:cs="Times New Roman"/>
          <w:sz w:val="24"/>
          <w:szCs w:val="24"/>
          <w:lang w:eastAsia="en-CA"/>
        </w:rPr>
        <w:t xml:space="preserve">, T. (2025). Leveraging agricultural credit and digital finance for enhancing smallholder productivity and rural economic growth. </w:t>
      </w:r>
      <w:r w:rsidRPr="00566257">
        <w:rPr>
          <w:rFonts w:ascii="Times New Roman" w:eastAsia="Times New Roman" w:hAnsi="Times New Roman" w:cs="Times New Roman"/>
          <w:i/>
          <w:iCs/>
          <w:sz w:val="24"/>
          <w:szCs w:val="24"/>
          <w:lang w:eastAsia="en-CA"/>
        </w:rPr>
        <w:t>International Journal of Research Publication and Reviews</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6</w:t>
      </w:r>
      <w:r w:rsidRPr="00566257">
        <w:rPr>
          <w:rFonts w:ascii="Times New Roman" w:eastAsia="Times New Roman" w:hAnsi="Times New Roman" w:cs="Times New Roman"/>
          <w:sz w:val="24"/>
          <w:szCs w:val="24"/>
          <w:lang w:eastAsia="en-CA"/>
        </w:rPr>
        <w:t>(8), 3090.</w:t>
      </w:r>
    </w:p>
    <w:p w14:paraId="1574FCA6"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proofErr w:type="spellStart"/>
      <w:r w:rsidRPr="00566257">
        <w:rPr>
          <w:rFonts w:ascii="Times New Roman" w:eastAsia="Times New Roman" w:hAnsi="Times New Roman" w:cs="Times New Roman"/>
          <w:sz w:val="24"/>
          <w:szCs w:val="24"/>
          <w:lang w:eastAsia="en-CA"/>
        </w:rPr>
        <w:t>Adesugba</w:t>
      </w:r>
      <w:proofErr w:type="spellEnd"/>
      <w:r w:rsidRPr="00566257">
        <w:rPr>
          <w:rFonts w:ascii="Times New Roman" w:eastAsia="Times New Roman" w:hAnsi="Times New Roman" w:cs="Times New Roman"/>
          <w:sz w:val="24"/>
          <w:szCs w:val="24"/>
          <w:lang w:eastAsia="en-CA"/>
        </w:rPr>
        <w:t xml:space="preserve">, M., &amp; </w:t>
      </w:r>
      <w:proofErr w:type="spellStart"/>
      <w:r w:rsidRPr="00566257">
        <w:rPr>
          <w:rFonts w:ascii="Times New Roman" w:eastAsia="Times New Roman" w:hAnsi="Times New Roman" w:cs="Times New Roman"/>
          <w:sz w:val="24"/>
          <w:szCs w:val="24"/>
          <w:lang w:eastAsia="en-CA"/>
        </w:rPr>
        <w:t>Mavrotas</w:t>
      </w:r>
      <w:proofErr w:type="spellEnd"/>
      <w:r w:rsidRPr="00566257">
        <w:rPr>
          <w:rFonts w:ascii="Times New Roman" w:eastAsia="Times New Roman" w:hAnsi="Times New Roman" w:cs="Times New Roman"/>
          <w:sz w:val="24"/>
          <w:szCs w:val="24"/>
          <w:lang w:eastAsia="en-CA"/>
        </w:rPr>
        <w:t xml:space="preserve">, G. (2020). Agricultural finance constraints in the Nigerian agricultural sector. </w:t>
      </w:r>
      <w:r w:rsidRPr="00566257">
        <w:rPr>
          <w:rFonts w:ascii="Times New Roman" w:eastAsia="Times New Roman" w:hAnsi="Times New Roman" w:cs="Times New Roman"/>
          <w:i/>
          <w:iCs/>
          <w:sz w:val="24"/>
          <w:szCs w:val="24"/>
          <w:lang w:eastAsia="en-CA"/>
        </w:rPr>
        <w:t>African Finance Journal</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22</w:t>
      </w:r>
      <w:r w:rsidRPr="00566257">
        <w:rPr>
          <w:rFonts w:ascii="Times New Roman" w:eastAsia="Times New Roman" w:hAnsi="Times New Roman" w:cs="Times New Roman"/>
          <w:sz w:val="24"/>
          <w:szCs w:val="24"/>
          <w:lang w:eastAsia="en-CA"/>
        </w:rPr>
        <w:t>(2), 1–21.</w:t>
      </w:r>
    </w:p>
    <w:p w14:paraId="1AA3819A" w14:textId="77777777" w:rsidR="004F49A9" w:rsidRPr="00BD0B05" w:rsidRDefault="004F49A9"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proofErr w:type="spellStart"/>
      <w:r w:rsidRPr="00BD0B05">
        <w:rPr>
          <w:rFonts w:ascii="Times New Roman" w:eastAsia="Times New Roman" w:hAnsi="Times New Roman" w:cs="Times New Roman"/>
          <w:sz w:val="24"/>
          <w:szCs w:val="24"/>
          <w:lang w:eastAsia="en-CA"/>
        </w:rPr>
        <w:t>Ajuwon</w:t>
      </w:r>
      <w:proofErr w:type="spellEnd"/>
      <w:r w:rsidRPr="00BD0B05">
        <w:rPr>
          <w:rFonts w:ascii="Times New Roman" w:eastAsia="Times New Roman" w:hAnsi="Times New Roman" w:cs="Times New Roman"/>
          <w:sz w:val="24"/>
          <w:szCs w:val="24"/>
          <w:lang w:eastAsia="en-CA"/>
        </w:rPr>
        <w:t xml:space="preserve">, A., </w:t>
      </w:r>
      <w:proofErr w:type="spellStart"/>
      <w:r w:rsidRPr="00BD0B05">
        <w:rPr>
          <w:rFonts w:ascii="Times New Roman" w:eastAsia="Times New Roman" w:hAnsi="Times New Roman" w:cs="Times New Roman"/>
          <w:sz w:val="24"/>
          <w:szCs w:val="24"/>
          <w:lang w:eastAsia="en-CA"/>
        </w:rPr>
        <w:t>Oladuji</w:t>
      </w:r>
      <w:proofErr w:type="spellEnd"/>
      <w:r w:rsidRPr="00BD0B05">
        <w:rPr>
          <w:rFonts w:ascii="Times New Roman" w:eastAsia="Times New Roman" w:hAnsi="Times New Roman" w:cs="Times New Roman"/>
          <w:sz w:val="24"/>
          <w:szCs w:val="24"/>
          <w:lang w:eastAsia="en-CA"/>
        </w:rPr>
        <w:t xml:space="preserve">, T. J., </w:t>
      </w:r>
      <w:proofErr w:type="spellStart"/>
      <w:r w:rsidRPr="00BD0B05">
        <w:rPr>
          <w:rFonts w:ascii="Times New Roman" w:eastAsia="Times New Roman" w:hAnsi="Times New Roman" w:cs="Times New Roman"/>
          <w:sz w:val="24"/>
          <w:szCs w:val="24"/>
          <w:lang w:eastAsia="en-CA"/>
        </w:rPr>
        <w:t>Akintobi</w:t>
      </w:r>
      <w:proofErr w:type="spellEnd"/>
      <w:r w:rsidRPr="00BD0B05">
        <w:rPr>
          <w:rFonts w:ascii="Times New Roman" w:eastAsia="Times New Roman" w:hAnsi="Times New Roman" w:cs="Times New Roman"/>
          <w:sz w:val="24"/>
          <w:szCs w:val="24"/>
          <w:lang w:eastAsia="en-CA"/>
        </w:rPr>
        <w:t xml:space="preserve">, A. O., &amp; </w:t>
      </w:r>
      <w:proofErr w:type="spellStart"/>
      <w:r w:rsidRPr="00BD0B05">
        <w:rPr>
          <w:rFonts w:ascii="Times New Roman" w:eastAsia="Times New Roman" w:hAnsi="Times New Roman" w:cs="Times New Roman"/>
          <w:sz w:val="24"/>
          <w:szCs w:val="24"/>
          <w:lang w:eastAsia="en-CA"/>
        </w:rPr>
        <w:t>Onifade</w:t>
      </w:r>
      <w:proofErr w:type="spellEnd"/>
      <w:r w:rsidRPr="00BD0B05">
        <w:rPr>
          <w:rFonts w:ascii="Times New Roman" w:eastAsia="Times New Roman" w:hAnsi="Times New Roman" w:cs="Times New Roman"/>
          <w:sz w:val="24"/>
          <w:szCs w:val="24"/>
          <w:lang w:eastAsia="en-CA"/>
        </w:rPr>
        <w:t xml:space="preserve">, O. (2024). A model for financial automation in developing economies: Integrating AI with payment systems and credit scoring tools. </w:t>
      </w:r>
      <w:proofErr w:type="spellStart"/>
      <w:r w:rsidRPr="00BD0B05">
        <w:rPr>
          <w:rFonts w:ascii="Times New Roman" w:eastAsia="Times New Roman" w:hAnsi="Times New Roman" w:cs="Times New Roman"/>
          <w:i/>
          <w:iCs/>
          <w:sz w:val="24"/>
          <w:szCs w:val="24"/>
          <w:lang w:eastAsia="en-CA"/>
        </w:rPr>
        <w:t>Gyanshauryam</w:t>
      </w:r>
      <w:proofErr w:type="spellEnd"/>
      <w:r w:rsidRPr="00BD0B05">
        <w:rPr>
          <w:rFonts w:ascii="Times New Roman" w:eastAsia="Times New Roman" w:hAnsi="Times New Roman" w:cs="Times New Roman"/>
          <w:i/>
          <w:iCs/>
          <w:sz w:val="24"/>
          <w:szCs w:val="24"/>
          <w:lang w:eastAsia="en-CA"/>
        </w:rPr>
        <w:t xml:space="preserve"> International Scientific Refereed Research Journal</w:t>
      </w:r>
      <w:r w:rsidRPr="00BD0B05">
        <w:rPr>
          <w:rFonts w:ascii="Times New Roman" w:eastAsia="Times New Roman" w:hAnsi="Times New Roman" w:cs="Times New Roman"/>
          <w:sz w:val="24"/>
          <w:szCs w:val="24"/>
          <w:lang w:eastAsia="en-CA"/>
        </w:rPr>
        <w:t>, 7(6), 161–205.</w:t>
      </w:r>
    </w:p>
    <w:p w14:paraId="47E4DDAE" w14:textId="2A019AFC"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lastRenderedPageBreak/>
        <w:t xml:space="preserve">Aker, J. C., &amp; Mbiti, I. M. (2010). Mobile phones and economic development in Africa. </w:t>
      </w:r>
      <w:r w:rsidRPr="00566257">
        <w:rPr>
          <w:rFonts w:ascii="Times New Roman" w:eastAsia="Times New Roman" w:hAnsi="Times New Roman" w:cs="Times New Roman"/>
          <w:i/>
          <w:iCs/>
          <w:sz w:val="24"/>
          <w:szCs w:val="24"/>
          <w:lang w:eastAsia="en-CA"/>
        </w:rPr>
        <w:t>Journal of Economic Perspectives</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24</w:t>
      </w:r>
      <w:r w:rsidRPr="00566257">
        <w:rPr>
          <w:rFonts w:ascii="Times New Roman" w:eastAsia="Times New Roman" w:hAnsi="Times New Roman" w:cs="Times New Roman"/>
          <w:sz w:val="24"/>
          <w:szCs w:val="24"/>
          <w:lang w:eastAsia="en-CA"/>
        </w:rPr>
        <w:t xml:space="preserve">(3), 207–232. </w:t>
      </w:r>
      <w:hyperlink r:id="rId17" w:tgtFrame="_blank" w:history="1">
        <w:r w:rsidRPr="00566257">
          <w:rPr>
            <w:rFonts w:ascii="Times New Roman" w:eastAsia="Times New Roman" w:hAnsi="Times New Roman" w:cs="Times New Roman"/>
            <w:sz w:val="24"/>
            <w:szCs w:val="24"/>
            <w:lang w:eastAsia="en-CA"/>
          </w:rPr>
          <w:t>https://doi.org/10.1257/jep.24.3.207</w:t>
        </w:r>
      </w:hyperlink>
    </w:p>
    <w:p w14:paraId="321935AD"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proofErr w:type="spellStart"/>
      <w:r w:rsidRPr="00566257">
        <w:rPr>
          <w:rFonts w:ascii="Times New Roman" w:eastAsia="Times New Roman" w:hAnsi="Times New Roman" w:cs="Times New Roman"/>
          <w:sz w:val="24"/>
          <w:szCs w:val="24"/>
          <w:lang w:eastAsia="en-CA"/>
        </w:rPr>
        <w:t>Balana</w:t>
      </w:r>
      <w:proofErr w:type="spellEnd"/>
      <w:r w:rsidRPr="00566257">
        <w:rPr>
          <w:rFonts w:ascii="Times New Roman" w:eastAsia="Times New Roman" w:hAnsi="Times New Roman" w:cs="Times New Roman"/>
          <w:sz w:val="24"/>
          <w:szCs w:val="24"/>
          <w:lang w:eastAsia="en-CA"/>
        </w:rPr>
        <w:t xml:space="preserve">, B. B., &amp; Oyeyemi, M. A. (2022). Agricultural credit constraints in smallholder farming in developing countries: Evidence from Nigeria. </w:t>
      </w:r>
      <w:r w:rsidRPr="00566257">
        <w:rPr>
          <w:rFonts w:ascii="Times New Roman" w:eastAsia="Times New Roman" w:hAnsi="Times New Roman" w:cs="Times New Roman"/>
          <w:i/>
          <w:iCs/>
          <w:sz w:val="24"/>
          <w:szCs w:val="24"/>
          <w:lang w:eastAsia="en-CA"/>
        </w:rPr>
        <w:t>World Development Sustainability</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1</w:t>
      </w:r>
      <w:r w:rsidRPr="00566257">
        <w:rPr>
          <w:rFonts w:ascii="Times New Roman" w:eastAsia="Times New Roman" w:hAnsi="Times New Roman" w:cs="Times New Roman"/>
          <w:sz w:val="24"/>
          <w:szCs w:val="24"/>
          <w:lang w:eastAsia="en-CA"/>
        </w:rPr>
        <w:t xml:space="preserve">, 100012. </w:t>
      </w:r>
      <w:hyperlink r:id="rId18" w:tgtFrame="_blank" w:history="1">
        <w:r w:rsidRPr="00566257">
          <w:rPr>
            <w:rFonts w:ascii="Times New Roman" w:eastAsia="Times New Roman" w:hAnsi="Times New Roman" w:cs="Times New Roman"/>
            <w:sz w:val="24"/>
            <w:szCs w:val="24"/>
            <w:lang w:eastAsia="en-CA"/>
          </w:rPr>
          <w:t>https://doi.org/10.1016/j.wds.2022.100012</w:t>
        </w:r>
      </w:hyperlink>
    </w:p>
    <w:p w14:paraId="0C2D030B"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Banerjee, A., </w:t>
      </w:r>
      <w:proofErr w:type="spellStart"/>
      <w:r w:rsidRPr="00566257">
        <w:rPr>
          <w:rFonts w:ascii="Times New Roman" w:eastAsia="Times New Roman" w:hAnsi="Times New Roman" w:cs="Times New Roman"/>
          <w:sz w:val="24"/>
          <w:szCs w:val="24"/>
          <w:lang w:eastAsia="en-CA"/>
        </w:rPr>
        <w:t>Karlan</w:t>
      </w:r>
      <w:proofErr w:type="spellEnd"/>
      <w:r w:rsidRPr="00566257">
        <w:rPr>
          <w:rFonts w:ascii="Times New Roman" w:eastAsia="Times New Roman" w:hAnsi="Times New Roman" w:cs="Times New Roman"/>
          <w:sz w:val="24"/>
          <w:szCs w:val="24"/>
          <w:lang w:eastAsia="en-CA"/>
        </w:rPr>
        <w:t xml:space="preserve">, D., &amp; </w:t>
      </w:r>
      <w:proofErr w:type="spellStart"/>
      <w:r w:rsidRPr="00566257">
        <w:rPr>
          <w:rFonts w:ascii="Times New Roman" w:eastAsia="Times New Roman" w:hAnsi="Times New Roman" w:cs="Times New Roman"/>
          <w:sz w:val="24"/>
          <w:szCs w:val="24"/>
          <w:lang w:eastAsia="en-CA"/>
        </w:rPr>
        <w:t>Zinman</w:t>
      </w:r>
      <w:proofErr w:type="spellEnd"/>
      <w:r w:rsidRPr="00566257">
        <w:rPr>
          <w:rFonts w:ascii="Times New Roman" w:eastAsia="Times New Roman" w:hAnsi="Times New Roman" w:cs="Times New Roman"/>
          <w:sz w:val="24"/>
          <w:szCs w:val="24"/>
          <w:lang w:eastAsia="en-CA"/>
        </w:rPr>
        <w:t xml:space="preserve">, J. (2015). Six randomized evaluations of microcredit: Introduction and further steps. </w:t>
      </w:r>
      <w:r w:rsidRPr="00566257">
        <w:rPr>
          <w:rFonts w:ascii="Times New Roman" w:eastAsia="Times New Roman" w:hAnsi="Times New Roman" w:cs="Times New Roman"/>
          <w:i/>
          <w:iCs/>
          <w:sz w:val="24"/>
          <w:szCs w:val="24"/>
          <w:lang w:eastAsia="en-CA"/>
        </w:rPr>
        <w:t>American Economic Journal: Applied Economics</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7</w:t>
      </w:r>
      <w:r w:rsidRPr="00566257">
        <w:rPr>
          <w:rFonts w:ascii="Times New Roman" w:eastAsia="Times New Roman" w:hAnsi="Times New Roman" w:cs="Times New Roman"/>
          <w:sz w:val="24"/>
          <w:szCs w:val="24"/>
          <w:lang w:eastAsia="en-CA"/>
        </w:rPr>
        <w:t xml:space="preserve">(1), 1–21. </w:t>
      </w:r>
      <w:hyperlink r:id="rId19" w:tgtFrame="_blank" w:history="1">
        <w:r w:rsidRPr="00566257">
          <w:rPr>
            <w:rFonts w:ascii="Times New Roman" w:eastAsia="Times New Roman" w:hAnsi="Times New Roman" w:cs="Times New Roman"/>
            <w:sz w:val="24"/>
            <w:szCs w:val="24"/>
            <w:lang w:eastAsia="en-CA"/>
          </w:rPr>
          <w:t>https://doi.org/10.1257/app.20140287</w:t>
        </w:r>
      </w:hyperlink>
    </w:p>
    <w:p w14:paraId="35DA84A1" w14:textId="439370B8"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Benni, N. (2024). </w:t>
      </w:r>
      <w:r w:rsidRPr="00566257">
        <w:rPr>
          <w:rFonts w:ascii="Times New Roman" w:eastAsia="Times New Roman" w:hAnsi="Times New Roman" w:cs="Times New Roman"/>
          <w:i/>
          <w:iCs/>
          <w:sz w:val="24"/>
          <w:szCs w:val="24"/>
          <w:lang w:eastAsia="en-CA"/>
        </w:rPr>
        <w:t>The design and implementation of Technical Assistance Facilities to unlock agribusiness investment: Taking stock of recent experiences</w:t>
      </w:r>
      <w:r w:rsidRPr="00566257">
        <w:rPr>
          <w:rFonts w:ascii="Times New Roman" w:eastAsia="Times New Roman" w:hAnsi="Times New Roman" w:cs="Times New Roman"/>
          <w:sz w:val="24"/>
          <w:szCs w:val="24"/>
          <w:lang w:eastAsia="en-CA"/>
        </w:rPr>
        <w:t xml:space="preserve">. </w:t>
      </w:r>
      <w:r w:rsidR="004F49A9" w:rsidRPr="00BD0B05">
        <w:rPr>
          <w:rFonts w:ascii="Times New Roman" w:eastAsia="Times New Roman" w:hAnsi="Times New Roman" w:cs="Times New Roman"/>
          <w:sz w:val="24"/>
          <w:szCs w:val="24"/>
          <w:lang w:eastAsia="en-CA"/>
        </w:rPr>
        <w:t>FAO Agricultural Development Economics Technical Study No. 30. Food and Agriculture Organization of the United Nations. https://doi.org/10.4060/cc9534en</w:t>
      </w:r>
      <w:r w:rsidRPr="00566257">
        <w:rPr>
          <w:rFonts w:ascii="Times New Roman" w:eastAsia="Times New Roman" w:hAnsi="Times New Roman" w:cs="Times New Roman"/>
          <w:sz w:val="24"/>
          <w:szCs w:val="24"/>
          <w:lang w:eastAsia="en-CA"/>
        </w:rPr>
        <w:t>.</w:t>
      </w:r>
    </w:p>
    <w:p w14:paraId="1B1EE0D8"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Carter, M. R., de </w:t>
      </w:r>
      <w:proofErr w:type="spellStart"/>
      <w:r w:rsidRPr="00566257">
        <w:rPr>
          <w:rFonts w:ascii="Times New Roman" w:eastAsia="Times New Roman" w:hAnsi="Times New Roman" w:cs="Times New Roman"/>
          <w:sz w:val="24"/>
          <w:szCs w:val="24"/>
          <w:lang w:eastAsia="en-CA"/>
        </w:rPr>
        <w:t>Janvry</w:t>
      </w:r>
      <w:proofErr w:type="spellEnd"/>
      <w:r w:rsidRPr="00566257">
        <w:rPr>
          <w:rFonts w:ascii="Times New Roman" w:eastAsia="Times New Roman" w:hAnsi="Times New Roman" w:cs="Times New Roman"/>
          <w:sz w:val="24"/>
          <w:szCs w:val="24"/>
          <w:lang w:eastAsia="en-CA"/>
        </w:rPr>
        <w:t xml:space="preserve">, A., </w:t>
      </w:r>
      <w:proofErr w:type="spellStart"/>
      <w:r w:rsidRPr="00566257">
        <w:rPr>
          <w:rFonts w:ascii="Times New Roman" w:eastAsia="Times New Roman" w:hAnsi="Times New Roman" w:cs="Times New Roman"/>
          <w:sz w:val="24"/>
          <w:szCs w:val="24"/>
          <w:lang w:eastAsia="en-CA"/>
        </w:rPr>
        <w:t>Sadoulet</w:t>
      </w:r>
      <w:proofErr w:type="spellEnd"/>
      <w:r w:rsidRPr="00566257">
        <w:rPr>
          <w:rFonts w:ascii="Times New Roman" w:eastAsia="Times New Roman" w:hAnsi="Times New Roman" w:cs="Times New Roman"/>
          <w:sz w:val="24"/>
          <w:szCs w:val="24"/>
          <w:lang w:eastAsia="en-CA"/>
        </w:rPr>
        <w:t xml:space="preserve">, E., &amp; Sarris, A. (2017). Index insurance for developing country agriculture: A reassessment. </w:t>
      </w:r>
      <w:r w:rsidRPr="00566257">
        <w:rPr>
          <w:rFonts w:ascii="Times New Roman" w:eastAsia="Times New Roman" w:hAnsi="Times New Roman" w:cs="Times New Roman"/>
          <w:i/>
          <w:iCs/>
          <w:sz w:val="24"/>
          <w:szCs w:val="24"/>
          <w:lang w:eastAsia="en-CA"/>
        </w:rPr>
        <w:t>Annual Review of Resource Economics</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9</w:t>
      </w:r>
      <w:r w:rsidRPr="00566257">
        <w:rPr>
          <w:rFonts w:ascii="Times New Roman" w:eastAsia="Times New Roman" w:hAnsi="Times New Roman" w:cs="Times New Roman"/>
          <w:sz w:val="24"/>
          <w:szCs w:val="24"/>
          <w:lang w:eastAsia="en-CA"/>
        </w:rPr>
        <w:t xml:space="preserve">, 421–438. </w:t>
      </w:r>
      <w:hyperlink r:id="rId20" w:tgtFrame="_blank" w:history="1">
        <w:r w:rsidRPr="00566257">
          <w:rPr>
            <w:rFonts w:ascii="Times New Roman" w:eastAsia="Times New Roman" w:hAnsi="Times New Roman" w:cs="Times New Roman"/>
            <w:sz w:val="24"/>
            <w:szCs w:val="24"/>
            <w:lang w:eastAsia="en-CA"/>
          </w:rPr>
          <w:t>https://doi.org/10.1146/annurev-resource-100516-053352</w:t>
        </w:r>
      </w:hyperlink>
    </w:p>
    <w:p w14:paraId="0AA47578"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Chaudhari, B., Verma, S. C. G., &amp; Somu, S. R. (2024). Transforming financial lending: A scalable microservices approach using AI and Spring Boot. </w:t>
      </w:r>
      <w:r w:rsidRPr="00566257">
        <w:rPr>
          <w:rFonts w:ascii="Times New Roman" w:eastAsia="Times New Roman" w:hAnsi="Times New Roman" w:cs="Times New Roman"/>
          <w:i/>
          <w:iCs/>
          <w:sz w:val="24"/>
          <w:szCs w:val="24"/>
          <w:lang w:eastAsia="en-CA"/>
        </w:rPr>
        <w:t>International Journal of Science, Research and Modern Technology</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3</w:t>
      </w:r>
      <w:r w:rsidRPr="00566257">
        <w:rPr>
          <w:rFonts w:ascii="Times New Roman" w:eastAsia="Times New Roman" w:hAnsi="Times New Roman" w:cs="Times New Roman"/>
          <w:sz w:val="24"/>
          <w:szCs w:val="24"/>
          <w:lang w:eastAsia="en-CA"/>
        </w:rPr>
        <w:t>, 72–81.</w:t>
      </w:r>
    </w:p>
    <w:p w14:paraId="623B3C81"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proofErr w:type="spellStart"/>
      <w:r w:rsidRPr="00566257">
        <w:rPr>
          <w:rFonts w:ascii="Times New Roman" w:eastAsia="Times New Roman" w:hAnsi="Times New Roman" w:cs="Times New Roman"/>
          <w:sz w:val="24"/>
          <w:szCs w:val="24"/>
          <w:lang w:eastAsia="en-CA"/>
        </w:rPr>
        <w:t>Croxson</w:t>
      </w:r>
      <w:proofErr w:type="spellEnd"/>
      <w:r w:rsidRPr="00566257">
        <w:rPr>
          <w:rFonts w:ascii="Times New Roman" w:eastAsia="Times New Roman" w:hAnsi="Times New Roman" w:cs="Times New Roman"/>
          <w:sz w:val="24"/>
          <w:szCs w:val="24"/>
          <w:lang w:eastAsia="en-CA"/>
        </w:rPr>
        <w:t xml:space="preserve">, K., Frost, J., </w:t>
      </w:r>
      <w:proofErr w:type="spellStart"/>
      <w:r w:rsidRPr="00566257">
        <w:rPr>
          <w:rFonts w:ascii="Times New Roman" w:eastAsia="Times New Roman" w:hAnsi="Times New Roman" w:cs="Times New Roman"/>
          <w:sz w:val="24"/>
          <w:szCs w:val="24"/>
          <w:lang w:eastAsia="en-CA"/>
        </w:rPr>
        <w:t>Gambacorta</w:t>
      </w:r>
      <w:proofErr w:type="spellEnd"/>
      <w:r w:rsidRPr="00566257">
        <w:rPr>
          <w:rFonts w:ascii="Times New Roman" w:eastAsia="Times New Roman" w:hAnsi="Times New Roman" w:cs="Times New Roman"/>
          <w:sz w:val="24"/>
          <w:szCs w:val="24"/>
          <w:lang w:eastAsia="en-CA"/>
        </w:rPr>
        <w:t xml:space="preserve">, L., &amp; </w:t>
      </w:r>
      <w:proofErr w:type="spellStart"/>
      <w:r w:rsidRPr="00566257">
        <w:rPr>
          <w:rFonts w:ascii="Times New Roman" w:eastAsia="Times New Roman" w:hAnsi="Times New Roman" w:cs="Times New Roman"/>
          <w:sz w:val="24"/>
          <w:szCs w:val="24"/>
          <w:lang w:eastAsia="en-CA"/>
        </w:rPr>
        <w:t>Valletti</w:t>
      </w:r>
      <w:proofErr w:type="spellEnd"/>
      <w:r w:rsidRPr="00566257">
        <w:rPr>
          <w:rFonts w:ascii="Times New Roman" w:eastAsia="Times New Roman" w:hAnsi="Times New Roman" w:cs="Times New Roman"/>
          <w:sz w:val="24"/>
          <w:szCs w:val="24"/>
          <w:lang w:eastAsia="en-CA"/>
        </w:rPr>
        <w:t xml:space="preserve">, T. (2023). Platform-based business models and financial inclusion: Policy trade-offs and approaches. </w:t>
      </w:r>
      <w:r w:rsidRPr="00566257">
        <w:rPr>
          <w:rFonts w:ascii="Times New Roman" w:eastAsia="Times New Roman" w:hAnsi="Times New Roman" w:cs="Times New Roman"/>
          <w:i/>
          <w:iCs/>
          <w:sz w:val="24"/>
          <w:szCs w:val="24"/>
          <w:lang w:eastAsia="en-CA"/>
        </w:rPr>
        <w:t>Journal of Competition Law &amp; Economics</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19</w:t>
      </w:r>
      <w:r w:rsidRPr="00566257">
        <w:rPr>
          <w:rFonts w:ascii="Times New Roman" w:eastAsia="Times New Roman" w:hAnsi="Times New Roman" w:cs="Times New Roman"/>
          <w:sz w:val="24"/>
          <w:szCs w:val="24"/>
          <w:lang w:eastAsia="en-CA"/>
        </w:rPr>
        <w:t>(1), 75–102.</w:t>
      </w:r>
    </w:p>
    <w:p w14:paraId="158D1EBF"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Donovan, K. (2018). Mobile money, more freedom? The impact of M-PESA’s network power on development as freedom. </w:t>
      </w:r>
      <w:r w:rsidRPr="00566257">
        <w:rPr>
          <w:rFonts w:ascii="Times New Roman" w:eastAsia="Times New Roman" w:hAnsi="Times New Roman" w:cs="Times New Roman"/>
          <w:i/>
          <w:iCs/>
          <w:sz w:val="24"/>
          <w:szCs w:val="24"/>
          <w:lang w:eastAsia="en-CA"/>
        </w:rPr>
        <w:t>International Journal of Communication</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12</w:t>
      </w:r>
      <w:r w:rsidRPr="00566257">
        <w:rPr>
          <w:rFonts w:ascii="Times New Roman" w:eastAsia="Times New Roman" w:hAnsi="Times New Roman" w:cs="Times New Roman"/>
          <w:sz w:val="24"/>
          <w:szCs w:val="24"/>
          <w:lang w:eastAsia="en-CA"/>
        </w:rPr>
        <w:t>, 4702–4725.</w:t>
      </w:r>
    </w:p>
    <w:p w14:paraId="61E13EDB"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Elias, O., </w:t>
      </w:r>
      <w:proofErr w:type="spellStart"/>
      <w:r w:rsidRPr="00566257">
        <w:rPr>
          <w:rFonts w:ascii="Times New Roman" w:eastAsia="Times New Roman" w:hAnsi="Times New Roman" w:cs="Times New Roman"/>
          <w:sz w:val="24"/>
          <w:szCs w:val="24"/>
          <w:lang w:eastAsia="en-CA"/>
        </w:rPr>
        <w:t>Awotunde</w:t>
      </w:r>
      <w:proofErr w:type="spellEnd"/>
      <w:r w:rsidRPr="00566257">
        <w:rPr>
          <w:rFonts w:ascii="Times New Roman" w:eastAsia="Times New Roman" w:hAnsi="Times New Roman" w:cs="Times New Roman"/>
          <w:sz w:val="24"/>
          <w:szCs w:val="24"/>
          <w:lang w:eastAsia="en-CA"/>
        </w:rPr>
        <w:t xml:space="preserve">, O. J., </w:t>
      </w:r>
      <w:proofErr w:type="spellStart"/>
      <w:r w:rsidRPr="00566257">
        <w:rPr>
          <w:rFonts w:ascii="Times New Roman" w:eastAsia="Times New Roman" w:hAnsi="Times New Roman" w:cs="Times New Roman"/>
          <w:sz w:val="24"/>
          <w:szCs w:val="24"/>
          <w:lang w:eastAsia="en-CA"/>
        </w:rPr>
        <w:t>Oladepo</w:t>
      </w:r>
      <w:proofErr w:type="spellEnd"/>
      <w:r w:rsidRPr="00566257">
        <w:rPr>
          <w:rFonts w:ascii="Times New Roman" w:eastAsia="Times New Roman" w:hAnsi="Times New Roman" w:cs="Times New Roman"/>
          <w:sz w:val="24"/>
          <w:szCs w:val="24"/>
          <w:lang w:eastAsia="en-CA"/>
        </w:rPr>
        <w:t xml:space="preserve">, O. I., </w:t>
      </w:r>
      <w:proofErr w:type="spellStart"/>
      <w:r w:rsidRPr="00566257">
        <w:rPr>
          <w:rFonts w:ascii="Times New Roman" w:eastAsia="Times New Roman" w:hAnsi="Times New Roman" w:cs="Times New Roman"/>
          <w:sz w:val="24"/>
          <w:szCs w:val="24"/>
          <w:lang w:eastAsia="en-CA"/>
        </w:rPr>
        <w:t>Azuikpe</w:t>
      </w:r>
      <w:proofErr w:type="spellEnd"/>
      <w:r w:rsidRPr="00566257">
        <w:rPr>
          <w:rFonts w:ascii="Times New Roman" w:eastAsia="Times New Roman" w:hAnsi="Times New Roman" w:cs="Times New Roman"/>
          <w:sz w:val="24"/>
          <w:szCs w:val="24"/>
          <w:lang w:eastAsia="en-CA"/>
        </w:rPr>
        <w:t xml:space="preserve">, P. F., Samson, O. A., Oladele, O. R., &amp; </w:t>
      </w:r>
      <w:proofErr w:type="spellStart"/>
      <w:r w:rsidRPr="00566257">
        <w:rPr>
          <w:rFonts w:ascii="Times New Roman" w:eastAsia="Times New Roman" w:hAnsi="Times New Roman" w:cs="Times New Roman"/>
          <w:sz w:val="24"/>
          <w:szCs w:val="24"/>
          <w:lang w:eastAsia="en-CA"/>
        </w:rPr>
        <w:t>Ogunruku</w:t>
      </w:r>
      <w:proofErr w:type="spellEnd"/>
      <w:r w:rsidRPr="00566257">
        <w:rPr>
          <w:rFonts w:ascii="Times New Roman" w:eastAsia="Times New Roman" w:hAnsi="Times New Roman" w:cs="Times New Roman"/>
          <w:sz w:val="24"/>
          <w:szCs w:val="24"/>
          <w:lang w:eastAsia="en-CA"/>
        </w:rPr>
        <w:t xml:space="preserve">, O. O. (2024). The evolution of green fintech: Leveraging AI and IoT for sustainable financial services and smart contract implementation. </w:t>
      </w:r>
      <w:r w:rsidRPr="00566257">
        <w:rPr>
          <w:rFonts w:ascii="Times New Roman" w:eastAsia="Times New Roman" w:hAnsi="Times New Roman" w:cs="Times New Roman"/>
          <w:i/>
          <w:iCs/>
          <w:sz w:val="24"/>
          <w:szCs w:val="24"/>
          <w:lang w:eastAsia="en-CA"/>
        </w:rPr>
        <w:t>World Journal of Advanced Research and Reviews</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23</w:t>
      </w:r>
      <w:r w:rsidRPr="00566257">
        <w:rPr>
          <w:rFonts w:ascii="Times New Roman" w:eastAsia="Times New Roman" w:hAnsi="Times New Roman" w:cs="Times New Roman"/>
          <w:sz w:val="24"/>
          <w:szCs w:val="24"/>
          <w:lang w:eastAsia="en-CA"/>
        </w:rPr>
        <w:t>(1), 2710–2723.</w:t>
      </w:r>
    </w:p>
    <w:p w14:paraId="19353D9D" w14:textId="1688D15E"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proofErr w:type="spellStart"/>
      <w:r w:rsidRPr="00566257">
        <w:rPr>
          <w:rFonts w:ascii="Times New Roman" w:eastAsia="Times New Roman" w:hAnsi="Times New Roman" w:cs="Times New Roman"/>
          <w:sz w:val="24"/>
          <w:szCs w:val="24"/>
          <w:lang w:eastAsia="en-CA"/>
        </w:rPr>
        <w:t>Ezeomah</w:t>
      </w:r>
      <w:proofErr w:type="spellEnd"/>
      <w:r w:rsidRPr="00566257">
        <w:rPr>
          <w:rFonts w:ascii="Times New Roman" w:eastAsia="Times New Roman" w:hAnsi="Times New Roman" w:cs="Times New Roman"/>
          <w:sz w:val="24"/>
          <w:szCs w:val="24"/>
          <w:lang w:eastAsia="en-CA"/>
        </w:rPr>
        <w:t xml:space="preserve">, B. N. (2021). </w:t>
      </w:r>
      <w:r w:rsidRPr="00566257">
        <w:rPr>
          <w:rFonts w:ascii="Times New Roman" w:eastAsia="Times New Roman" w:hAnsi="Times New Roman" w:cs="Times New Roman"/>
          <w:i/>
          <w:iCs/>
          <w:sz w:val="24"/>
          <w:szCs w:val="24"/>
          <w:lang w:eastAsia="en-CA"/>
        </w:rPr>
        <w:t>The role of digital platforms in bridging institutional voids in financing agriculture: A Nigerian case study</w:t>
      </w:r>
      <w:r w:rsidRPr="00566257">
        <w:rPr>
          <w:rFonts w:ascii="Times New Roman" w:eastAsia="Times New Roman" w:hAnsi="Times New Roman" w:cs="Times New Roman"/>
          <w:sz w:val="24"/>
          <w:szCs w:val="24"/>
          <w:lang w:eastAsia="en-CA"/>
        </w:rPr>
        <w:t xml:space="preserve"> (Doctoral dissertation, University of Manchester).</w:t>
      </w:r>
      <w:r w:rsidR="004F49A9" w:rsidRPr="00BD0B05">
        <w:rPr>
          <w:rFonts w:ascii="Times New Roman" w:eastAsia="Times New Roman" w:hAnsi="Times New Roman" w:cs="Times New Roman"/>
          <w:sz w:val="24"/>
          <w:szCs w:val="24"/>
          <w:lang w:eastAsia="en-CA"/>
        </w:rPr>
        <w:t xml:space="preserve"> Research Explorer: The University of Manchester.</w:t>
      </w:r>
    </w:p>
    <w:p w14:paraId="2A8972A6"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lastRenderedPageBreak/>
        <w:t xml:space="preserve">Food and Agriculture Organization. (2021). </w:t>
      </w:r>
      <w:r w:rsidRPr="00566257">
        <w:rPr>
          <w:rFonts w:ascii="Times New Roman" w:eastAsia="Times New Roman" w:hAnsi="Times New Roman" w:cs="Times New Roman"/>
          <w:i/>
          <w:iCs/>
          <w:sz w:val="24"/>
          <w:szCs w:val="24"/>
          <w:lang w:eastAsia="en-CA"/>
        </w:rPr>
        <w:t xml:space="preserve">The state of food and agriculture 2021: Making </w:t>
      </w:r>
      <w:proofErr w:type="spellStart"/>
      <w:r w:rsidRPr="00566257">
        <w:rPr>
          <w:rFonts w:ascii="Times New Roman" w:eastAsia="Times New Roman" w:hAnsi="Times New Roman" w:cs="Times New Roman"/>
          <w:i/>
          <w:iCs/>
          <w:sz w:val="24"/>
          <w:szCs w:val="24"/>
          <w:lang w:eastAsia="en-CA"/>
        </w:rPr>
        <w:t>agrifood</w:t>
      </w:r>
      <w:proofErr w:type="spellEnd"/>
      <w:r w:rsidRPr="00566257">
        <w:rPr>
          <w:rFonts w:ascii="Times New Roman" w:eastAsia="Times New Roman" w:hAnsi="Times New Roman" w:cs="Times New Roman"/>
          <w:i/>
          <w:iCs/>
          <w:sz w:val="24"/>
          <w:szCs w:val="24"/>
          <w:lang w:eastAsia="en-CA"/>
        </w:rPr>
        <w:t xml:space="preserve"> systems more resilient to shocks and stresses</w:t>
      </w:r>
      <w:r w:rsidRPr="00566257">
        <w:rPr>
          <w:rFonts w:ascii="Times New Roman" w:eastAsia="Times New Roman" w:hAnsi="Times New Roman" w:cs="Times New Roman"/>
          <w:sz w:val="24"/>
          <w:szCs w:val="24"/>
          <w:lang w:eastAsia="en-CA"/>
        </w:rPr>
        <w:t xml:space="preserve">. FAO. </w:t>
      </w:r>
      <w:hyperlink r:id="rId21" w:tgtFrame="_blank" w:history="1">
        <w:r w:rsidRPr="00566257">
          <w:rPr>
            <w:rFonts w:ascii="Times New Roman" w:eastAsia="Times New Roman" w:hAnsi="Times New Roman" w:cs="Times New Roman"/>
            <w:sz w:val="24"/>
            <w:szCs w:val="24"/>
            <w:lang w:eastAsia="en-CA"/>
          </w:rPr>
          <w:t>https://doi.org/10.4060/cb4476en</w:t>
        </w:r>
      </w:hyperlink>
    </w:p>
    <w:p w14:paraId="76001023"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GSMA. (2022). </w:t>
      </w:r>
      <w:r w:rsidRPr="00566257">
        <w:rPr>
          <w:rFonts w:ascii="Times New Roman" w:eastAsia="Times New Roman" w:hAnsi="Times New Roman" w:cs="Times New Roman"/>
          <w:i/>
          <w:iCs/>
          <w:sz w:val="24"/>
          <w:szCs w:val="24"/>
          <w:lang w:eastAsia="en-CA"/>
        </w:rPr>
        <w:t>State of the industry report on mobile money 2022</w:t>
      </w:r>
      <w:r w:rsidRPr="00566257">
        <w:rPr>
          <w:rFonts w:ascii="Times New Roman" w:eastAsia="Times New Roman" w:hAnsi="Times New Roman" w:cs="Times New Roman"/>
          <w:sz w:val="24"/>
          <w:szCs w:val="24"/>
          <w:lang w:eastAsia="en-CA"/>
        </w:rPr>
        <w:t>. GSMA.</w:t>
      </w:r>
    </w:p>
    <w:p w14:paraId="7B77F3A4"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International Fund for Agricultural Development. (2020). </w:t>
      </w:r>
      <w:r w:rsidRPr="00566257">
        <w:rPr>
          <w:rFonts w:ascii="Times New Roman" w:eastAsia="Times New Roman" w:hAnsi="Times New Roman" w:cs="Times New Roman"/>
          <w:i/>
          <w:iCs/>
          <w:sz w:val="24"/>
          <w:szCs w:val="24"/>
          <w:lang w:eastAsia="en-CA"/>
        </w:rPr>
        <w:t>Rural development report 2019/2020: Creating opportunities for rural youth</w:t>
      </w:r>
      <w:r w:rsidRPr="00566257">
        <w:rPr>
          <w:rFonts w:ascii="Times New Roman" w:eastAsia="Times New Roman" w:hAnsi="Times New Roman" w:cs="Times New Roman"/>
          <w:sz w:val="24"/>
          <w:szCs w:val="24"/>
          <w:lang w:eastAsia="en-CA"/>
        </w:rPr>
        <w:t>. IFAD.</w:t>
      </w:r>
    </w:p>
    <w:p w14:paraId="43CACE31"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Jack, W., &amp; Suri, T. (2014). Risk sharing and transactions costs: Evidence from Kenya’s mobile money revolution. </w:t>
      </w:r>
      <w:r w:rsidRPr="00566257">
        <w:rPr>
          <w:rFonts w:ascii="Times New Roman" w:eastAsia="Times New Roman" w:hAnsi="Times New Roman" w:cs="Times New Roman"/>
          <w:i/>
          <w:iCs/>
          <w:sz w:val="24"/>
          <w:szCs w:val="24"/>
          <w:lang w:eastAsia="en-CA"/>
        </w:rPr>
        <w:t>American Economic Review</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104</w:t>
      </w:r>
      <w:r w:rsidRPr="00566257">
        <w:rPr>
          <w:rFonts w:ascii="Times New Roman" w:eastAsia="Times New Roman" w:hAnsi="Times New Roman" w:cs="Times New Roman"/>
          <w:sz w:val="24"/>
          <w:szCs w:val="24"/>
          <w:lang w:eastAsia="en-CA"/>
        </w:rPr>
        <w:t xml:space="preserve">(1), 183–223. </w:t>
      </w:r>
      <w:hyperlink r:id="rId22" w:tgtFrame="_blank" w:history="1">
        <w:r w:rsidRPr="00566257">
          <w:rPr>
            <w:rFonts w:ascii="Times New Roman" w:eastAsia="Times New Roman" w:hAnsi="Times New Roman" w:cs="Times New Roman"/>
            <w:sz w:val="24"/>
            <w:szCs w:val="24"/>
            <w:lang w:eastAsia="en-CA"/>
          </w:rPr>
          <w:t>https://doi.org/10.1257/aer.104.1.183</w:t>
        </w:r>
      </w:hyperlink>
    </w:p>
    <w:p w14:paraId="56551221"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proofErr w:type="spellStart"/>
      <w:r w:rsidRPr="00566257">
        <w:rPr>
          <w:rFonts w:ascii="Times New Roman" w:eastAsia="Times New Roman" w:hAnsi="Times New Roman" w:cs="Times New Roman"/>
          <w:sz w:val="24"/>
          <w:szCs w:val="24"/>
          <w:lang w:eastAsia="en-CA"/>
        </w:rPr>
        <w:t>Karlan</w:t>
      </w:r>
      <w:proofErr w:type="spellEnd"/>
      <w:r w:rsidRPr="00566257">
        <w:rPr>
          <w:rFonts w:ascii="Times New Roman" w:eastAsia="Times New Roman" w:hAnsi="Times New Roman" w:cs="Times New Roman"/>
          <w:sz w:val="24"/>
          <w:szCs w:val="24"/>
          <w:lang w:eastAsia="en-CA"/>
        </w:rPr>
        <w:t xml:space="preserve">, D., </w:t>
      </w:r>
      <w:proofErr w:type="spellStart"/>
      <w:r w:rsidRPr="00566257">
        <w:rPr>
          <w:rFonts w:ascii="Times New Roman" w:eastAsia="Times New Roman" w:hAnsi="Times New Roman" w:cs="Times New Roman"/>
          <w:sz w:val="24"/>
          <w:szCs w:val="24"/>
          <w:lang w:eastAsia="en-CA"/>
        </w:rPr>
        <w:t>Udry</w:t>
      </w:r>
      <w:proofErr w:type="spellEnd"/>
      <w:r w:rsidRPr="00566257">
        <w:rPr>
          <w:rFonts w:ascii="Times New Roman" w:eastAsia="Times New Roman" w:hAnsi="Times New Roman" w:cs="Times New Roman"/>
          <w:sz w:val="24"/>
          <w:szCs w:val="24"/>
          <w:lang w:eastAsia="en-CA"/>
        </w:rPr>
        <w:t xml:space="preserve">, C., &amp; </w:t>
      </w:r>
      <w:proofErr w:type="spellStart"/>
      <w:r w:rsidRPr="00566257">
        <w:rPr>
          <w:rFonts w:ascii="Times New Roman" w:eastAsia="Times New Roman" w:hAnsi="Times New Roman" w:cs="Times New Roman"/>
          <w:sz w:val="24"/>
          <w:szCs w:val="24"/>
          <w:lang w:eastAsia="en-CA"/>
        </w:rPr>
        <w:t>Zinman</w:t>
      </w:r>
      <w:proofErr w:type="spellEnd"/>
      <w:r w:rsidRPr="00566257">
        <w:rPr>
          <w:rFonts w:ascii="Times New Roman" w:eastAsia="Times New Roman" w:hAnsi="Times New Roman" w:cs="Times New Roman"/>
          <w:sz w:val="24"/>
          <w:szCs w:val="24"/>
          <w:lang w:eastAsia="en-CA"/>
        </w:rPr>
        <w:t xml:space="preserve">, J. (2016). Agricultural decisions after relaxing credit and risk constraints. </w:t>
      </w:r>
      <w:r w:rsidRPr="00566257">
        <w:rPr>
          <w:rFonts w:ascii="Times New Roman" w:eastAsia="Times New Roman" w:hAnsi="Times New Roman" w:cs="Times New Roman"/>
          <w:i/>
          <w:iCs/>
          <w:sz w:val="24"/>
          <w:szCs w:val="24"/>
          <w:lang w:eastAsia="en-CA"/>
        </w:rPr>
        <w:t>The Quarterly Journal of Economics</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131</w:t>
      </w:r>
      <w:r w:rsidRPr="00566257">
        <w:rPr>
          <w:rFonts w:ascii="Times New Roman" w:eastAsia="Times New Roman" w:hAnsi="Times New Roman" w:cs="Times New Roman"/>
          <w:sz w:val="24"/>
          <w:szCs w:val="24"/>
          <w:lang w:eastAsia="en-CA"/>
        </w:rPr>
        <w:t xml:space="preserve">(2), 597–652. </w:t>
      </w:r>
      <w:hyperlink r:id="rId23" w:tgtFrame="_blank" w:history="1">
        <w:r w:rsidRPr="00566257">
          <w:rPr>
            <w:rFonts w:ascii="Times New Roman" w:eastAsia="Times New Roman" w:hAnsi="Times New Roman" w:cs="Times New Roman"/>
            <w:sz w:val="24"/>
            <w:szCs w:val="24"/>
            <w:lang w:eastAsia="en-CA"/>
          </w:rPr>
          <w:t>https://doi.org/10.1093/qje/qjw002</w:t>
        </w:r>
      </w:hyperlink>
    </w:p>
    <w:p w14:paraId="18A55E26"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proofErr w:type="spellStart"/>
      <w:r w:rsidRPr="00566257">
        <w:rPr>
          <w:rFonts w:ascii="Times New Roman" w:eastAsia="Times New Roman" w:hAnsi="Times New Roman" w:cs="Times New Roman"/>
          <w:sz w:val="24"/>
          <w:szCs w:val="24"/>
          <w:lang w:eastAsia="en-CA"/>
        </w:rPr>
        <w:t>Khandker</w:t>
      </w:r>
      <w:proofErr w:type="spellEnd"/>
      <w:r w:rsidRPr="00566257">
        <w:rPr>
          <w:rFonts w:ascii="Times New Roman" w:eastAsia="Times New Roman" w:hAnsi="Times New Roman" w:cs="Times New Roman"/>
          <w:sz w:val="24"/>
          <w:szCs w:val="24"/>
          <w:lang w:eastAsia="en-CA"/>
        </w:rPr>
        <w:t xml:space="preserve">, S. R., </w:t>
      </w:r>
      <w:proofErr w:type="spellStart"/>
      <w:r w:rsidRPr="00566257">
        <w:rPr>
          <w:rFonts w:ascii="Times New Roman" w:eastAsia="Times New Roman" w:hAnsi="Times New Roman" w:cs="Times New Roman"/>
          <w:sz w:val="24"/>
          <w:szCs w:val="24"/>
          <w:lang w:eastAsia="en-CA"/>
        </w:rPr>
        <w:t>Koolwal</w:t>
      </w:r>
      <w:proofErr w:type="spellEnd"/>
      <w:r w:rsidRPr="00566257">
        <w:rPr>
          <w:rFonts w:ascii="Times New Roman" w:eastAsia="Times New Roman" w:hAnsi="Times New Roman" w:cs="Times New Roman"/>
          <w:sz w:val="24"/>
          <w:szCs w:val="24"/>
          <w:lang w:eastAsia="en-CA"/>
        </w:rPr>
        <w:t xml:space="preserve">, G. B., &amp; Samad, H. A. (2016). </w:t>
      </w:r>
      <w:r w:rsidRPr="00566257">
        <w:rPr>
          <w:rFonts w:ascii="Times New Roman" w:eastAsia="Times New Roman" w:hAnsi="Times New Roman" w:cs="Times New Roman"/>
          <w:i/>
          <w:iCs/>
          <w:sz w:val="24"/>
          <w:szCs w:val="24"/>
          <w:lang w:eastAsia="en-CA"/>
        </w:rPr>
        <w:t>Beyond ending poverty: The dynamics of microfinance in Bangladesh</w:t>
      </w:r>
      <w:r w:rsidRPr="00566257">
        <w:rPr>
          <w:rFonts w:ascii="Times New Roman" w:eastAsia="Times New Roman" w:hAnsi="Times New Roman" w:cs="Times New Roman"/>
          <w:sz w:val="24"/>
          <w:szCs w:val="24"/>
          <w:lang w:eastAsia="en-CA"/>
        </w:rPr>
        <w:t>. World Bank.</w:t>
      </w:r>
    </w:p>
    <w:p w14:paraId="1B198956"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Kolawole, A. E., </w:t>
      </w:r>
      <w:proofErr w:type="spellStart"/>
      <w:r w:rsidRPr="00566257">
        <w:rPr>
          <w:rFonts w:ascii="Times New Roman" w:eastAsia="Times New Roman" w:hAnsi="Times New Roman" w:cs="Times New Roman"/>
          <w:sz w:val="24"/>
          <w:szCs w:val="24"/>
          <w:lang w:eastAsia="en-CA"/>
        </w:rPr>
        <w:t>Ogunfolaji</w:t>
      </w:r>
      <w:proofErr w:type="spellEnd"/>
      <w:r w:rsidRPr="00566257">
        <w:rPr>
          <w:rFonts w:ascii="Times New Roman" w:eastAsia="Times New Roman" w:hAnsi="Times New Roman" w:cs="Times New Roman"/>
          <w:sz w:val="24"/>
          <w:szCs w:val="24"/>
          <w:lang w:eastAsia="en-CA"/>
        </w:rPr>
        <w:t xml:space="preserve">, M., </w:t>
      </w:r>
      <w:proofErr w:type="spellStart"/>
      <w:r w:rsidRPr="00566257">
        <w:rPr>
          <w:rFonts w:ascii="Times New Roman" w:eastAsia="Times New Roman" w:hAnsi="Times New Roman" w:cs="Times New Roman"/>
          <w:sz w:val="24"/>
          <w:szCs w:val="24"/>
          <w:lang w:eastAsia="en-CA"/>
        </w:rPr>
        <w:t>Okonta</w:t>
      </w:r>
      <w:proofErr w:type="spellEnd"/>
      <w:r w:rsidRPr="00566257">
        <w:rPr>
          <w:rFonts w:ascii="Times New Roman" w:eastAsia="Times New Roman" w:hAnsi="Times New Roman" w:cs="Times New Roman"/>
          <w:sz w:val="24"/>
          <w:szCs w:val="24"/>
          <w:lang w:eastAsia="en-CA"/>
        </w:rPr>
        <w:t xml:space="preserve">, O. W., John, O. N., </w:t>
      </w:r>
      <w:proofErr w:type="spellStart"/>
      <w:r w:rsidRPr="00566257">
        <w:rPr>
          <w:rFonts w:ascii="Times New Roman" w:eastAsia="Times New Roman" w:hAnsi="Times New Roman" w:cs="Times New Roman"/>
          <w:sz w:val="24"/>
          <w:szCs w:val="24"/>
          <w:lang w:eastAsia="en-CA"/>
        </w:rPr>
        <w:t>Akangbe</w:t>
      </w:r>
      <w:proofErr w:type="spellEnd"/>
      <w:r w:rsidRPr="00566257">
        <w:rPr>
          <w:rFonts w:ascii="Times New Roman" w:eastAsia="Times New Roman" w:hAnsi="Times New Roman" w:cs="Times New Roman"/>
          <w:sz w:val="24"/>
          <w:szCs w:val="24"/>
          <w:lang w:eastAsia="en-CA"/>
        </w:rPr>
        <w:t xml:space="preserve">, J., &amp; </w:t>
      </w:r>
      <w:proofErr w:type="spellStart"/>
      <w:r w:rsidRPr="00566257">
        <w:rPr>
          <w:rFonts w:ascii="Times New Roman" w:eastAsia="Times New Roman" w:hAnsi="Times New Roman" w:cs="Times New Roman"/>
          <w:sz w:val="24"/>
          <w:szCs w:val="24"/>
          <w:lang w:eastAsia="en-CA"/>
        </w:rPr>
        <w:t>Abdulhamid</w:t>
      </w:r>
      <w:proofErr w:type="spellEnd"/>
      <w:r w:rsidRPr="00566257">
        <w:rPr>
          <w:rFonts w:ascii="Times New Roman" w:eastAsia="Times New Roman" w:hAnsi="Times New Roman" w:cs="Times New Roman"/>
          <w:sz w:val="24"/>
          <w:szCs w:val="24"/>
          <w:lang w:eastAsia="en-CA"/>
        </w:rPr>
        <w:t xml:space="preserve">, A. T. (2025). Knowledge and adoption of digital financial services among smallholder farmers in Kogi State, Nigeria. </w:t>
      </w:r>
      <w:r w:rsidRPr="00566257">
        <w:rPr>
          <w:rFonts w:ascii="Times New Roman" w:eastAsia="Times New Roman" w:hAnsi="Times New Roman" w:cs="Times New Roman"/>
          <w:i/>
          <w:iCs/>
          <w:sz w:val="24"/>
          <w:szCs w:val="24"/>
          <w:lang w:eastAsia="en-CA"/>
        </w:rPr>
        <w:t>NIPES Journal of Science and Technology Research</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7</w:t>
      </w:r>
      <w:r w:rsidRPr="00566257">
        <w:rPr>
          <w:rFonts w:ascii="Times New Roman" w:eastAsia="Times New Roman" w:hAnsi="Times New Roman" w:cs="Times New Roman"/>
          <w:sz w:val="24"/>
          <w:szCs w:val="24"/>
          <w:lang w:eastAsia="en-CA"/>
        </w:rPr>
        <w:t>(1), 1958–1964.</w:t>
      </w:r>
    </w:p>
    <w:p w14:paraId="3DB65E31"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proofErr w:type="spellStart"/>
      <w:r w:rsidRPr="00566257">
        <w:rPr>
          <w:rFonts w:ascii="Times New Roman" w:eastAsia="Times New Roman" w:hAnsi="Times New Roman" w:cs="Times New Roman"/>
          <w:sz w:val="24"/>
          <w:szCs w:val="24"/>
          <w:lang w:eastAsia="en-CA"/>
        </w:rPr>
        <w:t>Kowsar</w:t>
      </w:r>
      <w:proofErr w:type="spellEnd"/>
      <w:r w:rsidRPr="00566257">
        <w:rPr>
          <w:rFonts w:ascii="Times New Roman" w:eastAsia="Times New Roman" w:hAnsi="Times New Roman" w:cs="Times New Roman"/>
          <w:sz w:val="24"/>
          <w:szCs w:val="24"/>
          <w:lang w:eastAsia="en-CA"/>
        </w:rPr>
        <w:t xml:space="preserve">, M. M. (2022). A systematic review of credit risk assessment models in emerging economies: A focus on Bangladesh's commercial banking sector. </w:t>
      </w:r>
      <w:r w:rsidRPr="00566257">
        <w:rPr>
          <w:rFonts w:ascii="Times New Roman" w:eastAsia="Times New Roman" w:hAnsi="Times New Roman" w:cs="Times New Roman"/>
          <w:i/>
          <w:iCs/>
          <w:sz w:val="24"/>
          <w:szCs w:val="24"/>
          <w:lang w:eastAsia="en-CA"/>
        </w:rPr>
        <w:t>American Journal of Advanced Technology and Engineering Solutions</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2</w:t>
      </w:r>
      <w:r w:rsidRPr="00566257">
        <w:rPr>
          <w:rFonts w:ascii="Times New Roman" w:eastAsia="Times New Roman" w:hAnsi="Times New Roman" w:cs="Times New Roman"/>
          <w:sz w:val="24"/>
          <w:szCs w:val="24"/>
          <w:lang w:eastAsia="en-CA"/>
        </w:rPr>
        <w:t>(1), 1–31.</w:t>
      </w:r>
    </w:p>
    <w:p w14:paraId="18484F40"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proofErr w:type="spellStart"/>
      <w:r w:rsidRPr="00566257">
        <w:rPr>
          <w:rFonts w:ascii="Times New Roman" w:eastAsia="Times New Roman" w:hAnsi="Times New Roman" w:cs="Times New Roman"/>
          <w:sz w:val="24"/>
          <w:szCs w:val="24"/>
          <w:lang w:eastAsia="en-CA"/>
        </w:rPr>
        <w:t>Ogunfolaju</w:t>
      </w:r>
      <w:proofErr w:type="spellEnd"/>
      <w:r w:rsidRPr="00566257">
        <w:rPr>
          <w:rFonts w:ascii="Times New Roman" w:eastAsia="Times New Roman" w:hAnsi="Times New Roman" w:cs="Times New Roman"/>
          <w:sz w:val="24"/>
          <w:szCs w:val="24"/>
          <w:lang w:eastAsia="en-CA"/>
        </w:rPr>
        <w:t xml:space="preserve">, M. O., </w:t>
      </w:r>
      <w:proofErr w:type="spellStart"/>
      <w:r w:rsidRPr="00566257">
        <w:rPr>
          <w:rFonts w:ascii="Times New Roman" w:eastAsia="Times New Roman" w:hAnsi="Times New Roman" w:cs="Times New Roman"/>
          <w:sz w:val="24"/>
          <w:szCs w:val="24"/>
          <w:lang w:eastAsia="en-CA"/>
        </w:rPr>
        <w:t>Abdulhamid</w:t>
      </w:r>
      <w:proofErr w:type="spellEnd"/>
      <w:r w:rsidRPr="00566257">
        <w:rPr>
          <w:rFonts w:ascii="Times New Roman" w:eastAsia="Times New Roman" w:hAnsi="Times New Roman" w:cs="Times New Roman"/>
          <w:sz w:val="24"/>
          <w:szCs w:val="24"/>
          <w:lang w:eastAsia="en-CA"/>
        </w:rPr>
        <w:t xml:space="preserve">, A. T., Kolawole, A. E., </w:t>
      </w:r>
      <w:proofErr w:type="spellStart"/>
      <w:r w:rsidRPr="00566257">
        <w:rPr>
          <w:rFonts w:ascii="Times New Roman" w:eastAsia="Times New Roman" w:hAnsi="Times New Roman" w:cs="Times New Roman"/>
          <w:sz w:val="24"/>
          <w:szCs w:val="24"/>
          <w:lang w:eastAsia="en-CA"/>
        </w:rPr>
        <w:t>Akangbe</w:t>
      </w:r>
      <w:proofErr w:type="spellEnd"/>
      <w:r w:rsidRPr="00566257">
        <w:rPr>
          <w:rFonts w:ascii="Times New Roman" w:eastAsia="Times New Roman" w:hAnsi="Times New Roman" w:cs="Times New Roman"/>
          <w:sz w:val="24"/>
          <w:szCs w:val="24"/>
          <w:lang w:eastAsia="en-CA"/>
        </w:rPr>
        <w:t xml:space="preserve">, J., </w:t>
      </w:r>
      <w:proofErr w:type="spellStart"/>
      <w:r w:rsidRPr="00566257">
        <w:rPr>
          <w:rFonts w:ascii="Times New Roman" w:eastAsia="Times New Roman" w:hAnsi="Times New Roman" w:cs="Times New Roman"/>
          <w:sz w:val="24"/>
          <w:szCs w:val="24"/>
          <w:lang w:eastAsia="en-CA"/>
        </w:rPr>
        <w:t>Olutegbe</w:t>
      </w:r>
      <w:proofErr w:type="spellEnd"/>
      <w:r w:rsidRPr="00566257">
        <w:rPr>
          <w:rFonts w:ascii="Times New Roman" w:eastAsia="Times New Roman" w:hAnsi="Times New Roman" w:cs="Times New Roman"/>
          <w:sz w:val="24"/>
          <w:szCs w:val="24"/>
          <w:lang w:eastAsia="en-CA"/>
        </w:rPr>
        <w:t xml:space="preserve">, N., &amp; </w:t>
      </w:r>
      <w:proofErr w:type="spellStart"/>
      <w:r w:rsidRPr="00566257">
        <w:rPr>
          <w:rFonts w:ascii="Times New Roman" w:eastAsia="Times New Roman" w:hAnsi="Times New Roman" w:cs="Times New Roman"/>
          <w:sz w:val="24"/>
          <w:szCs w:val="24"/>
          <w:lang w:eastAsia="en-CA"/>
        </w:rPr>
        <w:t>Okonta</w:t>
      </w:r>
      <w:proofErr w:type="spellEnd"/>
      <w:r w:rsidRPr="00566257">
        <w:rPr>
          <w:rFonts w:ascii="Times New Roman" w:eastAsia="Times New Roman" w:hAnsi="Times New Roman" w:cs="Times New Roman"/>
          <w:sz w:val="24"/>
          <w:szCs w:val="24"/>
          <w:lang w:eastAsia="en-CA"/>
        </w:rPr>
        <w:t xml:space="preserve">, O. W. (2025). Principal component analysis of constraints to digital financial services usage among smallholder farmers in North Central Nigeria. </w:t>
      </w:r>
      <w:r w:rsidRPr="00566257">
        <w:rPr>
          <w:rFonts w:ascii="Times New Roman" w:eastAsia="Times New Roman" w:hAnsi="Times New Roman" w:cs="Times New Roman"/>
          <w:i/>
          <w:iCs/>
          <w:sz w:val="24"/>
          <w:szCs w:val="24"/>
          <w:lang w:eastAsia="en-CA"/>
        </w:rPr>
        <w:t>NIPES Journal of Science and Technology Research</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7</w:t>
      </w:r>
      <w:r w:rsidRPr="00566257">
        <w:rPr>
          <w:rFonts w:ascii="Times New Roman" w:eastAsia="Times New Roman" w:hAnsi="Times New Roman" w:cs="Times New Roman"/>
          <w:sz w:val="24"/>
          <w:szCs w:val="24"/>
          <w:lang w:eastAsia="en-CA"/>
        </w:rPr>
        <w:t>(1), 2253–2260.</w:t>
      </w:r>
    </w:p>
    <w:p w14:paraId="29150EBC"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proofErr w:type="spellStart"/>
      <w:r w:rsidRPr="00566257">
        <w:rPr>
          <w:rFonts w:ascii="Times New Roman" w:eastAsia="Times New Roman" w:hAnsi="Times New Roman" w:cs="Times New Roman"/>
          <w:sz w:val="24"/>
          <w:szCs w:val="24"/>
          <w:lang w:eastAsia="en-CA"/>
        </w:rPr>
        <w:t>Peffers</w:t>
      </w:r>
      <w:proofErr w:type="spellEnd"/>
      <w:r w:rsidRPr="00566257">
        <w:rPr>
          <w:rFonts w:ascii="Times New Roman" w:eastAsia="Times New Roman" w:hAnsi="Times New Roman" w:cs="Times New Roman"/>
          <w:sz w:val="24"/>
          <w:szCs w:val="24"/>
          <w:lang w:eastAsia="en-CA"/>
        </w:rPr>
        <w:t xml:space="preserve">, K., </w:t>
      </w:r>
      <w:proofErr w:type="spellStart"/>
      <w:r w:rsidRPr="00566257">
        <w:rPr>
          <w:rFonts w:ascii="Times New Roman" w:eastAsia="Times New Roman" w:hAnsi="Times New Roman" w:cs="Times New Roman"/>
          <w:sz w:val="24"/>
          <w:szCs w:val="24"/>
          <w:lang w:eastAsia="en-CA"/>
        </w:rPr>
        <w:t>Tuunanen</w:t>
      </w:r>
      <w:proofErr w:type="spellEnd"/>
      <w:r w:rsidRPr="00566257">
        <w:rPr>
          <w:rFonts w:ascii="Times New Roman" w:eastAsia="Times New Roman" w:hAnsi="Times New Roman" w:cs="Times New Roman"/>
          <w:sz w:val="24"/>
          <w:szCs w:val="24"/>
          <w:lang w:eastAsia="en-CA"/>
        </w:rPr>
        <w:t xml:space="preserve">, T., </w:t>
      </w:r>
      <w:proofErr w:type="spellStart"/>
      <w:r w:rsidRPr="00566257">
        <w:rPr>
          <w:rFonts w:ascii="Times New Roman" w:eastAsia="Times New Roman" w:hAnsi="Times New Roman" w:cs="Times New Roman"/>
          <w:sz w:val="24"/>
          <w:szCs w:val="24"/>
          <w:lang w:eastAsia="en-CA"/>
        </w:rPr>
        <w:t>Rothenberger</w:t>
      </w:r>
      <w:proofErr w:type="spellEnd"/>
      <w:r w:rsidRPr="00566257">
        <w:rPr>
          <w:rFonts w:ascii="Times New Roman" w:eastAsia="Times New Roman" w:hAnsi="Times New Roman" w:cs="Times New Roman"/>
          <w:sz w:val="24"/>
          <w:szCs w:val="24"/>
          <w:lang w:eastAsia="en-CA"/>
        </w:rPr>
        <w:t xml:space="preserve">, M. A., &amp; Chatterjee, S. (2007). A design science research methodology for information systems research. </w:t>
      </w:r>
      <w:r w:rsidRPr="00566257">
        <w:rPr>
          <w:rFonts w:ascii="Times New Roman" w:eastAsia="Times New Roman" w:hAnsi="Times New Roman" w:cs="Times New Roman"/>
          <w:i/>
          <w:iCs/>
          <w:sz w:val="24"/>
          <w:szCs w:val="24"/>
          <w:lang w:eastAsia="en-CA"/>
        </w:rPr>
        <w:t>Journal of Management Information Systems</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24</w:t>
      </w:r>
      <w:r w:rsidRPr="00566257">
        <w:rPr>
          <w:rFonts w:ascii="Times New Roman" w:eastAsia="Times New Roman" w:hAnsi="Times New Roman" w:cs="Times New Roman"/>
          <w:sz w:val="24"/>
          <w:szCs w:val="24"/>
          <w:lang w:eastAsia="en-CA"/>
        </w:rPr>
        <w:t>(3), 45–77.</w:t>
      </w:r>
    </w:p>
    <w:p w14:paraId="27E31CE3" w14:textId="77777777"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Stiglitz, J. E., &amp; Weiss, A. (1981). Credit rationing in markets with imperfect information. </w:t>
      </w:r>
      <w:r w:rsidRPr="00566257">
        <w:rPr>
          <w:rFonts w:ascii="Times New Roman" w:eastAsia="Times New Roman" w:hAnsi="Times New Roman" w:cs="Times New Roman"/>
          <w:i/>
          <w:iCs/>
          <w:sz w:val="24"/>
          <w:szCs w:val="24"/>
          <w:lang w:eastAsia="en-CA"/>
        </w:rPr>
        <w:t>The American Economic Review</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71</w:t>
      </w:r>
      <w:r w:rsidRPr="00566257">
        <w:rPr>
          <w:rFonts w:ascii="Times New Roman" w:eastAsia="Times New Roman" w:hAnsi="Times New Roman" w:cs="Times New Roman"/>
          <w:sz w:val="24"/>
          <w:szCs w:val="24"/>
          <w:lang w:eastAsia="en-CA"/>
        </w:rPr>
        <w:t>(3), 393–410.</w:t>
      </w:r>
    </w:p>
    <w:p w14:paraId="4ED7FB18" w14:textId="7062F416" w:rsidR="00566257" w:rsidRPr="00566257" w:rsidRDefault="00566257" w:rsidP="006D7FF9">
      <w:pPr>
        <w:spacing w:before="100" w:beforeAutospacing="1" w:after="100" w:afterAutospacing="1" w:line="276" w:lineRule="auto"/>
        <w:ind w:left="284" w:hanging="284"/>
        <w:rPr>
          <w:rFonts w:ascii="Times New Roman" w:eastAsia="Times New Roman" w:hAnsi="Times New Roman" w:cs="Times New Roman"/>
          <w:sz w:val="24"/>
          <w:szCs w:val="24"/>
          <w:lang w:eastAsia="en-CA"/>
        </w:rPr>
      </w:pPr>
      <w:r w:rsidRPr="00566257">
        <w:rPr>
          <w:rFonts w:ascii="Times New Roman" w:eastAsia="Times New Roman" w:hAnsi="Times New Roman" w:cs="Times New Roman"/>
          <w:sz w:val="24"/>
          <w:szCs w:val="24"/>
          <w:lang w:eastAsia="en-CA"/>
        </w:rPr>
        <w:t xml:space="preserve">Umar, M. O., Oladimeji, O., Ajayi, J. O., </w:t>
      </w:r>
      <w:proofErr w:type="spellStart"/>
      <w:r w:rsidRPr="00566257">
        <w:rPr>
          <w:rFonts w:ascii="Times New Roman" w:eastAsia="Times New Roman" w:hAnsi="Times New Roman" w:cs="Times New Roman"/>
          <w:sz w:val="24"/>
          <w:szCs w:val="24"/>
          <w:lang w:eastAsia="en-CA"/>
        </w:rPr>
        <w:t>Akindemowo</w:t>
      </w:r>
      <w:proofErr w:type="spellEnd"/>
      <w:r w:rsidRPr="00566257">
        <w:rPr>
          <w:rFonts w:ascii="Times New Roman" w:eastAsia="Times New Roman" w:hAnsi="Times New Roman" w:cs="Times New Roman"/>
          <w:sz w:val="24"/>
          <w:szCs w:val="24"/>
          <w:lang w:eastAsia="en-CA"/>
        </w:rPr>
        <w:t xml:space="preserve">, A. O., </w:t>
      </w:r>
      <w:proofErr w:type="spellStart"/>
      <w:r w:rsidRPr="00566257">
        <w:rPr>
          <w:rFonts w:ascii="Times New Roman" w:eastAsia="Times New Roman" w:hAnsi="Times New Roman" w:cs="Times New Roman"/>
          <w:sz w:val="24"/>
          <w:szCs w:val="24"/>
          <w:lang w:eastAsia="en-CA"/>
        </w:rPr>
        <w:t>Eboseremen</w:t>
      </w:r>
      <w:proofErr w:type="spellEnd"/>
      <w:r w:rsidRPr="00566257">
        <w:rPr>
          <w:rFonts w:ascii="Times New Roman" w:eastAsia="Times New Roman" w:hAnsi="Times New Roman" w:cs="Times New Roman"/>
          <w:sz w:val="24"/>
          <w:szCs w:val="24"/>
          <w:lang w:eastAsia="en-CA"/>
        </w:rPr>
        <w:t xml:space="preserve">, B. O., </w:t>
      </w:r>
      <w:proofErr w:type="spellStart"/>
      <w:r w:rsidRPr="00566257">
        <w:rPr>
          <w:rFonts w:ascii="Times New Roman" w:eastAsia="Times New Roman" w:hAnsi="Times New Roman" w:cs="Times New Roman"/>
          <w:sz w:val="24"/>
          <w:szCs w:val="24"/>
          <w:lang w:eastAsia="en-CA"/>
        </w:rPr>
        <w:t>Obuse</w:t>
      </w:r>
      <w:proofErr w:type="spellEnd"/>
      <w:r w:rsidRPr="00566257">
        <w:rPr>
          <w:rFonts w:ascii="Times New Roman" w:eastAsia="Times New Roman" w:hAnsi="Times New Roman" w:cs="Times New Roman"/>
          <w:sz w:val="24"/>
          <w:szCs w:val="24"/>
          <w:lang w:eastAsia="en-CA"/>
        </w:rPr>
        <w:t xml:space="preserve">, E., </w:t>
      </w:r>
      <w:r w:rsidRPr="00BD0B05">
        <w:rPr>
          <w:rFonts w:ascii="Times New Roman" w:hAnsi="Times New Roman" w:cs="Times New Roman"/>
          <w:sz w:val="24"/>
          <w:szCs w:val="24"/>
        </w:rPr>
        <w:t>Onyekachi, C. E.,</w:t>
      </w:r>
      <w:r w:rsidR="000A4F6B" w:rsidRPr="00BD0B05">
        <w:rPr>
          <w:rFonts w:ascii="Times New Roman" w:hAnsi="Times New Roman" w:cs="Times New Roman"/>
          <w:sz w:val="24"/>
          <w:szCs w:val="24"/>
        </w:rPr>
        <w:t xml:space="preserve"> </w:t>
      </w:r>
      <w:r w:rsidRPr="00566257">
        <w:rPr>
          <w:rFonts w:ascii="Times New Roman" w:eastAsia="Times New Roman" w:hAnsi="Times New Roman" w:cs="Times New Roman"/>
          <w:sz w:val="24"/>
          <w:szCs w:val="24"/>
          <w:lang w:eastAsia="en-CA"/>
        </w:rPr>
        <w:t xml:space="preserve">&amp; </w:t>
      </w:r>
      <w:proofErr w:type="spellStart"/>
      <w:r w:rsidRPr="00566257">
        <w:rPr>
          <w:rFonts w:ascii="Times New Roman" w:eastAsia="Times New Roman" w:hAnsi="Times New Roman" w:cs="Times New Roman"/>
          <w:sz w:val="24"/>
          <w:szCs w:val="24"/>
          <w:lang w:eastAsia="en-CA"/>
        </w:rPr>
        <w:t>Erigha</w:t>
      </w:r>
      <w:proofErr w:type="spellEnd"/>
      <w:r w:rsidRPr="00566257">
        <w:rPr>
          <w:rFonts w:ascii="Times New Roman" w:eastAsia="Times New Roman" w:hAnsi="Times New Roman" w:cs="Times New Roman"/>
          <w:sz w:val="24"/>
          <w:szCs w:val="24"/>
          <w:lang w:eastAsia="en-CA"/>
        </w:rPr>
        <w:t>, E. D. (2021). Building technical communities in low-</w:t>
      </w:r>
      <w:r w:rsidRPr="00566257">
        <w:rPr>
          <w:rFonts w:ascii="Times New Roman" w:eastAsia="Times New Roman" w:hAnsi="Times New Roman" w:cs="Times New Roman"/>
          <w:sz w:val="24"/>
          <w:szCs w:val="24"/>
          <w:lang w:eastAsia="en-CA"/>
        </w:rPr>
        <w:lastRenderedPageBreak/>
        <w:t xml:space="preserve">infrastructure environments: Strategies, challenges, and success metrics. </w:t>
      </w:r>
      <w:r w:rsidRPr="00566257">
        <w:rPr>
          <w:rFonts w:ascii="Times New Roman" w:eastAsia="Times New Roman" w:hAnsi="Times New Roman" w:cs="Times New Roman"/>
          <w:i/>
          <w:iCs/>
          <w:sz w:val="24"/>
          <w:szCs w:val="24"/>
          <w:lang w:eastAsia="en-CA"/>
        </w:rPr>
        <w:t>International Journal of Multidisciplinary Futuristic Development</w:t>
      </w:r>
      <w:r w:rsidRPr="00566257">
        <w:rPr>
          <w:rFonts w:ascii="Times New Roman" w:eastAsia="Times New Roman" w:hAnsi="Times New Roman" w:cs="Times New Roman"/>
          <w:sz w:val="24"/>
          <w:szCs w:val="24"/>
          <w:lang w:eastAsia="en-CA"/>
        </w:rPr>
        <w:t xml:space="preserve">, </w:t>
      </w:r>
      <w:r w:rsidRPr="00566257">
        <w:rPr>
          <w:rFonts w:ascii="Times New Roman" w:eastAsia="Times New Roman" w:hAnsi="Times New Roman" w:cs="Times New Roman"/>
          <w:i/>
          <w:iCs/>
          <w:sz w:val="24"/>
          <w:szCs w:val="24"/>
          <w:lang w:eastAsia="en-CA"/>
        </w:rPr>
        <w:t>2</w:t>
      </w:r>
      <w:r w:rsidRPr="00566257">
        <w:rPr>
          <w:rFonts w:ascii="Times New Roman" w:eastAsia="Times New Roman" w:hAnsi="Times New Roman" w:cs="Times New Roman"/>
          <w:sz w:val="24"/>
          <w:szCs w:val="24"/>
          <w:lang w:eastAsia="en-CA"/>
        </w:rPr>
        <w:t>(1), 51–62.</w:t>
      </w:r>
    </w:p>
    <w:p w14:paraId="1DDD87A8" w14:textId="2D82AE25" w:rsidR="007F79A7" w:rsidRPr="00BD0B05" w:rsidRDefault="00566257" w:rsidP="006D7FF9">
      <w:pPr>
        <w:spacing w:before="100" w:beforeAutospacing="1" w:after="100" w:afterAutospacing="1" w:line="276" w:lineRule="auto"/>
        <w:ind w:left="284" w:hanging="284"/>
      </w:pPr>
      <w:r w:rsidRPr="00566257">
        <w:rPr>
          <w:rFonts w:ascii="Times New Roman" w:eastAsia="Times New Roman" w:hAnsi="Times New Roman" w:cs="Times New Roman"/>
          <w:sz w:val="24"/>
          <w:szCs w:val="24"/>
          <w:lang w:eastAsia="en-CA"/>
        </w:rPr>
        <w:t xml:space="preserve">World Bank. (2021). </w:t>
      </w:r>
      <w:r w:rsidRPr="00566257">
        <w:rPr>
          <w:rFonts w:ascii="Times New Roman" w:eastAsia="Times New Roman" w:hAnsi="Times New Roman" w:cs="Times New Roman"/>
          <w:i/>
          <w:iCs/>
          <w:sz w:val="24"/>
          <w:szCs w:val="24"/>
          <w:lang w:eastAsia="en-CA"/>
        </w:rPr>
        <w:t>Enabling the business of agriculture 2021</w:t>
      </w:r>
      <w:r w:rsidRPr="00566257">
        <w:rPr>
          <w:rFonts w:ascii="Times New Roman" w:eastAsia="Times New Roman" w:hAnsi="Times New Roman" w:cs="Times New Roman"/>
          <w:sz w:val="24"/>
          <w:szCs w:val="24"/>
          <w:lang w:eastAsia="en-CA"/>
        </w:rPr>
        <w:t xml:space="preserve">. World Bank Publications. </w:t>
      </w:r>
      <w:hyperlink r:id="rId24" w:tgtFrame="_blank" w:history="1">
        <w:r w:rsidRPr="00566257">
          <w:rPr>
            <w:rFonts w:ascii="Times New Roman" w:eastAsia="Times New Roman" w:hAnsi="Times New Roman" w:cs="Times New Roman"/>
            <w:sz w:val="24"/>
            <w:szCs w:val="24"/>
            <w:lang w:eastAsia="en-CA"/>
          </w:rPr>
          <w:t>https://doi.org/10.1596/978-1-4648-1657-0</w:t>
        </w:r>
      </w:hyperlink>
    </w:p>
    <w:sectPr w:rsidR="007F79A7" w:rsidRPr="00BD0B05" w:rsidSect="00BD0B05">
      <w:footerReference w:type="defaul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EB00A" w14:textId="77777777" w:rsidR="00364155" w:rsidRDefault="00364155" w:rsidP="00CB0DC3">
      <w:pPr>
        <w:spacing w:after="0" w:line="240" w:lineRule="auto"/>
      </w:pPr>
      <w:r>
        <w:separator/>
      </w:r>
    </w:p>
  </w:endnote>
  <w:endnote w:type="continuationSeparator" w:id="0">
    <w:p w14:paraId="1A63BF19" w14:textId="77777777" w:rsidR="00364155" w:rsidRDefault="00364155" w:rsidP="00CB0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417368"/>
      <w:docPartObj>
        <w:docPartGallery w:val="Page Numbers (Bottom of Page)"/>
        <w:docPartUnique/>
      </w:docPartObj>
    </w:sdtPr>
    <w:sdtEndPr>
      <w:rPr>
        <w:noProof/>
      </w:rPr>
    </w:sdtEndPr>
    <w:sdtContent>
      <w:p w14:paraId="267EE581" w14:textId="00315023" w:rsidR="00CB0DC3" w:rsidRDefault="00CB0DC3">
        <w:pPr>
          <w:pStyle w:val="Footer"/>
          <w:jc w:val="right"/>
        </w:pPr>
        <w:r>
          <w:fldChar w:fldCharType="begin"/>
        </w:r>
        <w:r>
          <w:instrText xml:space="preserve"> PAGE   \* MERGEFORMAT </w:instrText>
        </w:r>
        <w:r>
          <w:fldChar w:fldCharType="separate"/>
        </w:r>
        <w:r w:rsidR="00486D75">
          <w:rPr>
            <w:noProof/>
          </w:rPr>
          <w:t>8</w:t>
        </w:r>
        <w:r>
          <w:rPr>
            <w:noProof/>
          </w:rPr>
          <w:fldChar w:fldCharType="end"/>
        </w:r>
      </w:p>
    </w:sdtContent>
  </w:sdt>
  <w:p w14:paraId="40151563" w14:textId="77777777" w:rsidR="00CB0DC3" w:rsidRDefault="00CB0D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28890" w14:textId="77777777" w:rsidR="00364155" w:rsidRDefault="00364155" w:rsidP="00CB0DC3">
      <w:pPr>
        <w:spacing w:after="0" w:line="240" w:lineRule="auto"/>
      </w:pPr>
      <w:r>
        <w:separator/>
      </w:r>
    </w:p>
  </w:footnote>
  <w:footnote w:type="continuationSeparator" w:id="0">
    <w:p w14:paraId="5AEE5C58" w14:textId="77777777" w:rsidR="00364155" w:rsidRDefault="00364155" w:rsidP="00CB0D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609F"/>
    <w:multiLevelType w:val="hybridMultilevel"/>
    <w:tmpl w:val="EA8A68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9263433"/>
    <w:multiLevelType w:val="hybridMultilevel"/>
    <w:tmpl w:val="708C22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9566A90"/>
    <w:multiLevelType w:val="hybridMultilevel"/>
    <w:tmpl w:val="71009F88"/>
    <w:lvl w:ilvl="0" w:tplc="14882BD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A6E4E0F"/>
    <w:multiLevelType w:val="hybridMultilevel"/>
    <w:tmpl w:val="CF02125E"/>
    <w:lvl w:ilvl="0" w:tplc="94C488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53D493B"/>
    <w:multiLevelType w:val="hybridMultilevel"/>
    <w:tmpl w:val="F1087912"/>
    <w:lvl w:ilvl="0" w:tplc="4DDC5FC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581F73C1"/>
    <w:multiLevelType w:val="hybridMultilevel"/>
    <w:tmpl w:val="1F1847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58742407"/>
    <w:multiLevelType w:val="hybridMultilevel"/>
    <w:tmpl w:val="5C941EA2"/>
    <w:lvl w:ilvl="0" w:tplc="BC569E4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5F354D14"/>
    <w:multiLevelType w:val="hybridMultilevel"/>
    <w:tmpl w:val="661E0636"/>
    <w:lvl w:ilvl="0" w:tplc="B8A40AF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7"/>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7BC"/>
    <w:rsid w:val="00001449"/>
    <w:rsid w:val="00027DC3"/>
    <w:rsid w:val="00033340"/>
    <w:rsid w:val="000343EE"/>
    <w:rsid w:val="00034F5A"/>
    <w:rsid w:val="00050663"/>
    <w:rsid w:val="00060F04"/>
    <w:rsid w:val="00067C9F"/>
    <w:rsid w:val="000A4F6B"/>
    <w:rsid w:val="000B6129"/>
    <w:rsid w:val="000B6DD2"/>
    <w:rsid w:val="000C5C4A"/>
    <w:rsid w:val="000D6F78"/>
    <w:rsid w:val="000F1AA2"/>
    <w:rsid w:val="000F2B3A"/>
    <w:rsid w:val="000F3EF1"/>
    <w:rsid w:val="000F5102"/>
    <w:rsid w:val="0010112A"/>
    <w:rsid w:val="00135D8B"/>
    <w:rsid w:val="00136434"/>
    <w:rsid w:val="001552EF"/>
    <w:rsid w:val="00163AA5"/>
    <w:rsid w:val="0016468F"/>
    <w:rsid w:val="00171DD7"/>
    <w:rsid w:val="00197939"/>
    <w:rsid w:val="001B34C8"/>
    <w:rsid w:val="001C57E3"/>
    <w:rsid w:val="00215B18"/>
    <w:rsid w:val="0022040D"/>
    <w:rsid w:val="002374A0"/>
    <w:rsid w:val="002502DB"/>
    <w:rsid w:val="00253E9B"/>
    <w:rsid w:val="00280EF7"/>
    <w:rsid w:val="0028291A"/>
    <w:rsid w:val="002A57EB"/>
    <w:rsid w:val="002C5FDF"/>
    <w:rsid w:val="002C7525"/>
    <w:rsid w:val="002D7D91"/>
    <w:rsid w:val="002E7140"/>
    <w:rsid w:val="002F16E4"/>
    <w:rsid w:val="003009B5"/>
    <w:rsid w:val="003021DE"/>
    <w:rsid w:val="003236AF"/>
    <w:rsid w:val="00325665"/>
    <w:rsid w:val="003347BC"/>
    <w:rsid w:val="00342DAC"/>
    <w:rsid w:val="00364155"/>
    <w:rsid w:val="00372E04"/>
    <w:rsid w:val="00374BAB"/>
    <w:rsid w:val="003831DA"/>
    <w:rsid w:val="00384BF9"/>
    <w:rsid w:val="003870A3"/>
    <w:rsid w:val="0038736A"/>
    <w:rsid w:val="00391397"/>
    <w:rsid w:val="00396441"/>
    <w:rsid w:val="003B5067"/>
    <w:rsid w:val="00432BC3"/>
    <w:rsid w:val="004346CF"/>
    <w:rsid w:val="00435286"/>
    <w:rsid w:val="004528F3"/>
    <w:rsid w:val="0045797C"/>
    <w:rsid w:val="00462472"/>
    <w:rsid w:val="00464FFC"/>
    <w:rsid w:val="00470206"/>
    <w:rsid w:val="00473601"/>
    <w:rsid w:val="00486D75"/>
    <w:rsid w:val="00491CBA"/>
    <w:rsid w:val="004A480B"/>
    <w:rsid w:val="004B0C8B"/>
    <w:rsid w:val="004B12FA"/>
    <w:rsid w:val="004C07E7"/>
    <w:rsid w:val="004C7B06"/>
    <w:rsid w:val="004D0E57"/>
    <w:rsid w:val="004D25F2"/>
    <w:rsid w:val="004F0826"/>
    <w:rsid w:val="004F49A9"/>
    <w:rsid w:val="00504A82"/>
    <w:rsid w:val="00511A18"/>
    <w:rsid w:val="00512787"/>
    <w:rsid w:val="00526B20"/>
    <w:rsid w:val="00552ED5"/>
    <w:rsid w:val="00560A8C"/>
    <w:rsid w:val="00566257"/>
    <w:rsid w:val="005924C1"/>
    <w:rsid w:val="005A13BF"/>
    <w:rsid w:val="005B3FDF"/>
    <w:rsid w:val="005B5235"/>
    <w:rsid w:val="005B591B"/>
    <w:rsid w:val="005C69BD"/>
    <w:rsid w:val="005F5460"/>
    <w:rsid w:val="00612416"/>
    <w:rsid w:val="00617694"/>
    <w:rsid w:val="00621EBC"/>
    <w:rsid w:val="00644DA9"/>
    <w:rsid w:val="00647C00"/>
    <w:rsid w:val="00655929"/>
    <w:rsid w:val="0066215C"/>
    <w:rsid w:val="006654E6"/>
    <w:rsid w:val="006765C5"/>
    <w:rsid w:val="006852CD"/>
    <w:rsid w:val="006A3A1E"/>
    <w:rsid w:val="006A3F93"/>
    <w:rsid w:val="006B210A"/>
    <w:rsid w:val="006D35DD"/>
    <w:rsid w:val="006D7FF9"/>
    <w:rsid w:val="006E14E6"/>
    <w:rsid w:val="006F3525"/>
    <w:rsid w:val="0070182A"/>
    <w:rsid w:val="00705388"/>
    <w:rsid w:val="00710A28"/>
    <w:rsid w:val="00724D8D"/>
    <w:rsid w:val="00745ECC"/>
    <w:rsid w:val="007616E9"/>
    <w:rsid w:val="0079279D"/>
    <w:rsid w:val="00793575"/>
    <w:rsid w:val="007977DF"/>
    <w:rsid w:val="007A144E"/>
    <w:rsid w:val="007C4CD5"/>
    <w:rsid w:val="007C5782"/>
    <w:rsid w:val="007C584B"/>
    <w:rsid w:val="007E1668"/>
    <w:rsid w:val="007E25A7"/>
    <w:rsid w:val="007E404F"/>
    <w:rsid w:val="007F1949"/>
    <w:rsid w:val="007F79A7"/>
    <w:rsid w:val="00800153"/>
    <w:rsid w:val="00817C8C"/>
    <w:rsid w:val="008226F2"/>
    <w:rsid w:val="008405A2"/>
    <w:rsid w:val="00846436"/>
    <w:rsid w:val="00847561"/>
    <w:rsid w:val="00855285"/>
    <w:rsid w:val="0087023D"/>
    <w:rsid w:val="008C21C0"/>
    <w:rsid w:val="008D75AC"/>
    <w:rsid w:val="008E2A62"/>
    <w:rsid w:val="00904251"/>
    <w:rsid w:val="00904EA5"/>
    <w:rsid w:val="00917DEC"/>
    <w:rsid w:val="00933D67"/>
    <w:rsid w:val="00935149"/>
    <w:rsid w:val="00942B9A"/>
    <w:rsid w:val="009629F7"/>
    <w:rsid w:val="00965092"/>
    <w:rsid w:val="00995639"/>
    <w:rsid w:val="009967CC"/>
    <w:rsid w:val="009A3545"/>
    <w:rsid w:val="009A6E29"/>
    <w:rsid w:val="009C38E1"/>
    <w:rsid w:val="009C5CC7"/>
    <w:rsid w:val="009D05A6"/>
    <w:rsid w:val="009D5936"/>
    <w:rsid w:val="009D7B03"/>
    <w:rsid w:val="009E1D06"/>
    <w:rsid w:val="009E2E90"/>
    <w:rsid w:val="009F41DA"/>
    <w:rsid w:val="00A03E4B"/>
    <w:rsid w:val="00A108B2"/>
    <w:rsid w:val="00A1439D"/>
    <w:rsid w:val="00A1489D"/>
    <w:rsid w:val="00A266B4"/>
    <w:rsid w:val="00A26B5E"/>
    <w:rsid w:val="00A431CA"/>
    <w:rsid w:val="00A5272A"/>
    <w:rsid w:val="00A6071B"/>
    <w:rsid w:val="00A86E97"/>
    <w:rsid w:val="00A902DC"/>
    <w:rsid w:val="00A922D5"/>
    <w:rsid w:val="00AB60E2"/>
    <w:rsid w:val="00AD0100"/>
    <w:rsid w:val="00AE2073"/>
    <w:rsid w:val="00AF6568"/>
    <w:rsid w:val="00AF65D6"/>
    <w:rsid w:val="00AF77FF"/>
    <w:rsid w:val="00B00475"/>
    <w:rsid w:val="00B047C0"/>
    <w:rsid w:val="00B04BE8"/>
    <w:rsid w:val="00B20E80"/>
    <w:rsid w:val="00B23BBB"/>
    <w:rsid w:val="00B276DE"/>
    <w:rsid w:val="00B33E98"/>
    <w:rsid w:val="00B342A1"/>
    <w:rsid w:val="00B7618D"/>
    <w:rsid w:val="00B81C39"/>
    <w:rsid w:val="00B84C15"/>
    <w:rsid w:val="00B92D98"/>
    <w:rsid w:val="00B96A88"/>
    <w:rsid w:val="00BA4A64"/>
    <w:rsid w:val="00BC4F42"/>
    <w:rsid w:val="00BC6E01"/>
    <w:rsid w:val="00BD0B05"/>
    <w:rsid w:val="00BE057E"/>
    <w:rsid w:val="00BE3D4B"/>
    <w:rsid w:val="00BF154D"/>
    <w:rsid w:val="00BF194D"/>
    <w:rsid w:val="00BF2ADC"/>
    <w:rsid w:val="00C036AF"/>
    <w:rsid w:val="00C0433A"/>
    <w:rsid w:val="00C04668"/>
    <w:rsid w:val="00C21773"/>
    <w:rsid w:val="00C34ACD"/>
    <w:rsid w:val="00C3512D"/>
    <w:rsid w:val="00C36617"/>
    <w:rsid w:val="00C5363C"/>
    <w:rsid w:val="00C66F99"/>
    <w:rsid w:val="00C701EA"/>
    <w:rsid w:val="00C91FE2"/>
    <w:rsid w:val="00C9591F"/>
    <w:rsid w:val="00CB0DC3"/>
    <w:rsid w:val="00CB1E24"/>
    <w:rsid w:val="00CB2B99"/>
    <w:rsid w:val="00CB5A1B"/>
    <w:rsid w:val="00CB6F26"/>
    <w:rsid w:val="00CC4EC3"/>
    <w:rsid w:val="00CD68DB"/>
    <w:rsid w:val="00CD6F12"/>
    <w:rsid w:val="00CE5625"/>
    <w:rsid w:val="00CF1F5E"/>
    <w:rsid w:val="00CF29C8"/>
    <w:rsid w:val="00CF46CB"/>
    <w:rsid w:val="00D0104A"/>
    <w:rsid w:val="00D04E10"/>
    <w:rsid w:val="00D165DF"/>
    <w:rsid w:val="00D17A0A"/>
    <w:rsid w:val="00D40490"/>
    <w:rsid w:val="00D42C24"/>
    <w:rsid w:val="00D76CC5"/>
    <w:rsid w:val="00D964E3"/>
    <w:rsid w:val="00D96B50"/>
    <w:rsid w:val="00DA7CEC"/>
    <w:rsid w:val="00DF2B2C"/>
    <w:rsid w:val="00E11EA6"/>
    <w:rsid w:val="00E134ED"/>
    <w:rsid w:val="00E320C7"/>
    <w:rsid w:val="00E41F16"/>
    <w:rsid w:val="00E43F29"/>
    <w:rsid w:val="00E54663"/>
    <w:rsid w:val="00E57476"/>
    <w:rsid w:val="00E60B51"/>
    <w:rsid w:val="00E741B1"/>
    <w:rsid w:val="00E85F3F"/>
    <w:rsid w:val="00EA51A2"/>
    <w:rsid w:val="00EA78A5"/>
    <w:rsid w:val="00EB0C5F"/>
    <w:rsid w:val="00EB7E05"/>
    <w:rsid w:val="00ED0F59"/>
    <w:rsid w:val="00EF39B1"/>
    <w:rsid w:val="00F01FE1"/>
    <w:rsid w:val="00F20D18"/>
    <w:rsid w:val="00F53C5F"/>
    <w:rsid w:val="00F53CE7"/>
    <w:rsid w:val="00F53D73"/>
    <w:rsid w:val="00F634D6"/>
    <w:rsid w:val="00F637CA"/>
    <w:rsid w:val="00F705FF"/>
    <w:rsid w:val="00F71100"/>
    <w:rsid w:val="00F72920"/>
    <w:rsid w:val="00F914D6"/>
    <w:rsid w:val="00FB4EC4"/>
    <w:rsid w:val="00FC4042"/>
    <w:rsid w:val="00FC79F9"/>
    <w:rsid w:val="00FD15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47B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Spacing">
    <w:name w:val="No Spacing"/>
    <w:uiPriority w:val="1"/>
    <w:qFormat/>
    <w:rsid w:val="00526B20"/>
    <w:pPr>
      <w:spacing w:after="0" w:line="240" w:lineRule="auto"/>
    </w:pPr>
  </w:style>
  <w:style w:type="character" w:styleId="Strong">
    <w:name w:val="Strong"/>
    <w:basedOn w:val="DefaultParagraphFont"/>
    <w:uiPriority w:val="22"/>
    <w:qFormat/>
    <w:rsid w:val="00A922D5"/>
    <w:rPr>
      <w:b/>
      <w:bCs/>
    </w:rPr>
  </w:style>
  <w:style w:type="table" w:styleId="TableGrid">
    <w:name w:val="Table Grid"/>
    <w:basedOn w:val="TableNormal"/>
    <w:uiPriority w:val="39"/>
    <w:rsid w:val="00A92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6852C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CB0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DC3"/>
  </w:style>
  <w:style w:type="paragraph" w:styleId="Footer">
    <w:name w:val="footer"/>
    <w:basedOn w:val="Normal"/>
    <w:link w:val="FooterChar"/>
    <w:uiPriority w:val="99"/>
    <w:unhideWhenUsed/>
    <w:rsid w:val="00CB0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DC3"/>
  </w:style>
  <w:style w:type="table" w:customStyle="1" w:styleId="PlainTable2">
    <w:name w:val="Plain Table 2"/>
    <w:basedOn w:val="TableNormal"/>
    <w:uiPriority w:val="42"/>
    <w:rsid w:val="006F352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semiHidden/>
    <w:unhideWhenUsed/>
    <w:rsid w:val="005662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47B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Spacing">
    <w:name w:val="No Spacing"/>
    <w:uiPriority w:val="1"/>
    <w:qFormat/>
    <w:rsid w:val="00526B20"/>
    <w:pPr>
      <w:spacing w:after="0" w:line="240" w:lineRule="auto"/>
    </w:pPr>
  </w:style>
  <w:style w:type="character" w:styleId="Strong">
    <w:name w:val="Strong"/>
    <w:basedOn w:val="DefaultParagraphFont"/>
    <w:uiPriority w:val="22"/>
    <w:qFormat/>
    <w:rsid w:val="00A922D5"/>
    <w:rPr>
      <w:b/>
      <w:bCs/>
    </w:rPr>
  </w:style>
  <w:style w:type="table" w:styleId="TableGrid">
    <w:name w:val="Table Grid"/>
    <w:basedOn w:val="TableNormal"/>
    <w:uiPriority w:val="39"/>
    <w:rsid w:val="00A92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6852C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CB0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DC3"/>
  </w:style>
  <w:style w:type="paragraph" w:styleId="Footer">
    <w:name w:val="footer"/>
    <w:basedOn w:val="Normal"/>
    <w:link w:val="FooterChar"/>
    <w:uiPriority w:val="99"/>
    <w:unhideWhenUsed/>
    <w:rsid w:val="00CB0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DC3"/>
  </w:style>
  <w:style w:type="table" w:customStyle="1" w:styleId="PlainTable2">
    <w:name w:val="Plain Table 2"/>
    <w:basedOn w:val="TableNormal"/>
    <w:uiPriority w:val="42"/>
    <w:rsid w:val="006F352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semiHidden/>
    <w:unhideWhenUsed/>
    <w:rsid w:val="005662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6923">
      <w:bodyDiv w:val="1"/>
      <w:marLeft w:val="0"/>
      <w:marRight w:val="0"/>
      <w:marTop w:val="0"/>
      <w:marBottom w:val="0"/>
      <w:divBdr>
        <w:top w:val="none" w:sz="0" w:space="0" w:color="auto"/>
        <w:left w:val="none" w:sz="0" w:space="0" w:color="auto"/>
        <w:bottom w:val="none" w:sz="0" w:space="0" w:color="auto"/>
        <w:right w:val="none" w:sz="0" w:space="0" w:color="auto"/>
      </w:divBdr>
    </w:div>
    <w:div w:id="793981249">
      <w:bodyDiv w:val="1"/>
      <w:marLeft w:val="0"/>
      <w:marRight w:val="0"/>
      <w:marTop w:val="0"/>
      <w:marBottom w:val="0"/>
      <w:divBdr>
        <w:top w:val="none" w:sz="0" w:space="0" w:color="auto"/>
        <w:left w:val="none" w:sz="0" w:space="0" w:color="auto"/>
        <w:bottom w:val="none" w:sz="0" w:space="0" w:color="auto"/>
        <w:right w:val="none" w:sz="0" w:space="0" w:color="auto"/>
      </w:divBdr>
    </w:div>
    <w:div w:id="914125930">
      <w:bodyDiv w:val="1"/>
      <w:marLeft w:val="0"/>
      <w:marRight w:val="0"/>
      <w:marTop w:val="0"/>
      <w:marBottom w:val="0"/>
      <w:divBdr>
        <w:top w:val="none" w:sz="0" w:space="0" w:color="auto"/>
        <w:left w:val="none" w:sz="0" w:space="0" w:color="auto"/>
        <w:bottom w:val="none" w:sz="0" w:space="0" w:color="auto"/>
        <w:right w:val="none" w:sz="0" w:space="0" w:color="auto"/>
      </w:divBdr>
    </w:div>
    <w:div w:id="1145273853">
      <w:bodyDiv w:val="1"/>
      <w:marLeft w:val="0"/>
      <w:marRight w:val="0"/>
      <w:marTop w:val="0"/>
      <w:marBottom w:val="0"/>
      <w:divBdr>
        <w:top w:val="none" w:sz="0" w:space="0" w:color="auto"/>
        <w:left w:val="none" w:sz="0" w:space="0" w:color="auto"/>
        <w:bottom w:val="none" w:sz="0" w:space="0" w:color="auto"/>
        <w:right w:val="none" w:sz="0" w:space="0" w:color="auto"/>
      </w:divBdr>
    </w:div>
    <w:div w:id="1553998412">
      <w:bodyDiv w:val="1"/>
      <w:marLeft w:val="0"/>
      <w:marRight w:val="0"/>
      <w:marTop w:val="0"/>
      <w:marBottom w:val="0"/>
      <w:divBdr>
        <w:top w:val="none" w:sz="0" w:space="0" w:color="auto"/>
        <w:left w:val="none" w:sz="0" w:space="0" w:color="auto"/>
        <w:bottom w:val="none" w:sz="0" w:space="0" w:color="auto"/>
        <w:right w:val="none" w:sz="0" w:space="0" w:color="auto"/>
      </w:divBdr>
    </w:div>
    <w:div w:id="1718241032">
      <w:bodyDiv w:val="1"/>
      <w:marLeft w:val="0"/>
      <w:marRight w:val="0"/>
      <w:marTop w:val="0"/>
      <w:marBottom w:val="0"/>
      <w:divBdr>
        <w:top w:val="none" w:sz="0" w:space="0" w:color="auto"/>
        <w:left w:val="none" w:sz="0" w:space="0" w:color="auto"/>
        <w:bottom w:val="none" w:sz="0" w:space="0" w:color="auto"/>
        <w:right w:val="none" w:sz="0" w:space="0" w:color="auto"/>
      </w:divBdr>
    </w:div>
    <w:div w:id="1864441761">
      <w:bodyDiv w:val="1"/>
      <w:marLeft w:val="0"/>
      <w:marRight w:val="0"/>
      <w:marTop w:val="0"/>
      <w:marBottom w:val="0"/>
      <w:divBdr>
        <w:top w:val="none" w:sz="0" w:space="0" w:color="auto"/>
        <w:left w:val="none" w:sz="0" w:space="0" w:color="auto"/>
        <w:bottom w:val="none" w:sz="0" w:space="0" w:color="auto"/>
        <w:right w:val="none" w:sz="0" w:space="0" w:color="auto"/>
      </w:divBdr>
    </w:div>
    <w:div w:id="2122260631">
      <w:bodyDiv w:val="1"/>
      <w:marLeft w:val="0"/>
      <w:marRight w:val="0"/>
      <w:marTop w:val="0"/>
      <w:marBottom w:val="0"/>
      <w:divBdr>
        <w:top w:val="none" w:sz="0" w:space="0" w:color="auto"/>
        <w:left w:val="none" w:sz="0" w:space="0" w:color="auto"/>
        <w:bottom w:val="none" w:sz="0" w:space="0" w:color="auto"/>
        <w:right w:val="none" w:sz="0" w:space="0" w:color="auto"/>
      </w:divBdr>
      <w:divsChild>
        <w:div w:id="1309167436">
          <w:marLeft w:val="0"/>
          <w:marRight w:val="0"/>
          <w:marTop w:val="0"/>
          <w:marBottom w:val="0"/>
          <w:divBdr>
            <w:top w:val="none" w:sz="0" w:space="0" w:color="auto"/>
            <w:left w:val="none" w:sz="0" w:space="0" w:color="auto"/>
            <w:bottom w:val="none" w:sz="0" w:space="0" w:color="auto"/>
            <w:right w:val="none" w:sz="0" w:space="0" w:color="auto"/>
          </w:divBdr>
          <w:divsChild>
            <w:div w:id="1965499380">
              <w:marLeft w:val="0"/>
              <w:marRight w:val="0"/>
              <w:marTop w:val="0"/>
              <w:marBottom w:val="0"/>
              <w:divBdr>
                <w:top w:val="none" w:sz="0" w:space="0" w:color="auto"/>
                <w:left w:val="none" w:sz="0" w:space="0" w:color="auto"/>
                <w:bottom w:val="none" w:sz="0" w:space="0" w:color="auto"/>
                <w:right w:val="none" w:sz="0" w:space="0" w:color="auto"/>
              </w:divBdr>
            </w:div>
          </w:divsChild>
        </w:div>
        <w:div w:id="639655565">
          <w:marLeft w:val="0"/>
          <w:marRight w:val="0"/>
          <w:marTop w:val="0"/>
          <w:marBottom w:val="0"/>
          <w:divBdr>
            <w:top w:val="none" w:sz="0" w:space="0" w:color="auto"/>
            <w:left w:val="none" w:sz="0" w:space="0" w:color="auto"/>
            <w:bottom w:val="none" w:sz="0" w:space="0" w:color="auto"/>
            <w:right w:val="none" w:sz="0" w:space="0" w:color="auto"/>
          </w:divBdr>
          <w:divsChild>
            <w:div w:id="963268151">
              <w:marLeft w:val="0"/>
              <w:marRight w:val="0"/>
              <w:marTop w:val="0"/>
              <w:marBottom w:val="0"/>
              <w:divBdr>
                <w:top w:val="none" w:sz="0" w:space="0" w:color="auto"/>
                <w:left w:val="none" w:sz="0" w:space="0" w:color="auto"/>
                <w:bottom w:val="none" w:sz="0" w:space="0" w:color="auto"/>
                <w:right w:val="none" w:sz="0" w:space="0" w:color="auto"/>
              </w:divBdr>
            </w:div>
          </w:divsChild>
        </w:div>
        <w:div w:id="2028173147">
          <w:marLeft w:val="0"/>
          <w:marRight w:val="0"/>
          <w:marTop w:val="0"/>
          <w:marBottom w:val="0"/>
          <w:divBdr>
            <w:top w:val="none" w:sz="0" w:space="0" w:color="auto"/>
            <w:left w:val="none" w:sz="0" w:space="0" w:color="auto"/>
            <w:bottom w:val="none" w:sz="0" w:space="0" w:color="auto"/>
            <w:right w:val="none" w:sz="0" w:space="0" w:color="auto"/>
          </w:divBdr>
          <w:divsChild>
            <w:div w:id="1808430271">
              <w:marLeft w:val="0"/>
              <w:marRight w:val="0"/>
              <w:marTop w:val="0"/>
              <w:marBottom w:val="0"/>
              <w:divBdr>
                <w:top w:val="none" w:sz="0" w:space="0" w:color="auto"/>
                <w:left w:val="none" w:sz="0" w:space="0" w:color="auto"/>
                <w:bottom w:val="none" w:sz="0" w:space="0" w:color="auto"/>
                <w:right w:val="none" w:sz="0" w:space="0" w:color="auto"/>
              </w:divBdr>
            </w:div>
          </w:divsChild>
        </w:div>
        <w:div w:id="1342584898">
          <w:marLeft w:val="0"/>
          <w:marRight w:val="0"/>
          <w:marTop w:val="0"/>
          <w:marBottom w:val="0"/>
          <w:divBdr>
            <w:top w:val="none" w:sz="0" w:space="0" w:color="auto"/>
            <w:left w:val="none" w:sz="0" w:space="0" w:color="auto"/>
            <w:bottom w:val="none" w:sz="0" w:space="0" w:color="auto"/>
            <w:right w:val="none" w:sz="0" w:space="0" w:color="auto"/>
          </w:divBdr>
          <w:divsChild>
            <w:div w:id="223299588">
              <w:marLeft w:val="0"/>
              <w:marRight w:val="0"/>
              <w:marTop w:val="0"/>
              <w:marBottom w:val="0"/>
              <w:divBdr>
                <w:top w:val="none" w:sz="0" w:space="0" w:color="auto"/>
                <w:left w:val="none" w:sz="0" w:space="0" w:color="auto"/>
                <w:bottom w:val="none" w:sz="0" w:space="0" w:color="auto"/>
                <w:right w:val="none" w:sz="0" w:space="0" w:color="auto"/>
              </w:divBdr>
            </w:div>
          </w:divsChild>
        </w:div>
        <w:div w:id="947347558">
          <w:marLeft w:val="0"/>
          <w:marRight w:val="0"/>
          <w:marTop w:val="0"/>
          <w:marBottom w:val="0"/>
          <w:divBdr>
            <w:top w:val="none" w:sz="0" w:space="0" w:color="auto"/>
            <w:left w:val="none" w:sz="0" w:space="0" w:color="auto"/>
            <w:bottom w:val="none" w:sz="0" w:space="0" w:color="auto"/>
            <w:right w:val="none" w:sz="0" w:space="0" w:color="auto"/>
          </w:divBdr>
          <w:divsChild>
            <w:div w:id="1483885111">
              <w:marLeft w:val="0"/>
              <w:marRight w:val="0"/>
              <w:marTop w:val="0"/>
              <w:marBottom w:val="0"/>
              <w:divBdr>
                <w:top w:val="none" w:sz="0" w:space="0" w:color="auto"/>
                <w:left w:val="none" w:sz="0" w:space="0" w:color="auto"/>
                <w:bottom w:val="none" w:sz="0" w:space="0" w:color="auto"/>
                <w:right w:val="none" w:sz="0" w:space="0" w:color="auto"/>
              </w:divBdr>
            </w:div>
          </w:divsChild>
        </w:div>
        <w:div w:id="975647080">
          <w:marLeft w:val="0"/>
          <w:marRight w:val="0"/>
          <w:marTop w:val="0"/>
          <w:marBottom w:val="0"/>
          <w:divBdr>
            <w:top w:val="none" w:sz="0" w:space="0" w:color="auto"/>
            <w:left w:val="none" w:sz="0" w:space="0" w:color="auto"/>
            <w:bottom w:val="none" w:sz="0" w:space="0" w:color="auto"/>
            <w:right w:val="none" w:sz="0" w:space="0" w:color="auto"/>
          </w:divBdr>
          <w:divsChild>
            <w:div w:id="15491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doi.org/10.1016/j.wds.2022.100012"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doi.org/10.4060/cb4476en" TargetMode="Externa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yperlink" Target="https://doi.org/10.1257/jep.24.3.207" TargetMode="External"/><Relationship Id="rId25" Type="http://schemas.openxmlformats.org/officeDocument/2006/relationships/footer" Target="footer1.xml"/><Relationship Id="rId2" Type="http://schemas.openxmlformats.org/officeDocument/2006/relationships/styles" Target="styles.xml"/><Relationship Id="rId16" Type="http://schemas.microsoft.com/office/2007/relationships/hdphoto" Target="media/hdphoto4.wdp"/><Relationship Id="rId20" Type="http://schemas.openxmlformats.org/officeDocument/2006/relationships/hyperlink" Target="https://doi.org/10.1146/annurev-resource-100516-05335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596/978-1-4648-1657-0"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i.org/10.1093/qje/qjw002" TargetMode="External"/><Relationship Id="rId10" Type="http://schemas.microsoft.com/office/2007/relationships/hdphoto" Target="media/hdphoto1.wdp"/><Relationship Id="rId19" Type="http://schemas.openxmlformats.org/officeDocument/2006/relationships/hyperlink" Target="https://doi.org/10.1257/app.20140287"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3.wdp"/><Relationship Id="rId22" Type="http://schemas.openxmlformats.org/officeDocument/2006/relationships/hyperlink" Target="https://doi.org/10.1257/aer.104.1.18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31763</TotalTime>
  <Pages>20</Pages>
  <Words>6155</Words>
  <Characters>35087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Omonijo O. O</dc:creator>
  <cp:keywords/>
  <dc:description/>
  <cp:lastModifiedBy>qwert</cp:lastModifiedBy>
  <cp:revision>223</cp:revision>
  <dcterms:created xsi:type="dcterms:W3CDTF">2026-01-19T10:44:00Z</dcterms:created>
  <dcterms:modified xsi:type="dcterms:W3CDTF">2026-04-05T10:14:00Z</dcterms:modified>
</cp:coreProperties>
</file>